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E0D1F" w:rsidR="007D4C26" w:rsidP="00733C44" w:rsidRDefault="007D4C26" w14:paraId="1547F9F0" w14:textId="77777777">
      <w:pPr>
        <w:spacing w:after="0" w:line="240" w:lineRule="auto"/>
        <w:rPr>
          <w:rFonts w:cs="Arial"/>
          <w:i/>
          <w:sz w:val="18"/>
          <w:szCs w:val="18"/>
        </w:rPr>
      </w:pPr>
    </w:p>
    <w:p w:rsidRPr="00AE0D1F" w:rsidR="00437DA2" w:rsidP="00881349" w:rsidRDefault="00016546" w14:paraId="054C388B" w14:textId="372CB8B8">
      <w:pPr>
        <w:pBdr>
          <w:top w:val="single" w:color="5E1785" w:sz="12" w:space="1"/>
        </w:pBdr>
        <w:spacing w:after="0" w:line="240" w:lineRule="auto"/>
        <w:rPr>
          <w:rFonts w:cs="Arial"/>
          <w:i/>
          <w:sz w:val="18"/>
          <w:szCs w:val="18"/>
        </w:rPr>
      </w:pPr>
      <w:r w:rsidRPr="00AE0D1F">
        <w:rPr>
          <w:rFonts w:cs="Arial"/>
          <w:i/>
          <w:sz w:val="18"/>
          <w:szCs w:val="18"/>
        </w:rPr>
        <w:t>The scope of the Programmatic Review and Clearance Process for NPS-Sponsored Public Surveys is limited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rsidRPr="00AE0D1F" w:rsidR="00733C44" w:rsidP="00733C44" w:rsidRDefault="00733C44" w14:paraId="49B74715" w14:textId="77777777">
      <w:pPr>
        <w:spacing w:after="0" w:line="240" w:lineRule="auto"/>
        <w:rPr>
          <w:rFonts w:cs="Arial"/>
          <w:i/>
          <w:sz w:val="18"/>
          <w:szCs w:val="18"/>
        </w:rPr>
      </w:pPr>
    </w:p>
    <w:p w:rsidRPr="00AE0D1F" w:rsidR="00B85872" w:rsidP="00733C44" w:rsidRDefault="00B85872" w14:paraId="5BCCA4FA" w14:textId="64D8B2AC">
      <w:pPr>
        <w:pBdr>
          <w:top w:val="single" w:color="5E1785" w:sz="18" w:space="1"/>
        </w:pBdr>
        <w:spacing w:after="0" w:line="240" w:lineRule="auto"/>
        <w:rPr>
          <w:rFonts w:cs="Arial"/>
          <w:i/>
          <w:sz w:val="18"/>
          <w:szCs w:val="18"/>
        </w:rPr>
      </w:pPr>
    </w:p>
    <w:p w:rsidRPr="00AE0D1F" w:rsidR="00AD4A97" w:rsidP="00B85872" w:rsidRDefault="00391556" w14:paraId="417CAD3D" w14:textId="45F6623E">
      <w:pPr>
        <w:tabs>
          <w:tab w:val="left" w:pos="1980"/>
          <w:tab w:val="left" w:pos="3330"/>
          <w:tab w:val="left" w:pos="5040"/>
        </w:tabs>
        <w:spacing w:after="0" w:line="360" w:lineRule="auto"/>
        <w:ind w:left="7920"/>
        <w:rPr>
          <w:rFonts w:cs="Arial"/>
          <w:sz w:val="18"/>
          <w:szCs w:val="18"/>
        </w:rPr>
      </w:pPr>
      <w:r w:rsidRPr="00AE0D1F">
        <w:rPr>
          <w:rFonts w:cs="Arial"/>
          <w:b/>
          <w:sz w:val="18"/>
          <w:szCs w:val="18"/>
        </w:rPr>
        <w:t>SUBMISSION DATE</w:t>
      </w:r>
      <w:r w:rsidRPr="00AE0D1F" w:rsidR="00016546">
        <w:rPr>
          <w:rFonts w:cs="Arial"/>
          <w:b/>
          <w:sz w:val="18"/>
          <w:szCs w:val="18"/>
        </w:rPr>
        <w:t>:</w:t>
      </w:r>
      <w:r w:rsidR="00031F0D">
        <w:rPr>
          <w:rFonts w:cs="Arial"/>
          <w:b/>
          <w:sz w:val="18"/>
          <w:szCs w:val="18"/>
        </w:rPr>
        <w:t xml:space="preserve"> </w:t>
      </w:r>
      <w:r w:rsidR="003F3D16">
        <w:rPr>
          <w:rFonts w:cs="Arial"/>
          <w:b/>
          <w:sz w:val="18"/>
          <w:szCs w:val="18"/>
        </w:rPr>
        <w:t>12</w:t>
      </w:r>
      <w:r w:rsidR="00031F0D">
        <w:rPr>
          <w:rFonts w:cs="Arial"/>
          <w:b/>
          <w:sz w:val="18"/>
          <w:szCs w:val="18"/>
        </w:rPr>
        <w:t>.</w:t>
      </w:r>
      <w:r w:rsidR="00F324E9">
        <w:rPr>
          <w:rFonts w:cs="Arial"/>
          <w:b/>
          <w:sz w:val="18"/>
          <w:szCs w:val="18"/>
        </w:rPr>
        <w:t>21</w:t>
      </w:r>
      <w:r w:rsidR="00031F0D">
        <w:rPr>
          <w:rFonts w:cs="Arial"/>
          <w:b/>
          <w:sz w:val="18"/>
          <w:szCs w:val="18"/>
        </w:rPr>
        <w:t>.2021</w:t>
      </w:r>
      <w:r w:rsidRPr="00AE0D1F" w:rsidR="00016546">
        <w:rPr>
          <w:rFonts w:cs="Arial"/>
          <w:sz w:val="18"/>
          <w:szCs w:val="18"/>
        </w:rPr>
        <w:tab/>
      </w:r>
    </w:p>
    <w:p w:rsidRPr="00AE0D1F" w:rsidR="00674E50" w:rsidP="00B85872" w:rsidRDefault="00391556" w14:paraId="7F327F71" w14:textId="364BFC5F">
      <w:pPr>
        <w:tabs>
          <w:tab w:val="left" w:pos="1980"/>
          <w:tab w:val="left" w:pos="3330"/>
          <w:tab w:val="left" w:pos="5040"/>
        </w:tabs>
        <w:spacing w:after="0" w:line="240" w:lineRule="auto"/>
        <w:ind w:left="1530" w:hanging="1530"/>
        <w:rPr>
          <w:rFonts w:cs="Arial"/>
          <w:b/>
          <w:bCs/>
          <w:i/>
        </w:rPr>
      </w:pPr>
      <w:r w:rsidRPr="00AE0D1F">
        <w:rPr>
          <w:rFonts w:cs="Arial"/>
          <w:b/>
        </w:rPr>
        <w:t>PROJECT TITLE</w:t>
      </w:r>
      <w:r w:rsidRPr="00AE0D1F" w:rsidR="00DA5C9A">
        <w:rPr>
          <w:rFonts w:cs="Arial"/>
          <w:b/>
        </w:rPr>
        <w:t>:</w:t>
      </w:r>
      <w:r w:rsidRPr="00AE0D1F" w:rsidR="00674E50">
        <w:rPr>
          <w:rFonts w:cs="Arial"/>
        </w:rPr>
        <w:t xml:space="preserve">  </w:t>
      </w:r>
      <w:r w:rsidRPr="00685D04" w:rsidR="00685D04">
        <w:rPr>
          <w:rFonts w:cs="Arial"/>
          <w:lang w:bidi="en-US"/>
        </w:rPr>
        <w:t xml:space="preserve"> Socioeconomic </w:t>
      </w:r>
      <w:r w:rsidR="00CD0344">
        <w:rPr>
          <w:rFonts w:cs="Arial"/>
          <w:lang w:bidi="en-US"/>
        </w:rPr>
        <w:t xml:space="preserve">Monitoring (SEM) Pilot </w:t>
      </w:r>
      <w:r w:rsidR="00614D03">
        <w:rPr>
          <w:rFonts w:cs="Arial"/>
          <w:lang w:bidi="en-US"/>
        </w:rPr>
        <w:t xml:space="preserve">Survey: </w:t>
      </w:r>
      <w:r w:rsidR="00614D03">
        <w:rPr>
          <w:rFonts w:cs="Arial"/>
        </w:rPr>
        <w:t xml:space="preserve">Phase </w:t>
      </w:r>
      <w:r w:rsidRPr="00685D04" w:rsidR="00614D03">
        <w:rPr>
          <w:rFonts w:cs="Arial"/>
          <w:lang w:bidi="en-US"/>
        </w:rPr>
        <w:t>Two</w:t>
      </w:r>
    </w:p>
    <w:p w:rsidRPr="00AE0D1F" w:rsidR="00B85872" w:rsidP="00881349" w:rsidRDefault="00B85872" w14:paraId="32034FF0" w14:textId="77777777">
      <w:pPr>
        <w:tabs>
          <w:tab w:val="left" w:pos="1980"/>
          <w:tab w:val="left" w:pos="3330"/>
          <w:tab w:val="left" w:pos="5040"/>
        </w:tabs>
        <w:spacing w:after="0" w:line="240" w:lineRule="auto"/>
        <w:ind w:left="1530" w:hanging="1530"/>
        <w:rPr>
          <w:rFonts w:cs="Arial"/>
          <w:b/>
          <w:bCs/>
          <w:i/>
        </w:rPr>
      </w:pPr>
    </w:p>
    <w:p w:rsidRPr="00AE0D1F" w:rsidR="00DA5C9A" w:rsidP="00881349" w:rsidRDefault="00391556" w14:paraId="14377321" w14:textId="4C6A911D">
      <w:pPr>
        <w:pStyle w:val="NoSpacing"/>
        <w:shd w:val="clear" w:color="auto" w:fill="E5DFEC" w:themeFill="accent4" w:themeFillTint="33"/>
        <w:rPr>
          <w:rFonts w:asciiTheme="minorHAnsi" w:hAnsiTheme="minorHAnsi" w:cstheme="minorHAnsi"/>
          <w:b/>
          <w:sz w:val="22"/>
          <w:szCs w:val="22"/>
        </w:rPr>
      </w:pPr>
      <w:r w:rsidRPr="00AE0D1F">
        <w:rPr>
          <w:rFonts w:asciiTheme="minorHAnsi" w:hAnsiTheme="minorHAnsi" w:cstheme="minorHAnsi"/>
          <w:b/>
          <w:sz w:val="22"/>
          <w:szCs w:val="22"/>
        </w:rPr>
        <w:t>ABSTRACT</w:t>
      </w:r>
      <w:r w:rsidRPr="00AE0D1F" w:rsidR="0065616C">
        <w:rPr>
          <w:rFonts w:asciiTheme="minorHAnsi" w:hAnsiTheme="minorHAnsi" w:cstheme="minorHAnsi"/>
          <w:b/>
          <w:sz w:val="22"/>
          <w:szCs w:val="22"/>
        </w:rPr>
        <w:t>:</w:t>
      </w:r>
      <w:r w:rsidRPr="00AE0D1F" w:rsidR="00DA5C9A">
        <w:rPr>
          <w:rFonts w:asciiTheme="minorHAnsi" w:hAnsiTheme="minorHAnsi" w:cstheme="minorHAnsi"/>
          <w:b/>
          <w:sz w:val="22"/>
          <w:szCs w:val="22"/>
        </w:rPr>
        <w:t xml:space="preserve"> (not to exceed 150 words)</w:t>
      </w:r>
    </w:p>
    <w:p w:rsidRPr="00AE0D1F" w:rsidR="00936C43" w:rsidP="00881349" w:rsidRDefault="00936C43" w14:paraId="64DFF4F5" w14:textId="77777777">
      <w:pPr>
        <w:tabs>
          <w:tab w:val="left" w:pos="360"/>
          <w:tab w:val="left" w:pos="720"/>
          <w:tab w:val="left" w:pos="1440"/>
          <w:tab w:val="left" w:pos="2160"/>
          <w:tab w:val="left" w:pos="3600"/>
          <w:tab w:val="left" w:pos="5040"/>
          <w:tab w:val="left" w:pos="5760"/>
        </w:tabs>
        <w:spacing w:after="0"/>
        <w:rPr>
          <w:rFonts w:ascii="Arial" w:hAnsi="Arial" w:eastAsia="Arial" w:cs="Arial"/>
          <w:i/>
          <w:lang w:bidi="en-US"/>
        </w:rPr>
      </w:pPr>
    </w:p>
    <w:p w:rsidR="00936C43" w:rsidP="00881349" w:rsidRDefault="00685D04" w14:paraId="13EA7D19" w14:textId="7628709E">
      <w:pPr>
        <w:tabs>
          <w:tab w:val="left" w:pos="360"/>
          <w:tab w:val="left" w:pos="720"/>
          <w:tab w:val="left" w:pos="1440"/>
          <w:tab w:val="left" w:pos="2160"/>
          <w:tab w:val="left" w:pos="3600"/>
          <w:tab w:val="left" w:pos="5040"/>
          <w:tab w:val="left" w:pos="5760"/>
        </w:tabs>
        <w:spacing w:after="0"/>
        <w:rPr>
          <w:rFonts w:ascii="Arial" w:hAnsi="Arial" w:eastAsia="Arial" w:cs="Arial"/>
          <w:i/>
          <w:sz w:val="20"/>
          <w:szCs w:val="20"/>
          <w:lang w:bidi="en-US"/>
        </w:rPr>
      </w:pPr>
      <w:r w:rsidRPr="00685D04">
        <w:rPr>
          <w:rFonts w:ascii="Arial" w:hAnsi="Arial" w:eastAsia="Arial" w:cs="Arial"/>
          <w:i/>
          <w:sz w:val="20"/>
          <w:szCs w:val="20"/>
          <w:lang w:bidi="en-US"/>
        </w:rPr>
        <w:t xml:space="preserve">A strong mandate and need for socioeconomic research </w:t>
      </w:r>
      <w:r w:rsidRPr="00685D04" w:rsidR="00A70685">
        <w:rPr>
          <w:rFonts w:ascii="Arial" w:hAnsi="Arial" w:eastAsia="Arial" w:cs="Arial"/>
          <w:i/>
          <w:sz w:val="20"/>
          <w:szCs w:val="20"/>
          <w:lang w:bidi="en-US"/>
        </w:rPr>
        <w:t>exist</w:t>
      </w:r>
      <w:r w:rsidRPr="00685D04">
        <w:rPr>
          <w:rFonts w:ascii="Arial" w:hAnsi="Arial" w:eastAsia="Arial" w:cs="Arial"/>
          <w:i/>
          <w:sz w:val="20"/>
          <w:szCs w:val="20"/>
          <w:lang w:bidi="en-US"/>
        </w:rPr>
        <w:t xml:space="preserve"> in the National Park Service (NPS). These are expressed in the NPS strategic goals for science, in statements by the NPS leadership, in the report of the Second Century Commission, and other outlets. This mandate resulted in a pilot socioeconomic monitoring study in 2015/2016 at a sample of park units across the U.S., previously described as “Phase One.” The purpose of this study is to use outcomes from the 2015/16 pilot program to progress into Phase Two of the process at up to </w:t>
      </w:r>
      <w:r w:rsidR="00692556">
        <w:rPr>
          <w:rFonts w:ascii="Arial" w:hAnsi="Arial" w:eastAsia="Arial" w:cs="Arial"/>
          <w:i/>
          <w:sz w:val="20"/>
          <w:szCs w:val="20"/>
          <w:lang w:bidi="en-US"/>
        </w:rPr>
        <w:t>28</w:t>
      </w:r>
      <w:r w:rsidRPr="00685D04" w:rsidR="00692556">
        <w:rPr>
          <w:rFonts w:ascii="Arial" w:hAnsi="Arial" w:eastAsia="Arial" w:cs="Arial"/>
          <w:i/>
          <w:sz w:val="20"/>
          <w:szCs w:val="20"/>
          <w:lang w:bidi="en-US"/>
        </w:rPr>
        <w:t xml:space="preserve"> </w:t>
      </w:r>
      <w:r w:rsidRPr="00685D04">
        <w:rPr>
          <w:rFonts w:ascii="Arial" w:hAnsi="Arial" w:eastAsia="Arial" w:cs="Arial"/>
          <w:i/>
          <w:sz w:val="20"/>
          <w:szCs w:val="20"/>
          <w:lang w:bidi="en-US"/>
        </w:rPr>
        <w:t>NPS units across the United States during the 202</w:t>
      </w:r>
      <w:r w:rsidR="00692556">
        <w:rPr>
          <w:rFonts w:ascii="Arial" w:hAnsi="Arial" w:eastAsia="Arial" w:cs="Arial"/>
          <w:i/>
          <w:sz w:val="20"/>
          <w:szCs w:val="20"/>
          <w:lang w:bidi="en-US"/>
        </w:rPr>
        <w:t>2</w:t>
      </w:r>
      <w:r w:rsidRPr="00685D04">
        <w:rPr>
          <w:rFonts w:ascii="Arial" w:hAnsi="Arial" w:eastAsia="Arial" w:cs="Arial"/>
          <w:i/>
          <w:sz w:val="20"/>
          <w:szCs w:val="20"/>
          <w:lang w:bidi="en-US"/>
        </w:rPr>
        <w:t xml:space="preserve"> season. Phase Two seeks to further explore visitor demographics and characteristics at a larger subset of NPS units, applying recommendations from the 2015/16 pilot program and validating instrument and method refinements. Data collected during the 202</w:t>
      </w:r>
      <w:r w:rsidR="00692556">
        <w:rPr>
          <w:rFonts w:ascii="Arial" w:hAnsi="Arial" w:eastAsia="Arial" w:cs="Arial"/>
          <w:i/>
          <w:sz w:val="20"/>
          <w:szCs w:val="20"/>
          <w:lang w:bidi="en-US"/>
        </w:rPr>
        <w:t>2</w:t>
      </w:r>
      <w:r w:rsidRPr="00685D04">
        <w:rPr>
          <w:rFonts w:ascii="Arial" w:hAnsi="Arial" w:eastAsia="Arial" w:cs="Arial"/>
          <w:i/>
          <w:sz w:val="20"/>
          <w:szCs w:val="20"/>
          <w:lang w:bidi="en-US"/>
        </w:rPr>
        <w:t xml:space="preserve"> Phase Two sampling period will inform individual park managers on key information about their visitors and allow for analysis of data for future implementation</w:t>
      </w:r>
      <w:r>
        <w:rPr>
          <w:rFonts w:ascii="Arial" w:hAnsi="Arial" w:eastAsia="Arial" w:cs="Arial"/>
          <w:i/>
          <w:sz w:val="20"/>
          <w:szCs w:val="20"/>
          <w:lang w:bidi="en-US"/>
        </w:rPr>
        <w:t>.</w:t>
      </w:r>
    </w:p>
    <w:p w:rsidRPr="00AE0D1F" w:rsidR="00685D04" w:rsidP="00881349" w:rsidRDefault="00685D04" w14:paraId="672AD8B2" w14:textId="77777777">
      <w:pPr>
        <w:tabs>
          <w:tab w:val="left" w:pos="360"/>
          <w:tab w:val="left" w:pos="720"/>
          <w:tab w:val="left" w:pos="1440"/>
          <w:tab w:val="left" w:pos="2160"/>
          <w:tab w:val="left" w:pos="3600"/>
          <w:tab w:val="left" w:pos="5040"/>
          <w:tab w:val="left" w:pos="5760"/>
        </w:tabs>
        <w:spacing w:after="0"/>
        <w:rPr>
          <w:rFonts w:cs="Arial"/>
          <w:i/>
          <w:iCs/>
          <w:sz w:val="20"/>
          <w:szCs w:val="20"/>
        </w:rPr>
      </w:pPr>
    </w:p>
    <w:tbl>
      <w:tblPr>
        <w:tblStyle w:val="TableGrid"/>
        <w:tblW w:w="0" w:type="auto"/>
        <w:tblBorders>
          <w:top w:val="single" w:color="17365D" w:themeColor="text2" w:themeShade="BF" w:sz="8" w:space="0"/>
          <w:left w:val="single" w:color="17365D" w:themeColor="text2" w:themeShade="BF" w:sz="8" w:space="0"/>
          <w:bottom w:val="single" w:color="17365D" w:themeColor="text2" w:themeShade="BF" w:sz="8" w:space="0"/>
          <w:right w:val="single" w:color="17365D" w:themeColor="text2" w:themeShade="BF" w:sz="8" w:space="0"/>
          <w:insideH w:val="single" w:color="17365D" w:themeColor="text2" w:themeShade="BF" w:sz="8" w:space="0"/>
          <w:insideV w:val="single" w:color="17365D" w:themeColor="text2" w:themeShade="BF" w:sz="8" w:space="0"/>
        </w:tblBorders>
        <w:tblLook w:val="04A0" w:firstRow="1" w:lastRow="0" w:firstColumn="1" w:lastColumn="0" w:noHBand="0" w:noVBand="1"/>
      </w:tblPr>
      <w:tblGrid>
        <w:gridCol w:w="1350"/>
        <w:gridCol w:w="4741"/>
        <w:gridCol w:w="921"/>
        <w:gridCol w:w="3778"/>
      </w:tblGrid>
      <w:tr w:rsidRPr="00AE0D1F" w:rsidR="00AE0D1F" w:rsidTr="00A2771E" w14:paraId="5C6BD4E3" w14:textId="77777777">
        <w:trPr>
          <w:trHeight w:val="323"/>
        </w:trPr>
        <w:tc>
          <w:tcPr>
            <w:tcW w:w="10790" w:type="dxa"/>
            <w:gridSpan w:val="4"/>
            <w:tcBorders>
              <w:top w:val="single" w:color="auto" w:sz="4" w:space="0"/>
              <w:left w:val="nil"/>
              <w:bottom w:val="single" w:color="auto" w:sz="4" w:space="0"/>
              <w:right w:val="nil"/>
            </w:tcBorders>
            <w:shd w:val="clear" w:color="auto" w:fill="E5DFEC" w:themeFill="accent4" w:themeFillTint="33"/>
          </w:tcPr>
          <w:p w:rsidRPr="00AE0D1F" w:rsidR="00B85872" w:rsidP="00881349" w:rsidRDefault="00B85872" w14:paraId="124AD8CC" w14:textId="2E56B1A7">
            <w:pPr>
              <w:tabs>
                <w:tab w:val="left" w:pos="1800"/>
              </w:tabs>
              <w:ind w:left="-15"/>
              <w:rPr>
                <w:rFonts w:cs="Arial"/>
              </w:rPr>
            </w:pPr>
            <w:bookmarkStart w:name="_Hlk45530174" w:id="0"/>
            <w:r w:rsidRPr="00AE0D1F">
              <w:rPr>
                <w:rFonts w:cs="Arial"/>
                <w:b/>
              </w:rPr>
              <w:t>PRINCIPAL INVESTIGATOR CONTACT INFORMATION:</w:t>
            </w:r>
          </w:p>
        </w:tc>
      </w:tr>
      <w:tr w:rsidRPr="00AE0D1F" w:rsidR="00AE0D1F" w:rsidTr="00A2771E" w14:paraId="20E02B07" w14:textId="77777777">
        <w:trPr>
          <w:trHeight w:val="360"/>
        </w:trPr>
        <w:tc>
          <w:tcPr>
            <w:tcW w:w="1350" w:type="dxa"/>
            <w:tcBorders>
              <w:top w:val="single" w:color="auto" w:sz="4" w:space="0"/>
              <w:left w:val="nil"/>
              <w:bottom w:val="nil"/>
              <w:right w:val="nil"/>
            </w:tcBorders>
          </w:tcPr>
          <w:p w:rsidRPr="00AE0D1F" w:rsidR="00B85872" w:rsidP="00B85872" w:rsidRDefault="00B85872" w14:paraId="6A04EA51" w14:textId="5E9AFF32">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NAME:</w:t>
            </w:r>
          </w:p>
        </w:tc>
        <w:tc>
          <w:tcPr>
            <w:tcW w:w="9440" w:type="dxa"/>
            <w:gridSpan w:val="3"/>
            <w:tcBorders>
              <w:top w:val="single" w:color="auto" w:sz="4" w:space="0"/>
              <w:left w:val="nil"/>
              <w:bottom w:val="nil"/>
              <w:right w:val="nil"/>
            </w:tcBorders>
          </w:tcPr>
          <w:p w:rsidRPr="00AE0D1F" w:rsidR="00B85872" w:rsidP="00B85872" w:rsidRDefault="00685D04" w14:paraId="599E16DE" w14:textId="5495976E">
            <w:pPr>
              <w:tabs>
                <w:tab w:val="left" w:pos="360"/>
                <w:tab w:val="left" w:pos="720"/>
                <w:tab w:val="left" w:pos="1440"/>
                <w:tab w:val="left" w:pos="2160"/>
                <w:tab w:val="left" w:pos="3600"/>
                <w:tab w:val="left" w:pos="5040"/>
                <w:tab w:val="left" w:pos="5760"/>
              </w:tabs>
              <w:rPr>
                <w:rFonts w:cs="Arial"/>
                <w:sz w:val="20"/>
                <w:szCs w:val="20"/>
              </w:rPr>
            </w:pPr>
            <w:r w:rsidRPr="00685D04">
              <w:rPr>
                <w:sz w:val="20"/>
                <w:szCs w:val="20"/>
              </w:rPr>
              <w:t>Mandi Roberts</w:t>
            </w:r>
          </w:p>
        </w:tc>
      </w:tr>
      <w:tr w:rsidRPr="00AE0D1F" w:rsidR="00AE0D1F" w:rsidTr="00FA5DEF" w14:paraId="4658F2A0" w14:textId="77777777">
        <w:trPr>
          <w:trHeight w:val="367"/>
        </w:trPr>
        <w:tc>
          <w:tcPr>
            <w:tcW w:w="1350" w:type="dxa"/>
            <w:tcBorders>
              <w:top w:val="nil"/>
              <w:left w:val="nil"/>
              <w:bottom w:val="nil"/>
              <w:right w:val="nil"/>
            </w:tcBorders>
          </w:tcPr>
          <w:p w:rsidRPr="00AE0D1F" w:rsidR="00B85872" w:rsidP="00B85872" w:rsidRDefault="00B85872" w14:paraId="43CB6507" w14:textId="3EDE5773">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TITLE</w:t>
            </w:r>
          </w:p>
        </w:tc>
        <w:tc>
          <w:tcPr>
            <w:tcW w:w="9440" w:type="dxa"/>
            <w:gridSpan w:val="3"/>
            <w:tcBorders>
              <w:top w:val="nil"/>
              <w:left w:val="nil"/>
              <w:bottom w:val="nil"/>
              <w:right w:val="nil"/>
            </w:tcBorders>
          </w:tcPr>
          <w:p w:rsidRPr="00AE0D1F" w:rsidR="00B85872" w:rsidP="00B85872" w:rsidRDefault="00685D04" w14:paraId="3D8F87C9" w14:textId="4CDB2B6F">
            <w:pPr>
              <w:tabs>
                <w:tab w:val="left" w:pos="360"/>
                <w:tab w:val="left" w:pos="720"/>
                <w:tab w:val="left" w:pos="1440"/>
                <w:tab w:val="left" w:pos="2160"/>
                <w:tab w:val="left" w:pos="3600"/>
                <w:tab w:val="left" w:pos="5040"/>
                <w:tab w:val="left" w:pos="5760"/>
              </w:tabs>
              <w:rPr>
                <w:rFonts w:cs="Arial"/>
                <w:sz w:val="20"/>
                <w:szCs w:val="20"/>
              </w:rPr>
            </w:pPr>
            <w:r w:rsidRPr="00685D04">
              <w:rPr>
                <w:rFonts w:ascii="Calibri" w:hAnsi="Calibri" w:eastAsia="Arial" w:cs="Calibri"/>
                <w:sz w:val="20"/>
                <w:szCs w:val="20"/>
                <w:lang w:bidi="en-US"/>
              </w:rPr>
              <w:t>Vice President</w:t>
            </w:r>
          </w:p>
        </w:tc>
      </w:tr>
      <w:tr w:rsidRPr="00AE0D1F" w:rsidR="00AE0D1F" w:rsidTr="00FA5DEF" w14:paraId="08B713EC" w14:textId="77777777">
        <w:trPr>
          <w:trHeight w:val="367"/>
        </w:trPr>
        <w:tc>
          <w:tcPr>
            <w:tcW w:w="1350" w:type="dxa"/>
            <w:tcBorders>
              <w:top w:val="nil"/>
              <w:left w:val="nil"/>
              <w:bottom w:val="nil"/>
              <w:right w:val="nil"/>
            </w:tcBorders>
          </w:tcPr>
          <w:p w:rsidRPr="00AE0D1F" w:rsidR="00B85872" w:rsidP="00B85872" w:rsidRDefault="00B85872" w14:paraId="2FD2ECF2" w14:textId="76BB8D60">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AFFILIATION:</w:t>
            </w:r>
          </w:p>
        </w:tc>
        <w:tc>
          <w:tcPr>
            <w:tcW w:w="9440" w:type="dxa"/>
            <w:gridSpan w:val="3"/>
            <w:tcBorders>
              <w:top w:val="nil"/>
              <w:left w:val="nil"/>
              <w:bottom w:val="nil"/>
              <w:right w:val="nil"/>
            </w:tcBorders>
          </w:tcPr>
          <w:p w:rsidRPr="00AE0D1F" w:rsidR="00B85872" w:rsidP="00B85872" w:rsidRDefault="00685D04" w14:paraId="1CBC8E98" w14:textId="4122C463">
            <w:pPr>
              <w:tabs>
                <w:tab w:val="left" w:pos="360"/>
                <w:tab w:val="left" w:pos="720"/>
                <w:tab w:val="left" w:pos="1440"/>
                <w:tab w:val="left" w:pos="2160"/>
                <w:tab w:val="left" w:pos="3600"/>
                <w:tab w:val="left" w:pos="5040"/>
                <w:tab w:val="left" w:pos="5760"/>
              </w:tabs>
              <w:rPr>
                <w:rFonts w:cs="Arial"/>
                <w:sz w:val="20"/>
                <w:szCs w:val="20"/>
              </w:rPr>
            </w:pPr>
            <w:r w:rsidRPr="00685D04">
              <w:rPr>
                <w:rFonts w:ascii="Calibri" w:hAnsi="Calibri" w:eastAsia="Arial" w:cs="Calibri"/>
                <w:sz w:val="20"/>
                <w:szCs w:val="20"/>
                <w:lang w:bidi="en-US"/>
              </w:rPr>
              <w:t>Otak Inc.</w:t>
            </w:r>
            <w:r w:rsidRPr="00AE0D1F" w:rsidR="00936C43">
              <w:rPr>
                <w:rFonts w:ascii="Calibri" w:hAnsi="Calibri" w:eastAsia="Arial" w:cs="Calibri"/>
                <w:sz w:val="20"/>
                <w:szCs w:val="20"/>
                <w:lang w:bidi="en-US"/>
              </w:rPr>
              <w:t>.</w:t>
            </w:r>
          </w:p>
        </w:tc>
      </w:tr>
      <w:tr w:rsidRPr="00AE0D1F" w:rsidR="00AE0D1F" w:rsidTr="00A2771E" w14:paraId="21C4BAE3" w14:textId="77777777">
        <w:trPr>
          <w:trHeight w:val="387"/>
        </w:trPr>
        <w:tc>
          <w:tcPr>
            <w:tcW w:w="1350" w:type="dxa"/>
            <w:tcBorders>
              <w:top w:val="nil"/>
              <w:left w:val="nil"/>
              <w:bottom w:val="nil"/>
              <w:right w:val="nil"/>
            </w:tcBorders>
          </w:tcPr>
          <w:p w:rsidRPr="00AE0D1F" w:rsidR="00B85872" w:rsidP="00B85872" w:rsidRDefault="00B85872" w14:paraId="7283E8C6" w14:textId="142B9470">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ADDRESS:</w:t>
            </w:r>
          </w:p>
        </w:tc>
        <w:tc>
          <w:tcPr>
            <w:tcW w:w="9440" w:type="dxa"/>
            <w:gridSpan w:val="3"/>
            <w:tcBorders>
              <w:top w:val="nil"/>
              <w:left w:val="nil"/>
              <w:bottom w:val="nil"/>
              <w:right w:val="nil"/>
            </w:tcBorders>
          </w:tcPr>
          <w:p w:rsidRPr="00AE0D1F" w:rsidR="00B85872" w:rsidP="00B85872" w:rsidRDefault="00685D04" w14:paraId="2F5317CC" w14:textId="2D4C1570">
            <w:pPr>
              <w:tabs>
                <w:tab w:val="left" w:pos="360"/>
                <w:tab w:val="left" w:pos="720"/>
                <w:tab w:val="left" w:pos="1440"/>
                <w:tab w:val="left" w:pos="2160"/>
                <w:tab w:val="left" w:pos="3600"/>
                <w:tab w:val="left" w:pos="5040"/>
                <w:tab w:val="left" w:pos="5760"/>
              </w:tabs>
              <w:rPr>
                <w:rFonts w:cs="Arial"/>
                <w:sz w:val="20"/>
                <w:szCs w:val="20"/>
              </w:rPr>
            </w:pPr>
            <w:r w:rsidRPr="00685D04">
              <w:rPr>
                <w:rFonts w:ascii="Calibri" w:hAnsi="Calibri" w:eastAsia="Arial" w:cs="Calibri"/>
                <w:sz w:val="20"/>
                <w:szCs w:val="20"/>
                <w:lang w:bidi="en-US"/>
              </w:rPr>
              <w:t>11241 Willows Road NE, Suite 200 Redmond, WA 98052</w:t>
            </w:r>
          </w:p>
        </w:tc>
      </w:tr>
      <w:tr w:rsidRPr="00AE0D1F" w:rsidR="00AE0D1F" w:rsidTr="00A2771E" w14:paraId="52BF0DC0" w14:textId="77777777">
        <w:trPr>
          <w:trHeight w:val="378"/>
        </w:trPr>
        <w:tc>
          <w:tcPr>
            <w:tcW w:w="1350" w:type="dxa"/>
            <w:tcBorders>
              <w:top w:val="nil"/>
              <w:left w:val="nil"/>
              <w:bottom w:val="single" w:color="auto" w:sz="4" w:space="0"/>
              <w:right w:val="nil"/>
            </w:tcBorders>
          </w:tcPr>
          <w:p w:rsidRPr="00AE0D1F" w:rsidR="00B85872" w:rsidP="00B85872" w:rsidRDefault="00B85872" w14:paraId="13425EC6" w14:textId="295CFA86">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EMAIL:</w:t>
            </w:r>
          </w:p>
        </w:tc>
        <w:tc>
          <w:tcPr>
            <w:tcW w:w="4741" w:type="dxa"/>
            <w:tcBorders>
              <w:top w:val="nil"/>
              <w:left w:val="nil"/>
              <w:bottom w:val="single" w:color="auto" w:sz="4" w:space="0"/>
              <w:right w:val="nil"/>
            </w:tcBorders>
          </w:tcPr>
          <w:p w:rsidRPr="00AE0D1F" w:rsidR="00B85872" w:rsidP="00B85872" w:rsidRDefault="00684CD3" w14:paraId="743A9044" w14:textId="05F75B71">
            <w:pPr>
              <w:tabs>
                <w:tab w:val="left" w:pos="360"/>
                <w:tab w:val="left" w:pos="720"/>
                <w:tab w:val="left" w:pos="1440"/>
                <w:tab w:val="left" w:pos="2160"/>
                <w:tab w:val="left" w:pos="3600"/>
                <w:tab w:val="left" w:pos="5040"/>
                <w:tab w:val="left" w:pos="5760"/>
              </w:tabs>
              <w:rPr>
                <w:rFonts w:cs="Arial"/>
                <w:sz w:val="20"/>
                <w:szCs w:val="20"/>
              </w:rPr>
            </w:pPr>
            <w:hyperlink w:history="1" r:id="rId8">
              <w:r w:rsidRPr="00685D04" w:rsidR="00685D04">
                <w:rPr>
                  <w:rStyle w:val="Hyperlink"/>
                  <w:rFonts w:ascii="Calibri" w:hAnsi="Calibri" w:eastAsia="Arial" w:cs="Calibri"/>
                  <w:sz w:val="20"/>
                  <w:szCs w:val="20"/>
                  <w:lang w:bidi="en-US"/>
                </w:rPr>
                <w:t>mandi.roberts@otak.com</w:t>
              </w:r>
            </w:hyperlink>
          </w:p>
        </w:tc>
        <w:tc>
          <w:tcPr>
            <w:tcW w:w="921" w:type="dxa"/>
            <w:tcBorders>
              <w:top w:val="nil"/>
              <w:left w:val="nil"/>
              <w:bottom w:val="single" w:color="auto" w:sz="4" w:space="0"/>
              <w:right w:val="single" w:color="17365D" w:themeColor="text2" w:themeShade="BF" w:sz="8" w:space="0"/>
            </w:tcBorders>
          </w:tcPr>
          <w:p w:rsidRPr="00AE0D1F" w:rsidR="00B85872" w:rsidP="00B85872" w:rsidRDefault="00B85872" w14:paraId="05065B28" w14:textId="634813D5">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PHONE:</w:t>
            </w:r>
          </w:p>
        </w:tc>
        <w:tc>
          <w:tcPr>
            <w:tcW w:w="3778" w:type="dxa"/>
            <w:tcBorders>
              <w:top w:val="nil"/>
              <w:left w:val="single" w:color="17365D" w:themeColor="text2" w:themeShade="BF" w:sz="8" w:space="0"/>
              <w:bottom w:val="single" w:color="auto" w:sz="4" w:space="0"/>
              <w:right w:val="nil"/>
            </w:tcBorders>
          </w:tcPr>
          <w:p w:rsidRPr="00AE0D1F" w:rsidR="00B85872" w:rsidP="00B85872" w:rsidRDefault="00685D04" w14:paraId="05BD85B4" w14:textId="42DB14E3">
            <w:pPr>
              <w:tabs>
                <w:tab w:val="left" w:pos="360"/>
                <w:tab w:val="left" w:pos="720"/>
                <w:tab w:val="left" w:pos="1440"/>
                <w:tab w:val="left" w:pos="2160"/>
                <w:tab w:val="left" w:pos="3600"/>
                <w:tab w:val="left" w:pos="5040"/>
                <w:tab w:val="left" w:pos="5760"/>
              </w:tabs>
              <w:rPr>
                <w:rFonts w:cs="Arial"/>
                <w:sz w:val="20"/>
                <w:szCs w:val="20"/>
              </w:rPr>
            </w:pPr>
            <w:r w:rsidRPr="00685D04">
              <w:rPr>
                <w:rFonts w:ascii="Calibri" w:hAnsi="Calibri" w:eastAsia="Arial" w:cs="Calibri"/>
                <w:sz w:val="20"/>
                <w:szCs w:val="20"/>
                <w:lang w:bidi="en-US"/>
              </w:rPr>
              <w:t>425-822-4446</w:t>
            </w:r>
          </w:p>
        </w:tc>
      </w:tr>
      <w:bookmarkEnd w:id="0"/>
    </w:tbl>
    <w:p w:rsidRPr="00AE0D1F" w:rsidR="00B85872" w:rsidP="00FA5DEF" w:rsidRDefault="00B85872" w14:paraId="25BC7DCB" w14:textId="4B329BA1">
      <w:pPr>
        <w:tabs>
          <w:tab w:val="left" w:pos="360"/>
          <w:tab w:val="left" w:pos="720"/>
          <w:tab w:val="left" w:pos="1440"/>
          <w:tab w:val="left" w:pos="2160"/>
          <w:tab w:val="left" w:pos="3600"/>
          <w:tab w:val="left" w:pos="5040"/>
          <w:tab w:val="left" w:pos="5760"/>
        </w:tabs>
        <w:spacing w:after="0"/>
        <w:rPr>
          <w:rFonts w:cs="Arial"/>
          <w:sz w:val="16"/>
          <w:szCs w:val="16"/>
        </w:rPr>
      </w:pPr>
    </w:p>
    <w:tbl>
      <w:tblPr>
        <w:tblStyle w:val="TableGrid"/>
        <w:tblW w:w="0" w:type="auto"/>
        <w:tblLook w:val="04A0" w:firstRow="1" w:lastRow="0" w:firstColumn="1" w:lastColumn="0" w:noHBand="0" w:noVBand="1"/>
      </w:tblPr>
      <w:tblGrid>
        <w:gridCol w:w="1350"/>
        <w:gridCol w:w="4733"/>
        <w:gridCol w:w="921"/>
        <w:gridCol w:w="3786"/>
      </w:tblGrid>
      <w:tr w:rsidRPr="00AE0D1F" w:rsidR="00AE0D1F" w:rsidTr="00A2771E" w14:paraId="0A2A5D95" w14:textId="77777777">
        <w:trPr>
          <w:trHeight w:val="323"/>
        </w:trPr>
        <w:tc>
          <w:tcPr>
            <w:tcW w:w="10790" w:type="dxa"/>
            <w:gridSpan w:val="4"/>
            <w:tcBorders>
              <w:top w:val="single" w:color="auto" w:sz="4" w:space="0"/>
              <w:left w:val="nil"/>
              <w:bottom w:val="single" w:color="auto" w:sz="4" w:space="0"/>
              <w:right w:val="nil"/>
            </w:tcBorders>
            <w:shd w:val="clear" w:color="auto" w:fill="E5DFEC" w:themeFill="accent4" w:themeFillTint="33"/>
            <w:vAlign w:val="center"/>
          </w:tcPr>
          <w:p w:rsidRPr="00AE0D1F" w:rsidR="00B85872" w:rsidP="00B85872" w:rsidRDefault="00B85872" w14:paraId="76C8A337" w14:textId="7F8AB755">
            <w:pPr>
              <w:tabs>
                <w:tab w:val="left" w:pos="1800"/>
              </w:tabs>
              <w:rPr>
                <w:rFonts w:cs="Arial"/>
              </w:rPr>
            </w:pPr>
            <w:r w:rsidRPr="00AE0D1F">
              <w:rPr>
                <w:rFonts w:cs="Arial"/>
                <w:b/>
              </w:rPr>
              <w:t>PARK OR PROGRAM LIAISON CONTACT INFORMATION:</w:t>
            </w:r>
          </w:p>
        </w:tc>
      </w:tr>
      <w:tr w:rsidRPr="00AE0D1F" w:rsidR="00AE0D1F" w:rsidTr="00A2771E" w14:paraId="365D0374" w14:textId="77777777">
        <w:trPr>
          <w:trHeight w:val="315"/>
        </w:trPr>
        <w:tc>
          <w:tcPr>
            <w:tcW w:w="1350" w:type="dxa"/>
            <w:tcBorders>
              <w:top w:val="single" w:color="auto" w:sz="4" w:space="0"/>
              <w:left w:val="nil"/>
              <w:bottom w:val="nil"/>
              <w:right w:val="nil"/>
            </w:tcBorders>
          </w:tcPr>
          <w:p w:rsidRPr="00AE0D1F" w:rsidR="00B85872" w:rsidP="00820AB7" w:rsidRDefault="00B85872" w14:paraId="249F1BB3" w14:textId="00D1DEA3">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NAME:</w:t>
            </w:r>
          </w:p>
        </w:tc>
        <w:tc>
          <w:tcPr>
            <w:tcW w:w="9440" w:type="dxa"/>
            <w:gridSpan w:val="3"/>
            <w:tcBorders>
              <w:top w:val="single" w:color="auto" w:sz="4" w:space="0"/>
              <w:left w:val="nil"/>
              <w:bottom w:val="nil"/>
              <w:right w:val="nil"/>
            </w:tcBorders>
          </w:tcPr>
          <w:p w:rsidRPr="00AE0D1F" w:rsidR="00B85872" w:rsidP="00820AB7" w:rsidRDefault="00685D04" w14:paraId="06F66A69" w14:textId="76C384F0">
            <w:pPr>
              <w:tabs>
                <w:tab w:val="left" w:pos="360"/>
                <w:tab w:val="left" w:pos="720"/>
                <w:tab w:val="left" w:pos="1440"/>
                <w:tab w:val="left" w:pos="2160"/>
                <w:tab w:val="left" w:pos="3600"/>
                <w:tab w:val="left" w:pos="5040"/>
                <w:tab w:val="left" w:pos="5760"/>
              </w:tabs>
              <w:rPr>
                <w:rFonts w:cs="Arial"/>
                <w:sz w:val="20"/>
                <w:szCs w:val="20"/>
              </w:rPr>
            </w:pPr>
            <w:r w:rsidRPr="00685D04">
              <w:rPr>
                <w:rFonts w:cs="Arial"/>
                <w:sz w:val="20"/>
                <w:szCs w:val="20"/>
                <w:lang w:bidi="en-US"/>
              </w:rPr>
              <w:t>Bret Meldrum</w:t>
            </w:r>
          </w:p>
        </w:tc>
      </w:tr>
      <w:tr w:rsidRPr="00AE0D1F" w:rsidR="00AE0D1F" w:rsidTr="008E0FB9" w14:paraId="6F648DA5" w14:textId="77777777">
        <w:trPr>
          <w:trHeight w:val="360"/>
        </w:trPr>
        <w:tc>
          <w:tcPr>
            <w:tcW w:w="1350" w:type="dxa"/>
            <w:tcBorders>
              <w:top w:val="nil"/>
              <w:left w:val="nil"/>
              <w:bottom w:val="nil"/>
              <w:right w:val="nil"/>
            </w:tcBorders>
          </w:tcPr>
          <w:p w:rsidRPr="00AE0D1F" w:rsidR="00B85872" w:rsidP="00820AB7" w:rsidRDefault="00B85872" w14:paraId="1654E67D" w14:textId="77777777">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TITLE</w:t>
            </w:r>
          </w:p>
        </w:tc>
        <w:tc>
          <w:tcPr>
            <w:tcW w:w="9440" w:type="dxa"/>
            <w:gridSpan w:val="3"/>
            <w:tcBorders>
              <w:top w:val="nil"/>
              <w:left w:val="nil"/>
              <w:bottom w:val="nil"/>
              <w:right w:val="nil"/>
            </w:tcBorders>
          </w:tcPr>
          <w:p w:rsidRPr="00AE0D1F" w:rsidR="00B85872" w:rsidP="00820AB7" w:rsidRDefault="00685D04" w14:paraId="521AF637" w14:textId="74778E87">
            <w:pPr>
              <w:tabs>
                <w:tab w:val="left" w:pos="360"/>
                <w:tab w:val="left" w:pos="720"/>
                <w:tab w:val="left" w:pos="1440"/>
                <w:tab w:val="left" w:pos="2160"/>
                <w:tab w:val="left" w:pos="3600"/>
                <w:tab w:val="left" w:pos="5040"/>
                <w:tab w:val="left" w:pos="5760"/>
              </w:tabs>
              <w:rPr>
                <w:rFonts w:cs="Arial"/>
                <w:sz w:val="20"/>
                <w:szCs w:val="20"/>
              </w:rPr>
            </w:pPr>
            <w:r w:rsidRPr="00685D04">
              <w:rPr>
                <w:rFonts w:cs="Arial"/>
                <w:sz w:val="20"/>
                <w:szCs w:val="20"/>
                <w:lang w:bidi="en-US"/>
              </w:rPr>
              <w:t>Chief</w:t>
            </w:r>
            <w:r>
              <w:rPr>
                <w:rFonts w:cs="Arial"/>
                <w:sz w:val="20"/>
                <w:szCs w:val="20"/>
                <w:lang w:bidi="en-US"/>
              </w:rPr>
              <w:t>,</w:t>
            </w:r>
            <w:r w:rsidRPr="00685D04">
              <w:rPr>
                <w:rFonts w:ascii="Arial" w:hAnsi="Arial" w:eastAsia="Arial" w:cs="Arial"/>
                <w:lang w:bidi="en-US"/>
              </w:rPr>
              <w:t xml:space="preserve"> </w:t>
            </w:r>
            <w:r w:rsidRPr="00685D04">
              <w:rPr>
                <w:rFonts w:cs="Arial"/>
                <w:sz w:val="20"/>
                <w:szCs w:val="20"/>
                <w:lang w:bidi="en-US"/>
              </w:rPr>
              <w:t>Social Science Program</w:t>
            </w:r>
          </w:p>
        </w:tc>
      </w:tr>
      <w:tr w:rsidRPr="00AE0D1F" w:rsidR="00AE0D1F" w:rsidTr="008E0FB9" w14:paraId="0C113943" w14:textId="77777777">
        <w:trPr>
          <w:trHeight w:val="360"/>
        </w:trPr>
        <w:tc>
          <w:tcPr>
            <w:tcW w:w="1350" w:type="dxa"/>
            <w:tcBorders>
              <w:top w:val="nil"/>
              <w:left w:val="nil"/>
              <w:bottom w:val="nil"/>
              <w:right w:val="nil"/>
            </w:tcBorders>
          </w:tcPr>
          <w:p w:rsidRPr="00AE0D1F" w:rsidR="00B85872" w:rsidP="00820AB7" w:rsidRDefault="00B85872" w14:paraId="7F9AE1D5" w14:textId="77777777">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AFFILIATION:</w:t>
            </w:r>
          </w:p>
        </w:tc>
        <w:tc>
          <w:tcPr>
            <w:tcW w:w="9440" w:type="dxa"/>
            <w:gridSpan w:val="3"/>
            <w:tcBorders>
              <w:top w:val="nil"/>
              <w:left w:val="nil"/>
              <w:bottom w:val="nil"/>
              <w:right w:val="nil"/>
            </w:tcBorders>
          </w:tcPr>
          <w:p w:rsidRPr="00AE0D1F" w:rsidR="00B85872" w:rsidP="00820AB7" w:rsidRDefault="00F72325" w14:paraId="73D6A1FC" w14:textId="2DEC7B58">
            <w:pPr>
              <w:tabs>
                <w:tab w:val="left" w:pos="360"/>
                <w:tab w:val="left" w:pos="720"/>
                <w:tab w:val="left" w:pos="1440"/>
                <w:tab w:val="left" w:pos="2160"/>
                <w:tab w:val="left" w:pos="3600"/>
                <w:tab w:val="left" w:pos="5040"/>
                <w:tab w:val="left" w:pos="5760"/>
              </w:tabs>
              <w:rPr>
                <w:rFonts w:cs="Arial"/>
                <w:sz w:val="20"/>
                <w:szCs w:val="20"/>
              </w:rPr>
            </w:pPr>
            <w:r>
              <w:rPr>
                <w:rFonts w:cs="Arial"/>
                <w:sz w:val="20"/>
                <w:szCs w:val="20"/>
              </w:rPr>
              <w:t>National Park Service, Environmental Quality Division</w:t>
            </w:r>
          </w:p>
        </w:tc>
      </w:tr>
      <w:tr w:rsidRPr="00AE0D1F" w:rsidR="00AE0D1F" w:rsidTr="00A2771E" w14:paraId="0FD094F8" w14:textId="77777777">
        <w:trPr>
          <w:trHeight w:val="360"/>
        </w:trPr>
        <w:tc>
          <w:tcPr>
            <w:tcW w:w="1350" w:type="dxa"/>
            <w:tcBorders>
              <w:top w:val="nil"/>
              <w:left w:val="nil"/>
              <w:bottom w:val="nil"/>
              <w:right w:val="nil"/>
            </w:tcBorders>
          </w:tcPr>
          <w:p w:rsidRPr="00AE0D1F" w:rsidR="00B85872" w:rsidP="00820AB7" w:rsidRDefault="00B85872" w14:paraId="0BCE646F" w14:textId="77777777">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ADDRESS:</w:t>
            </w:r>
          </w:p>
        </w:tc>
        <w:tc>
          <w:tcPr>
            <w:tcW w:w="9440" w:type="dxa"/>
            <w:gridSpan w:val="3"/>
            <w:tcBorders>
              <w:top w:val="nil"/>
              <w:left w:val="nil"/>
              <w:bottom w:val="nil"/>
              <w:right w:val="nil"/>
            </w:tcBorders>
          </w:tcPr>
          <w:p w:rsidRPr="00AE0D1F" w:rsidR="00B85872" w:rsidP="00820AB7" w:rsidRDefault="00685D04" w14:paraId="07EFA66F" w14:textId="1B341044">
            <w:pPr>
              <w:tabs>
                <w:tab w:val="left" w:pos="360"/>
                <w:tab w:val="left" w:pos="720"/>
                <w:tab w:val="left" w:pos="1440"/>
                <w:tab w:val="left" w:pos="2160"/>
                <w:tab w:val="left" w:pos="3600"/>
                <w:tab w:val="left" w:pos="5040"/>
                <w:tab w:val="left" w:pos="5760"/>
              </w:tabs>
              <w:rPr>
                <w:rFonts w:cs="Arial"/>
                <w:sz w:val="20"/>
                <w:szCs w:val="20"/>
              </w:rPr>
            </w:pPr>
            <w:r w:rsidRPr="00685D04">
              <w:rPr>
                <w:rFonts w:cs="Arial"/>
                <w:sz w:val="20"/>
                <w:szCs w:val="20"/>
                <w:lang w:bidi="en-US"/>
              </w:rPr>
              <w:t>1201 Oakridge Drive, Fort Collins, CO 80525</w:t>
            </w:r>
          </w:p>
        </w:tc>
      </w:tr>
      <w:tr w:rsidRPr="00AE0D1F" w:rsidR="00AE0D1F" w:rsidTr="00A2771E" w14:paraId="1D0C6651" w14:textId="77777777">
        <w:trPr>
          <w:trHeight w:val="360"/>
        </w:trPr>
        <w:tc>
          <w:tcPr>
            <w:tcW w:w="1350" w:type="dxa"/>
            <w:tcBorders>
              <w:top w:val="nil"/>
              <w:left w:val="nil"/>
              <w:bottom w:val="single" w:color="auto" w:sz="4" w:space="0"/>
              <w:right w:val="nil"/>
            </w:tcBorders>
          </w:tcPr>
          <w:p w:rsidRPr="00AE0D1F" w:rsidR="00B85872" w:rsidP="00820AB7" w:rsidRDefault="00B85872" w14:paraId="4FEF9AC0" w14:textId="77777777">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EMAIL:</w:t>
            </w:r>
          </w:p>
        </w:tc>
        <w:tc>
          <w:tcPr>
            <w:tcW w:w="4733" w:type="dxa"/>
            <w:tcBorders>
              <w:top w:val="nil"/>
              <w:left w:val="nil"/>
              <w:bottom w:val="single" w:color="auto" w:sz="4" w:space="0"/>
              <w:right w:val="nil"/>
            </w:tcBorders>
          </w:tcPr>
          <w:p w:rsidRPr="00AE0D1F" w:rsidR="00B85872" w:rsidP="00820AB7" w:rsidRDefault="00684CD3" w14:paraId="36109B7B" w14:textId="5DD284FE">
            <w:pPr>
              <w:tabs>
                <w:tab w:val="left" w:pos="360"/>
                <w:tab w:val="left" w:pos="720"/>
                <w:tab w:val="left" w:pos="1440"/>
                <w:tab w:val="left" w:pos="2160"/>
                <w:tab w:val="left" w:pos="3600"/>
                <w:tab w:val="left" w:pos="5040"/>
                <w:tab w:val="left" w:pos="5760"/>
              </w:tabs>
              <w:rPr>
                <w:rFonts w:cs="Arial"/>
                <w:sz w:val="20"/>
                <w:szCs w:val="20"/>
              </w:rPr>
            </w:pPr>
            <w:hyperlink w:history="1" r:id="rId9">
              <w:r w:rsidRPr="00685D04" w:rsidR="00685D04">
                <w:rPr>
                  <w:rStyle w:val="Hyperlink"/>
                  <w:rFonts w:cs="Arial"/>
                  <w:sz w:val="20"/>
                  <w:szCs w:val="20"/>
                  <w:lang w:bidi="en-US"/>
                </w:rPr>
                <w:t>bret_meldrum@nps.gov</w:t>
              </w:r>
            </w:hyperlink>
          </w:p>
        </w:tc>
        <w:tc>
          <w:tcPr>
            <w:tcW w:w="921" w:type="dxa"/>
            <w:tcBorders>
              <w:top w:val="nil"/>
              <w:left w:val="nil"/>
              <w:bottom w:val="single" w:color="auto" w:sz="4" w:space="0"/>
              <w:right w:val="single" w:color="17365D" w:themeColor="text2" w:themeShade="BF" w:sz="8" w:space="0"/>
            </w:tcBorders>
          </w:tcPr>
          <w:p w:rsidRPr="00AE0D1F" w:rsidR="00B85872" w:rsidP="00820AB7" w:rsidRDefault="00B85872" w14:paraId="36298E75" w14:textId="77777777">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PHONE:</w:t>
            </w:r>
          </w:p>
        </w:tc>
        <w:tc>
          <w:tcPr>
            <w:tcW w:w="3786" w:type="dxa"/>
            <w:tcBorders>
              <w:top w:val="nil"/>
              <w:left w:val="single" w:color="17365D" w:themeColor="text2" w:themeShade="BF" w:sz="8" w:space="0"/>
              <w:bottom w:val="single" w:color="auto" w:sz="4" w:space="0"/>
              <w:right w:val="nil"/>
            </w:tcBorders>
          </w:tcPr>
          <w:p w:rsidRPr="00AE0D1F" w:rsidR="00B85872" w:rsidP="00820AB7" w:rsidRDefault="00685D04" w14:paraId="734AF0FF" w14:textId="47C43D1D">
            <w:pPr>
              <w:tabs>
                <w:tab w:val="left" w:pos="360"/>
                <w:tab w:val="left" w:pos="720"/>
                <w:tab w:val="left" w:pos="1440"/>
                <w:tab w:val="left" w:pos="2160"/>
                <w:tab w:val="left" w:pos="3600"/>
                <w:tab w:val="left" w:pos="5040"/>
                <w:tab w:val="left" w:pos="5760"/>
              </w:tabs>
              <w:rPr>
                <w:rFonts w:cs="Arial"/>
                <w:sz w:val="20"/>
                <w:szCs w:val="20"/>
              </w:rPr>
            </w:pPr>
            <w:r w:rsidRPr="00685D04">
              <w:rPr>
                <w:rFonts w:cs="Arial"/>
                <w:sz w:val="20"/>
                <w:szCs w:val="20"/>
                <w:lang w:bidi="en-US"/>
              </w:rPr>
              <w:t>(970)-267-7295</w:t>
            </w:r>
          </w:p>
        </w:tc>
      </w:tr>
    </w:tbl>
    <w:p w:rsidRPr="00AE0D1F" w:rsidR="00B85872" w:rsidP="00881349" w:rsidRDefault="00B85872" w14:paraId="11C6913C" w14:textId="09BE58E2">
      <w:pPr>
        <w:tabs>
          <w:tab w:val="left" w:pos="360"/>
          <w:tab w:val="left" w:pos="720"/>
          <w:tab w:val="left" w:pos="1440"/>
          <w:tab w:val="left" w:pos="2160"/>
          <w:tab w:val="left" w:pos="3600"/>
          <w:tab w:val="left" w:pos="5040"/>
          <w:tab w:val="left" w:pos="5760"/>
        </w:tabs>
        <w:spacing w:after="0"/>
        <w:rPr>
          <w:rFonts w:cs="Arial"/>
          <w:sz w:val="16"/>
          <w:szCs w:val="16"/>
        </w:rPr>
      </w:pPr>
    </w:p>
    <w:p w:rsidRPr="00AE0D1F" w:rsidR="00B80788" w:rsidRDefault="00B80788" w14:paraId="245AD6B5" w14:textId="77777777">
      <w:pPr>
        <w:rPr>
          <w:rFonts w:cs="Arial"/>
          <w:b/>
        </w:rPr>
      </w:pPr>
      <w:r w:rsidRPr="00AE0D1F">
        <w:rPr>
          <w:rFonts w:cs="Arial"/>
          <w:b/>
        </w:rPr>
        <w:br w:type="page"/>
      </w:r>
    </w:p>
    <w:p w:rsidRPr="00AE0D1F" w:rsidR="00B85872" w:rsidP="0075054E" w:rsidRDefault="00391556" w14:paraId="6B927E45" w14:textId="774789C0">
      <w:pPr>
        <w:pStyle w:val="NoSpacing"/>
        <w:pBdr>
          <w:top w:val="single" w:color="5F497A" w:themeColor="accent4" w:themeShade="BF" w:sz="12" w:space="1"/>
          <w:bottom w:val="single" w:color="5F497A" w:themeColor="accent4" w:themeShade="BF" w:sz="12" w:space="1"/>
        </w:pBdr>
        <w:shd w:val="clear" w:color="auto" w:fill="E5DFEC" w:themeFill="accent4" w:themeFillTint="33"/>
        <w:rPr>
          <w:rFonts w:asciiTheme="minorHAnsi" w:hAnsiTheme="minorHAnsi" w:cstheme="minorHAnsi"/>
          <w:b/>
          <w:bCs/>
          <w:sz w:val="22"/>
          <w:szCs w:val="22"/>
        </w:rPr>
      </w:pPr>
      <w:r w:rsidRPr="00AE0D1F">
        <w:rPr>
          <w:rFonts w:asciiTheme="minorHAnsi" w:hAnsiTheme="minorHAnsi" w:cstheme="minorHAnsi"/>
          <w:b/>
          <w:bCs/>
          <w:sz w:val="22"/>
          <w:szCs w:val="22"/>
        </w:rPr>
        <w:lastRenderedPageBreak/>
        <w:t>PROJECT INFORMATION</w:t>
      </w:r>
      <w:r w:rsidRPr="00AE0D1F" w:rsidR="0065616C">
        <w:rPr>
          <w:rFonts w:asciiTheme="minorHAnsi" w:hAnsiTheme="minorHAnsi" w:cstheme="minorHAnsi"/>
          <w:b/>
          <w:bCs/>
          <w:sz w:val="22"/>
          <w:szCs w:val="22"/>
        </w:rPr>
        <w:t>:</w:t>
      </w:r>
    </w:p>
    <w:tbl>
      <w:tblPr>
        <w:tblStyle w:val="TableGrid"/>
        <w:tblW w:w="0" w:type="auto"/>
        <w:tblLook w:val="04A0" w:firstRow="1" w:lastRow="0" w:firstColumn="1" w:lastColumn="0" w:noHBand="0" w:noVBand="1"/>
      </w:tblPr>
      <w:tblGrid>
        <w:gridCol w:w="3145"/>
        <w:gridCol w:w="2250"/>
        <w:gridCol w:w="540"/>
        <w:gridCol w:w="4855"/>
      </w:tblGrid>
      <w:tr w:rsidRPr="00AE0D1F" w:rsidR="00AE0D1F" w:rsidTr="005B4059" w14:paraId="7CD63B6D" w14:textId="77777777">
        <w:trPr>
          <w:trHeight w:val="332"/>
        </w:trPr>
        <w:tc>
          <w:tcPr>
            <w:tcW w:w="10790" w:type="dxa"/>
            <w:gridSpan w:val="4"/>
            <w:tcBorders>
              <w:top w:val="nil"/>
              <w:left w:val="nil"/>
              <w:bottom w:val="nil"/>
              <w:right w:val="nil"/>
            </w:tcBorders>
          </w:tcPr>
          <w:p w:rsidRPr="00AE0D1F" w:rsidR="005B4059" w:rsidP="005B4059" w:rsidRDefault="005B4059" w14:paraId="53D06597" w14:textId="5BC161F9">
            <w:pPr>
              <w:pStyle w:val="NoSpacing"/>
              <w:rPr>
                <w:rFonts w:asciiTheme="minorHAnsi" w:hAnsiTheme="minorHAnsi" w:cstheme="minorHAnsi"/>
                <w:b/>
                <w:bCs/>
                <w:sz w:val="22"/>
                <w:szCs w:val="22"/>
              </w:rPr>
            </w:pPr>
            <w:r w:rsidRPr="00AE0D1F">
              <w:rPr>
                <w:rFonts w:asciiTheme="minorHAnsi" w:hAnsiTheme="minorHAnsi" w:cstheme="minorHAnsi"/>
                <w:b/>
                <w:bCs/>
                <w:sz w:val="22"/>
                <w:szCs w:val="22"/>
              </w:rPr>
              <w:t xml:space="preserve">Where will the collection take place?  </w:t>
            </w:r>
            <w:r w:rsidR="003F3D16">
              <w:rPr>
                <w:rFonts w:asciiTheme="minorHAnsi" w:hAnsiTheme="minorHAnsi" w:cstheme="minorHAnsi"/>
                <w:b/>
                <w:bCs/>
                <w:sz w:val="22"/>
                <w:szCs w:val="22"/>
                <w:lang w:bidi="en-US"/>
              </w:rPr>
              <w:t>28</w:t>
            </w:r>
            <w:r w:rsidR="00D51B77">
              <w:rPr>
                <w:rFonts w:asciiTheme="minorHAnsi" w:hAnsiTheme="minorHAnsi" w:cstheme="minorHAnsi"/>
                <w:b/>
                <w:bCs/>
                <w:sz w:val="22"/>
                <w:szCs w:val="22"/>
                <w:lang w:bidi="en-US"/>
              </w:rPr>
              <w:t xml:space="preserve"> </w:t>
            </w:r>
            <w:r w:rsidRPr="00685D04" w:rsidR="00685D04">
              <w:rPr>
                <w:rFonts w:asciiTheme="minorHAnsi" w:hAnsiTheme="minorHAnsi" w:cstheme="minorHAnsi"/>
                <w:b/>
                <w:bCs/>
                <w:sz w:val="22"/>
                <w:szCs w:val="22"/>
                <w:lang w:bidi="en-US"/>
              </w:rPr>
              <w:t>NPS units of varying sizes and types</w:t>
            </w:r>
          </w:p>
        </w:tc>
      </w:tr>
      <w:tr w:rsidRPr="00AE0D1F" w:rsidR="00AE0D1F" w:rsidTr="005B4059" w14:paraId="28CEF0A9" w14:textId="77777777">
        <w:trPr>
          <w:trHeight w:val="350"/>
        </w:trPr>
        <w:tc>
          <w:tcPr>
            <w:tcW w:w="5395" w:type="dxa"/>
            <w:gridSpan w:val="2"/>
            <w:tcBorders>
              <w:top w:val="nil"/>
              <w:left w:val="nil"/>
              <w:bottom w:val="nil"/>
              <w:right w:val="nil"/>
            </w:tcBorders>
          </w:tcPr>
          <w:p w:rsidRPr="00AE0D1F" w:rsidR="00B85872" w:rsidP="005B4059" w:rsidRDefault="005B4059" w14:paraId="41B2C22D" w14:textId="24D88319">
            <w:pPr>
              <w:pStyle w:val="NoSpacing"/>
              <w:rPr>
                <w:rFonts w:asciiTheme="minorHAnsi" w:hAnsiTheme="minorHAnsi" w:cstheme="minorHAnsi"/>
                <w:b/>
                <w:bCs/>
                <w:sz w:val="22"/>
                <w:szCs w:val="22"/>
              </w:rPr>
            </w:pPr>
            <w:r w:rsidRPr="00AE0D1F">
              <w:rPr>
                <w:rFonts w:asciiTheme="minorHAnsi" w:hAnsiTheme="minorHAnsi" w:cstheme="minorHAnsi"/>
                <w:b/>
                <w:bCs/>
                <w:sz w:val="22"/>
                <w:szCs w:val="22"/>
              </w:rPr>
              <w:t xml:space="preserve">Sampling Period Start Date:  </w:t>
            </w:r>
            <w:r w:rsidR="00685D04">
              <w:rPr>
                <w:rFonts w:asciiTheme="minorHAnsi" w:hAnsiTheme="minorHAnsi" w:cstheme="minorHAnsi"/>
                <w:b/>
                <w:bCs/>
                <w:sz w:val="22"/>
                <w:szCs w:val="22"/>
              </w:rPr>
              <w:t>3</w:t>
            </w:r>
            <w:r w:rsidRPr="00AE0D1F" w:rsidR="00936C43">
              <w:rPr>
                <w:rFonts w:asciiTheme="minorHAnsi" w:hAnsiTheme="minorHAnsi" w:cstheme="minorHAnsi"/>
                <w:b/>
                <w:bCs/>
                <w:sz w:val="22"/>
                <w:szCs w:val="22"/>
              </w:rPr>
              <w:t>/</w:t>
            </w:r>
            <w:r w:rsidRPr="00AE0D1F" w:rsidR="00A2771E">
              <w:rPr>
                <w:rFonts w:asciiTheme="minorHAnsi" w:hAnsiTheme="minorHAnsi" w:cstheme="minorHAnsi"/>
                <w:b/>
                <w:bCs/>
                <w:sz w:val="22"/>
                <w:szCs w:val="22"/>
              </w:rPr>
              <w:t>1</w:t>
            </w:r>
            <w:r w:rsidRPr="00AE0D1F" w:rsidR="00936C43">
              <w:rPr>
                <w:rFonts w:asciiTheme="minorHAnsi" w:hAnsiTheme="minorHAnsi" w:cstheme="minorHAnsi"/>
                <w:b/>
                <w:bCs/>
                <w:sz w:val="22"/>
                <w:szCs w:val="22"/>
              </w:rPr>
              <w:t>/20</w:t>
            </w:r>
            <w:r w:rsidR="00685D04">
              <w:rPr>
                <w:rFonts w:asciiTheme="minorHAnsi" w:hAnsiTheme="minorHAnsi" w:cstheme="minorHAnsi"/>
                <w:b/>
                <w:bCs/>
                <w:sz w:val="22"/>
                <w:szCs w:val="22"/>
              </w:rPr>
              <w:t>2</w:t>
            </w:r>
            <w:r w:rsidR="005D70E9">
              <w:rPr>
                <w:rFonts w:asciiTheme="minorHAnsi" w:hAnsiTheme="minorHAnsi" w:cstheme="minorHAnsi"/>
                <w:b/>
                <w:bCs/>
                <w:sz w:val="22"/>
                <w:szCs w:val="22"/>
              </w:rPr>
              <w:t>2</w:t>
            </w:r>
          </w:p>
        </w:tc>
        <w:tc>
          <w:tcPr>
            <w:tcW w:w="5395" w:type="dxa"/>
            <w:gridSpan w:val="2"/>
            <w:tcBorders>
              <w:top w:val="nil"/>
              <w:left w:val="nil"/>
              <w:bottom w:val="nil"/>
              <w:right w:val="nil"/>
            </w:tcBorders>
          </w:tcPr>
          <w:p w:rsidRPr="00692556" w:rsidR="00B85872" w:rsidP="005B4059" w:rsidRDefault="005B4059" w14:paraId="01D022AD" w14:textId="212A104E">
            <w:pPr>
              <w:pStyle w:val="NoSpacing"/>
              <w:rPr>
                <w:rFonts w:asciiTheme="minorHAnsi" w:hAnsiTheme="minorHAnsi" w:cstheme="minorHAnsi"/>
                <w:b/>
                <w:sz w:val="22"/>
                <w:szCs w:val="22"/>
              </w:rPr>
            </w:pPr>
            <w:r w:rsidRPr="00692556">
              <w:rPr>
                <w:rFonts w:asciiTheme="minorHAnsi" w:hAnsiTheme="minorHAnsi" w:cstheme="minorHAnsi"/>
                <w:b/>
                <w:sz w:val="22"/>
                <w:szCs w:val="22"/>
              </w:rPr>
              <w:t xml:space="preserve">Sampling Period End Date:  </w:t>
            </w:r>
            <w:r w:rsidRPr="00692556" w:rsidR="00685D04">
              <w:rPr>
                <w:rFonts w:asciiTheme="minorHAnsi" w:hAnsiTheme="minorHAnsi" w:cstheme="minorHAnsi"/>
                <w:b/>
                <w:sz w:val="22"/>
                <w:szCs w:val="22"/>
              </w:rPr>
              <w:t>10</w:t>
            </w:r>
            <w:r w:rsidRPr="00692556" w:rsidR="00936C43">
              <w:rPr>
                <w:rFonts w:asciiTheme="minorHAnsi" w:hAnsiTheme="minorHAnsi" w:cstheme="minorHAnsi"/>
                <w:b/>
                <w:sz w:val="22"/>
                <w:szCs w:val="22"/>
              </w:rPr>
              <w:t>/3</w:t>
            </w:r>
            <w:r w:rsidRPr="00692556" w:rsidR="00EB2068">
              <w:rPr>
                <w:rFonts w:asciiTheme="minorHAnsi" w:hAnsiTheme="minorHAnsi" w:cstheme="minorHAnsi"/>
                <w:b/>
                <w:sz w:val="22"/>
                <w:szCs w:val="22"/>
              </w:rPr>
              <w:t>1</w:t>
            </w:r>
            <w:r w:rsidRPr="00692556" w:rsidR="00936C43">
              <w:rPr>
                <w:rFonts w:asciiTheme="minorHAnsi" w:hAnsiTheme="minorHAnsi" w:cstheme="minorHAnsi"/>
                <w:b/>
                <w:sz w:val="22"/>
                <w:szCs w:val="22"/>
              </w:rPr>
              <w:t>/202</w:t>
            </w:r>
            <w:r w:rsidRPr="00692556" w:rsidR="005D70E9">
              <w:rPr>
                <w:rFonts w:asciiTheme="minorHAnsi" w:hAnsiTheme="minorHAnsi" w:cstheme="minorHAnsi"/>
                <w:b/>
                <w:sz w:val="22"/>
                <w:szCs w:val="22"/>
              </w:rPr>
              <w:t>2</w:t>
            </w:r>
          </w:p>
        </w:tc>
      </w:tr>
      <w:tr w:rsidRPr="00AE0D1F" w:rsidR="00AE0D1F" w:rsidTr="00CD1688" w14:paraId="6630055C" w14:textId="77777777">
        <w:trPr>
          <w:trHeight w:val="387"/>
        </w:trPr>
        <w:tc>
          <w:tcPr>
            <w:tcW w:w="10790" w:type="dxa"/>
            <w:gridSpan w:val="4"/>
            <w:tcBorders>
              <w:top w:val="nil"/>
              <w:left w:val="nil"/>
              <w:bottom w:val="nil"/>
              <w:right w:val="nil"/>
            </w:tcBorders>
          </w:tcPr>
          <w:p w:rsidRPr="00AE0D1F" w:rsidR="005B4059" w:rsidP="005B4059" w:rsidRDefault="005B4059" w14:paraId="00981A27" w14:textId="3396787F">
            <w:pPr>
              <w:pStyle w:val="NoSpacing"/>
              <w:rPr>
                <w:rFonts w:asciiTheme="minorHAnsi" w:hAnsiTheme="minorHAnsi" w:cstheme="minorHAnsi"/>
                <w:b/>
                <w:bCs/>
                <w:sz w:val="22"/>
                <w:szCs w:val="22"/>
              </w:rPr>
            </w:pPr>
            <w:r w:rsidRPr="00AE0D1F">
              <w:rPr>
                <w:rFonts w:asciiTheme="minorHAnsi" w:hAnsiTheme="minorHAnsi" w:cstheme="minorHAnsi"/>
                <w:b/>
                <w:bCs/>
                <w:sz w:val="22"/>
                <w:szCs w:val="22"/>
              </w:rPr>
              <w:t>Type of Information Collection Instrument: (Check ALL that Apply)</w:t>
            </w:r>
          </w:p>
        </w:tc>
      </w:tr>
      <w:tr w:rsidRPr="00AE0D1F" w:rsidR="00AE0D1F" w:rsidTr="008E0FB9" w14:paraId="73B128EB" w14:textId="77777777">
        <w:trPr>
          <w:trHeight w:val="620"/>
        </w:trPr>
        <w:tc>
          <w:tcPr>
            <w:tcW w:w="3145" w:type="dxa"/>
            <w:tcBorders>
              <w:top w:val="nil"/>
              <w:left w:val="nil"/>
              <w:bottom w:val="nil"/>
              <w:right w:val="nil"/>
            </w:tcBorders>
          </w:tcPr>
          <w:p w:rsidRPr="00AE0D1F" w:rsidR="005B4059" w:rsidP="005B4059" w:rsidRDefault="00685D04" w14:paraId="662EF152" w14:textId="06C2F46A">
            <w:pPr>
              <w:pStyle w:val="NoSpacing"/>
              <w:rPr>
                <w:rFonts w:asciiTheme="minorHAnsi" w:hAnsiTheme="minorHAnsi" w:cstheme="minorHAnsi"/>
                <w:sz w:val="22"/>
                <w:szCs w:val="22"/>
              </w:rPr>
            </w:pPr>
            <w:r w:rsidRPr="00685D04">
              <w:rPr>
                <w:rFonts w:asciiTheme="minorHAnsi" w:hAnsiTheme="minorHAnsi" w:cstheme="minorHAnsi"/>
                <w:b/>
                <w:bCs/>
              </w:rPr>
              <w:t>X</w:t>
            </w:r>
            <w:r w:rsidRPr="00AE0D1F" w:rsidR="00A2771E">
              <w:rPr>
                <w:rFonts w:asciiTheme="minorHAnsi" w:hAnsiTheme="minorHAnsi" w:cstheme="minorHAnsi"/>
                <w:sz w:val="22"/>
                <w:szCs w:val="22"/>
              </w:rPr>
              <w:t xml:space="preserve">  </w:t>
            </w:r>
            <w:r w:rsidRPr="00AE0D1F" w:rsidR="005B4059">
              <w:rPr>
                <w:rFonts w:asciiTheme="minorHAnsi" w:hAnsiTheme="minorHAnsi" w:cstheme="minorHAnsi"/>
                <w:sz w:val="22"/>
                <w:szCs w:val="22"/>
              </w:rPr>
              <w:t>Mail-Back Questionnaire</w:t>
            </w:r>
          </w:p>
          <w:p w:rsidRPr="00AE0D1F" w:rsidR="005B4059" w:rsidP="005B4059" w:rsidRDefault="005B4059" w14:paraId="5B4A874B" w14:textId="5ED977AA">
            <w:pPr>
              <w:pStyle w:val="NoSpacing"/>
              <w:rPr>
                <w:rFonts w:asciiTheme="minorHAnsi" w:hAnsiTheme="minorHAnsi" w:cstheme="minorHAnsi"/>
                <w:sz w:val="22"/>
                <w:szCs w:val="22"/>
              </w:rPr>
            </w:pPr>
            <w:r w:rsidRPr="00AE0D1F">
              <w:rPr>
                <w:rFonts w:asciiTheme="minorHAnsi" w:hAnsiTheme="minorHAnsi" w:cstheme="minorHAnsi"/>
                <w:sz w:val="22"/>
                <w:szCs w:val="22"/>
              </w:rPr>
              <w:sym w:font="Wingdings 2" w:char="F0A3"/>
            </w:r>
            <w:r w:rsidRPr="00AE0D1F">
              <w:rPr>
                <w:rFonts w:asciiTheme="minorHAnsi" w:hAnsiTheme="minorHAnsi" w:cstheme="minorHAnsi"/>
                <w:sz w:val="22"/>
                <w:szCs w:val="22"/>
              </w:rPr>
              <w:t xml:space="preserve">  Face-to-Face Interview</w:t>
            </w:r>
          </w:p>
        </w:tc>
        <w:tc>
          <w:tcPr>
            <w:tcW w:w="2790" w:type="dxa"/>
            <w:gridSpan w:val="2"/>
            <w:tcBorders>
              <w:top w:val="nil"/>
              <w:left w:val="nil"/>
              <w:bottom w:val="nil"/>
              <w:right w:val="nil"/>
            </w:tcBorders>
          </w:tcPr>
          <w:p w:rsidRPr="00AE0D1F" w:rsidR="005B4059" w:rsidP="005B4059" w:rsidRDefault="004F2EFD" w14:paraId="1F206E5D" w14:textId="7E0365E1">
            <w:pPr>
              <w:pStyle w:val="NoSpacing"/>
              <w:rPr>
                <w:rFonts w:asciiTheme="minorHAnsi" w:hAnsiTheme="minorHAnsi" w:cstheme="minorHAnsi"/>
                <w:sz w:val="22"/>
                <w:szCs w:val="22"/>
              </w:rPr>
            </w:pPr>
            <w:r w:rsidRPr="00FD32CF">
              <w:rPr>
                <w:rFonts w:asciiTheme="minorHAnsi" w:hAnsiTheme="minorHAnsi" w:cstheme="minorHAnsi"/>
                <w:b/>
                <w:bCs/>
              </w:rPr>
              <w:t>X</w:t>
            </w:r>
            <w:r w:rsidRPr="00AE0D1F">
              <w:rPr>
                <w:rFonts w:asciiTheme="minorHAnsi" w:hAnsiTheme="minorHAnsi" w:cstheme="minorHAnsi"/>
                <w:sz w:val="22"/>
                <w:szCs w:val="22"/>
              </w:rPr>
              <w:t xml:space="preserve">  </w:t>
            </w:r>
            <w:r w:rsidRPr="00AE0D1F" w:rsidR="005B4059">
              <w:rPr>
                <w:rFonts w:asciiTheme="minorHAnsi" w:hAnsiTheme="minorHAnsi" w:cstheme="minorHAnsi"/>
                <w:sz w:val="22"/>
                <w:szCs w:val="22"/>
              </w:rPr>
              <w:t>On-Site Questionnaire</w:t>
            </w:r>
          </w:p>
          <w:p w:rsidRPr="00AE0D1F" w:rsidR="005B4059" w:rsidP="005B4059" w:rsidRDefault="005B4059" w14:paraId="6874C491" w14:textId="68A01681">
            <w:pPr>
              <w:pStyle w:val="NoSpacing"/>
              <w:rPr>
                <w:rFonts w:asciiTheme="minorHAnsi" w:hAnsiTheme="minorHAnsi" w:cstheme="minorHAnsi"/>
                <w:sz w:val="22"/>
                <w:szCs w:val="22"/>
              </w:rPr>
            </w:pPr>
            <w:r w:rsidRPr="00AE0D1F">
              <w:rPr>
                <w:rFonts w:asciiTheme="minorHAnsi" w:hAnsiTheme="minorHAnsi" w:cstheme="minorHAnsi"/>
                <w:sz w:val="22"/>
                <w:szCs w:val="22"/>
              </w:rPr>
              <w:sym w:font="Wingdings 2" w:char="F0A3"/>
            </w:r>
            <w:r w:rsidRPr="00AE0D1F">
              <w:rPr>
                <w:rFonts w:asciiTheme="minorHAnsi" w:hAnsiTheme="minorHAnsi" w:cstheme="minorHAnsi"/>
                <w:sz w:val="22"/>
                <w:szCs w:val="22"/>
              </w:rPr>
              <w:t xml:space="preserve">  Focus Groups</w:t>
            </w:r>
          </w:p>
        </w:tc>
        <w:tc>
          <w:tcPr>
            <w:tcW w:w="4855" w:type="dxa"/>
            <w:tcBorders>
              <w:top w:val="nil"/>
              <w:left w:val="nil"/>
              <w:bottom w:val="nil"/>
              <w:right w:val="nil"/>
            </w:tcBorders>
          </w:tcPr>
          <w:p w:rsidRPr="00AE0D1F" w:rsidR="005B4059" w:rsidP="005B4059" w:rsidRDefault="005B4059" w14:paraId="415108C6" w14:textId="77777777">
            <w:pPr>
              <w:pStyle w:val="NoSpacing"/>
              <w:rPr>
                <w:rFonts w:asciiTheme="minorHAnsi" w:hAnsiTheme="minorHAnsi" w:cstheme="minorHAnsi"/>
                <w:sz w:val="22"/>
                <w:szCs w:val="22"/>
              </w:rPr>
            </w:pPr>
            <w:r w:rsidRPr="00AE0D1F">
              <w:rPr>
                <w:rFonts w:asciiTheme="minorHAnsi" w:hAnsiTheme="minorHAnsi" w:cstheme="minorHAnsi"/>
                <w:sz w:val="22"/>
                <w:szCs w:val="22"/>
              </w:rPr>
              <w:sym w:font="Wingdings 2" w:char="F0A3"/>
            </w:r>
            <w:r w:rsidRPr="00AE0D1F">
              <w:rPr>
                <w:rFonts w:asciiTheme="minorHAnsi" w:hAnsiTheme="minorHAnsi" w:cstheme="minorHAnsi"/>
                <w:sz w:val="22"/>
                <w:szCs w:val="22"/>
              </w:rPr>
              <w:t xml:space="preserve">  Telephone Survey </w:t>
            </w:r>
          </w:p>
          <w:p w:rsidRPr="00AE0D1F" w:rsidR="005B4059" w:rsidP="005B4059" w:rsidRDefault="005B4059" w14:paraId="55352AA0" w14:textId="5ABA8A1B">
            <w:pPr>
              <w:pStyle w:val="NoSpacing"/>
              <w:rPr>
                <w:rFonts w:asciiTheme="minorHAnsi" w:hAnsiTheme="minorHAnsi" w:cstheme="minorHAnsi"/>
                <w:sz w:val="22"/>
                <w:szCs w:val="22"/>
              </w:rPr>
            </w:pPr>
            <w:r w:rsidRPr="00AE0D1F">
              <w:rPr>
                <w:rFonts w:asciiTheme="minorHAnsi" w:hAnsiTheme="minorHAnsi" w:cstheme="minorHAnsi"/>
                <w:sz w:val="22"/>
                <w:szCs w:val="22"/>
              </w:rPr>
              <w:sym w:font="Wingdings 2" w:char="F0A3"/>
            </w:r>
            <w:r w:rsidRPr="00AE0D1F">
              <w:rPr>
                <w:rFonts w:asciiTheme="minorHAnsi" w:hAnsiTheme="minorHAnsi" w:cstheme="minorHAnsi"/>
                <w:sz w:val="22"/>
                <w:szCs w:val="22"/>
              </w:rPr>
              <w:t xml:space="preserve">  Other (List)  </w:t>
            </w:r>
          </w:p>
        </w:tc>
      </w:tr>
      <w:tr w:rsidRPr="00AE0D1F" w:rsidR="00B85872" w:rsidTr="008E0FB9" w14:paraId="62CEC4AB" w14:textId="77777777">
        <w:trPr>
          <w:trHeight w:val="405"/>
        </w:trPr>
        <w:tc>
          <w:tcPr>
            <w:tcW w:w="5395" w:type="dxa"/>
            <w:gridSpan w:val="2"/>
            <w:tcBorders>
              <w:top w:val="nil"/>
              <w:left w:val="nil"/>
              <w:bottom w:val="nil"/>
              <w:right w:val="nil"/>
            </w:tcBorders>
          </w:tcPr>
          <w:p w:rsidRPr="00AE0D1F" w:rsidR="00B85872" w:rsidP="005B4059" w:rsidRDefault="005B4059" w14:paraId="6E7BB5AE" w14:textId="38C91265">
            <w:pPr>
              <w:pStyle w:val="NoSpacing"/>
              <w:rPr>
                <w:rFonts w:asciiTheme="minorHAnsi" w:hAnsiTheme="minorHAnsi" w:cstheme="minorHAnsi"/>
                <w:sz w:val="22"/>
                <w:szCs w:val="22"/>
              </w:rPr>
            </w:pPr>
            <w:r w:rsidRPr="00AE0D1F">
              <w:rPr>
                <w:rFonts w:asciiTheme="minorHAnsi" w:hAnsiTheme="minorHAnsi" w:cstheme="minorHAnsi"/>
                <w:sz w:val="22"/>
                <w:szCs w:val="22"/>
              </w:rPr>
              <w:t xml:space="preserve">Will an electronic device be used to collect information?  </w:t>
            </w:r>
          </w:p>
        </w:tc>
        <w:tc>
          <w:tcPr>
            <w:tcW w:w="5395" w:type="dxa"/>
            <w:gridSpan w:val="2"/>
            <w:tcBorders>
              <w:top w:val="nil"/>
              <w:left w:val="nil"/>
              <w:bottom w:val="nil"/>
              <w:right w:val="nil"/>
            </w:tcBorders>
          </w:tcPr>
          <w:p w:rsidRPr="00AE0D1F" w:rsidR="00B85872" w:rsidP="005B4059" w:rsidRDefault="005B4059" w14:paraId="1AF5CD39" w14:textId="2670C640">
            <w:pPr>
              <w:pStyle w:val="NoSpacing"/>
              <w:rPr>
                <w:rFonts w:asciiTheme="minorHAnsi" w:hAnsiTheme="minorHAnsi" w:cstheme="minorHAnsi"/>
                <w:sz w:val="22"/>
                <w:szCs w:val="22"/>
              </w:rPr>
            </w:pPr>
            <w:r w:rsidRPr="00AE0D1F">
              <w:rPr>
                <w:rFonts w:asciiTheme="minorHAnsi" w:hAnsiTheme="minorHAnsi" w:cstheme="minorHAnsi"/>
                <w:sz w:val="22"/>
                <w:szCs w:val="22"/>
              </w:rPr>
              <w:sym w:font="Wingdings 2" w:char="F0A3"/>
            </w:r>
            <w:r w:rsidRPr="00AE0D1F">
              <w:rPr>
                <w:rFonts w:asciiTheme="minorHAnsi" w:hAnsiTheme="minorHAnsi" w:cstheme="minorHAnsi"/>
                <w:sz w:val="22"/>
                <w:szCs w:val="22"/>
              </w:rPr>
              <w:t xml:space="preserve">  No </w:t>
            </w:r>
            <w:r w:rsidRPr="00AE0D1F" w:rsidR="00A2771E">
              <w:rPr>
                <w:rFonts w:asciiTheme="minorHAnsi" w:hAnsiTheme="minorHAnsi" w:cstheme="minorHAnsi"/>
                <w:sz w:val="22"/>
                <w:szCs w:val="22"/>
              </w:rPr>
              <w:t xml:space="preserve">   </w:t>
            </w:r>
            <w:r w:rsidRPr="00AE0D1F">
              <w:rPr>
                <w:rFonts w:asciiTheme="minorHAnsi" w:hAnsiTheme="minorHAnsi" w:cstheme="minorHAnsi"/>
                <w:sz w:val="22"/>
                <w:szCs w:val="22"/>
              </w:rPr>
              <w:t xml:space="preserve"> </w:t>
            </w:r>
            <w:r w:rsidRPr="00FD32CF" w:rsidR="00A2771E">
              <w:rPr>
                <w:rFonts w:asciiTheme="minorHAnsi" w:hAnsiTheme="minorHAnsi" w:cstheme="minorHAnsi"/>
                <w:b/>
                <w:bCs/>
              </w:rPr>
              <w:t>X</w:t>
            </w:r>
            <w:r w:rsidRPr="00AE0D1F">
              <w:rPr>
                <w:rFonts w:asciiTheme="minorHAnsi" w:hAnsiTheme="minorHAnsi" w:cstheme="minorHAnsi"/>
                <w:sz w:val="22"/>
                <w:szCs w:val="22"/>
              </w:rPr>
              <w:t xml:space="preserve">  Yes – Type of Device:  </w:t>
            </w:r>
            <w:r w:rsidR="00685D04">
              <w:rPr>
                <w:rFonts w:asciiTheme="minorHAnsi" w:hAnsiTheme="minorHAnsi" w:cstheme="minorHAnsi"/>
                <w:sz w:val="22"/>
                <w:szCs w:val="22"/>
              </w:rPr>
              <w:t>Android Tablets</w:t>
            </w:r>
          </w:p>
        </w:tc>
      </w:tr>
    </w:tbl>
    <w:p w:rsidRPr="00AE0D1F" w:rsidR="00733C44" w:rsidP="00733C44" w:rsidRDefault="00733C44" w14:paraId="524ECD96" w14:textId="77777777">
      <w:pPr>
        <w:pStyle w:val="NoSpacing"/>
      </w:pPr>
    </w:p>
    <w:p w:rsidRPr="0023766E" w:rsidR="00FD32CF" w:rsidP="009C02A9" w:rsidRDefault="00391556" w14:paraId="281FB883" w14:textId="052CACB2">
      <w:pPr>
        <w:pStyle w:val="NoSpacing"/>
        <w:pBdr>
          <w:top w:val="single" w:color="auto" w:sz="4" w:space="1"/>
          <w:bottom w:val="single" w:color="auto" w:sz="4" w:space="1"/>
        </w:pBdr>
        <w:shd w:val="clear" w:color="auto" w:fill="CCC0D9" w:themeFill="accent4" w:themeFillTint="66"/>
        <w:rPr>
          <w:rFonts w:asciiTheme="minorHAnsi" w:hAnsiTheme="minorHAnsi" w:cstheme="minorHAnsi"/>
          <w:b/>
          <w:bCs/>
        </w:rPr>
      </w:pPr>
      <w:r w:rsidRPr="0023766E">
        <w:rPr>
          <w:rFonts w:asciiTheme="minorHAnsi" w:hAnsiTheme="minorHAnsi" w:cstheme="minorHAnsi"/>
          <w:b/>
          <w:bCs/>
        </w:rPr>
        <w:t>SURVEY JUSTIFICATION</w:t>
      </w:r>
      <w:r w:rsidRPr="0023766E" w:rsidR="00BB4F22">
        <w:rPr>
          <w:rFonts w:asciiTheme="minorHAnsi" w:hAnsiTheme="minorHAnsi" w:cstheme="minorHAnsi"/>
          <w:b/>
          <w:bCs/>
        </w:rPr>
        <w:t>:</w:t>
      </w:r>
    </w:p>
    <w:p w:rsidRPr="00AE0D1F" w:rsidR="00D405E8" w:rsidP="00795BB2" w:rsidRDefault="00BB4F22" w14:paraId="7D87BE73" w14:textId="762729E8">
      <w:pPr>
        <w:tabs>
          <w:tab w:val="left" w:pos="720"/>
          <w:tab w:val="left" w:pos="1440"/>
          <w:tab w:val="left" w:pos="2160"/>
          <w:tab w:val="left" w:pos="3600"/>
          <w:tab w:val="left" w:pos="5040"/>
          <w:tab w:val="left" w:pos="5760"/>
        </w:tabs>
        <w:spacing w:before="220" w:after="0"/>
        <w:rPr>
          <w:rFonts w:cs="Arial"/>
          <w:i/>
        </w:rPr>
      </w:pPr>
      <w:r w:rsidRPr="00AE0D1F">
        <w:rPr>
          <w:rFonts w:cs="Arial"/>
          <w:i/>
        </w:rPr>
        <w:t>Social science research in support of park planning and management is mandated in the NPS Management Policies 2006 (Section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and development.</w:t>
      </w:r>
      <w:r w:rsidRPr="00AE0D1F" w:rsidDel="00C071FC" w:rsidR="00C071FC">
        <w:rPr>
          <w:rFonts w:cs="Arial"/>
          <w:i/>
        </w:rPr>
        <w:t xml:space="preserve"> </w:t>
      </w:r>
    </w:p>
    <w:p w:rsidRPr="00A70685" w:rsidR="00A70685" w:rsidP="00795BB2" w:rsidRDefault="00A70685" w14:paraId="63D7C92D" w14:textId="77777777">
      <w:pPr>
        <w:tabs>
          <w:tab w:val="left" w:pos="360"/>
          <w:tab w:val="left" w:pos="720"/>
          <w:tab w:val="left" w:pos="1440"/>
          <w:tab w:val="left" w:pos="2160"/>
          <w:tab w:val="left" w:pos="3600"/>
          <w:tab w:val="left" w:pos="5040"/>
          <w:tab w:val="left" w:pos="5760"/>
        </w:tabs>
        <w:spacing w:before="220" w:after="0"/>
        <w:rPr>
          <w:rFonts w:cs="Arial"/>
          <w:lang w:bidi="en-US"/>
        </w:rPr>
      </w:pPr>
      <w:r w:rsidRPr="00A70685">
        <w:rPr>
          <w:rFonts w:cs="Arial"/>
          <w:lang w:bidi="en-US"/>
        </w:rPr>
        <w:t>A strong mandate and need for socioeconomic research exist in the National Park Service (NPS). These are expressed in the NPS strategic goals for science, in statements by the NPS leadership, in the report of the Second Century Commission, NPS Next emphases, and through the Department of the Interior priorities for 2018-2022</w:t>
      </w:r>
      <w:r w:rsidRPr="00A70685">
        <w:rPr>
          <w:rFonts w:cs="Arial"/>
          <w:b/>
          <w:bCs/>
          <w:lang w:bidi="en-US"/>
        </w:rPr>
        <w:t xml:space="preserve">. </w:t>
      </w:r>
      <w:r w:rsidRPr="00A70685">
        <w:rPr>
          <w:rFonts w:cs="Arial"/>
          <w:lang w:bidi="en-US"/>
        </w:rPr>
        <w:t>Additionally, a recent GAO report identified the need to better understand and monitor customer experience dimensions where results more directly link to investments made by the bureau.</w:t>
      </w:r>
      <w:r w:rsidRPr="00A70685">
        <w:rPr>
          <w:rFonts w:cs="Arial"/>
          <w:b/>
          <w:bCs/>
          <w:lang w:bidi="en-US"/>
        </w:rPr>
        <w:t xml:space="preserve"> </w:t>
      </w:r>
      <w:r w:rsidRPr="00A70685">
        <w:rPr>
          <w:rFonts w:cs="Arial"/>
          <w:lang w:bidi="en-US"/>
        </w:rPr>
        <w:t>The need for socioeconomic research and monitoring also was identified in an external review of the NPS Social Science Program and supported in the 2008 Interior Appropriations Bill Joint Explanatory Statement.</w:t>
      </w:r>
    </w:p>
    <w:p w:rsidR="00A70685" w:rsidP="00795BB2" w:rsidRDefault="00A70685" w14:paraId="4E771E34" w14:textId="77777777">
      <w:pPr>
        <w:tabs>
          <w:tab w:val="left" w:pos="360"/>
          <w:tab w:val="left" w:pos="720"/>
          <w:tab w:val="left" w:pos="1440"/>
          <w:tab w:val="left" w:pos="2160"/>
          <w:tab w:val="left" w:pos="3600"/>
          <w:tab w:val="left" w:pos="5040"/>
          <w:tab w:val="left" w:pos="5760"/>
        </w:tabs>
        <w:spacing w:before="220" w:after="0"/>
        <w:rPr>
          <w:rFonts w:cs="Arial"/>
          <w:lang w:bidi="en-US"/>
        </w:rPr>
      </w:pPr>
      <w:r w:rsidRPr="00A70685">
        <w:rPr>
          <w:rFonts w:cs="Arial"/>
          <w:lang w:bidi="en-US"/>
        </w:rPr>
        <w:t>In response, an NPS SEM working group developed a statement of mission, goals, and objectives that emphasized collecting, organizing, and making available high-quality social science trend data to NPS managers. The NPS administered a pilot SEM program in 14-NPS units from 2015-2016 (Phase One) to determine the viability and cost of such a program. In total, over 6,000 surveys were completed, providing the NPS with useful insights about in-park visitor characteristics</w:t>
      </w:r>
      <w:r>
        <w:rPr>
          <w:rFonts w:cs="Arial"/>
          <w:lang w:bidi="en-US"/>
        </w:rPr>
        <w:t>.</w:t>
      </w:r>
    </w:p>
    <w:p w:rsidRPr="00685D04" w:rsidR="006E3CC1" w:rsidP="00E32CB9" w:rsidRDefault="00685D04" w14:paraId="54D4AB93" w14:textId="5266CDF5">
      <w:pPr>
        <w:tabs>
          <w:tab w:val="left" w:pos="360"/>
          <w:tab w:val="left" w:pos="720"/>
          <w:tab w:val="left" w:pos="1440"/>
          <w:tab w:val="left" w:pos="2160"/>
          <w:tab w:val="left" w:pos="3600"/>
          <w:tab w:val="left" w:pos="5040"/>
          <w:tab w:val="left" w:pos="5760"/>
        </w:tabs>
        <w:spacing w:before="220" w:after="0"/>
        <w:rPr>
          <w:rFonts w:cs="Arial"/>
          <w:lang w:bidi="en-US"/>
        </w:rPr>
      </w:pPr>
      <w:r w:rsidRPr="00685D04">
        <w:rPr>
          <w:rFonts w:cs="Arial"/>
          <w:lang w:bidi="en-US"/>
        </w:rPr>
        <w:t xml:space="preserve">Data generated through </w:t>
      </w:r>
      <w:r w:rsidR="009C02A9">
        <w:rPr>
          <w:rFonts w:cs="Arial"/>
          <w:lang w:bidi="en-US"/>
        </w:rPr>
        <w:t>t</w:t>
      </w:r>
      <w:r w:rsidRPr="00685D04">
        <w:rPr>
          <w:rFonts w:cs="Arial"/>
          <w:lang w:bidi="en-US"/>
        </w:rPr>
        <w:t>his</w:t>
      </w:r>
      <w:r w:rsidR="009C02A9">
        <w:rPr>
          <w:rFonts w:cs="Arial"/>
          <w:lang w:bidi="en-US"/>
        </w:rPr>
        <w:t xml:space="preserve"> </w:t>
      </w:r>
      <w:r w:rsidR="00E32CB9">
        <w:rPr>
          <w:rFonts w:cs="Arial"/>
          <w:lang w:bidi="en-US"/>
        </w:rPr>
        <w:t>collection</w:t>
      </w:r>
      <w:r w:rsidRPr="00685D04">
        <w:rPr>
          <w:rFonts w:cs="Arial"/>
          <w:lang w:bidi="en-US"/>
        </w:rPr>
        <w:t xml:space="preserve"> is </w:t>
      </w:r>
      <w:r w:rsidR="00A70685">
        <w:rPr>
          <w:rFonts w:cs="Arial"/>
          <w:lang w:bidi="en-US"/>
        </w:rPr>
        <w:t xml:space="preserve">needed </w:t>
      </w:r>
      <w:r w:rsidRPr="00685D04">
        <w:rPr>
          <w:rFonts w:cs="Arial"/>
          <w:lang w:bidi="en-US"/>
        </w:rPr>
        <w:t xml:space="preserve">to understand </w:t>
      </w:r>
      <w:r w:rsidR="009C02A9">
        <w:rPr>
          <w:rFonts w:cs="Arial"/>
          <w:lang w:bidi="en-US"/>
        </w:rPr>
        <w:t>and</w:t>
      </w:r>
      <w:r w:rsidRPr="00685D04">
        <w:rPr>
          <w:rFonts w:cs="Arial"/>
          <w:lang w:bidi="en-US"/>
        </w:rPr>
        <w:t xml:space="preserve"> gauge how well</w:t>
      </w:r>
      <w:r w:rsidR="009C02A9">
        <w:rPr>
          <w:rFonts w:cs="Arial"/>
          <w:lang w:bidi="en-US"/>
        </w:rPr>
        <w:t xml:space="preserve"> the NPS</w:t>
      </w:r>
      <w:r w:rsidRPr="00685D04">
        <w:rPr>
          <w:rFonts w:cs="Arial"/>
          <w:lang w:bidi="en-US"/>
        </w:rPr>
        <w:t xml:space="preserve"> is serving the American public at</w:t>
      </w:r>
      <w:r w:rsidRPr="00685D04" w:rsidR="00121F41">
        <w:rPr>
          <w:rFonts w:cs="Arial"/>
          <w:lang w:bidi="en-US"/>
        </w:rPr>
        <w:t xml:space="preserve"> </w:t>
      </w:r>
      <w:r w:rsidRPr="00685D04">
        <w:rPr>
          <w:rFonts w:cs="Arial"/>
          <w:lang w:bidi="en-US"/>
        </w:rPr>
        <w:t>park-level and bureau-wide resolutions. Results from th</w:t>
      </w:r>
      <w:r w:rsidR="00DE3205">
        <w:rPr>
          <w:rFonts w:cs="Arial"/>
          <w:lang w:bidi="en-US"/>
        </w:rPr>
        <w:t xml:space="preserve">e </w:t>
      </w:r>
      <w:r w:rsidRPr="00685D04">
        <w:rPr>
          <w:rFonts w:cs="Arial"/>
          <w:lang w:bidi="en-US"/>
        </w:rPr>
        <w:t xml:space="preserve">second phase of </w:t>
      </w:r>
      <w:r w:rsidRPr="00685D04" w:rsidR="00121F41">
        <w:rPr>
          <w:rFonts w:cs="Arial"/>
          <w:lang w:bidi="en-US"/>
        </w:rPr>
        <w:t>th</w:t>
      </w:r>
      <w:r w:rsidR="00121F41">
        <w:rPr>
          <w:rFonts w:cs="Arial"/>
          <w:lang w:bidi="en-US"/>
        </w:rPr>
        <w:t>is</w:t>
      </w:r>
      <w:r w:rsidRPr="00685D04" w:rsidR="00121F41">
        <w:rPr>
          <w:rFonts w:cs="Arial"/>
          <w:lang w:bidi="en-US"/>
        </w:rPr>
        <w:t xml:space="preserve"> Socioeconomic Monitoring (SEM) </w:t>
      </w:r>
      <w:r w:rsidRPr="00685D04">
        <w:rPr>
          <w:rFonts w:cs="Arial"/>
          <w:lang w:bidi="en-US"/>
        </w:rPr>
        <w:t>pilot will validat</w:t>
      </w:r>
      <w:r w:rsidR="00121F41">
        <w:rPr>
          <w:rFonts w:cs="Arial"/>
          <w:lang w:bidi="en-US"/>
        </w:rPr>
        <w:t>e the</w:t>
      </w:r>
      <w:r w:rsidR="00DE3205">
        <w:rPr>
          <w:rFonts w:cs="Arial"/>
          <w:lang w:bidi="en-US"/>
        </w:rPr>
        <w:t xml:space="preserve"> need</w:t>
      </w:r>
      <w:r w:rsidR="00121F41">
        <w:rPr>
          <w:rFonts w:cs="Arial"/>
          <w:lang w:bidi="en-US"/>
        </w:rPr>
        <w:t xml:space="preserve"> </w:t>
      </w:r>
      <w:r w:rsidR="001200ED">
        <w:rPr>
          <w:rFonts w:cs="Arial"/>
          <w:lang w:bidi="en-US"/>
        </w:rPr>
        <w:t>f</w:t>
      </w:r>
      <w:r w:rsidRPr="00685D04">
        <w:rPr>
          <w:rFonts w:cs="Arial"/>
          <w:lang w:bidi="en-US"/>
        </w:rPr>
        <w:t xml:space="preserve">or further refinement </w:t>
      </w:r>
      <w:r w:rsidR="00121F41">
        <w:rPr>
          <w:rFonts w:cs="Arial"/>
          <w:lang w:bidi="en-US"/>
        </w:rPr>
        <w:t>to</w:t>
      </w:r>
      <w:r w:rsidR="00B806E0">
        <w:rPr>
          <w:rFonts w:cs="Arial"/>
          <w:lang w:bidi="en-US"/>
        </w:rPr>
        <w:t xml:space="preserve"> </w:t>
      </w:r>
      <w:r w:rsidRPr="00685D04">
        <w:rPr>
          <w:rFonts w:cs="Arial"/>
          <w:lang w:bidi="en-US"/>
        </w:rPr>
        <w:t xml:space="preserve">improve data quality and to determine </w:t>
      </w:r>
      <w:r w:rsidR="00121F41">
        <w:rPr>
          <w:rFonts w:cs="Arial"/>
          <w:lang w:bidi="en-US"/>
        </w:rPr>
        <w:t xml:space="preserve">the potential </w:t>
      </w:r>
      <w:r w:rsidRPr="00685D04">
        <w:rPr>
          <w:rFonts w:cs="Arial"/>
          <w:lang w:bidi="en-US"/>
        </w:rPr>
        <w:t>opportunities to generalize results across a wider population in future research efforts.</w:t>
      </w:r>
    </w:p>
    <w:p w:rsidR="00121F41" w:rsidP="0075054E" w:rsidRDefault="00121F41" w14:paraId="53CC5CD0" w14:textId="136FFA2D">
      <w:pPr>
        <w:pStyle w:val="NoSpacing"/>
        <w:rPr>
          <w:lang w:bidi="en-US"/>
        </w:rPr>
      </w:pPr>
      <w:r>
        <w:rPr>
          <w:lang w:bidi="en-US"/>
        </w:rPr>
        <w:br w:type="page"/>
      </w:r>
    </w:p>
    <w:p w:rsidR="00E21031" w:rsidP="0075054E" w:rsidRDefault="00E21031" w14:paraId="49DD5A14" w14:textId="77777777">
      <w:pPr>
        <w:pStyle w:val="NoSpacing"/>
        <w:rPr>
          <w:lang w:bidi="en-US"/>
        </w:rPr>
      </w:pPr>
    </w:p>
    <w:p w:rsidRPr="004C1C07" w:rsidR="00AE0D1F" w:rsidP="0075054E" w:rsidRDefault="00DD4CE9" w14:paraId="4E23155B" w14:textId="1DE9EEB9">
      <w:pPr>
        <w:pStyle w:val="NoSpacing"/>
        <w:pBdr>
          <w:top w:val="single" w:color="5F497A" w:themeColor="accent4" w:themeShade="BF" w:sz="12" w:space="1"/>
          <w:bottom w:val="single" w:color="5F497A" w:themeColor="accent4" w:themeShade="BF" w:sz="12" w:space="1"/>
        </w:pBdr>
        <w:shd w:val="clear" w:color="auto" w:fill="CCC0D9" w:themeFill="accent4" w:themeFillTint="66"/>
        <w:spacing w:line="276" w:lineRule="auto"/>
        <w:rPr>
          <w:rFonts w:asciiTheme="minorHAnsi" w:hAnsiTheme="minorHAnsi" w:cstheme="minorHAnsi"/>
          <w:b/>
          <w:bCs/>
        </w:rPr>
      </w:pPr>
      <w:r w:rsidRPr="00AE0D1F">
        <w:rPr>
          <w:rFonts w:asciiTheme="minorHAnsi" w:hAnsiTheme="minorHAnsi" w:cstheme="minorHAnsi"/>
          <w:b/>
          <w:bCs/>
        </w:rPr>
        <w:fldChar w:fldCharType="begin"/>
      </w:r>
      <w:r w:rsidRPr="00AE0D1F">
        <w:rPr>
          <w:rFonts w:asciiTheme="minorHAnsi" w:hAnsiTheme="minorHAnsi" w:cstheme="minorHAnsi"/>
          <w:b/>
          <w:bCs/>
        </w:rPr>
        <w:instrText xml:space="preserve">  </w:instrText>
      </w:r>
      <w:r w:rsidRPr="00AE0D1F">
        <w:rPr>
          <w:rFonts w:asciiTheme="minorHAnsi" w:hAnsiTheme="minorHAnsi" w:cstheme="minorHAnsi"/>
          <w:b/>
          <w:bCs/>
        </w:rPr>
        <w:fldChar w:fldCharType="end"/>
      </w:r>
      <w:r w:rsidRPr="00AE0D1F" w:rsidR="00391556">
        <w:rPr>
          <w:rFonts w:asciiTheme="minorHAnsi" w:hAnsiTheme="minorHAnsi" w:cstheme="minorHAnsi"/>
          <w:b/>
          <w:bCs/>
        </w:rPr>
        <w:t>SURVEY METHODOLOGY</w:t>
      </w:r>
    </w:p>
    <w:p w:rsidRPr="00AE0D1F" w:rsidR="00E95952" w:rsidP="00795BB2" w:rsidRDefault="00A46E01" w14:paraId="1DD2F5A5" w14:textId="168307F4">
      <w:pPr>
        <w:pStyle w:val="ListParagraph"/>
        <w:numPr>
          <w:ilvl w:val="0"/>
          <w:numId w:val="25"/>
        </w:numPr>
        <w:tabs>
          <w:tab w:val="left" w:pos="360"/>
          <w:tab w:val="left" w:pos="1440"/>
          <w:tab w:val="left" w:pos="2160"/>
          <w:tab w:val="left" w:pos="3600"/>
          <w:tab w:val="left" w:pos="5040"/>
          <w:tab w:val="left" w:pos="5760"/>
        </w:tabs>
        <w:spacing w:before="220" w:after="0"/>
        <w:ind w:left="360"/>
        <w:rPr>
          <w:rFonts w:cs="Arial"/>
          <w:b/>
        </w:rPr>
      </w:pPr>
      <w:r w:rsidRPr="00AE0D1F">
        <w:rPr>
          <w:rFonts w:cs="Arial"/>
          <w:b/>
        </w:rPr>
        <w:t xml:space="preserve">Respondent Universe:  </w:t>
      </w:r>
    </w:p>
    <w:p w:rsidR="00A2771E" w:rsidP="009C02A9" w:rsidRDefault="00685D04" w14:paraId="3BED2C89" w14:textId="2B5BA9E6">
      <w:pPr>
        <w:pStyle w:val="ListParagraph"/>
        <w:tabs>
          <w:tab w:val="left" w:pos="360"/>
          <w:tab w:val="left" w:pos="1440"/>
          <w:tab w:val="left" w:pos="2160"/>
          <w:tab w:val="left" w:pos="3600"/>
          <w:tab w:val="left" w:pos="5040"/>
          <w:tab w:val="left" w:pos="5760"/>
        </w:tabs>
        <w:spacing w:after="0"/>
        <w:ind w:left="360"/>
        <w:rPr>
          <w:rFonts w:cs="Arial"/>
        </w:rPr>
      </w:pPr>
      <w:r w:rsidRPr="00685D04">
        <w:rPr>
          <w:rFonts w:cs="Arial"/>
          <w:lang w:bidi="en-US"/>
        </w:rPr>
        <w:t xml:space="preserve">The universe of respondents for this study is adults (ages 18 and over) visiting one of the selected </w:t>
      </w:r>
      <w:r w:rsidR="003F3D16">
        <w:rPr>
          <w:rFonts w:cs="Arial"/>
          <w:lang w:bidi="en-US"/>
        </w:rPr>
        <w:t>28</w:t>
      </w:r>
      <w:r w:rsidR="00D51B77">
        <w:rPr>
          <w:rFonts w:cs="Arial"/>
          <w:lang w:bidi="en-US"/>
        </w:rPr>
        <w:t xml:space="preserve"> </w:t>
      </w:r>
      <w:r w:rsidRPr="00685D04">
        <w:rPr>
          <w:rFonts w:cs="Arial"/>
          <w:lang w:bidi="en-US"/>
        </w:rPr>
        <w:t xml:space="preserve">park units sampled during the peak month, defined </w:t>
      </w:r>
      <w:r w:rsidR="005316F2">
        <w:rPr>
          <w:rFonts w:cs="Arial"/>
          <w:lang w:bidi="en-US"/>
        </w:rPr>
        <w:t>by</w:t>
      </w:r>
      <w:r w:rsidRPr="00685D04" w:rsidR="005316F2">
        <w:rPr>
          <w:rFonts w:cs="Arial"/>
          <w:lang w:bidi="en-US"/>
        </w:rPr>
        <w:t xml:space="preserve"> </w:t>
      </w:r>
      <w:r w:rsidRPr="00685D04">
        <w:rPr>
          <w:rFonts w:cs="Arial"/>
          <w:lang w:bidi="en-US"/>
        </w:rPr>
        <w:t>the five-year monthly average</w:t>
      </w:r>
      <w:r w:rsidRPr="00AE0D1F" w:rsidR="00A2771E">
        <w:rPr>
          <w:rFonts w:cs="Arial"/>
        </w:rPr>
        <w:t>.</w:t>
      </w:r>
      <w:r w:rsidR="00D51B77">
        <w:rPr>
          <w:rFonts w:cs="Arial"/>
        </w:rPr>
        <w:t xml:space="preserve"> </w:t>
      </w:r>
    </w:p>
    <w:p w:rsidRPr="00587C91" w:rsidR="007253B7" w:rsidP="00587C91" w:rsidRDefault="00A46E01" w14:paraId="70B8B25E" w14:textId="59BE7F66">
      <w:pPr>
        <w:pStyle w:val="ListParagraph"/>
        <w:numPr>
          <w:ilvl w:val="0"/>
          <w:numId w:val="25"/>
        </w:numPr>
        <w:pBdr>
          <w:top w:val="single" w:color="auto" w:sz="4" w:space="1"/>
        </w:pBdr>
        <w:tabs>
          <w:tab w:val="left" w:pos="1440"/>
          <w:tab w:val="left" w:pos="2160"/>
          <w:tab w:val="left" w:pos="3600"/>
          <w:tab w:val="left" w:pos="5040"/>
          <w:tab w:val="left" w:pos="5760"/>
        </w:tabs>
        <w:spacing w:before="600" w:after="0"/>
        <w:ind w:left="360"/>
        <w:rPr>
          <w:rFonts w:cstheme="minorHAnsi"/>
          <w:b/>
          <w:bCs/>
          <w:lang w:bidi="en-US"/>
        </w:rPr>
      </w:pPr>
      <w:r w:rsidRPr="00AE0D1F">
        <w:rPr>
          <w:rFonts w:cs="Arial"/>
          <w:b/>
        </w:rPr>
        <w:t xml:space="preserve">Sampling Plan / Procedures:  </w:t>
      </w:r>
    </w:p>
    <w:p w:rsidRPr="00705518" w:rsidR="007253B7" w:rsidP="007253B7" w:rsidRDefault="007253B7" w14:paraId="789FB376" w14:textId="5AADE5AD">
      <w:pPr>
        <w:pStyle w:val="NoSpacing"/>
        <w:spacing w:line="276" w:lineRule="auto"/>
        <w:ind w:left="360"/>
        <w:rPr>
          <w:rFonts w:asciiTheme="minorHAnsi" w:hAnsiTheme="minorHAnsi" w:eastAsiaTheme="minorHAnsi" w:cstheme="minorHAnsi"/>
          <w:bCs/>
          <w:sz w:val="22"/>
          <w:szCs w:val="22"/>
          <w:lang w:bidi="en-US"/>
        </w:rPr>
      </w:pPr>
      <w:r>
        <w:rPr>
          <w:rFonts w:asciiTheme="minorHAnsi" w:hAnsiTheme="minorHAnsi" w:eastAsiaTheme="minorHAnsi" w:cstheme="minorHAnsi"/>
          <w:bCs/>
          <w:sz w:val="22"/>
          <w:szCs w:val="22"/>
          <w:lang w:bidi="en-US"/>
        </w:rPr>
        <w:t xml:space="preserve">Each NPS unit will be designated as one of three types (nature, historic, or </w:t>
      </w:r>
      <w:r w:rsidRPr="00E06C5E">
        <w:rPr>
          <w:rFonts w:asciiTheme="minorHAnsi" w:hAnsiTheme="minorHAnsi" w:eastAsiaTheme="minorHAnsi" w:cstheme="minorHAnsi"/>
          <w:bCs/>
          <w:sz w:val="22"/>
          <w:szCs w:val="22"/>
          <w:lang w:bidi="en-US"/>
        </w:rPr>
        <w:t>recreation) ad</w:t>
      </w:r>
      <w:r>
        <w:rPr>
          <w:rFonts w:asciiTheme="minorHAnsi" w:hAnsiTheme="minorHAnsi" w:eastAsiaTheme="minorHAnsi" w:cstheme="minorHAnsi"/>
          <w:bCs/>
          <w:sz w:val="22"/>
          <w:szCs w:val="22"/>
          <w:lang w:bidi="en-US"/>
        </w:rPr>
        <w:t>a</w:t>
      </w:r>
      <w:r w:rsidRPr="00E06C5E">
        <w:rPr>
          <w:rFonts w:asciiTheme="minorHAnsi" w:hAnsiTheme="minorHAnsi" w:eastAsiaTheme="minorHAnsi" w:cstheme="minorHAnsi"/>
          <w:bCs/>
          <w:sz w:val="22"/>
          <w:szCs w:val="22"/>
          <w:lang w:bidi="en-US"/>
        </w:rPr>
        <w:t>pted from Haefele, Loomis, &amp; Bilmes, 2016</w:t>
      </w:r>
      <w:r>
        <w:rPr>
          <w:rStyle w:val="FootnoteReference"/>
          <w:rFonts w:asciiTheme="minorHAnsi" w:hAnsiTheme="minorHAnsi" w:eastAsiaTheme="minorHAnsi" w:cstheme="minorHAnsi"/>
          <w:bCs/>
          <w:sz w:val="22"/>
          <w:szCs w:val="22"/>
          <w:lang w:bidi="en-US"/>
        </w:rPr>
        <w:footnoteReference w:id="1"/>
      </w:r>
      <w:r>
        <w:rPr>
          <w:rFonts w:asciiTheme="minorHAnsi" w:hAnsiTheme="minorHAnsi" w:eastAsiaTheme="minorHAnsi" w:cstheme="minorHAnsi"/>
          <w:bCs/>
          <w:sz w:val="22"/>
          <w:szCs w:val="22"/>
          <w:lang w:bidi="en-US"/>
        </w:rPr>
        <w:t>. Historic parks will be subdivided into urban and non-urban based on NPS Visitor Use Statistics (VUS) population class.</w:t>
      </w:r>
    </w:p>
    <w:p w:rsidR="007253B7" w:rsidP="007253B7" w:rsidRDefault="007253B7" w14:paraId="21B4A4B0" w14:textId="77777777">
      <w:pPr>
        <w:pStyle w:val="NoSpacing"/>
        <w:spacing w:before="80" w:line="276" w:lineRule="auto"/>
        <w:ind w:left="1080" w:hanging="360"/>
        <w:rPr>
          <w:rFonts w:asciiTheme="minorHAnsi" w:hAnsiTheme="minorHAnsi" w:eastAsiaTheme="minorHAnsi" w:cstheme="minorHAnsi"/>
          <w:bCs/>
          <w:sz w:val="22"/>
          <w:szCs w:val="22"/>
          <w:lang w:bidi="en-US"/>
        </w:rPr>
      </w:pPr>
      <w:r>
        <w:rPr>
          <w:rFonts w:asciiTheme="minorHAnsi" w:hAnsiTheme="minorHAnsi" w:eastAsiaTheme="minorHAnsi" w:cstheme="minorHAnsi"/>
          <w:b/>
          <w:sz w:val="22"/>
          <w:szCs w:val="22"/>
          <w:lang w:bidi="en-US"/>
        </w:rPr>
        <w:t xml:space="preserve">(1) </w:t>
      </w:r>
      <w:r w:rsidRPr="00545521">
        <w:rPr>
          <w:rFonts w:asciiTheme="minorHAnsi" w:hAnsiTheme="minorHAnsi" w:eastAsiaTheme="minorHAnsi" w:cstheme="minorHAnsi"/>
          <w:b/>
          <w:sz w:val="22"/>
          <w:szCs w:val="22"/>
          <w:u w:val="single"/>
          <w:lang w:bidi="en-US"/>
        </w:rPr>
        <w:t>Nature</w:t>
      </w:r>
      <w:r w:rsidRPr="0025743C">
        <w:rPr>
          <w:rFonts w:asciiTheme="minorHAnsi" w:hAnsiTheme="minorHAnsi" w:eastAsiaTheme="minorHAnsi" w:cstheme="minorHAnsi"/>
          <w:bCs/>
          <w:sz w:val="22"/>
          <w:szCs w:val="22"/>
          <w:lang w:bidi="en-US"/>
        </w:rPr>
        <w:t xml:space="preserve"> </w:t>
      </w:r>
      <w:r>
        <w:rPr>
          <w:rFonts w:asciiTheme="minorHAnsi" w:hAnsiTheme="minorHAnsi" w:eastAsiaTheme="minorHAnsi" w:cstheme="minorHAnsi"/>
          <w:bCs/>
          <w:sz w:val="22"/>
          <w:szCs w:val="22"/>
          <w:lang w:bidi="en-US"/>
        </w:rPr>
        <w:t>– National Park areas that focus on the preservation of natural environments and features, shorelines, and bodies of water.</w:t>
      </w:r>
    </w:p>
    <w:p w:rsidR="007253B7" w:rsidP="007253B7" w:rsidRDefault="007253B7" w14:paraId="2A1EC04B" w14:textId="77777777">
      <w:pPr>
        <w:pStyle w:val="NoSpacing"/>
        <w:numPr>
          <w:ilvl w:val="0"/>
          <w:numId w:val="40"/>
        </w:numPr>
        <w:spacing w:line="276" w:lineRule="auto"/>
        <w:ind w:left="1080"/>
        <w:rPr>
          <w:rFonts w:asciiTheme="minorHAnsi" w:hAnsiTheme="minorHAnsi" w:eastAsiaTheme="minorHAnsi" w:cstheme="minorHAnsi"/>
          <w:bCs/>
          <w:sz w:val="22"/>
          <w:szCs w:val="22"/>
          <w:lang w:bidi="en-US"/>
        </w:rPr>
      </w:pPr>
      <w:r w:rsidRPr="00E06C5E">
        <w:rPr>
          <w:rFonts w:asciiTheme="minorHAnsi" w:hAnsiTheme="minorHAnsi" w:eastAsiaTheme="minorHAnsi" w:cstheme="minorHAnsi"/>
          <w:b/>
          <w:sz w:val="22"/>
          <w:szCs w:val="22"/>
          <w:lang w:bidi="en-US"/>
        </w:rPr>
        <w:t xml:space="preserve">Historic </w:t>
      </w:r>
      <w:r>
        <w:rPr>
          <w:rFonts w:asciiTheme="minorHAnsi" w:hAnsiTheme="minorHAnsi" w:eastAsiaTheme="minorHAnsi" w:cstheme="minorHAnsi"/>
          <w:bCs/>
          <w:sz w:val="22"/>
          <w:szCs w:val="22"/>
          <w:lang w:bidi="en-US"/>
        </w:rPr>
        <w:t xml:space="preserve">– </w:t>
      </w:r>
      <w:r w:rsidRPr="00165B54">
        <w:rPr>
          <w:rFonts w:asciiTheme="minorHAnsi" w:hAnsiTheme="minorHAnsi" w:eastAsiaTheme="minorHAnsi" w:cstheme="minorHAnsi"/>
          <w:bCs/>
          <w:sz w:val="22"/>
          <w:szCs w:val="22"/>
          <w:lang w:bidi="en-US"/>
        </w:rPr>
        <w:t>National Park areas that focus on the preservation of American history and culture or the commemoration and</w:t>
      </w:r>
      <w:r>
        <w:rPr>
          <w:rFonts w:asciiTheme="minorHAnsi" w:hAnsiTheme="minorHAnsi" w:eastAsiaTheme="minorHAnsi" w:cstheme="minorHAnsi"/>
          <w:bCs/>
          <w:sz w:val="22"/>
          <w:szCs w:val="22"/>
          <w:lang w:bidi="en-US"/>
        </w:rPr>
        <w:t xml:space="preserve"> </w:t>
      </w:r>
      <w:r w:rsidRPr="00165B54">
        <w:rPr>
          <w:rFonts w:asciiTheme="minorHAnsi" w:hAnsiTheme="minorHAnsi" w:eastAsiaTheme="minorHAnsi" w:cstheme="minorHAnsi"/>
          <w:bCs/>
          <w:sz w:val="22"/>
          <w:szCs w:val="22"/>
          <w:lang w:bidi="en-US"/>
        </w:rPr>
        <w:t>remembrance of significant events and people</w:t>
      </w:r>
      <w:r>
        <w:rPr>
          <w:rFonts w:asciiTheme="minorHAnsi" w:hAnsiTheme="minorHAnsi" w:eastAsiaTheme="minorHAnsi" w:cstheme="minorHAnsi"/>
          <w:bCs/>
          <w:sz w:val="22"/>
          <w:szCs w:val="22"/>
          <w:lang w:bidi="en-US"/>
        </w:rPr>
        <w:t>.</w:t>
      </w:r>
    </w:p>
    <w:p w:rsidRPr="00165B54" w:rsidR="007253B7" w:rsidP="007253B7" w:rsidRDefault="007253B7" w14:paraId="78C3B43E" w14:textId="77777777">
      <w:pPr>
        <w:pStyle w:val="NoSpacing"/>
        <w:numPr>
          <w:ilvl w:val="0"/>
          <w:numId w:val="41"/>
        </w:numPr>
        <w:spacing w:line="276" w:lineRule="auto"/>
        <w:ind w:left="1440"/>
        <w:rPr>
          <w:rFonts w:asciiTheme="minorHAnsi" w:hAnsiTheme="minorHAnsi" w:eastAsiaTheme="minorHAnsi" w:cstheme="minorHAnsi"/>
          <w:bCs/>
          <w:sz w:val="22"/>
          <w:szCs w:val="22"/>
          <w:lang w:bidi="en-US"/>
        </w:rPr>
      </w:pPr>
      <w:r w:rsidRPr="00545521">
        <w:rPr>
          <w:rFonts w:asciiTheme="minorHAnsi" w:hAnsiTheme="minorHAnsi" w:eastAsiaTheme="minorHAnsi" w:cstheme="minorHAnsi"/>
          <w:b/>
          <w:sz w:val="22"/>
          <w:szCs w:val="22"/>
          <w:u w:val="single"/>
          <w:lang w:bidi="en-US"/>
        </w:rPr>
        <w:t>Historic Urban</w:t>
      </w:r>
      <w:r>
        <w:rPr>
          <w:rFonts w:asciiTheme="minorHAnsi" w:hAnsiTheme="minorHAnsi" w:eastAsiaTheme="minorHAnsi" w:cstheme="minorHAnsi"/>
          <w:bCs/>
          <w:sz w:val="22"/>
          <w:szCs w:val="22"/>
          <w:lang w:bidi="en-US"/>
        </w:rPr>
        <w:t xml:space="preserve"> – historic areas with a population class of Urban; Suburban; or Mixed, with most of the surrounding population class considered Urban or Suburban.</w:t>
      </w:r>
    </w:p>
    <w:p w:rsidR="007253B7" w:rsidP="007253B7" w:rsidRDefault="007253B7" w14:paraId="06E694CE" w14:textId="77777777">
      <w:pPr>
        <w:pStyle w:val="NoSpacing"/>
        <w:numPr>
          <w:ilvl w:val="0"/>
          <w:numId w:val="41"/>
        </w:numPr>
        <w:spacing w:line="276" w:lineRule="auto"/>
        <w:ind w:left="1440"/>
        <w:rPr>
          <w:rFonts w:asciiTheme="minorHAnsi" w:hAnsiTheme="minorHAnsi" w:eastAsiaTheme="minorHAnsi" w:cstheme="minorHAnsi"/>
          <w:bCs/>
          <w:sz w:val="22"/>
          <w:szCs w:val="22"/>
          <w:lang w:bidi="en-US"/>
        </w:rPr>
      </w:pPr>
      <w:r w:rsidRPr="00545521">
        <w:rPr>
          <w:rFonts w:asciiTheme="minorHAnsi" w:hAnsiTheme="minorHAnsi" w:eastAsiaTheme="minorHAnsi" w:cstheme="minorHAnsi"/>
          <w:b/>
          <w:sz w:val="22"/>
          <w:szCs w:val="22"/>
          <w:u w:val="single"/>
          <w:lang w:bidi="en-US"/>
        </w:rPr>
        <w:t>Historic Non-urban</w:t>
      </w:r>
      <w:r>
        <w:rPr>
          <w:rFonts w:asciiTheme="minorHAnsi" w:hAnsiTheme="minorHAnsi" w:eastAsiaTheme="minorHAnsi" w:cstheme="minorHAnsi"/>
          <w:bCs/>
          <w:sz w:val="22"/>
          <w:szCs w:val="22"/>
          <w:lang w:bidi="en-US"/>
        </w:rPr>
        <w:t xml:space="preserve"> – historic areas with a population class of Rural; Outlying; Remote; Mixed, with most of the surrounding population class considered Rural or Outlying; or No Boundary Data.</w:t>
      </w:r>
    </w:p>
    <w:p w:rsidRPr="004C1C07" w:rsidR="007253B7" w:rsidP="007253B7" w:rsidRDefault="007253B7" w14:paraId="56E75410" w14:textId="77777777">
      <w:pPr>
        <w:pStyle w:val="NoSpacing"/>
        <w:spacing w:line="276" w:lineRule="auto"/>
        <w:ind w:left="720"/>
        <w:rPr>
          <w:rFonts w:asciiTheme="minorHAnsi" w:hAnsiTheme="minorHAnsi" w:eastAsiaTheme="minorHAnsi" w:cstheme="minorHAnsi"/>
          <w:bCs/>
          <w:sz w:val="22"/>
          <w:szCs w:val="22"/>
          <w:lang w:bidi="en-US"/>
        </w:rPr>
      </w:pPr>
      <w:r>
        <w:rPr>
          <w:rFonts w:asciiTheme="minorHAnsi" w:hAnsiTheme="minorHAnsi" w:eastAsiaTheme="minorHAnsi" w:cstheme="minorHAnsi"/>
          <w:b/>
          <w:sz w:val="22"/>
          <w:szCs w:val="22"/>
          <w:lang w:bidi="en-US"/>
        </w:rPr>
        <w:t xml:space="preserve">(3) </w:t>
      </w:r>
      <w:r w:rsidRPr="00545521">
        <w:rPr>
          <w:rFonts w:asciiTheme="minorHAnsi" w:hAnsiTheme="minorHAnsi" w:eastAsiaTheme="minorHAnsi" w:cstheme="minorHAnsi"/>
          <w:b/>
          <w:sz w:val="22"/>
          <w:szCs w:val="22"/>
          <w:u w:val="single"/>
          <w:lang w:bidi="en-US"/>
        </w:rPr>
        <w:t>Recreation</w:t>
      </w:r>
      <w:r w:rsidRPr="00545521">
        <w:rPr>
          <w:rFonts w:asciiTheme="minorHAnsi" w:hAnsiTheme="minorHAnsi" w:eastAsiaTheme="minorHAnsi" w:cstheme="minorHAnsi"/>
          <w:bCs/>
          <w:sz w:val="22"/>
          <w:szCs w:val="22"/>
          <w:u w:val="single"/>
          <w:lang w:bidi="en-US"/>
        </w:rPr>
        <w:t xml:space="preserve"> </w:t>
      </w:r>
      <w:r>
        <w:rPr>
          <w:rFonts w:asciiTheme="minorHAnsi" w:hAnsiTheme="minorHAnsi" w:eastAsiaTheme="minorHAnsi" w:cstheme="minorHAnsi"/>
          <w:bCs/>
          <w:sz w:val="22"/>
          <w:szCs w:val="22"/>
          <w:lang w:bidi="en-US"/>
        </w:rPr>
        <w:t>– National Park areas that focus on nature-based recreation opportunities</w:t>
      </w:r>
    </w:p>
    <w:p w:rsidR="00F40BA4" w:rsidP="007253B7" w:rsidRDefault="00F40BA4" w14:paraId="182ED663" w14:textId="77777777">
      <w:pPr>
        <w:pStyle w:val="NoSpacing"/>
        <w:spacing w:line="276" w:lineRule="auto"/>
        <w:ind w:left="360"/>
        <w:rPr>
          <w:rFonts w:asciiTheme="minorHAnsi" w:hAnsiTheme="minorHAnsi" w:eastAsiaTheme="minorHAnsi" w:cstheme="minorHAnsi"/>
          <w:bCs/>
          <w:sz w:val="22"/>
          <w:szCs w:val="22"/>
          <w:lang w:bidi="en-US"/>
        </w:rPr>
      </w:pPr>
    </w:p>
    <w:p w:rsidR="007253B7" w:rsidP="00587C91" w:rsidRDefault="00F40BA4" w14:paraId="659FF8F7" w14:textId="6A4E3D83">
      <w:pPr>
        <w:pStyle w:val="NoSpacing"/>
        <w:spacing w:line="276" w:lineRule="auto"/>
        <w:ind w:left="360"/>
        <w:rPr>
          <w:rFonts w:asciiTheme="minorHAnsi" w:hAnsiTheme="minorHAnsi" w:eastAsiaTheme="minorHAnsi" w:cstheme="minorHAnsi"/>
          <w:bCs/>
          <w:sz w:val="22"/>
          <w:szCs w:val="22"/>
          <w:lang w:bidi="en-US"/>
        </w:rPr>
      </w:pPr>
      <w:r>
        <w:rPr>
          <w:rFonts w:asciiTheme="minorHAnsi" w:hAnsiTheme="minorHAnsi" w:eastAsiaTheme="minorHAnsi" w:cstheme="minorHAnsi"/>
          <w:bCs/>
          <w:sz w:val="22"/>
          <w:szCs w:val="22"/>
          <w:lang w:bidi="en-US"/>
        </w:rPr>
        <w:t xml:space="preserve">Park unit size and sampling strata will be determined by the </w:t>
      </w:r>
      <w:r w:rsidR="007253B7">
        <w:rPr>
          <w:rFonts w:asciiTheme="minorHAnsi" w:hAnsiTheme="minorHAnsi" w:eastAsiaTheme="minorHAnsi" w:cstheme="minorHAnsi"/>
          <w:bCs/>
          <w:sz w:val="22"/>
          <w:szCs w:val="22"/>
          <w:lang w:bidi="en-US"/>
        </w:rPr>
        <w:t>average annual visitation (descending order from highest to lowest)</w:t>
      </w:r>
      <w:r>
        <w:rPr>
          <w:rFonts w:asciiTheme="minorHAnsi" w:hAnsiTheme="minorHAnsi" w:eastAsiaTheme="minorHAnsi" w:cstheme="minorHAnsi"/>
          <w:bCs/>
          <w:sz w:val="22"/>
          <w:szCs w:val="22"/>
          <w:lang w:bidi="en-US"/>
        </w:rPr>
        <w:t xml:space="preserve"> w</w:t>
      </w:r>
      <w:r w:rsidR="007253B7">
        <w:rPr>
          <w:rFonts w:asciiTheme="minorHAnsi" w:hAnsiTheme="minorHAnsi" w:eastAsiaTheme="minorHAnsi" w:cstheme="minorHAnsi"/>
          <w:bCs/>
          <w:sz w:val="22"/>
          <w:szCs w:val="22"/>
          <w:lang w:bidi="en-US"/>
        </w:rPr>
        <w:t>ithin each category</w:t>
      </w:r>
      <w:r>
        <w:rPr>
          <w:rFonts w:asciiTheme="minorHAnsi" w:hAnsiTheme="minorHAnsi" w:eastAsiaTheme="minorHAnsi" w:cstheme="minorHAnsi"/>
          <w:bCs/>
          <w:sz w:val="22"/>
          <w:szCs w:val="22"/>
          <w:lang w:bidi="en-US"/>
        </w:rPr>
        <w:t xml:space="preserve"> (nature, historic, or </w:t>
      </w:r>
      <w:r w:rsidRPr="00E06C5E">
        <w:rPr>
          <w:rFonts w:asciiTheme="minorHAnsi" w:hAnsiTheme="minorHAnsi" w:eastAsiaTheme="minorHAnsi" w:cstheme="minorHAnsi"/>
          <w:bCs/>
          <w:sz w:val="22"/>
          <w:szCs w:val="22"/>
          <w:lang w:bidi="en-US"/>
        </w:rPr>
        <w:t>recreation</w:t>
      </w:r>
      <w:r>
        <w:rPr>
          <w:rFonts w:asciiTheme="minorHAnsi" w:hAnsiTheme="minorHAnsi" w:eastAsiaTheme="minorHAnsi" w:cstheme="minorHAnsi"/>
          <w:bCs/>
          <w:sz w:val="22"/>
          <w:szCs w:val="22"/>
          <w:lang w:bidi="en-US"/>
        </w:rPr>
        <w:t>).  P</w:t>
      </w:r>
      <w:r w:rsidR="007253B7">
        <w:rPr>
          <w:rFonts w:asciiTheme="minorHAnsi" w:hAnsiTheme="minorHAnsi" w:eastAsiaTheme="minorHAnsi" w:cstheme="minorHAnsi"/>
          <w:bCs/>
          <w:sz w:val="22"/>
          <w:szCs w:val="22"/>
          <w:lang w:bidi="en-US"/>
        </w:rPr>
        <w:t>arks account</w:t>
      </w:r>
      <w:r>
        <w:rPr>
          <w:rFonts w:asciiTheme="minorHAnsi" w:hAnsiTheme="minorHAnsi" w:eastAsiaTheme="minorHAnsi" w:cstheme="minorHAnsi"/>
          <w:bCs/>
          <w:sz w:val="22"/>
          <w:szCs w:val="22"/>
          <w:lang w:bidi="en-US"/>
        </w:rPr>
        <w:t>ing</w:t>
      </w:r>
      <w:r w:rsidR="007253B7">
        <w:rPr>
          <w:rFonts w:asciiTheme="minorHAnsi" w:hAnsiTheme="minorHAnsi" w:eastAsiaTheme="minorHAnsi" w:cstheme="minorHAnsi"/>
          <w:bCs/>
          <w:sz w:val="22"/>
          <w:szCs w:val="22"/>
          <w:lang w:bidi="en-US"/>
        </w:rPr>
        <w:t xml:space="preserve"> for</w:t>
      </w:r>
      <w:r>
        <w:rPr>
          <w:rFonts w:asciiTheme="minorHAnsi" w:hAnsiTheme="minorHAnsi" w:eastAsiaTheme="minorHAnsi" w:cstheme="minorHAnsi"/>
          <w:bCs/>
          <w:sz w:val="22"/>
          <w:szCs w:val="22"/>
          <w:lang w:bidi="en-US"/>
        </w:rPr>
        <w:t xml:space="preserve"> at least</w:t>
      </w:r>
      <w:r w:rsidR="007253B7">
        <w:rPr>
          <w:rFonts w:asciiTheme="minorHAnsi" w:hAnsiTheme="minorHAnsi" w:eastAsiaTheme="minorHAnsi" w:cstheme="minorHAnsi"/>
          <w:bCs/>
          <w:sz w:val="22"/>
          <w:szCs w:val="22"/>
          <w:lang w:bidi="en-US"/>
        </w:rPr>
        <w:t xml:space="preserve"> 80% of the category’s total annual visitation will designated “large” parks, with the remaining parks designated “small” parks.</w:t>
      </w:r>
    </w:p>
    <w:p w:rsidRPr="006E3CC1" w:rsidR="007253B7" w:rsidP="007253B7" w:rsidRDefault="007253B7" w14:paraId="1DD1110C" w14:textId="1854E1B6">
      <w:pPr>
        <w:pStyle w:val="NoSpacing"/>
        <w:spacing w:before="220" w:line="360" w:lineRule="auto"/>
        <w:ind w:left="720"/>
        <w:rPr>
          <w:rFonts w:asciiTheme="minorHAnsi" w:hAnsiTheme="minorHAnsi" w:eastAsiaTheme="minorHAnsi" w:cstheme="minorHAnsi"/>
          <w:b/>
          <w:sz w:val="22"/>
          <w:szCs w:val="22"/>
          <w:lang w:bidi="en-US"/>
        </w:rPr>
      </w:pPr>
      <w:r w:rsidRPr="004C1C07">
        <w:rPr>
          <w:rFonts w:asciiTheme="minorHAnsi" w:hAnsiTheme="minorHAnsi" w:eastAsiaTheme="minorHAnsi" w:cstheme="minorHAnsi"/>
          <w:b/>
          <w:sz w:val="22"/>
          <w:szCs w:val="22"/>
          <w:lang w:bidi="en-US"/>
        </w:rPr>
        <w:t xml:space="preserve">Table </w:t>
      </w:r>
      <w:r>
        <w:rPr>
          <w:rFonts w:asciiTheme="minorHAnsi" w:hAnsiTheme="minorHAnsi" w:eastAsiaTheme="minorHAnsi" w:cstheme="minorHAnsi"/>
          <w:b/>
          <w:sz w:val="22"/>
          <w:szCs w:val="22"/>
          <w:lang w:bidi="en-US"/>
        </w:rPr>
        <w:t>1</w:t>
      </w:r>
      <w:r w:rsidRPr="004C1C07">
        <w:rPr>
          <w:rFonts w:asciiTheme="minorHAnsi" w:hAnsiTheme="minorHAnsi" w:eastAsiaTheme="minorHAnsi" w:cstheme="minorHAnsi"/>
          <w:b/>
          <w:sz w:val="22"/>
          <w:szCs w:val="22"/>
          <w:lang w:bidi="en-US"/>
        </w:rPr>
        <w:t xml:space="preserve">. </w:t>
      </w:r>
      <w:r w:rsidR="00F40BA4">
        <w:rPr>
          <w:rFonts w:asciiTheme="minorHAnsi" w:hAnsiTheme="minorHAnsi" w:eastAsiaTheme="minorHAnsi" w:cstheme="minorHAnsi"/>
          <w:b/>
          <w:sz w:val="22"/>
          <w:szCs w:val="22"/>
          <w:lang w:bidi="en-US"/>
        </w:rPr>
        <w:t>N</w:t>
      </w:r>
      <w:r>
        <w:rPr>
          <w:rFonts w:asciiTheme="minorHAnsi" w:hAnsiTheme="minorHAnsi" w:eastAsiaTheme="minorHAnsi" w:cstheme="minorHAnsi"/>
          <w:b/>
          <w:sz w:val="22"/>
          <w:szCs w:val="22"/>
          <w:lang w:bidi="en-US"/>
        </w:rPr>
        <w:t>umber of units in the sampling frame per strata</w:t>
      </w:r>
    </w:p>
    <w:tbl>
      <w:tblPr>
        <w:tblStyle w:val="TableGrid"/>
        <w:tblW w:w="0" w:type="auto"/>
        <w:tblInd w:w="8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2700"/>
        <w:gridCol w:w="990"/>
        <w:gridCol w:w="1165"/>
        <w:gridCol w:w="1890"/>
      </w:tblGrid>
      <w:tr w:rsidRPr="003544F8" w:rsidR="00F40BA4" w:rsidTr="00587C91" w14:paraId="3942D3EE" w14:textId="77777777">
        <w:trPr>
          <w:trHeight w:val="234"/>
        </w:trPr>
        <w:tc>
          <w:tcPr>
            <w:tcW w:w="2700" w:type="dxa"/>
            <w:tcBorders>
              <w:bottom w:val="single" w:color="auto" w:sz="4" w:space="0"/>
            </w:tcBorders>
            <w:vAlign w:val="bottom"/>
          </w:tcPr>
          <w:p w:rsidRPr="003544F8" w:rsidR="00F40BA4" w:rsidP="0082188D" w:rsidRDefault="00F40BA4" w14:paraId="7887BBAB" w14:textId="77777777">
            <w:pPr>
              <w:pStyle w:val="NoSpacing"/>
              <w:rPr>
                <w:rFonts w:asciiTheme="minorHAnsi" w:hAnsiTheme="minorHAnsi" w:eastAsiaTheme="minorHAnsi" w:cstheme="minorHAnsi"/>
                <w:sz w:val="20"/>
                <w:szCs w:val="20"/>
              </w:rPr>
            </w:pPr>
          </w:p>
        </w:tc>
        <w:tc>
          <w:tcPr>
            <w:tcW w:w="2155" w:type="dxa"/>
            <w:gridSpan w:val="2"/>
            <w:tcBorders>
              <w:bottom w:val="single" w:color="auto" w:sz="4" w:space="0"/>
            </w:tcBorders>
          </w:tcPr>
          <w:p w:rsidRPr="003544F8" w:rsidR="00F40BA4" w:rsidP="0082188D" w:rsidRDefault="00F40BA4" w14:paraId="0A3785D0" w14:textId="64ACE182">
            <w:pPr>
              <w:pStyle w:val="NoSpacing"/>
              <w:jc w:val="center"/>
              <w:rPr>
                <w:rFonts w:asciiTheme="minorHAnsi" w:hAnsiTheme="minorHAnsi" w:eastAsiaTheme="minorHAnsi" w:cstheme="minorHAnsi"/>
                <w:b/>
                <w:bCs/>
                <w:sz w:val="20"/>
                <w:szCs w:val="20"/>
              </w:rPr>
            </w:pPr>
            <w:r w:rsidRPr="003544F8">
              <w:rPr>
                <w:rFonts w:asciiTheme="minorHAnsi" w:hAnsiTheme="minorHAnsi" w:eastAsiaTheme="minorHAnsi" w:cstheme="minorHAnsi"/>
                <w:b/>
                <w:bCs/>
                <w:sz w:val="20"/>
                <w:szCs w:val="20"/>
              </w:rPr>
              <w:t>Unit Size</w:t>
            </w:r>
          </w:p>
        </w:tc>
        <w:tc>
          <w:tcPr>
            <w:tcW w:w="1890" w:type="dxa"/>
            <w:tcBorders>
              <w:bottom w:val="single" w:color="auto" w:sz="4" w:space="0"/>
            </w:tcBorders>
            <w:vAlign w:val="bottom"/>
          </w:tcPr>
          <w:p w:rsidRPr="003544F8" w:rsidR="00F40BA4" w:rsidP="0082188D" w:rsidRDefault="00F40BA4" w14:paraId="0F152540" w14:textId="038970A8">
            <w:pPr>
              <w:pStyle w:val="NoSpacing"/>
              <w:rPr>
                <w:rFonts w:asciiTheme="minorHAnsi" w:hAnsiTheme="minorHAnsi" w:eastAsiaTheme="minorHAnsi" w:cstheme="minorHAnsi"/>
                <w:sz w:val="20"/>
                <w:szCs w:val="20"/>
              </w:rPr>
            </w:pPr>
          </w:p>
        </w:tc>
      </w:tr>
      <w:tr w:rsidRPr="003544F8" w:rsidR="00F40BA4" w:rsidTr="00587C91" w14:paraId="0D72C2FC" w14:textId="77777777">
        <w:trPr>
          <w:trHeight w:val="323"/>
        </w:trPr>
        <w:tc>
          <w:tcPr>
            <w:tcW w:w="2700" w:type="dxa"/>
            <w:tcBorders>
              <w:top w:val="single" w:color="auto" w:sz="4" w:space="0"/>
              <w:bottom w:val="single" w:color="auto" w:sz="4" w:space="0"/>
            </w:tcBorders>
            <w:shd w:val="clear" w:color="auto" w:fill="B2A1C7" w:themeFill="accent4" w:themeFillTint="99"/>
            <w:vAlign w:val="center"/>
          </w:tcPr>
          <w:p w:rsidRPr="003544F8" w:rsidR="00F40BA4" w:rsidP="007253B7" w:rsidRDefault="00F40BA4" w14:paraId="53C91678" w14:textId="77777777">
            <w:pPr>
              <w:pStyle w:val="NoSpacing"/>
              <w:rPr>
                <w:rFonts w:asciiTheme="minorHAnsi" w:hAnsiTheme="minorHAnsi" w:eastAsiaTheme="minorHAnsi" w:cstheme="minorHAnsi"/>
                <w:b/>
                <w:bCs/>
                <w:sz w:val="20"/>
                <w:szCs w:val="20"/>
              </w:rPr>
            </w:pPr>
            <w:r w:rsidRPr="003544F8">
              <w:rPr>
                <w:rFonts w:asciiTheme="minorHAnsi" w:hAnsiTheme="minorHAnsi" w:eastAsiaTheme="minorHAnsi" w:cstheme="minorHAnsi"/>
                <w:b/>
                <w:bCs/>
                <w:sz w:val="20"/>
                <w:szCs w:val="20"/>
              </w:rPr>
              <w:t>Park Type &amp; Class</w:t>
            </w:r>
          </w:p>
        </w:tc>
        <w:tc>
          <w:tcPr>
            <w:tcW w:w="990" w:type="dxa"/>
            <w:tcBorders>
              <w:top w:val="single" w:color="auto" w:sz="4" w:space="0"/>
              <w:bottom w:val="single" w:color="auto" w:sz="4" w:space="0"/>
            </w:tcBorders>
            <w:shd w:val="clear" w:color="auto" w:fill="B2A1C7" w:themeFill="accent4" w:themeFillTint="99"/>
            <w:vAlign w:val="bottom"/>
          </w:tcPr>
          <w:p w:rsidRPr="003544F8" w:rsidR="00F40BA4" w:rsidP="007253B7" w:rsidRDefault="00F40BA4" w14:paraId="18E4232C" w14:textId="07E83F42">
            <w:pPr>
              <w:pStyle w:val="NoSpacing"/>
              <w:jc w:val="center"/>
              <w:rPr>
                <w:rFonts w:asciiTheme="minorHAnsi" w:hAnsiTheme="minorHAnsi" w:eastAsiaTheme="minorHAnsi" w:cstheme="minorHAnsi"/>
                <w:b/>
                <w:bCs/>
                <w:sz w:val="20"/>
                <w:szCs w:val="20"/>
              </w:rPr>
            </w:pPr>
            <w:r w:rsidRPr="003544F8">
              <w:rPr>
                <w:rFonts w:asciiTheme="minorHAnsi" w:hAnsiTheme="minorHAnsi" w:eastAsiaTheme="minorHAnsi" w:cstheme="minorHAnsi"/>
                <w:b/>
                <w:bCs/>
                <w:sz w:val="20"/>
                <w:szCs w:val="20"/>
              </w:rPr>
              <w:t>Large</w:t>
            </w:r>
          </w:p>
        </w:tc>
        <w:tc>
          <w:tcPr>
            <w:tcW w:w="1165" w:type="dxa"/>
            <w:tcBorders>
              <w:top w:val="single" w:color="auto" w:sz="4" w:space="0"/>
              <w:bottom w:val="single" w:color="auto" w:sz="4" w:space="0"/>
            </w:tcBorders>
            <w:shd w:val="clear" w:color="auto" w:fill="B2A1C7" w:themeFill="accent4" w:themeFillTint="99"/>
            <w:vAlign w:val="bottom"/>
          </w:tcPr>
          <w:p w:rsidRPr="003544F8" w:rsidR="00F40BA4" w:rsidP="007253B7" w:rsidRDefault="00F40BA4" w14:paraId="646FDE98" w14:textId="711DA231">
            <w:pPr>
              <w:pStyle w:val="NoSpacing"/>
              <w:jc w:val="center"/>
              <w:rPr>
                <w:rFonts w:asciiTheme="minorHAnsi" w:hAnsiTheme="minorHAnsi" w:eastAsiaTheme="minorHAnsi" w:cstheme="minorHAnsi"/>
                <w:b/>
                <w:bCs/>
                <w:sz w:val="20"/>
                <w:szCs w:val="20"/>
              </w:rPr>
            </w:pPr>
            <w:r w:rsidRPr="003544F8">
              <w:rPr>
                <w:rFonts w:asciiTheme="minorHAnsi" w:hAnsiTheme="minorHAnsi" w:eastAsiaTheme="minorHAnsi" w:cstheme="minorHAnsi"/>
                <w:b/>
                <w:bCs/>
                <w:sz w:val="20"/>
                <w:szCs w:val="20"/>
              </w:rPr>
              <w:t>Small</w:t>
            </w:r>
          </w:p>
        </w:tc>
        <w:tc>
          <w:tcPr>
            <w:tcW w:w="1890" w:type="dxa"/>
            <w:tcBorders>
              <w:top w:val="single" w:color="auto" w:sz="4" w:space="0"/>
              <w:bottom w:val="single" w:color="auto" w:sz="4" w:space="0"/>
            </w:tcBorders>
            <w:shd w:val="clear" w:color="auto" w:fill="B2A1C7" w:themeFill="accent4" w:themeFillTint="99"/>
            <w:vAlign w:val="bottom"/>
          </w:tcPr>
          <w:p w:rsidRPr="003544F8" w:rsidR="00F40BA4" w:rsidP="007253B7" w:rsidRDefault="00F40BA4" w14:paraId="5A8723BC" w14:textId="77777777">
            <w:pPr>
              <w:pStyle w:val="NoSpacing"/>
              <w:jc w:val="center"/>
              <w:rPr>
                <w:rFonts w:asciiTheme="minorHAnsi" w:hAnsiTheme="minorHAnsi" w:eastAsiaTheme="minorHAnsi" w:cstheme="minorHAnsi"/>
                <w:b/>
                <w:bCs/>
                <w:sz w:val="20"/>
                <w:szCs w:val="20"/>
              </w:rPr>
            </w:pPr>
            <w:r w:rsidRPr="003544F8">
              <w:rPr>
                <w:rFonts w:asciiTheme="minorHAnsi" w:hAnsiTheme="minorHAnsi" w:eastAsiaTheme="minorHAnsi" w:cstheme="minorHAnsi"/>
                <w:b/>
                <w:bCs/>
                <w:sz w:val="20"/>
                <w:szCs w:val="20"/>
              </w:rPr>
              <w:t>Total</w:t>
            </w:r>
          </w:p>
        </w:tc>
      </w:tr>
      <w:tr w:rsidRPr="003544F8" w:rsidR="00F40BA4" w:rsidTr="00587C91" w14:paraId="136D3380" w14:textId="77777777">
        <w:trPr>
          <w:trHeight w:val="224"/>
        </w:trPr>
        <w:tc>
          <w:tcPr>
            <w:tcW w:w="2700" w:type="dxa"/>
            <w:tcBorders>
              <w:top w:val="single" w:color="auto" w:sz="4" w:space="0"/>
            </w:tcBorders>
            <w:vAlign w:val="center"/>
          </w:tcPr>
          <w:p w:rsidRPr="003544F8" w:rsidR="00F40BA4" w:rsidP="007253B7" w:rsidRDefault="00F40BA4" w14:paraId="06AEEF4E" w14:textId="77777777">
            <w:pPr>
              <w:pStyle w:val="NoSpacing"/>
              <w:rPr>
                <w:rFonts w:asciiTheme="minorHAnsi" w:hAnsiTheme="minorHAnsi" w:eastAsiaTheme="minorHAnsi" w:cstheme="minorHAnsi"/>
                <w:sz w:val="20"/>
                <w:szCs w:val="20"/>
              </w:rPr>
            </w:pPr>
            <w:r w:rsidRPr="003544F8">
              <w:rPr>
                <w:rFonts w:asciiTheme="minorHAnsi" w:hAnsiTheme="minorHAnsi" w:eastAsiaTheme="minorHAnsi" w:cstheme="minorHAnsi"/>
                <w:sz w:val="20"/>
                <w:szCs w:val="20"/>
              </w:rPr>
              <w:t>Nature</w:t>
            </w:r>
          </w:p>
        </w:tc>
        <w:tc>
          <w:tcPr>
            <w:tcW w:w="990" w:type="dxa"/>
            <w:tcBorders>
              <w:top w:val="single" w:color="auto" w:sz="4" w:space="0"/>
            </w:tcBorders>
            <w:vAlign w:val="center"/>
          </w:tcPr>
          <w:p w:rsidRPr="003544F8" w:rsidR="00F40BA4" w:rsidP="007253B7" w:rsidRDefault="00F40BA4" w14:paraId="6336862D" w14:textId="73CF7355">
            <w:pPr>
              <w:pStyle w:val="NoSpacing"/>
              <w:jc w:val="center"/>
              <w:rPr>
                <w:rFonts w:asciiTheme="minorHAnsi" w:hAnsiTheme="minorHAnsi" w:eastAsiaTheme="minorHAnsi" w:cstheme="minorHAnsi"/>
                <w:sz w:val="20"/>
                <w:szCs w:val="20"/>
              </w:rPr>
            </w:pPr>
            <w:r w:rsidRPr="003544F8">
              <w:rPr>
                <w:rFonts w:asciiTheme="minorHAnsi" w:hAnsiTheme="minorHAnsi" w:eastAsiaTheme="minorHAnsi" w:cstheme="minorHAnsi"/>
                <w:sz w:val="20"/>
                <w:szCs w:val="20"/>
              </w:rPr>
              <w:t>29</w:t>
            </w:r>
          </w:p>
        </w:tc>
        <w:tc>
          <w:tcPr>
            <w:tcW w:w="1165" w:type="dxa"/>
            <w:tcBorders>
              <w:top w:val="single" w:color="auto" w:sz="4" w:space="0"/>
            </w:tcBorders>
            <w:vAlign w:val="center"/>
          </w:tcPr>
          <w:p w:rsidRPr="003544F8" w:rsidR="00F40BA4" w:rsidP="007253B7" w:rsidRDefault="00F40BA4" w14:paraId="001F27D5" w14:textId="0325FBB8">
            <w:pPr>
              <w:pStyle w:val="NoSpacing"/>
              <w:jc w:val="center"/>
              <w:rPr>
                <w:rFonts w:asciiTheme="minorHAnsi" w:hAnsiTheme="minorHAnsi" w:eastAsiaTheme="minorHAnsi" w:cstheme="minorHAnsi"/>
                <w:sz w:val="20"/>
                <w:szCs w:val="20"/>
              </w:rPr>
            </w:pPr>
            <w:r w:rsidRPr="003544F8">
              <w:rPr>
                <w:rFonts w:asciiTheme="minorHAnsi" w:hAnsiTheme="minorHAnsi" w:eastAsiaTheme="minorHAnsi" w:cstheme="minorHAnsi"/>
                <w:sz w:val="20"/>
                <w:szCs w:val="20"/>
              </w:rPr>
              <w:t>67</w:t>
            </w:r>
          </w:p>
        </w:tc>
        <w:tc>
          <w:tcPr>
            <w:tcW w:w="1890" w:type="dxa"/>
            <w:tcBorders>
              <w:top w:val="single" w:color="auto" w:sz="4" w:space="0"/>
            </w:tcBorders>
            <w:vAlign w:val="center"/>
          </w:tcPr>
          <w:p w:rsidRPr="003544F8" w:rsidR="00F40BA4" w:rsidP="007253B7" w:rsidRDefault="00F40BA4" w14:paraId="47FB6C0E" w14:textId="77777777">
            <w:pPr>
              <w:pStyle w:val="NoSpacing"/>
              <w:jc w:val="center"/>
              <w:rPr>
                <w:rFonts w:asciiTheme="minorHAnsi" w:hAnsiTheme="minorHAnsi" w:eastAsiaTheme="minorHAnsi" w:cstheme="minorHAnsi"/>
                <w:sz w:val="20"/>
                <w:szCs w:val="20"/>
              </w:rPr>
            </w:pPr>
            <w:r w:rsidRPr="003544F8">
              <w:rPr>
                <w:rFonts w:asciiTheme="minorHAnsi" w:hAnsiTheme="minorHAnsi" w:eastAsiaTheme="minorHAnsi" w:cstheme="minorHAnsi"/>
                <w:sz w:val="20"/>
                <w:szCs w:val="20"/>
              </w:rPr>
              <w:t>96</w:t>
            </w:r>
          </w:p>
        </w:tc>
      </w:tr>
      <w:tr w:rsidRPr="003544F8" w:rsidR="00F40BA4" w:rsidTr="00587C91" w14:paraId="5A5A63B5" w14:textId="77777777">
        <w:trPr>
          <w:trHeight w:val="372"/>
        </w:trPr>
        <w:tc>
          <w:tcPr>
            <w:tcW w:w="2700" w:type="dxa"/>
            <w:vAlign w:val="center"/>
          </w:tcPr>
          <w:p w:rsidR="00F40BA4" w:rsidP="007253B7" w:rsidRDefault="00F40BA4" w14:paraId="3710A2B8" w14:textId="28124F46">
            <w:pPr>
              <w:pStyle w:val="NoSpacing"/>
              <w:rPr>
                <w:rFonts w:asciiTheme="minorHAnsi" w:hAnsiTheme="minorHAnsi" w:eastAsiaTheme="minorHAnsi" w:cstheme="minorHAnsi"/>
                <w:sz w:val="20"/>
                <w:szCs w:val="20"/>
              </w:rPr>
            </w:pPr>
            <w:r>
              <w:rPr>
                <w:rFonts w:asciiTheme="minorHAnsi" w:hAnsiTheme="minorHAnsi" w:eastAsiaTheme="minorHAnsi" w:cstheme="minorHAnsi"/>
                <w:sz w:val="20"/>
                <w:szCs w:val="20"/>
              </w:rPr>
              <w:t>Historic</w:t>
            </w:r>
          </w:p>
          <w:p w:rsidRPr="003544F8" w:rsidR="00F40BA4" w:rsidP="007253B7" w:rsidRDefault="00F40BA4" w14:paraId="5F5D63E1" w14:textId="597D4D70">
            <w:pPr>
              <w:pStyle w:val="NoSpacing"/>
              <w:ind w:left="150"/>
              <w:rPr>
                <w:rFonts w:asciiTheme="minorHAnsi" w:hAnsiTheme="minorHAnsi" w:eastAsiaTheme="minorHAnsi" w:cstheme="minorHAnsi"/>
                <w:sz w:val="20"/>
                <w:szCs w:val="20"/>
              </w:rPr>
            </w:pPr>
            <w:r w:rsidRPr="003544F8">
              <w:rPr>
                <w:rFonts w:asciiTheme="minorHAnsi" w:hAnsiTheme="minorHAnsi" w:eastAsiaTheme="minorHAnsi" w:cstheme="minorHAnsi"/>
                <w:sz w:val="20"/>
                <w:szCs w:val="20"/>
              </w:rPr>
              <w:t>Historic Urban</w:t>
            </w:r>
          </w:p>
        </w:tc>
        <w:tc>
          <w:tcPr>
            <w:tcW w:w="990" w:type="dxa"/>
            <w:vAlign w:val="center"/>
          </w:tcPr>
          <w:p w:rsidR="00F40BA4" w:rsidP="007253B7" w:rsidRDefault="00F40BA4" w14:paraId="78887D99" w14:textId="77777777">
            <w:pPr>
              <w:pStyle w:val="NoSpacing"/>
              <w:jc w:val="center"/>
              <w:rPr>
                <w:rFonts w:asciiTheme="minorHAnsi" w:hAnsiTheme="minorHAnsi" w:eastAsiaTheme="minorHAnsi" w:cstheme="minorHAnsi"/>
                <w:sz w:val="20"/>
                <w:szCs w:val="20"/>
              </w:rPr>
            </w:pPr>
          </w:p>
          <w:p w:rsidR="00F40BA4" w:rsidP="007253B7" w:rsidRDefault="00F40BA4" w14:paraId="7E455CA8" w14:textId="2747469A">
            <w:pPr>
              <w:pStyle w:val="NoSpacing"/>
              <w:jc w:val="center"/>
              <w:rPr>
                <w:rFonts w:asciiTheme="minorHAnsi" w:hAnsiTheme="minorHAnsi" w:eastAsiaTheme="minorHAnsi" w:cstheme="minorHAnsi"/>
                <w:sz w:val="20"/>
                <w:szCs w:val="20"/>
              </w:rPr>
            </w:pPr>
            <w:r w:rsidRPr="003544F8">
              <w:rPr>
                <w:rFonts w:asciiTheme="minorHAnsi" w:hAnsiTheme="minorHAnsi" w:eastAsiaTheme="minorHAnsi" w:cstheme="minorHAnsi"/>
                <w:sz w:val="20"/>
                <w:szCs w:val="20"/>
              </w:rPr>
              <w:t>23</w:t>
            </w:r>
          </w:p>
        </w:tc>
        <w:tc>
          <w:tcPr>
            <w:tcW w:w="1165" w:type="dxa"/>
            <w:vAlign w:val="center"/>
          </w:tcPr>
          <w:p w:rsidR="00F40BA4" w:rsidP="007253B7" w:rsidRDefault="00F40BA4" w14:paraId="5DADC180" w14:textId="3DC65F5E">
            <w:pPr>
              <w:pStyle w:val="NoSpacing"/>
              <w:jc w:val="center"/>
              <w:rPr>
                <w:rFonts w:asciiTheme="minorHAnsi" w:hAnsiTheme="minorHAnsi" w:eastAsiaTheme="minorHAnsi" w:cstheme="minorHAnsi"/>
                <w:sz w:val="20"/>
                <w:szCs w:val="20"/>
              </w:rPr>
            </w:pPr>
          </w:p>
          <w:p w:rsidRPr="003544F8" w:rsidR="00F40BA4" w:rsidP="007253B7" w:rsidRDefault="00F40BA4" w14:paraId="1CCD994A" w14:textId="09BE1EBC">
            <w:pPr>
              <w:pStyle w:val="NoSpacing"/>
              <w:jc w:val="center"/>
              <w:rPr>
                <w:rFonts w:asciiTheme="minorHAnsi" w:hAnsiTheme="minorHAnsi" w:eastAsiaTheme="minorHAnsi" w:cstheme="minorHAnsi"/>
                <w:sz w:val="20"/>
                <w:szCs w:val="20"/>
              </w:rPr>
            </w:pPr>
            <w:r w:rsidRPr="003544F8">
              <w:rPr>
                <w:rFonts w:asciiTheme="minorHAnsi" w:hAnsiTheme="minorHAnsi" w:eastAsiaTheme="minorHAnsi" w:cstheme="minorHAnsi"/>
                <w:sz w:val="20"/>
                <w:szCs w:val="20"/>
              </w:rPr>
              <w:t>79</w:t>
            </w:r>
          </w:p>
        </w:tc>
        <w:tc>
          <w:tcPr>
            <w:tcW w:w="1890" w:type="dxa"/>
            <w:vAlign w:val="center"/>
          </w:tcPr>
          <w:p w:rsidR="00F40BA4" w:rsidP="007253B7" w:rsidRDefault="00F40BA4" w14:paraId="09FFD756" w14:textId="77777777">
            <w:pPr>
              <w:pStyle w:val="NoSpacing"/>
              <w:jc w:val="center"/>
              <w:rPr>
                <w:rFonts w:asciiTheme="minorHAnsi" w:hAnsiTheme="minorHAnsi" w:eastAsiaTheme="minorHAnsi" w:cstheme="minorHAnsi"/>
                <w:sz w:val="20"/>
                <w:szCs w:val="20"/>
              </w:rPr>
            </w:pPr>
          </w:p>
          <w:p w:rsidRPr="003544F8" w:rsidR="00F40BA4" w:rsidP="007253B7" w:rsidRDefault="00F40BA4" w14:paraId="0ACC4AB3" w14:textId="4D1A6E21">
            <w:pPr>
              <w:pStyle w:val="NoSpacing"/>
              <w:jc w:val="center"/>
              <w:rPr>
                <w:rFonts w:asciiTheme="minorHAnsi" w:hAnsiTheme="minorHAnsi" w:eastAsiaTheme="minorHAnsi" w:cstheme="minorHAnsi"/>
                <w:sz w:val="20"/>
                <w:szCs w:val="20"/>
              </w:rPr>
            </w:pPr>
            <w:r w:rsidRPr="003544F8">
              <w:rPr>
                <w:rFonts w:asciiTheme="minorHAnsi" w:hAnsiTheme="minorHAnsi" w:eastAsiaTheme="minorHAnsi" w:cstheme="minorHAnsi"/>
                <w:sz w:val="20"/>
                <w:szCs w:val="20"/>
              </w:rPr>
              <w:t>102</w:t>
            </w:r>
          </w:p>
        </w:tc>
      </w:tr>
      <w:tr w:rsidRPr="003544F8" w:rsidR="00F40BA4" w:rsidTr="00587C91" w14:paraId="16EAB66C" w14:textId="77777777">
        <w:trPr>
          <w:trHeight w:val="372"/>
        </w:trPr>
        <w:tc>
          <w:tcPr>
            <w:tcW w:w="2700" w:type="dxa"/>
            <w:vAlign w:val="center"/>
          </w:tcPr>
          <w:p w:rsidRPr="003544F8" w:rsidR="00F40BA4" w:rsidP="00587C91" w:rsidRDefault="00F40BA4" w14:paraId="58AFF6D0" w14:textId="77777777">
            <w:pPr>
              <w:pStyle w:val="NoSpacing"/>
              <w:ind w:left="150"/>
              <w:rPr>
                <w:rFonts w:asciiTheme="minorHAnsi" w:hAnsiTheme="minorHAnsi" w:eastAsiaTheme="minorHAnsi" w:cstheme="minorHAnsi"/>
                <w:sz w:val="20"/>
                <w:szCs w:val="20"/>
              </w:rPr>
            </w:pPr>
            <w:r w:rsidRPr="003544F8">
              <w:rPr>
                <w:rFonts w:asciiTheme="minorHAnsi" w:hAnsiTheme="minorHAnsi" w:eastAsiaTheme="minorHAnsi" w:cstheme="minorHAnsi"/>
                <w:sz w:val="20"/>
                <w:szCs w:val="20"/>
              </w:rPr>
              <w:t>Historic Non-Urban</w:t>
            </w:r>
          </w:p>
        </w:tc>
        <w:tc>
          <w:tcPr>
            <w:tcW w:w="990" w:type="dxa"/>
            <w:vAlign w:val="center"/>
          </w:tcPr>
          <w:p w:rsidRPr="003544F8" w:rsidR="00F40BA4" w:rsidP="007253B7" w:rsidRDefault="00F40BA4" w14:paraId="1E0C5B1A" w14:textId="746C4AB3">
            <w:pPr>
              <w:pStyle w:val="NoSpacing"/>
              <w:jc w:val="center"/>
              <w:rPr>
                <w:rFonts w:asciiTheme="minorHAnsi" w:hAnsiTheme="minorHAnsi" w:eastAsiaTheme="minorHAnsi" w:cstheme="minorHAnsi"/>
                <w:sz w:val="20"/>
                <w:szCs w:val="20"/>
              </w:rPr>
            </w:pPr>
            <w:r w:rsidRPr="003544F8">
              <w:rPr>
                <w:rFonts w:asciiTheme="minorHAnsi" w:hAnsiTheme="minorHAnsi" w:eastAsiaTheme="minorHAnsi" w:cstheme="minorHAnsi"/>
                <w:sz w:val="20"/>
                <w:szCs w:val="20"/>
              </w:rPr>
              <w:t>34</w:t>
            </w:r>
          </w:p>
        </w:tc>
        <w:tc>
          <w:tcPr>
            <w:tcW w:w="1165" w:type="dxa"/>
            <w:vAlign w:val="center"/>
          </w:tcPr>
          <w:p w:rsidRPr="003544F8" w:rsidR="00F40BA4" w:rsidP="007253B7" w:rsidRDefault="00F40BA4" w14:paraId="719C5E27" w14:textId="46008C1F">
            <w:pPr>
              <w:pStyle w:val="NoSpacing"/>
              <w:jc w:val="center"/>
              <w:rPr>
                <w:rFonts w:asciiTheme="minorHAnsi" w:hAnsiTheme="minorHAnsi" w:eastAsiaTheme="minorHAnsi" w:cstheme="minorHAnsi"/>
                <w:sz w:val="20"/>
                <w:szCs w:val="20"/>
              </w:rPr>
            </w:pPr>
            <w:r w:rsidRPr="003544F8">
              <w:rPr>
                <w:rFonts w:asciiTheme="minorHAnsi" w:hAnsiTheme="minorHAnsi" w:eastAsiaTheme="minorHAnsi" w:cstheme="minorHAnsi"/>
                <w:sz w:val="20"/>
                <w:szCs w:val="20"/>
              </w:rPr>
              <w:t>80</w:t>
            </w:r>
          </w:p>
        </w:tc>
        <w:tc>
          <w:tcPr>
            <w:tcW w:w="1890" w:type="dxa"/>
            <w:vAlign w:val="center"/>
          </w:tcPr>
          <w:p w:rsidRPr="003544F8" w:rsidR="00F40BA4" w:rsidP="007253B7" w:rsidRDefault="00F40BA4" w14:paraId="0499AF67" w14:textId="77777777">
            <w:pPr>
              <w:pStyle w:val="NoSpacing"/>
              <w:jc w:val="center"/>
              <w:rPr>
                <w:rFonts w:asciiTheme="minorHAnsi" w:hAnsiTheme="minorHAnsi" w:eastAsiaTheme="minorHAnsi" w:cstheme="minorHAnsi"/>
                <w:sz w:val="20"/>
                <w:szCs w:val="20"/>
              </w:rPr>
            </w:pPr>
            <w:r w:rsidRPr="003544F8">
              <w:rPr>
                <w:rFonts w:asciiTheme="minorHAnsi" w:hAnsiTheme="minorHAnsi" w:eastAsiaTheme="minorHAnsi" w:cstheme="minorHAnsi"/>
                <w:sz w:val="20"/>
                <w:szCs w:val="20"/>
              </w:rPr>
              <w:t>114</w:t>
            </w:r>
          </w:p>
        </w:tc>
      </w:tr>
      <w:tr w:rsidRPr="003544F8" w:rsidR="00F40BA4" w:rsidTr="00587C91" w14:paraId="33AC5A5B" w14:textId="77777777">
        <w:trPr>
          <w:trHeight w:val="180"/>
        </w:trPr>
        <w:tc>
          <w:tcPr>
            <w:tcW w:w="2700" w:type="dxa"/>
            <w:tcBorders>
              <w:bottom w:val="single" w:color="auto" w:sz="4" w:space="0"/>
            </w:tcBorders>
            <w:vAlign w:val="center"/>
          </w:tcPr>
          <w:p w:rsidRPr="003544F8" w:rsidR="00F40BA4" w:rsidP="007253B7" w:rsidRDefault="00F40BA4" w14:paraId="456502F5" w14:textId="77777777">
            <w:pPr>
              <w:pStyle w:val="NoSpacing"/>
              <w:rPr>
                <w:rFonts w:asciiTheme="minorHAnsi" w:hAnsiTheme="minorHAnsi" w:eastAsiaTheme="minorHAnsi" w:cstheme="minorHAnsi"/>
                <w:sz w:val="20"/>
                <w:szCs w:val="20"/>
              </w:rPr>
            </w:pPr>
            <w:r w:rsidRPr="003544F8">
              <w:rPr>
                <w:rFonts w:asciiTheme="minorHAnsi" w:hAnsiTheme="minorHAnsi" w:eastAsiaTheme="minorHAnsi" w:cstheme="minorHAnsi"/>
                <w:sz w:val="20"/>
                <w:szCs w:val="20"/>
              </w:rPr>
              <w:t>Recreation</w:t>
            </w:r>
          </w:p>
        </w:tc>
        <w:tc>
          <w:tcPr>
            <w:tcW w:w="990" w:type="dxa"/>
            <w:tcBorders>
              <w:bottom w:val="single" w:color="auto" w:sz="4" w:space="0"/>
            </w:tcBorders>
            <w:vAlign w:val="center"/>
          </w:tcPr>
          <w:p w:rsidRPr="003544F8" w:rsidR="00F40BA4" w:rsidP="007253B7" w:rsidRDefault="00F40BA4" w14:paraId="0730464B" w14:textId="797A9D2D">
            <w:pPr>
              <w:pStyle w:val="NoSpacing"/>
              <w:jc w:val="center"/>
              <w:rPr>
                <w:rFonts w:asciiTheme="minorHAnsi" w:hAnsiTheme="minorHAnsi" w:eastAsiaTheme="minorHAnsi" w:cstheme="minorHAnsi"/>
                <w:sz w:val="20"/>
                <w:szCs w:val="20"/>
              </w:rPr>
            </w:pPr>
            <w:r w:rsidRPr="003544F8">
              <w:rPr>
                <w:rFonts w:asciiTheme="minorHAnsi" w:hAnsiTheme="minorHAnsi" w:eastAsiaTheme="minorHAnsi" w:cstheme="minorHAnsi"/>
                <w:sz w:val="20"/>
                <w:szCs w:val="20"/>
              </w:rPr>
              <w:t>17</w:t>
            </w:r>
          </w:p>
        </w:tc>
        <w:tc>
          <w:tcPr>
            <w:tcW w:w="1165" w:type="dxa"/>
            <w:tcBorders>
              <w:bottom w:val="single" w:color="auto" w:sz="4" w:space="0"/>
            </w:tcBorders>
            <w:vAlign w:val="center"/>
          </w:tcPr>
          <w:p w:rsidRPr="003544F8" w:rsidR="00F40BA4" w:rsidP="007253B7" w:rsidRDefault="00F40BA4" w14:paraId="4F2F53E9" w14:textId="5B0FC61E">
            <w:pPr>
              <w:pStyle w:val="NoSpacing"/>
              <w:jc w:val="center"/>
              <w:rPr>
                <w:rFonts w:asciiTheme="minorHAnsi" w:hAnsiTheme="minorHAnsi" w:eastAsiaTheme="minorHAnsi" w:cstheme="minorHAnsi"/>
                <w:sz w:val="20"/>
                <w:szCs w:val="20"/>
              </w:rPr>
            </w:pPr>
            <w:r w:rsidRPr="003544F8">
              <w:rPr>
                <w:rFonts w:asciiTheme="minorHAnsi" w:hAnsiTheme="minorHAnsi" w:eastAsiaTheme="minorHAnsi" w:cstheme="minorHAnsi"/>
                <w:sz w:val="20"/>
                <w:szCs w:val="20"/>
              </w:rPr>
              <w:t>35</w:t>
            </w:r>
          </w:p>
        </w:tc>
        <w:tc>
          <w:tcPr>
            <w:tcW w:w="1890" w:type="dxa"/>
            <w:tcBorders>
              <w:bottom w:val="single" w:color="auto" w:sz="4" w:space="0"/>
            </w:tcBorders>
            <w:vAlign w:val="center"/>
          </w:tcPr>
          <w:p w:rsidRPr="003544F8" w:rsidR="00F40BA4" w:rsidP="007253B7" w:rsidRDefault="00F40BA4" w14:paraId="1AA7D53E" w14:textId="77777777">
            <w:pPr>
              <w:pStyle w:val="NoSpacing"/>
              <w:jc w:val="center"/>
              <w:rPr>
                <w:rFonts w:asciiTheme="minorHAnsi" w:hAnsiTheme="minorHAnsi" w:eastAsiaTheme="minorHAnsi" w:cstheme="minorHAnsi"/>
                <w:sz w:val="20"/>
                <w:szCs w:val="20"/>
              </w:rPr>
            </w:pPr>
            <w:r w:rsidRPr="003544F8">
              <w:rPr>
                <w:rFonts w:asciiTheme="minorHAnsi" w:hAnsiTheme="minorHAnsi" w:eastAsiaTheme="minorHAnsi" w:cstheme="minorHAnsi"/>
                <w:sz w:val="20"/>
                <w:szCs w:val="20"/>
              </w:rPr>
              <w:t>52</w:t>
            </w:r>
          </w:p>
        </w:tc>
      </w:tr>
      <w:tr w:rsidRPr="003544F8" w:rsidR="00F40BA4" w:rsidTr="00587C91" w14:paraId="41361DB3" w14:textId="77777777">
        <w:trPr>
          <w:trHeight w:val="372"/>
        </w:trPr>
        <w:tc>
          <w:tcPr>
            <w:tcW w:w="2700" w:type="dxa"/>
            <w:tcBorders>
              <w:top w:val="single" w:color="auto" w:sz="4" w:space="0"/>
              <w:bottom w:val="single" w:color="auto" w:sz="4" w:space="0"/>
            </w:tcBorders>
            <w:vAlign w:val="center"/>
          </w:tcPr>
          <w:p w:rsidRPr="003544F8" w:rsidR="00F40BA4" w:rsidP="007253B7" w:rsidRDefault="00F40BA4" w14:paraId="76131CB0" w14:textId="77777777">
            <w:pPr>
              <w:pStyle w:val="NoSpacing"/>
              <w:rPr>
                <w:rFonts w:asciiTheme="minorHAnsi" w:hAnsiTheme="minorHAnsi" w:eastAsiaTheme="minorHAnsi" w:cstheme="minorHAnsi"/>
                <w:sz w:val="20"/>
                <w:szCs w:val="20"/>
              </w:rPr>
            </w:pPr>
            <w:r w:rsidRPr="003544F8">
              <w:rPr>
                <w:rFonts w:asciiTheme="minorHAnsi" w:hAnsiTheme="minorHAnsi" w:eastAsiaTheme="minorHAnsi" w:cstheme="minorHAnsi"/>
                <w:sz w:val="20"/>
                <w:szCs w:val="20"/>
              </w:rPr>
              <w:t>Total</w:t>
            </w:r>
          </w:p>
        </w:tc>
        <w:tc>
          <w:tcPr>
            <w:tcW w:w="990" w:type="dxa"/>
            <w:tcBorders>
              <w:top w:val="single" w:color="auto" w:sz="4" w:space="0"/>
              <w:bottom w:val="single" w:color="auto" w:sz="4" w:space="0"/>
            </w:tcBorders>
            <w:vAlign w:val="center"/>
          </w:tcPr>
          <w:p w:rsidRPr="003544F8" w:rsidR="00F40BA4" w:rsidP="007253B7" w:rsidRDefault="00F40BA4" w14:paraId="015224EE" w14:textId="6FECB3C4">
            <w:pPr>
              <w:pStyle w:val="NoSpacing"/>
              <w:jc w:val="center"/>
              <w:rPr>
                <w:rFonts w:asciiTheme="minorHAnsi" w:hAnsiTheme="minorHAnsi" w:eastAsiaTheme="minorHAnsi" w:cstheme="minorHAnsi"/>
                <w:sz w:val="20"/>
                <w:szCs w:val="20"/>
              </w:rPr>
            </w:pPr>
            <w:r w:rsidRPr="003544F8">
              <w:rPr>
                <w:rFonts w:asciiTheme="minorHAnsi" w:hAnsiTheme="minorHAnsi" w:eastAsiaTheme="minorHAnsi" w:cstheme="minorHAnsi"/>
                <w:sz w:val="20"/>
                <w:szCs w:val="20"/>
              </w:rPr>
              <w:t>103</w:t>
            </w:r>
          </w:p>
        </w:tc>
        <w:tc>
          <w:tcPr>
            <w:tcW w:w="1165" w:type="dxa"/>
            <w:tcBorders>
              <w:top w:val="single" w:color="auto" w:sz="4" w:space="0"/>
              <w:bottom w:val="single" w:color="auto" w:sz="4" w:space="0"/>
            </w:tcBorders>
            <w:vAlign w:val="center"/>
          </w:tcPr>
          <w:p w:rsidRPr="003544F8" w:rsidR="00F40BA4" w:rsidP="007253B7" w:rsidRDefault="00F40BA4" w14:paraId="56407EA7" w14:textId="6205531B">
            <w:pPr>
              <w:pStyle w:val="NoSpacing"/>
              <w:jc w:val="center"/>
              <w:rPr>
                <w:rFonts w:asciiTheme="minorHAnsi" w:hAnsiTheme="minorHAnsi" w:eastAsiaTheme="minorHAnsi" w:cstheme="minorHAnsi"/>
                <w:sz w:val="20"/>
                <w:szCs w:val="20"/>
              </w:rPr>
            </w:pPr>
            <w:r w:rsidRPr="003544F8">
              <w:rPr>
                <w:rFonts w:asciiTheme="minorHAnsi" w:hAnsiTheme="minorHAnsi" w:eastAsiaTheme="minorHAnsi" w:cstheme="minorHAnsi"/>
                <w:sz w:val="20"/>
                <w:szCs w:val="20"/>
              </w:rPr>
              <w:t>261</w:t>
            </w:r>
          </w:p>
        </w:tc>
        <w:tc>
          <w:tcPr>
            <w:tcW w:w="1890" w:type="dxa"/>
            <w:tcBorders>
              <w:top w:val="single" w:color="auto" w:sz="4" w:space="0"/>
              <w:bottom w:val="single" w:color="auto" w:sz="4" w:space="0"/>
            </w:tcBorders>
            <w:vAlign w:val="center"/>
          </w:tcPr>
          <w:p w:rsidRPr="003544F8" w:rsidR="00F40BA4" w:rsidP="007253B7" w:rsidRDefault="00F40BA4" w14:paraId="6F5594B0" w14:textId="77777777">
            <w:pPr>
              <w:pStyle w:val="NoSpacing"/>
              <w:jc w:val="center"/>
              <w:rPr>
                <w:rFonts w:asciiTheme="minorHAnsi" w:hAnsiTheme="minorHAnsi" w:eastAsiaTheme="minorHAnsi" w:cstheme="minorHAnsi"/>
                <w:sz w:val="20"/>
                <w:szCs w:val="20"/>
              </w:rPr>
            </w:pPr>
            <w:r w:rsidRPr="003544F8">
              <w:rPr>
                <w:rFonts w:asciiTheme="minorHAnsi" w:hAnsiTheme="minorHAnsi" w:eastAsiaTheme="minorHAnsi" w:cstheme="minorHAnsi"/>
                <w:sz w:val="20"/>
                <w:szCs w:val="20"/>
              </w:rPr>
              <w:t>364</w:t>
            </w:r>
          </w:p>
        </w:tc>
      </w:tr>
    </w:tbl>
    <w:p w:rsidR="004C1C07" w:rsidP="00587C91" w:rsidRDefault="00F40BA4" w14:paraId="41C7C3D3" w14:textId="1A23CBD0">
      <w:pPr>
        <w:widowControl w:val="0"/>
        <w:tabs>
          <w:tab w:val="left" w:pos="1440"/>
          <w:tab w:val="left" w:pos="2160"/>
          <w:tab w:val="left" w:pos="3600"/>
          <w:tab w:val="left" w:pos="5040"/>
          <w:tab w:val="left" w:pos="5760"/>
        </w:tabs>
        <w:autoSpaceDE w:val="0"/>
        <w:autoSpaceDN w:val="0"/>
        <w:spacing w:before="220" w:after="0"/>
        <w:ind w:left="360" w:right="121"/>
        <w:rPr>
          <w:rFonts w:eastAsia="Arial" w:cstheme="minorHAnsi"/>
          <w:b/>
          <w:u w:val="single"/>
          <w:lang w:bidi="en-US"/>
        </w:rPr>
      </w:pPr>
      <w:r>
        <w:rPr>
          <w:rFonts w:cstheme="minorHAnsi"/>
          <w:bCs/>
          <w:lang w:bidi="en-US"/>
        </w:rPr>
        <w:t xml:space="preserve">Using a random number generator, a proportional number of parks will be selected from each </w:t>
      </w:r>
      <w:r w:rsidR="00587C91">
        <w:rPr>
          <w:rFonts w:cstheme="minorHAnsi"/>
          <w:bCs/>
          <w:lang w:bidi="en-US"/>
        </w:rPr>
        <w:t>stratum</w:t>
      </w:r>
      <w:r>
        <w:rPr>
          <w:rFonts w:cstheme="minorHAnsi"/>
          <w:bCs/>
          <w:lang w:bidi="en-US"/>
        </w:rPr>
        <w:t xml:space="preserve"> to create a stratified random sample of up to 28 parks</w:t>
      </w:r>
      <w:r w:rsidRPr="000D62B8">
        <w:rPr>
          <w:rFonts w:cstheme="minorHAnsi"/>
          <w:bCs/>
          <w:lang w:bidi="en-US"/>
        </w:rPr>
        <w:t>.</w:t>
      </w:r>
      <w:r w:rsidR="007253B7">
        <w:rPr>
          <w:rFonts w:cstheme="minorHAnsi"/>
          <w:lang w:bidi="en-US"/>
        </w:rPr>
        <w:t xml:space="preserve"> A</w:t>
      </w:r>
      <w:r w:rsidRPr="005316F2" w:rsidR="007253B7">
        <w:rPr>
          <w:rFonts w:cstheme="minorHAnsi"/>
          <w:lang w:bidi="en-US"/>
        </w:rPr>
        <w:t xml:space="preserve"> blend of natural/urban/historic sites along with units of varying annual visitor volumes</w:t>
      </w:r>
      <w:r w:rsidR="007253B7">
        <w:rPr>
          <w:rFonts w:cstheme="minorHAnsi"/>
          <w:lang w:bidi="en-US"/>
        </w:rPr>
        <w:t xml:space="preserve"> are included in the sample</w:t>
      </w:r>
      <w:r w:rsidRPr="005316F2" w:rsidR="007253B7">
        <w:rPr>
          <w:rFonts w:cstheme="minorHAnsi"/>
          <w:lang w:bidi="en-US"/>
        </w:rPr>
        <w:t xml:space="preserve">. </w:t>
      </w:r>
      <w:r w:rsidR="00E31F8E">
        <w:rPr>
          <w:rFonts w:eastAsia="Arial" w:cstheme="minorHAnsi"/>
          <w:b/>
          <w:u w:val="single"/>
          <w:lang w:bidi="en-US"/>
        </w:rPr>
        <w:t xml:space="preserve">Sampling </w:t>
      </w:r>
      <w:r w:rsidR="00884B77">
        <w:rPr>
          <w:rFonts w:eastAsia="Arial" w:cstheme="minorHAnsi"/>
          <w:b/>
          <w:u w:val="single"/>
          <w:lang w:bidi="en-US"/>
        </w:rPr>
        <w:t xml:space="preserve">of Visitors </w:t>
      </w:r>
      <w:r w:rsidR="00E31F8E">
        <w:rPr>
          <w:rFonts w:eastAsia="Arial" w:cstheme="minorHAnsi"/>
          <w:b/>
          <w:u w:val="single"/>
          <w:lang w:bidi="en-US"/>
        </w:rPr>
        <w:t>within</w:t>
      </w:r>
      <w:r w:rsidR="0025743C">
        <w:rPr>
          <w:rFonts w:eastAsia="Arial" w:cstheme="minorHAnsi"/>
          <w:b/>
          <w:u w:val="single"/>
          <w:lang w:bidi="en-US"/>
        </w:rPr>
        <w:t xml:space="preserve"> Park</w:t>
      </w:r>
      <w:r w:rsidR="00E31F8E">
        <w:rPr>
          <w:rFonts w:eastAsia="Arial" w:cstheme="minorHAnsi"/>
          <w:b/>
          <w:u w:val="single"/>
          <w:lang w:bidi="en-US"/>
        </w:rPr>
        <w:t xml:space="preserve"> Units</w:t>
      </w:r>
      <w:r w:rsidRPr="004F5F1B" w:rsidR="00350763">
        <w:rPr>
          <w:rFonts w:eastAsia="Arial" w:cstheme="minorHAnsi"/>
          <w:b/>
          <w:u w:val="single"/>
          <w:lang w:bidi="en-US"/>
        </w:rPr>
        <w:t xml:space="preserve"> </w:t>
      </w:r>
    </w:p>
    <w:p w:rsidRPr="00884B77" w:rsidR="0025743C" w:rsidP="00587C91" w:rsidRDefault="00884B77" w14:paraId="298F7F54" w14:textId="55D9A40D">
      <w:pPr>
        <w:widowControl w:val="0"/>
        <w:tabs>
          <w:tab w:val="left" w:pos="1440"/>
          <w:tab w:val="left" w:pos="2160"/>
          <w:tab w:val="left" w:pos="3600"/>
          <w:tab w:val="left" w:pos="5040"/>
          <w:tab w:val="left" w:pos="5760"/>
        </w:tabs>
        <w:autoSpaceDE w:val="0"/>
        <w:autoSpaceDN w:val="0"/>
        <w:spacing w:before="220" w:after="0"/>
        <w:ind w:left="360" w:right="121"/>
        <w:rPr>
          <w:rFonts w:eastAsia="Arial" w:cstheme="minorHAnsi"/>
          <w:b/>
          <w:u w:val="single"/>
          <w:lang w:bidi="en-US"/>
        </w:rPr>
      </w:pPr>
      <w:r w:rsidRPr="004F5F1B">
        <w:rPr>
          <w:rFonts w:eastAsia="Arial" w:cstheme="minorHAnsi"/>
          <w:lang w:bidi="en-US"/>
        </w:rPr>
        <w:t xml:space="preserve">A random sampling of visitors will be </w:t>
      </w:r>
      <w:r>
        <w:rPr>
          <w:rFonts w:eastAsia="Arial" w:cstheme="minorHAnsi"/>
          <w:lang w:bidi="en-US"/>
        </w:rPr>
        <w:t>intercepted</w:t>
      </w:r>
      <w:r w:rsidRPr="004F5F1B">
        <w:rPr>
          <w:rFonts w:eastAsia="Arial" w:cstheme="minorHAnsi"/>
          <w:lang w:bidi="en-US"/>
        </w:rPr>
        <w:t xml:space="preserve"> while visiting one of the selected NPS sites during </w:t>
      </w:r>
      <w:r w:rsidR="00E11B11">
        <w:rPr>
          <w:rFonts w:eastAsia="Arial" w:cstheme="minorHAnsi"/>
          <w:lang w:bidi="en-US"/>
        </w:rPr>
        <w:t>a</w:t>
      </w:r>
      <w:r w:rsidRPr="004F5F1B" w:rsidR="00E11B11">
        <w:rPr>
          <w:rFonts w:eastAsia="Arial" w:cstheme="minorHAnsi"/>
          <w:lang w:bidi="en-US"/>
        </w:rPr>
        <w:t xml:space="preserve"> </w:t>
      </w:r>
      <w:r w:rsidRPr="004F5F1B">
        <w:rPr>
          <w:rFonts w:eastAsia="Arial" w:cstheme="minorHAnsi"/>
          <w:lang w:bidi="en-US"/>
        </w:rPr>
        <w:t xml:space="preserve">10-day sampling period. </w:t>
      </w:r>
      <w:r w:rsidRPr="00685D04" w:rsidR="0025743C">
        <w:rPr>
          <w:rFonts w:cstheme="minorHAnsi"/>
          <w:bCs/>
          <w:lang w:bidi="en-US"/>
        </w:rPr>
        <w:t xml:space="preserve">Surveyors will be stationed at </w:t>
      </w:r>
      <w:r w:rsidR="00E11B11">
        <w:rPr>
          <w:rFonts w:cstheme="minorHAnsi"/>
          <w:bCs/>
          <w:lang w:bidi="en-US"/>
        </w:rPr>
        <w:t>s</w:t>
      </w:r>
      <w:r w:rsidRPr="00685D04" w:rsidR="00E11B11">
        <w:rPr>
          <w:rFonts w:cstheme="minorHAnsi"/>
          <w:bCs/>
          <w:lang w:bidi="en-US"/>
        </w:rPr>
        <w:t xml:space="preserve">pecific intercept locations within each NPS unit </w:t>
      </w:r>
      <w:r w:rsidR="00E11B11">
        <w:rPr>
          <w:rFonts w:cstheme="minorHAnsi"/>
          <w:bCs/>
          <w:lang w:bidi="en-US"/>
        </w:rPr>
        <w:t xml:space="preserve">(e.g., </w:t>
      </w:r>
      <w:r w:rsidRPr="00685D04" w:rsidR="00E11B11">
        <w:rPr>
          <w:rFonts w:cstheme="minorHAnsi"/>
          <w:bCs/>
          <w:lang w:bidi="en-US"/>
        </w:rPr>
        <w:t>visitor centers, attraction areas, trailheads, and near park entrances</w:t>
      </w:r>
      <w:r w:rsidR="00E11B11">
        <w:rPr>
          <w:rFonts w:cstheme="minorHAnsi"/>
          <w:bCs/>
          <w:lang w:bidi="en-US"/>
        </w:rPr>
        <w:t>)</w:t>
      </w:r>
      <w:r w:rsidRPr="00685D04" w:rsidR="00E11B11">
        <w:rPr>
          <w:rFonts w:cstheme="minorHAnsi"/>
          <w:bCs/>
          <w:lang w:bidi="en-US"/>
        </w:rPr>
        <w:t xml:space="preserve"> based on insights from park staff, NPS visitor use </w:t>
      </w:r>
      <w:r w:rsidRPr="00685D04" w:rsidR="00E11B11">
        <w:rPr>
          <w:rFonts w:cstheme="minorHAnsi"/>
          <w:bCs/>
          <w:lang w:bidi="en-US"/>
        </w:rPr>
        <w:lastRenderedPageBreak/>
        <w:t>statistics, prior research, and professional experience</w:t>
      </w:r>
      <w:r w:rsidR="00E11B11">
        <w:rPr>
          <w:rFonts w:cstheme="minorHAnsi"/>
          <w:bCs/>
          <w:lang w:bidi="en-US"/>
        </w:rPr>
        <w:t xml:space="preserve">. </w:t>
      </w:r>
    </w:p>
    <w:p w:rsidR="00350763" w:rsidP="00587C91" w:rsidRDefault="00E11B11" w14:paraId="2C345107" w14:textId="637A39FF">
      <w:pPr>
        <w:widowControl w:val="0"/>
        <w:autoSpaceDE w:val="0"/>
        <w:autoSpaceDN w:val="0"/>
        <w:spacing w:before="220" w:after="0"/>
        <w:ind w:left="360" w:right="115"/>
        <w:rPr>
          <w:rFonts w:eastAsia="Arial" w:cstheme="minorHAnsi"/>
          <w:lang w:bidi="en-US"/>
        </w:rPr>
      </w:pPr>
      <w:r>
        <w:rPr>
          <w:rFonts w:eastAsia="Arial" w:cstheme="minorHAnsi"/>
          <w:lang w:bidi="en-US"/>
        </w:rPr>
        <w:t>S</w:t>
      </w:r>
      <w:r w:rsidRPr="004F5F1B" w:rsidR="00350763">
        <w:rPr>
          <w:rFonts w:eastAsia="Arial" w:cstheme="minorHAnsi"/>
          <w:lang w:bidi="en-US"/>
        </w:rPr>
        <w:t>urvey</w:t>
      </w:r>
      <w:r>
        <w:rPr>
          <w:rFonts w:eastAsia="Arial" w:cstheme="minorHAnsi"/>
          <w:lang w:bidi="en-US"/>
        </w:rPr>
        <w:t>s</w:t>
      </w:r>
      <w:r w:rsidRPr="004F5F1B" w:rsidR="00350763">
        <w:rPr>
          <w:rFonts w:eastAsia="Arial" w:cstheme="minorHAnsi"/>
          <w:lang w:bidi="en-US"/>
        </w:rPr>
        <w:t xml:space="preserve"> </w:t>
      </w:r>
      <w:r>
        <w:rPr>
          <w:rFonts w:eastAsia="Arial" w:cstheme="minorHAnsi"/>
          <w:lang w:bidi="en-US"/>
        </w:rPr>
        <w:t xml:space="preserve">that </w:t>
      </w:r>
      <w:r w:rsidRPr="004F5F1B" w:rsidR="00350763">
        <w:rPr>
          <w:rFonts w:eastAsia="Arial" w:cstheme="minorHAnsi"/>
          <w:lang w:bidi="en-US"/>
        </w:rPr>
        <w:t xml:space="preserve">require intercepting </w:t>
      </w:r>
      <w:r w:rsidR="001D1745">
        <w:rPr>
          <w:rFonts w:eastAsia="Arial" w:cstheme="minorHAnsi"/>
          <w:lang w:bidi="en-US"/>
        </w:rPr>
        <w:t xml:space="preserve">visitors in </w:t>
      </w:r>
      <w:r w:rsidRPr="004F5F1B" w:rsidR="00350763">
        <w:rPr>
          <w:rFonts w:eastAsia="Arial" w:cstheme="minorHAnsi"/>
          <w:lang w:bidi="en-US"/>
        </w:rPr>
        <w:t xml:space="preserve">vehicles will be </w:t>
      </w:r>
      <w:r w:rsidR="001D1745">
        <w:rPr>
          <w:rFonts w:eastAsia="Arial" w:cstheme="minorHAnsi"/>
          <w:lang w:bidi="en-US"/>
        </w:rPr>
        <w:t xml:space="preserve">conducted by </w:t>
      </w:r>
      <w:r w:rsidRPr="004F5F1B" w:rsidR="00350763">
        <w:rPr>
          <w:rFonts w:eastAsia="Arial" w:cstheme="minorHAnsi"/>
          <w:lang w:bidi="en-US"/>
        </w:rPr>
        <w:t xml:space="preserve">safely </w:t>
      </w:r>
      <w:r w:rsidRPr="004F5F1B" w:rsidR="001D1745">
        <w:rPr>
          <w:rFonts w:eastAsia="Arial" w:cstheme="minorHAnsi"/>
          <w:lang w:bidi="en-US"/>
        </w:rPr>
        <w:t>flagg</w:t>
      </w:r>
      <w:r w:rsidR="001D1745">
        <w:rPr>
          <w:rFonts w:eastAsia="Arial" w:cstheme="minorHAnsi"/>
          <w:lang w:bidi="en-US"/>
        </w:rPr>
        <w:t>ing</w:t>
      </w:r>
      <w:r w:rsidRPr="004F5F1B" w:rsidR="001D1745">
        <w:rPr>
          <w:rFonts w:eastAsia="Arial" w:cstheme="minorHAnsi"/>
          <w:lang w:bidi="en-US"/>
        </w:rPr>
        <w:t xml:space="preserve"> </w:t>
      </w:r>
      <w:r w:rsidR="001D1745">
        <w:rPr>
          <w:rFonts w:eastAsia="Arial" w:cstheme="minorHAnsi"/>
          <w:lang w:bidi="en-US"/>
        </w:rPr>
        <w:t xml:space="preserve">them </w:t>
      </w:r>
      <w:r w:rsidRPr="004F5F1B" w:rsidR="00350763">
        <w:rPr>
          <w:rFonts w:eastAsia="Arial" w:cstheme="minorHAnsi"/>
          <w:lang w:bidi="en-US"/>
        </w:rPr>
        <w:t xml:space="preserve">into a designated survey area. Surveyors will be instructed to attempt to intercept every </w:t>
      </w:r>
      <w:r w:rsidRPr="0075054E" w:rsidR="001D1745">
        <w:rPr>
          <w:rFonts w:eastAsia="Arial" w:cstheme="minorHAnsi"/>
          <w:i/>
          <w:iCs/>
          <w:lang w:bidi="en-US"/>
        </w:rPr>
        <w:t>nth</w:t>
      </w:r>
      <w:r w:rsidRPr="004F5F1B" w:rsidR="001D1745">
        <w:rPr>
          <w:rFonts w:eastAsia="Arial" w:cstheme="minorHAnsi"/>
          <w:lang w:bidi="en-US"/>
        </w:rPr>
        <w:t xml:space="preserve"> </w:t>
      </w:r>
      <w:r w:rsidRPr="004F5F1B" w:rsidR="00350763">
        <w:rPr>
          <w:rFonts w:eastAsia="Arial" w:cstheme="minorHAnsi"/>
          <w:lang w:bidi="en-US"/>
        </w:rPr>
        <w:t>vehicle passing based on the anticipated volume and number of visitor contacts required at each NPS unit.</w:t>
      </w:r>
    </w:p>
    <w:p w:rsidR="00350763" w:rsidP="00587C91" w:rsidRDefault="00350763" w14:paraId="6E153901" w14:textId="72EEBEC3">
      <w:pPr>
        <w:widowControl w:val="0"/>
        <w:autoSpaceDE w:val="0"/>
        <w:autoSpaceDN w:val="0"/>
        <w:spacing w:before="220" w:after="0"/>
        <w:ind w:left="360" w:right="115"/>
        <w:rPr>
          <w:rFonts w:eastAsia="Arial" w:cstheme="minorHAnsi"/>
          <w:lang w:bidi="en-US"/>
        </w:rPr>
      </w:pPr>
      <w:r w:rsidRPr="004F5F1B">
        <w:rPr>
          <w:rFonts w:eastAsia="Arial" w:cstheme="minorHAnsi"/>
          <w:lang w:bidi="en-US"/>
        </w:rPr>
        <w:t xml:space="preserve">Where surveying requires intercepting individuals on foot or otherwise outside of their vehicles, visitors traveling past the intercept locations or within the designated survey area will be randomly approached. Surveyors will be instructed to attempt to intercept every </w:t>
      </w:r>
      <w:r w:rsidRPr="0075054E" w:rsidR="001D1745">
        <w:rPr>
          <w:rFonts w:eastAsia="Arial" w:cstheme="minorHAnsi"/>
          <w:i/>
          <w:iCs/>
          <w:lang w:bidi="en-US"/>
        </w:rPr>
        <w:t>nth</w:t>
      </w:r>
      <w:r w:rsidRPr="004F5F1B" w:rsidR="001D1745">
        <w:rPr>
          <w:rFonts w:eastAsia="Arial" w:cstheme="minorHAnsi"/>
          <w:lang w:bidi="en-US"/>
        </w:rPr>
        <w:t xml:space="preserve"> </w:t>
      </w:r>
      <w:r w:rsidRPr="004F5F1B">
        <w:rPr>
          <w:rFonts w:eastAsia="Arial" w:cstheme="minorHAnsi"/>
          <w:lang w:bidi="en-US"/>
        </w:rPr>
        <w:t xml:space="preserve">group passing based on the anticipated volume and number of visitor contacts required at each NPS unit. </w:t>
      </w:r>
    </w:p>
    <w:p w:rsidR="00587C91" w:rsidP="00587C91" w:rsidRDefault="00587C91" w14:paraId="1D3822A0" w14:textId="77777777">
      <w:pPr>
        <w:rPr>
          <w:rFonts w:eastAsia="Arial" w:cstheme="minorHAnsi"/>
          <w:b/>
          <w:bCs/>
          <w:i/>
          <w:iCs/>
          <w:lang w:bidi="en-US"/>
        </w:rPr>
      </w:pPr>
    </w:p>
    <w:p w:rsidRPr="001761E9" w:rsidR="00350763" w:rsidP="00587C91" w:rsidRDefault="00884B77" w14:paraId="545D1009" w14:textId="15489992">
      <w:pPr>
        <w:ind w:left="360"/>
        <w:rPr>
          <w:rFonts w:eastAsia="Arial" w:cstheme="minorHAnsi"/>
          <w:b/>
          <w:bCs/>
          <w:i/>
          <w:iCs/>
          <w:lang w:bidi="en-US"/>
        </w:rPr>
      </w:pPr>
      <w:r>
        <w:rPr>
          <w:rFonts w:eastAsia="Arial" w:cstheme="minorHAnsi"/>
          <w:b/>
          <w:bCs/>
          <w:i/>
          <w:iCs/>
          <w:lang w:bidi="en-US"/>
        </w:rPr>
        <w:t>Follow-up (</w:t>
      </w:r>
      <w:r w:rsidRPr="001761E9" w:rsidR="00350763">
        <w:rPr>
          <w:rFonts w:eastAsia="Arial" w:cstheme="minorHAnsi"/>
          <w:b/>
          <w:bCs/>
          <w:i/>
          <w:iCs/>
          <w:lang w:bidi="en-US"/>
        </w:rPr>
        <w:t>Mail-Back/Online</w:t>
      </w:r>
      <w:r>
        <w:rPr>
          <w:rFonts w:eastAsia="Arial" w:cstheme="minorHAnsi"/>
          <w:b/>
          <w:bCs/>
          <w:i/>
          <w:iCs/>
          <w:lang w:bidi="en-US"/>
        </w:rPr>
        <w:t>)</w:t>
      </w:r>
      <w:r w:rsidRPr="001761E9" w:rsidR="00350763">
        <w:rPr>
          <w:rFonts w:eastAsia="Arial" w:cstheme="minorHAnsi"/>
          <w:b/>
          <w:bCs/>
          <w:i/>
          <w:iCs/>
          <w:lang w:bidi="en-US"/>
        </w:rPr>
        <w:t xml:space="preserve"> Survey</w:t>
      </w:r>
    </w:p>
    <w:p w:rsidR="00C92F2B" w:rsidP="00587C91" w:rsidRDefault="0094570D" w14:paraId="0CF0320F" w14:textId="4C192245">
      <w:pPr>
        <w:spacing w:after="220"/>
        <w:ind w:left="360"/>
        <w:contextualSpacing/>
        <w:rPr>
          <w:rFonts w:eastAsia="Arial" w:cstheme="minorHAnsi"/>
          <w:bCs/>
          <w:lang w:bidi="en-US"/>
        </w:rPr>
      </w:pPr>
      <w:r>
        <w:rPr>
          <w:rFonts w:eastAsia="Arial" w:cstheme="minorHAnsi"/>
          <w:bCs/>
          <w:lang w:bidi="en-US"/>
        </w:rPr>
        <w:t>All r</w:t>
      </w:r>
      <w:r w:rsidRPr="00350763" w:rsidR="00350763">
        <w:rPr>
          <w:rFonts w:eastAsia="Arial" w:cstheme="minorHAnsi"/>
          <w:bCs/>
          <w:lang w:bidi="en-US"/>
        </w:rPr>
        <w:t>espondents who agree to participate in the</w:t>
      </w:r>
      <w:r w:rsidR="001761E9">
        <w:rPr>
          <w:rFonts w:eastAsia="Arial" w:cstheme="minorHAnsi"/>
          <w:bCs/>
          <w:lang w:bidi="en-US"/>
        </w:rPr>
        <w:t xml:space="preserve"> onsite</w:t>
      </w:r>
      <w:r w:rsidRPr="00350763" w:rsidR="00350763">
        <w:rPr>
          <w:rFonts w:eastAsia="Arial" w:cstheme="minorHAnsi"/>
          <w:bCs/>
          <w:lang w:bidi="en-US"/>
        </w:rPr>
        <w:t xml:space="preserve"> intercept survey</w:t>
      </w:r>
      <w:r>
        <w:rPr>
          <w:rFonts w:eastAsia="Arial" w:cstheme="minorHAnsi"/>
          <w:bCs/>
          <w:lang w:bidi="en-US"/>
        </w:rPr>
        <w:t xml:space="preserve"> </w:t>
      </w:r>
      <w:r w:rsidRPr="00350763" w:rsidR="00350763">
        <w:rPr>
          <w:rFonts w:eastAsia="Arial" w:cstheme="minorHAnsi"/>
          <w:bCs/>
          <w:lang w:bidi="en-US"/>
        </w:rPr>
        <w:t xml:space="preserve">will be </w:t>
      </w:r>
      <w:r w:rsidR="00C92F2B">
        <w:rPr>
          <w:rFonts w:eastAsia="Arial" w:cstheme="minorHAnsi"/>
          <w:bCs/>
          <w:lang w:bidi="en-US"/>
        </w:rPr>
        <w:t xml:space="preserve">asked to complete </w:t>
      </w:r>
      <w:r w:rsidRPr="00350763" w:rsidR="00350763">
        <w:rPr>
          <w:rFonts w:eastAsia="Arial" w:cstheme="minorHAnsi"/>
          <w:bCs/>
          <w:lang w:bidi="en-US"/>
        </w:rPr>
        <w:t>the mail-back/online</w:t>
      </w:r>
      <w:r w:rsidR="001761E9">
        <w:rPr>
          <w:rFonts w:eastAsia="Arial" w:cstheme="minorHAnsi"/>
          <w:bCs/>
          <w:lang w:bidi="en-US"/>
        </w:rPr>
        <w:t xml:space="preserve"> follow-up</w:t>
      </w:r>
      <w:r w:rsidRPr="00350763" w:rsidR="00350763">
        <w:rPr>
          <w:rFonts w:eastAsia="Arial" w:cstheme="minorHAnsi"/>
          <w:bCs/>
          <w:lang w:bidi="en-US"/>
        </w:rPr>
        <w:t xml:space="preserve"> survey.  </w:t>
      </w:r>
    </w:p>
    <w:p w:rsidRPr="00AE0D1F" w:rsidR="00E95952" w:rsidP="0075054E" w:rsidRDefault="00E95952" w14:paraId="245EFEA5" w14:textId="501D4664">
      <w:pPr>
        <w:pStyle w:val="ListParagraph"/>
        <w:numPr>
          <w:ilvl w:val="0"/>
          <w:numId w:val="25"/>
        </w:numPr>
        <w:pBdr>
          <w:top w:val="single" w:color="5F497A" w:themeColor="accent4" w:themeShade="BF" w:sz="12" w:space="1"/>
        </w:pBdr>
        <w:tabs>
          <w:tab w:val="left" w:pos="360"/>
          <w:tab w:val="left" w:pos="1440"/>
          <w:tab w:val="left" w:pos="2160"/>
          <w:tab w:val="left" w:pos="3600"/>
          <w:tab w:val="left" w:pos="5040"/>
          <w:tab w:val="left" w:pos="5760"/>
        </w:tabs>
        <w:spacing w:after="0"/>
        <w:ind w:left="360"/>
        <w:rPr>
          <w:rFonts w:cs="Arial"/>
          <w:b/>
        </w:rPr>
      </w:pPr>
      <w:r w:rsidRPr="00AE0D1F">
        <w:rPr>
          <w:rFonts w:cs="Arial"/>
          <w:b/>
        </w:rPr>
        <w:t>Instrument Administration:</w:t>
      </w:r>
    </w:p>
    <w:p w:rsidRPr="004F5F1B" w:rsidR="004F5F1B" w:rsidP="00795BB2" w:rsidRDefault="00884B77" w14:paraId="5513DA68" w14:textId="768B0FF2">
      <w:pPr>
        <w:widowControl w:val="0"/>
        <w:tabs>
          <w:tab w:val="left" w:pos="360"/>
          <w:tab w:val="left" w:pos="1440"/>
          <w:tab w:val="left" w:pos="2160"/>
          <w:tab w:val="left" w:pos="3600"/>
          <w:tab w:val="left" w:pos="5040"/>
          <w:tab w:val="left" w:pos="5760"/>
        </w:tabs>
        <w:autoSpaceDE w:val="0"/>
        <w:autoSpaceDN w:val="0"/>
        <w:spacing w:before="220" w:after="0"/>
        <w:ind w:left="360" w:right="121"/>
        <w:rPr>
          <w:rFonts w:eastAsia="Arial" w:cstheme="minorHAnsi"/>
          <w:b/>
          <w:u w:val="single"/>
          <w:lang w:bidi="en-US"/>
        </w:rPr>
      </w:pPr>
      <w:r>
        <w:rPr>
          <w:rFonts w:eastAsia="Arial" w:cstheme="minorHAnsi"/>
          <w:b/>
          <w:u w:val="single"/>
          <w:lang w:bidi="en-US"/>
        </w:rPr>
        <w:t>On</w:t>
      </w:r>
      <w:r w:rsidR="004A3907">
        <w:rPr>
          <w:rFonts w:eastAsia="Arial" w:cstheme="minorHAnsi"/>
          <w:b/>
          <w:u w:val="single"/>
          <w:lang w:bidi="en-US"/>
        </w:rPr>
        <w:t>-</w:t>
      </w:r>
      <w:r>
        <w:rPr>
          <w:rFonts w:eastAsia="Arial" w:cstheme="minorHAnsi"/>
          <w:b/>
          <w:u w:val="single"/>
          <w:lang w:bidi="en-US"/>
        </w:rPr>
        <w:t>site (</w:t>
      </w:r>
      <w:r w:rsidRPr="004F5F1B" w:rsidR="004F5F1B">
        <w:rPr>
          <w:rFonts w:eastAsia="Arial" w:cstheme="minorHAnsi"/>
          <w:b/>
          <w:u w:val="single"/>
          <w:lang w:bidi="en-US"/>
        </w:rPr>
        <w:t>Intercept</w:t>
      </w:r>
      <w:r>
        <w:rPr>
          <w:rFonts w:eastAsia="Arial" w:cstheme="minorHAnsi"/>
          <w:b/>
          <w:u w:val="single"/>
          <w:lang w:bidi="en-US"/>
        </w:rPr>
        <w:t>)</w:t>
      </w:r>
      <w:r w:rsidRPr="004F5F1B" w:rsidR="004F5F1B">
        <w:rPr>
          <w:rFonts w:eastAsia="Arial" w:cstheme="minorHAnsi"/>
          <w:b/>
          <w:u w:val="single"/>
          <w:lang w:bidi="en-US"/>
        </w:rPr>
        <w:t xml:space="preserve"> Survey </w:t>
      </w:r>
    </w:p>
    <w:p w:rsidR="002800BF" w:rsidP="00795BB2" w:rsidRDefault="004F5F1B" w14:paraId="457CADF8" w14:textId="63D31A72">
      <w:pPr>
        <w:tabs>
          <w:tab w:val="left" w:pos="360"/>
          <w:tab w:val="left" w:pos="1440"/>
          <w:tab w:val="left" w:pos="2160"/>
          <w:tab w:val="left" w:pos="3600"/>
          <w:tab w:val="left" w:pos="5040"/>
          <w:tab w:val="left" w:pos="5760"/>
        </w:tabs>
        <w:spacing w:after="220"/>
        <w:ind w:left="360"/>
        <w:rPr>
          <w:rFonts w:cs="Arial"/>
        </w:rPr>
      </w:pPr>
      <w:r w:rsidRPr="004F5F1B">
        <w:rPr>
          <w:rFonts w:eastAsia="Arial" w:cstheme="minorHAnsi"/>
          <w:lang w:bidi="en-US"/>
        </w:rPr>
        <w:t xml:space="preserve">Within each park unit, visitors will be sampled to participate in an intercept survey about their park experience and trip characteristics. Across the 10-day sampling </w:t>
      </w:r>
      <w:r w:rsidR="00D51B77">
        <w:rPr>
          <w:rFonts w:eastAsia="Arial" w:cstheme="minorHAnsi"/>
          <w:lang w:bidi="en-US"/>
        </w:rPr>
        <w:t>period</w:t>
      </w:r>
      <w:r w:rsidRPr="004F5F1B">
        <w:rPr>
          <w:rFonts w:eastAsia="Arial" w:cstheme="minorHAnsi"/>
          <w:lang w:bidi="en-US"/>
        </w:rPr>
        <w:t xml:space="preserve"> at each park, surveyors will contact potential respondents in locations where they are likely to have already experienced the site, as opposed to just arriving. This process will limit the number of potential respondents who just arrived at the park and have yet to spend time within</w:t>
      </w:r>
      <w:r w:rsidR="003144D6">
        <w:rPr>
          <w:rFonts w:eastAsia="Arial" w:cstheme="minorHAnsi"/>
          <w:lang w:bidi="en-US"/>
        </w:rPr>
        <w:t>.</w:t>
      </w:r>
    </w:p>
    <w:p w:rsidR="004F5F1B" w:rsidP="00795BB2" w:rsidRDefault="004F5F1B" w14:paraId="1C5B1227" w14:textId="7DF182D8">
      <w:pPr>
        <w:pStyle w:val="ListParagraph"/>
        <w:tabs>
          <w:tab w:val="left" w:pos="1440"/>
          <w:tab w:val="left" w:pos="2160"/>
          <w:tab w:val="left" w:pos="3600"/>
          <w:tab w:val="left" w:pos="5040"/>
          <w:tab w:val="left" w:pos="5760"/>
        </w:tabs>
        <w:spacing w:after="220"/>
        <w:ind w:left="360"/>
        <w:contextualSpacing w:val="0"/>
        <w:rPr>
          <w:rFonts w:cs="Arial"/>
        </w:rPr>
      </w:pPr>
      <w:r w:rsidRPr="004F5F1B">
        <w:rPr>
          <w:rFonts w:cs="Arial"/>
        </w:rPr>
        <w:t>If the visitor agrees to participate</w:t>
      </w:r>
      <w:r w:rsidR="004A364C">
        <w:rPr>
          <w:rFonts w:cs="Arial"/>
        </w:rPr>
        <w:t>, the survey will be verbally administered by the surveyor and the</w:t>
      </w:r>
      <w:r w:rsidRPr="004F5F1B">
        <w:rPr>
          <w:rFonts w:cs="Arial"/>
        </w:rPr>
        <w:t xml:space="preserve"> responses </w:t>
      </w:r>
      <w:r w:rsidR="004D2A9A">
        <w:rPr>
          <w:rFonts w:cs="Arial"/>
        </w:rPr>
        <w:t xml:space="preserve">will be </w:t>
      </w:r>
      <w:r w:rsidRPr="004F5F1B">
        <w:rPr>
          <w:rFonts w:cs="Arial"/>
        </w:rPr>
        <w:t xml:space="preserve">recorded via an Android Tablet. If the visitor does not agree, surveyors will thank them for their time, attempt to ask the three non-response bias questions, and then sample the </w:t>
      </w:r>
      <w:r w:rsidR="004D2A9A">
        <w:rPr>
          <w:rFonts w:cs="Arial"/>
        </w:rPr>
        <w:t>next n</w:t>
      </w:r>
      <w:r w:rsidRPr="004F5F1B">
        <w:rPr>
          <w:rFonts w:cs="Arial"/>
        </w:rPr>
        <w:t xml:space="preserve">th visitor. This process will be standardized across all park units using </w:t>
      </w:r>
      <w:r w:rsidR="004D2A9A">
        <w:rPr>
          <w:rFonts w:cs="Arial"/>
        </w:rPr>
        <w:t xml:space="preserve">the </w:t>
      </w:r>
      <w:r w:rsidRPr="004F5F1B">
        <w:rPr>
          <w:rFonts w:cs="Arial"/>
        </w:rPr>
        <w:t xml:space="preserve">protocols </w:t>
      </w:r>
      <w:r w:rsidR="004D2A9A">
        <w:rPr>
          <w:rFonts w:cs="Arial"/>
        </w:rPr>
        <w:t xml:space="preserve">established </w:t>
      </w:r>
      <w:r w:rsidRPr="004F5F1B">
        <w:rPr>
          <w:rFonts w:cs="Arial"/>
        </w:rPr>
        <w:t>for surveyors.</w:t>
      </w:r>
    </w:p>
    <w:p w:rsidR="00890638" w:rsidP="00795BB2" w:rsidRDefault="004F5F1B" w14:paraId="78C2EC93" w14:textId="475E597A">
      <w:pPr>
        <w:spacing w:after="220"/>
        <w:ind w:left="360" w:right="115"/>
      </w:pPr>
      <w:r w:rsidRPr="004F5F1B">
        <w:t xml:space="preserve">Following a brief introduction of the purpose of the survey, the potential respondent (adult group member with the most recent birth date) will be asked if they </w:t>
      </w:r>
      <w:r w:rsidR="004D2A9A">
        <w:t>would be</w:t>
      </w:r>
      <w:r w:rsidRPr="004F5F1B" w:rsidR="004D2A9A">
        <w:t xml:space="preserve"> </w:t>
      </w:r>
      <w:r w:rsidRPr="004F5F1B">
        <w:t>willing to take part in the 5 minute survey. The intercept survey</w:t>
      </w:r>
      <w:r w:rsidR="004D2A9A">
        <w:t xml:space="preserve"> will</w:t>
      </w:r>
      <w:r w:rsidRPr="004F5F1B">
        <w:t xml:space="preserve"> include</w:t>
      </w:r>
      <w:r w:rsidR="004D2A9A">
        <w:t xml:space="preserve"> the </w:t>
      </w:r>
      <w:r w:rsidRPr="004F5F1B">
        <w:t xml:space="preserve">questions </w:t>
      </w:r>
      <w:r w:rsidR="004D2A9A">
        <w:t>used as the</w:t>
      </w:r>
      <w:r w:rsidRPr="004F5F1B">
        <w:t xml:space="preserve"> non-response bias check (i.e.</w:t>
      </w:r>
      <w:r w:rsidR="004D2A9A">
        <w:t>,</w:t>
      </w:r>
      <w:r w:rsidRPr="004F5F1B">
        <w:t xml:space="preserve"> residency</w:t>
      </w:r>
      <w:r w:rsidR="005D70E9">
        <w:t xml:space="preserve"> </w:t>
      </w:r>
      <w:r w:rsidR="004D2A9A">
        <w:t>(</w:t>
      </w:r>
      <w:r w:rsidRPr="004F5F1B">
        <w:t>permanent or seasonal</w:t>
      </w:r>
      <w:r w:rsidR="004D2A9A">
        <w:t>)</w:t>
      </w:r>
      <w:r w:rsidR="005D70E9">
        <w:t>)</w:t>
      </w:r>
      <w:r w:rsidR="004D2A9A">
        <w:t xml:space="preserve"> </w:t>
      </w:r>
      <w:r w:rsidRPr="004F5F1B">
        <w:t>and night</w:t>
      </w:r>
      <w:r w:rsidR="004D2A9A">
        <w:t>s</w:t>
      </w:r>
      <w:r w:rsidRPr="004F5F1B">
        <w:t xml:space="preserve"> away from their permanent residency on this trip as well as basic trip characteristics that a</w:t>
      </w:r>
      <w:r w:rsidR="00D51B77">
        <w:t>pply</w:t>
      </w:r>
      <w:r w:rsidRPr="004F5F1B">
        <w:t xml:space="preserve"> to their current visit.</w:t>
      </w:r>
      <w:r w:rsidR="003843AA">
        <w:t xml:space="preserve"> </w:t>
      </w:r>
      <w:r w:rsidRPr="004F5F1B">
        <w:t xml:space="preserve"> Four potential outcomes are expected following the request to participate:</w:t>
      </w:r>
      <w:r w:rsidR="004C2171">
        <w:t xml:space="preserve"> (1) </w:t>
      </w:r>
      <w:r>
        <w:t>Complete refusal;</w:t>
      </w:r>
      <w:r w:rsidR="004C2171">
        <w:t xml:space="preserve"> (2) </w:t>
      </w:r>
      <w:r>
        <w:t>Partial refusal, answering non-response questions but nothing further;</w:t>
      </w:r>
      <w:r w:rsidR="004C2171">
        <w:t xml:space="preserve"> (3) </w:t>
      </w:r>
      <w:r>
        <w:t>Complete Intercept, but refuse to take mail-back;</w:t>
      </w:r>
      <w:r w:rsidR="004C2171">
        <w:t xml:space="preserve"> and (4) </w:t>
      </w:r>
      <w:r>
        <w:t>Complete Intercept and take mail-back.</w:t>
      </w:r>
    </w:p>
    <w:p w:rsidR="004E6D37" w:rsidP="00795BB2" w:rsidRDefault="004E6D37" w14:paraId="24F953BB" w14:textId="0299EC9E">
      <w:pPr>
        <w:spacing w:after="220"/>
        <w:ind w:left="360" w:right="115"/>
      </w:pPr>
      <w:r w:rsidRPr="004E6D37">
        <w:rPr>
          <w:lang w:bidi="en-US"/>
        </w:rPr>
        <w:t xml:space="preserve">As part of the intercept protocol, surveyors will </w:t>
      </w:r>
      <w:r w:rsidR="003843AA">
        <w:rPr>
          <w:lang w:bidi="en-US"/>
        </w:rPr>
        <w:t>add</w:t>
      </w:r>
      <w:r w:rsidRPr="004E6D37" w:rsidR="003843AA">
        <w:rPr>
          <w:lang w:bidi="en-US"/>
        </w:rPr>
        <w:t xml:space="preserve"> </w:t>
      </w:r>
      <w:r w:rsidRPr="004E6D37">
        <w:rPr>
          <w:lang w:bidi="en-US"/>
        </w:rPr>
        <w:t xml:space="preserve">a unique identifier </w:t>
      </w:r>
      <w:r w:rsidR="003843AA">
        <w:rPr>
          <w:lang w:bidi="en-US"/>
        </w:rPr>
        <w:t>to each survey</w:t>
      </w:r>
      <w:r w:rsidRPr="004E6D37">
        <w:rPr>
          <w:lang w:bidi="en-US"/>
        </w:rPr>
        <w:t xml:space="preserve"> </w:t>
      </w:r>
      <w:r w:rsidR="003843AA">
        <w:rPr>
          <w:lang w:bidi="en-US"/>
        </w:rPr>
        <w:t>that</w:t>
      </w:r>
      <w:r w:rsidRPr="004E6D37">
        <w:rPr>
          <w:lang w:bidi="en-US"/>
        </w:rPr>
        <w:t xml:space="preserve"> will be linked to the mail-back survey</w:t>
      </w:r>
      <w:r w:rsidR="003843AA">
        <w:rPr>
          <w:lang w:bidi="en-US"/>
        </w:rPr>
        <w:t xml:space="preserve">, </w:t>
      </w:r>
      <w:r w:rsidRPr="004E6D37">
        <w:rPr>
          <w:lang w:bidi="en-US"/>
        </w:rPr>
        <w:t>the postage-paid envelope</w:t>
      </w:r>
      <w:r w:rsidR="003843AA">
        <w:rPr>
          <w:lang w:bidi="en-US"/>
        </w:rPr>
        <w:t>,</w:t>
      </w:r>
      <w:r w:rsidRPr="004E6D37">
        <w:rPr>
          <w:lang w:bidi="en-US"/>
        </w:rPr>
        <w:t xml:space="preserve"> and on a slip of paper inside the packet with the URL to the online survey. This unique identifier will also </w:t>
      </w:r>
      <w:r w:rsidR="003843AA">
        <w:rPr>
          <w:lang w:bidi="en-US"/>
        </w:rPr>
        <w:t>serve as the</w:t>
      </w:r>
      <w:r w:rsidRPr="004E6D37">
        <w:rPr>
          <w:lang w:bidi="en-US"/>
        </w:rPr>
        <w:t xml:space="preserve"> password to access the online survey.</w:t>
      </w:r>
    </w:p>
    <w:p w:rsidR="004E6D37" w:rsidP="00795BB2" w:rsidRDefault="004E6D37" w14:paraId="6C1255CC" w14:textId="2C2C6B3D">
      <w:pPr>
        <w:spacing w:after="220"/>
        <w:ind w:left="360" w:right="115"/>
        <w:rPr>
          <w:lang w:bidi="en-US"/>
        </w:rPr>
      </w:pPr>
      <w:r w:rsidRPr="004E6D37">
        <w:rPr>
          <w:lang w:bidi="en-US"/>
        </w:rPr>
        <w:t xml:space="preserve">The final question on the Intercept survey will provide the respondent an opportunity to </w:t>
      </w:r>
      <w:r w:rsidR="003843AA">
        <w:rPr>
          <w:lang w:bidi="en-US"/>
        </w:rPr>
        <w:t>provide</w:t>
      </w:r>
      <w:r w:rsidRPr="004E6D37" w:rsidR="003843AA">
        <w:rPr>
          <w:lang w:bidi="en-US"/>
        </w:rPr>
        <w:t xml:space="preserve"> </w:t>
      </w:r>
      <w:r w:rsidRPr="004E6D37">
        <w:rPr>
          <w:lang w:bidi="en-US"/>
        </w:rPr>
        <w:t xml:space="preserve">their </w:t>
      </w:r>
      <w:r w:rsidRPr="004E6D37" w:rsidR="003843AA">
        <w:rPr>
          <w:lang w:bidi="en-US"/>
        </w:rPr>
        <w:t>mai</w:t>
      </w:r>
      <w:r w:rsidR="003843AA">
        <w:rPr>
          <w:lang w:bidi="en-US"/>
        </w:rPr>
        <w:t>l</w:t>
      </w:r>
      <w:r w:rsidRPr="004E6D37" w:rsidR="003843AA">
        <w:rPr>
          <w:lang w:bidi="en-US"/>
        </w:rPr>
        <w:t xml:space="preserve"> </w:t>
      </w:r>
      <w:r w:rsidRPr="004E6D37">
        <w:rPr>
          <w:lang w:bidi="en-US"/>
        </w:rPr>
        <w:t xml:space="preserve">or email address that will be used </w:t>
      </w:r>
      <w:r w:rsidR="003843AA">
        <w:rPr>
          <w:lang w:bidi="en-US"/>
        </w:rPr>
        <w:t xml:space="preserve">for </w:t>
      </w:r>
      <w:r w:rsidRPr="004E6D37">
        <w:rPr>
          <w:lang w:bidi="en-US"/>
        </w:rPr>
        <w:t xml:space="preserve">the follow-up protocol of the </w:t>
      </w:r>
      <w:bookmarkStart w:name="_Hlk50991703" w:id="1"/>
      <w:r w:rsidRPr="004E6D37">
        <w:rPr>
          <w:lang w:bidi="en-US"/>
        </w:rPr>
        <w:t xml:space="preserve">“Tailored Design Method” </w:t>
      </w:r>
      <w:bookmarkEnd w:id="1"/>
      <w:r w:rsidRPr="004E6D37">
        <w:rPr>
          <w:lang w:bidi="en-US"/>
        </w:rPr>
        <w:t xml:space="preserve">(reminder protocols for mail-back surveys). </w:t>
      </w:r>
    </w:p>
    <w:p w:rsidRPr="004E6D37" w:rsidR="004E6D37" w:rsidP="00795BB2" w:rsidRDefault="004E6D37" w14:paraId="031F10A8" w14:textId="3F1AD881">
      <w:pPr>
        <w:spacing w:after="0"/>
        <w:ind w:left="360" w:right="115"/>
        <w:rPr>
          <w:lang w:bidi="en-US"/>
        </w:rPr>
      </w:pPr>
      <w:r w:rsidRPr="004E6D37">
        <w:rPr>
          <w:lang w:bidi="en-US"/>
        </w:rPr>
        <w:lastRenderedPageBreak/>
        <w:t xml:space="preserve">Due to the COVID-19 pandemic, the research team recognizes a need to consider contingencies to the instrument administration. If COVID-19 continues into the </w:t>
      </w:r>
      <w:r w:rsidR="003544F8">
        <w:rPr>
          <w:lang w:bidi="en-US"/>
        </w:rPr>
        <w:t>sampling period</w:t>
      </w:r>
      <w:r w:rsidRPr="004E6D37">
        <w:rPr>
          <w:lang w:bidi="en-US"/>
        </w:rPr>
        <w:t>, the research team will adopt several strategies to ensure a safe environment for both respondent and surveyors including, but not limited to</w:t>
      </w:r>
      <w:r w:rsidR="003544F8">
        <w:rPr>
          <w:lang w:bidi="en-US"/>
        </w:rPr>
        <w:t xml:space="preserve"> the following practices</w:t>
      </w:r>
      <w:r w:rsidRPr="004E6D37">
        <w:rPr>
          <w:lang w:bidi="en-US"/>
        </w:rPr>
        <w:t>:</w:t>
      </w:r>
    </w:p>
    <w:p w:rsidRPr="004E6D37" w:rsidR="004E6D37" w:rsidP="00795BB2" w:rsidRDefault="004E6D37" w14:paraId="59CEA544" w14:textId="7C2E98B3">
      <w:pPr>
        <w:numPr>
          <w:ilvl w:val="0"/>
          <w:numId w:val="29"/>
        </w:numPr>
        <w:spacing w:before="120" w:after="0"/>
        <w:ind w:left="1080" w:right="115"/>
        <w:rPr>
          <w:lang w:bidi="en-US"/>
        </w:rPr>
      </w:pPr>
      <w:r w:rsidRPr="004E6D37">
        <w:rPr>
          <w:lang w:bidi="en-US"/>
        </w:rPr>
        <w:t>Social distancing (at least 6 feet)</w:t>
      </w:r>
      <w:r w:rsidR="00D51B77">
        <w:rPr>
          <w:lang w:bidi="en-US"/>
        </w:rPr>
        <w:t xml:space="preserve"> required</w:t>
      </w:r>
      <w:r w:rsidRPr="004E6D37">
        <w:rPr>
          <w:lang w:bidi="en-US"/>
        </w:rPr>
        <w:t xml:space="preserve"> between surveyor and respondent.</w:t>
      </w:r>
    </w:p>
    <w:p w:rsidRPr="004E6D37" w:rsidR="004E6D37" w:rsidP="00795BB2" w:rsidRDefault="004E6D37" w14:paraId="67A7104C" w14:textId="77777777">
      <w:pPr>
        <w:numPr>
          <w:ilvl w:val="0"/>
          <w:numId w:val="29"/>
        </w:numPr>
        <w:spacing w:before="120" w:after="0"/>
        <w:ind w:left="1080" w:right="115"/>
        <w:rPr>
          <w:lang w:bidi="en-US"/>
        </w:rPr>
      </w:pPr>
      <w:r w:rsidRPr="004E6D37">
        <w:rPr>
          <w:lang w:bidi="en-US"/>
        </w:rPr>
        <w:t>Masks will be worn by surveyors and recommended for respondents.</w:t>
      </w:r>
    </w:p>
    <w:p w:rsidRPr="004E6D37" w:rsidR="004E6D37" w:rsidP="00795BB2" w:rsidRDefault="004E6D37" w14:paraId="0F29285A" w14:textId="77777777">
      <w:pPr>
        <w:numPr>
          <w:ilvl w:val="0"/>
          <w:numId w:val="29"/>
        </w:numPr>
        <w:spacing w:before="120" w:after="0"/>
        <w:ind w:left="1080" w:right="115"/>
        <w:rPr>
          <w:lang w:bidi="en-US"/>
        </w:rPr>
      </w:pPr>
      <w:r w:rsidRPr="004E6D37">
        <w:rPr>
          <w:lang w:bidi="en-US"/>
        </w:rPr>
        <w:t>Surveyors will not allow the respondent to interact with the tablet and all questions will be asked verbally.</w:t>
      </w:r>
    </w:p>
    <w:p w:rsidRPr="004E6D37" w:rsidR="004E6D37" w:rsidP="00795BB2" w:rsidRDefault="004E6D37" w14:paraId="38FDB806" w14:textId="77777777">
      <w:pPr>
        <w:numPr>
          <w:ilvl w:val="0"/>
          <w:numId w:val="29"/>
        </w:numPr>
        <w:spacing w:before="120" w:after="0"/>
        <w:ind w:left="1080" w:right="115"/>
        <w:rPr>
          <w:lang w:bidi="en-US"/>
        </w:rPr>
      </w:pPr>
      <w:r w:rsidRPr="004E6D37">
        <w:rPr>
          <w:lang w:bidi="en-US"/>
        </w:rPr>
        <w:t>Hand sanitizer will be available at the sampling site.</w:t>
      </w:r>
    </w:p>
    <w:p w:rsidR="001761E9" w:rsidP="00795BB2" w:rsidRDefault="004E6D37" w14:paraId="4041E9B8" w14:textId="1FF5B47E">
      <w:pPr>
        <w:numPr>
          <w:ilvl w:val="0"/>
          <w:numId w:val="29"/>
        </w:numPr>
        <w:spacing w:before="120" w:after="220"/>
        <w:ind w:left="1080" w:right="115"/>
        <w:rPr>
          <w:lang w:bidi="en-US"/>
        </w:rPr>
      </w:pPr>
      <w:r w:rsidRPr="004E6D37">
        <w:rPr>
          <w:lang w:bidi="en-US"/>
        </w:rPr>
        <w:t>Respondents will be asked to provide their email address and/or mailing address if they are not comfortable with taking a mail-back survey packet from the surveyor on the day they are intercepted</w:t>
      </w:r>
      <w:r w:rsidR="001761E9">
        <w:rPr>
          <w:lang w:bidi="en-US"/>
        </w:rPr>
        <w:t>.</w:t>
      </w:r>
    </w:p>
    <w:p w:rsidRPr="00C3085B" w:rsidR="004E6D37" w:rsidP="00795BB2" w:rsidRDefault="00C3085B" w14:paraId="5348BDC6" w14:textId="68FAC6C0">
      <w:pPr>
        <w:spacing w:before="360" w:after="0" w:line="360" w:lineRule="auto"/>
        <w:ind w:left="1440" w:right="90"/>
        <w:rPr>
          <w:b/>
          <w:bCs/>
          <w:lang w:bidi="en-US"/>
        </w:rPr>
      </w:pPr>
      <w:r w:rsidRPr="00890638">
        <w:rPr>
          <w:b/>
          <w:bCs/>
          <w:lang w:bidi="en-US"/>
        </w:rPr>
        <w:t xml:space="preserve">Example </w:t>
      </w:r>
      <w:r w:rsidRPr="00C3085B" w:rsidR="004E6D37">
        <w:rPr>
          <w:b/>
          <w:bCs/>
          <w:lang w:bidi="en-US"/>
        </w:rPr>
        <w:t xml:space="preserve">Script for Intercept Survey: </w:t>
      </w:r>
    </w:p>
    <w:p w:rsidRPr="005622A5" w:rsidR="004E6D37" w:rsidP="00795BB2" w:rsidRDefault="004E6D37" w14:paraId="28A54912" w14:textId="77777777">
      <w:pPr>
        <w:spacing w:line="240" w:lineRule="auto"/>
        <w:ind w:left="1440" w:right="1620"/>
        <w:contextualSpacing/>
        <w:jc w:val="both"/>
        <w:rPr>
          <w:i/>
          <w:iCs/>
          <w:lang w:bidi="en-US"/>
        </w:rPr>
      </w:pPr>
      <w:r w:rsidRPr="005622A5">
        <w:rPr>
          <w:i/>
          <w:iCs/>
          <w:lang w:bidi="en-US"/>
        </w:rPr>
        <w:t>“Hello, I am working with [NPS Site] conducting a 5-minute survey to improve visitor experiences in the park. May I ask you several questions about your [NPS Site] experience?</w:t>
      </w:r>
    </w:p>
    <w:p w:rsidRPr="005622A5" w:rsidR="004E6D37" w:rsidP="00795BB2" w:rsidRDefault="004E6D37" w14:paraId="67F0FFD8" w14:textId="403A813A">
      <w:pPr>
        <w:pStyle w:val="ListParagraph"/>
        <w:numPr>
          <w:ilvl w:val="0"/>
          <w:numId w:val="33"/>
        </w:numPr>
        <w:spacing w:line="240" w:lineRule="auto"/>
        <w:ind w:left="2520" w:right="3240"/>
        <w:jc w:val="both"/>
        <w:rPr>
          <w:i/>
          <w:iCs/>
          <w:lang w:bidi="en-US"/>
        </w:rPr>
      </w:pPr>
      <w:r w:rsidRPr="005622A5">
        <w:rPr>
          <w:i/>
          <w:iCs/>
          <w:lang w:bidi="en-US"/>
        </w:rPr>
        <w:t>If NO – The surveyor will thank the visitor and ask them to answer the three questions that will serve as a non-response bias check (in Section E below)</w:t>
      </w:r>
    </w:p>
    <w:p w:rsidRPr="005622A5" w:rsidR="004E6D37" w:rsidP="00795BB2" w:rsidRDefault="004E6D37" w14:paraId="2393E62D" w14:textId="1F7C7194">
      <w:pPr>
        <w:pStyle w:val="ListParagraph"/>
        <w:numPr>
          <w:ilvl w:val="0"/>
          <w:numId w:val="33"/>
        </w:numPr>
        <w:spacing w:line="240" w:lineRule="auto"/>
        <w:ind w:left="2520" w:right="3240"/>
        <w:jc w:val="both"/>
        <w:rPr>
          <w:i/>
          <w:iCs/>
          <w:lang w:bidi="en-US"/>
        </w:rPr>
      </w:pPr>
      <w:r w:rsidRPr="005622A5">
        <w:rPr>
          <w:i/>
          <w:iCs/>
          <w:lang w:bidi="en-US"/>
        </w:rPr>
        <w:t>If YES – The surveyor will begin the intercept visitor survey with the recruited individual after reading the Paperwork Reduction and Privacy Act below. The surveyor will verbally administer the survey and record responses on an Android Tablet.</w:t>
      </w:r>
    </w:p>
    <w:p w:rsidRPr="005622A5" w:rsidR="004E6D37" w:rsidP="00795BB2" w:rsidRDefault="004E6D37" w14:paraId="0EA80B0D" w14:textId="1F94B366">
      <w:pPr>
        <w:spacing w:line="240" w:lineRule="auto"/>
        <w:ind w:left="1440" w:right="2160"/>
        <w:contextualSpacing/>
        <w:jc w:val="both"/>
        <w:rPr>
          <w:i/>
          <w:iCs/>
          <w:lang w:bidi="en-US"/>
        </w:rPr>
      </w:pPr>
      <w:r w:rsidRPr="005622A5">
        <w:rPr>
          <w:i/>
          <w:iCs/>
          <w:lang w:bidi="en-US"/>
        </w:rPr>
        <w:t>Before we begin, I would like to let you know that this survey has been approved by the Office of Management and Budget. It is important to note that a Federal agency may not conduct or sponsor, and you are not required to respond to, a collection of information unless it has a valid OMB control number. The control number for this collection is XXX and this number is valid through XXX. Secondly, your participation is voluntary, and your name will never be connected with your individual responses. This survey will only take about five minutes of your time today.</w:t>
      </w:r>
    </w:p>
    <w:p w:rsidR="004C2171" w:rsidP="00C3085B" w:rsidRDefault="004C2171" w14:paraId="77058168" w14:textId="77777777">
      <w:pPr>
        <w:spacing w:line="240" w:lineRule="auto"/>
        <w:ind w:left="360"/>
        <w:contextualSpacing/>
        <w:rPr>
          <w:lang w:bidi="en-US"/>
        </w:rPr>
      </w:pPr>
    </w:p>
    <w:p w:rsidRPr="004E6D37" w:rsidR="004E6D37" w:rsidP="00795BB2" w:rsidRDefault="004E6D37" w14:paraId="4E49CFA4" w14:textId="4194406F">
      <w:pPr>
        <w:ind w:left="360"/>
        <w:contextualSpacing/>
        <w:rPr>
          <w:lang w:bidi="en-US"/>
        </w:rPr>
      </w:pPr>
      <w:r>
        <w:rPr>
          <w:lang w:bidi="en-US"/>
        </w:rPr>
        <w:t>Upon completion of the intercept survey, respondents will be thanked for their time</w:t>
      </w:r>
      <w:r w:rsidR="00C3085B">
        <w:rPr>
          <w:lang w:bidi="en-US"/>
        </w:rPr>
        <w:t xml:space="preserve">.  </w:t>
      </w:r>
      <w:r w:rsidR="003544F8">
        <w:rPr>
          <w:lang w:bidi="en-US"/>
        </w:rPr>
        <w:t xml:space="preserve">The following protocol will be used to </w:t>
      </w:r>
      <w:r>
        <w:rPr>
          <w:lang w:bidi="en-US"/>
        </w:rPr>
        <w:t xml:space="preserve">ask </w:t>
      </w:r>
      <w:r w:rsidR="00C3085B">
        <w:rPr>
          <w:lang w:bidi="en-US"/>
        </w:rPr>
        <w:t xml:space="preserve">the respondent </w:t>
      </w:r>
      <w:r>
        <w:rPr>
          <w:lang w:bidi="en-US"/>
        </w:rPr>
        <w:t xml:space="preserve">to participate in the </w:t>
      </w:r>
      <w:r w:rsidR="009B265D">
        <w:rPr>
          <w:lang w:bidi="en-US"/>
        </w:rPr>
        <w:t>follow-up</w:t>
      </w:r>
      <w:r>
        <w:rPr>
          <w:lang w:bidi="en-US"/>
        </w:rPr>
        <w:t xml:space="preserve"> survey</w:t>
      </w:r>
      <w:r w:rsidR="00D10AEE">
        <w:rPr>
          <w:lang w:bidi="en-US"/>
        </w:rPr>
        <w:t xml:space="preserve">. </w:t>
      </w:r>
    </w:p>
    <w:p w:rsidRPr="004E6D37" w:rsidR="004E6D37" w:rsidP="00795BB2" w:rsidRDefault="00884B77" w14:paraId="1E7DC3B0" w14:textId="248B528C">
      <w:pPr>
        <w:pStyle w:val="TableParagraph"/>
        <w:tabs>
          <w:tab w:val="left" w:pos="2966"/>
        </w:tabs>
        <w:spacing w:before="220" w:line="276" w:lineRule="auto"/>
        <w:ind w:left="360"/>
        <w:rPr>
          <w:rFonts w:asciiTheme="minorHAnsi" w:hAnsiTheme="minorHAnsi" w:cstheme="minorHAnsi"/>
          <w:b/>
          <w:u w:val="single"/>
        </w:rPr>
      </w:pPr>
      <w:r>
        <w:rPr>
          <w:rFonts w:asciiTheme="minorHAnsi" w:hAnsiTheme="minorHAnsi" w:cstheme="minorHAnsi"/>
          <w:b/>
          <w:u w:val="single"/>
        </w:rPr>
        <w:t>Follow-up (</w:t>
      </w:r>
      <w:r w:rsidRPr="004E6D37" w:rsidR="004E6D37">
        <w:rPr>
          <w:rFonts w:asciiTheme="minorHAnsi" w:hAnsiTheme="minorHAnsi" w:cstheme="minorHAnsi"/>
          <w:b/>
          <w:u w:val="single"/>
        </w:rPr>
        <w:t>Mail-Back/Online</w:t>
      </w:r>
      <w:r>
        <w:rPr>
          <w:rFonts w:asciiTheme="minorHAnsi" w:hAnsiTheme="minorHAnsi" w:cstheme="minorHAnsi"/>
          <w:b/>
          <w:u w:val="single"/>
        </w:rPr>
        <w:t>)</w:t>
      </w:r>
      <w:r w:rsidRPr="004E6D37" w:rsidR="004E6D37">
        <w:rPr>
          <w:rFonts w:asciiTheme="minorHAnsi" w:hAnsiTheme="minorHAnsi" w:cstheme="minorHAnsi"/>
          <w:b/>
          <w:u w:val="single"/>
        </w:rPr>
        <w:t xml:space="preserve"> Survey </w:t>
      </w:r>
    </w:p>
    <w:p w:rsidR="00287B85" w:rsidP="00287B85" w:rsidRDefault="00287B85" w14:paraId="5E273311" w14:textId="2F5861B3">
      <w:pPr>
        <w:spacing w:after="220"/>
        <w:ind w:left="360"/>
      </w:pPr>
      <w:r>
        <w:rPr>
          <w:bCs/>
          <w:lang w:bidi="en-US"/>
        </w:rPr>
        <w:t>A f</w:t>
      </w:r>
      <w:r w:rsidRPr="004772EE">
        <w:rPr>
          <w:bCs/>
          <w:lang w:bidi="en-US"/>
        </w:rPr>
        <w:t xml:space="preserve">ollow-up survey </w:t>
      </w:r>
      <w:r>
        <w:rPr>
          <w:bCs/>
          <w:lang w:bidi="en-US"/>
        </w:rPr>
        <w:t>will be administered</w:t>
      </w:r>
      <w:r w:rsidRPr="00D10AEE" w:rsidR="00D10AEE">
        <w:rPr>
          <w:lang w:bidi="en-US"/>
        </w:rPr>
        <w:t xml:space="preserve"> to capture full trip characteristics such as spending and travel patterns that are typically not known until after the trip is completed. </w:t>
      </w:r>
      <w:r w:rsidR="00D10AEE">
        <w:rPr>
          <w:lang w:bidi="en-US"/>
        </w:rPr>
        <w:t xml:space="preserve"> </w:t>
      </w:r>
      <w:r w:rsidR="00C3085B">
        <w:t xml:space="preserve">All </w:t>
      </w:r>
      <w:r>
        <w:t xml:space="preserve">on-site </w:t>
      </w:r>
      <w:r w:rsidR="00D51B77">
        <w:t>r</w:t>
      </w:r>
      <w:r w:rsidRPr="004E6D37" w:rsidR="004E6D37">
        <w:t xml:space="preserve">espondents </w:t>
      </w:r>
      <w:r w:rsidR="001055AF">
        <w:t>agreeing</w:t>
      </w:r>
      <w:r w:rsidR="00C3085B">
        <w:t xml:space="preserve"> to complete and return </w:t>
      </w:r>
      <w:r w:rsidR="001055AF">
        <w:t xml:space="preserve">the </w:t>
      </w:r>
      <w:r w:rsidR="009B265D">
        <w:t>follow-up</w:t>
      </w:r>
      <w:r w:rsidR="00C3085B">
        <w:t xml:space="preserve"> survey</w:t>
      </w:r>
      <w:r w:rsidRPr="004E6D37" w:rsidR="004E6D37">
        <w:t xml:space="preserve"> will be given a packet </w:t>
      </w:r>
      <w:r w:rsidR="001055AF">
        <w:t>with</w:t>
      </w:r>
      <w:r w:rsidR="00C3085B">
        <w:t xml:space="preserve"> a paper copy of the survey</w:t>
      </w:r>
      <w:r w:rsidR="001055AF">
        <w:t>,</w:t>
      </w:r>
      <w:r w:rsidR="00C3085B">
        <w:t xml:space="preserve"> </w:t>
      </w:r>
      <w:r w:rsidR="001055AF">
        <w:t>a</w:t>
      </w:r>
      <w:r w:rsidR="001761E9">
        <w:t xml:space="preserve"> self-addressed postage</w:t>
      </w:r>
      <w:r w:rsidR="00D51B77">
        <w:t>-</w:t>
      </w:r>
      <w:r w:rsidR="001761E9">
        <w:t>paid envelope</w:t>
      </w:r>
      <w:r>
        <w:t>.</w:t>
      </w:r>
      <w:r w:rsidR="009B265D">
        <w:t xml:space="preserve"> </w:t>
      </w:r>
    </w:p>
    <w:p w:rsidR="003144D6" w:rsidP="00287B85" w:rsidRDefault="00D10AEE" w14:paraId="5FC8EB6B" w14:textId="541AA79A">
      <w:pPr>
        <w:spacing w:after="220"/>
        <w:ind w:left="360"/>
        <w:rPr>
          <w:lang w:bidi="en-US"/>
        </w:rPr>
      </w:pPr>
      <w:r>
        <w:t xml:space="preserve">The respondent </w:t>
      </w:r>
      <w:r w:rsidRPr="004E6D37" w:rsidR="004E6D37">
        <w:t xml:space="preserve">will be </w:t>
      </w:r>
      <w:r w:rsidR="00287B85">
        <w:t xml:space="preserve">instructed </w:t>
      </w:r>
      <w:r w:rsidRPr="004E6D37" w:rsidR="004E6D37">
        <w:t xml:space="preserve">to </w:t>
      </w:r>
      <w:r w:rsidR="00287B85">
        <w:t xml:space="preserve">complete and </w:t>
      </w:r>
      <w:r w:rsidR="001055AF">
        <w:t>return</w:t>
      </w:r>
      <w:r w:rsidRPr="004E6D37" w:rsidR="004E6D37">
        <w:t xml:space="preserve"> the</w:t>
      </w:r>
      <w:r w:rsidR="009B265D">
        <w:t xml:space="preserve"> follow-up</w:t>
      </w:r>
      <w:r w:rsidRPr="004E6D37" w:rsidR="004E6D37">
        <w:t xml:space="preserve"> survey after their trip </w:t>
      </w:r>
      <w:r w:rsidR="001055AF">
        <w:t>at</w:t>
      </w:r>
      <w:r w:rsidRPr="004E6D37" w:rsidR="001055AF">
        <w:t xml:space="preserve"> </w:t>
      </w:r>
      <w:r w:rsidRPr="004E6D37" w:rsidR="004E6D37">
        <w:t>t</w:t>
      </w:r>
      <w:r w:rsidR="001761E9">
        <w:t>he</w:t>
      </w:r>
      <w:r w:rsidRPr="004E6D37" w:rsidR="004E6D37">
        <w:t xml:space="preserve"> current NPS site. Surveys may be mailed back from any U</w:t>
      </w:r>
      <w:r>
        <w:t>.</w:t>
      </w:r>
      <w:r w:rsidRPr="004E6D37" w:rsidR="004E6D37">
        <w:t>S</w:t>
      </w:r>
      <w:r w:rsidR="00C9570A">
        <w:t>.</w:t>
      </w:r>
      <w:r w:rsidRPr="004E6D37" w:rsidR="004E6D37">
        <w:t xml:space="preserve"> mailbox</w:t>
      </w:r>
      <w:r w:rsidR="00287B85">
        <w:t>.</w:t>
      </w:r>
      <w:r>
        <w:t xml:space="preserve"> </w:t>
      </w:r>
      <w:r w:rsidRPr="004E6D37" w:rsidR="004E6D37">
        <w:t xml:space="preserve">International </w:t>
      </w:r>
      <w:r w:rsidR="00287B85">
        <w:t>respondents</w:t>
      </w:r>
      <w:r w:rsidRPr="004E6D37" w:rsidR="00287B85">
        <w:t xml:space="preserve"> </w:t>
      </w:r>
      <w:r w:rsidRPr="004E6D37" w:rsidR="004E6D37">
        <w:t>will be encouraged to mail the survey back before leaving the U</w:t>
      </w:r>
      <w:r>
        <w:t>.</w:t>
      </w:r>
      <w:r w:rsidRPr="004E6D37" w:rsidR="004E6D37">
        <w:t xml:space="preserve">S. </w:t>
      </w:r>
      <w:r w:rsidR="006A27F2">
        <w:t xml:space="preserve">All respondents will be given a card with web link to use as an alternative for completing the online version of the survey.  To safeguard the respondent’s anonymity each survey (on-site and </w:t>
      </w:r>
      <w:r w:rsidR="006A27F2">
        <w:lastRenderedPageBreak/>
        <w:t xml:space="preserve">follow-up) </w:t>
      </w:r>
      <w:r w:rsidRPr="004E6D37" w:rsidR="004E6D37">
        <w:t>will have a</w:t>
      </w:r>
      <w:r w:rsidR="006A27F2">
        <w:t>n</w:t>
      </w:r>
      <w:r w:rsidRPr="004E6D37" w:rsidR="004E6D37">
        <w:t xml:space="preserve"> identifier </w:t>
      </w:r>
      <w:r w:rsidRPr="004E6D37" w:rsidR="006A27F2">
        <w:t xml:space="preserve">unique </w:t>
      </w:r>
      <w:r w:rsidR="006A27F2">
        <w:t>for each</w:t>
      </w:r>
      <w:r w:rsidRPr="004E6D37" w:rsidR="004E6D37">
        <w:t xml:space="preserve"> respondent</w:t>
      </w:r>
      <w:r w:rsidR="006A27F2">
        <w:t>. We will use the identifiers to monitor non-response bias.</w:t>
      </w:r>
    </w:p>
    <w:p w:rsidR="003144D6" w:rsidP="00795BB2" w:rsidRDefault="006A27F2" w14:paraId="62EC4007" w14:textId="57F1035B">
      <w:pPr>
        <w:spacing w:after="220"/>
        <w:ind w:left="360"/>
        <w:rPr>
          <w:lang w:bidi="en-US"/>
        </w:rPr>
      </w:pPr>
      <w:r>
        <w:rPr>
          <w:lang w:bidi="en-US"/>
        </w:rPr>
        <w:t>Upon agreeing to participate in the follow -up survey, each r</w:t>
      </w:r>
      <w:r w:rsidRPr="003144D6" w:rsidR="003144D6">
        <w:rPr>
          <w:lang w:bidi="en-US"/>
        </w:rPr>
        <w:t xml:space="preserve">espondent will be asked </w:t>
      </w:r>
      <w:r w:rsidR="00FE7889">
        <w:rPr>
          <w:lang w:bidi="en-US"/>
        </w:rPr>
        <w:t xml:space="preserve">to provide </w:t>
      </w:r>
      <w:r w:rsidRPr="003144D6" w:rsidR="003144D6">
        <w:rPr>
          <w:lang w:bidi="en-US"/>
        </w:rPr>
        <w:t xml:space="preserve">their home </w:t>
      </w:r>
      <w:r w:rsidR="00BD4D2E">
        <w:rPr>
          <w:lang w:bidi="en-US"/>
        </w:rPr>
        <w:t xml:space="preserve">mailing </w:t>
      </w:r>
      <w:r w:rsidRPr="003144D6" w:rsidR="003144D6">
        <w:rPr>
          <w:lang w:bidi="en-US"/>
        </w:rPr>
        <w:t>address and/or email address.</w:t>
      </w:r>
      <w:r w:rsidR="00BD4D2E">
        <w:rPr>
          <w:lang w:bidi="en-US"/>
        </w:rPr>
        <w:t xml:space="preserve"> All respondents </w:t>
      </w:r>
      <w:r>
        <w:rPr>
          <w:lang w:bidi="en-US"/>
        </w:rPr>
        <w:t xml:space="preserve">will receive correspondence by postal or email based upon their preference. </w:t>
      </w:r>
      <w:r w:rsidRPr="003144D6" w:rsidR="003144D6">
        <w:rPr>
          <w:lang w:bidi="en-US"/>
        </w:rPr>
        <w:t>A reminder postcard</w:t>
      </w:r>
      <w:r w:rsidR="001761E9">
        <w:rPr>
          <w:lang w:bidi="en-US"/>
        </w:rPr>
        <w:t xml:space="preserve"> </w:t>
      </w:r>
      <w:r w:rsidRPr="003144D6" w:rsidR="003144D6">
        <w:rPr>
          <w:lang w:bidi="en-US"/>
        </w:rPr>
        <w:t xml:space="preserve">will be sent to all contacts </w:t>
      </w:r>
      <w:r>
        <w:rPr>
          <w:lang w:bidi="en-US"/>
        </w:rPr>
        <w:t>within the</w:t>
      </w:r>
      <w:r w:rsidRPr="003144D6" w:rsidR="003144D6">
        <w:rPr>
          <w:lang w:bidi="en-US"/>
        </w:rPr>
        <w:t xml:space="preserve"> week following the end of each </w:t>
      </w:r>
      <w:r>
        <w:rPr>
          <w:lang w:bidi="en-US"/>
        </w:rPr>
        <w:t xml:space="preserve">on-site </w:t>
      </w:r>
      <w:r w:rsidRPr="003144D6" w:rsidR="003144D6">
        <w:rPr>
          <w:lang w:bidi="en-US"/>
        </w:rPr>
        <w:t xml:space="preserve">data collection period. This postcard will thank them for their participation and encourage them to complete </w:t>
      </w:r>
      <w:r>
        <w:rPr>
          <w:lang w:bidi="en-US"/>
        </w:rPr>
        <w:t xml:space="preserve">and return the </w:t>
      </w:r>
      <w:r w:rsidR="009B265D">
        <w:rPr>
          <w:lang w:bidi="en-US"/>
        </w:rPr>
        <w:t xml:space="preserve">follow-up </w:t>
      </w:r>
      <w:r w:rsidRPr="003144D6" w:rsidR="003144D6">
        <w:rPr>
          <w:lang w:bidi="en-US"/>
        </w:rPr>
        <w:t>survey</w:t>
      </w:r>
      <w:r w:rsidR="009B265D">
        <w:rPr>
          <w:lang w:bidi="en-US"/>
        </w:rPr>
        <w:t xml:space="preserve"> </w:t>
      </w:r>
      <w:r w:rsidRPr="003144D6" w:rsidR="003144D6">
        <w:rPr>
          <w:lang w:bidi="en-US"/>
        </w:rPr>
        <w:t>if they have not already done so.</w:t>
      </w:r>
    </w:p>
    <w:p w:rsidRPr="004E6D37" w:rsidR="003144D6" w:rsidP="00795BB2" w:rsidRDefault="006A27F2" w14:paraId="5AD5B016" w14:textId="0D7E8F62">
      <w:pPr>
        <w:spacing w:after="220"/>
        <w:ind w:left="360"/>
      </w:pPr>
      <w:r>
        <w:rPr>
          <w:lang w:bidi="en-US"/>
        </w:rPr>
        <w:t xml:space="preserve">Following the </w:t>
      </w:r>
      <w:r w:rsidRPr="004E6D37">
        <w:rPr>
          <w:lang w:bidi="en-US"/>
        </w:rPr>
        <w:t>“Tailored Design Method</w:t>
      </w:r>
      <w:r>
        <w:rPr>
          <w:lang w:bidi="en-US"/>
        </w:rPr>
        <w:t>,</w:t>
      </w:r>
      <w:r w:rsidRPr="004E6D37">
        <w:rPr>
          <w:lang w:bidi="en-US"/>
        </w:rPr>
        <w:t xml:space="preserve">” </w:t>
      </w:r>
      <w:r>
        <w:rPr>
          <w:lang w:bidi="en-US"/>
        </w:rPr>
        <w:t>t</w:t>
      </w:r>
      <w:r w:rsidRPr="003144D6">
        <w:rPr>
          <w:lang w:bidi="en-US"/>
        </w:rPr>
        <w:t xml:space="preserve">hree weeks </w:t>
      </w:r>
      <w:r>
        <w:rPr>
          <w:lang w:bidi="en-US"/>
        </w:rPr>
        <w:t>following the initial contact,</w:t>
      </w:r>
      <w:r w:rsidRPr="003144D6">
        <w:rPr>
          <w:lang w:bidi="en-US"/>
        </w:rPr>
        <w:t xml:space="preserve"> </w:t>
      </w:r>
      <w:r>
        <w:rPr>
          <w:lang w:bidi="en-US"/>
        </w:rPr>
        <w:t xml:space="preserve">a </w:t>
      </w:r>
      <w:r w:rsidRPr="003144D6">
        <w:rPr>
          <w:lang w:bidi="en-US"/>
        </w:rPr>
        <w:t>second</w:t>
      </w:r>
      <w:r w:rsidDel="006A27F2">
        <w:rPr>
          <w:lang w:bidi="en-US"/>
        </w:rPr>
        <w:t xml:space="preserve"> </w:t>
      </w:r>
      <w:r>
        <w:rPr>
          <w:lang w:bidi="en-US"/>
        </w:rPr>
        <w:t>reminder</w:t>
      </w:r>
      <w:r w:rsidR="00C9570A">
        <w:rPr>
          <w:lang w:bidi="en-US"/>
        </w:rPr>
        <w:t xml:space="preserve"> </w:t>
      </w:r>
      <w:r w:rsidR="00F22FFB">
        <w:rPr>
          <w:lang w:bidi="en-US"/>
        </w:rPr>
        <w:t xml:space="preserve">and </w:t>
      </w:r>
      <w:r w:rsidRPr="003144D6" w:rsidR="003144D6">
        <w:rPr>
          <w:lang w:bidi="en-US"/>
        </w:rPr>
        <w:t xml:space="preserve">survey packet (with the same unique IDs) will be </w:t>
      </w:r>
      <w:r>
        <w:rPr>
          <w:lang w:bidi="en-US"/>
        </w:rPr>
        <w:t xml:space="preserve">either </w:t>
      </w:r>
      <w:r w:rsidR="00FE7889">
        <w:rPr>
          <w:lang w:bidi="en-US"/>
        </w:rPr>
        <w:t>mailed</w:t>
      </w:r>
      <w:r>
        <w:rPr>
          <w:lang w:bidi="en-US"/>
        </w:rPr>
        <w:t xml:space="preserve"> or </w:t>
      </w:r>
      <w:r w:rsidR="00BD4D2E">
        <w:rPr>
          <w:lang w:bidi="en-US"/>
        </w:rPr>
        <w:t>emailed</w:t>
      </w:r>
      <w:r w:rsidRPr="003144D6" w:rsidR="00FE7889">
        <w:rPr>
          <w:lang w:bidi="en-US"/>
        </w:rPr>
        <w:t xml:space="preserve"> </w:t>
      </w:r>
      <w:r w:rsidRPr="003144D6" w:rsidR="003144D6">
        <w:rPr>
          <w:lang w:bidi="en-US"/>
        </w:rPr>
        <w:t xml:space="preserve">to all </w:t>
      </w:r>
      <w:r w:rsidR="00FE7889">
        <w:rPr>
          <w:lang w:bidi="en-US"/>
        </w:rPr>
        <w:t>non-respondents</w:t>
      </w:r>
      <w:r>
        <w:rPr>
          <w:lang w:bidi="en-US"/>
        </w:rPr>
        <w:t xml:space="preserve">. </w:t>
      </w:r>
      <w:r w:rsidR="00BD4D2E">
        <w:rPr>
          <w:lang w:bidi="en-US"/>
        </w:rPr>
        <w:t>The mailed</w:t>
      </w:r>
      <w:r w:rsidR="00FE7889">
        <w:rPr>
          <w:lang w:bidi="en-US"/>
        </w:rPr>
        <w:t xml:space="preserve"> packets will be </w:t>
      </w:r>
      <w:r w:rsidR="00BD4D2E">
        <w:rPr>
          <w:lang w:bidi="en-US"/>
        </w:rPr>
        <w:t xml:space="preserve">sent </w:t>
      </w:r>
      <w:r w:rsidR="00FE7889">
        <w:rPr>
          <w:lang w:bidi="en-US"/>
        </w:rPr>
        <w:t xml:space="preserve">to domestic and </w:t>
      </w:r>
      <w:r w:rsidRPr="003144D6" w:rsidR="003144D6">
        <w:rPr>
          <w:lang w:bidi="en-US"/>
        </w:rPr>
        <w:t xml:space="preserve">international </w:t>
      </w:r>
      <w:r w:rsidR="00FE7889">
        <w:rPr>
          <w:lang w:bidi="en-US"/>
        </w:rPr>
        <w:t>addresses</w:t>
      </w:r>
      <w:r w:rsidR="00BD4D2E">
        <w:rPr>
          <w:lang w:bidi="en-US"/>
        </w:rPr>
        <w:t xml:space="preserve"> and </w:t>
      </w:r>
      <w:r w:rsidRPr="003144D6" w:rsidR="00BD4D2E">
        <w:rPr>
          <w:lang w:bidi="en-US"/>
        </w:rPr>
        <w:t>will include the appropriate postage paid, self-addressed return envelopes.</w:t>
      </w:r>
      <w:r w:rsidR="00F22FFB">
        <w:rPr>
          <w:lang w:bidi="en-US"/>
        </w:rPr>
        <w:t xml:space="preserve"> </w:t>
      </w:r>
      <w:r w:rsidR="00FE7889">
        <w:rPr>
          <w:lang w:bidi="en-US"/>
        </w:rPr>
        <w:t>T</w:t>
      </w:r>
      <w:r w:rsidRPr="003144D6" w:rsidR="00FE7889">
        <w:rPr>
          <w:lang w:bidi="en-US"/>
        </w:rPr>
        <w:t xml:space="preserve">wo to four weeks after the </w:t>
      </w:r>
      <w:r w:rsidR="00FE7889">
        <w:rPr>
          <w:lang w:bidi="en-US"/>
        </w:rPr>
        <w:t xml:space="preserve">replacement survey is </w:t>
      </w:r>
      <w:r w:rsidR="00BD4D2E">
        <w:rPr>
          <w:lang w:bidi="en-US"/>
        </w:rPr>
        <w:t>sent</w:t>
      </w:r>
      <w:r w:rsidR="00FE7889">
        <w:rPr>
          <w:lang w:bidi="en-US"/>
        </w:rPr>
        <w:t>, a</w:t>
      </w:r>
      <w:r w:rsidRPr="003144D6" w:rsidR="003144D6">
        <w:rPr>
          <w:lang w:bidi="en-US"/>
        </w:rPr>
        <w:t xml:space="preserve"> final contact will be </w:t>
      </w:r>
      <w:r w:rsidR="00FE7889">
        <w:rPr>
          <w:lang w:bidi="en-US"/>
        </w:rPr>
        <w:t>sent</w:t>
      </w:r>
      <w:r w:rsidR="0025743C">
        <w:rPr>
          <w:lang w:bidi="en-US"/>
        </w:rPr>
        <w:t xml:space="preserve"> </w:t>
      </w:r>
      <w:r w:rsidR="00BD4D2E">
        <w:rPr>
          <w:lang w:bidi="en-US"/>
        </w:rPr>
        <w:t xml:space="preserve">by mail or email </w:t>
      </w:r>
      <w:r w:rsidRPr="003144D6" w:rsidR="003144D6">
        <w:rPr>
          <w:lang w:bidi="en-US"/>
        </w:rPr>
        <w:t>to all remaining non-respondent</w:t>
      </w:r>
      <w:r w:rsidR="00F710B9">
        <w:rPr>
          <w:lang w:bidi="en-US"/>
        </w:rPr>
        <w:t>s</w:t>
      </w:r>
      <w:r w:rsidR="00FE7889">
        <w:rPr>
          <w:lang w:bidi="en-US"/>
        </w:rPr>
        <w:t>.</w:t>
      </w:r>
      <w:r w:rsidRPr="003144D6" w:rsidR="003144D6">
        <w:rPr>
          <w:lang w:bidi="en-US"/>
        </w:rPr>
        <w:t xml:space="preserve"> </w:t>
      </w:r>
    </w:p>
    <w:p w:rsidRPr="00AE0D1F" w:rsidR="00E95952" w:rsidP="00795BB2" w:rsidRDefault="00E95952" w14:paraId="096938AC" w14:textId="77777777">
      <w:pPr>
        <w:pStyle w:val="ListParagraph"/>
        <w:numPr>
          <w:ilvl w:val="0"/>
          <w:numId w:val="25"/>
        </w:numPr>
        <w:pBdr>
          <w:top w:val="single" w:color="5F497A" w:themeColor="accent4" w:themeShade="BF" w:sz="12" w:space="1"/>
        </w:pBdr>
        <w:tabs>
          <w:tab w:val="left" w:pos="360"/>
          <w:tab w:val="left" w:pos="1440"/>
          <w:tab w:val="left" w:pos="2160"/>
          <w:tab w:val="left" w:pos="3600"/>
          <w:tab w:val="left" w:pos="5040"/>
          <w:tab w:val="left" w:pos="5760"/>
        </w:tabs>
        <w:spacing w:after="0"/>
        <w:ind w:left="360"/>
        <w:rPr>
          <w:rFonts w:cs="Arial"/>
          <w:b/>
        </w:rPr>
      </w:pPr>
      <w:r w:rsidRPr="00AE0D1F">
        <w:rPr>
          <w:rFonts w:cs="Arial"/>
          <w:b/>
        </w:rPr>
        <w:t>Expected Response Rate / Confidence Level:</w:t>
      </w:r>
    </w:p>
    <w:p w:rsidRPr="005C0499" w:rsidR="00A63C0E" w:rsidP="00795BB2" w:rsidRDefault="00497D21" w14:paraId="71F26D21" w14:textId="4A85D984">
      <w:pPr>
        <w:pStyle w:val="ListParagraph"/>
        <w:tabs>
          <w:tab w:val="left" w:pos="360"/>
          <w:tab w:val="left" w:pos="1440"/>
          <w:tab w:val="left" w:pos="2160"/>
          <w:tab w:val="left" w:pos="3600"/>
          <w:tab w:val="left" w:pos="5040"/>
          <w:tab w:val="left" w:pos="5760"/>
        </w:tabs>
        <w:spacing w:after="220"/>
        <w:ind w:left="360"/>
        <w:contextualSpacing w:val="0"/>
        <w:rPr>
          <w:rFonts w:cs="Arial"/>
        </w:rPr>
      </w:pPr>
      <w:bookmarkStart w:name="_Hlk48654410" w:id="2"/>
      <w:r>
        <w:rPr>
          <w:rFonts w:cstheme="minorHAnsi"/>
        </w:rPr>
        <w:t xml:space="preserve">As stated in </w:t>
      </w:r>
      <w:r w:rsidRPr="00497D21">
        <w:rPr>
          <w:rFonts w:cstheme="minorHAnsi"/>
        </w:rPr>
        <w:fldChar w:fldCharType="begin"/>
      </w:r>
      <w:r w:rsidRPr="00497D21">
        <w:rPr>
          <w:rFonts w:cstheme="minorHAnsi"/>
        </w:rPr>
        <w:instrText xml:space="preserve"> REF _Ref49165143 \h  \* MERGEFORMAT </w:instrText>
      </w:r>
      <w:r w:rsidRPr="00497D21">
        <w:rPr>
          <w:rFonts w:cstheme="minorHAnsi"/>
        </w:rPr>
      </w:r>
      <w:r w:rsidRPr="00497D21">
        <w:rPr>
          <w:rFonts w:cstheme="minorHAnsi"/>
        </w:rPr>
        <w:fldChar w:fldCharType="separate"/>
      </w:r>
      <w:r w:rsidRPr="00497D21">
        <w:rPr>
          <w:rFonts w:cstheme="minorHAnsi"/>
          <w:lang w:bidi="en-US"/>
        </w:rPr>
        <w:t xml:space="preserve">Table </w:t>
      </w:r>
      <w:r w:rsidRPr="00497D21">
        <w:rPr>
          <w:rFonts w:cstheme="minorHAnsi"/>
          <w:noProof/>
          <w:lang w:bidi="en-US"/>
        </w:rPr>
        <w:t>3</w:t>
      </w:r>
      <w:r w:rsidRPr="00497D21">
        <w:rPr>
          <w:rFonts w:cstheme="minorHAnsi"/>
        </w:rPr>
        <w:fldChar w:fldCharType="end"/>
      </w:r>
      <w:r w:rsidRPr="00497D21">
        <w:rPr>
          <w:rFonts w:cstheme="minorHAnsi"/>
        </w:rPr>
        <w:t xml:space="preserve"> above, </w:t>
      </w:r>
      <w:r w:rsidR="009C02A9">
        <w:rPr>
          <w:rFonts w:cstheme="minorHAnsi"/>
        </w:rPr>
        <w:t xml:space="preserve">we anticipate </w:t>
      </w:r>
      <w:r>
        <w:rPr>
          <w:rFonts w:cstheme="minorHAnsi"/>
        </w:rPr>
        <w:t xml:space="preserve">a total of </w:t>
      </w:r>
      <w:r w:rsidR="009C02A9">
        <w:rPr>
          <w:rFonts w:cstheme="minorHAnsi"/>
        </w:rPr>
        <w:t>32,001 total contacts</w:t>
      </w:r>
      <w:r w:rsidRPr="003144D6" w:rsidR="009C02A9">
        <w:rPr>
          <w:rFonts w:cstheme="minorHAnsi"/>
        </w:rPr>
        <w:t xml:space="preserve"> </w:t>
      </w:r>
      <w:r w:rsidR="009C02A9">
        <w:rPr>
          <w:rFonts w:cstheme="minorHAnsi"/>
        </w:rPr>
        <w:t>during this pilot study</w:t>
      </w:r>
      <w:r w:rsidR="00121F41">
        <w:rPr>
          <w:rFonts w:cstheme="minorHAnsi"/>
        </w:rPr>
        <w:t xml:space="preserve">.  </w:t>
      </w:r>
      <w:r w:rsidR="00E32CB9">
        <w:rPr>
          <w:rFonts w:cstheme="minorHAnsi"/>
        </w:rPr>
        <w:t>Based on previous pilots and recent NPS survey research efforts, w</w:t>
      </w:r>
      <w:r w:rsidRPr="003144D6" w:rsidR="005C0499">
        <w:rPr>
          <w:rFonts w:cstheme="minorHAnsi"/>
        </w:rPr>
        <w:t>e</w:t>
      </w:r>
      <w:r w:rsidR="00E32CB9">
        <w:rPr>
          <w:rFonts w:cstheme="minorHAnsi"/>
        </w:rPr>
        <w:t xml:space="preserve"> forecast </w:t>
      </w:r>
      <w:r w:rsidRPr="003144D6" w:rsidR="005C0499">
        <w:rPr>
          <w:rFonts w:cstheme="minorHAnsi"/>
        </w:rPr>
        <w:t xml:space="preserve">that each park unit will </w:t>
      </w:r>
      <w:r w:rsidR="00E32CB9">
        <w:rPr>
          <w:rFonts w:cstheme="minorHAnsi"/>
        </w:rPr>
        <w:t xml:space="preserve">generally </w:t>
      </w:r>
      <w:r w:rsidRPr="003144D6" w:rsidR="005C0499">
        <w:rPr>
          <w:rFonts w:cstheme="minorHAnsi"/>
        </w:rPr>
        <w:t xml:space="preserve">have equal </w:t>
      </w:r>
      <w:r w:rsidR="005C0499">
        <w:rPr>
          <w:rFonts w:cstheme="minorHAnsi"/>
        </w:rPr>
        <w:t>response</w:t>
      </w:r>
      <w:r w:rsidRPr="003144D6" w:rsidR="005C0499">
        <w:rPr>
          <w:rFonts w:cstheme="minorHAnsi"/>
        </w:rPr>
        <w:t xml:space="preserve"> rates in the intercept survey (8</w:t>
      </w:r>
      <w:r w:rsidR="005D70E9">
        <w:rPr>
          <w:rFonts w:cstheme="minorHAnsi"/>
        </w:rPr>
        <w:t>5</w:t>
      </w:r>
      <w:r w:rsidRPr="003144D6" w:rsidR="005C0499">
        <w:rPr>
          <w:rFonts w:cstheme="minorHAnsi"/>
        </w:rPr>
        <w:t>% response rate), non-response survey (90% participation by those who give soft refusals), acceptance rate of taking the mail-back survey (9</w:t>
      </w:r>
      <w:r w:rsidR="007F1DFC">
        <w:rPr>
          <w:rFonts w:cstheme="minorHAnsi"/>
        </w:rPr>
        <w:t>0</w:t>
      </w:r>
      <w:r w:rsidRPr="003144D6" w:rsidR="005C0499">
        <w:rPr>
          <w:rFonts w:cstheme="minorHAnsi"/>
        </w:rPr>
        <w:t>% participation by those who participate in the intercept survey), and acceptance rate of completing the mail-back survey (40% response rate by those who take the mail-back survey form)</w:t>
      </w:r>
      <w:r w:rsidR="005C0499">
        <w:rPr>
          <w:rFonts w:cstheme="minorHAnsi"/>
        </w:rPr>
        <w:t xml:space="preserve"> – each of which is described in further detail below</w:t>
      </w:r>
      <w:r w:rsidRPr="003144D6" w:rsidR="005C0499">
        <w:rPr>
          <w:rFonts w:cstheme="minorHAnsi"/>
        </w:rPr>
        <w:t>.</w:t>
      </w:r>
    </w:p>
    <w:p w:rsidRPr="004F5F1B" w:rsidR="005C0499" w:rsidP="00795BB2" w:rsidRDefault="009B265D" w14:paraId="7C8E7658" w14:textId="2F983087">
      <w:pPr>
        <w:widowControl w:val="0"/>
        <w:tabs>
          <w:tab w:val="left" w:pos="360"/>
          <w:tab w:val="left" w:pos="1440"/>
          <w:tab w:val="left" w:pos="2160"/>
          <w:tab w:val="left" w:pos="3600"/>
          <w:tab w:val="left" w:pos="5040"/>
          <w:tab w:val="left" w:pos="5760"/>
        </w:tabs>
        <w:autoSpaceDE w:val="0"/>
        <w:autoSpaceDN w:val="0"/>
        <w:spacing w:before="220" w:after="0"/>
        <w:ind w:left="360" w:right="121"/>
        <w:rPr>
          <w:rFonts w:eastAsia="Arial" w:cstheme="minorHAnsi"/>
          <w:b/>
          <w:u w:val="single"/>
          <w:lang w:bidi="en-US"/>
        </w:rPr>
      </w:pPr>
      <w:r>
        <w:rPr>
          <w:rFonts w:eastAsia="Arial" w:cstheme="minorHAnsi"/>
          <w:b/>
          <w:u w:val="single"/>
          <w:lang w:bidi="en-US"/>
        </w:rPr>
        <w:t>Onsite (</w:t>
      </w:r>
      <w:r w:rsidRPr="004F5F1B" w:rsidR="005C0499">
        <w:rPr>
          <w:rFonts w:eastAsia="Arial" w:cstheme="minorHAnsi"/>
          <w:b/>
          <w:u w:val="single"/>
          <w:lang w:bidi="en-US"/>
        </w:rPr>
        <w:t>Intercept</w:t>
      </w:r>
      <w:r>
        <w:rPr>
          <w:rFonts w:eastAsia="Arial" w:cstheme="minorHAnsi"/>
          <w:b/>
          <w:u w:val="single"/>
          <w:lang w:bidi="en-US"/>
        </w:rPr>
        <w:t>)</w:t>
      </w:r>
      <w:r w:rsidRPr="004F5F1B" w:rsidR="005C0499">
        <w:rPr>
          <w:rFonts w:eastAsia="Arial" w:cstheme="minorHAnsi"/>
          <w:b/>
          <w:u w:val="single"/>
          <w:lang w:bidi="en-US"/>
        </w:rPr>
        <w:t xml:space="preserve"> Survey </w:t>
      </w:r>
    </w:p>
    <w:p w:rsidRPr="00D91527" w:rsidR="003144D6" w:rsidP="00795BB2" w:rsidRDefault="00555635" w14:paraId="787AB0DB" w14:textId="35AFC099">
      <w:pPr>
        <w:pStyle w:val="ListParagraph"/>
        <w:tabs>
          <w:tab w:val="left" w:pos="360"/>
          <w:tab w:val="left" w:pos="1440"/>
          <w:tab w:val="left" w:pos="2160"/>
          <w:tab w:val="left" w:pos="3600"/>
          <w:tab w:val="left" w:pos="5040"/>
          <w:tab w:val="left" w:pos="5760"/>
        </w:tabs>
        <w:spacing w:after="220"/>
        <w:ind w:left="360"/>
        <w:contextualSpacing w:val="0"/>
        <w:rPr>
          <w:lang w:bidi="en-US"/>
        </w:rPr>
      </w:pPr>
      <w:r>
        <w:rPr>
          <w:rFonts w:eastAsia="Arial" w:cstheme="minorHAnsi"/>
          <w:lang w:bidi="en-US"/>
        </w:rPr>
        <w:t>B</w:t>
      </w:r>
      <w:r w:rsidRPr="003144D6">
        <w:rPr>
          <w:rFonts w:eastAsia="Arial" w:cstheme="minorHAnsi"/>
          <w:lang w:bidi="en-US"/>
        </w:rPr>
        <w:t xml:space="preserve">ased on previous </w:t>
      </w:r>
      <w:r w:rsidR="00E32CB9">
        <w:rPr>
          <w:rFonts w:eastAsia="Arial" w:cstheme="minorHAnsi"/>
          <w:lang w:bidi="en-US"/>
        </w:rPr>
        <w:t xml:space="preserve">NPS </w:t>
      </w:r>
      <w:r w:rsidRPr="003144D6">
        <w:rPr>
          <w:rFonts w:eastAsia="Arial" w:cstheme="minorHAnsi"/>
          <w:lang w:bidi="en-US"/>
        </w:rPr>
        <w:t>research experience with this method</w:t>
      </w:r>
      <w:r>
        <w:rPr>
          <w:rFonts w:eastAsia="Arial" w:cstheme="minorHAnsi"/>
          <w:lang w:bidi="en-US"/>
        </w:rPr>
        <w:t>,</w:t>
      </w:r>
      <w:r w:rsidRPr="003144D6" w:rsidR="003144D6">
        <w:rPr>
          <w:rFonts w:eastAsia="Arial" w:cstheme="minorHAnsi"/>
          <w:lang w:bidi="en-US"/>
        </w:rPr>
        <w:t xml:space="preserve"> we </w:t>
      </w:r>
      <w:r>
        <w:rPr>
          <w:rFonts w:eastAsia="Arial" w:cstheme="minorHAnsi"/>
          <w:lang w:bidi="en-US"/>
        </w:rPr>
        <w:t>anticipate</w:t>
      </w:r>
      <w:r w:rsidRPr="003144D6">
        <w:rPr>
          <w:rFonts w:eastAsia="Arial" w:cstheme="minorHAnsi"/>
          <w:lang w:bidi="en-US"/>
        </w:rPr>
        <w:t xml:space="preserve"> </w:t>
      </w:r>
      <w:r w:rsidRPr="003144D6" w:rsidR="003144D6">
        <w:rPr>
          <w:rFonts w:eastAsia="Arial" w:cstheme="minorHAnsi"/>
          <w:lang w:bidi="en-US"/>
        </w:rPr>
        <w:t>that 8</w:t>
      </w:r>
      <w:r w:rsidR="005D70E9">
        <w:rPr>
          <w:rFonts w:eastAsia="Arial" w:cstheme="minorHAnsi"/>
          <w:lang w:bidi="en-US"/>
        </w:rPr>
        <w:t>5</w:t>
      </w:r>
      <w:r w:rsidRPr="003144D6" w:rsidR="003144D6">
        <w:rPr>
          <w:rFonts w:eastAsia="Arial" w:cstheme="minorHAnsi"/>
          <w:lang w:bidi="en-US"/>
        </w:rPr>
        <w:t xml:space="preserve">% of visitors contacted </w:t>
      </w:r>
      <w:r>
        <w:rPr>
          <w:rFonts w:eastAsia="Arial" w:cstheme="minorHAnsi"/>
          <w:lang w:bidi="en-US"/>
        </w:rPr>
        <w:t xml:space="preserve">during </w:t>
      </w:r>
      <w:r w:rsidRPr="003144D6" w:rsidR="003144D6">
        <w:rPr>
          <w:rFonts w:eastAsia="Arial" w:cstheme="minorHAnsi"/>
          <w:lang w:bidi="en-US"/>
        </w:rPr>
        <w:t xml:space="preserve">each sampling </w:t>
      </w:r>
      <w:bookmarkEnd w:id="2"/>
      <w:r w:rsidRPr="003144D6" w:rsidR="003144D6">
        <w:rPr>
          <w:rFonts w:eastAsia="Arial" w:cstheme="minorHAnsi"/>
          <w:lang w:bidi="en-US"/>
        </w:rPr>
        <w:t>period will agree to participate in the intercept survey</w:t>
      </w:r>
      <w:r w:rsidR="00F710B9">
        <w:rPr>
          <w:rFonts w:eastAsia="Arial" w:cstheme="minorHAnsi"/>
          <w:lang w:bidi="en-US"/>
        </w:rPr>
        <w:t xml:space="preserve"> </w:t>
      </w:r>
      <w:r w:rsidRPr="003144D6" w:rsidR="00F710B9">
        <w:rPr>
          <w:rFonts w:eastAsia="Arial" w:cstheme="minorHAnsi"/>
          <w:lang w:bidi="en-US"/>
        </w:rPr>
        <w:t>(n=</w:t>
      </w:r>
      <w:r w:rsidR="00497D21">
        <w:rPr>
          <w:rFonts w:eastAsia="Arial" w:cstheme="minorHAnsi"/>
          <w:lang w:bidi="en-US"/>
        </w:rPr>
        <w:t>3</w:t>
      </w:r>
      <w:r w:rsidR="00E32CB9">
        <w:rPr>
          <w:rFonts w:eastAsia="Arial" w:cstheme="minorHAnsi"/>
          <w:lang w:bidi="en-US"/>
        </w:rPr>
        <w:t>0</w:t>
      </w:r>
      <w:r w:rsidR="005D70E9">
        <w:rPr>
          <w:rFonts w:eastAsia="Arial" w:cstheme="minorHAnsi"/>
          <w:lang w:bidi="en-US"/>
        </w:rPr>
        <w:t>,</w:t>
      </w:r>
      <w:r w:rsidR="00E32CB9">
        <w:rPr>
          <w:rFonts w:eastAsia="Arial" w:cstheme="minorHAnsi"/>
          <w:lang w:bidi="en-US"/>
        </w:rPr>
        <w:t>600</w:t>
      </w:r>
      <w:r w:rsidR="00F710B9">
        <w:rPr>
          <w:rFonts w:eastAsia="Arial" w:cstheme="minorHAnsi"/>
          <w:lang w:bidi="en-US"/>
        </w:rPr>
        <w:t xml:space="preserve"> </w:t>
      </w:r>
      <w:r w:rsidR="009B265D">
        <w:rPr>
          <w:rFonts w:eastAsia="Arial" w:cstheme="minorHAnsi"/>
          <w:lang w:bidi="en-US"/>
        </w:rPr>
        <w:t xml:space="preserve">total </w:t>
      </w:r>
      <w:r w:rsidR="00F710B9">
        <w:rPr>
          <w:rFonts w:eastAsia="Arial" w:cstheme="minorHAnsi"/>
          <w:lang w:bidi="en-US"/>
        </w:rPr>
        <w:t>anticipated participants</w:t>
      </w:r>
      <w:r w:rsidRPr="003144D6" w:rsidR="00F710B9">
        <w:rPr>
          <w:rFonts w:eastAsia="Arial" w:cstheme="minorHAnsi"/>
          <w:lang w:bidi="en-US"/>
        </w:rPr>
        <w:t>)</w:t>
      </w:r>
      <w:r w:rsidRPr="003144D6" w:rsidR="003144D6">
        <w:rPr>
          <w:rFonts w:eastAsia="Arial" w:cstheme="minorHAnsi"/>
          <w:lang w:bidi="en-US"/>
        </w:rPr>
        <w:t>. RRC Associates and ITRR conduct frequent intercept surveys across the U.S. and these percentages are based upon the average refusals obtained.</w:t>
      </w:r>
      <w:r w:rsidR="00E97D73">
        <w:rPr>
          <w:rFonts w:eastAsia="Arial" w:cstheme="minorHAnsi"/>
          <w:lang w:bidi="en-US"/>
        </w:rPr>
        <w:t xml:space="preserve"> </w:t>
      </w:r>
      <w:r w:rsidRPr="003144D6" w:rsidR="003144D6">
        <w:rPr>
          <w:rFonts w:eastAsia="Arial" w:cstheme="minorHAnsi"/>
          <w:lang w:bidi="en-US"/>
        </w:rPr>
        <w:t xml:space="preserve"> </w:t>
      </w:r>
      <w:r w:rsidRPr="003144D6" w:rsidR="00244D87">
        <w:rPr>
          <w:rFonts w:eastAsia="Arial" w:cstheme="minorHAnsi"/>
          <w:lang w:bidi="en-US"/>
        </w:rPr>
        <w:t>F</w:t>
      </w:r>
      <w:r w:rsidR="00244D87">
        <w:rPr>
          <w:rFonts w:eastAsia="Arial" w:cstheme="minorHAnsi"/>
          <w:lang w:bidi="en-US"/>
        </w:rPr>
        <w:t>or example</w:t>
      </w:r>
      <w:r w:rsidR="00E97D73">
        <w:rPr>
          <w:rFonts w:eastAsia="Arial" w:cstheme="minorHAnsi"/>
          <w:lang w:bidi="en-US"/>
        </w:rPr>
        <w:t>,</w:t>
      </w:r>
      <w:r w:rsidRPr="003144D6" w:rsidR="003144D6">
        <w:rPr>
          <w:rFonts w:eastAsia="Arial" w:cstheme="minorHAnsi"/>
          <w:lang w:bidi="en-US"/>
        </w:rPr>
        <w:t xml:space="preserve"> in a recent study </w:t>
      </w:r>
      <w:r w:rsidR="00244D87">
        <w:rPr>
          <w:rFonts w:eastAsia="Arial" w:cstheme="minorHAnsi"/>
          <w:lang w:bidi="en-US"/>
        </w:rPr>
        <w:t xml:space="preserve">using these same methods </w:t>
      </w:r>
      <w:r w:rsidRPr="003144D6" w:rsidR="003144D6">
        <w:rPr>
          <w:rFonts w:eastAsia="Arial" w:cstheme="minorHAnsi"/>
          <w:lang w:bidi="en-US"/>
        </w:rPr>
        <w:t xml:space="preserve">at </w:t>
      </w:r>
      <w:r w:rsidR="00244D87">
        <w:rPr>
          <w:rFonts w:eastAsia="Arial" w:cstheme="minorHAnsi"/>
          <w:lang w:bidi="en-US"/>
        </w:rPr>
        <w:t>Zion</w:t>
      </w:r>
      <w:r w:rsidRPr="003144D6" w:rsidR="003144D6">
        <w:rPr>
          <w:rFonts w:eastAsia="Arial" w:cstheme="minorHAnsi"/>
          <w:lang w:bidi="en-US"/>
        </w:rPr>
        <w:t xml:space="preserve"> National Park by the research team, an intercept survey resulted in an approximate response rate of at least a</w:t>
      </w:r>
      <w:r w:rsidR="00CD5D38">
        <w:rPr>
          <w:rFonts w:eastAsia="Arial" w:cstheme="minorHAnsi"/>
          <w:lang w:bidi="en-US"/>
        </w:rPr>
        <w:t>n</w:t>
      </w:r>
      <w:r w:rsidRPr="003144D6" w:rsidR="003144D6">
        <w:rPr>
          <w:rFonts w:eastAsia="Arial" w:cstheme="minorHAnsi"/>
          <w:lang w:bidi="en-US"/>
        </w:rPr>
        <w:t xml:space="preserve"> </w:t>
      </w:r>
      <w:r w:rsidR="00244D87">
        <w:rPr>
          <w:lang w:bidi="en-US"/>
        </w:rPr>
        <w:t>86</w:t>
      </w:r>
      <w:r w:rsidRPr="004C2171" w:rsidR="003144D6">
        <w:rPr>
          <w:lang w:bidi="en-US"/>
        </w:rPr>
        <w:t>% participation rate spread across a variety of locations in the park. Surveyors will aim to capture as widespread participation as possible using a variety of standardized techniques such as offering to take the survey verbally or by reading the tablet, and joint reading of the questions for visitors who were unable to participate.</w:t>
      </w:r>
    </w:p>
    <w:p w:rsidRPr="00D91527" w:rsidR="003144D6" w:rsidP="00795BB2" w:rsidRDefault="003144D6" w14:paraId="0FAF0E2D" w14:textId="0C66A219">
      <w:pPr>
        <w:pStyle w:val="ListParagraph"/>
        <w:tabs>
          <w:tab w:val="left" w:pos="360"/>
          <w:tab w:val="left" w:pos="1440"/>
          <w:tab w:val="left" w:pos="2160"/>
          <w:tab w:val="left" w:pos="3600"/>
          <w:tab w:val="left" w:pos="5040"/>
          <w:tab w:val="left" w:pos="5760"/>
        </w:tabs>
        <w:spacing w:after="220"/>
        <w:ind w:left="360"/>
        <w:contextualSpacing w:val="0"/>
        <w:rPr>
          <w:rFonts w:cstheme="minorHAnsi"/>
        </w:rPr>
      </w:pPr>
      <w:r w:rsidRPr="003144D6">
        <w:rPr>
          <w:rFonts w:cstheme="minorHAnsi"/>
        </w:rPr>
        <w:t>Of th</w:t>
      </w:r>
      <w:r w:rsidR="00D51B77">
        <w:rPr>
          <w:rFonts w:cstheme="minorHAnsi"/>
        </w:rPr>
        <w:t>at</w:t>
      </w:r>
      <w:r w:rsidRPr="003144D6">
        <w:rPr>
          <w:rFonts w:cstheme="minorHAnsi"/>
        </w:rPr>
        <w:t xml:space="preserve"> </w:t>
      </w:r>
      <w:r w:rsidR="00244D87">
        <w:rPr>
          <w:rFonts w:cstheme="minorHAnsi"/>
        </w:rPr>
        <w:t>15</w:t>
      </w:r>
      <w:r w:rsidRPr="003144D6">
        <w:rPr>
          <w:rFonts w:cstheme="minorHAnsi"/>
        </w:rPr>
        <w:t>% of contacted visitors who do not agree to participate in the intercept survey (noted in the table below as ‘soft refusals’), we expect 90% to answer the non-response bias questions (</w:t>
      </w:r>
      <w:r w:rsidR="005C0499">
        <w:rPr>
          <w:rFonts w:cstheme="minorHAnsi"/>
        </w:rPr>
        <w:t>n=</w:t>
      </w:r>
      <w:r w:rsidR="00244D87">
        <w:rPr>
          <w:rFonts w:cstheme="minorHAnsi"/>
        </w:rPr>
        <w:t>4,</w:t>
      </w:r>
      <w:r w:rsidR="00E32CB9">
        <w:rPr>
          <w:rFonts w:cstheme="minorHAnsi"/>
        </w:rPr>
        <w:t>860</w:t>
      </w:r>
      <w:r w:rsidRPr="003144D6">
        <w:rPr>
          <w:rFonts w:cstheme="minorHAnsi"/>
        </w:rPr>
        <w:t>) with roughly 10% of visitors completely refusing to participate in any part of the collection (hard refusals</w:t>
      </w:r>
      <w:r w:rsidR="005C0499">
        <w:rPr>
          <w:rFonts w:cstheme="minorHAnsi"/>
        </w:rPr>
        <w:t>, n=</w:t>
      </w:r>
      <w:r w:rsidR="00244D87">
        <w:rPr>
          <w:rFonts w:cstheme="minorHAnsi"/>
        </w:rPr>
        <w:t>54</w:t>
      </w:r>
      <w:r w:rsidR="00E32CB9">
        <w:rPr>
          <w:rFonts w:cstheme="minorHAnsi"/>
        </w:rPr>
        <w:t>0</w:t>
      </w:r>
      <w:r w:rsidRPr="003144D6">
        <w:rPr>
          <w:rFonts w:cstheme="minorHAnsi"/>
        </w:rPr>
        <w:t xml:space="preserve">). </w:t>
      </w:r>
    </w:p>
    <w:p w:rsidRPr="00436135" w:rsidR="001761E9" w:rsidP="00436135" w:rsidRDefault="00436135" w14:paraId="0B16701C" w14:textId="306FED5F">
      <w:pPr>
        <w:pStyle w:val="NoSpacing"/>
        <w:spacing w:before="220" w:line="360" w:lineRule="auto"/>
        <w:ind w:left="360"/>
        <w:rPr>
          <w:rFonts w:asciiTheme="minorHAnsi" w:hAnsiTheme="minorHAnsi" w:cstheme="minorHAnsi"/>
          <w:b/>
          <w:bCs/>
          <w:sz w:val="22"/>
          <w:lang w:bidi="en-US"/>
        </w:rPr>
      </w:pPr>
      <w:bookmarkStart w:name="_Ref49166731" w:id="3"/>
      <w:r w:rsidRPr="004C1C07">
        <w:rPr>
          <w:rFonts w:asciiTheme="minorHAnsi" w:hAnsiTheme="minorHAnsi" w:eastAsiaTheme="minorHAnsi" w:cstheme="minorHAnsi"/>
          <w:b/>
          <w:sz w:val="22"/>
          <w:szCs w:val="22"/>
          <w:lang w:bidi="en-US"/>
        </w:rPr>
        <w:t xml:space="preserve">Table </w:t>
      </w:r>
      <w:r w:rsidRPr="004C1C07">
        <w:rPr>
          <w:rFonts w:asciiTheme="minorHAnsi" w:hAnsiTheme="minorHAnsi" w:eastAsiaTheme="minorHAnsi" w:cstheme="minorHAnsi"/>
          <w:b/>
          <w:sz w:val="22"/>
          <w:szCs w:val="22"/>
          <w:lang w:bidi="en-US"/>
        </w:rPr>
        <w:fldChar w:fldCharType="begin"/>
      </w:r>
      <w:r w:rsidRPr="004C1C07">
        <w:rPr>
          <w:rFonts w:asciiTheme="minorHAnsi" w:hAnsiTheme="minorHAnsi" w:eastAsiaTheme="minorHAnsi" w:cstheme="minorHAnsi"/>
          <w:b/>
          <w:sz w:val="22"/>
          <w:szCs w:val="22"/>
          <w:lang w:bidi="en-US"/>
        </w:rPr>
        <w:instrText xml:space="preserve"> SEQ Table \* ARABIC </w:instrText>
      </w:r>
      <w:r w:rsidRPr="004C1C07">
        <w:rPr>
          <w:rFonts w:asciiTheme="minorHAnsi" w:hAnsiTheme="minorHAnsi" w:eastAsiaTheme="minorHAnsi" w:cstheme="minorHAnsi"/>
          <w:b/>
          <w:sz w:val="22"/>
          <w:szCs w:val="22"/>
          <w:lang w:bidi="en-US"/>
        </w:rPr>
        <w:fldChar w:fldCharType="separate"/>
      </w:r>
      <w:r>
        <w:rPr>
          <w:rFonts w:asciiTheme="minorHAnsi" w:hAnsiTheme="minorHAnsi" w:eastAsiaTheme="minorHAnsi" w:cstheme="minorHAnsi"/>
          <w:b/>
          <w:noProof/>
          <w:sz w:val="22"/>
          <w:szCs w:val="22"/>
          <w:lang w:bidi="en-US"/>
        </w:rPr>
        <w:t>4</w:t>
      </w:r>
      <w:r w:rsidRPr="004C1C07">
        <w:rPr>
          <w:rFonts w:asciiTheme="minorHAnsi" w:hAnsiTheme="minorHAnsi" w:eastAsiaTheme="minorHAnsi" w:cstheme="minorHAnsi"/>
          <w:b/>
          <w:sz w:val="22"/>
          <w:szCs w:val="22"/>
          <w:lang w:bidi="en-US"/>
        </w:rPr>
        <w:fldChar w:fldCharType="end"/>
      </w:r>
      <w:bookmarkEnd w:id="3"/>
      <w:r w:rsidR="005C0499">
        <w:rPr>
          <w:rFonts w:asciiTheme="minorHAnsi" w:hAnsiTheme="minorHAnsi" w:eastAsiaTheme="minorHAnsi" w:cstheme="minorHAnsi"/>
          <w:b/>
          <w:sz w:val="22"/>
          <w:szCs w:val="22"/>
          <w:lang w:bidi="en-US"/>
        </w:rPr>
        <w:t>a</w:t>
      </w:r>
      <w:r w:rsidRPr="004C1C07">
        <w:rPr>
          <w:rFonts w:asciiTheme="minorHAnsi" w:hAnsiTheme="minorHAnsi" w:eastAsiaTheme="minorHAnsi" w:cstheme="minorHAnsi"/>
          <w:b/>
          <w:sz w:val="22"/>
          <w:szCs w:val="22"/>
          <w:lang w:bidi="en-US"/>
        </w:rPr>
        <w:t xml:space="preserve">. </w:t>
      </w:r>
      <w:r>
        <w:rPr>
          <w:rFonts w:asciiTheme="minorHAnsi" w:hAnsiTheme="minorHAnsi" w:cstheme="minorHAnsi"/>
          <w:b/>
          <w:bCs/>
          <w:sz w:val="22"/>
          <w:lang w:bidi="en-US"/>
        </w:rPr>
        <w:t>Anticipated Onsite Survey Response Rates</w:t>
      </w:r>
    </w:p>
    <w:tbl>
      <w:tblPr>
        <w:tblStyle w:val="TableGrid"/>
        <w:tblW w:w="0" w:type="auto"/>
        <w:tblInd w:w="630" w:type="dxa"/>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10"/>
        <w:gridCol w:w="1530"/>
        <w:gridCol w:w="1800"/>
        <w:gridCol w:w="2340"/>
        <w:gridCol w:w="1800"/>
      </w:tblGrid>
      <w:tr w:rsidRPr="00101E0A" w:rsidR="00B401D7" w:rsidTr="007E7676" w14:paraId="10584B9A" w14:textId="67A78901">
        <w:trPr>
          <w:trHeight w:val="772"/>
        </w:trPr>
        <w:tc>
          <w:tcPr>
            <w:tcW w:w="1710" w:type="dxa"/>
            <w:tcBorders>
              <w:top w:val="single" w:color="auto" w:sz="4" w:space="0"/>
              <w:bottom w:val="single" w:color="auto" w:sz="4" w:space="0"/>
            </w:tcBorders>
            <w:shd w:val="clear" w:color="auto" w:fill="5F497A" w:themeFill="accent4" w:themeFillShade="BF"/>
            <w:vAlign w:val="center"/>
          </w:tcPr>
          <w:p w:rsidR="00B401D7" w:rsidP="00B401D7" w:rsidRDefault="00B401D7" w14:paraId="39485259" w14:textId="52ADFC30">
            <w:pPr>
              <w:pStyle w:val="NoSpacing"/>
              <w:jc w:val="center"/>
              <w:rPr>
                <w:rFonts w:asciiTheme="minorHAnsi" w:hAnsiTheme="minorHAnsi" w:cstheme="minorHAnsi"/>
                <w:b/>
                <w:bCs/>
                <w:color w:val="FFFFFF" w:themeColor="background1"/>
                <w:sz w:val="18"/>
                <w:szCs w:val="18"/>
              </w:rPr>
            </w:pPr>
            <w:bookmarkStart w:name="_Hlk48827534" w:id="4"/>
            <w:r>
              <w:rPr>
                <w:rFonts w:asciiTheme="minorHAnsi" w:hAnsiTheme="minorHAnsi" w:cstheme="minorHAnsi"/>
                <w:b/>
                <w:bCs/>
                <w:color w:val="FFFFFF" w:themeColor="background1"/>
                <w:sz w:val="18"/>
                <w:szCs w:val="18"/>
              </w:rPr>
              <w:t xml:space="preserve">Total Number of Visitor Contacts (see </w:t>
            </w:r>
            <w:r>
              <w:rPr>
                <w:rFonts w:asciiTheme="minorHAnsi" w:hAnsiTheme="minorHAnsi" w:cstheme="minorHAnsi"/>
                <w:b/>
                <w:bCs/>
                <w:color w:val="FFFFFF" w:themeColor="background1"/>
                <w:sz w:val="18"/>
                <w:szCs w:val="18"/>
              </w:rPr>
              <w:fldChar w:fldCharType="begin"/>
            </w:r>
            <w:r>
              <w:rPr>
                <w:rFonts w:asciiTheme="minorHAnsi" w:hAnsiTheme="minorHAnsi" w:cstheme="minorHAnsi"/>
                <w:b/>
                <w:bCs/>
                <w:color w:val="FFFFFF" w:themeColor="background1"/>
                <w:sz w:val="18"/>
                <w:szCs w:val="18"/>
              </w:rPr>
              <w:instrText xml:space="preserve"> REF _Ref49165143 \h  \* MERGEFORMAT </w:instrText>
            </w:r>
            <w:r>
              <w:rPr>
                <w:rFonts w:asciiTheme="minorHAnsi" w:hAnsiTheme="minorHAnsi" w:cstheme="minorHAnsi"/>
                <w:b/>
                <w:bCs/>
                <w:color w:val="FFFFFF" w:themeColor="background1"/>
                <w:sz w:val="18"/>
                <w:szCs w:val="18"/>
              </w:rPr>
            </w:r>
            <w:r>
              <w:rPr>
                <w:rFonts w:asciiTheme="minorHAnsi" w:hAnsiTheme="minorHAnsi" w:cstheme="minorHAnsi"/>
                <w:b/>
                <w:bCs/>
                <w:color w:val="FFFFFF" w:themeColor="background1"/>
                <w:sz w:val="18"/>
                <w:szCs w:val="18"/>
              </w:rPr>
              <w:fldChar w:fldCharType="separate"/>
            </w:r>
            <w:r w:rsidRPr="00436135">
              <w:rPr>
                <w:rFonts w:asciiTheme="minorHAnsi" w:hAnsiTheme="minorHAnsi" w:cstheme="minorHAnsi"/>
                <w:b/>
                <w:bCs/>
                <w:color w:val="FFFFFF" w:themeColor="background1"/>
                <w:sz w:val="18"/>
                <w:szCs w:val="18"/>
              </w:rPr>
              <w:t>Table 3</w:t>
            </w:r>
            <w:r>
              <w:rPr>
                <w:rFonts w:asciiTheme="minorHAnsi" w:hAnsiTheme="minorHAnsi" w:cstheme="minorHAnsi"/>
                <w:b/>
                <w:bCs/>
                <w:color w:val="FFFFFF" w:themeColor="background1"/>
                <w:sz w:val="18"/>
                <w:szCs w:val="18"/>
              </w:rPr>
              <w:fldChar w:fldCharType="end"/>
            </w:r>
            <w:r>
              <w:rPr>
                <w:rFonts w:asciiTheme="minorHAnsi" w:hAnsiTheme="minorHAnsi" w:cstheme="minorHAnsi"/>
                <w:b/>
                <w:bCs/>
                <w:color w:val="FFFFFF" w:themeColor="background1"/>
                <w:sz w:val="18"/>
                <w:szCs w:val="18"/>
              </w:rPr>
              <w:t>)</w:t>
            </w:r>
          </w:p>
        </w:tc>
        <w:tc>
          <w:tcPr>
            <w:tcW w:w="1530" w:type="dxa"/>
            <w:tcBorders>
              <w:top w:val="single" w:color="auto" w:sz="4" w:space="0"/>
              <w:bottom w:val="single" w:color="auto" w:sz="4" w:space="0"/>
            </w:tcBorders>
            <w:shd w:val="clear" w:color="auto" w:fill="5F497A" w:themeFill="accent4" w:themeFillShade="BF"/>
            <w:vAlign w:val="center"/>
          </w:tcPr>
          <w:p w:rsidR="00B401D7" w:rsidP="00B401D7" w:rsidRDefault="00B401D7" w14:paraId="67E08714" w14:textId="1CEF25AD">
            <w:pPr>
              <w:pStyle w:val="NoSpacing"/>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Completed Onsite Surveys</w:t>
            </w:r>
          </w:p>
          <w:p w:rsidRPr="005622A5" w:rsidR="00B401D7" w:rsidP="00B401D7" w:rsidRDefault="00B401D7" w14:paraId="268BE57E" w14:textId="753A5603">
            <w:pPr>
              <w:pStyle w:val="NoSpacing"/>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(8</w:t>
            </w:r>
            <w:r w:rsidR="00692556">
              <w:rPr>
                <w:rFonts w:asciiTheme="minorHAnsi" w:hAnsiTheme="minorHAnsi" w:cstheme="minorHAnsi"/>
                <w:b/>
                <w:bCs/>
                <w:color w:val="FFFFFF" w:themeColor="background1"/>
                <w:sz w:val="18"/>
                <w:szCs w:val="18"/>
              </w:rPr>
              <w:t>5</w:t>
            </w:r>
            <w:r>
              <w:rPr>
                <w:rFonts w:asciiTheme="minorHAnsi" w:hAnsiTheme="minorHAnsi" w:cstheme="minorHAnsi"/>
                <w:b/>
                <w:bCs/>
                <w:color w:val="FFFFFF" w:themeColor="background1"/>
                <w:sz w:val="18"/>
                <w:szCs w:val="18"/>
              </w:rPr>
              <w:t>% of contacts)</w:t>
            </w:r>
          </w:p>
        </w:tc>
        <w:tc>
          <w:tcPr>
            <w:tcW w:w="1800" w:type="dxa"/>
            <w:tcBorders>
              <w:top w:val="single" w:color="auto" w:sz="4" w:space="0"/>
              <w:bottom w:val="single" w:color="auto" w:sz="4" w:space="0"/>
            </w:tcBorders>
            <w:shd w:val="clear" w:color="auto" w:fill="5F497A" w:themeFill="accent4" w:themeFillShade="BF"/>
            <w:vAlign w:val="center"/>
          </w:tcPr>
          <w:p w:rsidR="00B401D7" w:rsidP="00B401D7" w:rsidRDefault="00B401D7" w14:paraId="32C2749A" w14:textId="1E40F186">
            <w:pPr>
              <w:pStyle w:val="NoSpacing"/>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 xml:space="preserve">Soft Refusals </w:t>
            </w:r>
            <w:r>
              <w:rPr>
                <w:rFonts w:asciiTheme="minorHAnsi" w:hAnsiTheme="minorHAnsi" w:cstheme="minorHAnsi"/>
                <w:b/>
                <w:bCs/>
                <w:color w:val="FFFFFF" w:themeColor="background1"/>
                <w:sz w:val="18"/>
                <w:szCs w:val="18"/>
              </w:rPr>
              <w:br/>
              <w:t>(</w:t>
            </w:r>
            <w:r w:rsidR="00692556">
              <w:rPr>
                <w:rFonts w:asciiTheme="minorHAnsi" w:hAnsiTheme="minorHAnsi" w:cstheme="minorHAnsi"/>
                <w:b/>
                <w:bCs/>
                <w:color w:val="FFFFFF" w:themeColor="background1"/>
                <w:sz w:val="18"/>
                <w:szCs w:val="18"/>
              </w:rPr>
              <w:t>15</w:t>
            </w:r>
            <w:r>
              <w:rPr>
                <w:rFonts w:asciiTheme="minorHAnsi" w:hAnsiTheme="minorHAnsi" w:cstheme="minorHAnsi"/>
                <w:b/>
                <w:bCs/>
                <w:color w:val="FFFFFF" w:themeColor="background1"/>
                <w:sz w:val="18"/>
                <w:szCs w:val="18"/>
              </w:rPr>
              <w:t>% of contacts)</w:t>
            </w:r>
          </w:p>
        </w:tc>
        <w:tc>
          <w:tcPr>
            <w:tcW w:w="2340" w:type="dxa"/>
            <w:tcBorders>
              <w:top w:val="single" w:color="auto" w:sz="4" w:space="0"/>
              <w:bottom w:val="single" w:color="auto" w:sz="4" w:space="0"/>
            </w:tcBorders>
            <w:shd w:val="clear" w:color="auto" w:fill="5F497A" w:themeFill="accent4" w:themeFillShade="BF"/>
            <w:vAlign w:val="center"/>
          </w:tcPr>
          <w:p w:rsidRPr="00436135" w:rsidR="00B401D7" w:rsidP="00B401D7" w:rsidRDefault="00B401D7" w14:paraId="5FEFDF59" w14:textId="02104ED6">
            <w:pPr>
              <w:pStyle w:val="NoSpacing"/>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 xml:space="preserve">Completed </w:t>
            </w:r>
            <w:r>
              <w:rPr>
                <w:rFonts w:asciiTheme="minorHAnsi" w:hAnsiTheme="minorHAnsi" w:cstheme="minorHAnsi"/>
                <w:b/>
                <w:bCs/>
                <w:color w:val="FFFFFF" w:themeColor="background1"/>
                <w:sz w:val="18"/>
                <w:szCs w:val="18"/>
              </w:rPr>
              <w:br/>
              <w:t xml:space="preserve">Non-Response Surveys </w:t>
            </w:r>
            <w:r>
              <w:rPr>
                <w:rFonts w:asciiTheme="minorHAnsi" w:hAnsiTheme="minorHAnsi" w:cstheme="minorHAnsi"/>
                <w:b/>
                <w:bCs/>
                <w:color w:val="FFFFFF" w:themeColor="background1"/>
                <w:sz w:val="18"/>
                <w:szCs w:val="18"/>
              </w:rPr>
              <w:br/>
              <w:t xml:space="preserve"> (90% of soft refusals)</w:t>
            </w:r>
          </w:p>
        </w:tc>
        <w:tc>
          <w:tcPr>
            <w:tcW w:w="1800" w:type="dxa"/>
            <w:tcBorders>
              <w:top w:val="single" w:color="auto" w:sz="4" w:space="0"/>
              <w:bottom w:val="single" w:color="auto" w:sz="4" w:space="0"/>
            </w:tcBorders>
            <w:shd w:val="clear" w:color="auto" w:fill="5F497A" w:themeFill="accent4" w:themeFillShade="BF"/>
            <w:vAlign w:val="center"/>
          </w:tcPr>
          <w:p w:rsidRPr="00436135" w:rsidR="00B401D7" w:rsidP="00B401D7" w:rsidRDefault="00B401D7" w14:paraId="213FD2D7" w14:textId="0104EA58">
            <w:pPr>
              <w:pStyle w:val="NoSpacing"/>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 xml:space="preserve">Hard Refusals </w:t>
            </w:r>
            <w:r>
              <w:rPr>
                <w:rFonts w:asciiTheme="minorHAnsi" w:hAnsiTheme="minorHAnsi" w:cstheme="minorHAnsi"/>
                <w:b/>
                <w:bCs/>
                <w:color w:val="FFFFFF" w:themeColor="background1"/>
                <w:sz w:val="18"/>
                <w:szCs w:val="18"/>
              </w:rPr>
              <w:br/>
              <w:t>(10% of soft refusals)</w:t>
            </w:r>
          </w:p>
        </w:tc>
      </w:tr>
      <w:tr w:rsidRPr="00350763" w:rsidR="002B4B9B" w:rsidTr="00692556" w14:paraId="44E0B146" w14:textId="77777777">
        <w:trPr>
          <w:trHeight w:val="332"/>
        </w:trPr>
        <w:tc>
          <w:tcPr>
            <w:tcW w:w="1710" w:type="dxa"/>
            <w:tcBorders>
              <w:top w:val="single" w:color="auto" w:sz="4" w:space="0"/>
            </w:tcBorders>
            <w:shd w:val="clear" w:color="auto" w:fill="auto"/>
            <w:vAlign w:val="center"/>
          </w:tcPr>
          <w:p w:rsidRPr="00692556" w:rsidR="002B4B9B" w:rsidRDefault="002B4B9B" w14:paraId="6729FBCE" w14:textId="015E340D">
            <w:pPr>
              <w:pStyle w:val="NoSpacing"/>
              <w:jc w:val="center"/>
              <w:rPr>
                <w:rFonts w:asciiTheme="minorHAnsi" w:hAnsiTheme="minorHAnsi" w:cstheme="minorHAnsi"/>
                <w:sz w:val="18"/>
                <w:szCs w:val="18"/>
              </w:rPr>
            </w:pPr>
            <w:r>
              <w:rPr>
                <w:rFonts w:asciiTheme="minorHAnsi" w:hAnsiTheme="minorHAnsi" w:cstheme="minorHAnsi"/>
                <w:sz w:val="18"/>
                <w:szCs w:val="18"/>
              </w:rPr>
              <w:t>36,000</w:t>
            </w:r>
          </w:p>
        </w:tc>
        <w:tc>
          <w:tcPr>
            <w:tcW w:w="1530" w:type="dxa"/>
            <w:tcBorders>
              <w:top w:val="single" w:color="auto" w:sz="4" w:space="0"/>
            </w:tcBorders>
            <w:shd w:val="clear" w:color="auto" w:fill="E5DFEC" w:themeFill="accent4" w:themeFillTint="33"/>
            <w:vAlign w:val="center"/>
          </w:tcPr>
          <w:p w:rsidRPr="00692556" w:rsidR="002B4B9B" w:rsidRDefault="002B4B9B" w14:paraId="50ADF589" w14:textId="7240E4C8">
            <w:pPr>
              <w:pStyle w:val="NoSpacing"/>
              <w:jc w:val="center"/>
              <w:rPr>
                <w:rFonts w:asciiTheme="minorHAnsi" w:hAnsiTheme="minorHAnsi" w:cstheme="minorHAnsi"/>
                <w:sz w:val="18"/>
                <w:szCs w:val="18"/>
              </w:rPr>
            </w:pPr>
            <w:bookmarkStart w:name="_Hlk90550908" w:id="5"/>
            <w:r>
              <w:rPr>
                <w:rFonts w:asciiTheme="minorHAnsi" w:hAnsiTheme="minorHAnsi" w:cstheme="minorHAnsi"/>
                <w:sz w:val="18"/>
                <w:szCs w:val="18"/>
              </w:rPr>
              <w:t>30,600</w:t>
            </w:r>
            <w:bookmarkEnd w:id="5"/>
          </w:p>
        </w:tc>
        <w:tc>
          <w:tcPr>
            <w:tcW w:w="1800" w:type="dxa"/>
            <w:tcBorders>
              <w:top w:val="single" w:color="auto" w:sz="4" w:space="0"/>
            </w:tcBorders>
            <w:vAlign w:val="center"/>
          </w:tcPr>
          <w:p w:rsidRPr="00692556" w:rsidR="002B4B9B" w:rsidRDefault="002B4B9B" w14:paraId="3CB17198" w14:textId="1D9CAE37">
            <w:pPr>
              <w:pStyle w:val="NoSpacing"/>
              <w:jc w:val="center"/>
              <w:rPr>
                <w:rFonts w:asciiTheme="minorHAnsi" w:hAnsiTheme="minorHAnsi" w:cstheme="minorHAnsi"/>
                <w:sz w:val="18"/>
                <w:szCs w:val="18"/>
              </w:rPr>
            </w:pPr>
            <w:r>
              <w:rPr>
                <w:rFonts w:asciiTheme="minorHAnsi" w:hAnsiTheme="minorHAnsi" w:cstheme="minorHAnsi"/>
                <w:sz w:val="18"/>
                <w:szCs w:val="18"/>
              </w:rPr>
              <w:t>5</w:t>
            </w:r>
            <w:r w:rsidR="007F1DFC">
              <w:rPr>
                <w:rFonts w:asciiTheme="minorHAnsi" w:hAnsiTheme="minorHAnsi" w:cstheme="minorHAnsi"/>
                <w:sz w:val="18"/>
                <w:szCs w:val="18"/>
              </w:rPr>
              <w:t>,</w:t>
            </w:r>
            <w:r>
              <w:rPr>
                <w:rFonts w:asciiTheme="minorHAnsi" w:hAnsiTheme="minorHAnsi" w:cstheme="minorHAnsi"/>
                <w:sz w:val="18"/>
                <w:szCs w:val="18"/>
              </w:rPr>
              <w:t>400</w:t>
            </w:r>
          </w:p>
        </w:tc>
        <w:tc>
          <w:tcPr>
            <w:tcW w:w="2340" w:type="dxa"/>
            <w:tcBorders>
              <w:top w:val="single" w:color="auto" w:sz="4" w:space="0"/>
            </w:tcBorders>
            <w:shd w:val="clear" w:color="auto" w:fill="E5DFEC" w:themeFill="accent4" w:themeFillTint="33"/>
            <w:vAlign w:val="center"/>
          </w:tcPr>
          <w:p w:rsidRPr="00692556" w:rsidR="002B4B9B" w:rsidRDefault="002B4B9B" w14:paraId="7E5FB27A" w14:textId="1ED443B5">
            <w:pPr>
              <w:pStyle w:val="NoSpacing"/>
              <w:jc w:val="center"/>
              <w:rPr>
                <w:rFonts w:asciiTheme="minorHAnsi" w:hAnsiTheme="minorHAnsi" w:cstheme="minorHAnsi"/>
                <w:sz w:val="18"/>
                <w:szCs w:val="18"/>
              </w:rPr>
            </w:pPr>
            <w:bookmarkStart w:name="_Hlk90551126" w:id="6"/>
            <w:r>
              <w:rPr>
                <w:rFonts w:asciiTheme="minorHAnsi" w:hAnsiTheme="minorHAnsi" w:cstheme="minorHAnsi"/>
                <w:sz w:val="18"/>
                <w:szCs w:val="18"/>
              </w:rPr>
              <w:t>4</w:t>
            </w:r>
            <w:r w:rsidR="007F1DFC">
              <w:rPr>
                <w:rFonts w:asciiTheme="minorHAnsi" w:hAnsiTheme="minorHAnsi" w:cstheme="minorHAnsi"/>
                <w:sz w:val="18"/>
                <w:szCs w:val="18"/>
              </w:rPr>
              <w:t>,</w:t>
            </w:r>
            <w:r>
              <w:rPr>
                <w:rFonts w:asciiTheme="minorHAnsi" w:hAnsiTheme="minorHAnsi" w:cstheme="minorHAnsi"/>
                <w:sz w:val="18"/>
                <w:szCs w:val="18"/>
              </w:rPr>
              <w:t>860</w:t>
            </w:r>
            <w:bookmarkEnd w:id="6"/>
          </w:p>
        </w:tc>
        <w:tc>
          <w:tcPr>
            <w:tcW w:w="1800" w:type="dxa"/>
            <w:tcBorders>
              <w:top w:val="single" w:color="auto" w:sz="4" w:space="0"/>
            </w:tcBorders>
            <w:shd w:val="clear" w:color="auto" w:fill="auto"/>
            <w:vAlign w:val="center"/>
          </w:tcPr>
          <w:p w:rsidRPr="00692556" w:rsidR="002B4B9B" w:rsidRDefault="002B4B9B" w14:paraId="384EDF7E" w14:textId="7D8F7FF0">
            <w:pPr>
              <w:pStyle w:val="NoSpacing"/>
              <w:jc w:val="center"/>
              <w:rPr>
                <w:rFonts w:asciiTheme="minorHAnsi" w:hAnsiTheme="minorHAnsi" w:cstheme="minorHAnsi"/>
                <w:sz w:val="18"/>
                <w:szCs w:val="18"/>
              </w:rPr>
            </w:pPr>
            <w:r>
              <w:rPr>
                <w:rFonts w:asciiTheme="minorHAnsi" w:hAnsiTheme="minorHAnsi" w:cstheme="minorHAnsi"/>
                <w:sz w:val="18"/>
                <w:szCs w:val="18"/>
              </w:rPr>
              <w:t>540</w:t>
            </w:r>
          </w:p>
        </w:tc>
      </w:tr>
      <w:bookmarkEnd w:id="4"/>
    </w:tbl>
    <w:p w:rsidRPr="00E21031" w:rsidR="009B219C" w:rsidP="00E21031" w:rsidRDefault="009B219C" w14:paraId="683C4729" w14:textId="7522CAB8">
      <w:pPr>
        <w:pStyle w:val="NoSpacing"/>
      </w:pPr>
    </w:p>
    <w:p w:rsidR="00587C91" w:rsidP="00795BB2" w:rsidRDefault="00587C91" w14:paraId="36DA4A70" w14:textId="77777777">
      <w:pPr>
        <w:pStyle w:val="NoSpacing"/>
        <w:spacing w:before="220" w:line="276" w:lineRule="auto"/>
        <w:ind w:left="450"/>
        <w:rPr>
          <w:rFonts w:eastAsia="Arial" w:asciiTheme="minorHAnsi" w:hAnsiTheme="minorHAnsi" w:cstheme="minorHAnsi"/>
          <w:b/>
          <w:bCs/>
          <w:sz w:val="22"/>
          <w:szCs w:val="22"/>
          <w:u w:val="single"/>
          <w:lang w:bidi="en-US"/>
        </w:rPr>
      </w:pPr>
      <w:r>
        <w:rPr>
          <w:rFonts w:eastAsia="Arial" w:asciiTheme="minorHAnsi" w:hAnsiTheme="minorHAnsi" w:cstheme="minorHAnsi"/>
          <w:b/>
          <w:bCs/>
          <w:sz w:val="22"/>
          <w:szCs w:val="22"/>
          <w:u w:val="single"/>
          <w:lang w:bidi="en-US"/>
        </w:rPr>
        <w:br w:type="page"/>
      </w:r>
    </w:p>
    <w:p w:rsidRPr="009B265D" w:rsidR="00670CE6" w:rsidP="00795BB2" w:rsidRDefault="009B265D" w14:paraId="415666D4" w14:textId="35C08C7C">
      <w:pPr>
        <w:pStyle w:val="NoSpacing"/>
        <w:spacing w:before="220" w:line="276" w:lineRule="auto"/>
        <w:ind w:left="450"/>
        <w:rPr>
          <w:rFonts w:eastAsia="Arial" w:asciiTheme="minorHAnsi" w:hAnsiTheme="minorHAnsi" w:cstheme="minorHAnsi"/>
          <w:b/>
          <w:bCs/>
          <w:sz w:val="22"/>
          <w:szCs w:val="22"/>
          <w:u w:val="single"/>
          <w:lang w:bidi="en-US"/>
        </w:rPr>
      </w:pPr>
      <w:r w:rsidRPr="009B265D">
        <w:rPr>
          <w:rFonts w:eastAsia="Arial" w:asciiTheme="minorHAnsi" w:hAnsiTheme="minorHAnsi" w:cstheme="minorHAnsi"/>
          <w:b/>
          <w:bCs/>
          <w:sz w:val="22"/>
          <w:szCs w:val="22"/>
          <w:u w:val="single"/>
          <w:lang w:bidi="en-US"/>
        </w:rPr>
        <w:lastRenderedPageBreak/>
        <w:t>Follow-up (</w:t>
      </w:r>
      <w:r w:rsidRPr="009B265D" w:rsidR="00670CE6">
        <w:rPr>
          <w:rFonts w:eastAsia="Arial" w:asciiTheme="minorHAnsi" w:hAnsiTheme="minorHAnsi" w:cstheme="minorHAnsi"/>
          <w:b/>
          <w:bCs/>
          <w:sz w:val="22"/>
          <w:szCs w:val="22"/>
          <w:u w:val="single"/>
          <w:lang w:bidi="en-US"/>
        </w:rPr>
        <w:t>Mail-back/Online</w:t>
      </w:r>
      <w:r w:rsidRPr="009B265D">
        <w:rPr>
          <w:rFonts w:eastAsia="Arial" w:asciiTheme="minorHAnsi" w:hAnsiTheme="minorHAnsi" w:cstheme="minorHAnsi"/>
          <w:b/>
          <w:bCs/>
          <w:sz w:val="22"/>
          <w:szCs w:val="22"/>
          <w:u w:val="single"/>
          <w:lang w:bidi="en-US"/>
        </w:rPr>
        <w:t>)</w:t>
      </w:r>
      <w:r w:rsidRPr="009B265D" w:rsidR="00670CE6">
        <w:rPr>
          <w:rFonts w:eastAsia="Arial" w:asciiTheme="minorHAnsi" w:hAnsiTheme="minorHAnsi" w:cstheme="minorHAnsi"/>
          <w:b/>
          <w:bCs/>
          <w:sz w:val="22"/>
          <w:szCs w:val="22"/>
          <w:u w:val="single"/>
          <w:lang w:bidi="en-US"/>
        </w:rPr>
        <w:t xml:space="preserve"> Survey</w:t>
      </w:r>
    </w:p>
    <w:p w:rsidRPr="00A60B8B" w:rsidR="00A60B8B" w:rsidP="00795BB2" w:rsidRDefault="00CD0344" w14:paraId="52C7E353" w14:textId="053F27EB">
      <w:pPr>
        <w:pStyle w:val="NoSpacing"/>
        <w:spacing w:line="276" w:lineRule="auto"/>
        <w:ind w:left="450"/>
        <w:rPr>
          <w:rFonts w:asciiTheme="minorHAnsi" w:hAnsiTheme="minorHAnsi" w:cstheme="minorHAnsi"/>
          <w:b/>
          <w:bCs/>
          <w:sz w:val="22"/>
          <w:szCs w:val="22"/>
        </w:rPr>
      </w:pPr>
      <w:r w:rsidRPr="00EB5512">
        <w:rPr>
          <w:rFonts w:eastAsia="Arial" w:asciiTheme="minorHAnsi" w:hAnsiTheme="minorHAnsi" w:cstheme="minorHAnsi"/>
          <w:sz w:val="22"/>
          <w:szCs w:val="22"/>
          <w:lang w:bidi="en-US"/>
        </w:rPr>
        <w:t xml:space="preserve">Based </w:t>
      </w:r>
      <w:r w:rsidR="00EB5512">
        <w:rPr>
          <w:rFonts w:eastAsia="Arial" w:asciiTheme="minorHAnsi" w:hAnsiTheme="minorHAnsi" w:cstheme="minorHAnsi"/>
          <w:sz w:val="22"/>
          <w:szCs w:val="22"/>
          <w:lang w:bidi="en-US"/>
        </w:rPr>
        <w:t>on 2020/21 NPS studies applying coupled intercept and mail-back survey methods, w</w:t>
      </w:r>
      <w:r w:rsidRPr="00A60B8B" w:rsidR="00A60B8B">
        <w:rPr>
          <w:rFonts w:eastAsia="Arial" w:asciiTheme="minorHAnsi" w:hAnsiTheme="minorHAnsi" w:cstheme="minorHAnsi"/>
          <w:sz w:val="22"/>
          <w:szCs w:val="22"/>
          <w:lang w:bidi="en-US"/>
        </w:rPr>
        <w:t>e estimate that 9</w:t>
      </w:r>
      <w:r w:rsidR="00EB5512">
        <w:rPr>
          <w:rFonts w:eastAsia="Arial" w:asciiTheme="minorHAnsi" w:hAnsiTheme="minorHAnsi" w:cstheme="minorHAnsi"/>
          <w:sz w:val="22"/>
          <w:szCs w:val="22"/>
          <w:lang w:bidi="en-US"/>
        </w:rPr>
        <w:t>0</w:t>
      </w:r>
      <w:r w:rsidRPr="00A60B8B" w:rsidR="00A60B8B">
        <w:rPr>
          <w:rFonts w:eastAsia="Arial" w:asciiTheme="minorHAnsi" w:hAnsiTheme="minorHAnsi" w:cstheme="minorHAnsi"/>
          <w:sz w:val="22"/>
          <w:szCs w:val="22"/>
          <w:lang w:bidi="en-US"/>
        </w:rPr>
        <w:t xml:space="preserve">% of visitors who </w:t>
      </w:r>
      <w:r w:rsidR="00820AB7">
        <w:rPr>
          <w:rFonts w:eastAsia="Arial" w:asciiTheme="minorHAnsi" w:hAnsiTheme="minorHAnsi" w:cstheme="minorHAnsi"/>
          <w:sz w:val="22"/>
          <w:szCs w:val="22"/>
          <w:lang w:bidi="en-US"/>
        </w:rPr>
        <w:t>complete</w:t>
      </w:r>
      <w:r w:rsidRPr="00A60B8B" w:rsidR="00A60B8B">
        <w:rPr>
          <w:rFonts w:eastAsia="Arial" w:asciiTheme="minorHAnsi" w:hAnsiTheme="minorHAnsi" w:cstheme="minorHAnsi"/>
          <w:sz w:val="22"/>
          <w:szCs w:val="22"/>
          <w:lang w:bidi="en-US"/>
        </w:rPr>
        <w:t xml:space="preserve"> the intercept survey will </w:t>
      </w:r>
      <w:r w:rsidR="00820AB7">
        <w:rPr>
          <w:rFonts w:eastAsia="Arial" w:asciiTheme="minorHAnsi" w:hAnsiTheme="minorHAnsi" w:cstheme="minorHAnsi"/>
          <w:sz w:val="22"/>
          <w:szCs w:val="22"/>
          <w:lang w:bidi="en-US"/>
        </w:rPr>
        <w:t xml:space="preserve">agree to </w:t>
      </w:r>
      <w:r w:rsidRPr="00A60B8B" w:rsidR="00A60B8B">
        <w:rPr>
          <w:rFonts w:eastAsia="Arial" w:asciiTheme="minorHAnsi" w:hAnsiTheme="minorHAnsi" w:cstheme="minorHAnsi"/>
          <w:sz w:val="22"/>
          <w:szCs w:val="22"/>
          <w:lang w:bidi="en-US"/>
        </w:rPr>
        <w:t xml:space="preserve">take a mail-back/online form. </w:t>
      </w:r>
      <w:r w:rsidR="00110BFB">
        <w:rPr>
          <w:rFonts w:eastAsia="Arial" w:asciiTheme="minorHAnsi" w:hAnsiTheme="minorHAnsi" w:cstheme="minorHAnsi"/>
          <w:sz w:val="22"/>
          <w:szCs w:val="22"/>
          <w:lang w:bidi="en-US"/>
        </w:rPr>
        <w:t>From that,</w:t>
      </w:r>
      <w:r w:rsidRPr="00A60B8B" w:rsidR="00A60B8B">
        <w:rPr>
          <w:rFonts w:eastAsia="Arial" w:asciiTheme="minorHAnsi" w:hAnsiTheme="minorHAnsi" w:cstheme="minorHAnsi"/>
          <w:sz w:val="22"/>
          <w:szCs w:val="22"/>
          <w:lang w:bidi="en-US"/>
        </w:rPr>
        <w:t xml:space="preserve"> we anticipate </w:t>
      </w:r>
      <w:r w:rsidR="00110BFB">
        <w:rPr>
          <w:rFonts w:eastAsia="Arial" w:asciiTheme="minorHAnsi" w:hAnsiTheme="minorHAnsi" w:cstheme="minorHAnsi"/>
          <w:sz w:val="22"/>
          <w:szCs w:val="22"/>
          <w:lang w:bidi="en-US"/>
        </w:rPr>
        <w:t xml:space="preserve">that </w:t>
      </w:r>
      <w:r w:rsidRPr="00A60B8B" w:rsidR="00A60B8B">
        <w:rPr>
          <w:rFonts w:eastAsia="Arial" w:asciiTheme="minorHAnsi" w:hAnsiTheme="minorHAnsi" w:cstheme="minorHAnsi"/>
          <w:sz w:val="22"/>
          <w:szCs w:val="22"/>
          <w:lang w:bidi="en-US"/>
        </w:rPr>
        <w:t xml:space="preserve">40% </w:t>
      </w:r>
      <w:r w:rsidR="00110BFB">
        <w:rPr>
          <w:rFonts w:eastAsia="Arial" w:asciiTheme="minorHAnsi" w:hAnsiTheme="minorHAnsi" w:cstheme="minorHAnsi"/>
          <w:sz w:val="22"/>
          <w:szCs w:val="22"/>
          <w:lang w:bidi="en-US"/>
        </w:rPr>
        <w:t xml:space="preserve">of those respondents </w:t>
      </w:r>
      <w:r w:rsidRPr="00A60B8B" w:rsidR="00A60B8B">
        <w:rPr>
          <w:rFonts w:eastAsia="Arial" w:asciiTheme="minorHAnsi" w:hAnsiTheme="minorHAnsi" w:cstheme="minorHAnsi"/>
          <w:sz w:val="22"/>
          <w:szCs w:val="22"/>
          <w:lang w:bidi="en-US"/>
        </w:rPr>
        <w:t xml:space="preserve">will complete </w:t>
      </w:r>
      <w:r w:rsidR="00E65E40">
        <w:rPr>
          <w:rFonts w:eastAsia="Arial" w:asciiTheme="minorHAnsi" w:hAnsiTheme="minorHAnsi" w:cstheme="minorHAnsi"/>
          <w:sz w:val="22"/>
          <w:szCs w:val="22"/>
          <w:lang w:bidi="en-US"/>
        </w:rPr>
        <w:t xml:space="preserve">and return </w:t>
      </w:r>
      <w:r w:rsidRPr="00A60B8B" w:rsidR="00A60B8B">
        <w:rPr>
          <w:rFonts w:eastAsia="Arial" w:asciiTheme="minorHAnsi" w:hAnsiTheme="minorHAnsi" w:cstheme="minorHAnsi"/>
          <w:sz w:val="22"/>
          <w:szCs w:val="22"/>
          <w:lang w:bidi="en-US"/>
        </w:rPr>
        <w:t xml:space="preserve">the mail-back or online survey. Therefore, the following estimates </w:t>
      </w:r>
      <w:r w:rsidR="00110BFB">
        <w:rPr>
          <w:rFonts w:eastAsia="Arial" w:asciiTheme="minorHAnsi" w:hAnsiTheme="minorHAnsi" w:cstheme="minorHAnsi"/>
          <w:sz w:val="22"/>
          <w:szCs w:val="22"/>
          <w:lang w:bidi="en-US"/>
        </w:rPr>
        <w:t xml:space="preserve">for the mail-back/on-line survey </w:t>
      </w:r>
      <w:r w:rsidRPr="00A60B8B" w:rsidR="00A60B8B">
        <w:rPr>
          <w:rFonts w:eastAsia="Arial" w:asciiTheme="minorHAnsi" w:hAnsiTheme="minorHAnsi" w:cstheme="minorHAnsi"/>
          <w:sz w:val="22"/>
          <w:szCs w:val="22"/>
          <w:lang w:bidi="en-US"/>
        </w:rPr>
        <w:t xml:space="preserve">are assumed based on visitor contacts from the intercept survey. All visitors who are given a mail-back/online survey form will have already taken the intercept survey, which includes non-response bias questions. Thus, there is no extra effort </w:t>
      </w:r>
      <w:r w:rsidR="005C0499">
        <w:rPr>
          <w:rFonts w:eastAsia="Arial" w:asciiTheme="minorHAnsi" w:hAnsiTheme="minorHAnsi" w:cstheme="minorHAnsi"/>
          <w:sz w:val="22"/>
          <w:szCs w:val="22"/>
          <w:lang w:bidi="en-US"/>
        </w:rPr>
        <w:t xml:space="preserve">necessary </w:t>
      </w:r>
      <w:r w:rsidRPr="00A60B8B" w:rsidR="00A60B8B">
        <w:rPr>
          <w:rFonts w:eastAsia="Arial" w:asciiTheme="minorHAnsi" w:hAnsiTheme="minorHAnsi" w:cstheme="minorHAnsi"/>
          <w:sz w:val="22"/>
          <w:szCs w:val="22"/>
          <w:lang w:bidi="en-US"/>
        </w:rPr>
        <w:t>to collect non-response bias responses from respondents who do not participate in the mail-back/online survey</w:t>
      </w:r>
      <w:r w:rsidR="00670CE6">
        <w:rPr>
          <w:rFonts w:eastAsia="Arial" w:asciiTheme="minorHAnsi" w:hAnsiTheme="minorHAnsi" w:cstheme="minorHAnsi"/>
          <w:sz w:val="22"/>
          <w:szCs w:val="22"/>
          <w:lang w:bidi="en-US"/>
        </w:rPr>
        <w:t>.</w:t>
      </w:r>
    </w:p>
    <w:p w:rsidR="005C0499" w:rsidP="005C0499" w:rsidRDefault="005C0499" w14:paraId="6D8FBEDB" w14:textId="437F6621">
      <w:pPr>
        <w:pStyle w:val="NoSpacing"/>
        <w:spacing w:before="220" w:line="360" w:lineRule="auto"/>
        <w:ind w:left="360"/>
        <w:rPr>
          <w:rFonts w:asciiTheme="minorHAnsi" w:hAnsiTheme="minorHAnsi" w:cstheme="minorHAnsi"/>
          <w:b/>
          <w:bCs/>
          <w:sz w:val="22"/>
          <w:lang w:bidi="en-US"/>
        </w:rPr>
      </w:pPr>
      <w:bookmarkStart w:name="_Ref49174480" w:id="7"/>
      <w:r w:rsidRPr="004C1C07">
        <w:rPr>
          <w:rFonts w:asciiTheme="minorHAnsi" w:hAnsiTheme="minorHAnsi" w:eastAsiaTheme="minorHAnsi" w:cstheme="minorHAnsi"/>
          <w:b/>
          <w:sz w:val="22"/>
          <w:szCs w:val="22"/>
          <w:lang w:bidi="en-US"/>
        </w:rPr>
        <w:t xml:space="preserve">Table </w:t>
      </w:r>
      <w:r w:rsidRPr="004C1C07">
        <w:rPr>
          <w:rFonts w:asciiTheme="minorHAnsi" w:hAnsiTheme="minorHAnsi" w:eastAsiaTheme="minorHAnsi" w:cstheme="minorHAnsi"/>
          <w:b/>
          <w:sz w:val="22"/>
          <w:szCs w:val="22"/>
          <w:lang w:bidi="en-US"/>
        </w:rPr>
        <w:fldChar w:fldCharType="begin"/>
      </w:r>
      <w:r w:rsidRPr="004C1C07">
        <w:rPr>
          <w:rFonts w:asciiTheme="minorHAnsi" w:hAnsiTheme="minorHAnsi" w:eastAsiaTheme="minorHAnsi" w:cstheme="minorHAnsi"/>
          <w:b/>
          <w:sz w:val="22"/>
          <w:szCs w:val="22"/>
          <w:lang w:bidi="en-US"/>
        </w:rPr>
        <w:instrText xml:space="preserve"> SEQ Table \* ARABIC </w:instrText>
      </w:r>
      <w:r w:rsidRPr="004C1C07">
        <w:rPr>
          <w:rFonts w:asciiTheme="minorHAnsi" w:hAnsiTheme="minorHAnsi" w:eastAsiaTheme="minorHAnsi" w:cstheme="minorHAnsi"/>
          <w:b/>
          <w:sz w:val="22"/>
          <w:szCs w:val="22"/>
          <w:lang w:bidi="en-US"/>
        </w:rPr>
        <w:fldChar w:fldCharType="separate"/>
      </w:r>
      <w:r>
        <w:rPr>
          <w:rFonts w:asciiTheme="minorHAnsi" w:hAnsiTheme="minorHAnsi" w:eastAsiaTheme="minorHAnsi" w:cstheme="minorHAnsi"/>
          <w:b/>
          <w:noProof/>
          <w:sz w:val="22"/>
          <w:szCs w:val="22"/>
          <w:lang w:bidi="en-US"/>
        </w:rPr>
        <w:t>4</w:t>
      </w:r>
      <w:r w:rsidRPr="004C1C07">
        <w:rPr>
          <w:rFonts w:asciiTheme="minorHAnsi" w:hAnsiTheme="minorHAnsi" w:eastAsiaTheme="minorHAnsi" w:cstheme="minorHAnsi"/>
          <w:b/>
          <w:sz w:val="22"/>
          <w:szCs w:val="22"/>
          <w:lang w:bidi="en-US"/>
        </w:rPr>
        <w:fldChar w:fldCharType="end"/>
      </w:r>
      <w:bookmarkEnd w:id="7"/>
      <w:r w:rsidR="007E7676">
        <w:rPr>
          <w:rFonts w:asciiTheme="minorHAnsi" w:hAnsiTheme="minorHAnsi" w:eastAsiaTheme="minorHAnsi" w:cstheme="minorHAnsi"/>
          <w:b/>
          <w:sz w:val="22"/>
          <w:szCs w:val="22"/>
          <w:lang w:bidi="en-US"/>
        </w:rPr>
        <w:t>b</w:t>
      </w:r>
      <w:r w:rsidRPr="004C1C07">
        <w:rPr>
          <w:rFonts w:asciiTheme="minorHAnsi" w:hAnsiTheme="minorHAnsi" w:eastAsiaTheme="minorHAnsi" w:cstheme="minorHAnsi"/>
          <w:b/>
          <w:sz w:val="22"/>
          <w:szCs w:val="22"/>
          <w:lang w:bidi="en-US"/>
        </w:rPr>
        <w:t xml:space="preserve">. </w:t>
      </w:r>
      <w:r>
        <w:rPr>
          <w:rFonts w:asciiTheme="minorHAnsi" w:hAnsiTheme="minorHAnsi" w:cstheme="minorHAnsi"/>
          <w:b/>
          <w:bCs/>
          <w:sz w:val="22"/>
          <w:lang w:bidi="en-US"/>
        </w:rPr>
        <w:t xml:space="preserve">Anticipated </w:t>
      </w:r>
      <w:r w:rsidR="00CB18BC">
        <w:rPr>
          <w:rFonts w:asciiTheme="minorHAnsi" w:hAnsiTheme="minorHAnsi" w:cstheme="minorHAnsi"/>
          <w:b/>
          <w:bCs/>
          <w:sz w:val="22"/>
          <w:lang w:bidi="en-US"/>
        </w:rPr>
        <w:t>Follow-up</w:t>
      </w:r>
      <w:r>
        <w:rPr>
          <w:rFonts w:asciiTheme="minorHAnsi" w:hAnsiTheme="minorHAnsi" w:cstheme="minorHAnsi"/>
          <w:b/>
          <w:bCs/>
          <w:sz w:val="22"/>
          <w:lang w:bidi="en-US"/>
        </w:rPr>
        <w:t xml:space="preserve"> Survey Response Rates</w:t>
      </w:r>
    </w:p>
    <w:tbl>
      <w:tblPr>
        <w:tblStyle w:val="TableGrid"/>
        <w:tblW w:w="0" w:type="auto"/>
        <w:tblInd w:w="630" w:type="dxa"/>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20"/>
        <w:gridCol w:w="2365"/>
        <w:gridCol w:w="65"/>
        <w:gridCol w:w="2430"/>
        <w:gridCol w:w="2430"/>
      </w:tblGrid>
      <w:tr w:rsidRPr="00101E0A" w:rsidR="007E7676" w:rsidTr="00282C97" w14:paraId="2B468C9C" w14:textId="1DC772B2">
        <w:trPr>
          <w:trHeight w:val="313"/>
        </w:trPr>
        <w:tc>
          <w:tcPr>
            <w:tcW w:w="1620" w:type="dxa"/>
            <w:shd w:val="clear" w:color="auto" w:fill="5F497A" w:themeFill="accent4" w:themeFillShade="BF"/>
            <w:vAlign w:val="center"/>
          </w:tcPr>
          <w:p w:rsidR="007E7676" w:rsidP="00B401D7" w:rsidRDefault="007E7676" w14:paraId="2D498C78" w14:textId="2B1A5CB7">
            <w:pPr>
              <w:pStyle w:val="NoSpacing"/>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 xml:space="preserve">Completed </w:t>
            </w:r>
            <w:r>
              <w:rPr>
                <w:rFonts w:asciiTheme="minorHAnsi" w:hAnsiTheme="minorHAnsi" w:cstheme="minorHAnsi"/>
                <w:b/>
                <w:bCs/>
                <w:color w:val="FFFFFF" w:themeColor="background1"/>
                <w:sz w:val="18"/>
                <w:szCs w:val="18"/>
              </w:rPr>
              <w:br/>
              <w:t>Onsite Surveys</w:t>
            </w:r>
          </w:p>
          <w:p w:rsidRPr="005622A5" w:rsidR="007E7676" w:rsidP="00B401D7" w:rsidRDefault="007E7676" w14:paraId="799E9B1A" w14:textId="13C9C8F2">
            <w:pPr>
              <w:pStyle w:val="NoSpacing"/>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(see Table 4a)</w:t>
            </w:r>
          </w:p>
        </w:tc>
        <w:tc>
          <w:tcPr>
            <w:tcW w:w="2430" w:type="dxa"/>
            <w:gridSpan w:val="2"/>
            <w:shd w:val="clear" w:color="auto" w:fill="5F497A" w:themeFill="accent4" w:themeFillShade="BF"/>
            <w:vAlign w:val="center"/>
          </w:tcPr>
          <w:p w:rsidR="00CD0344" w:rsidP="00B401D7" w:rsidRDefault="007E7676" w14:paraId="777563A6" w14:textId="020DEA0C">
            <w:pPr>
              <w:pStyle w:val="NoSpacing"/>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 xml:space="preserve">Accepted </w:t>
            </w:r>
            <w:r w:rsidR="00CB18BC">
              <w:rPr>
                <w:rFonts w:asciiTheme="minorHAnsi" w:hAnsiTheme="minorHAnsi" w:cstheme="minorHAnsi"/>
                <w:b/>
                <w:bCs/>
                <w:color w:val="FFFFFF" w:themeColor="background1"/>
                <w:sz w:val="18"/>
                <w:szCs w:val="18"/>
              </w:rPr>
              <w:t>Follow-up</w:t>
            </w:r>
            <w:r>
              <w:rPr>
                <w:rFonts w:asciiTheme="minorHAnsi" w:hAnsiTheme="minorHAnsi" w:cstheme="minorHAnsi"/>
                <w:b/>
                <w:bCs/>
                <w:color w:val="FFFFFF" w:themeColor="background1"/>
                <w:sz w:val="18"/>
                <w:szCs w:val="18"/>
              </w:rPr>
              <w:t xml:space="preserve"> Surveys</w:t>
            </w:r>
            <w:r>
              <w:rPr>
                <w:rFonts w:asciiTheme="minorHAnsi" w:hAnsiTheme="minorHAnsi" w:cstheme="minorHAnsi"/>
                <w:b/>
                <w:bCs/>
                <w:color w:val="FFFFFF" w:themeColor="background1"/>
                <w:sz w:val="18"/>
                <w:szCs w:val="18"/>
              </w:rPr>
              <w:br/>
            </w:r>
            <w:r w:rsidRPr="0019532E">
              <w:rPr>
                <w:rFonts w:asciiTheme="minorHAnsi" w:hAnsiTheme="minorHAnsi" w:cstheme="minorHAnsi"/>
                <w:b/>
                <w:bCs/>
                <w:color w:val="FFFFFF" w:themeColor="background1"/>
                <w:sz w:val="18"/>
                <w:szCs w:val="18"/>
              </w:rPr>
              <w:t xml:space="preserve"> (</w:t>
            </w:r>
            <w:r w:rsidR="00282C97">
              <w:rPr>
                <w:rFonts w:asciiTheme="minorHAnsi" w:hAnsiTheme="minorHAnsi" w:cstheme="minorHAnsi"/>
                <w:b/>
                <w:bCs/>
                <w:color w:val="FFFFFF" w:themeColor="background1"/>
                <w:sz w:val="18"/>
                <w:szCs w:val="18"/>
              </w:rPr>
              <w:t>90</w:t>
            </w:r>
            <w:r w:rsidRPr="0019532E">
              <w:rPr>
                <w:rFonts w:asciiTheme="minorHAnsi" w:hAnsiTheme="minorHAnsi" w:cstheme="minorHAnsi"/>
                <w:b/>
                <w:bCs/>
                <w:color w:val="FFFFFF" w:themeColor="background1"/>
                <w:sz w:val="18"/>
                <w:szCs w:val="18"/>
              </w:rPr>
              <w:t xml:space="preserve">% of </w:t>
            </w:r>
            <w:r w:rsidR="00CD0344">
              <w:rPr>
                <w:rFonts w:asciiTheme="minorHAnsi" w:hAnsiTheme="minorHAnsi" w:cstheme="minorHAnsi"/>
                <w:b/>
                <w:bCs/>
                <w:color w:val="FFFFFF" w:themeColor="background1"/>
                <w:sz w:val="18"/>
                <w:szCs w:val="18"/>
              </w:rPr>
              <w:t xml:space="preserve">completed </w:t>
            </w:r>
          </w:p>
          <w:p w:rsidRPr="00436135" w:rsidR="007E7676" w:rsidP="00B401D7" w:rsidRDefault="007E7676" w14:paraId="0D3890AB" w14:textId="576C15B7">
            <w:pPr>
              <w:pStyle w:val="NoSpacing"/>
              <w:jc w:val="center"/>
              <w:rPr>
                <w:rFonts w:cstheme="minorHAnsi"/>
                <w:b/>
                <w:bCs/>
                <w:color w:val="FFFFFF" w:themeColor="background1"/>
                <w:sz w:val="18"/>
                <w:szCs w:val="18"/>
              </w:rPr>
            </w:pPr>
            <w:r>
              <w:rPr>
                <w:rFonts w:asciiTheme="minorHAnsi" w:hAnsiTheme="minorHAnsi" w:cstheme="minorHAnsi"/>
                <w:b/>
                <w:bCs/>
                <w:color w:val="FFFFFF" w:themeColor="background1"/>
                <w:sz w:val="18"/>
                <w:szCs w:val="18"/>
              </w:rPr>
              <w:t>onsite</w:t>
            </w:r>
            <w:r w:rsidR="00CD0344">
              <w:rPr>
                <w:rFonts w:asciiTheme="minorHAnsi" w:hAnsiTheme="minorHAnsi" w:cstheme="minorHAnsi"/>
                <w:b/>
                <w:bCs/>
                <w:color w:val="FFFFFF" w:themeColor="background1"/>
                <w:sz w:val="18"/>
                <w:szCs w:val="18"/>
              </w:rPr>
              <w:t xml:space="preserve"> surveys</w:t>
            </w:r>
            <w:r>
              <w:rPr>
                <w:rFonts w:asciiTheme="minorHAnsi" w:hAnsiTheme="minorHAnsi" w:cstheme="minorHAnsi"/>
                <w:b/>
                <w:bCs/>
                <w:color w:val="FFFFFF" w:themeColor="background1"/>
                <w:sz w:val="18"/>
                <w:szCs w:val="18"/>
              </w:rPr>
              <w:t>)</w:t>
            </w:r>
          </w:p>
        </w:tc>
        <w:tc>
          <w:tcPr>
            <w:tcW w:w="2430" w:type="dxa"/>
            <w:shd w:val="clear" w:color="auto" w:fill="5F497A" w:themeFill="accent4" w:themeFillShade="BF"/>
            <w:vAlign w:val="center"/>
          </w:tcPr>
          <w:p w:rsidRPr="00436135" w:rsidR="007E7676" w:rsidP="00B401D7" w:rsidRDefault="007E7676" w14:paraId="54B12789" w14:textId="725A719F">
            <w:pPr>
              <w:pStyle w:val="NoSpacing"/>
              <w:jc w:val="center"/>
              <w:rPr>
                <w:rFonts w:cstheme="minorHAnsi"/>
                <w:b/>
                <w:bCs/>
                <w:color w:val="FFFFFF" w:themeColor="background1"/>
                <w:sz w:val="18"/>
                <w:szCs w:val="18"/>
              </w:rPr>
            </w:pPr>
            <w:r>
              <w:rPr>
                <w:rFonts w:asciiTheme="minorHAnsi" w:hAnsiTheme="minorHAnsi" w:cstheme="minorHAnsi"/>
                <w:b/>
                <w:bCs/>
                <w:color w:val="FFFFFF" w:themeColor="background1"/>
                <w:sz w:val="18"/>
                <w:szCs w:val="18"/>
              </w:rPr>
              <w:t xml:space="preserve">Completed </w:t>
            </w:r>
            <w:r w:rsidR="00CB18BC">
              <w:rPr>
                <w:rFonts w:asciiTheme="minorHAnsi" w:hAnsiTheme="minorHAnsi" w:cstheme="minorHAnsi"/>
                <w:b/>
                <w:bCs/>
                <w:color w:val="FFFFFF" w:themeColor="background1"/>
                <w:sz w:val="18"/>
                <w:szCs w:val="18"/>
              </w:rPr>
              <w:t>Follow-up</w:t>
            </w:r>
            <w:r>
              <w:rPr>
                <w:rFonts w:asciiTheme="minorHAnsi" w:hAnsiTheme="minorHAnsi" w:cstheme="minorHAnsi"/>
                <w:b/>
                <w:bCs/>
                <w:color w:val="FFFFFF" w:themeColor="background1"/>
                <w:sz w:val="18"/>
                <w:szCs w:val="18"/>
              </w:rPr>
              <w:t xml:space="preserve"> Surveys</w:t>
            </w:r>
            <w:r>
              <w:rPr>
                <w:rFonts w:asciiTheme="minorHAnsi" w:hAnsiTheme="minorHAnsi" w:cstheme="minorHAnsi"/>
                <w:b/>
                <w:bCs/>
                <w:color w:val="FFFFFF" w:themeColor="background1"/>
                <w:sz w:val="18"/>
                <w:szCs w:val="18"/>
              </w:rPr>
              <w:br/>
            </w:r>
            <w:r w:rsidRPr="0019532E">
              <w:rPr>
                <w:rFonts w:asciiTheme="minorHAnsi" w:hAnsiTheme="minorHAnsi" w:cstheme="minorHAnsi"/>
                <w:b/>
                <w:bCs/>
                <w:color w:val="FFFFFF" w:themeColor="background1"/>
                <w:sz w:val="18"/>
                <w:szCs w:val="18"/>
              </w:rPr>
              <w:t xml:space="preserve"> (</w:t>
            </w:r>
            <w:r>
              <w:rPr>
                <w:rFonts w:asciiTheme="minorHAnsi" w:hAnsiTheme="minorHAnsi" w:cstheme="minorHAnsi"/>
                <w:b/>
                <w:bCs/>
                <w:color w:val="FFFFFF" w:themeColor="background1"/>
                <w:sz w:val="18"/>
                <w:szCs w:val="18"/>
              </w:rPr>
              <w:t>4</w:t>
            </w:r>
            <w:r w:rsidRPr="0019532E">
              <w:rPr>
                <w:rFonts w:asciiTheme="minorHAnsi" w:hAnsiTheme="minorHAnsi" w:cstheme="minorHAnsi"/>
                <w:b/>
                <w:bCs/>
                <w:color w:val="FFFFFF" w:themeColor="background1"/>
                <w:sz w:val="18"/>
                <w:szCs w:val="18"/>
              </w:rPr>
              <w:t xml:space="preserve">0% of </w:t>
            </w:r>
            <w:r>
              <w:rPr>
                <w:rFonts w:asciiTheme="minorHAnsi" w:hAnsiTheme="minorHAnsi" w:cstheme="minorHAnsi"/>
                <w:b/>
                <w:bCs/>
                <w:color w:val="FFFFFF" w:themeColor="background1"/>
                <w:sz w:val="18"/>
                <w:szCs w:val="18"/>
              </w:rPr>
              <w:t>accepted surveys)</w:t>
            </w:r>
          </w:p>
        </w:tc>
        <w:tc>
          <w:tcPr>
            <w:tcW w:w="2430" w:type="dxa"/>
            <w:shd w:val="clear" w:color="auto" w:fill="5F497A" w:themeFill="accent4" w:themeFillShade="BF"/>
            <w:vAlign w:val="center"/>
          </w:tcPr>
          <w:p w:rsidR="007E7676" w:rsidP="00CD0344" w:rsidRDefault="007E7676" w14:paraId="57A0BE2A" w14:textId="10220563">
            <w:pPr>
              <w:pStyle w:val="NoSpacing"/>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Non-respondents</w:t>
            </w:r>
          </w:p>
          <w:p w:rsidR="007E7676" w:rsidP="009C02A9" w:rsidRDefault="007E7676" w14:paraId="0787D35C" w14:textId="5F03C71E">
            <w:pPr>
              <w:pStyle w:val="NoSpacing"/>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(60% of accepted surveys)</w:t>
            </w:r>
          </w:p>
        </w:tc>
      </w:tr>
      <w:tr w:rsidRPr="00350763" w:rsidR="002B4B9B" w:rsidTr="00692556" w14:paraId="72806CDA" w14:textId="77777777">
        <w:trPr>
          <w:trHeight w:val="332"/>
        </w:trPr>
        <w:tc>
          <w:tcPr>
            <w:tcW w:w="1620" w:type="dxa"/>
            <w:shd w:val="clear" w:color="auto" w:fill="auto"/>
            <w:vAlign w:val="center"/>
          </w:tcPr>
          <w:p w:rsidRPr="00692556" w:rsidR="002B4B9B" w:rsidRDefault="002B4B9B" w14:paraId="4600DE26" w14:textId="36E5FC1A">
            <w:pPr>
              <w:pStyle w:val="NoSpacing"/>
              <w:jc w:val="center"/>
              <w:rPr>
                <w:rFonts w:asciiTheme="minorHAnsi" w:hAnsiTheme="minorHAnsi" w:cstheme="minorHAnsi"/>
                <w:sz w:val="18"/>
                <w:szCs w:val="18"/>
              </w:rPr>
            </w:pPr>
            <w:r>
              <w:rPr>
                <w:rFonts w:asciiTheme="minorHAnsi" w:hAnsiTheme="minorHAnsi" w:cstheme="minorHAnsi"/>
                <w:sz w:val="18"/>
                <w:szCs w:val="18"/>
              </w:rPr>
              <w:t>30,600</w:t>
            </w:r>
          </w:p>
        </w:tc>
        <w:tc>
          <w:tcPr>
            <w:tcW w:w="2365" w:type="dxa"/>
            <w:shd w:val="clear" w:color="auto" w:fill="auto"/>
            <w:vAlign w:val="center"/>
          </w:tcPr>
          <w:p w:rsidRPr="00692556" w:rsidR="002B4B9B" w:rsidRDefault="00B8328C" w14:paraId="2A572043" w14:textId="5F122123">
            <w:pPr>
              <w:pStyle w:val="NoSpacing"/>
              <w:jc w:val="center"/>
              <w:rPr>
                <w:rFonts w:asciiTheme="minorHAnsi" w:hAnsiTheme="minorHAnsi" w:cstheme="minorHAnsi"/>
                <w:sz w:val="18"/>
                <w:szCs w:val="18"/>
              </w:rPr>
            </w:pPr>
            <w:r>
              <w:rPr>
                <w:rFonts w:asciiTheme="minorHAnsi" w:hAnsiTheme="minorHAnsi" w:cstheme="minorHAnsi"/>
                <w:sz w:val="18"/>
                <w:szCs w:val="18"/>
              </w:rPr>
              <w:t>27,540</w:t>
            </w:r>
          </w:p>
        </w:tc>
        <w:tc>
          <w:tcPr>
            <w:tcW w:w="2495" w:type="dxa"/>
            <w:gridSpan w:val="2"/>
            <w:shd w:val="clear" w:color="auto" w:fill="E5DFEC" w:themeFill="accent4" w:themeFillTint="33"/>
            <w:vAlign w:val="center"/>
          </w:tcPr>
          <w:p w:rsidRPr="00692556" w:rsidR="002B4B9B" w:rsidRDefault="00361AC4" w14:paraId="6B7D769D" w14:textId="7C7A12ED">
            <w:pPr>
              <w:pStyle w:val="NoSpacing"/>
              <w:jc w:val="center"/>
              <w:rPr>
                <w:rFonts w:asciiTheme="minorHAnsi" w:hAnsiTheme="minorHAnsi" w:cstheme="minorHAnsi"/>
                <w:sz w:val="18"/>
                <w:szCs w:val="18"/>
              </w:rPr>
            </w:pPr>
            <w:bookmarkStart w:name="_Hlk90554614" w:id="8"/>
            <w:r>
              <w:rPr>
                <w:rFonts w:asciiTheme="minorHAnsi" w:hAnsiTheme="minorHAnsi" w:cstheme="minorHAnsi"/>
                <w:sz w:val="18"/>
                <w:szCs w:val="18"/>
              </w:rPr>
              <w:t>9,180</w:t>
            </w:r>
            <w:bookmarkEnd w:id="8"/>
          </w:p>
        </w:tc>
        <w:tc>
          <w:tcPr>
            <w:tcW w:w="2430" w:type="dxa"/>
            <w:vAlign w:val="center"/>
          </w:tcPr>
          <w:p w:rsidRPr="00692556" w:rsidR="002B4B9B" w:rsidRDefault="00361AC4" w14:paraId="473C61CA" w14:textId="72351378">
            <w:pPr>
              <w:pStyle w:val="NoSpacing"/>
              <w:jc w:val="center"/>
              <w:rPr>
                <w:rFonts w:asciiTheme="minorHAnsi" w:hAnsiTheme="minorHAnsi" w:cstheme="minorHAnsi"/>
                <w:sz w:val="18"/>
                <w:szCs w:val="18"/>
              </w:rPr>
            </w:pPr>
            <w:r>
              <w:rPr>
                <w:rFonts w:asciiTheme="minorHAnsi" w:hAnsiTheme="minorHAnsi" w:cstheme="minorHAnsi"/>
                <w:sz w:val="18"/>
                <w:szCs w:val="18"/>
              </w:rPr>
              <w:t>13,770</w:t>
            </w:r>
          </w:p>
        </w:tc>
      </w:tr>
    </w:tbl>
    <w:p w:rsidR="007E7676" w:rsidP="00795BB2" w:rsidRDefault="007E7676" w14:paraId="480A5162" w14:textId="77777777">
      <w:pPr>
        <w:pStyle w:val="NoSpacing"/>
        <w:spacing w:line="276" w:lineRule="auto"/>
        <w:ind w:left="450"/>
        <w:rPr>
          <w:rFonts w:asciiTheme="minorHAnsi" w:hAnsiTheme="minorHAnsi" w:cstheme="minorHAnsi"/>
          <w:sz w:val="22"/>
          <w:szCs w:val="22"/>
        </w:rPr>
      </w:pPr>
    </w:p>
    <w:p w:rsidRPr="00324904" w:rsidR="00E65E40" w:rsidP="00795BB2" w:rsidRDefault="00E65E40" w14:paraId="05B37197" w14:textId="53A14D24">
      <w:pPr>
        <w:pStyle w:val="NoSpacing"/>
        <w:spacing w:line="276" w:lineRule="auto"/>
        <w:ind w:left="450"/>
        <w:rPr>
          <w:rFonts w:asciiTheme="minorHAnsi" w:hAnsiTheme="minorHAnsi" w:cstheme="minorHAnsi"/>
          <w:sz w:val="22"/>
          <w:szCs w:val="22"/>
        </w:rPr>
      </w:pPr>
      <w:r w:rsidRPr="00324904">
        <w:rPr>
          <w:rFonts w:asciiTheme="minorHAnsi" w:hAnsiTheme="minorHAnsi" w:cstheme="minorHAnsi"/>
          <w:sz w:val="22"/>
          <w:szCs w:val="22"/>
        </w:rPr>
        <w:t xml:space="preserve">Using a 95% confidence level, both </w:t>
      </w:r>
      <w:r w:rsidR="007E7676">
        <w:rPr>
          <w:rFonts w:asciiTheme="minorHAnsi" w:hAnsiTheme="minorHAnsi" w:cstheme="minorHAnsi"/>
          <w:sz w:val="22"/>
          <w:szCs w:val="22"/>
        </w:rPr>
        <w:t>the intercept/onsite survey and</w:t>
      </w:r>
      <w:r w:rsidR="00884B77">
        <w:rPr>
          <w:rFonts w:asciiTheme="minorHAnsi" w:hAnsiTheme="minorHAnsi" w:cstheme="minorHAnsi"/>
          <w:sz w:val="22"/>
          <w:szCs w:val="22"/>
        </w:rPr>
        <w:t xml:space="preserve"> the</w:t>
      </w:r>
      <w:r w:rsidR="007E7676">
        <w:rPr>
          <w:rFonts w:asciiTheme="minorHAnsi" w:hAnsiTheme="minorHAnsi" w:cstheme="minorHAnsi"/>
          <w:sz w:val="22"/>
          <w:szCs w:val="22"/>
        </w:rPr>
        <w:t xml:space="preserve"> mail-back/online survey</w:t>
      </w:r>
      <w:r w:rsidRPr="00324904">
        <w:rPr>
          <w:rFonts w:asciiTheme="minorHAnsi" w:hAnsiTheme="minorHAnsi" w:cstheme="minorHAnsi"/>
          <w:sz w:val="22"/>
          <w:szCs w:val="22"/>
        </w:rPr>
        <w:t xml:space="preserve"> have a margin of error under +/- 5.0%.</w:t>
      </w:r>
    </w:p>
    <w:p w:rsidRPr="00AE0D1F" w:rsidR="00086605" w:rsidP="00795BB2" w:rsidRDefault="00086605" w14:paraId="59DAD078" w14:textId="77777777">
      <w:pPr>
        <w:pStyle w:val="NoSpacing"/>
        <w:spacing w:line="276" w:lineRule="auto"/>
        <w:ind w:left="450"/>
        <w:rPr>
          <w:rFonts w:asciiTheme="minorHAnsi" w:hAnsiTheme="minorHAnsi" w:cstheme="minorHAnsi"/>
          <w:b/>
          <w:bCs/>
          <w:sz w:val="22"/>
          <w:szCs w:val="22"/>
        </w:rPr>
      </w:pPr>
    </w:p>
    <w:p w:rsidRPr="00884B77" w:rsidR="00C449F3" w:rsidP="00E21031" w:rsidRDefault="0019450C" w14:paraId="0A256973" w14:textId="5858C5DA">
      <w:pPr>
        <w:pStyle w:val="ListParagraph"/>
        <w:numPr>
          <w:ilvl w:val="0"/>
          <w:numId w:val="25"/>
        </w:numPr>
        <w:pBdr>
          <w:top w:val="single" w:color="5F497A" w:themeColor="accent4" w:themeShade="BF" w:sz="12" w:space="1"/>
        </w:pBdr>
        <w:tabs>
          <w:tab w:val="left" w:pos="360"/>
          <w:tab w:val="left" w:pos="1440"/>
          <w:tab w:val="left" w:pos="2160"/>
          <w:tab w:val="left" w:pos="3600"/>
          <w:tab w:val="left" w:pos="5040"/>
          <w:tab w:val="left" w:pos="5760"/>
        </w:tabs>
        <w:spacing w:after="0" w:line="360" w:lineRule="auto"/>
        <w:ind w:left="360"/>
        <w:rPr>
          <w:rFonts w:cs="Arial"/>
          <w:b/>
        </w:rPr>
      </w:pPr>
      <w:r w:rsidRPr="00884B77">
        <w:rPr>
          <w:rFonts w:cs="Arial"/>
          <w:b/>
        </w:rPr>
        <w:t>Strategies for dealing with potential non-response bias:</w:t>
      </w:r>
    </w:p>
    <w:p w:rsidRPr="00884B77" w:rsidR="00845AF5" w:rsidP="00795BB2" w:rsidRDefault="00845AF5" w14:paraId="4E7E0869" w14:textId="2E06AAB6">
      <w:pPr>
        <w:spacing w:after="220"/>
        <w:ind w:left="360"/>
        <w:rPr>
          <w:rFonts w:eastAsia="Times New Roman" w:cstheme="minorHAnsi"/>
        </w:rPr>
      </w:pPr>
      <w:r w:rsidRPr="00884B77">
        <w:rPr>
          <w:rFonts w:eastAsia="Times New Roman" w:cstheme="minorHAnsi"/>
        </w:rPr>
        <w:t xml:space="preserve">To account for potential non-response bias for visitors not agreeing to participate in either the intercept or mail-back/online survey, visitors who do not agree to complete either study </w:t>
      </w:r>
      <w:r w:rsidR="009B265D">
        <w:rPr>
          <w:rFonts w:eastAsia="Times New Roman" w:cstheme="minorHAnsi"/>
        </w:rPr>
        <w:t xml:space="preserve">(those referred to above as soft refusals) </w:t>
      </w:r>
      <w:r w:rsidRPr="00884B77">
        <w:rPr>
          <w:rFonts w:eastAsia="Times New Roman" w:cstheme="minorHAnsi"/>
        </w:rPr>
        <w:t>will be asked the following questions:</w:t>
      </w:r>
    </w:p>
    <w:p w:rsidRPr="00884B77" w:rsidR="00845AF5" w:rsidP="00795BB2" w:rsidRDefault="00845AF5" w14:paraId="5415961C" w14:textId="19766BB4">
      <w:pPr>
        <w:pStyle w:val="ListParagraph"/>
        <w:widowControl w:val="0"/>
        <w:numPr>
          <w:ilvl w:val="0"/>
          <w:numId w:val="30"/>
        </w:numPr>
        <w:autoSpaceDE w:val="0"/>
        <w:autoSpaceDN w:val="0"/>
        <w:spacing w:after="0"/>
        <w:contextualSpacing w:val="0"/>
        <w:rPr>
          <w:b/>
        </w:rPr>
      </w:pPr>
      <w:r w:rsidRPr="00884B77">
        <w:rPr>
          <w:b/>
        </w:rPr>
        <w:t>“</w:t>
      </w:r>
      <w:r w:rsidR="006D7F8F">
        <w:rPr>
          <w:b/>
        </w:rPr>
        <w:t>Do you currently live in the U.S.?</w:t>
      </w:r>
    </w:p>
    <w:p w:rsidRPr="00884B77" w:rsidR="00845AF5" w:rsidP="00795BB2" w:rsidRDefault="00845AF5" w14:paraId="5B2C9493" w14:textId="77777777">
      <w:pPr>
        <w:pStyle w:val="ListParagraph"/>
        <w:widowControl w:val="0"/>
        <w:numPr>
          <w:ilvl w:val="0"/>
          <w:numId w:val="30"/>
        </w:numPr>
        <w:autoSpaceDE w:val="0"/>
        <w:autoSpaceDN w:val="0"/>
        <w:spacing w:after="0"/>
        <w:contextualSpacing w:val="0"/>
        <w:rPr>
          <w:b/>
        </w:rPr>
      </w:pPr>
      <w:r w:rsidRPr="00884B77">
        <w:rPr>
          <w:b/>
        </w:rPr>
        <w:t>“Are you a permanent or seasonal resident of the local area around [NPS Site]?”</w:t>
      </w:r>
    </w:p>
    <w:p w:rsidRPr="00884B77" w:rsidR="00845AF5" w:rsidP="00795BB2" w:rsidRDefault="00845AF5" w14:paraId="584CB487" w14:textId="6CF8F4FA">
      <w:pPr>
        <w:pStyle w:val="ListParagraph"/>
        <w:widowControl w:val="0"/>
        <w:numPr>
          <w:ilvl w:val="0"/>
          <w:numId w:val="30"/>
        </w:numPr>
        <w:autoSpaceDE w:val="0"/>
        <w:autoSpaceDN w:val="0"/>
        <w:spacing w:after="220"/>
        <w:contextualSpacing w:val="0"/>
        <w:rPr>
          <w:b/>
        </w:rPr>
      </w:pPr>
      <w:r w:rsidRPr="00884B77">
        <w:rPr>
          <w:b/>
        </w:rPr>
        <w:t xml:space="preserve">“On this trip, </w:t>
      </w:r>
      <w:r w:rsidR="006D7F8F">
        <w:rPr>
          <w:b/>
        </w:rPr>
        <w:t>have you, or will</w:t>
      </w:r>
      <w:r w:rsidRPr="00884B77">
        <w:rPr>
          <w:b/>
        </w:rPr>
        <w:t xml:space="preserve"> you</w:t>
      </w:r>
      <w:r w:rsidR="006D7F8F">
        <w:rPr>
          <w:b/>
        </w:rPr>
        <w:t>,</w:t>
      </w:r>
      <w:r w:rsidRPr="00884B77">
        <w:rPr>
          <w:b/>
        </w:rPr>
        <w:t xml:space="preserve"> [and your personal group] stay overnight away from your permanent residence either inside [NPS Site] or within the local area”</w:t>
      </w:r>
    </w:p>
    <w:p w:rsidRPr="00845AF5" w:rsidR="00845AF5" w:rsidP="00795BB2" w:rsidRDefault="00845AF5" w14:paraId="38EC8B0B" w14:textId="7DA2EEA3">
      <w:pPr>
        <w:pStyle w:val="ListParagraph"/>
        <w:widowControl w:val="0"/>
        <w:autoSpaceDE w:val="0"/>
        <w:autoSpaceDN w:val="0"/>
        <w:spacing w:after="0"/>
        <w:ind w:left="540"/>
        <w:contextualSpacing w:val="0"/>
        <w:rPr>
          <w:rFonts w:cstheme="minorHAnsi"/>
          <w:b/>
        </w:rPr>
      </w:pPr>
      <w:r w:rsidRPr="00845AF5">
        <w:rPr>
          <w:rFonts w:eastAsia="Arial" w:cstheme="minorHAnsi"/>
          <w:lang w:bidi="en-US"/>
        </w:rPr>
        <w:t>Responses will be analyzed and compared to respondents who completed the entire intercept survey to explore any non-response bias concerns. Because the intercept survey will be linked to the online survey via a unique identifier which is also used as a password for the online survey, respondents who do not complete</w:t>
      </w:r>
      <w:r w:rsidR="009B265D">
        <w:rPr>
          <w:rFonts w:eastAsia="Arial" w:cstheme="minorHAnsi"/>
          <w:lang w:bidi="en-US"/>
        </w:rPr>
        <w:t xml:space="preserve"> the follow-up survey</w:t>
      </w:r>
      <w:r w:rsidRPr="00845AF5">
        <w:rPr>
          <w:rFonts w:eastAsia="Arial" w:cstheme="minorHAnsi"/>
          <w:lang w:bidi="en-US"/>
        </w:rPr>
        <w:t xml:space="preserve"> </w:t>
      </w:r>
      <w:r w:rsidR="009B265D">
        <w:rPr>
          <w:rFonts w:eastAsia="Arial" w:cstheme="minorHAnsi"/>
          <w:lang w:bidi="en-US"/>
        </w:rPr>
        <w:t>(</w:t>
      </w:r>
      <w:r w:rsidRPr="00845AF5">
        <w:rPr>
          <w:rFonts w:eastAsia="Arial" w:cstheme="minorHAnsi"/>
          <w:lang w:bidi="en-US"/>
        </w:rPr>
        <w:t xml:space="preserve">either </w:t>
      </w:r>
      <w:r w:rsidR="009B265D">
        <w:rPr>
          <w:rFonts w:eastAsia="Arial" w:cstheme="minorHAnsi"/>
          <w:lang w:bidi="en-US"/>
        </w:rPr>
        <w:t xml:space="preserve">by </w:t>
      </w:r>
      <w:r w:rsidRPr="00845AF5">
        <w:rPr>
          <w:rFonts w:eastAsia="Arial" w:cstheme="minorHAnsi"/>
          <w:lang w:bidi="en-US"/>
        </w:rPr>
        <w:t>mail-back or online</w:t>
      </w:r>
      <w:r w:rsidR="009B265D">
        <w:rPr>
          <w:rFonts w:eastAsia="Arial" w:cstheme="minorHAnsi"/>
          <w:lang w:bidi="en-US"/>
        </w:rPr>
        <w:t>)</w:t>
      </w:r>
      <w:r w:rsidRPr="00845AF5">
        <w:rPr>
          <w:rFonts w:eastAsia="Arial" w:cstheme="minorHAnsi"/>
          <w:lang w:bidi="en-US"/>
        </w:rPr>
        <w:t xml:space="preserve"> will be compared to those who did participate. Thus, non-response bias checks will be conducted on both intercept and mail-back survey respondents. Chi-square tests will be conducted between the respondents and non-respondents to explore and identify any issues of underrepresentation due to non-response bias. The multi-method approach to the mail-back/online survey will allow for more widespread participation among respondents, limiting non-response issues</w:t>
      </w:r>
      <w:r w:rsidR="009B265D">
        <w:rPr>
          <w:rFonts w:eastAsia="Arial" w:cstheme="minorHAnsi"/>
          <w:lang w:bidi="en-US"/>
        </w:rPr>
        <w:t>.</w:t>
      </w:r>
    </w:p>
    <w:p w:rsidRPr="00AE0D1F" w:rsidR="00D51B77" w:rsidP="00795BB2" w:rsidRDefault="00D51B77" w14:paraId="24A960F5" w14:textId="77777777">
      <w:pPr>
        <w:tabs>
          <w:tab w:val="left" w:pos="360"/>
          <w:tab w:val="left" w:pos="1440"/>
          <w:tab w:val="left" w:pos="2160"/>
          <w:tab w:val="left" w:pos="3600"/>
          <w:tab w:val="left" w:pos="5040"/>
          <w:tab w:val="left" w:pos="5760"/>
        </w:tabs>
        <w:spacing w:after="0"/>
        <w:ind w:left="360"/>
        <w:rPr>
          <w:rFonts w:cs="Arial"/>
        </w:rPr>
      </w:pPr>
    </w:p>
    <w:p w:rsidRPr="00AE0D1F" w:rsidR="0019450C" w:rsidP="0075054E" w:rsidRDefault="0019450C" w14:paraId="29C0522D" w14:textId="77777777">
      <w:pPr>
        <w:pStyle w:val="ListParagraph"/>
        <w:numPr>
          <w:ilvl w:val="0"/>
          <w:numId w:val="25"/>
        </w:numPr>
        <w:pBdr>
          <w:top w:val="single" w:color="5F497A" w:themeColor="accent4" w:themeShade="BF" w:sz="12" w:space="1"/>
        </w:pBdr>
        <w:tabs>
          <w:tab w:val="left" w:pos="360"/>
          <w:tab w:val="left" w:pos="1440"/>
          <w:tab w:val="left" w:pos="2160"/>
          <w:tab w:val="left" w:pos="3600"/>
          <w:tab w:val="left" w:pos="5040"/>
          <w:tab w:val="left" w:pos="5760"/>
        </w:tabs>
        <w:spacing w:after="0"/>
        <w:ind w:left="360"/>
        <w:rPr>
          <w:rFonts w:cs="Arial"/>
          <w:b/>
        </w:rPr>
      </w:pPr>
      <w:r w:rsidRPr="00AE0D1F">
        <w:rPr>
          <w:rFonts w:cs="Arial"/>
          <w:b/>
        </w:rPr>
        <w:t>Description of any pre-testing and peer review o</w:t>
      </w:r>
      <w:r w:rsidRPr="00AE0D1F" w:rsidR="000D13B3">
        <w:rPr>
          <w:rFonts w:cs="Arial"/>
          <w:b/>
        </w:rPr>
        <w:t>f the methods and/or instrument:</w:t>
      </w:r>
    </w:p>
    <w:p w:rsidR="003843AA" w:rsidP="00795BB2" w:rsidRDefault="003843AA" w14:paraId="0D3C3149" w14:textId="3D703952">
      <w:pPr>
        <w:tabs>
          <w:tab w:val="left" w:pos="360"/>
          <w:tab w:val="left" w:pos="720"/>
          <w:tab w:val="left" w:pos="1440"/>
          <w:tab w:val="left" w:pos="2160"/>
          <w:tab w:val="left" w:pos="3600"/>
          <w:tab w:val="left" w:pos="5040"/>
          <w:tab w:val="left" w:pos="5760"/>
        </w:tabs>
        <w:spacing w:after="0"/>
        <w:ind w:left="360"/>
        <w:rPr>
          <w:lang w:bidi="en-US"/>
        </w:rPr>
      </w:pPr>
      <w:r w:rsidRPr="004E6D37">
        <w:rPr>
          <w:lang w:bidi="en-US"/>
        </w:rPr>
        <w:t>All instruments have been pilot tested and used in other park research studies, such as the 2015-16 Pilot Study referenced earlier. In addition to the OMB approval process, the research team will be building a data management system that ensures confidentiality for all data collected.</w:t>
      </w:r>
    </w:p>
    <w:p w:rsidR="003843AA" w:rsidP="00795BB2" w:rsidRDefault="003843AA" w14:paraId="5BCED140" w14:textId="77777777">
      <w:pPr>
        <w:tabs>
          <w:tab w:val="left" w:pos="360"/>
          <w:tab w:val="left" w:pos="720"/>
          <w:tab w:val="left" w:pos="1440"/>
          <w:tab w:val="left" w:pos="2160"/>
          <w:tab w:val="left" w:pos="3600"/>
          <w:tab w:val="left" w:pos="5040"/>
          <w:tab w:val="left" w:pos="5760"/>
        </w:tabs>
        <w:spacing w:after="0"/>
        <w:ind w:left="360"/>
        <w:rPr>
          <w:lang w:bidi="en-US"/>
        </w:rPr>
      </w:pPr>
    </w:p>
    <w:p w:rsidR="00845AF5" w:rsidP="00795BB2" w:rsidRDefault="00845AF5" w14:paraId="1652E928" w14:textId="28B0FE38">
      <w:pPr>
        <w:tabs>
          <w:tab w:val="left" w:pos="360"/>
          <w:tab w:val="left" w:pos="720"/>
          <w:tab w:val="left" w:pos="1440"/>
          <w:tab w:val="left" w:pos="2160"/>
          <w:tab w:val="left" w:pos="3600"/>
          <w:tab w:val="left" w:pos="5040"/>
          <w:tab w:val="left" w:pos="5760"/>
        </w:tabs>
        <w:spacing w:after="0"/>
        <w:ind w:left="360"/>
        <w:rPr>
          <w:lang w:bidi="en-US"/>
        </w:rPr>
      </w:pPr>
      <w:r w:rsidRPr="00845AF5">
        <w:rPr>
          <w:lang w:bidi="en-US"/>
        </w:rPr>
        <w:t xml:space="preserve">The instruments for this study were developed using questions from the Pool of Known Questions. These pre-approved questions have been peer-reviewed, used across a variety of park studies, and piloted for necessary </w:t>
      </w:r>
      <w:r w:rsidRPr="00845AF5">
        <w:rPr>
          <w:lang w:bidi="en-US"/>
        </w:rPr>
        <w:lastRenderedPageBreak/>
        <w:t xml:space="preserve">improvements. </w:t>
      </w:r>
      <w:r w:rsidR="00427909">
        <w:rPr>
          <w:lang w:bidi="en-US"/>
        </w:rPr>
        <w:t>After</w:t>
      </w:r>
      <w:r w:rsidRPr="00845AF5" w:rsidR="00427909">
        <w:rPr>
          <w:lang w:bidi="en-US"/>
        </w:rPr>
        <w:t xml:space="preserve"> </w:t>
      </w:r>
      <w:r w:rsidRPr="00845AF5">
        <w:rPr>
          <w:lang w:bidi="en-US"/>
        </w:rPr>
        <w:t>Phase One,</w:t>
      </w:r>
      <w:r w:rsidR="00427909">
        <w:rPr>
          <w:lang w:bidi="en-US"/>
        </w:rPr>
        <w:t xml:space="preserve"> the</w:t>
      </w:r>
      <w:r w:rsidRPr="00845AF5">
        <w:rPr>
          <w:lang w:bidi="en-US"/>
        </w:rPr>
        <w:t xml:space="preserve"> questions were further refined based on analysis for non-response issues, errors in respondent answers, and through consultation with additional experts. </w:t>
      </w:r>
      <w:r w:rsidR="003D565C">
        <w:rPr>
          <w:lang w:bidi="en-US"/>
        </w:rPr>
        <w:t>M</w:t>
      </w:r>
      <w:r w:rsidRPr="00845AF5">
        <w:rPr>
          <w:lang w:bidi="en-US"/>
        </w:rPr>
        <w:t xml:space="preserve">ultiple steps have been taken to ensure the questions provide reliable and accurate results with </w:t>
      </w:r>
      <w:r w:rsidR="003D565C">
        <w:rPr>
          <w:lang w:bidi="en-US"/>
        </w:rPr>
        <w:t xml:space="preserve">minimal respondent </w:t>
      </w:r>
      <w:r w:rsidRPr="00845AF5">
        <w:rPr>
          <w:lang w:bidi="en-US"/>
        </w:rPr>
        <w:t xml:space="preserve">burden. </w:t>
      </w:r>
    </w:p>
    <w:p w:rsidR="00324904" w:rsidP="00795BB2" w:rsidRDefault="00324904" w14:paraId="3CA65E6C" w14:textId="77777777">
      <w:pPr>
        <w:tabs>
          <w:tab w:val="left" w:pos="360"/>
          <w:tab w:val="left" w:pos="720"/>
          <w:tab w:val="left" w:pos="1440"/>
          <w:tab w:val="left" w:pos="2160"/>
          <w:tab w:val="left" w:pos="3600"/>
          <w:tab w:val="left" w:pos="5040"/>
          <w:tab w:val="left" w:pos="5760"/>
        </w:tabs>
        <w:spacing w:after="0"/>
        <w:ind w:left="360"/>
        <w:rPr>
          <w:lang w:bidi="en-US"/>
        </w:rPr>
      </w:pPr>
    </w:p>
    <w:p w:rsidRPr="00AE0D1F" w:rsidR="00324904" w:rsidP="00795BB2" w:rsidRDefault="00324904" w14:paraId="04D6CA22" w14:textId="599B1907">
      <w:pPr>
        <w:tabs>
          <w:tab w:val="left" w:pos="360"/>
          <w:tab w:val="left" w:pos="720"/>
          <w:tab w:val="left" w:pos="1440"/>
          <w:tab w:val="left" w:pos="2160"/>
          <w:tab w:val="left" w:pos="3600"/>
          <w:tab w:val="left" w:pos="5040"/>
          <w:tab w:val="left" w:pos="5760"/>
        </w:tabs>
        <w:spacing w:after="0"/>
        <w:ind w:left="360"/>
        <w:rPr>
          <w:rFonts w:cs="Arial"/>
        </w:rPr>
      </w:pPr>
      <w:r w:rsidRPr="00324904">
        <w:rPr>
          <w:lang w:bidi="en-US"/>
        </w:rPr>
        <w:t xml:space="preserve">The data collection method is a proven mixed-method approach (intercepting visitors on-site followed by a full-trip detail via a mail-back/online survey). This method has been </w:t>
      </w:r>
      <w:r w:rsidR="00316D44">
        <w:rPr>
          <w:lang w:bidi="en-US"/>
        </w:rPr>
        <w:t xml:space="preserve">successfully </w:t>
      </w:r>
      <w:r w:rsidRPr="00324904">
        <w:rPr>
          <w:lang w:bidi="en-US"/>
        </w:rPr>
        <w:t>used by</w:t>
      </w:r>
      <w:r w:rsidR="00316D44">
        <w:rPr>
          <w:lang w:bidi="en-US"/>
        </w:rPr>
        <w:t xml:space="preserve"> social science researchers</w:t>
      </w:r>
      <w:r w:rsidRPr="00324904">
        <w:rPr>
          <w:lang w:bidi="en-US"/>
        </w:rPr>
        <w:t xml:space="preserve"> across the country at multiple destinations. Studies </w:t>
      </w:r>
      <w:r w:rsidR="00316D44">
        <w:rPr>
          <w:lang w:bidi="en-US"/>
        </w:rPr>
        <w:t>using</w:t>
      </w:r>
      <w:r w:rsidRPr="00324904">
        <w:rPr>
          <w:lang w:bidi="en-US"/>
        </w:rPr>
        <w:t xml:space="preserve"> this method have been peer-reviewed and determined scientifically valid. The tablet and online survey portions will be internally tested, checked for quality assurance, and monitored for consistency. A more holistic picture of trip characteristics and preferences are captured through this mixed-method approach. The intercept survey captures information from a wider range of the population while the mail-back/online survey records full-trip details that are difficult to assess on-site.</w:t>
      </w:r>
    </w:p>
    <w:p w:rsidR="00121F41" w:rsidP="00795BB2" w:rsidRDefault="00121F41" w14:paraId="75A8E9B6" w14:textId="36502298">
      <w:pPr>
        <w:tabs>
          <w:tab w:val="left" w:pos="360"/>
          <w:tab w:val="left" w:pos="720"/>
          <w:tab w:val="left" w:pos="1440"/>
          <w:tab w:val="left" w:pos="2160"/>
          <w:tab w:val="left" w:pos="3600"/>
          <w:tab w:val="left" w:pos="5040"/>
          <w:tab w:val="left" w:pos="5760"/>
        </w:tabs>
        <w:spacing w:after="0"/>
        <w:ind w:left="360"/>
        <w:rPr>
          <w:rFonts w:cs="Arial"/>
        </w:rPr>
      </w:pPr>
    </w:p>
    <w:p w:rsidRPr="00E21031" w:rsidR="005316F2" w:rsidP="00E21031" w:rsidRDefault="0019450C" w14:paraId="16FD3AA0" w14:textId="26C293BC">
      <w:pPr>
        <w:pBdr>
          <w:top w:val="single" w:color="5F497A" w:themeColor="accent4" w:themeShade="BF" w:sz="12" w:space="1"/>
          <w:bottom w:val="single" w:color="5F497A" w:themeColor="accent4" w:themeShade="BF" w:sz="12" w:space="1"/>
        </w:pBdr>
        <w:shd w:val="clear" w:color="auto" w:fill="CCC0D9" w:themeFill="accent4" w:themeFillTint="66"/>
        <w:spacing w:line="240" w:lineRule="auto"/>
        <w:rPr>
          <w:b/>
          <w:bCs/>
          <w:sz w:val="24"/>
          <w:szCs w:val="24"/>
          <w:lang w:bidi="en-US"/>
        </w:rPr>
      </w:pPr>
      <w:r w:rsidRPr="00E21031">
        <w:rPr>
          <w:b/>
          <w:bCs/>
          <w:sz w:val="24"/>
          <w:szCs w:val="24"/>
        </w:rPr>
        <w:t>BURDEN ESTIMATES</w:t>
      </w:r>
    </w:p>
    <w:p w:rsidR="00361AC4" w:rsidP="00282C97" w:rsidRDefault="00282C97" w14:paraId="465298DE" w14:textId="759B186C">
      <w:pPr>
        <w:widowControl w:val="0"/>
        <w:autoSpaceDE w:val="0"/>
        <w:autoSpaceDN w:val="0"/>
        <w:spacing w:after="0" w:line="360" w:lineRule="auto"/>
        <w:rPr>
          <w:rFonts w:cs="Arial"/>
          <w:lang w:bidi="en-US"/>
        </w:rPr>
      </w:pPr>
      <w:r w:rsidRPr="00C82001">
        <w:rPr>
          <w:rFonts w:eastAsia="Arial" w:cstheme="minorHAnsi"/>
          <w:lang w:bidi="en-US"/>
        </w:rPr>
        <w:t xml:space="preserve">The combined annual burden for this collection </w:t>
      </w:r>
      <w:r>
        <w:rPr>
          <w:rFonts w:eastAsia="Arial" w:cstheme="minorHAnsi"/>
          <w:lang w:bidi="en-US"/>
        </w:rPr>
        <w:t xml:space="preserve">is </w:t>
      </w:r>
      <w:r w:rsidRPr="00C82001">
        <w:rPr>
          <w:rFonts w:eastAsia="Arial" w:cstheme="minorHAnsi"/>
          <w:lang w:bidi="en-US"/>
        </w:rPr>
        <w:t xml:space="preserve">estimated be </w:t>
      </w:r>
      <w:r>
        <w:rPr>
          <w:rFonts w:eastAsia="Arial" w:cstheme="minorHAnsi"/>
          <w:lang w:bidi="en-US"/>
        </w:rPr>
        <w:t>5,7</w:t>
      </w:r>
      <w:r w:rsidR="00E04586">
        <w:rPr>
          <w:rFonts w:eastAsia="Arial" w:cstheme="minorHAnsi"/>
          <w:lang w:bidi="en-US"/>
        </w:rPr>
        <w:t>72</w:t>
      </w:r>
      <w:r w:rsidRPr="00C82001">
        <w:rPr>
          <w:rFonts w:eastAsia="Arial" w:cstheme="minorHAnsi"/>
          <w:lang w:bidi="en-US"/>
        </w:rPr>
        <w:t xml:space="preserve"> hours</w:t>
      </w:r>
      <w:r>
        <w:rPr>
          <w:rFonts w:eastAsia="Arial" w:cstheme="minorHAnsi"/>
          <w:lang w:bidi="en-US"/>
        </w:rPr>
        <w:t>.  This</w:t>
      </w:r>
      <w:r w:rsidRPr="00C82001">
        <w:rPr>
          <w:rFonts w:eastAsia="Arial" w:cstheme="minorHAnsi"/>
          <w:lang w:bidi="en-US"/>
        </w:rPr>
        <w:t xml:space="preserve"> includ</w:t>
      </w:r>
      <w:r>
        <w:rPr>
          <w:rFonts w:eastAsia="Arial" w:cstheme="minorHAnsi"/>
          <w:lang w:bidi="en-US"/>
        </w:rPr>
        <w:t>es</w:t>
      </w:r>
      <w:r w:rsidRPr="00C82001">
        <w:rPr>
          <w:rFonts w:eastAsia="Arial" w:cstheme="minorHAnsi"/>
          <w:lang w:bidi="en-US"/>
        </w:rPr>
        <w:t xml:space="preserve"> the initial contact time, time to complete </w:t>
      </w:r>
      <w:r>
        <w:rPr>
          <w:rFonts w:eastAsia="Arial" w:cstheme="minorHAnsi"/>
          <w:lang w:bidi="en-US"/>
        </w:rPr>
        <w:t xml:space="preserve">and return </w:t>
      </w:r>
      <w:r w:rsidRPr="00C82001">
        <w:rPr>
          <w:rFonts w:eastAsia="Arial" w:cstheme="minorHAnsi"/>
          <w:lang w:bidi="en-US"/>
        </w:rPr>
        <w:t>the questionnaires for both sample groups (e.g.</w:t>
      </w:r>
      <w:r>
        <w:rPr>
          <w:rFonts w:eastAsia="Arial" w:cstheme="minorHAnsi"/>
          <w:lang w:bidi="en-US"/>
        </w:rPr>
        <w:t>,</w:t>
      </w:r>
      <w:r w:rsidRPr="00C82001">
        <w:rPr>
          <w:rFonts w:eastAsia="Arial" w:cstheme="minorHAnsi"/>
          <w:lang w:bidi="en-US"/>
        </w:rPr>
        <w:t xml:space="preserve"> </w:t>
      </w:r>
      <w:r>
        <w:rPr>
          <w:rFonts w:eastAsia="Arial" w:cstheme="minorHAnsi"/>
          <w:lang w:bidi="en-US"/>
        </w:rPr>
        <w:t>on-site and mail back surveys</w:t>
      </w:r>
      <w:r w:rsidRPr="00C82001">
        <w:rPr>
          <w:rFonts w:eastAsia="Arial" w:cstheme="minorHAnsi"/>
          <w:lang w:bidi="en-US"/>
        </w:rPr>
        <w:t>)</w:t>
      </w:r>
      <w:r>
        <w:rPr>
          <w:rFonts w:eastAsia="Arial" w:cstheme="minorHAnsi"/>
          <w:lang w:bidi="en-US"/>
        </w:rPr>
        <w:t xml:space="preserve">.  </w:t>
      </w:r>
      <w:r w:rsidR="00121F41">
        <w:rPr>
          <w:rFonts w:cs="Arial"/>
          <w:lang w:bidi="en-US"/>
        </w:rPr>
        <w:t xml:space="preserve">We anticipate contacting </w:t>
      </w:r>
      <w:r w:rsidRPr="0082241B" w:rsidR="00121F41">
        <w:rPr>
          <w:rFonts w:cstheme="minorHAnsi"/>
        </w:rPr>
        <w:t>36,</w:t>
      </w:r>
      <w:r w:rsidR="00E32CB9">
        <w:rPr>
          <w:rFonts w:cstheme="minorHAnsi"/>
        </w:rPr>
        <w:t>000</w:t>
      </w:r>
      <w:r w:rsidR="00121F41">
        <w:rPr>
          <w:rFonts w:cstheme="minorHAnsi"/>
        </w:rPr>
        <w:t xml:space="preserve"> </w:t>
      </w:r>
      <w:r w:rsidRPr="00121F41" w:rsidR="00121F41">
        <w:rPr>
          <w:rFonts w:cs="Arial"/>
          <w:lang w:bidi="en-US"/>
        </w:rPr>
        <w:t>visitors</w:t>
      </w:r>
      <w:r w:rsidR="00121F41">
        <w:rPr>
          <w:rFonts w:cs="Arial"/>
          <w:lang w:bidi="en-US"/>
        </w:rPr>
        <w:t xml:space="preserve"> at 2</w:t>
      </w:r>
      <w:r w:rsidR="00244D87">
        <w:rPr>
          <w:rFonts w:cs="Arial"/>
          <w:lang w:bidi="en-US"/>
        </w:rPr>
        <w:t>8</w:t>
      </w:r>
      <w:r w:rsidRPr="005316F2" w:rsidR="005316F2">
        <w:rPr>
          <w:rFonts w:cs="Arial"/>
          <w:lang w:bidi="en-US"/>
        </w:rPr>
        <w:t xml:space="preserve"> units </w:t>
      </w:r>
      <w:r w:rsidR="00121F41">
        <w:rPr>
          <w:rFonts w:cs="Arial"/>
          <w:lang w:bidi="en-US"/>
        </w:rPr>
        <w:t xml:space="preserve">during the sample period of this pilot study. </w:t>
      </w:r>
      <w:r w:rsidR="002B4B9B">
        <w:rPr>
          <w:rFonts w:cs="Arial"/>
          <w:lang w:bidi="en-US"/>
        </w:rPr>
        <w:t xml:space="preserve">We used the number of </w:t>
      </w:r>
      <w:r w:rsidR="00FA2C0F">
        <w:rPr>
          <w:rFonts w:cs="Arial"/>
          <w:lang w:bidi="en-US"/>
        </w:rPr>
        <w:t xml:space="preserve">completed response in Tables 4a and 4b above.  </w:t>
      </w:r>
      <w:r w:rsidR="002B4B9B">
        <w:rPr>
          <w:rFonts w:cs="Arial"/>
          <w:lang w:bidi="en-US"/>
        </w:rPr>
        <w:t xml:space="preserve"> </w:t>
      </w:r>
    </w:p>
    <w:p w:rsidR="0026715E" w:rsidP="007472BB" w:rsidRDefault="00361AC4" w14:paraId="78991CD4" w14:textId="1581051E">
      <w:pPr>
        <w:pStyle w:val="ListParagraph"/>
        <w:widowControl w:val="0"/>
        <w:numPr>
          <w:ilvl w:val="0"/>
          <w:numId w:val="39"/>
        </w:numPr>
        <w:autoSpaceDE w:val="0"/>
        <w:autoSpaceDN w:val="0"/>
        <w:spacing w:after="0"/>
        <w:ind w:left="720"/>
        <w:rPr>
          <w:rFonts w:eastAsia="Arial" w:cstheme="minorHAnsi"/>
          <w:lang w:bidi="en-US"/>
        </w:rPr>
      </w:pPr>
      <w:r w:rsidRPr="0082241B">
        <w:rPr>
          <w:rFonts w:ascii="Calibri" w:hAnsi="Calibri" w:eastAsia="Calibri" w:cs="Arial"/>
          <w:b/>
          <w:bCs/>
        </w:rPr>
        <w:t xml:space="preserve">On-site </w:t>
      </w:r>
      <w:r w:rsidRPr="0082241B" w:rsidR="004473D6">
        <w:rPr>
          <w:rFonts w:ascii="Calibri" w:hAnsi="Calibri" w:eastAsia="Calibri" w:cs="Arial"/>
          <w:b/>
          <w:bCs/>
        </w:rPr>
        <w:t>Survey</w:t>
      </w:r>
      <w:r w:rsidRPr="0082241B" w:rsidR="004473D6">
        <w:rPr>
          <w:rFonts w:eastAsia="Arial" w:cstheme="minorHAnsi"/>
          <w:lang w:bidi="en-US"/>
        </w:rPr>
        <w:t xml:space="preserve"> </w:t>
      </w:r>
    </w:p>
    <w:p w:rsidR="0026715E" w:rsidP="007472BB" w:rsidRDefault="004473D6" w14:paraId="579AD67C" w14:textId="77777777">
      <w:pPr>
        <w:widowControl w:val="0"/>
        <w:autoSpaceDE w:val="0"/>
        <w:autoSpaceDN w:val="0"/>
        <w:spacing w:after="0"/>
        <w:ind w:left="720"/>
        <w:rPr>
          <w:rFonts w:eastAsia="Arial" w:cstheme="minorHAnsi"/>
          <w:lang w:bidi="en-US"/>
        </w:rPr>
      </w:pPr>
      <w:r w:rsidRPr="0082241B">
        <w:rPr>
          <w:rFonts w:eastAsia="Arial" w:cstheme="minorHAnsi"/>
          <w:lang w:bidi="en-US"/>
        </w:rPr>
        <w:t xml:space="preserve"> We anticipate that the initial contacts for on-site survey will take less than a minute. We are expecting that 85% (n=</w:t>
      </w:r>
      <w:r w:rsidRPr="0082241B">
        <w:rPr>
          <w:rFonts w:cstheme="minorHAnsi"/>
        </w:rPr>
        <w:t>30,600</w:t>
      </w:r>
      <w:r w:rsidRPr="0082241B">
        <w:rPr>
          <w:rFonts w:eastAsia="Arial" w:cstheme="minorHAnsi"/>
          <w:lang w:bidi="en-US"/>
        </w:rPr>
        <w:t>) of all visitors contacted will agree to take 5 minutes to complete the on-stie survey</w:t>
      </w:r>
      <w:r w:rsidRPr="0082241B" w:rsidR="0026715E">
        <w:rPr>
          <w:rFonts w:eastAsia="Arial" w:cstheme="minorHAnsi"/>
          <w:lang w:bidi="en-US"/>
        </w:rPr>
        <w:t xml:space="preserve"> (30,600 respondents x 5 minutes = 2,550 hours)</w:t>
      </w:r>
      <w:r w:rsidRPr="0082241B">
        <w:rPr>
          <w:rFonts w:eastAsia="Arial" w:cstheme="minorHAnsi"/>
          <w:lang w:bidi="en-US"/>
        </w:rPr>
        <w:t>.</w:t>
      </w:r>
    </w:p>
    <w:p w:rsidRPr="0082241B" w:rsidR="004473D6" w:rsidP="0082241B" w:rsidRDefault="004473D6" w14:paraId="6DFBC663" w14:textId="7F1EB1E0">
      <w:pPr>
        <w:widowControl w:val="0"/>
        <w:autoSpaceDE w:val="0"/>
        <w:autoSpaceDN w:val="0"/>
        <w:spacing w:after="0"/>
        <w:ind w:left="1080"/>
        <w:rPr>
          <w:rFonts w:eastAsia="Arial" w:cstheme="minorHAnsi"/>
          <w:lang w:bidi="en-US"/>
        </w:rPr>
      </w:pPr>
      <w:r w:rsidRPr="0082241B">
        <w:rPr>
          <w:rFonts w:eastAsia="Arial" w:cstheme="minorHAnsi"/>
          <w:lang w:bidi="en-US"/>
        </w:rPr>
        <w:t xml:space="preserve">  </w:t>
      </w:r>
    </w:p>
    <w:p w:rsidRPr="0082241B" w:rsidR="0026715E" w:rsidP="0082241B" w:rsidRDefault="00361AC4" w14:paraId="0E9F4A24" w14:textId="77777777">
      <w:pPr>
        <w:pStyle w:val="ListParagraph"/>
        <w:numPr>
          <w:ilvl w:val="0"/>
          <w:numId w:val="37"/>
        </w:numPr>
        <w:tabs>
          <w:tab w:val="left" w:pos="360"/>
          <w:tab w:val="left" w:pos="720"/>
          <w:tab w:val="left" w:pos="1440"/>
          <w:tab w:val="left" w:pos="2160"/>
          <w:tab w:val="left" w:pos="3600"/>
          <w:tab w:val="left" w:pos="5040"/>
          <w:tab w:val="left" w:pos="5760"/>
        </w:tabs>
        <w:spacing w:after="220"/>
        <w:ind w:left="810"/>
        <w:rPr>
          <w:rFonts w:cs="Arial"/>
          <w:lang w:bidi="en-US"/>
        </w:rPr>
      </w:pPr>
      <w:r w:rsidRPr="0082241B">
        <w:rPr>
          <w:rFonts w:ascii="Calibri" w:hAnsi="Calibri" w:eastAsia="Calibri" w:cs="Times New Roman"/>
          <w:b/>
          <w:bCs/>
        </w:rPr>
        <w:t>On-site n</w:t>
      </w:r>
      <w:r w:rsidRPr="0082241B">
        <w:rPr>
          <w:rFonts w:ascii="Calibri" w:hAnsi="Calibri" w:eastAsia="Calibri" w:cs="Arial"/>
          <w:b/>
          <w:bCs/>
        </w:rPr>
        <w:t>on-response survey</w:t>
      </w:r>
      <w:r w:rsidRPr="0026715E" w:rsidR="0026715E">
        <w:rPr>
          <w:rFonts w:eastAsia="Arial" w:cstheme="minorHAnsi"/>
          <w:lang w:bidi="en-US"/>
        </w:rPr>
        <w:t xml:space="preserve"> </w:t>
      </w:r>
    </w:p>
    <w:p w:rsidR="00361AC4" w:rsidP="00282C97" w:rsidRDefault="0026715E" w14:paraId="2A2A4571" w14:textId="263FA195">
      <w:pPr>
        <w:pStyle w:val="ListParagraph"/>
        <w:tabs>
          <w:tab w:val="left" w:pos="360"/>
          <w:tab w:val="left" w:pos="720"/>
          <w:tab w:val="left" w:pos="1440"/>
          <w:tab w:val="left" w:pos="2160"/>
          <w:tab w:val="left" w:pos="3600"/>
          <w:tab w:val="left" w:pos="5040"/>
          <w:tab w:val="left" w:pos="5760"/>
        </w:tabs>
        <w:spacing w:after="220"/>
        <w:ind w:left="810"/>
        <w:rPr>
          <w:rFonts w:eastAsia="Arial" w:cstheme="minorHAnsi"/>
          <w:lang w:bidi="en-US"/>
        </w:rPr>
      </w:pPr>
      <w:r w:rsidRPr="00C82001">
        <w:rPr>
          <w:rFonts w:eastAsia="Arial" w:cstheme="minorHAnsi"/>
          <w:lang w:bidi="en-US"/>
        </w:rPr>
        <w:t>Of all visitors contacted, we anticipate that 9</w:t>
      </w:r>
      <w:r>
        <w:rPr>
          <w:rFonts w:eastAsia="Arial" w:cstheme="minorHAnsi"/>
          <w:lang w:bidi="en-US"/>
        </w:rPr>
        <w:t>0</w:t>
      </w:r>
      <w:r w:rsidRPr="00C82001">
        <w:rPr>
          <w:rFonts w:eastAsia="Arial" w:cstheme="minorHAnsi"/>
          <w:lang w:bidi="en-US"/>
        </w:rPr>
        <w:t>% (n=</w:t>
      </w:r>
      <w:r w:rsidRPr="004473D6">
        <w:rPr>
          <w:rFonts w:eastAsia="Arial" w:cstheme="minorHAnsi"/>
          <w:lang w:bidi="en-US"/>
        </w:rPr>
        <w:t>4</w:t>
      </w:r>
      <w:r>
        <w:rPr>
          <w:rFonts w:eastAsia="Arial" w:cstheme="minorHAnsi"/>
          <w:lang w:bidi="en-US"/>
        </w:rPr>
        <w:t>,</w:t>
      </w:r>
      <w:r w:rsidRPr="004473D6">
        <w:rPr>
          <w:rFonts w:eastAsia="Arial" w:cstheme="minorHAnsi"/>
          <w:lang w:bidi="en-US"/>
        </w:rPr>
        <w:t>860</w:t>
      </w:r>
      <w:r w:rsidRPr="00C82001">
        <w:rPr>
          <w:rFonts w:eastAsia="Arial" w:cstheme="minorHAnsi"/>
          <w:lang w:bidi="en-US"/>
        </w:rPr>
        <w:t>) of those refusing to complete the full survey will agree to answer the non-response check question (</w:t>
      </w:r>
      <w:r>
        <w:rPr>
          <w:rFonts w:eastAsia="Arial" w:cstheme="minorHAnsi"/>
          <w:lang w:bidi="en-US"/>
        </w:rPr>
        <w:t xml:space="preserve">4,860 respondents </w:t>
      </w:r>
      <w:r w:rsidRPr="00C82001">
        <w:rPr>
          <w:rFonts w:eastAsia="Arial" w:cstheme="minorHAnsi"/>
          <w:lang w:bidi="en-US"/>
        </w:rPr>
        <w:t xml:space="preserve">x </w:t>
      </w:r>
      <w:r>
        <w:rPr>
          <w:rFonts w:eastAsia="Arial" w:cstheme="minorHAnsi"/>
          <w:lang w:bidi="en-US"/>
        </w:rPr>
        <w:t>2</w:t>
      </w:r>
      <w:r w:rsidRPr="00C82001">
        <w:rPr>
          <w:rFonts w:eastAsia="Arial" w:cstheme="minorHAnsi"/>
          <w:lang w:bidi="en-US"/>
        </w:rPr>
        <w:t xml:space="preserve"> minutes = </w:t>
      </w:r>
      <w:r w:rsidR="009B4748">
        <w:rPr>
          <w:rFonts w:eastAsia="Arial" w:cstheme="minorHAnsi"/>
          <w:lang w:bidi="en-US"/>
        </w:rPr>
        <w:t>162</w:t>
      </w:r>
      <w:r w:rsidRPr="00C82001">
        <w:rPr>
          <w:rFonts w:eastAsia="Arial" w:cstheme="minorHAnsi"/>
          <w:lang w:bidi="en-US"/>
        </w:rPr>
        <w:t xml:space="preserve"> hours).  The burden for the remaining visitors that completely refuse to participate will not be calculated due to lack of participation.</w:t>
      </w:r>
    </w:p>
    <w:p w:rsidRPr="0082241B" w:rsidR="0026715E" w:rsidP="0082241B" w:rsidRDefault="0026715E" w14:paraId="637AC6C1" w14:textId="77777777">
      <w:pPr>
        <w:pStyle w:val="ListParagraph"/>
        <w:tabs>
          <w:tab w:val="left" w:pos="360"/>
          <w:tab w:val="left" w:pos="720"/>
          <w:tab w:val="left" w:pos="1440"/>
          <w:tab w:val="left" w:pos="2160"/>
          <w:tab w:val="left" w:pos="3600"/>
          <w:tab w:val="left" w:pos="5040"/>
          <w:tab w:val="left" w:pos="5760"/>
        </w:tabs>
        <w:spacing w:after="220"/>
        <w:ind w:left="1080"/>
        <w:rPr>
          <w:rFonts w:cs="Arial"/>
          <w:lang w:bidi="en-US"/>
        </w:rPr>
      </w:pPr>
    </w:p>
    <w:p w:rsidRPr="0082241B" w:rsidR="00C369C8" w:rsidP="007472BB" w:rsidRDefault="00361AC4" w14:paraId="676BC198" w14:textId="77777777">
      <w:pPr>
        <w:pStyle w:val="ListParagraph"/>
        <w:numPr>
          <w:ilvl w:val="0"/>
          <w:numId w:val="37"/>
        </w:numPr>
        <w:tabs>
          <w:tab w:val="left" w:pos="360"/>
          <w:tab w:val="left" w:pos="1440"/>
          <w:tab w:val="left" w:pos="2160"/>
          <w:tab w:val="left" w:pos="3600"/>
          <w:tab w:val="left" w:pos="5040"/>
          <w:tab w:val="left" w:pos="5760"/>
        </w:tabs>
        <w:spacing w:after="220"/>
        <w:ind w:left="810"/>
        <w:rPr>
          <w:rFonts w:cs="Arial"/>
          <w:b/>
          <w:bCs/>
          <w:lang w:bidi="en-US"/>
        </w:rPr>
      </w:pPr>
      <w:r w:rsidRPr="0082241B">
        <w:rPr>
          <w:rFonts w:ascii="Calibri" w:hAnsi="Calibri" w:eastAsia="Calibri" w:cs="Arial"/>
          <w:b/>
          <w:bCs/>
        </w:rPr>
        <w:t>Mail-back Survey</w:t>
      </w:r>
      <w:r w:rsidRPr="00C369C8" w:rsidR="00C369C8">
        <w:rPr>
          <w:rFonts w:eastAsia="Arial" w:cstheme="minorHAnsi"/>
          <w:lang w:bidi="en-US"/>
        </w:rPr>
        <w:t xml:space="preserve"> </w:t>
      </w:r>
    </w:p>
    <w:p w:rsidRPr="0082241B" w:rsidR="00361AC4" w:rsidP="007472BB" w:rsidRDefault="00B8328C" w14:paraId="361314BE" w14:textId="4FDA7C29">
      <w:pPr>
        <w:pStyle w:val="ListParagraph"/>
        <w:tabs>
          <w:tab w:val="left" w:pos="360"/>
          <w:tab w:val="left" w:pos="1440"/>
          <w:tab w:val="left" w:pos="2160"/>
          <w:tab w:val="left" w:pos="3600"/>
          <w:tab w:val="left" w:pos="5040"/>
          <w:tab w:val="left" w:pos="5760"/>
        </w:tabs>
        <w:spacing w:after="220"/>
        <w:ind w:left="810"/>
        <w:rPr>
          <w:rFonts w:cs="Arial"/>
          <w:b/>
          <w:bCs/>
          <w:lang w:bidi="en-US"/>
        </w:rPr>
      </w:pPr>
      <w:r>
        <w:rPr>
          <w:rFonts w:eastAsia="Arial" w:cstheme="minorHAnsi"/>
          <w:lang w:bidi="en-US"/>
        </w:rPr>
        <w:t>T</w:t>
      </w:r>
      <w:r w:rsidRPr="00C82001" w:rsidR="00C369C8">
        <w:rPr>
          <w:rFonts w:eastAsia="Arial" w:cstheme="minorHAnsi"/>
          <w:lang w:bidi="en-US"/>
        </w:rPr>
        <w:t xml:space="preserve">he visitors </w:t>
      </w:r>
      <w:r>
        <w:rPr>
          <w:rFonts w:eastAsia="Arial" w:cstheme="minorHAnsi"/>
          <w:lang w:bidi="en-US"/>
        </w:rPr>
        <w:t>completing the on-site</w:t>
      </w:r>
      <w:r w:rsidRPr="00C82001" w:rsidR="00C369C8">
        <w:rPr>
          <w:rFonts w:eastAsia="Arial" w:cstheme="minorHAnsi"/>
          <w:lang w:bidi="en-US"/>
        </w:rPr>
        <w:t xml:space="preserve"> survey will be asked if they would be willing to complete the </w:t>
      </w:r>
      <w:r>
        <w:rPr>
          <w:rFonts w:eastAsia="Arial" w:cstheme="minorHAnsi"/>
          <w:lang w:bidi="en-US"/>
        </w:rPr>
        <w:t>follow-up</w:t>
      </w:r>
      <w:r w:rsidRPr="00C82001" w:rsidR="00C369C8">
        <w:rPr>
          <w:rFonts w:eastAsia="Arial" w:cstheme="minorHAnsi"/>
          <w:lang w:bidi="en-US"/>
        </w:rPr>
        <w:t xml:space="preserve"> survey. We expect that </w:t>
      </w:r>
      <w:r w:rsidR="00282C97">
        <w:rPr>
          <w:rFonts w:eastAsia="Arial" w:cstheme="minorHAnsi"/>
          <w:lang w:bidi="en-US"/>
        </w:rPr>
        <w:t>40</w:t>
      </w:r>
      <w:r w:rsidRPr="00C82001" w:rsidR="00C369C8">
        <w:rPr>
          <w:rFonts w:eastAsia="Arial" w:cstheme="minorHAnsi"/>
          <w:lang w:bidi="en-US"/>
        </w:rPr>
        <w:t xml:space="preserve">% </w:t>
      </w:r>
      <w:r w:rsidRPr="00282C97" w:rsidR="00C369C8">
        <w:rPr>
          <w:rFonts w:eastAsia="Arial" w:cstheme="minorHAnsi"/>
          <w:lang w:bidi="en-US"/>
        </w:rPr>
        <w:t>(n=</w:t>
      </w:r>
      <w:r w:rsidRPr="00282C97" w:rsidR="00282C97">
        <w:rPr>
          <w:rFonts w:cstheme="minorHAnsi"/>
        </w:rPr>
        <w:t>9,180</w:t>
      </w:r>
      <w:r w:rsidRPr="00C82001" w:rsidR="00C369C8">
        <w:rPr>
          <w:rFonts w:eastAsia="Arial" w:cstheme="minorHAnsi"/>
          <w:lang w:bidi="en-US"/>
        </w:rPr>
        <w:t xml:space="preserve">) will agree to complete the post-experience survey. The time to complete the survey will take </w:t>
      </w:r>
      <w:r w:rsidR="00E32CB9">
        <w:rPr>
          <w:rFonts w:eastAsia="Arial" w:cstheme="minorHAnsi"/>
          <w:lang w:bidi="en-US"/>
        </w:rPr>
        <w:t>20</w:t>
      </w:r>
      <w:r w:rsidRPr="00C82001" w:rsidR="00C369C8">
        <w:rPr>
          <w:rFonts w:eastAsia="Arial" w:cstheme="minorHAnsi"/>
          <w:lang w:bidi="en-US"/>
        </w:rPr>
        <w:t xml:space="preserve"> minutes (</w:t>
      </w:r>
      <w:r w:rsidRPr="00282C97" w:rsidR="00282C97">
        <w:rPr>
          <w:rFonts w:eastAsia="Arial" w:cstheme="minorHAnsi"/>
          <w:lang w:bidi="en-US"/>
        </w:rPr>
        <w:t>9,180</w:t>
      </w:r>
      <w:r w:rsidR="00282C97">
        <w:rPr>
          <w:rFonts w:eastAsia="Arial" w:cstheme="minorHAnsi"/>
          <w:lang w:bidi="en-US"/>
        </w:rPr>
        <w:t xml:space="preserve"> </w:t>
      </w:r>
      <w:r w:rsidRPr="00C82001" w:rsidR="00C369C8">
        <w:rPr>
          <w:rFonts w:eastAsia="Arial" w:cstheme="minorHAnsi"/>
          <w:lang w:bidi="en-US"/>
        </w:rPr>
        <w:t xml:space="preserve">X </w:t>
      </w:r>
      <w:r w:rsidR="00282C97">
        <w:rPr>
          <w:rFonts w:eastAsia="Arial" w:cstheme="minorHAnsi"/>
          <w:lang w:bidi="en-US"/>
        </w:rPr>
        <w:t>20</w:t>
      </w:r>
      <w:r w:rsidRPr="00C82001" w:rsidR="00C369C8">
        <w:rPr>
          <w:rFonts w:eastAsia="Arial" w:cstheme="minorHAnsi"/>
          <w:lang w:bidi="en-US"/>
        </w:rPr>
        <w:t xml:space="preserve"> minutes = </w:t>
      </w:r>
      <w:r w:rsidR="00282C97">
        <w:rPr>
          <w:rFonts w:eastAsia="Arial" w:cstheme="minorHAnsi"/>
          <w:lang w:bidi="en-US"/>
        </w:rPr>
        <w:t>3,060</w:t>
      </w:r>
      <w:r w:rsidRPr="00C82001" w:rsidR="00C369C8">
        <w:rPr>
          <w:rFonts w:eastAsia="Arial" w:cstheme="minorHAnsi"/>
          <w:lang w:bidi="en-US"/>
        </w:rPr>
        <w:t xml:space="preserve"> hours).  </w:t>
      </w:r>
    </w:p>
    <w:p w:rsidRPr="00521751" w:rsidR="00521751" w:rsidP="00521751" w:rsidRDefault="00521751" w14:paraId="33177F81" w14:textId="546D82E1">
      <w:pPr>
        <w:tabs>
          <w:tab w:val="left" w:pos="360"/>
          <w:tab w:val="left" w:pos="720"/>
          <w:tab w:val="left" w:pos="1440"/>
          <w:tab w:val="left" w:pos="2160"/>
          <w:tab w:val="left" w:pos="3600"/>
          <w:tab w:val="left" w:pos="5040"/>
          <w:tab w:val="left" w:pos="5760"/>
        </w:tabs>
        <w:spacing w:after="0" w:line="240" w:lineRule="auto"/>
        <w:ind w:left="450"/>
        <w:rPr>
          <w:rFonts w:ascii="Calibri" w:hAnsi="Calibri" w:eastAsia="Calibri" w:cs="Arial"/>
          <w:b/>
        </w:rPr>
      </w:pPr>
      <w:r w:rsidRPr="00521751">
        <w:rPr>
          <w:rFonts w:ascii="Calibri" w:hAnsi="Calibri" w:eastAsia="Calibri" w:cs="Arial"/>
          <w:b/>
        </w:rPr>
        <w:t xml:space="preserve">Table </w:t>
      </w:r>
      <w:r w:rsidR="0067314D">
        <w:rPr>
          <w:rFonts w:ascii="Calibri" w:hAnsi="Calibri" w:eastAsia="Calibri" w:cs="Arial"/>
          <w:b/>
        </w:rPr>
        <w:t>5</w:t>
      </w:r>
      <w:r w:rsidRPr="00521751">
        <w:rPr>
          <w:rFonts w:ascii="Calibri" w:hAnsi="Calibri" w:eastAsia="Calibri" w:cs="Arial"/>
          <w:b/>
        </w:rPr>
        <w:t>. Burden Estimates</w:t>
      </w:r>
    </w:p>
    <w:tbl>
      <w:tblPr>
        <w:tblW w:w="4250" w:type="pct"/>
        <w:tblInd w:w="450" w:type="dxa"/>
        <w:shd w:val="clear" w:color="auto" w:fill="FFFFFF"/>
        <w:tblCellMar>
          <w:left w:w="0" w:type="dxa"/>
          <w:right w:w="0" w:type="dxa"/>
        </w:tblCellMar>
        <w:tblLook w:val="04A0" w:firstRow="1" w:lastRow="0" w:firstColumn="1" w:lastColumn="0" w:noHBand="0" w:noVBand="1"/>
        <w:tblDescription w:val="table that charts list of ICs"/>
      </w:tblPr>
      <w:tblGrid>
        <w:gridCol w:w="4049"/>
        <w:gridCol w:w="1529"/>
        <w:gridCol w:w="1893"/>
        <w:gridCol w:w="1709"/>
      </w:tblGrid>
      <w:tr w:rsidRPr="00521751" w:rsidR="00521751" w:rsidTr="00521751" w14:paraId="015D6FD0" w14:textId="77777777">
        <w:trPr>
          <w:trHeight w:val="375"/>
        </w:trPr>
        <w:tc>
          <w:tcPr>
            <w:tcW w:w="2205" w:type="pct"/>
            <w:tcBorders>
              <w:top w:val="single" w:color="auto" w:sz="8" w:space="0"/>
              <w:left w:val="nil"/>
              <w:bottom w:val="single" w:color="auto" w:sz="8" w:space="0"/>
              <w:right w:val="nil"/>
            </w:tcBorders>
            <w:shd w:val="clear" w:color="auto" w:fill="B2A1C7" w:themeFill="accent4" w:themeFillTint="99"/>
            <w:tcMar>
              <w:top w:w="60" w:type="dxa"/>
              <w:left w:w="60" w:type="dxa"/>
              <w:bottom w:w="60" w:type="dxa"/>
              <w:right w:w="60" w:type="dxa"/>
            </w:tcMar>
            <w:vAlign w:val="center"/>
            <w:hideMark/>
          </w:tcPr>
          <w:p w:rsidRPr="00521751" w:rsidR="00521751" w:rsidP="00521751" w:rsidRDefault="00521751" w14:paraId="2783409F" w14:textId="77777777">
            <w:pPr>
              <w:rPr>
                <w:rFonts w:ascii="Calibri" w:hAnsi="Calibri" w:eastAsia="Calibri" w:cs="Arial"/>
                <w:b/>
              </w:rPr>
            </w:pPr>
          </w:p>
        </w:tc>
        <w:tc>
          <w:tcPr>
            <w:tcW w:w="833" w:type="pct"/>
            <w:tcBorders>
              <w:top w:val="single" w:color="auto" w:sz="8" w:space="0"/>
              <w:left w:val="nil"/>
              <w:bottom w:val="single" w:color="auto" w:sz="8" w:space="0"/>
              <w:right w:val="nil"/>
            </w:tcBorders>
            <w:shd w:val="clear" w:color="auto" w:fill="B2A1C7" w:themeFill="accent4" w:themeFillTint="99"/>
            <w:tcMar>
              <w:top w:w="60" w:type="dxa"/>
              <w:left w:w="60" w:type="dxa"/>
              <w:bottom w:w="60" w:type="dxa"/>
              <w:right w:w="60" w:type="dxa"/>
            </w:tcMar>
            <w:vAlign w:val="center"/>
            <w:hideMark/>
          </w:tcPr>
          <w:p w:rsidRPr="00521751" w:rsidR="00521751" w:rsidP="00521751" w:rsidRDefault="00521751" w14:paraId="7152D58C" w14:textId="01A275CC">
            <w:pPr>
              <w:tabs>
                <w:tab w:val="left" w:pos="360"/>
                <w:tab w:val="left" w:pos="720"/>
                <w:tab w:val="left" w:pos="1440"/>
                <w:tab w:val="left" w:pos="2160"/>
                <w:tab w:val="left" w:pos="3600"/>
                <w:tab w:val="left" w:pos="5040"/>
                <w:tab w:val="left" w:pos="5760"/>
              </w:tabs>
              <w:spacing w:after="0" w:line="240" w:lineRule="auto"/>
              <w:jc w:val="center"/>
              <w:rPr>
                <w:rFonts w:ascii="Calibri" w:hAnsi="Calibri" w:eastAsia="Calibri" w:cs="Arial"/>
                <w:b/>
                <w:bCs/>
                <w:sz w:val="20"/>
                <w:szCs w:val="20"/>
              </w:rPr>
            </w:pPr>
            <w:r>
              <w:rPr>
                <w:rFonts w:ascii="Calibri" w:hAnsi="Calibri" w:eastAsia="Calibri" w:cs="Arial"/>
                <w:b/>
                <w:bCs/>
                <w:sz w:val="20"/>
                <w:szCs w:val="20"/>
              </w:rPr>
              <w:t xml:space="preserve">Completed </w:t>
            </w:r>
            <w:r w:rsidRPr="00521751">
              <w:rPr>
                <w:rFonts w:ascii="Calibri" w:hAnsi="Calibri" w:eastAsia="Calibri" w:cs="Arial"/>
                <w:b/>
                <w:bCs/>
                <w:sz w:val="20"/>
                <w:szCs w:val="20"/>
              </w:rPr>
              <w:t>Responses</w:t>
            </w:r>
          </w:p>
        </w:tc>
        <w:tc>
          <w:tcPr>
            <w:tcW w:w="1031" w:type="pct"/>
            <w:tcBorders>
              <w:top w:val="single" w:color="auto" w:sz="8" w:space="0"/>
              <w:left w:val="nil"/>
              <w:bottom w:val="single" w:color="auto" w:sz="8" w:space="0"/>
              <w:right w:val="nil"/>
            </w:tcBorders>
            <w:shd w:val="clear" w:color="auto" w:fill="B2A1C7" w:themeFill="accent4" w:themeFillTint="99"/>
            <w:hideMark/>
          </w:tcPr>
          <w:p w:rsidRPr="00521751" w:rsidR="00521751" w:rsidP="00521751" w:rsidRDefault="00521751" w14:paraId="11D74822" w14:textId="77777777">
            <w:pPr>
              <w:tabs>
                <w:tab w:val="left" w:pos="360"/>
                <w:tab w:val="left" w:pos="720"/>
                <w:tab w:val="left" w:pos="1440"/>
                <w:tab w:val="left" w:pos="2160"/>
                <w:tab w:val="left" w:pos="3600"/>
                <w:tab w:val="left" w:pos="5040"/>
                <w:tab w:val="left" w:pos="5760"/>
              </w:tabs>
              <w:spacing w:after="0" w:line="240" w:lineRule="auto"/>
              <w:jc w:val="center"/>
              <w:rPr>
                <w:rFonts w:ascii="Calibri" w:hAnsi="Calibri" w:eastAsia="Calibri" w:cs="Arial"/>
                <w:b/>
                <w:bCs/>
                <w:sz w:val="20"/>
                <w:szCs w:val="20"/>
              </w:rPr>
            </w:pPr>
            <w:r w:rsidRPr="00521751">
              <w:rPr>
                <w:rFonts w:ascii="Calibri" w:hAnsi="Calibri" w:eastAsia="Calibri" w:cs="Arial"/>
                <w:b/>
                <w:bCs/>
                <w:sz w:val="20"/>
                <w:szCs w:val="20"/>
              </w:rPr>
              <w:t xml:space="preserve">Completion Time * </w:t>
            </w:r>
          </w:p>
          <w:p w:rsidRPr="00521751" w:rsidR="00521751" w:rsidP="00521751" w:rsidRDefault="00521751" w14:paraId="0AF705F7" w14:textId="77777777">
            <w:pPr>
              <w:tabs>
                <w:tab w:val="left" w:pos="360"/>
                <w:tab w:val="left" w:pos="720"/>
                <w:tab w:val="left" w:pos="1440"/>
                <w:tab w:val="left" w:pos="2160"/>
                <w:tab w:val="left" w:pos="3600"/>
                <w:tab w:val="left" w:pos="5040"/>
                <w:tab w:val="left" w:pos="5760"/>
              </w:tabs>
              <w:spacing w:after="0" w:line="240" w:lineRule="auto"/>
              <w:jc w:val="center"/>
              <w:rPr>
                <w:rFonts w:ascii="Calibri" w:hAnsi="Calibri" w:eastAsia="Calibri" w:cs="Arial"/>
                <w:b/>
                <w:bCs/>
                <w:sz w:val="20"/>
                <w:szCs w:val="20"/>
              </w:rPr>
            </w:pPr>
            <w:r w:rsidRPr="00521751">
              <w:rPr>
                <w:rFonts w:ascii="Calibri" w:hAnsi="Calibri" w:eastAsia="Calibri" w:cs="Arial"/>
                <w:b/>
                <w:bCs/>
                <w:sz w:val="20"/>
                <w:szCs w:val="20"/>
              </w:rPr>
              <w:t>(minutes)</w:t>
            </w:r>
          </w:p>
        </w:tc>
        <w:tc>
          <w:tcPr>
            <w:tcW w:w="931" w:type="pct"/>
            <w:tcBorders>
              <w:top w:val="single" w:color="auto" w:sz="8" w:space="0"/>
              <w:left w:val="nil"/>
              <w:bottom w:val="single" w:color="auto" w:sz="8" w:space="0"/>
              <w:right w:val="nil"/>
            </w:tcBorders>
            <w:shd w:val="clear" w:color="auto" w:fill="B2A1C7" w:themeFill="accent4" w:themeFillTint="99"/>
            <w:tcMar>
              <w:top w:w="60" w:type="dxa"/>
              <w:left w:w="60" w:type="dxa"/>
              <w:bottom w:w="60" w:type="dxa"/>
              <w:right w:w="60" w:type="dxa"/>
            </w:tcMar>
            <w:vAlign w:val="center"/>
            <w:hideMark/>
          </w:tcPr>
          <w:p w:rsidRPr="00521751" w:rsidR="00521751" w:rsidP="00521751" w:rsidRDefault="00521751" w14:paraId="41AC7E64" w14:textId="77777777">
            <w:pPr>
              <w:tabs>
                <w:tab w:val="left" w:pos="360"/>
                <w:tab w:val="left" w:pos="720"/>
                <w:tab w:val="left" w:pos="1440"/>
                <w:tab w:val="left" w:pos="2160"/>
                <w:tab w:val="left" w:pos="3600"/>
                <w:tab w:val="left" w:pos="5040"/>
                <w:tab w:val="left" w:pos="5760"/>
              </w:tabs>
              <w:spacing w:after="0" w:line="240" w:lineRule="auto"/>
              <w:jc w:val="center"/>
              <w:rPr>
                <w:rFonts w:ascii="Calibri" w:hAnsi="Calibri" w:eastAsia="Calibri" w:cs="Arial"/>
                <w:b/>
                <w:bCs/>
                <w:sz w:val="20"/>
                <w:szCs w:val="20"/>
              </w:rPr>
            </w:pPr>
            <w:r w:rsidRPr="00521751">
              <w:rPr>
                <w:rFonts w:ascii="Calibri" w:hAnsi="Calibri" w:eastAsia="Calibri" w:cs="Arial"/>
                <w:b/>
                <w:bCs/>
                <w:sz w:val="20"/>
                <w:szCs w:val="20"/>
              </w:rPr>
              <w:t>Burden Hours</w:t>
            </w:r>
          </w:p>
          <w:p w:rsidRPr="00521751" w:rsidR="00521751" w:rsidP="00521751" w:rsidRDefault="00521751" w14:paraId="11799BDF" w14:textId="77777777">
            <w:pPr>
              <w:tabs>
                <w:tab w:val="left" w:pos="360"/>
                <w:tab w:val="left" w:pos="720"/>
                <w:tab w:val="left" w:pos="1440"/>
                <w:tab w:val="left" w:pos="2160"/>
                <w:tab w:val="left" w:pos="3600"/>
                <w:tab w:val="left" w:pos="5040"/>
                <w:tab w:val="left" w:pos="5760"/>
              </w:tabs>
              <w:spacing w:after="0" w:line="240" w:lineRule="auto"/>
              <w:jc w:val="center"/>
              <w:rPr>
                <w:rFonts w:ascii="Calibri" w:hAnsi="Calibri" w:eastAsia="Calibri" w:cs="Arial"/>
                <w:b/>
                <w:bCs/>
                <w:sz w:val="20"/>
                <w:szCs w:val="20"/>
              </w:rPr>
            </w:pPr>
            <w:r w:rsidRPr="00521751">
              <w:rPr>
                <w:rFonts w:ascii="Calibri" w:hAnsi="Calibri" w:eastAsia="Calibri" w:cs="Arial"/>
                <w:b/>
                <w:bCs/>
                <w:sz w:val="20"/>
                <w:szCs w:val="20"/>
              </w:rPr>
              <w:t>(rounded up)</w:t>
            </w:r>
          </w:p>
        </w:tc>
      </w:tr>
      <w:tr w:rsidRPr="00521751" w:rsidR="00244D87" w:rsidTr="00521751" w14:paraId="7FF5EAFC" w14:textId="77777777">
        <w:trPr>
          <w:trHeight w:val="222"/>
        </w:trPr>
        <w:tc>
          <w:tcPr>
            <w:tcW w:w="2205" w:type="pct"/>
            <w:tcBorders>
              <w:top w:val="single" w:color="auto" w:sz="8" w:space="0"/>
              <w:left w:val="nil"/>
              <w:bottom w:val="nil"/>
              <w:right w:val="nil"/>
            </w:tcBorders>
            <w:shd w:val="clear" w:color="auto" w:fill="FFFFFF"/>
            <w:tcMar>
              <w:top w:w="60" w:type="dxa"/>
              <w:left w:w="60" w:type="dxa"/>
              <w:bottom w:w="60" w:type="dxa"/>
              <w:right w:w="60" w:type="dxa"/>
            </w:tcMar>
            <w:hideMark/>
          </w:tcPr>
          <w:p w:rsidRPr="00692556" w:rsidR="00244D87" w:rsidP="00244D87" w:rsidRDefault="00244D87" w14:paraId="78974212" w14:textId="7DB22F95">
            <w:pPr>
              <w:tabs>
                <w:tab w:val="left" w:pos="360"/>
                <w:tab w:val="left" w:pos="720"/>
                <w:tab w:val="left" w:pos="1440"/>
                <w:tab w:val="left" w:pos="2160"/>
                <w:tab w:val="left" w:pos="3600"/>
                <w:tab w:val="left" w:pos="5040"/>
                <w:tab w:val="left" w:pos="5760"/>
              </w:tabs>
              <w:spacing w:after="0" w:line="240" w:lineRule="auto"/>
              <w:rPr>
                <w:rFonts w:ascii="Calibri" w:hAnsi="Calibri" w:eastAsia="Calibri" w:cs="Arial"/>
                <w:sz w:val="18"/>
                <w:szCs w:val="18"/>
              </w:rPr>
            </w:pPr>
            <w:r w:rsidRPr="00692556">
              <w:rPr>
                <w:rFonts w:ascii="Calibri" w:hAnsi="Calibri" w:eastAsia="Calibri" w:cs="Arial"/>
                <w:sz w:val="18"/>
                <w:szCs w:val="18"/>
              </w:rPr>
              <w:t xml:space="preserve">On-site Survey* </w:t>
            </w:r>
          </w:p>
        </w:tc>
        <w:tc>
          <w:tcPr>
            <w:tcW w:w="833" w:type="pct"/>
            <w:tcBorders>
              <w:top w:val="single" w:color="auto" w:sz="8" w:space="0"/>
              <w:left w:val="nil"/>
              <w:bottom w:val="nil"/>
              <w:right w:val="nil"/>
            </w:tcBorders>
            <w:shd w:val="clear" w:color="auto" w:fill="auto"/>
            <w:tcMar>
              <w:top w:w="60" w:type="dxa"/>
              <w:left w:w="60" w:type="dxa"/>
              <w:bottom w:w="60" w:type="dxa"/>
              <w:right w:w="60" w:type="dxa"/>
            </w:tcMar>
          </w:tcPr>
          <w:p w:rsidRPr="00692556" w:rsidR="00244D87" w:rsidP="00244D87" w:rsidRDefault="00361AC4" w14:paraId="5DCE9FA1" w14:textId="2C71B8E5">
            <w:pPr>
              <w:tabs>
                <w:tab w:val="left" w:pos="360"/>
                <w:tab w:val="left" w:pos="720"/>
                <w:tab w:val="left" w:pos="1440"/>
                <w:tab w:val="left" w:pos="2160"/>
                <w:tab w:val="left" w:pos="3600"/>
                <w:tab w:val="left" w:pos="5040"/>
                <w:tab w:val="left" w:pos="5760"/>
              </w:tabs>
              <w:spacing w:after="0" w:line="240" w:lineRule="auto"/>
              <w:jc w:val="center"/>
              <w:rPr>
                <w:rFonts w:ascii="Calibri" w:hAnsi="Calibri" w:eastAsia="Calibri" w:cs="Arial"/>
                <w:sz w:val="18"/>
                <w:szCs w:val="18"/>
              </w:rPr>
            </w:pPr>
            <w:r>
              <w:rPr>
                <w:sz w:val="18"/>
                <w:szCs w:val="18"/>
              </w:rPr>
              <w:t>30,600</w:t>
            </w:r>
          </w:p>
        </w:tc>
        <w:tc>
          <w:tcPr>
            <w:tcW w:w="1031" w:type="pct"/>
            <w:tcBorders>
              <w:top w:val="single" w:color="auto" w:sz="8" w:space="0"/>
              <w:left w:val="nil"/>
              <w:bottom w:val="nil"/>
              <w:right w:val="nil"/>
            </w:tcBorders>
            <w:shd w:val="clear" w:color="auto" w:fill="auto"/>
          </w:tcPr>
          <w:p w:rsidRPr="00692556" w:rsidR="00244D87" w:rsidP="00244D87" w:rsidRDefault="00244D87" w14:paraId="5ACEC8DD" w14:textId="7522EF42">
            <w:pPr>
              <w:tabs>
                <w:tab w:val="left" w:pos="360"/>
                <w:tab w:val="left" w:pos="720"/>
                <w:tab w:val="left" w:pos="1440"/>
                <w:tab w:val="left" w:pos="2160"/>
                <w:tab w:val="left" w:pos="3600"/>
                <w:tab w:val="left" w:pos="5040"/>
                <w:tab w:val="left" w:pos="5760"/>
              </w:tabs>
              <w:spacing w:after="0" w:line="240" w:lineRule="auto"/>
              <w:jc w:val="center"/>
              <w:rPr>
                <w:rFonts w:ascii="Calibri" w:hAnsi="Calibri" w:eastAsia="Calibri" w:cs="Arial"/>
                <w:sz w:val="18"/>
                <w:szCs w:val="18"/>
              </w:rPr>
            </w:pPr>
            <w:r w:rsidRPr="00692556">
              <w:rPr>
                <w:sz w:val="18"/>
                <w:szCs w:val="18"/>
              </w:rPr>
              <w:t>5</w:t>
            </w:r>
          </w:p>
        </w:tc>
        <w:tc>
          <w:tcPr>
            <w:tcW w:w="931" w:type="pct"/>
            <w:tcBorders>
              <w:top w:val="single" w:color="auto" w:sz="8" w:space="0"/>
              <w:left w:val="nil"/>
              <w:bottom w:val="nil"/>
              <w:right w:val="nil"/>
            </w:tcBorders>
            <w:shd w:val="clear" w:color="auto" w:fill="auto"/>
            <w:tcMar>
              <w:top w:w="60" w:type="dxa"/>
              <w:left w:w="60" w:type="dxa"/>
              <w:bottom w:w="60" w:type="dxa"/>
              <w:right w:w="60" w:type="dxa"/>
            </w:tcMar>
          </w:tcPr>
          <w:p w:rsidRPr="00692556" w:rsidR="00244D87" w:rsidP="00244D87" w:rsidRDefault="0026715E" w14:paraId="49FCBD45" w14:textId="21CEE955">
            <w:pPr>
              <w:tabs>
                <w:tab w:val="left" w:pos="360"/>
                <w:tab w:val="left" w:pos="720"/>
                <w:tab w:val="left" w:pos="1440"/>
                <w:tab w:val="left" w:pos="2160"/>
                <w:tab w:val="left" w:pos="3600"/>
                <w:tab w:val="left" w:pos="5040"/>
                <w:tab w:val="left" w:pos="5760"/>
              </w:tabs>
              <w:spacing w:after="0" w:line="240" w:lineRule="auto"/>
              <w:jc w:val="center"/>
              <w:rPr>
                <w:rFonts w:ascii="Calibri" w:hAnsi="Calibri" w:eastAsia="Calibri" w:cs="Arial"/>
                <w:sz w:val="18"/>
                <w:szCs w:val="18"/>
              </w:rPr>
            </w:pPr>
            <w:r>
              <w:rPr>
                <w:sz w:val="18"/>
                <w:szCs w:val="18"/>
              </w:rPr>
              <w:t>2,550</w:t>
            </w:r>
          </w:p>
        </w:tc>
      </w:tr>
      <w:tr w:rsidRPr="00521751" w:rsidR="00244D87" w:rsidTr="00521751" w14:paraId="0206AC83" w14:textId="77777777">
        <w:trPr>
          <w:trHeight w:val="222"/>
        </w:trPr>
        <w:tc>
          <w:tcPr>
            <w:tcW w:w="2205" w:type="pct"/>
            <w:shd w:val="clear" w:color="auto" w:fill="FFFFFF"/>
            <w:tcMar>
              <w:top w:w="60" w:type="dxa"/>
              <w:left w:w="60" w:type="dxa"/>
              <w:bottom w:w="60" w:type="dxa"/>
              <w:right w:w="60" w:type="dxa"/>
            </w:tcMar>
          </w:tcPr>
          <w:p w:rsidRPr="00692556" w:rsidR="00244D87" w:rsidP="00244D87" w:rsidRDefault="00244D87" w14:paraId="689873E8" w14:textId="37D85367">
            <w:pPr>
              <w:tabs>
                <w:tab w:val="left" w:pos="360"/>
                <w:tab w:val="left" w:pos="720"/>
                <w:tab w:val="left" w:pos="1440"/>
                <w:tab w:val="left" w:pos="2160"/>
                <w:tab w:val="left" w:pos="3600"/>
                <w:tab w:val="left" w:pos="5040"/>
                <w:tab w:val="left" w:pos="5760"/>
              </w:tabs>
              <w:spacing w:after="0" w:line="240" w:lineRule="auto"/>
              <w:ind w:firstLine="30"/>
              <w:rPr>
                <w:rFonts w:ascii="Calibri" w:hAnsi="Calibri" w:eastAsia="Calibri" w:cs="Times New Roman"/>
                <w:sz w:val="18"/>
                <w:szCs w:val="18"/>
              </w:rPr>
            </w:pPr>
            <w:r w:rsidRPr="00692556">
              <w:rPr>
                <w:rFonts w:ascii="Calibri" w:hAnsi="Calibri" w:eastAsia="Calibri" w:cs="Times New Roman"/>
                <w:sz w:val="18"/>
                <w:szCs w:val="18"/>
              </w:rPr>
              <w:t>On-site n</w:t>
            </w:r>
            <w:r w:rsidRPr="00692556">
              <w:rPr>
                <w:rFonts w:ascii="Calibri" w:hAnsi="Calibri" w:eastAsia="Calibri" w:cs="Arial"/>
                <w:sz w:val="18"/>
                <w:szCs w:val="18"/>
              </w:rPr>
              <w:t>on-response survey</w:t>
            </w:r>
          </w:p>
        </w:tc>
        <w:tc>
          <w:tcPr>
            <w:tcW w:w="833" w:type="pct"/>
            <w:shd w:val="clear" w:color="auto" w:fill="auto"/>
            <w:tcMar>
              <w:top w:w="60" w:type="dxa"/>
              <w:left w:w="60" w:type="dxa"/>
              <w:bottom w:w="60" w:type="dxa"/>
              <w:right w:w="60" w:type="dxa"/>
            </w:tcMar>
          </w:tcPr>
          <w:p w:rsidRPr="00692556" w:rsidR="00244D87" w:rsidP="00244D87" w:rsidRDefault="00361AC4" w14:paraId="3BA38856" w14:textId="41E9C612">
            <w:pPr>
              <w:tabs>
                <w:tab w:val="left" w:pos="360"/>
                <w:tab w:val="left" w:pos="720"/>
                <w:tab w:val="left" w:pos="1440"/>
                <w:tab w:val="left" w:pos="2160"/>
                <w:tab w:val="left" w:pos="3600"/>
                <w:tab w:val="left" w:pos="5040"/>
                <w:tab w:val="left" w:pos="5760"/>
              </w:tabs>
              <w:spacing w:after="0" w:line="240" w:lineRule="auto"/>
              <w:jc w:val="center"/>
              <w:rPr>
                <w:rFonts w:ascii="Calibri" w:hAnsi="Calibri" w:eastAsia="Calibri" w:cs="Arial"/>
                <w:sz w:val="18"/>
                <w:szCs w:val="18"/>
              </w:rPr>
            </w:pPr>
            <w:r>
              <w:rPr>
                <w:sz w:val="18"/>
                <w:szCs w:val="18"/>
              </w:rPr>
              <w:t>4</w:t>
            </w:r>
            <w:r w:rsidR="00B8328C">
              <w:rPr>
                <w:sz w:val="18"/>
                <w:szCs w:val="18"/>
              </w:rPr>
              <w:t>,</w:t>
            </w:r>
            <w:r>
              <w:rPr>
                <w:sz w:val="18"/>
                <w:szCs w:val="18"/>
              </w:rPr>
              <w:t>860</w:t>
            </w:r>
          </w:p>
        </w:tc>
        <w:tc>
          <w:tcPr>
            <w:tcW w:w="1031" w:type="pct"/>
            <w:shd w:val="clear" w:color="auto" w:fill="auto"/>
          </w:tcPr>
          <w:p w:rsidRPr="00692556" w:rsidR="00244D87" w:rsidP="00244D87" w:rsidRDefault="00361AC4" w14:paraId="0BB22B27" w14:textId="21A184B3">
            <w:pPr>
              <w:tabs>
                <w:tab w:val="left" w:pos="360"/>
                <w:tab w:val="left" w:pos="720"/>
                <w:tab w:val="left" w:pos="1440"/>
                <w:tab w:val="left" w:pos="2160"/>
                <w:tab w:val="left" w:pos="3600"/>
                <w:tab w:val="left" w:pos="5040"/>
                <w:tab w:val="left" w:pos="5760"/>
              </w:tabs>
              <w:spacing w:after="0" w:line="240" w:lineRule="auto"/>
              <w:jc w:val="center"/>
              <w:rPr>
                <w:rFonts w:ascii="Calibri" w:hAnsi="Calibri" w:eastAsia="Calibri" w:cs="Arial"/>
                <w:sz w:val="18"/>
                <w:szCs w:val="18"/>
              </w:rPr>
            </w:pPr>
            <w:r>
              <w:rPr>
                <w:sz w:val="18"/>
                <w:szCs w:val="18"/>
              </w:rPr>
              <w:t>2</w:t>
            </w:r>
          </w:p>
        </w:tc>
        <w:tc>
          <w:tcPr>
            <w:tcW w:w="931" w:type="pct"/>
            <w:shd w:val="clear" w:color="auto" w:fill="auto"/>
            <w:tcMar>
              <w:top w:w="60" w:type="dxa"/>
              <w:left w:w="60" w:type="dxa"/>
              <w:bottom w:w="60" w:type="dxa"/>
              <w:right w:w="60" w:type="dxa"/>
            </w:tcMar>
          </w:tcPr>
          <w:p w:rsidRPr="00692556" w:rsidR="00244D87" w:rsidP="00244D87" w:rsidRDefault="003A725A" w14:paraId="4D2E3DD3" w14:textId="656F2271">
            <w:pPr>
              <w:tabs>
                <w:tab w:val="left" w:pos="360"/>
                <w:tab w:val="left" w:pos="720"/>
                <w:tab w:val="left" w:pos="1440"/>
                <w:tab w:val="left" w:pos="2160"/>
                <w:tab w:val="left" w:pos="3600"/>
                <w:tab w:val="left" w:pos="5040"/>
                <w:tab w:val="left" w:pos="5760"/>
              </w:tabs>
              <w:spacing w:after="0" w:line="240" w:lineRule="auto"/>
              <w:jc w:val="center"/>
              <w:rPr>
                <w:rFonts w:ascii="Calibri" w:hAnsi="Calibri" w:eastAsia="Calibri" w:cs="Arial"/>
                <w:sz w:val="18"/>
                <w:szCs w:val="18"/>
              </w:rPr>
            </w:pPr>
            <w:r>
              <w:rPr>
                <w:sz w:val="18"/>
                <w:szCs w:val="18"/>
              </w:rPr>
              <w:t>162</w:t>
            </w:r>
          </w:p>
        </w:tc>
      </w:tr>
      <w:tr w:rsidRPr="00521751" w:rsidR="00244D87" w:rsidTr="00521751" w14:paraId="56314B6E" w14:textId="77777777">
        <w:trPr>
          <w:trHeight w:val="222"/>
        </w:trPr>
        <w:tc>
          <w:tcPr>
            <w:tcW w:w="2205" w:type="pct"/>
            <w:shd w:val="clear" w:color="auto" w:fill="FFFFFF"/>
            <w:tcMar>
              <w:top w:w="60" w:type="dxa"/>
              <w:left w:w="60" w:type="dxa"/>
              <w:bottom w:w="60" w:type="dxa"/>
              <w:right w:w="60" w:type="dxa"/>
            </w:tcMar>
          </w:tcPr>
          <w:p w:rsidRPr="00692556" w:rsidR="00244D87" w:rsidP="00244D87" w:rsidRDefault="00244D87" w14:paraId="18CED5A4" w14:textId="09656008">
            <w:pPr>
              <w:tabs>
                <w:tab w:val="left" w:pos="360"/>
                <w:tab w:val="left" w:pos="720"/>
                <w:tab w:val="left" w:pos="1440"/>
                <w:tab w:val="left" w:pos="2160"/>
                <w:tab w:val="left" w:pos="3600"/>
                <w:tab w:val="left" w:pos="5040"/>
                <w:tab w:val="left" w:pos="5760"/>
              </w:tabs>
              <w:spacing w:after="0" w:line="240" w:lineRule="auto"/>
              <w:ind w:firstLine="30"/>
              <w:rPr>
                <w:rFonts w:ascii="Calibri" w:hAnsi="Calibri" w:eastAsia="Calibri" w:cs="Times New Roman"/>
                <w:sz w:val="18"/>
                <w:szCs w:val="18"/>
              </w:rPr>
            </w:pPr>
            <w:bookmarkStart w:name="_Hlk90547162" w:id="9"/>
            <w:r w:rsidRPr="00692556">
              <w:rPr>
                <w:rFonts w:ascii="Calibri" w:hAnsi="Calibri" w:eastAsia="Calibri" w:cs="Arial"/>
                <w:sz w:val="18"/>
                <w:szCs w:val="18"/>
              </w:rPr>
              <w:t>Mail-back Survey</w:t>
            </w:r>
            <w:bookmarkEnd w:id="9"/>
          </w:p>
        </w:tc>
        <w:tc>
          <w:tcPr>
            <w:tcW w:w="833" w:type="pct"/>
            <w:shd w:val="clear" w:color="auto" w:fill="auto"/>
            <w:tcMar>
              <w:top w:w="60" w:type="dxa"/>
              <w:left w:w="60" w:type="dxa"/>
              <w:bottom w:w="60" w:type="dxa"/>
              <w:right w:w="60" w:type="dxa"/>
            </w:tcMar>
          </w:tcPr>
          <w:p w:rsidRPr="00692556" w:rsidR="00244D87" w:rsidP="00244D87" w:rsidRDefault="00361AC4" w14:paraId="51E6BC95" w14:textId="213A76B2">
            <w:pPr>
              <w:tabs>
                <w:tab w:val="left" w:pos="360"/>
                <w:tab w:val="left" w:pos="720"/>
                <w:tab w:val="left" w:pos="1440"/>
                <w:tab w:val="left" w:pos="2160"/>
                <w:tab w:val="left" w:pos="3600"/>
                <w:tab w:val="left" w:pos="5040"/>
                <w:tab w:val="left" w:pos="5760"/>
              </w:tabs>
              <w:spacing w:after="0" w:line="240" w:lineRule="auto"/>
              <w:jc w:val="center"/>
              <w:rPr>
                <w:rFonts w:cs="Arial"/>
                <w:sz w:val="18"/>
                <w:szCs w:val="18"/>
                <w:lang w:bidi="en-US"/>
              </w:rPr>
            </w:pPr>
            <w:r>
              <w:rPr>
                <w:sz w:val="18"/>
                <w:szCs w:val="18"/>
              </w:rPr>
              <w:t>9,180</w:t>
            </w:r>
          </w:p>
        </w:tc>
        <w:tc>
          <w:tcPr>
            <w:tcW w:w="1031" w:type="pct"/>
            <w:shd w:val="clear" w:color="auto" w:fill="auto"/>
          </w:tcPr>
          <w:p w:rsidRPr="00692556" w:rsidR="00244D87" w:rsidP="00244D87" w:rsidRDefault="00361AC4" w14:paraId="1BDD8F53" w14:textId="394471BE">
            <w:pPr>
              <w:tabs>
                <w:tab w:val="left" w:pos="360"/>
                <w:tab w:val="left" w:pos="720"/>
                <w:tab w:val="left" w:pos="1440"/>
                <w:tab w:val="left" w:pos="2160"/>
                <w:tab w:val="left" w:pos="3600"/>
                <w:tab w:val="left" w:pos="5040"/>
                <w:tab w:val="left" w:pos="5760"/>
              </w:tabs>
              <w:spacing w:after="0" w:line="240" w:lineRule="auto"/>
              <w:jc w:val="center"/>
              <w:rPr>
                <w:rFonts w:ascii="Calibri" w:hAnsi="Calibri" w:eastAsia="Calibri" w:cs="Arial"/>
                <w:sz w:val="18"/>
                <w:szCs w:val="18"/>
              </w:rPr>
            </w:pPr>
            <w:r>
              <w:rPr>
                <w:sz w:val="18"/>
                <w:szCs w:val="18"/>
              </w:rPr>
              <w:t>20</w:t>
            </w:r>
          </w:p>
        </w:tc>
        <w:tc>
          <w:tcPr>
            <w:tcW w:w="931" w:type="pct"/>
            <w:shd w:val="clear" w:color="auto" w:fill="auto"/>
            <w:tcMar>
              <w:top w:w="60" w:type="dxa"/>
              <w:left w:w="60" w:type="dxa"/>
              <w:bottom w:w="60" w:type="dxa"/>
              <w:right w:w="60" w:type="dxa"/>
            </w:tcMar>
          </w:tcPr>
          <w:p w:rsidRPr="00692556" w:rsidR="00244D87" w:rsidP="00244D87" w:rsidRDefault="00244D87" w14:paraId="1DD02BE9" w14:textId="3EC17E59">
            <w:pPr>
              <w:tabs>
                <w:tab w:val="left" w:pos="360"/>
                <w:tab w:val="left" w:pos="720"/>
                <w:tab w:val="left" w:pos="1440"/>
                <w:tab w:val="left" w:pos="2160"/>
                <w:tab w:val="left" w:pos="3600"/>
                <w:tab w:val="left" w:pos="5040"/>
                <w:tab w:val="left" w:pos="5760"/>
              </w:tabs>
              <w:spacing w:after="0" w:line="240" w:lineRule="auto"/>
              <w:jc w:val="center"/>
              <w:rPr>
                <w:rFonts w:ascii="Calibri" w:hAnsi="Calibri" w:eastAsia="Calibri" w:cs="Arial"/>
                <w:sz w:val="18"/>
                <w:szCs w:val="18"/>
              </w:rPr>
            </w:pPr>
            <w:r w:rsidRPr="00692556">
              <w:rPr>
                <w:sz w:val="18"/>
                <w:szCs w:val="18"/>
              </w:rPr>
              <w:t>3,</w:t>
            </w:r>
            <w:r w:rsidR="00361AC4">
              <w:rPr>
                <w:sz w:val="18"/>
                <w:szCs w:val="18"/>
              </w:rPr>
              <w:t>060</w:t>
            </w:r>
          </w:p>
        </w:tc>
      </w:tr>
      <w:tr w:rsidRPr="00521751" w:rsidR="00244D87" w:rsidTr="00521751" w14:paraId="0A85F3FE" w14:textId="77777777">
        <w:trPr>
          <w:trHeight w:val="222"/>
        </w:trPr>
        <w:tc>
          <w:tcPr>
            <w:tcW w:w="2205" w:type="pct"/>
            <w:tcBorders>
              <w:top w:val="nil"/>
              <w:left w:val="nil"/>
              <w:bottom w:val="single" w:color="auto" w:sz="8" w:space="0"/>
              <w:right w:val="nil"/>
            </w:tcBorders>
            <w:shd w:val="clear" w:color="auto" w:fill="FFFFFF"/>
            <w:tcMar>
              <w:top w:w="60" w:type="dxa"/>
              <w:left w:w="60" w:type="dxa"/>
              <w:bottom w:w="60" w:type="dxa"/>
              <w:right w:w="60" w:type="dxa"/>
            </w:tcMar>
            <w:hideMark/>
          </w:tcPr>
          <w:p w:rsidRPr="00692556" w:rsidR="00244D87" w:rsidP="00244D87" w:rsidRDefault="00244D87" w14:paraId="2D26A1DC" w14:textId="77777777">
            <w:pPr>
              <w:tabs>
                <w:tab w:val="left" w:pos="360"/>
                <w:tab w:val="left" w:pos="720"/>
                <w:tab w:val="left" w:pos="1440"/>
                <w:tab w:val="left" w:pos="2160"/>
                <w:tab w:val="left" w:pos="3600"/>
                <w:tab w:val="left" w:pos="5040"/>
                <w:tab w:val="left" w:pos="5760"/>
              </w:tabs>
              <w:spacing w:after="0" w:line="240" w:lineRule="auto"/>
              <w:ind w:firstLine="630"/>
              <w:rPr>
                <w:rFonts w:ascii="Calibri" w:hAnsi="Calibri" w:eastAsia="Calibri" w:cs="Arial"/>
                <w:b/>
                <w:sz w:val="18"/>
                <w:szCs w:val="18"/>
              </w:rPr>
            </w:pPr>
            <w:r w:rsidRPr="00692556">
              <w:rPr>
                <w:rFonts w:ascii="Calibri" w:hAnsi="Calibri" w:eastAsia="Calibri" w:cs="Arial"/>
                <w:b/>
                <w:sz w:val="18"/>
                <w:szCs w:val="18"/>
              </w:rPr>
              <w:t>Total burden requested under this ICR:</w:t>
            </w:r>
          </w:p>
        </w:tc>
        <w:tc>
          <w:tcPr>
            <w:tcW w:w="833" w:type="pct"/>
            <w:tcBorders>
              <w:top w:val="nil"/>
              <w:left w:val="nil"/>
              <w:bottom w:val="single" w:color="auto" w:sz="8" w:space="0"/>
              <w:right w:val="nil"/>
            </w:tcBorders>
            <w:shd w:val="clear" w:color="auto" w:fill="auto"/>
            <w:tcMar>
              <w:top w:w="60" w:type="dxa"/>
              <w:left w:w="60" w:type="dxa"/>
              <w:bottom w:w="60" w:type="dxa"/>
              <w:right w:w="60" w:type="dxa"/>
            </w:tcMar>
            <w:hideMark/>
          </w:tcPr>
          <w:p w:rsidRPr="00692556" w:rsidR="00244D87" w:rsidP="00244D87" w:rsidRDefault="00361AC4" w14:paraId="3E1C2DB8" w14:textId="246BFB6B">
            <w:pPr>
              <w:tabs>
                <w:tab w:val="left" w:pos="360"/>
                <w:tab w:val="left" w:pos="720"/>
                <w:tab w:val="left" w:pos="1440"/>
                <w:tab w:val="left" w:pos="2160"/>
                <w:tab w:val="left" w:pos="3600"/>
                <w:tab w:val="left" w:pos="5040"/>
                <w:tab w:val="left" w:pos="5760"/>
              </w:tabs>
              <w:spacing w:after="0" w:line="240" w:lineRule="auto"/>
              <w:jc w:val="center"/>
              <w:rPr>
                <w:rFonts w:ascii="Calibri" w:hAnsi="Calibri" w:eastAsia="Calibri" w:cs="Arial"/>
                <w:b/>
                <w:sz w:val="18"/>
                <w:szCs w:val="18"/>
              </w:rPr>
            </w:pPr>
            <w:r>
              <w:rPr>
                <w:b/>
                <w:sz w:val="18"/>
                <w:szCs w:val="18"/>
              </w:rPr>
              <w:fldChar w:fldCharType="begin"/>
            </w:r>
            <w:r>
              <w:rPr>
                <w:b/>
                <w:sz w:val="18"/>
                <w:szCs w:val="18"/>
              </w:rPr>
              <w:instrText xml:space="preserve"> =SUM(ABOVE) </w:instrText>
            </w:r>
            <w:r>
              <w:rPr>
                <w:b/>
                <w:sz w:val="18"/>
                <w:szCs w:val="18"/>
              </w:rPr>
              <w:fldChar w:fldCharType="separate"/>
            </w:r>
            <w:r>
              <w:rPr>
                <w:b/>
                <w:noProof/>
                <w:sz w:val="18"/>
                <w:szCs w:val="18"/>
              </w:rPr>
              <w:t>44,640</w:t>
            </w:r>
            <w:r>
              <w:rPr>
                <w:b/>
                <w:sz w:val="18"/>
                <w:szCs w:val="18"/>
              </w:rPr>
              <w:fldChar w:fldCharType="end"/>
            </w:r>
          </w:p>
        </w:tc>
        <w:tc>
          <w:tcPr>
            <w:tcW w:w="1031" w:type="pct"/>
            <w:tcBorders>
              <w:top w:val="nil"/>
              <w:left w:val="nil"/>
              <w:bottom w:val="single" w:color="auto" w:sz="8" w:space="0"/>
              <w:right w:val="nil"/>
            </w:tcBorders>
            <w:shd w:val="clear" w:color="auto" w:fill="auto"/>
          </w:tcPr>
          <w:p w:rsidRPr="00692556" w:rsidR="00244D87" w:rsidP="00244D87" w:rsidRDefault="00244D87" w14:paraId="5A12B98B" w14:textId="77777777">
            <w:pPr>
              <w:tabs>
                <w:tab w:val="left" w:pos="360"/>
                <w:tab w:val="left" w:pos="720"/>
                <w:tab w:val="left" w:pos="1440"/>
                <w:tab w:val="left" w:pos="2160"/>
                <w:tab w:val="left" w:pos="3600"/>
                <w:tab w:val="left" w:pos="5040"/>
                <w:tab w:val="left" w:pos="5760"/>
              </w:tabs>
              <w:spacing w:after="0" w:line="240" w:lineRule="auto"/>
              <w:jc w:val="center"/>
              <w:rPr>
                <w:rFonts w:ascii="Calibri" w:hAnsi="Calibri" w:eastAsia="Calibri" w:cs="Arial"/>
                <w:b/>
                <w:sz w:val="18"/>
                <w:szCs w:val="18"/>
              </w:rPr>
            </w:pPr>
          </w:p>
        </w:tc>
        <w:tc>
          <w:tcPr>
            <w:tcW w:w="931" w:type="pct"/>
            <w:tcBorders>
              <w:top w:val="nil"/>
              <w:left w:val="nil"/>
              <w:bottom w:val="single" w:color="auto" w:sz="4" w:space="0"/>
              <w:right w:val="nil"/>
            </w:tcBorders>
            <w:shd w:val="clear" w:color="auto" w:fill="auto"/>
            <w:tcMar>
              <w:top w:w="60" w:type="dxa"/>
              <w:left w:w="60" w:type="dxa"/>
              <w:bottom w:w="60" w:type="dxa"/>
              <w:right w:w="60" w:type="dxa"/>
            </w:tcMar>
            <w:hideMark/>
          </w:tcPr>
          <w:p w:rsidRPr="00692556" w:rsidR="00244D87" w:rsidP="00244D87" w:rsidRDefault="00E04586" w14:paraId="1B64F133" w14:textId="6C971FA1">
            <w:pPr>
              <w:tabs>
                <w:tab w:val="left" w:pos="360"/>
                <w:tab w:val="left" w:pos="720"/>
                <w:tab w:val="left" w:pos="1440"/>
                <w:tab w:val="left" w:pos="2160"/>
                <w:tab w:val="left" w:pos="3600"/>
                <w:tab w:val="left" w:pos="5040"/>
                <w:tab w:val="left" w:pos="5760"/>
              </w:tabs>
              <w:spacing w:after="0" w:line="240" w:lineRule="auto"/>
              <w:jc w:val="center"/>
              <w:rPr>
                <w:rFonts w:ascii="Calibri" w:hAnsi="Calibri" w:eastAsia="Calibri" w:cs="Arial"/>
                <w:b/>
                <w:sz w:val="18"/>
                <w:szCs w:val="18"/>
              </w:rPr>
            </w:pPr>
            <w:r>
              <w:rPr>
                <w:rFonts w:ascii="Calibri" w:hAnsi="Calibri" w:eastAsia="Calibri" w:cs="Arial"/>
                <w:b/>
                <w:sz w:val="18"/>
                <w:szCs w:val="18"/>
              </w:rPr>
              <w:fldChar w:fldCharType="begin"/>
            </w:r>
            <w:r>
              <w:rPr>
                <w:rFonts w:ascii="Calibri" w:hAnsi="Calibri" w:eastAsia="Calibri" w:cs="Arial"/>
                <w:b/>
                <w:sz w:val="18"/>
                <w:szCs w:val="18"/>
              </w:rPr>
              <w:instrText xml:space="preserve"> =SUM(ABOVE) </w:instrText>
            </w:r>
            <w:r>
              <w:rPr>
                <w:rFonts w:ascii="Calibri" w:hAnsi="Calibri" w:eastAsia="Calibri" w:cs="Arial"/>
                <w:b/>
                <w:sz w:val="18"/>
                <w:szCs w:val="18"/>
              </w:rPr>
              <w:fldChar w:fldCharType="separate"/>
            </w:r>
            <w:r>
              <w:rPr>
                <w:rFonts w:ascii="Calibri" w:hAnsi="Calibri" w:eastAsia="Calibri" w:cs="Arial"/>
                <w:b/>
                <w:noProof/>
                <w:sz w:val="18"/>
                <w:szCs w:val="18"/>
              </w:rPr>
              <w:t>5,772</w:t>
            </w:r>
            <w:r>
              <w:rPr>
                <w:rFonts w:ascii="Calibri" w:hAnsi="Calibri" w:eastAsia="Calibri" w:cs="Arial"/>
                <w:b/>
                <w:sz w:val="18"/>
                <w:szCs w:val="18"/>
              </w:rPr>
              <w:fldChar w:fldCharType="end"/>
            </w:r>
          </w:p>
        </w:tc>
      </w:tr>
    </w:tbl>
    <w:p w:rsidR="00521751" w:rsidP="00E21031" w:rsidRDefault="00521751" w14:paraId="45ED2D5F" w14:textId="39FD96E2">
      <w:pPr>
        <w:tabs>
          <w:tab w:val="left" w:pos="360"/>
          <w:tab w:val="left" w:pos="720"/>
          <w:tab w:val="left" w:pos="1440"/>
          <w:tab w:val="left" w:pos="2160"/>
          <w:tab w:val="left" w:pos="3600"/>
          <w:tab w:val="left" w:pos="5040"/>
          <w:tab w:val="left" w:pos="5760"/>
        </w:tabs>
        <w:spacing w:after="220"/>
        <w:ind w:left="360"/>
        <w:rPr>
          <w:rFonts w:ascii="Calibri" w:hAnsi="Calibri" w:eastAsia="Calibri" w:cs="Arial"/>
          <w:i/>
        </w:rPr>
      </w:pPr>
      <w:r w:rsidRPr="00521751">
        <w:rPr>
          <w:rFonts w:ascii="Calibri" w:hAnsi="Calibri" w:eastAsia="Calibri" w:cs="Arial"/>
          <w:b/>
        </w:rPr>
        <w:t>*</w:t>
      </w:r>
      <w:r w:rsidRPr="00521751">
        <w:rPr>
          <w:rFonts w:ascii="Calibri" w:hAnsi="Calibri" w:eastAsia="Calibri" w:cs="Arial"/>
          <w:i/>
        </w:rPr>
        <w:t xml:space="preserve"> Initial contact time is added to the time to complete the surveys</w:t>
      </w:r>
    </w:p>
    <w:p w:rsidRPr="00AE0D1F" w:rsidR="0019450C" w:rsidP="00795BB2" w:rsidRDefault="00AF7270" w14:paraId="316AFEFC" w14:textId="2818BF23">
      <w:pPr>
        <w:pBdr>
          <w:top w:val="single" w:color="5F497A" w:themeColor="accent4" w:themeShade="BF" w:sz="12" w:space="1"/>
        </w:pBdr>
        <w:tabs>
          <w:tab w:val="left" w:pos="360"/>
          <w:tab w:val="left" w:pos="720"/>
          <w:tab w:val="left" w:pos="1440"/>
          <w:tab w:val="left" w:pos="2160"/>
          <w:tab w:val="left" w:pos="3600"/>
          <w:tab w:val="left" w:pos="5040"/>
          <w:tab w:val="left" w:pos="5760"/>
        </w:tabs>
        <w:spacing w:after="0"/>
        <w:rPr>
          <w:rFonts w:cs="Arial"/>
        </w:rPr>
      </w:pPr>
      <w:r w:rsidRPr="00AE0D1F">
        <w:rPr>
          <w:rFonts w:cs="Arial"/>
          <w:b/>
        </w:rPr>
        <w:lastRenderedPageBreak/>
        <w:t>REPORTING PLAN:</w:t>
      </w:r>
    </w:p>
    <w:p w:rsidRPr="00AE0D1F" w:rsidR="00D1401B" w:rsidP="00795BB2" w:rsidRDefault="002800BF" w14:paraId="01AB6986" w14:textId="6503FE86">
      <w:pPr>
        <w:autoSpaceDE w:val="0"/>
        <w:autoSpaceDN w:val="0"/>
        <w:spacing w:after="220"/>
        <w:rPr>
          <w:rFonts w:cs="Arial"/>
          <w:b/>
        </w:rPr>
      </w:pPr>
      <w:r w:rsidRPr="00AE0D1F">
        <w:rPr>
          <w:rFonts w:ascii="Calibri" w:hAnsi="Calibri" w:eastAsia="Times New Roman" w:cs="Calibri"/>
        </w:rPr>
        <w:t>NPS personnel will be continuously updated throughout the process as the need arises. A final technical report will be delivered to NPS managers in the Natural Resource Data Series format, or other desired format, that will be developed collaboratively to address the study purpose and identify key findings for management and planning needs. A presentation and participation in workshops will also be provided at the request of NPS colleagues.</w:t>
      </w:r>
      <w:r w:rsidRPr="00AE0D1F" w:rsidR="00EA5724">
        <w:rPr>
          <w:rFonts w:ascii="Calibri" w:hAnsi="Calibri" w:eastAsia="Times New Roman" w:cs="Calibri"/>
        </w:rPr>
        <w:t xml:space="preserve"> </w:t>
      </w:r>
    </w:p>
    <w:p w:rsidR="00FA5DEF" w:rsidP="00795BB2" w:rsidRDefault="00FA5DEF" w14:paraId="527D5E87" w14:textId="4741039A">
      <w:pPr>
        <w:tabs>
          <w:tab w:val="left" w:pos="360"/>
          <w:tab w:val="left" w:pos="720"/>
          <w:tab w:val="left" w:pos="1440"/>
          <w:tab w:val="left" w:pos="2160"/>
          <w:tab w:val="left" w:pos="3600"/>
          <w:tab w:val="left" w:pos="5040"/>
          <w:tab w:val="left" w:pos="5760"/>
        </w:tabs>
        <w:spacing w:after="0" w:line="240" w:lineRule="auto"/>
        <w:jc w:val="center"/>
        <w:rPr>
          <w:rFonts w:cs="Arial"/>
          <w:b/>
        </w:rPr>
      </w:pPr>
    </w:p>
    <w:p w:rsidR="00D37FCA" w:rsidP="00795BB2" w:rsidRDefault="00D37FCA" w14:paraId="2434132C" w14:textId="7CD04BDB">
      <w:pPr>
        <w:tabs>
          <w:tab w:val="left" w:pos="360"/>
          <w:tab w:val="left" w:pos="720"/>
          <w:tab w:val="left" w:pos="1440"/>
          <w:tab w:val="left" w:pos="2160"/>
          <w:tab w:val="left" w:pos="3600"/>
          <w:tab w:val="left" w:pos="5040"/>
          <w:tab w:val="left" w:pos="5760"/>
        </w:tabs>
        <w:spacing w:after="0" w:line="240" w:lineRule="auto"/>
        <w:jc w:val="center"/>
        <w:rPr>
          <w:rFonts w:cs="Arial"/>
          <w:b/>
        </w:rPr>
      </w:pPr>
    </w:p>
    <w:p w:rsidR="00D37FCA" w:rsidP="00795BB2" w:rsidRDefault="00D37FCA" w14:paraId="5DFB1EB2" w14:textId="05D58289">
      <w:pPr>
        <w:tabs>
          <w:tab w:val="left" w:pos="360"/>
          <w:tab w:val="left" w:pos="720"/>
          <w:tab w:val="left" w:pos="1440"/>
          <w:tab w:val="left" w:pos="2160"/>
          <w:tab w:val="left" w:pos="3600"/>
          <w:tab w:val="left" w:pos="5040"/>
          <w:tab w:val="left" w:pos="5760"/>
        </w:tabs>
        <w:spacing w:after="0" w:line="240" w:lineRule="auto"/>
        <w:jc w:val="center"/>
        <w:rPr>
          <w:rFonts w:cs="Arial"/>
          <w:b/>
        </w:rPr>
      </w:pPr>
    </w:p>
    <w:p w:rsidR="00D37FCA" w:rsidP="00795BB2" w:rsidRDefault="00D37FCA" w14:paraId="6AFD7C83" w14:textId="199E9704">
      <w:pPr>
        <w:tabs>
          <w:tab w:val="left" w:pos="360"/>
          <w:tab w:val="left" w:pos="720"/>
          <w:tab w:val="left" w:pos="1440"/>
          <w:tab w:val="left" w:pos="2160"/>
          <w:tab w:val="left" w:pos="3600"/>
          <w:tab w:val="left" w:pos="5040"/>
          <w:tab w:val="left" w:pos="5760"/>
        </w:tabs>
        <w:spacing w:after="0" w:line="240" w:lineRule="auto"/>
        <w:jc w:val="center"/>
        <w:rPr>
          <w:rFonts w:cs="Arial"/>
          <w:b/>
        </w:rPr>
      </w:pPr>
    </w:p>
    <w:p w:rsidRPr="00AE0D1F" w:rsidR="00D37FCA" w:rsidP="00795BB2" w:rsidRDefault="00D37FCA" w14:paraId="74143DCE" w14:textId="77777777">
      <w:pPr>
        <w:tabs>
          <w:tab w:val="left" w:pos="360"/>
          <w:tab w:val="left" w:pos="720"/>
          <w:tab w:val="left" w:pos="1440"/>
          <w:tab w:val="left" w:pos="2160"/>
          <w:tab w:val="left" w:pos="3600"/>
          <w:tab w:val="left" w:pos="5040"/>
          <w:tab w:val="left" w:pos="5760"/>
        </w:tabs>
        <w:spacing w:after="0" w:line="240" w:lineRule="auto"/>
        <w:jc w:val="center"/>
        <w:rPr>
          <w:rFonts w:cs="Arial"/>
          <w:b/>
        </w:rPr>
      </w:pPr>
    </w:p>
    <w:p w:rsidR="00D37FCA" w:rsidP="00D37FCA" w:rsidRDefault="00D37FCA" w14:paraId="319C2588" w14:textId="77777777">
      <w:pPr>
        <w:pBdr>
          <w:top w:val="single" w:color="auto" w:sz="4" w:space="1"/>
        </w:pBdr>
        <w:jc w:val="center"/>
        <w:rPr>
          <w:rFonts w:cstheme="minorHAnsi"/>
          <w:b/>
          <w:bCs/>
          <w:sz w:val="28"/>
          <w:szCs w:val="28"/>
        </w:rPr>
      </w:pPr>
    </w:p>
    <w:p w:rsidRPr="00D37FCA" w:rsidR="00DD4CE9" w:rsidP="00D37FCA" w:rsidRDefault="00DD4CE9" w14:paraId="0754EF03" w14:textId="2DFF2E33">
      <w:pPr>
        <w:pBdr>
          <w:top w:val="single" w:color="auto" w:sz="4" w:space="1"/>
        </w:pBdr>
        <w:jc w:val="center"/>
        <w:rPr>
          <w:rFonts w:cstheme="minorHAnsi"/>
          <w:b/>
          <w:bCs/>
          <w:sz w:val="28"/>
          <w:szCs w:val="28"/>
        </w:rPr>
      </w:pPr>
      <w:r w:rsidRPr="00D37FCA">
        <w:rPr>
          <w:rFonts w:cstheme="minorHAnsi"/>
          <w:b/>
          <w:bCs/>
          <w:sz w:val="28"/>
          <w:szCs w:val="28"/>
        </w:rPr>
        <w:t>NOTICES</w:t>
      </w:r>
    </w:p>
    <w:p w:rsidRPr="00D37FCA" w:rsidR="00DD4CE9" w:rsidP="00AE0D1F" w:rsidRDefault="00DD4CE9" w14:paraId="28D2AB4F" w14:textId="77777777">
      <w:pPr>
        <w:pStyle w:val="NoSpacing"/>
        <w:jc w:val="center"/>
        <w:rPr>
          <w:rFonts w:asciiTheme="minorHAnsi" w:hAnsiTheme="minorHAnsi" w:cstheme="minorHAnsi"/>
          <w:b/>
          <w:bCs/>
          <w:sz w:val="22"/>
          <w:szCs w:val="22"/>
        </w:rPr>
      </w:pPr>
      <w:r w:rsidRPr="00D37FCA">
        <w:rPr>
          <w:rFonts w:asciiTheme="minorHAnsi" w:hAnsiTheme="minorHAnsi" w:cstheme="minorHAnsi"/>
          <w:b/>
          <w:bCs/>
          <w:sz w:val="22"/>
          <w:szCs w:val="22"/>
        </w:rPr>
        <w:t>Privacy Act Statement</w:t>
      </w:r>
    </w:p>
    <w:p w:rsidRPr="00795BB2" w:rsidR="005F0CAA" w:rsidP="00DD4CE9" w:rsidRDefault="005F0CAA" w14:paraId="3502B324" w14:textId="77777777">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p>
    <w:p w:rsidRPr="00795BB2" w:rsidR="005F0CAA" w:rsidP="005F0CAA" w:rsidRDefault="005F0CAA" w14:paraId="439F43D2" w14:textId="77777777">
      <w:pPr>
        <w:pStyle w:val="Footer"/>
        <w:jc w:val="both"/>
        <w:rPr>
          <w:rFonts w:cs="Arial"/>
          <w:sz w:val="20"/>
          <w:szCs w:val="20"/>
        </w:rPr>
      </w:pPr>
      <w:r w:rsidRPr="00795BB2">
        <w:rPr>
          <w:rFonts w:cs="Arial"/>
          <w:b/>
          <w:sz w:val="20"/>
          <w:szCs w:val="20"/>
        </w:rPr>
        <w:t>General:</w:t>
      </w:r>
      <w:r w:rsidRPr="00795BB2">
        <w:rPr>
          <w:rFonts w:cs="Arial"/>
          <w:sz w:val="20"/>
          <w:szCs w:val="20"/>
        </w:rPr>
        <w:t xml:space="preserve">  This information is provided pursuant to Public Law 93-579 (Privacy Act of 1974), December 21, 1984, for individuals completing this form.</w:t>
      </w:r>
    </w:p>
    <w:p w:rsidRPr="00795BB2" w:rsidR="005F0CAA" w:rsidP="005F0CAA" w:rsidRDefault="005F0CAA" w14:paraId="4FF99DAA" w14:textId="77777777">
      <w:pPr>
        <w:pStyle w:val="Footer"/>
        <w:jc w:val="both"/>
        <w:rPr>
          <w:rFonts w:cs="Arial"/>
          <w:sz w:val="20"/>
          <w:szCs w:val="20"/>
        </w:rPr>
      </w:pPr>
    </w:p>
    <w:p w:rsidRPr="00795BB2" w:rsidR="005F0CAA" w:rsidP="005F0CAA" w:rsidRDefault="005F0CAA" w14:paraId="36225C73" w14:textId="77777777">
      <w:pPr>
        <w:pStyle w:val="Footer"/>
        <w:jc w:val="both"/>
        <w:rPr>
          <w:rFonts w:cs="Arial"/>
          <w:sz w:val="20"/>
          <w:szCs w:val="20"/>
        </w:rPr>
      </w:pPr>
      <w:r w:rsidRPr="00795BB2">
        <w:rPr>
          <w:rFonts w:cs="Arial"/>
          <w:b/>
          <w:sz w:val="20"/>
          <w:szCs w:val="20"/>
        </w:rPr>
        <w:t>Authority:</w:t>
      </w:r>
      <w:r w:rsidRPr="00795BB2">
        <w:rPr>
          <w:rFonts w:cs="Arial"/>
          <w:sz w:val="20"/>
          <w:szCs w:val="20"/>
        </w:rPr>
        <w:t xml:space="preserve">  </w:t>
      </w:r>
      <w:r w:rsidRPr="00795BB2" w:rsidR="00DF757A">
        <w:rPr>
          <w:rFonts w:cs="Arial"/>
          <w:sz w:val="20"/>
          <w:szCs w:val="20"/>
        </w:rPr>
        <w:t>National Park Service Research mandate (54 USC 100702)</w:t>
      </w:r>
    </w:p>
    <w:p w:rsidRPr="00795BB2" w:rsidR="005F0CAA" w:rsidP="005F0CAA" w:rsidRDefault="005F0CAA" w14:paraId="5F416B83" w14:textId="77777777">
      <w:pPr>
        <w:pStyle w:val="Footer"/>
        <w:jc w:val="both"/>
        <w:rPr>
          <w:rFonts w:cs="Arial"/>
          <w:sz w:val="20"/>
          <w:szCs w:val="20"/>
        </w:rPr>
      </w:pPr>
    </w:p>
    <w:p w:rsidRPr="00795BB2" w:rsidR="005F0CAA" w:rsidP="005F0CAA" w:rsidRDefault="005F0CAA" w14:paraId="6BC66238" w14:textId="77777777">
      <w:pPr>
        <w:pStyle w:val="Footer"/>
        <w:jc w:val="both"/>
        <w:rPr>
          <w:rFonts w:cs="Arial"/>
          <w:sz w:val="20"/>
          <w:szCs w:val="20"/>
        </w:rPr>
      </w:pPr>
      <w:r w:rsidRPr="00795BB2">
        <w:rPr>
          <w:rFonts w:cs="Arial"/>
          <w:b/>
          <w:sz w:val="20"/>
          <w:szCs w:val="20"/>
        </w:rPr>
        <w:t>Purpose and Uses:</w:t>
      </w:r>
      <w:r w:rsidRPr="00795BB2">
        <w:rPr>
          <w:rFonts w:cs="Arial"/>
          <w:sz w:val="20"/>
          <w:szCs w:val="20"/>
        </w:rPr>
        <w:t xml:space="preserve"> </w:t>
      </w:r>
      <w:r w:rsidRPr="00795BB2" w:rsidR="00DF757A">
        <w:rPr>
          <w:rFonts w:eastAsia="Times New Roman" w:cs="Times New Roman"/>
          <w:sz w:val="20"/>
          <w:szCs w:val="20"/>
        </w:rPr>
        <w:t xml:space="preserve">This information will be used by The NPS Information Collections Coordinator to </w:t>
      </w:r>
      <w:r w:rsidRPr="00795BB2" w:rsidR="00DF757A">
        <w:rPr>
          <w:rFonts w:cs="Helvetica"/>
          <w:sz w:val="20"/>
          <w:szCs w:val="20"/>
        </w:rPr>
        <w:t>ensure appropriate documentation of information collections conducted in areas managed by or that are sponsored by the National Park Service</w:t>
      </w:r>
      <w:r w:rsidRPr="00795BB2" w:rsidR="00DF757A">
        <w:rPr>
          <w:rFonts w:cs="Arial"/>
          <w:sz w:val="20"/>
          <w:szCs w:val="20"/>
        </w:rPr>
        <w:t xml:space="preserve">. </w:t>
      </w:r>
      <w:r w:rsidRPr="00795BB2">
        <w:rPr>
          <w:rFonts w:cs="Arial"/>
          <w:sz w:val="20"/>
          <w:szCs w:val="20"/>
        </w:rPr>
        <w:t xml:space="preserve"> </w:t>
      </w:r>
    </w:p>
    <w:p w:rsidRPr="00795BB2" w:rsidR="005F0CAA" w:rsidP="005F0CAA" w:rsidRDefault="005F0CAA" w14:paraId="34B2F22F" w14:textId="77777777">
      <w:pPr>
        <w:pStyle w:val="Footer"/>
        <w:jc w:val="both"/>
        <w:rPr>
          <w:rFonts w:cs="Arial"/>
          <w:sz w:val="20"/>
          <w:szCs w:val="20"/>
        </w:rPr>
      </w:pPr>
    </w:p>
    <w:p w:rsidRPr="00795BB2" w:rsidR="00DD4CE9" w:rsidP="005F0CAA" w:rsidRDefault="005F0CAA" w14:paraId="5001C805" w14:textId="77777777">
      <w:pPr>
        <w:pStyle w:val="Footer"/>
        <w:jc w:val="both"/>
        <w:rPr>
          <w:rFonts w:cs="Arial"/>
          <w:sz w:val="20"/>
          <w:szCs w:val="20"/>
        </w:rPr>
      </w:pPr>
      <w:r w:rsidRPr="00795BB2">
        <w:rPr>
          <w:rFonts w:cs="Arial"/>
          <w:b/>
          <w:sz w:val="20"/>
          <w:szCs w:val="20"/>
        </w:rPr>
        <w:t>Effects of Nondisclosure:</w:t>
      </w:r>
      <w:r w:rsidRPr="00795BB2">
        <w:rPr>
          <w:rFonts w:cs="Arial"/>
          <w:sz w:val="20"/>
          <w:szCs w:val="20"/>
        </w:rPr>
        <w:t xml:space="preserve">  </w:t>
      </w:r>
      <w:r w:rsidRPr="00795BB2" w:rsidR="00DF757A">
        <w:rPr>
          <w:rFonts w:cs="Arial"/>
          <w:sz w:val="20"/>
          <w:szCs w:val="20"/>
        </w:rPr>
        <w:t>Providing information is mandatory to submit Information Collection Requests to Programmatic Review Process.</w:t>
      </w:r>
    </w:p>
    <w:p w:rsidRPr="00795BB2" w:rsidR="00DD4CE9" w:rsidP="00DD4CE9" w:rsidRDefault="00DD4CE9" w14:paraId="6F634493" w14:textId="77777777">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rsidRPr="00D37FCA" w:rsidR="00DD4CE9" w:rsidP="00DD4CE9" w:rsidRDefault="00DD4CE9" w14:paraId="234E4398" w14:textId="77777777">
      <w:pPr>
        <w:tabs>
          <w:tab w:val="left" w:pos="360"/>
          <w:tab w:val="left" w:pos="720"/>
          <w:tab w:val="left" w:pos="1440"/>
          <w:tab w:val="left" w:pos="2160"/>
          <w:tab w:val="left" w:pos="3600"/>
          <w:tab w:val="left" w:pos="5040"/>
          <w:tab w:val="left" w:pos="5760"/>
        </w:tabs>
        <w:spacing w:after="0" w:line="240" w:lineRule="auto"/>
        <w:jc w:val="center"/>
        <w:rPr>
          <w:rFonts w:cs="Arial"/>
        </w:rPr>
      </w:pPr>
      <w:r w:rsidRPr="00D37FCA">
        <w:rPr>
          <w:rFonts w:cs="Arial"/>
          <w:b/>
        </w:rPr>
        <w:t>Paperwork Reduction Act Statement</w:t>
      </w:r>
    </w:p>
    <w:p w:rsidRPr="00795BB2" w:rsidR="00DD4CE9" w:rsidP="00DD4CE9" w:rsidRDefault="00DD4CE9" w14:paraId="0C83DBAA" w14:textId="77777777">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rsidRPr="00795BB2" w:rsidR="00DD4CE9" w:rsidP="00DD4CE9" w:rsidRDefault="00DD4CE9" w14:paraId="398EBA23" w14:textId="77777777">
      <w:pPr>
        <w:tabs>
          <w:tab w:val="left" w:pos="360"/>
          <w:tab w:val="left" w:pos="720"/>
          <w:tab w:val="left" w:pos="1440"/>
          <w:tab w:val="left" w:pos="2160"/>
          <w:tab w:val="left" w:pos="3600"/>
          <w:tab w:val="left" w:pos="5040"/>
          <w:tab w:val="left" w:pos="5760"/>
        </w:tabs>
        <w:spacing w:after="0" w:line="240" w:lineRule="auto"/>
        <w:rPr>
          <w:rFonts w:cs="Arial"/>
          <w:sz w:val="20"/>
          <w:szCs w:val="20"/>
        </w:rPr>
      </w:pPr>
      <w:r w:rsidRPr="00795BB2">
        <w:rPr>
          <w:rFonts w:cs="Arial"/>
          <w:sz w:val="20"/>
          <w:szCs w:val="20"/>
        </w:rPr>
        <w:t xml:space="preserve">We are collecting this information subject to the Paperwork Reduction Act (44 U.S.C. 3501) and </w:t>
      </w:r>
      <w:r w:rsidRPr="00795BB2" w:rsidR="00D60F86">
        <w:rPr>
          <w:rFonts w:cs="Arial"/>
          <w:sz w:val="20"/>
          <w:szCs w:val="20"/>
        </w:rPr>
        <w:t>is authorized by the National Park Service Research mandate (</w:t>
      </w:r>
      <w:r w:rsidRPr="00795BB2" w:rsidR="00D60F86">
        <w:rPr>
          <w:rFonts w:cs="Arial"/>
          <w:sz w:val="20"/>
          <w:szCs w:val="20"/>
          <w:shd w:val="clear" w:color="auto" w:fill="FFFFFF"/>
        </w:rPr>
        <w:t>54 USC 100702)</w:t>
      </w:r>
      <w:r w:rsidRPr="00795BB2" w:rsidR="00D60F86">
        <w:rPr>
          <w:rFonts w:cs="Arial"/>
          <w:sz w:val="20"/>
          <w:szCs w:val="20"/>
        </w:rPr>
        <w:t>.</w:t>
      </w:r>
      <w:r w:rsidRPr="00795BB2">
        <w:rPr>
          <w:rFonts w:cs="Arial"/>
          <w:sz w:val="20"/>
          <w:szCs w:val="20"/>
        </w:rPr>
        <w:t xml:space="preserve"> </w:t>
      </w:r>
      <w:r w:rsidRPr="00795BB2" w:rsidR="00212E14">
        <w:rPr>
          <w:rFonts w:eastAsia="Times New Roman" w:cs="Times New Roman"/>
          <w:sz w:val="20"/>
          <w:szCs w:val="20"/>
        </w:rPr>
        <w:t xml:space="preserve">This information will be used by The NPS Information Collections Coordinator to </w:t>
      </w:r>
      <w:r w:rsidRPr="00795BB2" w:rsidR="00D60F86">
        <w:rPr>
          <w:rFonts w:cs="Helvetica"/>
          <w:sz w:val="20"/>
          <w:szCs w:val="20"/>
        </w:rPr>
        <w:t xml:space="preserve">ensure appropriate documentation of information collections conducted in areas managed by </w:t>
      </w:r>
      <w:r w:rsidRPr="00795BB2" w:rsidR="00212E14">
        <w:rPr>
          <w:rFonts w:cs="Helvetica"/>
          <w:sz w:val="20"/>
          <w:szCs w:val="20"/>
        </w:rPr>
        <w:t xml:space="preserve">or that are sponsored by </w:t>
      </w:r>
      <w:r w:rsidRPr="00795BB2" w:rsidR="00D60F86">
        <w:rPr>
          <w:rFonts w:cs="Helvetica"/>
          <w:sz w:val="20"/>
          <w:szCs w:val="20"/>
        </w:rPr>
        <w:t>the National Park Service</w:t>
      </w:r>
      <w:r w:rsidRPr="00795BB2">
        <w:rPr>
          <w:rFonts w:cs="Arial"/>
          <w:sz w:val="20"/>
          <w:szCs w:val="20"/>
        </w:rPr>
        <w:t xml:space="preserve">.  All parts of the form must be completed in order for your request to be considered.  We may not conduct or </w:t>
      </w:r>
      <w:r w:rsidRPr="00795BB2" w:rsidR="00D60F86">
        <w:rPr>
          <w:rFonts w:cs="Arial"/>
          <w:sz w:val="20"/>
          <w:szCs w:val="20"/>
        </w:rPr>
        <w:t>sponsor</w:t>
      </w:r>
      <w:r w:rsidRPr="00795BB2">
        <w:rPr>
          <w:rFonts w:cs="Arial"/>
          <w:sz w:val="20"/>
          <w:szCs w:val="20"/>
        </w:rPr>
        <w:t xml:space="preserve"> and you are not required to respond to</w:t>
      </w:r>
      <w:r w:rsidRPr="00795BB2" w:rsidR="00F349BC">
        <w:rPr>
          <w:rFonts w:cs="Arial"/>
          <w:sz w:val="20"/>
          <w:szCs w:val="20"/>
        </w:rPr>
        <w:t>,</w:t>
      </w:r>
      <w:r w:rsidRPr="00795BB2">
        <w:rPr>
          <w:rFonts w:cs="Arial"/>
          <w:sz w:val="20"/>
          <w:szCs w:val="20"/>
        </w:rPr>
        <w:t xml:space="preserve"> this or any other Federal agency-sponsored information collection unless it displays a currently valid OMB control number.  OMB has reviewed and approved </w:t>
      </w:r>
      <w:r w:rsidRPr="00795BB2" w:rsidR="00D60F86">
        <w:rPr>
          <w:rFonts w:cs="Arial"/>
          <w:sz w:val="20"/>
          <w:szCs w:val="20"/>
        </w:rPr>
        <w:t>The National Park Service Programmatic Review Process</w:t>
      </w:r>
      <w:r w:rsidRPr="00795BB2">
        <w:rPr>
          <w:rFonts w:cs="Arial"/>
          <w:sz w:val="20"/>
          <w:szCs w:val="20"/>
        </w:rPr>
        <w:t xml:space="preserve"> and assigned OMB Control Number </w:t>
      </w:r>
      <w:r w:rsidRPr="00795BB2" w:rsidR="00D60F86">
        <w:rPr>
          <w:rFonts w:cs="Arial"/>
          <w:sz w:val="20"/>
          <w:szCs w:val="20"/>
        </w:rPr>
        <w:t>1024-022</w:t>
      </w:r>
      <w:r w:rsidRPr="00795BB2">
        <w:rPr>
          <w:rFonts w:cs="Arial"/>
          <w:sz w:val="20"/>
          <w:szCs w:val="20"/>
        </w:rPr>
        <w:t xml:space="preserve">4.  </w:t>
      </w:r>
    </w:p>
    <w:p w:rsidRPr="00795BB2" w:rsidR="005F0CAA" w:rsidP="00DD4CE9" w:rsidRDefault="005F0CAA" w14:paraId="33879F17" w14:textId="77777777">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rsidRPr="00D37FCA" w:rsidR="00DD4CE9" w:rsidP="00DD4CE9" w:rsidRDefault="00DD4CE9" w14:paraId="12210319" w14:textId="77777777">
      <w:pPr>
        <w:tabs>
          <w:tab w:val="left" w:pos="360"/>
          <w:tab w:val="left" w:pos="720"/>
          <w:tab w:val="left" w:pos="1440"/>
          <w:tab w:val="left" w:pos="2160"/>
          <w:tab w:val="left" w:pos="3600"/>
          <w:tab w:val="left" w:pos="5040"/>
          <w:tab w:val="left" w:pos="5760"/>
        </w:tabs>
        <w:spacing w:after="0" w:line="240" w:lineRule="auto"/>
        <w:jc w:val="center"/>
        <w:rPr>
          <w:rFonts w:cs="Arial"/>
          <w:b/>
        </w:rPr>
      </w:pPr>
      <w:r w:rsidRPr="00D37FCA">
        <w:rPr>
          <w:rFonts w:cs="Arial"/>
          <w:b/>
        </w:rPr>
        <w:t>Estimated Burden Statement</w:t>
      </w:r>
    </w:p>
    <w:p w:rsidRPr="00795BB2" w:rsidR="00DD4CE9" w:rsidP="00DD4CE9" w:rsidRDefault="00DD4CE9" w14:paraId="1780915A" w14:textId="77777777">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rsidRPr="00795BB2" w:rsidR="00DD4CE9" w:rsidP="00DD4CE9" w:rsidRDefault="00DD4CE9" w14:paraId="3A54F72C" w14:textId="77777777">
      <w:pPr>
        <w:tabs>
          <w:tab w:val="left" w:pos="360"/>
          <w:tab w:val="left" w:pos="720"/>
          <w:tab w:val="left" w:pos="1440"/>
          <w:tab w:val="left" w:pos="2160"/>
          <w:tab w:val="left" w:pos="3600"/>
          <w:tab w:val="left" w:pos="5040"/>
          <w:tab w:val="left" w:pos="5760"/>
        </w:tabs>
        <w:spacing w:after="0" w:line="240" w:lineRule="auto"/>
        <w:rPr>
          <w:rFonts w:cs="Arial"/>
          <w:sz w:val="20"/>
          <w:szCs w:val="20"/>
        </w:rPr>
      </w:pPr>
      <w:r w:rsidRPr="00795BB2">
        <w:rPr>
          <w:rFonts w:cs="Arial"/>
          <w:sz w:val="20"/>
          <w:szCs w:val="20"/>
        </w:rPr>
        <w:t xml:space="preserve">Public Reporting burden for this form is estimated to average </w:t>
      </w:r>
      <w:r w:rsidRPr="00795BB2" w:rsidR="00970F2F">
        <w:rPr>
          <w:rFonts w:cs="Arial"/>
          <w:sz w:val="20"/>
          <w:szCs w:val="20"/>
        </w:rPr>
        <w:t>60</w:t>
      </w:r>
      <w:r w:rsidRPr="00795BB2">
        <w:rPr>
          <w:rFonts w:cs="Arial"/>
          <w:sz w:val="20"/>
          <w:szCs w:val="20"/>
        </w:rPr>
        <w:t xml:space="preserve"> minutes per</w:t>
      </w:r>
      <w:r w:rsidRPr="00795BB2" w:rsidR="00D60F86">
        <w:rPr>
          <w:rFonts w:cs="Arial"/>
          <w:sz w:val="20"/>
          <w:szCs w:val="20"/>
        </w:rPr>
        <w:t xml:space="preserve"> collection</w:t>
      </w:r>
      <w:r w:rsidRPr="00795BB2">
        <w:rPr>
          <w:rFonts w:cs="Arial"/>
          <w:sz w:val="20"/>
          <w:szCs w:val="20"/>
        </w:rPr>
        <w:t xml:space="preserve">, including the time it takes for reviewing instructions, gathering </w:t>
      </w:r>
      <w:r w:rsidRPr="00795BB2" w:rsidR="00D60F86">
        <w:rPr>
          <w:rFonts w:cs="Arial"/>
          <w:sz w:val="20"/>
          <w:szCs w:val="20"/>
        </w:rPr>
        <w:t xml:space="preserve">information and </w:t>
      </w:r>
      <w:r w:rsidRPr="00795BB2">
        <w:rPr>
          <w:rFonts w:cs="Arial"/>
          <w:sz w:val="20"/>
          <w:szCs w:val="20"/>
        </w:rPr>
        <w:t xml:space="preserve">completing and reviewing the form.  </w:t>
      </w:r>
      <w:r w:rsidRPr="00795BB2" w:rsidR="00D60F86">
        <w:rPr>
          <w:rFonts w:cs="Arial"/>
          <w:sz w:val="20"/>
          <w:szCs w:val="20"/>
        </w:rPr>
        <w:t xml:space="preserve">This time does not include the editorial time required to finalize the submission. </w:t>
      </w:r>
      <w:r w:rsidRPr="00795BB2">
        <w:rPr>
          <w:rFonts w:cs="Arial"/>
          <w:sz w:val="20"/>
          <w:szCs w:val="20"/>
        </w:rPr>
        <w:t>Comments regarding this burden estimate or any aspect of this form should be sent to the Information Collection Clearance Coordinator, National Park Service, 1201 Oakridge Dr., Fort Collins, CO  80525.</w:t>
      </w:r>
    </w:p>
    <w:p w:rsidRPr="00AE0D1F" w:rsidR="00DD4CE9" w:rsidP="00D37FCA" w:rsidRDefault="00DD4CE9" w14:paraId="689B25C7" w14:textId="77777777">
      <w:pPr>
        <w:pBdr>
          <w:bottom w:val="single" w:color="auto" w:sz="4" w:space="1"/>
        </w:pBdr>
        <w:tabs>
          <w:tab w:val="left" w:pos="360"/>
          <w:tab w:val="left" w:pos="720"/>
          <w:tab w:val="left" w:pos="1440"/>
          <w:tab w:val="left" w:pos="2160"/>
          <w:tab w:val="left" w:pos="3600"/>
          <w:tab w:val="left" w:pos="5040"/>
          <w:tab w:val="left" w:pos="5760"/>
        </w:tabs>
        <w:spacing w:after="0" w:line="240" w:lineRule="auto"/>
        <w:rPr>
          <w:rFonts w:cs="Arial"/>
          <w:sz w:val="20"/>
          <w:szCs w:val="20"/>
        </w:rPr>
      </w:pPr>
    </w:p>
    <w:sectPr w:rsidRPr="00AE0D1F" w:rsidR="00DD4CE9" w:rsidSect="005749F3">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9EA8A" w14:textId="77777777" w:rsidR="00684CD3" w:rsidRDefault="00684CD3" w:rsidP="005749F3">
      <w:pPr>
        <w:spacing w:after="0" w:line="240" w:lineRule="auto"/>
      </w:pPr>
      <w:r>
        <w:separator/>
      </w:r>
    </w:p>
  </w:endnote>
  <w:endnote w:type="continuationSeparator" w:id="0">
    <w:p w14:paraId="1FB636E9" w14:textId="77777777" w:rsidR="00684CD3" w:rsidRDefault="00684CD3" w:rsidP="0057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exusSansWebPro">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301917767"/>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26D3BA30" w14:textId="4E0B7285" w:rsidR="006A27F2" w:rsidRPr="00AA2AA1" w:rsidRDefault="006A27F2" w:rsidP="00AA2AA1">
            <w:pPr>
              <w:pStyle w:val="Footer"/>
              <w:tabs>
                <w:tab w:val="clear" w:pos="4680"/>
                <w:tab w:val="clear" w:pos="9360"/>
                <w:tab w:val="center" w:pos="5400"/>
                <w:tab w:val="right" w:pos="10800"/>
              </w:tabs>
              <w:jc w:val="right"/>
              <w:rPr>
                <w:rFonts w:ascii="Arial" w:hAnsi="Arial" w:cs="Arial"/>
                <w:sz w:val="16"/>
                <w:szCs w:val="16"/>
              </w:rPr>
            </w:pPr>
            <w:r w:rsidRPr="00AA2AA1">
              <w:rPr>
                <w:rFonts w:ascii="Arial" w:hAnsi="Arial" w:cs="Arial"/>
                <w:sz w:val="16"/>
                <w:szCs w:val="16"/>
              </w:rPr>
              <w:t xml:space="preserve">Page </w:t>
            </w:r>
            <w:r w:rsidRPr="00AA2AA1">
              <w:rPr>
                <w:rFonts w:ascii="Arial" w:hAnsi="Arial" w:cs="Arial"/>
                <w:b/>
                <w:bCs/>
                <w:sz w:val="16"/>
                <w:szCs w:val="16"/>
              </w:rPr>
              <w:fldChar w:fldCharType="begin"/>
            </w:r>
            <w:r w:rsidRPr="00AA2AA1">
              <w:rPr>
                <w:rFonts w:ascii="Arial" w:hAnsi="Arial" w:cs="Arial"/>
                <w:b/>
                <w:bCs/>
                <w:sz w:val="16"/>
                <w:szCs w:val="16"/>
              </w:rPr>
              <w:instrText xml:space="preserve"> PAGE </w:instrText>
            </w:r>
            <w:r w:rsidRPr="00AA2AA1">
              <w:rPr>
                <w:rFonts w:ascii="Arial" w:hAnsi="Arial" w:cs="Arial"/>
                <w:b/>
                <w:bCs/>
                <w:sz w:val="16"/>
                <w:szCs w:val="16"/>
              </w:rPr>
              <w:fldChar w:fldCharType="separate"/>
            </w:r>
            <w:r>
              <w:rPr>
                <w:rFonts w:ascii="Arial" w:hAnsi="Arial" w:cs="Arial"/>
                <w:b/>
                <w:bCs/>
                <w:noProof/>
                <w:sz w:val="16"/>
                <w:szCs w:val="16"/>
              </w:rPr>
              <w:t>10</w:t>
            </w:r>
            <w:r w:rsidRPr="00AA2AA1">
              <w:rPr>
                <w:rFonts w:ascii="Arial" w:hAnsi="Arial" w:cs="Arial"/>
                <w:b/>
                <w:bCs/>
                <w:sz w:val="16"/>
                <w:szCs w:val="16"/>
              </w:rPr>
              <w:fldChar w:fldCharType="end"/>
            </w:r>
            <w:r w:rsidRPr="00AA2AA1">
              <w:rPr>
                <w:rFonts w:ascii="Arial" w:hAnsi="Arial" w:cs="Arial"/>
                <w:sz w:val="16"/>
                <w:szCs w:val="16"/>
              </w:rPr>
              <w:t xml:space="preserve"> of </w:t>
            </w:r>
            <w:r w:rsidRPr="00AA2AA1">
              <w:rPr>
                <w:rFonts w:ascii="Arial" w:hAnsi="Arial" w:cs="Arial"/>
                <w:b/>
                <w:bCs/>
                <w:sz w:val="16"/>
                <w:szCs w:val="16"/>
              </w:rPr>
              <w:fldChar w:fldCharType="begin"/>
            </w:r>
            <w:r w:rsidRPr="00AA2AA1">
              <w:rPr>
                <w:rFonts w:ascii="Arial" w:hAnsi="Arial" w:cs="Arial"/>
                <w:b/>
                <w:bCs/>
                <w:sz w:val="16"/>
                <w:szCs w:val="16"/>
              </w:rPr>
              <w:instrText xml:space="preserve"> NUMPAGES  </w:instrText>
            </w:r>
            <w:r w:rsidRPr="00AA2AA1">
              <w:rPr>
                <w:rFonts w:ascii="Arial" w:hAnsi="Arial" w:cs="Arial"/>
                <w:b/>
                <w:bCs/>
                <w:sz w:val="16"/>
                <w:szCs w:val="16"/>
              </w:rPr>
              <w:fldChar w:fldCharType="separate"/>
            </w:r>
            <w:r>
              <w:rPr>
                <w:rFonts w:ascii="Arial" w:hAnsi="Arial" w:cs="Arial"/>
                <w:b/>
                <w:bCs/>
                <w:noProof/>
                <w:sz w:val="16"/>
                <w:szCs w:val="16"/>
              </w:rPr>
              <w:t>10</w:t>
            </w:r>
            <w:r w:rsidRPr="00AA2AA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5"/>
        <w:szCs w:val="15"/>
      </w:rPr>
      <w:id w:val="1380666324"/>
      <w:docPartObj>
        <w:docPartGallery w:val="Page Numbers (Bottom of Page)"/>
        <w:docPartUnique/>
      </w:docPartObj>
    </w:sdtPr>
    <w:sdtEndPr/>
    <w:sdtContent>
      <w:sdt>
        <w:sdtPr>
          <w:rPr>
            <w:rFonts w:ascii="Arial" w:hAnsi="Arial" w:cs="Arial"/>
            <w:sz w:val="15"/>
            <w:szCs w:val="15"/>
          </w:rPr>
          <w:id w:val="549114079"/>
          <w:docPartObj>
            <w:docPartGallery w:val="Page Numbers (Top of Page)"/>
            <w:docPartUnique/>
          </w:docPartObj>
        </w:sdtPr>
        <w:sdtEndPr/>
        <w:sdtContent>
          <w:p w14:paraId="2F60E0B1" w14:textId="324D4EB3" w:rsidR="006A27F2" w:rsidRPr="00F60E00" w:rsidRDefault="006A27F2" w:rsidP="00DA5C9A">
            <w:pPr>
              <w:pStyle w:val="Footer"/>
              <w:tabs>
                <w:tab w:val="clear" w:pos="9360"/>
                <w:tab w:val="right" w:pos="10800"/>
              </w:tabs>
              <w:rPr>
                <w:rFonts w:ascii="Arial" w:hAnsi="Arial" w:cs="Arial"/>
                <w:sz w:val="15"/>
                <w:szCs w:val="15"/>
              </w:rPr>
            </w:pPr>
            <w:r w:rsidRPr="00C247CB">
              <w:rPr>
                <w:rFonts w:ascii="Arial" w:hAnsi="Arial" w:cs="Arial"/>
                <w:b/>
                <w:sz w:val="15"/>
                <w:szCs w:val="15"/>
              </w:rPr>
              <w:t>RECORDS RETENTION - PERMANENT.</w:t>
            </w:r>
            <w:r w:rsidRPr="00CE3AB3">
              <w:rPr>
                <w:rFonts w:ascii="Arial" w:hAnsi="Arial" w:cs="Arial"/>
                <w:sz w:val="15"/>
                <w:szCs w:val="15"/>
              </w:rPr>
              <w:t xml:space="preserve"> Transfer all permanent records to NARA 15 years after closure. (NPS Records Schedule, </w:t>
            </w:r>
            <w:r>
              <w:rPr>
                <w:rFonts w:ascii="Arial" w:hAnsi="Arial" w:cs="Arial"/>
                <w:sz w:val="15"/>
                <w:szCs w:val="15"/>
              </w:rPr>
              <w:t>Resource</w:t>
            </w:r>
            <w:r w:rsidRPr="00F60E00">
              <w:rPr>
                <w:rFonts w:ascii="Arial" w:hAnsi="Arial" w:cs="Arial"/>
                <w:sz w:val="15"/>
                <w:szCs w:val="15"/>
              </w:rPr>
              <w:tab/>
              <w:t xml:space="preserve">Page </w:t>
            </w:r>
            <w:r w:rsidRPr="00F60E00">
              <w:rPr>
                <w:rFonts w:ascii="Arial" w:hAnsi="Arial" w:cs="Arial"/>
                <w:b/>
                <w:bCs/>
                <w:sz w:val="15"/>
                <w:szCs w:val="15"/>
              </w:rPr>
              <w:fldChar w:fldCharType="begin"/>
            </w:r>
            <w:r w:rsidRPr="00F60E00">
              <w:rPr>
                <w:rFonts w:ascii="Arial" w:hAnsi="Arial" w:cs="Arial"/>
                <w:b/>
                <w:bCs/>
                <w:sz w:val="15"/>
                <w:szCs w:val="15"/>
              </w:rPr>
              <w:instrText xml:space="preserve"> PAGE </w:instrText>
            </w:r>
            <w:r w:rsidRPr="00F60E00">
              <w:rPr>
                <w:rFonts w:ascii="Arial" w:hAnsi="Arial" w:cs="Arial"/>
                <w:b/>
                <w:bCs/>
                <w:sz w:val="15"/>
                <w:szCs w:val="15"/>
              </w:rPr>
              <w:fldChar w:fldCharType="separate"/>
            </w:r>
            <w:r>
              <w:rPr>
                <w:rFonts w:ascii="Arial" w:hAnsi="Arial" w:cs="Arial"/>
                <w:b/>
                <w:bCs/>
                <w:noProof/>
                <w:sz w:val="15"/>
                <w:szCs w:val="15"/>
              </w:rPr>
              <w:t>1</w:t>
            </w:r>
            <w:r w:rsidRPr="00F60E00">
              <w:rPr>
                <w:rFonts w:ascii="Arial" w:hAnsi="Arial" w:cs="Arial"/>
                <w:b/>
                <w:bCs/>
                <w:sz w:val="15"/>
                <w:szCs w:val="15"/>
              </w:rPr>
              <w:fldChar w:fldCharType="end"/>
            </w:r>
            <w:r w:rsidRPr="00F60E00">
              <w:rPr>
                <w:rFonts w:ascii="Arial" w:hAnsi="Arial" w:cs="Arial"/>
                <w:sz w:val="15"/>
                <w:szCs w:val="15"/>
              </w:rPr>
              <w:t xml:space="preserve"> of </w:t>
            </w:r>
            <w:r w:rsidRPr="00F60E00">
              <w:rPr>
                <w:rFonts w:ascii="Arial" w:hAnsi="Arial" w:cs="Arial"/>
                <w:b/>
                <w:bCs/>
                <w:sz w:val="15"/>
                <w:szCs w:val="15"/>
              </w:rPr>
              <w:fldChar w:fldCharType="begin"/>
            </w:r>
            <w:r w:rsidRPr="00F60E00">
              <w:rPr>
                <w:rFonts w:ascii="Arial" w:hAnsi="Arial" w:cs="Arial"/>
                <w:b/>
                <w:bCs/>
                <w:sz w:val="15"/>
                <w:szCs w:val="15"/>
              </w:rPr>
              <w:instrText xml:space="preserve"> NUMPAGES  </w:instrText>
            </w:r>
            <w:r w:rsidRPr="00F60E00">
              <w:rPr>
                <w:rFonts w:ascii="Arial" w:hAnsi="Arial" w:cs="Arial"/>
                <w:b/>
                <w:bCs/>
                <w:sz w:val="15"/>
                <w:szCs w:val="15"/>
              </w:rPr>
              <w:fldChar w:fldCharType="separate"/>
            </w:r>
            <w:r>
              <w:rPr>
                <w:rFonts w:ascii="Arial" w:hAnsi="Arial" w:cs="Arial"/>
                <w:b/>
                <w:bCs/>
                <w:noProof/>
                <w:sz w:val="15"/>
                <w:szCs w:val="15"/>
              </w:rPr>
              <w:t>10</w:t>
            </w:r>
            <w:r w:rsidRPr="00F60E00">
              <w:rPr>
                <w:rFonts w:ascii="Arial" w:hAnsi="Arial" w:cs="Arial"/>
                <w:b/>
                <w:bCs/>
                <w:sz w:val="15"/>
                <w:szCs w:val="15"/>
              </w:rPr>
              <w:fldChar w:fldCharType="end"/>
            </w:r>
          </w:p>
        </w:sdtContent>
      </w:sdt>
    </w:sdtContent>
  </w:sdt>
  <w:p w14:paraId="3298C589" w14:textId="77777777" w:rsidR="006A27F2" w:rsidRPr="00DA5C9A" w:rsidRDefault="006A27F2" w:rsidP="00DA5C9A">
    <w:pPr>
      <w:pStyle w:val="Footer"/>
    </w:pPr>
    <w:r w:rsidRPr="00CE3AB3">
      <w:rPr>
        <w:rFonts w:ascii="Arial" w:hAnsi="Arial" w:cs="Arial"/>
        <w:sz w:val="15"/>
        <w:szCs w:val="15"/>
      </w:rPr>
      <w:t>Management And Lands (Item 1.A.2) (N1-79-08-1)).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737FB" w14:textId="77777777" w:rsidR="00684CD3" w:rsidRDefault="00684CD3" w:rsidP="005749F3">
      <w:pPr>
        <w:spacing w:after="0" w:line="240" w:lineRule="auto"/>
      </w:pPr>
      <w:r>
        <w:separator/>
      </w:r>
    </w:p>
  </w:footnote>
  <w:footnote w:type="continuationSeparator" w:id="0">
    <w:p w14:paraId="0ACB3999" w14:textId="77777777" w:rsidR="00684CD3" w:rsidRDefault="00684CD3" w:rsidP="005749F3">
      <w:pPr>
        <w:spacing w:after="0" w:line="240" w:lineRule="auto"/>
      </w:pPr>
      <w:r>
        <w:continuationSeparator/>
      </w:r>
    </w:p>
  </w:footnote>
  <w:footnote w:id="1">
    <w:p w14:paraId="451F0514" w14:textId="77777777" w:rsidR="007253B7" w:rsidRDefault="007253B7" w:rsidP="007253B7">
      <w:pPr>
        <w:pStyle w:val="FootnoteText"/>
      </w:pPr>
      <w:r w:rsidRPr="00614D03">
        <w:rPr>
          <w:rStyle w:val="FootnoteReference"/>
        </w:rPr>
        <w:footnoteRef/>
      </w:r>
      <w:r w:rsidRPr="00614D03">
        <w:t xml:space="preserve"> </w:t>
      </w:r>
      <w:r w:rsidRPr="00614D03">
        <w:rPr>
          <w:rFonts w:ascii="NexusSansWebPro" w:hAnsi="NexusSansWebPro"/>
          <w:sz w:val="18"/>
          <w:szCs w:val="18"/>
          <w:shd w:val="clear" w:color="auto" w:fill="FFFFFF"/>
        </w:rPr>
        <w:t>Haefele, Michelle and Loomis, John B. and Bilmes, Linda, Total Economic Valuation of the National Park Service Lands and Programs: Results of a Survey of the American Public (June 28, 2016). HKS Working Paper No. 16-024, Available at SSRN:</w:t>
      </w:r>
      <w:r w:rsidRPr="00614D03">
        <w:rPr>
          <w:rFonts w:ascii="NexusSansWebPro" w:hAnsi="NexusSansWebPro" w:hint="eastAsia"/>
          <w:sz w:val="18"/>
          <w:szCs w:val="18"/>
          <w:shd w:val="clear" w:color="auto" w:fill="FFFFFF"/>
        </w:rPr>
        <w:t> </w:t>
      </w:r>
      <w:hyperlink r:id="rId1" w:tgtFrame="_blank" w:history="1">
        <w:r w:rsidRPr="00614D03">
          <w:rPr>
            <w:rFonts w:ascii="NexusSansWebPro" w:hAnsi="NexusSansWebPro"/>
            <w:sz w:val="18"/>
            <w:szCs w:val="18"/>
            <w:u w:val="single"/>
            <w:shd w:val="clear" w:color="auto" w:fill="FFFFFF"/>
          </w:rPr>
          <w:t>https://ssrn.com/abstract=2821124</w:t>
        </w:r>
      </w:hyperlink>
      <w:r w:rsidRPr="00614D03">
        <w:rPr>
          <w:rFonts w:ascii="NexusSansWebPro" w:hAnsi="NexusSansWebPro" w:hint="eastAsia"/>
          <w:sz w:val="18"/>
          <w:szCs w:val="18"/>
          <w:shd w:val="clear" w:color="auto" w:fill="FFFFFF"/>
        </w:rPr>
        <w:t> </w:t>
      </w:r>
      <w:r w:rsidRPr="00614D03">
        <w:rPr>
          <w:rFonts w:ascii="NexusSansWebPro" w:hAnsi="NexusSansWebPro"/>
          <w:sz w:val="18"/>
          <w:szCs w:val="18"/>
          <w:shd w:val="clear" w:color="auto" w:fill="FFFFFF"/>
        </w:rPr>
        <w:t>or</w:t>
      </w:r>
      <w:r w:rsidRPr="00614D03">
        <w:rPr>
          <w:rFonts w:ascii="NexusSansWebPro" w:hAnsi="NexusSansWebPro" w:hint="eastAsia"/>
          <w:sz w:val="18"/>
          <w:szCs w:val="18"/>
          <w:shd w:val="clear" w:color="auto" w:fill="FFFFFF"/>
        </w:rPr>
        <w:t> </w:t>
      </w:r>
      <w:hyperlink r:id="rId2" w:tgtFrame="_blank" w:history="1">
        <w:r w:rsidRPr="00614D03">
          <w:rPr>
            <w:rFonts w:ascii="NexusSansWebPro" w:hAnsi="NexusSansWebPro"/>
            <w:sz w:val="18"/>
            <w:szCs w:val="18"/>
            <w:u w:val="single"/>
            <w:shd w:val="clear" w:color="auto" w:fill="FFFFFF"/>
          </w:rPr>
          <w:t>http://dx.doi.org/10.2139/ssrn.2821124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C6F3F" w14:textId="17BE90C1" w:rsidR="006A27F2" w:rsidRDefault="006A27F2" w:rsidP="00AA2AA1">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09/2019)</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1164A752" w14:textId="3F13EF9B" w:rsidR="006A27F2" w:rsidRPr="009E5218" w:rsidRDefault="006A27F2" w:rsidP="00AA2AA1">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r>
  </w:p>
  <w:p w14:paraId="5D73A9B0" w14:textId="77777777" w:rsidR="006A27F2" w:rsidRPr="00AA2AA1" w:rsidRDefault="006A27F2" w:rsidP="00AA2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40639" w14:textId="36F3279E" w:rsidR="006A27F2" w:rsidRDefault="006A27F2" w:rsidP="005749F3">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09/2019)</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52CFA32E" w14:textId="2EBE8661" w:rsidR="006A27F2" w:rsidRPr="009E5218" w:rsidRDefault="006A27F2" w:rsidP="005749F3">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05/31/2023</w:t>
    </w:r>
  </w:p>
  <w:p w14:paraId="02B3F9E6" w14:textId="77777777" w:rsidR="006A27F2" w:rsidRDefault="006A27F2" w:rsidP="005749F3">
    <w:pPr>
      <w:pStyle w:val="Header"/>
      <w:tabs>
        <w:tab w:val="clear" w:pos="4680"/>
        <w:tab w:val="clear" w:pos="9360"/>
        <w:tab w:val="center" w:pos="5400"/>
        <w:tab w:val="right" w:pos="10800"/>
      </w:tabs>
      <w:rPr>
        <w:rFonts w:ascii="Arial" w:hAnsi="Arial" w:cs="Arial"/>
        <w:sz w:val="20"/>
        <w:szCs w:val="20"/>
      </w:rPr>
    </w:pPr>
    <w:r w:rsidRPr="009E5218">
      <w:rPr>
        <w:rFonts w:ascii="Arial" w:hAnsi="Arial" w:cs="Arial"/>
        <w:noProof/>
        <w:sz w:val="20"/>
        <w:szCs w:val="20"/>
      </w:rPr>
      <w:drawing>
        <wp:anchor distT="0" distB="0" distL="114300" distR="114300" simplePos="0" relativeHeight="251659264" behindDoc="0" locked="0" layoutInCell="1" allowOverlap="1" wp14:anchorId="2467AAE8" wp14:editId="38143AA8">
          <wp:simplePos x="0" y="0"/>
          <wp:positionH relativeFrom="margin">
            <wp:posOffset>6324600</wp:posOffset>
          </wp:positionH>
          <wp:positionV relativeFrom="paragraph">
            <wp:posOffset>40277</wp:posOffset>
          </wp:positionV>
          <wp:extent cx="530225" cy="685800"/>
          <wp:effectExtent l="0" t="0" r="3175" b="0"/>
          <wp:wrapThrough wrapText="bothSides">
            <wp:wrapPolygon edited="0">
              <wp:start x="0" y="0"/>
              <wp:lineTo x="0" y="21000"/>
              <wp:lineTo x="20953" y="21000"/>
              <wp:lineTo x="209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9E5218">
      <w:rPr>
        <w:rFonts w:ascii="Arial" w:hAnsi="Arial" w:cs="Arial"/>
        <w:noProof/>
        <w:sz w:val="20"/>
        <w:szCs w:val="20"/>
      </w:rPr>
      <w:drawing>
        <wp:anchor distT="0" distB="0" distL="114300" distR="114300" simplePos="0" relativeHeight="251658240" behindDoc="0" locked="0" layoutInCell="1" allowOverlap="1" wp14:anchorId="7B1B1798" wp14:editId="596516E2">
          <wp:simplePos x="0" y="0"/>
          <wp:positionH relativeFrom="margin">
            <wp:posOffset>0</wp:posOffset>
          </wp:positionH>
          <wp:positionV relativeFrom="paragraph">
            <wp:posOffset>39733</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4D86AC65" w14:textId="77777777" w:rsidR="006A27F2" w:rsidRDefault="006A27F2" w:rsidP="005749F3">
    <w:pPr>
      <w:pStyle w:val="Header"/>
      <w:tabs>
        <w:tab w:val="clear" w:pos="4680"/>
        <w:tab w:val="clear" w:pos="9360"/>
        <w:tab w:val="center" w:pos="5400"/>
        <w:tab w:val="right" w:pos="10800"/>
      </w:tabs>
      <w:rPr>
        <w:rFonts w:ascii="Arial" w:hAnsi="Arial" w:cs="Arial"/>
        <w:b/>
        <w:sz w:val="20"/>
        <w:szCs w:val="20"/>
      </w:rPr>
    </w:pPr>
    <w:r w:rsidRPr="009E5218">
      <w:rPr>
        <w:rFonts w:ascii="Arial" w:hAnsi="Arial" w:cs="Arial"/>
        <w:sz w:val="20"/>
        <w:szCs w:val="20"/>
      </w:rPr>
      <w:tab/>
    </w:r>
    <w:r w:rsidRPr="009E5218">
      <w:rPr>
        <w:rFonts w:ascii="Arial" w:hAnsi="Arial" w:cs="Arial"/>
        <w:b/>
        <w:sz w:val="20"/>
        <w:szCs w:val="20"/>
      </w:rPr>
      <w:t>PROGRAMMATIC</w:t>
    </w:r>
    <w:r>
      <w:rPr>
        <w:rFonts w:ascii="Arial" w:hAnsi="Arial" w:cs="Arial"/>
        <w:b/>
        <w:sz w:val="20"/>
        <w:szCs w:val="20"/>
      </w:rPr>
      <w:t xml:space="preserve"> REVIEW AND CLEARANCE PROCESS</w:t>
    </w:r>
  </w:p>
  <w:p w14:paraId="42906F3E" w14:textId="77777777" w:rsidR="006A27F2" w:rsidRDefault="006A27F2" w:rsidP="005749F3">
    <w:pPr>
      <w:pStyle w:val="Header"/>
      <w:tabs>
        <w:tab w:val="clear" w:pos="4680"/>
        <w:tab w:val="clear" w:pos="9360"/>
        <w:tab w:val="center" w:pos="5400"/>
        <w:tab w:val="right" w:pos="10800"/>
      </w:tabs>
      <w:rPr>
        <w:rFonts w:ascii="Arial" w:hAnsi="Arial" w:cs="Arial"/>
        <w:sz w:val="20"/>
        <w:szCs w:val="20"/>
      </w:rPr>
    </w:pPr>
    <w:r>
      <w:rPr>
        <w:rFonts w:ascii="Arial" w:hAnsi="Arial" w:cs="Arial"/>
        <w:b/>
        <w:sz w:val="20"/>
        <w:szCs w:val="20"/>
      </w:rPr>
      <w:tab/>
      <w:t>FOR NPS-SPONSORED PUBLIC SURVEYS</w:t>
    </w:r>
  </w:p>
  <w:p w14:paraId="3A08721E" w14:textId="77777777" w:rsidR="006A27F2" w:rsidRPr="00016546" w:rsidRDefault="006A27F2" w:rsidP="005749F3">
    <w:pPr>
      <w:pStyle w:val="Header"/>
      <w:tabs>
        <w:tab w:val="clear" w:pos="4680"/>
        <w:tab w:val="clear" w:pos="9360"/>
        <w:tab w:val="center" w:pos="5400"/>
        <w:tab w:val="right" w:pos="10800"/>
      </w:tabs>
      <w:rPr>
        <w:rFonts w:ascii="Arial" w:hAnsi="Arial" w:cs="Arial"/>
        <w:sz w:val="18"/>
        <w:szCs w:val="18"/>
      </w:rPr>
    </w:pPr>
  </w:p>
  <w:p w14:paraId="710EC582" w14:textId="77777777" w:rsidR="006A27F2" w:rsidRPr="00016546" w:rsidRDefault="006A27F2" w:rsidP="005749F3">
    <w:pPr>
      <w:pStyle w:val="Header"/>
      <w:tabs>
        <w:tab w:val="clear" w:pos="4680"/>
        <w:tab w:val="clear" w:pos="9360"/>
        <w:tab w:val="center" w:pos="5400"/>
        <w:tab w:val="right" w:pos="10800"/>
      </w:tabs>
      <w:rPr>
        <w:rFonts w:ascii="Arial" w:hAnsi="Arial" w:cs="Arial"/>
        <w:sz w:val="18"/>
        <w:szCs w:val="18"/>
      </w:rPr>
    </w:pPr>
  </w:p>
  <w:p w14:paraId="5EBBF98C" w14:textId="77777777" w:rsidR="006A27F2" w:rsidRPr="00016546" w:rsidRDefault="006A27F2" w:rsidP="005749F3">
    <w:pPr>
      <w:pStyle w:val="Header"/>
      <w:tabs>
        <w:tab w:val="clear" w:pos="4680"/>
        <w:tab w:val="clear" w:pos="9360"/>
        <w:tab w:val="center" w:pos="5400"/>
        <w:tab w:val="right" w:pos="10800"/>
      </w:tabs>
      <w:rPr>
        <w:rFonts w:ascii="Arial" w:hAnsi="Arial" w:cs="Arial"/>
        <w:sz w:val="18"/>
        <w:szCs w:val="18"/>
      </w:rPr>
    </w:pPr>
  </w:p>
  <w:p w14:paraId="6C614A4C" w14:textId="77777777" w:rsidR="006A27F2" w:rsidRPr="00016546" w:rsidRDefault="006A27F2" w:rsidP="005749F3">
    <w:pPr>
      <w:pStyle w:val="Header"/>
      <w:tabs>
        <w:tab w:val="clear" w:pos="4680"/>
        <w:tab w:val="clear" w:pos="936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D28E5"/>
    <w:multiLevelType w:val="hybridMultilevel"/>
    <w:tmpl w:val="0936BB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060573"/>
    <w:multiLevelType w:val="hybridMultilevel"/>
    <w:tmpl w:val="0388EDB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1C79F9"/>
    <w:multiLevelType w:val="hybridMultilevel"/>
    <w:tmpl w:val="4E1C13FA"/>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3" w15:restartNumberingAfterBreak="0">
    <w:nsid w:val="111B6467"/>
    <w:multiLevelType w:val="hybridMultilevel"/>
    <w:tmpl w:val="0BB8DB28"/>
    <w:lvl w:ilvl="0" w:tplc="88442F9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52F72"/>
    <w:multiLevelType w:val="hybridMultilevel"/>
    <w:tmpl w:val="C72A273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D8565C"/>
    <w:multiLevelType w:val="hybridMultilevel"/>
    <w:tmpl w:val="456CAA64"/>
    <w:lvl w:ilvl="0" w:tplc="5114E0B6">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6" w15:restartNumberingAfterBreak="0">
    <w:nsid w:val="15B85EDD"/>
    <w:multiLevelType w:val="hybridMultilevel"/>
    <w:tmpl w:val="B642A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8094D"/>
    <w:multiLevelType w:val="hybridMultilevel"/>
    <w:tmpl w:val="11D0BE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20E58"/>
    <w:multiLevelType w:val="hybridMultilevel"/>
    <w:tmpl w:val="E8B60F5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10D14E4"/>
    <w:multiLevelType w:val="hybridMultilevel"/>
    <w:tmpl w:val="935EE7C8"/>
    <w:lvl w:ilvl="0" w:tplc="4CC0F5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42688"/>
    <w:multiLevelType w:val="hybridMultilevel"/>
    <w:tmpl w:val="C0C4BB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9928E5"/>
    <w:multiLevelType w:val="hybridMultilevel"/>
    <w:tmpl w:val="13A6100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390171"/>
    <w:multiLevelType w:val="hybridMultilevel"/>
    <w:tmpl w:val="C30EA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22522B"/>
    <w:multiLevelType w:val="hybridMultilevel"/>
    <w:tmpl w:val="0BA88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200CC7"/>
    <w:multiLevelType w:val="hybridMultilevel"/>
    <w:tmpl w:val="C5AE6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D471E2"/>
    <w:multiLevelType w:val="hybridMultilevel"/>
    <w:tmpl w:val="F6C45066"/>
    <w:lvl w:ilvl="0" w:tplc="29CE3210">
      <w:start w:val="1"/>
      <w:numFmt w:val="upperLetter"/>
      <w:lvlText w:val="(%1)"/>
      <w:lvlJc w:val="left"/>
      <w:pPr>
        <w:ind w:left="3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3F5257"/>
    <w:multiLevelType w:val="hybridMultilevel"/>
    <w:tmpl w:val="176CF9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147B91"/>
    <w:multiLevelType w:val="hybridMultilevel"/>
    <w:tmpl w:val="98C073E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41449D"/>
    <w:multiLevelType w:val="hybridMultilevel"/>
    <w:tmpl w:val="F11A12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FE7C75"/>
    <w:multiLevelType w:val="hybridMultilevel"/>
    <w:tmpl w:val="9DBEF0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17034B"/>
    <w:multiLevelType w:val="hybridMultilevel"/>
    <w:tmpl w:val="37226A62"/>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BA0FD4"/>
    <w:multiLevelType w:val="hybridMultilevel"/>
    <w:tmpl w:val="E8DCCF54"/>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22" w15:restartNumberingAfterBreak="0">
    <w:nsid w:val="4B605C3A"/>
    <w:multiLevelType w:val="hybridMultilevel"/>
    <w:tmpl w:val="B93E11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D0133F"/>
    <w:multiLevelType w:val="hybridMultilevel"/>
    <w:tmpl w:val="93C0B874"/>
    <w:lvl w:ilvl="0" w:tplc="773E26B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E84323"/>
    <w:multiLevelType w:val="hybridMultilevel"/>
    <w:tmpl w:val="7AD6CC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1236AEA"/>
    <w:multiLevelType w:val="hybridMultilevel"/>
    <w:tmpl w:val="F54E4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037DD2"/>
    <w:multiLevelType w:val="hybridMultilevel"/>
    <w:tmpl w:val="8348F3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A5C3A2C"/>
    <w:multiLevelType w:val="hybridMultilevel"/>
    <w:tmpl w:val="37226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C074EF"/>
    <w:multiLevelType w:val="hybridMultilevel"/>
    <w:tmpl w:val="ACEC6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DBF3D33"/>
    <w:multiLevelType w:val="hybridMultilevel"/>
    <w:tmpl w:val="F2820AF0"/>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30" w15:restartNumberingAfterBreak="0">
    <w:nsid w:val="5E3438B8"/>
    <w:multiLevelType w:val="hybridMultilevel"/>
    <w:tmpl w:val="33E40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27F79BF"/>
    <w:multiLevelType w:val="hybridMultilevel"/>
    <w:tmpl w:val="E86650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A671E0"/>
    <w:multiLevelType w:val="hybridMultilevel"/>
    <w:tmpl w:val="D684126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CD6C60"/>
    <w:multiLevelType w:val="hybridMultilevel"/>
    <w:tmpl w:val="8E583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121F6A"/>
    <w:multiLevelType w:val="hybridMultilevel"/>
    <w:tmpl w:val="C4125A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D826C52"/>
    <w:multiLevelType w:val="hybridMultilevel"/>
    <w:tmpl w:val="B02AD90E"/>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F">
      <w:start w:val="1"/>
      <w:numFmt w:val="decimal"/>
      <w:lvlText w:val="%4."/>
      <w:lvlJc w:val="left"/>
      <w:pPr>
        <w:ind w:left="3240" w:hanging="360"/>
      </w:pPr>
      <w:rPr>
        <w:rFont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1AD44DC"/>
    <w:multiLevelType w:val="hybridMultilevel"/>
    <w:tmpl w:val="FC6A0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773F11"/>
    <w:multiLevelType w:val="hybridMultilevel"/>
    <w:tmpl w:val="3A4E3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A1D74D4"/>
    <w:multiLevelType w:val="hybridMultilevel"/>
    <w:tmpl w:val="99582FF4"/>
    <w:lvl w:ilvl="0" w:tplc="E8B03570">
      <w:start w:val="1"/>
      <w:numFmt w:val="decimal"/>
      <w:lvlText w:val="%1."/>
      <w:lvlJc w:val="left"/>
      <w:pPr>
        <w:ind w:left="360" w:hanging="360"/>
      </w:pPr>
      <w:rPr>
        <w:i w:val="0"/>
        <w:color w:val="auto"/>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A544642"/>
    <w:multiLevelType w:val="hybridMultilevel"/>
    <w:tmpl w:val="2D2C76EE"/>
    <w:lvl w:ilvl="0" w:tplc="F59880F0">
      <w:start w:val="1"/>
      <w:numFmt w:val="upperLetter"/>
      <w:lvlText w:val="(%1)"/>
      <w:lvlJc w:val="left"/>
      <w:pPr>
        <w:ind w:left="360" w:hanging="360"/>
      </w:pPr>
      <w:rPr>
        <w:rFonts w:hint="default"/>
        <w:b/>
        <w:color w:val="5E1785"/>
      </w:rPr>
    </w:lvl>
    <w:lvl w:ilvl="1" w:tplc="88442F9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9"/>
  </w:num>
  <w:num w:numId="2">
    <w:abstractNumId w:val="16"/>
  </w:num>
  <w:num w:numId="3">
    <w:abstractNumId w:val="27"/>
  </w:num>
  <w:num w:numId="4">
    <w:abstractNumId w:val="20"/>
  </w:num>
  <w:num w:numId="5">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8"/>
  </w:num>
  <w:num w:numId="9">
    <w:abstractNumId w:val="10"/>
  </w:num>
  <w:num w:numId="10">
    <w:abstractNumId w:val="26"/>
  </w:num>
  <w:num w:numId="11">
    <w:abstractNumId w:val="30"/>
  </w:num>
  <w:num w:numId="12">
    <w:abstractNumId w:val="25"/>
  </w:num>
  <w:num w:numId="13">
    <w:abstractNumId w:val="6"/>
  </w:num>
  <w:num w:numId="14">
    <w:abstractNumId w:val="19"/>
  </w:num>
  <w:num w:numId="15">
    <w:abstractNumId w:val="17"/>
  </w:num>
  <w:num w:numId="16">
    <w:abstractNumId w:val="22"/>
  </w:num>
  <w:num w:numId="17">
    <w:abstractNumId w:val="1"/>
  </w:num>
  <w:num w:numId="18">
    <w:abstractNumId w:val="4"/>
  </w:num>
  <w:num w:numId="19">
    <w:abstractNumId w:val="11"/>
  </w:num>
  <w:num w:numId="20">
    <w:abstractNumId w:val="2"/>
  </w:num>
  <w:num w:numId="21">
    <w:abstractNumId w:val="37"/>
  </w:num>
  <w:num w:numId="22">
    <w:abstractNumId w:val="33"/>
  </w:num>
  <w:num w:numId="23">
    <w:abstractNumId w:val="9"/>
  </w:num>
  <w:num w:numId="24">
    <w:abstractNumId w:val="18"/>
  </w:num>
  <w:num w:numId="25">
    <w:abstractNumId w:val="15"/>
  </w:num>
  <w:num w:numId="26">
    <w:abstractNumId w:val="14"/>
  </w:num>
  <w:num w:numId="27">
    <w:abstractNumId w:val="35"/>
  </w:num>
  <w:num w:numId="28">
    <w:abstractNumId w:val="24"/>
  </w:num>
  <w:num w:numId="29">
    <w:abstractNumId w:val="7"/>
  </w:num>
  <w:num w:numId="30">
    <w:abstractNumId w:val="5"/>
  </w:num>
  <w:num w:numId="31">
    <w:abstractNumId w:val="29"/>
  </w:num>
  <w:num w:numId="32">
    <w:abstractNumId w:val="21"/>
  </w:num>
  <w:num w:numId="33">
    <w:abstractNumId w:val="8"/>
  </w:num>
  <w:num w:numId="34">
    <w:abstractNumId w:val="12"/>
  </w:num>
  <w:num w:numId="35">
    <w:abstractNumId w:val="32"/>
  </w:num>
  <w:num w:numId="36">
    <w:abstractNumId w:val="0"/>
  </w:num>
  <w:num w:numId="37">
    <w:abstractNumId w:val="31"/>
  </w:num>
  <w:num w:numId="38">
    <w:abstractNumId w:val="36"/>
  </w:num>
  <w:num w:numId="39">
    <w:abstractNumId w:val="13"/>
  </w:num>
  <w:num w:numId="40">
    <w:abstractNumId w:val="23"/>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U3tDCzNLY0MbOwMDBW0lEKTi0uzszPAykwrQUAE1hckSwAAAA="/>
  </w:docVars>
  <w:rsids>
    <w:rsidRoot w:val="005719CA"/>
    <w:rsid w:val="000011F0"/>
    <w:rsid w:val="000015A2"/>
    <w:rsid w:val="00003CC6"/>
    <w:rsid w:val="00004EA6"/>
    <w:rsid w:val="000064C8"/>
    <w:rsid w:val="00013ACA"/>
    <w:rsid w:val="00015220"/>
    <w:rsid w:val="00016546"/>
    <w:rsid w:val="0002408F"/>
    <w:rsid w:val="00027E07"/>
    <w:rsid w:val="00031F0D"/>
    <w:rsid w:val="000524E6"/>
    <w:rsid w:val="00055E34"/>
    <w:rsid w:val="0005789F"/>
    <w:rsid w:val="00060618"/>
    <w:rsid w:val="00060F9A"/>
    <w:rsid w:val="0006223F"/>
    <w:rsid w:val="00066F99"/>
    <w:rsid w:val="000723B3"/>
    <w:rsid w:val="00073C58"/>
    <w:rsid w:val="00081320"/>
    <w:rsid w:val="00086605"/>
    <w:rsid w:val="0008754D"/>
    <w:rsid w:val="000A04C6"/>
    <w:rsid w:val="000A1EB8"/>
    <w:rsid w:val="000A3486"/>
    <w:rsid w:val="000A423B"/>
    <w:rsid w:val="000A73BD"/>
    <w:rsid w:val="000B1E59"/>
    <w:rsid w:val="000D13B3"/>
    <w:rsid w:val="000D197A"/>
    <w:rsid w:val="000D25D8"/>
    <w:rsid w:val="000D4454"/>
    <w:rsid w:val="000D6041"/>
    <w:rsid w:val="000D62B8"/>
    <w:rsid w:val="000D6EDE"/>
    <w:rsid w:val="000E33DE"/>
    <w:rsid w:val="000F0594"/>
    <w:rsid w:val="000F1F40"/>
    <w:rsid w:val="000F3C6F"/>
    <w:rsid w:val="000F4A6E"/>
    <w:rsid w:val="000F4AD0"/>
    <w:rsid w:val="000F54AC"/>
    <w:rsid w:val="00101E0A"/>
    <w:rsid w:val="00103628"/>
    <w:rsid w:val="00104EA6"/>
    <w:rsid w:val="001055AF"/>
    <w:rsid w:val="00106211"/>
    <w:rsid w:val="00106C3E"/>
    <w:rsid w:val="00110BFB"/>
    <w:rsid w:val="001120BD"/>
    <w:rsid w:val="00113D18"/>
    <w:rsid w:val="0011771D"/>
    <w:rsid w:val="001200ED"/>
    <w:rsid w:val="00120E3F"/>
    <w:rsid w:val="00121F41"/>
    <w:rsid w:val="00123FA2"/>
    <w:rsid w:val="0014061F"/>
    <w:rsid w:val="0014108F"/>
    <w:rsid w:val="001460F7"/>
    <w:rsid w:val="00146CDE"/>
    <w:rsid w:val="00151B26"/>
    <w:rsid w:val="001526AE"/>
    <w:rsid w:val="0015735F"/>
    <w:rsid w:val="00162323"/>
    <w:rsid w:val="00164BD1"/>
    <w:rsid w:val="00165B54"/>
    <w:rsid w:val="0017058A"/>
    <w:rsid w:val="00171CBD"/>
    <w:rsid w:val="001761E9"/>
    <w:rsid w:val="001829F2"/>
    <w:rsid w:val="00182DBC"/>
    <w:rsid w:val="001868B8"/>
    <w:rsid w:val="00187665"/>
    <w:rsid w:val="00190ECA"/>
    <w:rsid w:val="0019163D"/>
    <w:rsid w:val="001925A2"/>
    <w:rsid w:val="0019450C"/>
    <w:rsid w:val="0019532E"/>
    <w:rsid w:val="001959CF"/>
    <w:rsid w:val="0019756E"/>
    <w:rsid w:val="001975DB"/>
    <w:rsid w:val="001A07C7"/>
    <w:rsid w:val="001B0570"/>
    <w:rsid w:val="001B07C3"/>
    <w:rsid w:val="001B45B5"/>
    <w:rsid w:val="001C0B6C"/>
    <w:rsid w:val="001C2ED4"/>
    <w:rsid w:val="001C3619"/>
    <w:rsid w:val="001D1745"/>
    <w:rsid w:val="001D2CA8"/>
    <w:rsid w:val="001D2CEF"/>
    <w:rsid w:val="001D3ABD"/>
    <w:rsid w:val="001D6222"/>
    <w:rsid w:val="001F1283"/>
    <w:rsid w:val="001F33D7"/>
    <w:rsid w:val="00204683"/>
    <w:rsid w:val="0020596F"/>
    <w:rsid w:val="00206DBC"/>
    <w:rsid w:val="00212E14"/>
    <w:rsid w:val="00217668"/>
    <w:rsid w:val="0022525F"/>
    <w:rsid w:val="002311DC"/>
    <w:rsid w:val="00233F23"/>
    <w:rsid w:val="0023766E"/>
    <w:rsid w:val="00244D87"/>
    <w:rsid w:val="00247DA4"/>
    <w:rsid w:val="002509CF"/>
    <w:rsid w:val="0025212A"/>
    <w:rsid w:val="0025743C"/>
    <w:rsid w:val="002620B3"/>
    <w:rsid w:val="0026715E"/>
    <w:rsid w:val="002709FA"/>
    <w:rsid w:val="00270C3D"/>
    <w:rsid w:val="00272FC6"/>
    <w:rsid w:val="002800BF"/>
    <w:rsid w:val="0028219B"/>
    <w:rsid w:val="00282C97"/>
    <w:rsid w:val="002851F2"/>
    <w:rsid w:val="002869A1"/>
    <w:rsid w:val="00287B85"/>
    <w:rsid w:val="002936E9"/>
    <w:rsid w:val="002942B0"/>
    <w:rsid w:val="00297504"/>
    <w:rsid w:val="002A5058"/>
    <w:rsid w:val="002A5EBF"/>
    <w:rsid w:val="002B0CBC"/>
    <w:rsid w:val="002B4B9B"/>
    <w:rsid w:val="002B6E64"/>
    <w:rsid w:val="002C2A3D"/>
    <w:rsid w:val="002C7EEC"/>
    <w:rsid w:val="002E2158"/>
    <w:rsid w:val="002F4E06"/>
    <w:rsid w:val="003144D6"/>
    <w:rsid w:val="00316D44"/>
    <w:rsid w:val="003202A3"/>
    <w:rsid w:val="00321BDD"/>
    <w:rsid w:val="00324904"/>
    <w:rsid w:val="003258F2"/>
    <w:rsid w:val="0032615A"/>
    <w:rsid w:val="00327BD2"/>
    <w:rsid w:val="003303FE"/>
    <w:rsid w:val="0033711B"/>
    <w:rsid w:val="003445DC"/>
    <w:rsid w:val="00350763"/>
    <w:rsid w:val="00352C53"/>
    <w:rsid w:val="003544AE"/>
    <w:rsid w:val="003544F8"/>
    <w:rsid w:val="00357131"/>
    <w:rsid w:val="00360F15"/>
    <w:rsid w:val="00361AC4"/>
    <w:rsid w:val="00363783"/>
    <w:rsid w:val="00367A5A"/>
    <w:rsid w:val="00373CC3"/>
    <w:rsid w:val="00375671"/>
    <w:rsid w:val="00381B4F"/>
    <w:rsid w:val="003843AA"/>
    <w:rsid w:val="00385969"/>
    <w:rsid w:val="003864D8"/>
    <w:rsid w:val="003866B2"/>
    <w:rsid w:val="003906B3"/>
    <w:rsid w:val="00391556"/>
    <w:rsid w:val="00392BD6"/>
    <w:rsid w:val="00394268"/>
    <w:rsid w:val="003959B6"/>
    <w:rsid w:val="003A0EEA"/>
    <w:rsid w:val="003A2E1E"/>
    <w:rsid w:val="003A469E"/>
    <w:rsid w:val="003A5DBE"/>
    <w:rsid w:val="003A725A"/>
    <w:rsid w:val="003B1B8B"/>
    <w:rsid w:val="003C1098"/>
    <w:rsid w:val="003C1F71"/>
    <w:rsid w:val="003C1FEE"/>
    <w:rsid w:val="003C6595"/>
    <w:rsid w:val="003C67E8"/>
    <w:rsid w:val="003C7497"/>
    <w:rsid w:val="003D2EEE"/>
    <w:rsid w:val="003D4B6E"/>
    <w:rsid w:val="003D565C"/>
    <w:rsid w:val="003D61B1"/>
    <w:rsid w:val="003E7128"/>
    <w:rsid w:val="003F18D7"/>
    <w:rsid w:val="003F3D16"/>
    <w:rsid w:val="004023C8"/>
    <w:rsid w:val="0040610B"/>
    <w:rsid w:val="00407336"/>
    <w:rsid w:val="004140B1"/>
    <w:rsid w:val="0042231D"/>
    <w:rsid w:val="00424096"/>
    <w:rsid w:val="00425D13"/>
    <w:rsid w:val="00425EE8"/>
    <w:rsid w:val="00427909"/>
    <w:rsid w:val="0043053A"/>
    <w:rsid w:val="00436135"/>
    <w:rsid w:val="00437DA2"/>
    <w:rsid w:val="004403F5"/>
    <w:rsid w:val="00441ED8"/>
    <w:rsid w:val="004453BF"/>
    <w:rsid w:val="00446B0E"/>
    <w:rsid w:val="00446D68"/>
    <w:rsid w:val="004473D6"/>
    <w:rsid w:val="00452698"/>
    <w:rsid w:val="004614A0"/>
    <w:rsid w:val="004665B5"/>
    <w:rsid w:val="004672A6"/>
    <w:rsid w:val="00474DDB"/>
    <w:rsid w:val="004772EE"/>
    <w:rsid w:val="004840BF"/>
    <w:rsid w:val="004855F3"/>
    <w:rsid w:val="00491099"/>
    <w:rsid w:val="00493A97"/>
    <w:rsid w:val="0049484C"/>
    <w:rsid w:val="00497BAD"/>
    <w:rsid w:val="00497D21"/>
    <w:rsid w:val="004A3511"/>
    <w:rsid w:val="004A364C"/>
    <w:rsid w:val="004A3907"/>
    <w:rsid w:val="004B1104"/>
    <w:rsid w:val="004B4332"/>
    <w:rsid w:val="004B4D1B"/>
    <w:rsid w:val="004C0B7D"/>
    <w:rsid w:val="004C1C07"/>
    <w:rsid w:val="004C2171"/>
    <w:rsid w:val="004C607E"/>
    <w:rsid w:val="004C6689"/>
    <w:rsid w:val="004D2527"/>
    <w:rsid w:val="004D2A9A"/>
    <w:rsid w:val="004D2F5E"/>
    <w:rsid w:val="004E6D37"/>
    <w:rsid w:val="004E7782"/>
    <w:rsid w:val="004F2EFD"/>
    <w:rsid w:val="004F3AE9"/>
    <w:rsid w:val="004F4D75"/>
    <w:rsid w:val="004F5F1B"/>
    <w:rsid w:val="005041FA"/>
    <w:rsid w:val="005058F7"/>
    <w:rsid w:val="00514DE3"/>
    <w:rsid w:val="00516F94"/>
    <w:rsid w:val="00517536"/>
    <w:rsid w:val="00521751"/>
    <w:rsid w:val="005221F8"/>
    <w:rsid w:val="00523E33"/>
    <w:rsid w:val="00523F20"/>
    <w:rsid w:val="00525EAB"/>
    <w:rsid w:val="00526141"/>
    <w:rsid w:val="0052661B"/>
    <w:rsid w:val="00530DD0"/>
    <w:rsid w:val="005316F2"/>
    <w:rsid w:val="0053411B"/>
    <w:rsid w:val="005375F4"/>
    <w:rsid w:val="00537DF5"/>
    <w:rsid w:val="00545521"/>
    <w:rsid w:val="005501CC"/>
    <w:rsid w:val="00550AFC"/>
    <w:rsid w:val="00553B16"/>
    <w:rsid w:val="00555635"/>
    <w:rsid w:val="00561D08"/>
    <w:rsid w:val="005622A5"/>
    <w:rsid w:val="005719CA"/>
    <w:rsid w:val="005725F2"/>
    <w:rsid w:val="005749F3"/>
    <w:rsid w:val="0057593C"/>
    <w:rsid w:val="0057712C"/>
    <w:rsid w:val="00584103"/>
    <w:rsid w:val="00586267"/>
    <w:rsid w:val="00587C91"/>
    <w:rsid w:val="00595BA4"/>
    <w:rsid w:val="00596E03"/>
    <w:rsid w:val="005A1EE2"/>
    <w:rsid w:val="005A2265"/>
    <w:rsid w:val="005B037D"/>
    <w:rsid w:val="005B4059"/>
    <w:rsid w:val="005B58E2"/>
    <w:rsid w:val="005C0499"/>
    <w:rsid w:val="005C1303"/>
    <w:rsid w:val="005C6FBA"/>
    <w:rsid w:val="005D70E9"/>
    <w:rsid w:val="005E3C43"/>
    <w:rsid w:val="005E563D"/>
    <w:rsid w:val="005E68DA"/>
    <w:rsid w:val="005F0CAA"/>
    <w:rsid w:val="005F33A0"/>
    <w:rsid w:val="005F7642"/>
    <w:rsid w:val="0060302F"/>
    <w:rsid w:val="0061180A"/>
    <w:rsid w:val="00613DEC"/>
    <w:rsid w:val="00614D03"/>
    <w:rsid w:val="00620262"/>
    <w:rsid w:val="00620587"/>
    <w:rsid w:val="00622DF0"/>
    <w:rsid w:val="00623543"/>
    <w:rsid w:val="0062510C"/>
    <w:rsid w:val="00630191"/>
    <w:rsid w:val="00631E41"/>
    <w:rsid w:val="00633C43"/>
    <w:rsid w:val="00641766"/>
    <w:rsid w:val="00643738"/>
    <w:rsid w:val="0064712C"/>
    <w:rsid w:val="00651C2E"/>
    <w:rsid w:val="00651F98"/>
    <w:rsid w:val="00652F3A"/>
    <w:rsid w:val="0065616C"/>
    <w:rsid w:val="00660325"/>
    <w:rsid w:val="00660F47"/>
    <w:rsid w:val="00661AB3"/>
    <w:rsid w:val="00666E0F"/>
    <w:rsid w:val="00670CE6"/>
    <w:rsid w:val="00671104"/>
    <w:rsid w:val="0067314D"/>
    <w:rsid w:val="00674382"/>
    <w:rsid w:val="00674E50"/>
    <w:rsid w:val="0068098F"/>
    <w:rsid w:val="00682359"/>
    <w:rsid w:val="00683DC8"/>
    <w:rsid w:val="00684B19"/>
    <w:rsid w:val="00684CD3"/>
    <w:rsid w:val="00685D04"/>
    <w:rsid w:val="00691BF5"/>
    <w:rsid w:val="00692556"/>
    <w:rsid w:val="00693071"/>
    <w:rsid w:val="006942C8"/>
    <w:rsid w:val="006A0C4F"/>
    <w:rsid w:val="006A27F2"/>
    <w:rsid w:val="006A336B"/>
    <w:rsid w:val="006A7B97"/>
    <w:rsid w:val="006B1E11"/>
    <w:rsid w:val="006B1FCB"/>
    <w:rsid w:val="006B27D1"/>
    <w:rsid w:val="006B4070"/>
    <w:rsid w:val="006B54A6"/>
    <w:rsid w:val="006C09BC"/>
    <w:rsid w:val="006C25A0"/>
    <w:rsid w:val="006C3AFF"/>
    <w:rsid w:val="006C4271"/>
    <w:rsid w:val="006C4321"/>
    <w:rsid w:val="006C65F9"/>
    <w:rsid w:val="006D1A99"/>
    <w:rsid w:val="006D64EC"/>
    <w:rsid w:val="006D7F8F"/>
    <w:rsid w:val="006E2E11"/>
    <w:rsid w:val="006E33D2"/>
    <w:rsid w:val="006E3CC1"/>
    <w:rsid w:val="006E54AB"/>
    <w:rsid w:val="006E60C3"/>
    <w:rsid w:val="006E791A"/>
    <w:rsid w:val="006F73A1"/>
    <w:rsid w:val="00705518"/>
    <w:rsid w:val="00705583"/>
    <w:rsid w:val="007224EF"/>
    <w:rsid w:val="00723C8F"/>
    <w:rsid w:val="007253B7"/>
    <w:rsid w:val="00725750"/>
    <w:rsid w:val="00726F94"/>
    <w:rsid w:val="007276BF"/>
    <w:rsid w:val="0073369F"/>
    <w:rsid w:val="00733C44"/>
    <w:rsid w:val="00734CA1"/>
    <w:rsid w:val="00734D11"/>
    <w:rsid w:val="00741A8A"/>
    <w:rsid w:val="007472BB"/>
    <w:rsid w:val="0075054E"/>
    <w:rsid w:val="00753D07"/>
    <w:rsid w:val="0075406E"/>
    <w:rsid w:val="00772F8C"/>
    <w:rsid w:val="007761E9"/>
    <w:rsid w:val="00781A3C"/>
    <w:rsid w:val="00791A02"/>
    <w:rsid w:val="00792F57"/>
    <w:rsid w:val="0079534A"/>
    <w:rsid w:val="00795BB2"/>
    <w:rsid w:val="007A2BF8"/>
    <w:rsid w:val="007A4E1D"/>
    <w:rsid w:val="007B2007"/>
    <w:rsid w:val="007B52EC"/>
    <w:rsid w:val="007C2810"/>
    <w:rsid w:val="007C626D"/>
    <w:rsid w:val="007D323B"/>
    <w:rsid w:val="007D4868"/>
    <w:rsid w:val="007D4C26"/>
    <w:rsid w:val="007E7676"/>
    <w:rsid w:val="007F1DFC"/>
    <w:rsid w:val="007F61EA"/>
    <w:rsid w:val="00800934"/>
    <w:rsid w:val="00801898"/>
    <w:rsid w:val="0080234B"/>
    <w:rsid w:val="00812247"/>
    <w:rsid w:val="00814545"/>
    <w:rsid w:val="0081742F"/>
    <w:rsid w:val="00820AB7"/>
    <w:rsid w:val="00820B7D"/>
    <w:rsid w:val="0082241B"/>
    <w:rsid w:val="00830A83"/>
    <w:rsid w:val="00835808"/>
    <w:rsid w:val="008428D5"/>
    <w:rsid w:val="00844602"/>
    <w:rsid w:val="00844F2D"/>
    <w:rsid w:val="00845AF5"/>
    <w:rsid w:val="0085174C"/>
    <w:rsid w:val="00860511"/>
    <w:rsid w:val="008640D8"/>
    <w:rsid w:val="00864391"/>
    <w:rsid w:val="00866A71"/>
    <w:rsid w:val="0086743F"/>
    <w:rsid w:val="00871A3B"/>
    <w:rsid w:val="008723D7"/>
    <w:rsid w:val="008727AC"/>
    <w:rsid w:val="00881349"/>
    <w:rsid w:val="008844F0"/>
    <w:rsid w:val="00884B77"/>
    <w:rsid w:val="0088667A"/>
    <w:rsid w:val="008879C5"/>
    <w:rsid w:val="00890638"/>
    <w:rsid w:val="0089205C"/>
    <w:rsid w:val="00893A31"/>
    <w:rsid w:val="00894278"/>
    <w:rsid w:val="008965B3"/>
    <w:rsid w:val="008A005C"/>
    <w:rsid w:val="008A05A0"/>
    <w:rsid w:val="008A1BDF"/>
    <w:rsid w:val="008A3516"/>
    <w:rsid w:val="008A7145"/>
    <w:rsid w:val="008A7847"/>
    <w:rsid w:val="008A7B3B"/>
    <w:rsid w:val="008B0117"/>
    <w:rsid w:val="008B3FCE"/>
    <w:rsid w:val="008B4B17"/>
    <w:rsid w:val="008B7604"/>
    <w:rsid w:val="008C2657"/>
    <w:rsid w:val="008C2C6E"/>
    <w:rsid w:val="008C38FB"/>
    <w:rsid w:val="008C6585"/>
    <w:rsid w:val="008D121F"/>
    <w:rsid w:val="008D1F0A"/>
    <w:rsid w:val="008D6579"/>
    <w:rsid w:val="008D7952"/>
    <w:rsid w:val="008E0009"/>
    <w:rsid w:val="008E0FB9"/>
    <w:rsid w:val="008E585A"/>
    <w:rsid w:val="008F1A68"/>
    <w:rsid w:val="008F72D0"/>
    <w:rsid w:val="00900377"/>
    <w:rsid w:val="00900514"/>
    <w:rsid w:val="009016D2"/>
    <w:rsid w:val="00902254"/>
    <w:rsid w:val="00903433"/>
    <w:rsid w:val="00903C4C"/>
    <w:rsid w:val="00904688"/>
    <w:rsid w:val="00906125"/>
    <w:rsid w:val="009072F6"/>
    <w:rsid w:val="00912F81"/>
    <w:rsid w:val="00913F71"/>
    <w:rsid w:val="00922ED0"/>
    <w:rsid w:val="0092583B"/>
    <w:rsid w:val="00927AAE"/>
    <w:rsid w:val="00930648"/>
    <w:rsid w:val="00932431"/>
    <w:rsid w:val="00936C43"/>
    <w:rsid w:val="0094519E"/>
    <w:rsid w:val="0094570D"/>
    <w:rsid w:val="00946A6B"/>
    <w:rsid w:val="00947B88"/>
    <w:rsid w:val="00950F66"/>
    <w:rsid w:val="00970F2F"/>
    <w:rsid w:val="0098041D"/>
    <w:rsid w:val="00982B28"/>
    <w:rsid w:val="009844C4"/>
    <w:rsid w:val="00987334"/>
    <w:rsid w:val="0099183D"/>
    <w:rsid w:val="009A6AB2"/>
    <w:rsid w:val="009A7E2E"/>
    <w:rsid w:val="009B219C"/>
    <w:rsid w:val="009B265D"/>
    <w:rsid w:val="009B4748"/>
    <w:rsid w:val="009B59E6"/>
    <w:rsid w:val="009C02A9"/>
    <w:rsid w:val="009C02F9"/>
    <w:rsid w:val="009C0FB0"/>
    <w:rsid w:val="009C1262"/>
    <w:rsid w:val="009D2A35"/>
    <w:rsid w:val="009D435C"/>
    <w:rsid w:val="009D72AF"/>
    <w:rsid w:val="009D7BE3"/>
    <w:rsid w:val="009E5218"/>
    <w:rsid w:val="009F0F3F"/>
    <w:rsid w:val="009F23CC"/>
    <w:rsid w:val="009F2A7F"/>
    <w:rsid w:val="009F4BA4"/>
    <w:rsid w:val="00A003A7"/>
    <w:rsid w:val="00A01685"/>
    <w:rsid w:val="00A04255"/>
    <w:rsid w:val="00A072EC"/>
    <w:rsid w:val="00A110DC"/>
    <w:rsid w:val="00A127B8"/>
    <w:rsid w:val="00A15282"/>
    <w:rsid w:val="00A20F0F"/>
    <w:rsid w:val="00A21595"/>
    <w:rsid w:val="00A2771E"/>
    <w:rsid w:val="00A3524B"/>
    <w:rsid w:val="00A40D50"/>
    <w:rsid w:val="00A46E01"/>
    <w:rsid w:val="00A57A03"/>
    <w:rsid w:val="00A60B8B"/>
    <w:rsid w:val="00A63C0E"/>
    <w:rsid w:val="00A70685"/>
    <w:rsid w:val="00A70EA9"/>
    <w:rsid w:val="00A75D58"/>
    <w:rsid w:val="00A87B37"/>
    <w:rsid w:val="00AA1741"/>
    <w:rsid w:val="00AA2AA1"/>
    <w:rsid w:val="00AA3850"/>
    <w:rsid w:val="00AA675C"/>
    <w:rsid w:val="00AB0D02"/>
    <w:rsid w:val="00AB16F6"/>
    <w:rsid w:val="00AB1E7E"/>
    <w:rsid w:val="00AB4EC5"/>
    <w:rsid w:val="00AD2B69"/>
    <w:rsid w:val="00AD4226"/>
    <w:rsid w:val="00AD4A97"/>
    <w:rsid w:val="00AE02F8"/>
    <w:rsid w:val="00AE0D1F"/>
    <w:rsid w:val="00AE267E"/>
    <w:rsid w:val="00AE5722"/>
    <w:rsid w:val="00AF1D8A"/>
    <w:rsid w:val="00AF2E22"/>
    <w:rsid w:val="00AF59DF"/>
    <w:rsid w:val="00AF7270"/>
    <w:rsid w:val="00B0546C"/>
    <w:rsid w:val="00B1730A"/>
    <w:rsid w:val="00B2034D"/>
    <w:rsid w:val="00B2644E"/>
    <w:rsid w:val="00B401D7"/>
    <w:rsid w:val="00B45721"/>
    <w:rsid w:val="00B50178"/>
    <w:rsid w:val="00B54EFA"/>
    <w:rsid w:val="00B57938"/>
    <w:rsid w:val="00B6230E"/>
    <w:rsid w:val="00B70DF9"/>
    <w:rsid w:val="00B75784"/>
    <w:rsid w:val="00B806E0"/>
    <w:rsid w:val="00B80788"/>
    <w:rsid w:val="00B8328C"/>
    <w:rsid w:val="00B83C82"/>
    <w:rsid w:val="00B84E55"/>
    <w:rsid w:val="00B85872"/>
    <w:rsid w:val="00B91118"/>
    <w:rsid w:val="00B91354"/>
    <w:rsid w:val="00B91595"/>
    <w:rsid w:val="00B95782"/>
    <w:rsid w:val="00B97C38"/>
    <w:rsid w:val="00BA68E5"/>
    <w:rsid w:val="00BA7184"/>
    <w:rsid w:val="00BB033E"/>
    <w:rsid w:val="00BB4F22"/>
    <w:rsid w:val="00BB66E7"/>
    <w:rsid w:val="00BD24D2"/>
    <w:rsid w:val="00BD29D6"/>
    <w:rsid w:val="00BD2EA5"/>
    <w:rsid w:val="00BD4D2E"/>
    <w:rsid w:val="00BE0B6D"/>
    <w:rsid w:val="00BE163C"/>
    <w:rsid w:val="00BF4361"/>
    <w:rsid w:val="00C071FC"/>
    <w:rsid w:val="00C07304"/>
    <w:rsid w:val="00C1139F"/>
    <w:rsid w:val="00C11EBC"/>
    <w:rsid w:val="00C13C07"/>
    <w:rsid w:val="00C179D8"/>
    <w:rsid w:val="00C2072C"/>
    <w:rsid w:val="00C248E1"/>
    <w:rsid w:val="00C3085B"/>
    <w:rsid w:val="00C33D7D"/>
    <w:rsid w:val="00C340B0"/>
    <w:rsid w:val="00C369C8"/>
    <w:rsid w:val="00C37E31"/>
    <w:rsid w:val="00C40ACD"/>
    <w:rsid w:val="00C40F56"/>
    <w:rsid w:val="00C4180C"/>
    <w:rsid w:val="00C449F3"/>
    <w:rsid w:val="00C44A32"/>
    <w:rsid w:val="00C46632"/>
    <w:rsid w:val="00C547A2"/>
    <w:rsid w:val="00C5675D"/>
    <w:rsid w:val="00C6004E"/>
    <w:rsid w:val="00C60318"/>
    <w:rsid w:val="00C60428"/>
    <w:rsid w:val="00C61998"/>
    <w:rsid w:val="00C701B0"/>
    <w:rsid w:val="00C7025C"/>
    <w:rsid w:val="00C71371"/>
    <w:rsid w:val="00C73E2C"/>
    <w:rsid w:val="00C80208"/>
    <w:rsid w:val="00C81CA7"/>
    <w:rsid w:val="00C823B1"/>
    <w:rsid w:val="00C842B7"/>
    <w:rsid w:val="00C85622"/>
    <w:rsid w:val="00C911DB"/>
    <w:rsid w:val="00C92F2B"/>
    <w:rsid w:val="00C9570A"/>
    <w:rsid w:val="00CA5C5B"/>
    <w:rsid w:val="00CB18BC"/>
    <w:rsid w:val="00CB4980"/>
    <w:rsid w:val="00CB5774"/>
    <w:rsid w:val="00CD0344"/>
    <w:rsid w:val="00CD1688"/>
    <w:rsid w:val="00CD1A13"/>
    <w:rsid w:val="00CD2533"/>
    <w:rsid w:val="00CD5D38"/>
    <w:rsid w:val="00CE2B4B"/>
    <w:rsid w:val="00CE58BA"/>
    <w:rsid w:val="00CE5FD8"/>
    <w:rsid w:val="00CE7F8E"/>
    <w:rsid w:val="00CF4B0A"/>
    <w:rsid w:val="00D00AB9"/>
    <w:rsid w:val="00D00D3B"/>
    <w:rsid w:val="00D05D39"/>
    <w:rsid w:val="00D101D4"/>
    <w:rsid w:val="00D10AEE"/>
    <w:rsid w:val="00D11E5C"/>
    <w:rsid w:val="00D11E67"/>
    <w:rsid w:val="00D13351"/>
    <w:rsid w:val="00D1401B"/>
    <w:rsid w:val="00D150C4"/>
    <w:rsid w:val="00D160AF"/>
    <w:rsid w:val="00D203B0"/>
    <w:rsid w:val="00D269CE"/>
    <w:rsid w:val="00D2717E"/>
    <w:rsid w:val="00D31C6B"/>
    <w:rsid w:val="00D32611"/>
    <w:rsid w:val="00D37FCA"/>
    <w:rsid w:val="00D405E8"/>
    <w:rsid w:val="00D417AF"/>
    <w:rsid w:val="00D4501D"/>
    <w:rsid w:val="00D51B77"/>
    <w:rsid w:val="00D51E80"/>
    <w:rsid w:val="00D52B48"/>
    <w:rsid w:val="00D56F4E"/>
    <w:rsid w:val="00D60F86"/>
    <w:rsid w:val="00D631E8"/>
    <w:rsid w:val="00D67621"/>
    <w:rsid w:val="00D7140E"/>
    <w:rsid w:val="00D716D8"/>
    <w:rsid w:val="00D76B0C"/>
    <w:rsid w:val="00D82751"/>
    <w:rsid w:val="00D91527"/>
    <w:rsid w:val="00D92392"/>
    <w:rsid w:val="00D930F9"/>
    <w:rsid w:val="00D95623"/>
    <w:rsid w:val="00DA2A89"/>
    <w:rsid w:val="00DA5C9A"/>
    <w:rsid w:val="00DA5E0A"/>
    <w:rsid w:val="00DA5FFA"/>
    <w:rsid w:val="00DB5382"/>
    <w:rsid w:val="00DB6FAB"/>
    <w:rsid w:val="00DD3CAA"/>
    <w:rsid w:val="00DD4CE9"/>
    <w:rsid w:val="00DD521E"/>
    <w:rsid w:val="00DE1EF9"/>
    <w:rsid w:val="00DE3205"/>
    <w:rsid w:val="00DE4A14"/>
    <w:rsid w:val="00DF2B7B"/>
    <w:rsid w:val="00DF757A"/>
    <w:rsid w:val="00E01A2D"/>
    <w:rsid w:val="00E0449D"/>
    <w:rsid w:val="00E04586"/>
    <w:rsid w:val="00E052D4"/>
    <w:rsid w:val="00E0699E"/>
    <w:rsid w:val="00E06C5E"/>
    <w:rsid w:val="00E11B11"/>
    <w:rsid w:val="00E21031"/>
    <w:rsid w:val="00E21A74"/>
    <w:rsid w:val="00E254B6"/>
    <w:rsid w:val="00E31F8E"/>
    <w:rsid w:val="00E32CB9"/>
    <w:rsid w:val="00E35ACE"/>
    <w:rsid w:val="00E41D27"/>
    <w:rsid w:val="00E4555E"/>
    <w:rsid w:val="00E56313"/>
    <w:rsid w:val="00E575C9"/>
    <w:rsid w:val="00E57A4B"/>
    <w:rsid w:val="00E57BAA"/>
    <w:rsid w:val="00E61B35"/>
    <w:rsid w:val="00E624AF"/>
    <w:rsid w:val="00E65E40"/>
    <w:rsid w:val="00E746B1"/>
    <w:rsid w:val="00E747B5"/>
    <w:rsid w:val="00E77DC1"/>
    <w:rsid w:val="00E800DE"/>
    <w:rsid w:val="00E82A77"/>
    <w:rsid w:val="00E831CE"/>
    <w:rsid w:val="00E85158"/>
    <w:rsid w:val="00E87A51"/>
    <w:rsid w:val="00E90F7F"/>
    <w:rsid w:val="00E925B3"/>
    <w:rsid w:val="00E95952"/>
    <w:rsid w:val="00E96325"/>
    <w:rsid w:val="00E97D73"/>
    <w:rsid w:val="00EA076B"/>
    <w:rsid w:val="00EA28C7"/>
    <w:rsid w:val="00EA4F20"/>
    <w:rsid w:val="00EA5724"/>
    <w:rsid w:val="00EA6B08"/>
    <w:rsid w:val="00EB0585"/>
    <w:rsid w:val="00EB2068"/>
    <w:rsid w:val="00EB5512"/>
    <w:rsid w:val="00EB63DE"/>
    <w:rsid w:val="00EC2ECD"/>
    <w:rsid w:val="00EC49AA"/>
    <w:rsid w:val="00EC4F8E"/>
    <w:rsid w:val="00EE0ABE"/>
    <w:rsid w:val="00EE45D4"/>
    <w:rsid w:val="00EE54F6"/>
    <w:rsid w:val="00EF139F"/>
    <w:rsid w:val="00EF1538"/>
    <w:rsid w:val="00EF2B36"/>
    <w:rsid w:val="00EF48AC"/>
    <w:rsid w:val="00F06F0E"/>
    <w:rsid w:val="00F16A7C"/>
    <w:rsid w:val="00F21189"/>
    <w:rsid w:val="00F22FFB"/>
    <w:rsid w:val="00F2332E"/>
    <w:rsid w:val="00F324E9"/>
    <w:rsid w:val="00F349BC"/>
    <w:rsid w:val="00F352EA"/>
    <w:rsid w:val="00F359A5"/>
    <w:rsid w:val="00F36C4C"/>
    <w:rsid w:val="00F40BA4"/>
    <w:rsid w:val="00F5307C"/>
    <w:rsid w:val="00F533F4"/>
    <w:rsid w:val="00F53652"/>
    <w:rsid w:val="00F602B1"/>
    <w:rsid w:val="00F61D0D"/>
    <w:rsid w:val="00F66851"/>
    <w:rsid w:val="00F70B0D"/>
    <w:rsid w:val="00F710B9"/>
    <w:rsid w:val="00F7116B"/>
    <w:rsid w:val="00F72325"/>
    <w:rsid w:val="00F75D79"/>
    <w:rsid w:val="00F75E3A"/>
    <w:rsid w:val="00F76F90"/>
    <w:rsid w:val="00F81611"/>
    <w:rsid w:val="00F82852"/>
    <w:rsid w:val="00F853B9"/>
    <w:rsid w:val="00F858F5"/>
    <w:rsid w:val="00FA2C0F"/>
    <w:rsid w:val="00FA5DEF"/>
    <w:rsid w:val="00FB316E"/>
    <w:rsid w:val="00FB3BC0"/>
    <w:rsid w:val="00FB5065"/>
    <w:rsid w:val="00FB69EA"/>
    <w:rsid w:val="00FC17AE"/>
    <w:rsid w:val="00FC59FA"/>
    <w:rsid w:val="00FD251F"/>
    <w:rsid w:val="00FD2C08"/>
    <w:rsid w:val="00FD32CF"/>
    <w:rsid w:val="00FD7745"/>
    <w:rsid w:val="00FE27F4"/>
    <w:rsid w:val="00FE66D0"/>
    <w:rsid w:val="00FE7889"/>
    <w:rsid w:val="00FE7D4E"/>
    <w:rsid w:val="00FF3316"/>
    <w:rsid w:val="00FF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17C62"/>
  <w15:docId w15:val="{B30A9422-F966-4CCC-9190-87050D8C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6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041FA"/>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041F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842B7"/>
    <w:rPr>
      <w:color w:val="0000FF" w:themeColor="hyperlink"/>
      <w:u w:val="single"/>
    </w:rPr>
  </w:style>
  <w:style w:type="character" w:customStyle="1" w:styleId="UnresolvedMention1">
    <w:name w:val="Unresolved Mention1"/>
    <w:basedOn w:val="DefaultParagraphFont"/>
    <w:uiPriority w:val="99"/>
    <w:semiHidden/>
    <w:unhideWhenUsed/>
    <w:rsid w:val="00C842B7"/>
    <w:rPr>
      <w:color w:val="808080"/>
      <w:shd w:val="clear" w:color="auto" w:fill="E6E6E6"/>
    </w:rPr>
  </w:style>
  <w:style w:type="paragraph" w:styleId="Revision">
    <w:name w:val="Revision"/>
    <w:hidden/>
    <w:uiPriority w:val="99"/>
    <w:semiHidden/>
    <w:rsid w:val="00F602B1"/>
    <w:pPr>
      <w:spacing w:after="0" w:line="240" w:lineRule="auto"/>
    </w:pPr>
  </w:style>
  <w:style w:type="character" w:styleId="FollowedHyperlink">
    <w:name w:val="FollowedHyperlink"/>
    <w:basedOn w:val="DefaultParagraphFont"/>
    <w:uiPriority w:val="99"/>
    <w:semiHidden/>
    <w:unhideWhenUsed/>
    <w:rsid w:val="007224EF"/>
    <w:rPr>
      <w:color w:val="800080" w:themeColor="followedHyperlink"/>
      <w:u w:val="single"/>
    </w:rPr>
  </w:style>
  <w:style w:type="character" w:customStyle="1" w:styleId="UnresolvedMention2">
    <w:name w:val="Unresolved Mention2"/>
    <w:basedOn w:val="DefaultParagraphFont"/>
    <w:uiPriority w:val="99"/>
    <w:semiHidden/>
    <w:unhideWhenUsed/>
    <w:rsid w:val="004672A6"/>
    <w:rPr>
      <w:color w:val="808080"/>
      <w:shd w:val="clear" w:color="auto" w:fill="E6E6E6"/>
    </w:rPr>
  </w:style>
  <w:style w:type="character" w:customStyle="1" w:styleId="UnresolvedMention3">
    <w:name w:val="Unresolved Mention3"/>
    <w:basedOn w:val="DefaultParagraphFont"/>
    <w:uiPriority w:val="99"/>
    <w:semiHidden/>
    <w:unhideWhenUsed/>
    <w:rsid w:val="003C1FEE"/>
    <w:rPr>
      <w:color w:val="808080"/>
      <w:shd w:val="clear" w:color="auto" w:fill="E6E6E6"/>
    </w:rPr>
  </w:style>
  <w:style w:type="character" w:customStyle="1" w:styleId="UnresolvedMention4">
    <w:name w:val="Unresolved Mention4"/>
    <w:basedOn w:val="DefaultParagraphFont"/>
    <w:uiPriority w:val="99"/>
    <w:semiHidden/>
    <w:unhideWhenUsed/>
    <w:rsid w:val="0080234B"/>
    <w:rPr>
      <w:color w:val="808080"/>
      <w:shd w:val="clear" w:color="auto" w:fill="E6E6E6"/>
    </w:rPr>
  </w:style>
  <w:style w:type="character" w:customStyle="1" w:styleId="UnresolvedMention5">
    <w:name w:val="Unresolved Mention5"/>
    <w:basedOn w:val="DefaultParagraphFont"/>
    <w:uiPriority w:val="99"/>
    <w:semiHidden/>
    <w:unhideWhenUsed/>
    <w:rsid w:val="00685D04"/>
    <w:rPr>
      <w:color w:val="605E5C"/>
      <w:shd w:val="clear" w:color="auto" w:fill="E1DFDD"/>
    </w:rPr>
  </w:style>
  <w:style w:type="paragraph" w:customStyle="1" w:styleId="TableParagraph">
    <w:name w:val="Table Paragraph"/>
    <w:basedOn w:val="Normal"/>
    <w:uiPriority w:val="1"/>
    <w:qFormat/>
    <w:rsid w:val="004E6D37"/>
    <w:pPr>
      <w:widowControl w:val="0"/>
      <w:autoSpaceDE w:val="0"/>
      <w:autoSpaceDN w:val="0"/>
      <w:spacing w:after="0" w:line="240" w:lineRule="auto"/>
    </w:pPr>
    <w:rPr>
      <w:rFonts w:ascii="Arial" w:eastAsia="Arial" w:hAnsi="Arial" w:cs="Arial"/>
      <w:lang w:bidi="en-US"/>
    </w:rPr>
  </w:style>
  <w:style w:type="paragraph" w:styleId="FootnoteText">
    <w:name w:val="footnote text"/>
    <w:basedOn w:val="Normal"/>
    <w:link w:val="FootnoteTextChar"/>
    <w:uiPriority w:val="99"/>
    <w:semiHidden/>
    <w:unhideWhenUsed/>
    <w:rsid w:val="00614D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4D03"/>
    <w:rPr>
      <w:sz w:val="20"/>
      <w:szCs w:val="20"/>
    </w:rPr>
  </w:style>
  <w:style w:type="character" w:styleId="FootnoteReference">
    <w:name w:val="footnote reference"/>
    <w:basedOn w:val="DefaultParagraphFont"/>
    <w:uiPriority w:val="99"/>
    <w:semiHidden/>
    <w:unhideWhenUsed/>
    <w:rsid w:val="00614D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88519">
      <w:bodyDiv w:val="1"/>
      <w:marLeft w:val="0"/>
      <w:marRight w:val="0"/>
      <w:marTop w:val="0"/>
      <w:marBottom w:val="0"/>
      <w:divBdr>
        <w:top w:val="none" w:sz="0" w:space="0" w:color="auto"/>
        <w:left w:val="none" w:sz="0" w:space="0" w:color="auto"/>
        <w:bottom w:val="none" w:sz="0" w:space="0" w:color="auto"/>
        <w:right w:val="none" w:sz="0" w:space="0" w:color="auto"/>
      </w:divBdr>
    </w:div>
    <w:div w:id="186410528">
      <w:bodyDiv w:val="1"/>
      <w:marLeft w:val="0"/>
      <w:marRight w:val="0"/>
      <w:marTop w:val="0"/>
      <w:marBottom w:val="0"/>
      <w:divBdr>
        <w:top w:val="none" w:sz="0" w:space="0" w:color="auto"/>
        <w:left w:val="none" w:sz="0" w:space="0" w:color="auto"/>
        <w:bottom w:val="none" w:sz="0" w:space="0" w:color="auto"/>
        <w:right w:val="none" w:sz="0" w:space="0" w:color="auto"/>
      </w:divBdr>
      <w:divsChild>
        <w:div w:id="489446787">
          <w:marLeft w:val="0"/>
          <w:marRight w:val="0"/>
          <w:marTop w:val="0"/>
          <w:marBottom w:val="0"/>
          <w:divBdr>
            <w:top w:val="none" w:sz="0" w:space="0" w:color="auto"/>
            <w:left w:val="none" w:sz="0" w:space="0" w:color="auto"/>
            <w:bottom w:val="none" w:sz="0" w:space="0" w:color="auto"/>
            <w:right w:val="none" w:sz="0" w:space="0" w:color="auto"/>
          </w:divBdr>
        </w:div>
        <w:div w:id="1906716222">
          <w:marLeft w:val="0"/>
          <w:marRight w:val="0"/>
          <w:marTop w:val="0"/>
          <w:marBottom w:val="0"/>
          <w:divBdr>
            <w:top w:val="none" w:sz="0" w:space="0" w:color="auto"/>
            <w:left w:val="none" w:sz="0" w:space="0" w:color="auto"/>
            <w:bottom w:val="none" w:sz="0" w:space="0" w:color="auto"/>
            <w:right w:val="none" w:sz="0" w:space="0" w:color="auto"/>
          </w:divBdr>
        </w:div>
      </w:divsChild>
    </w:div>
    <w:div w:id="224026587">
      <w:bodyDiv w:val="1"/>
      <w:marLeft w:val="0"/>
      <w:marRight w:val="0"/>
      <w:marTop w:val="0"/>
      <w:marBottom w:val="0"/>
      <w:divBdr>
        <w:top w:val="none" w:sz="0" w:space="0" w:color="auto"/>
        <w:left w:val="none" w:sz="0" w:space="0" w:color="auto"/>
        <w:bottom w:val="none" w:sz="0" w:space="0" w:color="auto"/>
        <w:right w:val="none" w:sz="0" w:space="0" w:color="auto"/>
      </w:divBdr>
    </w:div>
    <w:div w:id="405618043">
      <w:bodyDiv w:val="1"/>
      <w:marLeft w:val="0"/>
      <w:marRight w:val="0"/>
      <w:marTop w:val="0"/>
      <w:marBottom w:val="0"/>
      <w:divBdr>
        <w:top w:val="none" w:sz="0" w:space="0" w:color="auto"/>
        <w:left w:val="none" w:sz="0" w:space="0" w:color="auto"/>
        <w:bottom w:val="none" w:sz="0" w:space="0" w:color="auto"/>
        <w:right w:val="none" w:sz="0" w:space="0" w:color="auto"/>
      </w:divBdr>
    </w:div>
    <w:div w:id="552042354">
      <w:bodyDiv w:val="1"/>
      <w:marLeft w:val="0"/>
      <w:marRight w:val="0"/>
      <w:marTop w:val="0"/>
      <w:marBottom w:val="0"/>
      <w:divBdr>
        <w:top w:val="none" w:sz="0" w:space="0" w:color="auto"/>
        <w:left w:val="none" w:sz="0" w:space="0" w:color="auto"/>
        <w:bottom w:val="none" w:sz="0" w:space="0" w:color="auto"/>
        <w:right w:val="none" w:sz="0" w:space="0" w:color="auto"/>
      </w:divBdr>
    </w:div>
    <w:div w:id="677970252">
      <w:bodyDiv w:val="1"/>
      <w:marLeft w:val="0"/>
      <w:marRight w:val="0"/>
      <w:marTop w:val="0"/>
      <w:marBottom w:val="0"/>
      <w:divBdr>
        <w:top w:val="none" w:sz="0" w:space="0" w:color="auto"/>
        <w:left w:val="none" w:sz="0" w:space="0" w:color="auto"/>
        <w:bottom w:val="none" w:sz="0" w:space="0" w:color="auto"/>
        <w:right w:val="none" w:sz="0" w:space="0" w:color="auto"/>
      </w:divBdr>
    </w:div>
    <w:div w:id="1027558832">
      <w:bodyDiv w:val="1"/>
      <w:marLeft w:val="0"/>
      <w:marRight w:val="0"/>
      <w:marTop w:val="0"/>
      <w:marBottom w:val="0"/>
      <w:divBdr>
        <w:top w:val="none" w:sz="0" w:space="0" w:color="auto"/>
        <w:left w:val="none" w:sz="0" w:space="0" w:color="auto"/>
        <w:bottom w:val="none" w:sz="0" w:space="0" w:color="auto"/>
        <w:right w:val="none" w:sz="0" w:space="0" w:color="auto"/>
      </w:divBdr>
    </w:div>
    <w:div w:id="1445805748">
      <w:bodyDiv w:val="1"/>
      <w:marLeft w:val="0"/>
      <w:marRight w:val="0"/>
      <w:marTop w:val="0"/>
      <w:marBottom w:val="0"/>
      <w:divBdr>
        <w:top w:val="none" w:sz="0" w:space="0" w:color="auto"/>
        <w:left w:val="none" w:sz="0" w:space="0" w:color="auto"/>
        <w:bottom w:val="none" w:sz="0" w:space="0" w:color="auto"/>
        <w:right w:val="none" w:sz="0" w:space="0" w:color="auto"/>
      </w:divBdr>
    </w:div>
    <w:div w:id="1590506836">
      <w:bodyDiv w:val="1"/>
      <w:marLeft w:val="0"/>
      <w:marRight w:val="0"/>
      <w:marTop w:val="0"/>
      <w:marBottom w:val="0"/>
      <w:divBdr>
        <w:top w:val="none" w:sz="0" w:space="0" w:color="auto"/>
        <w:left w:val="none" w:sz="0" w:space="0" w:color="auto"/>
        <w:bottom w:val="none" w:sz="0" w:space="0" w:color="auto"/>
        <w:right w:val="none" w:sz="0" w:space="0" w:color="auto"/>
      </w:divBdr>
    </w:div>
    <w:div w:id="1741977169">
      <w:bodyDiv w:val="1"/>
      <w:marLeft w:val="0"/>
      <w:marRight w:val="0"/>
      <w:marTop w:val="0"/>
      <w:marBottom w:val="0"/>
      <w:divBdr>
        <w:top w:val="none" w:sz="0" w:space="0" w:color="auto"/>
        <w:left w:val="none" w:sz="0" w:space="0" w:color="auto"/>
        <w:bottom w:val="none" w:sz="0" w:space="0" w:color="auto"/>
        <w:right w:val="none" w:sz="0" w:space="0" w:color="auto"/>
      </w:divBdr>
    </w:div>
    <w:div w:id="1975525358">
      <w:bodyDiv w:val="1"/>
      <w:marLeft w:val="0"/>
      <w:marRight w:val="0"/>
      <w:marTop w:val="0"/>
      <w:marBottom w:val="0"/>
      <w:divBdr>
        <w:top w:val="none" w:sz="0" w:space="0" w:color="auto"/>
        <w:left w:val="none" w:sz="0" w:space="0" w:color="auto"/>
        <w:bottom w:val="none" w:sz="0" w:space="0" w:color="auto"/>
        <w:right w:val="none" w:sz="0" w:space="0" w:color="auto"/>
      </w:divBdr>
    </w:div>
    <w:div w:id="2009090322">
      <w:bodyDiv w:val="1"/>
      <w:marLeft w:val="0"/>
      <w:marRight w:val="0"/>
      <w:marTop w:val="0"/>
      <w:marBottom w:val="0"/>
      <w:divBdr>
        <w:top w:val="none" w:sz="0" w:space="0" w:color="auto"/>
        <w:left w:val="none" w:sz="0" w:space="0" w:color="auto"/>
        <w:bottom w:val="none" w:sz="0" w:space="0" w:color="auto"/>
        <w:right w:val="none" w:sz="0" w:space="0" w:color="auto"/>
      </w:divBdr>
    </w:div>
    <w:div w:id="2033919144">
      <w:bodyDiv w:val="1"/>
      <w:marLeft w:val="0"/>
      <w:marRight w:val="0"/>
      <w:marTop w:val="0"/>
      <w:marBottom w:val="0"/>
      <w:divBdr>
        <w:top w:val="none" w:sz="0" w:space="0" w:color="auto"/>
        <w:left w:val="none" w:sz="0" w:space="0" w:color="auto"/>
        <w:bottom w:val="none" w:sz="0" w:space="0" w:color="auto"/>
        <w:right w:val="none" w:sz="0" w:space="0" w:color="auto"/>
      </w:divBdr>
    </w:div>
    <w:div w:id="2069450645">
      <w:bodyDiv w:val="1"/>
      <w:marLeft w:val="0"/>
      <w:marRight w:val="0"/>
      <w:marTop w:val="0"/>
      <w:marBottom w:val="0"/>
      <w:divBdr>
        <w:top w:val="none" w:sz="0" w:space="0" w:color="auto"/>
        <w:left w:val="none" w:sz="0" w:space="0" w:color="auto"/>
        <w:bottom w:val="none" w:sz="0" w:space="0" w:color="auto"/>
        <w:right w:val="none" w:sz="0" w:space="0" w:color="auto"/>
      </w:divBdr>
    </w:div>
    <w:div w:id="208498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di.roberts@otak.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et_meldrum@nps.go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x.doi.org/10.2139/ssrn.2821124" TargetMode="External"/><Relationship Id="rId1" Type="http://schemas.openxmlformats.org/officeDocument/2006/relationships/hyperlink" Target="https://ssrn.com/abstract=282112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305B6-C27B-4F47-BC7A-B198E7A42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3921</Words>
  <Characters>22352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Ryan</dc:creator>
  <cp:keywords/>
  <dc:description/>
  <cp:lastModifiedBy>Ponds, Phadrea D</cp:lastModifiedBy>
  <cp:revision>6</cp:revision>
  <dcterms:created xsi:type="dcterms:W3CDTF">2022-01-04T16:49:00Z</dcterms:created>
  <dcterms:modified xsi:type="dcterms:W3CDTF">2022-01-04T17:07:00Z</dcterms:modified>
</cp:coreProperties>
</file>