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751F9" w:rsidRPr="00E85B7F" w14:paraId="7A29561A" w14:textId="4D7C7676">
      <w:pPr>
        <w:jc w:val="center"/>
      </w:pPr>
      <w:r w:rsidRPr="00E85B7F">
        <w:t>DEPARTMENT OF JUSTICE</w:t>
      </w:r>
    </w:p>
    <w:p w:rsidR="003751F9" w14:paraId="1ED92AD8" w14:textId="4006EDC8">
      <w:pPr>
        <w:jc w:val="center"/>
      </w:pPr>
      <w:r w:rsidRPr="00E85B7F">
        <w:t>BUREAU OF ALCOHOL, TOBACCO, FIREARMS AND EXPLOSIVES</w:t>
      </w:r>
    </w:p>
    <w:p w:rsidR="00382DBC" w:rsidRPr="00E85B7F" w14:paraId="3698E7DE" w14:textId="0182A69B">
      <w:pPr>
        <w:jc w:val="center"/>
      </w:pPr>
      <w:r>
        <w:t>Information Collection Request</w:t>
      </w:r>
    </w:p>
    <w:p w:rsidR="00DF6BCE" w:rsidP="00391F14" w14:paraId="4AB3F11C" w14:textId="3A0949DD">
      <w:pPr>
        <w:jc w:val="center"/>
      </w:pPr>
      <w:r>
        <w:t>OMB 1140-</w:t>
      </w:r>
      <w:r w:rsidR="00B7403D">
        <w:t>XXXX</w:t>
      </w:r>
    </w:p>
    <w:p w:rsidR="005812BA" w:rsidP="00382DBC" w14:paraId="6DB5ECF1" w14:textId="6CE226FC">
      <w:pPr>
        <w:jc w:val="center"/>
      </w:pPr>
      <w:bookmarkStart w:id="0" w:name="_Hlk112411512"/>
      <w:r>
        <w:t>Request for Restricted 922(o) Machine Gun</w:t>
      </w:r>
      <w:r w:rsidR="00E3166C">
        <w:t xml:space="preserve"> (National Firearms Act)</w:t>
      </w:r>
      <w:r w:rsidR="00382DBC">
        <w:t xml:space="preserve"> – </w:t>
      </w:r>
      <w:r w:rsidRPr="00E85B7F">
        <w:t>ATF F</w:t>
      </w:r>
      <w:r w:rsidR="00382DBC">
        <w:t>orm</w:t>
      </w:r>
      <w:r w:rsidRPr="00E85B7F">
        <w:t xml:space="preserve"> 5320.</w:t>
      </w:r>
      <w:r>
        <w:t>2</w:t>
      </w:r>
      <w:r w:rsidR="00B2097C">
        <w:t>4</w:t>
      </w:r>
    </w:p>
    <w:bookmarkEnd w:id="0"/>
    <w:p w:rsidR="00382DBC" w:rsidP="00382DBC" w14:paraId="34CFFD96" w14:textId="70212CF1">
      <w:pPr>
        <w:jc w:val="center"/>
      </w:pPr>
    </w:p>
    <w:p w:rsidR="00382DBC" w:rsidRPr="00391F14" w:rsidP="00382DBC" w14:paraId="614AD08E" w14:textId="3AFE823D">
      <w:pPr>
        <w:jc w:val="center"/>
        <w:rPr>
          <w:b/>
          <w:bCs/>
        </w:rPr>
      </w:pPr>
      <w:r w:rsidRPr="00382DBC">
        <w:rPr>
          <w:b/>
          <w:bCs/>
        </w:rPr>
        <w:t>SUPPORTING STATEMENT</w:t>
      </w:r>
    </w:p>
    <w:p w:rsidR="005812BA" w:rsidRPr="00E85B7F" w:rsidP="00391F14" w14:paraId="774FD913" w14:textId="77777777">
      <w:pPr>
        <w:jc w:val="center"/>
      </w:pPr>
    </w:p>
    <w:p w:rsidR="005812BA" w:rsidRPr="00E85B7F" w:rsidP="00391F14" w14:paraId="52D50935" w14:textId="558F3A60">
      <w:pPr>
        <w:ind w:hanging="720"/>
        <w:rPr>
          <w:u w:val="single"/>
        </w:rPr>
      </w:pPr>
      <w:r w:rsidRPr="00391F14">
        <w:rPr>
          <w:b/>
          <w:bCs/>
        </w:rPr>
        <w:t>A.</w:t>
      </w:r>
      <w:r w:rsidRPr="00E85B7F">
        <w:t xml:space="preserve"> </w:t>
      </w:r>
      <w:r w:rsidR="00382DBC">
        <w:t xml:space="preserve"> </w:t>
      </w:r>
      <w:r w:rsidR="00382DBC">
        <w:tab/>
      </w:r>
      <w:r w:rsidRPr="00391F14">
        <w:rPr>
          <w:b/>
          <w:bCs/>
        </w:rPr>
        <w:t>JUSTIFICATION</w:t>
      </w:r>
    </w:p>
    <w:p w:rsidR="005429C8" w:rsidP="00391F14" w14:paraId="591D2ADD" w14:textId="665A4DE9">
      <w:pPr>
        <w:pStyle w:val="ListParagraph"/>
        <w:numPr>
          <w:ilvl w:val="0"/>
          <w:numId w:val="5"/>
        </w:numPr>
        <w:spacing w:before="307" w:line="259" w:lineRule="exact"/>
        <w:ind w:left="720" w:hanging="720"/>
      </w:pPr>
      <w:r>
        <w:t xml:space="preserve">Under the provisions of 26 </w:t>
      </w:r>
      <w:r w:rsidR="00382DBC">
        <w:t>United States Code (</w:t>
      </w:r>
      <w:r>
        <w:t>U.S.C.</w:t>
      </w:r>
      <w:r w:rsidR="00382DBC">
        <w:t>) Section (</w:t>
      </w:r>
      <w:r>
        <w:t>§</w:t>
      </w:r>
      <w:r w:rsidR="00382DBC">
        <w:t>)</w:t>
      </w:r>
      <w:r>
        <w:t xml:space="preserve"> 5812, a</w:t>
      </w:r>
      <w:r w:rsidR="00BB0B05">
        <w:t xml:space="preserve"> </w:t>
      </w:r>
      <w:r w:rsidR="00382DBC">
        <w:t>National Firearm Act (</w:t>
      </w:r>
      <w:r>
        <w:t>NFA</w:t>
      </w:r>
      <w:r w:rsidR="00382DBC">
        <w:t>)</w:t>
      </w:r>
      <w:r>
        <w:t xml:space="preserve"> firearm shall not be transferred until the transferor has applied for and received approval from the Attorney General (delegated to </w:t>
      </w:r>
      <w:r w:rsidR="00BB0B05">
        <w:t>the Bureau of Alcohol, Tobacco, Firearms and Explosives (</w:t>
      </w:r>
      <w:r>
        <w:t>ATF)</w:t>
      </w:r>
      <w:r w:rsidR="00BB0B05">
        <w:t>),</w:t>
      </w:r>
      <w:r>
        <w:t xml:space="preserve"> and paid the applicable transfer tax. The statutory requirements are implemented in § 479.88, Title 27, Code of Federal Regulations</w:t>
      </w:r>
      <w:r w:rsidR="00BB0B05">
        <w:t xml:space="preserve"> (CFR)</w:t>
      </w:r>
      <w:r>
        <w:t>.</w:t>
      </w:r>
    </w:p>
    <w:p w:rsidR="00C1743A" w:rsidP="00391F14" w14:paraId="73821CDE" w14:textId="77777777">
      <w:pPr>
        <w:pStyle w:val="ListParagraph"/>
        <w:spacing w:before="307" w:line="259" w:lineRule="exact"/>
        <w:ind w:left="810" w:hanging="720"/>
      </w:pPr>
    </w:p>
    <w:p w:rsidR="005429C8" w:rsidP="00391F14" w14:paraId="18063F95" w14:textId="3E3A7CAE">
      <w:pPr>
        <w:pStyle w:val="ListParagraph"/>
        <w:spacing w:before="307" w:line="259" w:lineRule="exact"/>
      </w:pPr>
      <w:r>
        <w:t>Th</w:t>
      </w:r>
      <w:r w:rsidR="00BB0B05">
        <w:t xml:space="preserve">e </w:t>
      </w:r>
      <w:r w:rsidRPr="00BB0B05" w:rsidR="00BB0B05">
        <w:t>Request for Restricted 922(o) Machine Gun (National Firearms Act) – ATF Form 5320.24</w:t>
      </w:r>
      <w:r w:rsidR="00BB0B05">
        <w:t xml:space="preserve"> </w:t>
      </w:r>
      <w:bookmarkStart w:id="1" w:name="_Hlk112411797"/>
      <w:r w:rsidR="00BB0B05">
        <w:t>(ATF Form 5320.24)</w:t>
      </w:r>
      <w:bookmarkEnd w:id="1"/>
      <w:r>
        <w:t xml:space="preserve"> is filed by Federal </w:t>
      </w:r>
      <w:r w:rsidR="00391F14">
        <w:t>F</w:t>
      </w:r>
      <w:r>
        <w:t xml:space="preserve">irearms </w:t>
      </w:r>
      <w:r w:rsidR="00391F14">
        <w:t>L</w:t>
      </w:r>
      <w:r>
        <w:t>icensees who have paid the special</w:t>
      </w:r>
      <w:r w:rsidR="00BB0B05">
        <w:t xml:space="preserve"> </w:t>
      </w:r>
      <w:r>
        <w:t>(occupational) tax to import, manufacture</w:t>
      </w:r>
      <w:r w:rsidR="00BB0B05">
        <w:t>,</w:t>
      </w:r>
      <w:r>
        <w:t xml:space="preserve"> deal in</w:t>
      </w:r>
      <w:r w:rsidR="00BB0B05">
        <w:t xml:space="preserve">, or </w:t>
      </w:r>
      <w:r>
        <w:t>transfer an NFA firearm to a similarly qualified licensee.</w:t>
      </w:r>
      <w:r w:rsidR="00C1743A">
        <w:t xml:space="preserve"> Th</w:t>
      </w:r>
      <w:r w:rsidR="00BB0B05">
        <w:t xml:space="preserve">e completed </w:t>
      </w:r>
      <w:r w:rsidRPr="00BB0B05" w:rsidR="00BB0B05">
        <w:t>ATF Form 5320.2</w:t>
      </w:r>
      <w:r w:rsidR="006B7942">
        <w:t>4</w:t>
      </w:r>
      <w:r w:rsidR="00C1743A">
        <w:t xml:space="preserve"> will </w:t>
      </w:r>
      <w:r w:rsidR="006B7942">
        <w:t>also</w:t>
      </w:r>
      <w:r w:rsidR="00C1743A">
        <w:t xml:space="preserve"> </w:t>
      </w:r>
      <w:r w:rsidR="00BB0B05">
        <w:t xml:space="preserve">serve as </w:t>
      </w:r>
      <w:r w:rsidR="00C1743A">
        <w:t xml:space="preserve">supporting documentation for </w:t>
      </w:r>
      <w:r w:rsidR="00BB0B05">
        <w:t xml:space="preserve">the </w:t>
      </w:r>
      <w:r w:rsidRPr="00BB0B05" w:rsidR="00BB0B05">
        <w:t>Application for Tax-Exempt Transfer of Firearm and Registration to Special Occupational Taxpayer - ATF Form 3 (5320.3)</w:t>
      </w:r>
      <w:r w:rsidR="00BB0B05">
        <w:t xml:space="preserve"> (ATF </w:t>
      </w:r>
      <w:r w:rsidR="00C1743A">
        <w:t>Form 3</w:t>
      </w:r>
      <w:r w:rsidR="00BB0B05">
        <w:t xml:space="preserve">), which must </w:t>
      </w:r>
      <w:r w:rsidR="00C1743A">
        <w:t xml:space="preserve">be completed by </w:t>
      </w:r>
      <w:r w:rsidR="00E05087">
        <w:t xml:space="preserve">a </w:t>
      </w:r>
      <w:r w:rsidR="00DB24AC">
        <w:t>l</w:t>
      </w:r>
      <w:r w:rsidR="00C1743A">
        <w:t xml:space="preserve">aw </w:t>
      </w:r>
      <w:r w:rsidR="00DB24AC">
        <w:t>e</w:t>
      </w:r>
      <w:r w:rsidR="00C1743A">
        <w:t xml:space="preserve">nforcement authority requesting demonstration of 922(o) restricted machineguns. </w:t>
      </w:r>
    </w:p>
    <w:p w:rsidR="00C1743A" w:rsidP="00391F14" w14:paraId="00F80ABC" w14:textId="77777777">
      <w:pPr>
        <w:pStyle w:val="ListParagraph"/>
        <w:spacing w:before="307" w:line="259" w:lineRule="exact"/>
        <w:ind w:hanging="720"/>
      </w:pPr>
    </w:p>
    <w:p w:rsidR="00C1743A" w:rsidRPr="006B7942" w:rsidP="006B7942" w14:paraId="59C0798A" w14:textId="256E2104">
      <w:pPr>
        <w:pStyle w:val="ListParagraph"/>
        <w:spacing w:before="307" w:line="259" w:lineRule="exact"/>
        <w:rPr>
          <w:highlight w:val="yellow"/>
        </w:rPr>
      </w:pPr>
      <w:r>
        <w:t>Title 27</w:t>
      </w:r>
      <w:r w:rsidR="00E05087">
        <w:t xml:space="preserve"> CFR</w:t>
      </w:r>
      <w:r>
        <w:t xml:space="preserve"> § 479.105 requires that applications to transfer and register “post-1986” machineguns be approved</w:t>
      </w:r>
      <w:r w:rsidR="00E05087">
        <w:t>,</w:t>
      </w:r>
      <w:r>
        <w:t xml:space="preserve"> if it is established by specific information</w:t>
      </w:r>
      <w:r w:rsidR="00E05087">
        <w:t xml:space="preserve"> provided by</w:t>
      </w:r>
      <w:r>
        <w:t xml:space="preserve"> </w:t>
      </w:r>
      <w:r w:rsidR="00E05087">
        <w:t>a prospective</w:t>
      </w:r>
      <w:r>
        <w:t xml:space="preserve"> </w:t>
      </w:r>
      <w:r w:rsidR="006B7942">
        <w:t>G</w:t>
      </w:r>
      <w:r>
        <w:t>overnmen</w:t>
      </w:r>
      <w:r w:rsidR="006B7942">
        <w:t>t</w:t>
      </w:r>
      <w:r>
        <w:t xml:space="preserve"> customer</w:t>
      </w:r>
      <w:r w:rsidR="006B7942">
        <w:t>,</w:t>
      </w:r>
      <w:r w:rsidR="00E05087">
        <w:t xml:space="preserve"> who requires a</w:t>
      </w:r>
      <w:r>
        <w:t xml:space="preserve"> demonstration of the firearm</w:t>
      </w:r>
      <w:r w:rsidR="00E05087">
        <w:t xml:space="preserve"> or</w:t>
      </w:r>
      <w:r>
        <w:t xml:space="preserve"> information </w:t>
      </w:r>
      <w:r w:rsidR="00E05087">
        <w:t>about</w:t>
      </w:r>
      <w:r>
        <w:t xml:space="preserve"> the availability of the machinegun to fill subsequent orders</w:t>
      </w:r>
      <w:r w:rsidR="00E05087">
        <w:t xml:space="preserve">. These requests must also be approved </w:t>
      </w:r>
      <w:r w:rsidR="006B7942">
        <w:t>if the applicant</w:t>
      </w:r>
      <w:r w:rsidR="00E05087">
        <w:t xml:space="preserve"> has </w:t>
      </w:r>
      <w:r w:rsidR="006B7942">
        <w:t xml:space="preserve">submitted </w:t>
      </w:r>
      <w:r>
        <w:t>letters from governmental entities expressing a need for a particular model</w:t>
      </w:r>
      <w:r w:rsidR="00E05087">
        <w:t xml:space="preserve"> firearm</w:t>
      </w:r>
      <w:r>
        <w:t xml:space="preserve"> or interest in seeing a demonstration of a particular machinegun. The regulation further requires that applications to transfer more than one machinegun must also establish the dealer’s need for the quantity of samples </w:t>
      </w:r>
      <w:r w:rsidR="006B7942">
        <w:t>they are requesting to be</w:t>
      </w:r>
      <w:r>
        <w:t xml:space="preserve"> transferred.  </w:t>
      </w:r>
    </w:p>
    <w:p w:rsidR="00C1743A" w:rsidP="00391F14" w14:paraId="360ED3C4" w14:textId="44109756">
      <w:pPr>
        <w:spacing w:before="264" w:line="288" w:lineRule="exact"/>
        <w:ind w:left="720" w:hanging="720"/>
        <w:rPr>
          <w:highlight w:val="yellow"/>
        </w:rPr>
      </w:pPr>
      <w:r w:rsidRPr="00092A39">
        <w:t xml:space="preserve">2. </w:t>
      </w:r>
      <w:r w:rsidRPr="00092A39">
        <w:tab/>
      </w:r>
      <w:bookmarkStart w:id="2" w:name="_Hlk112412792"/>
      <w:r w:rsidRPr="00092A39">
        <w:t>ATF Form 5320.24</w:t>
      </w:r>
      <w:bookmarkEnd w:id="2"/>
      <w:r w:rsidRPr="00092A39">
        <w:t xml:space="preserve"> will be used by </w:t>
      </w:r>
      <w:r w:rsidR="00E05087">
        <w:t>d</w:t>
      </w:r>
      <w:r w:rsidRPr="00092A39" w:rsidR="00E05087">
        <w:t xml:space="preserve">elegated </w:t>
      </w:r>
      <w:r w:rsidR="00E05087">
        <w:t>l</w:t>
      </w:r>
      <w:r w:rsidRPr="00092A39" w:rsidR="00E05087">
        <w:t xml:space="preserve">aw </w:t>
      </w:r>
      <w:r w:rsidR="0001057A">
        <w:t>e</w:t>
      </w:r>
      <w:r w:rsidRPr="00092A39" w:rsidR="0001057A">
        <w:t xml:space="preserve">nforcement </w:t>
      </w:r>
      <w:r w:rsidRPr="00092A39">
        <w:t>entity when request</w:t>
      </w:r>
      <w:r w:rsidR="0001057A">
        <w:t>ing a</w:t>
      </w:r>
      <w:r w:rsidRPr="00092A39">
        <w:t xml:space="preserve"> demonstration of restricted </w:t>
      </w:r>
      <w:r w:rsidRPr="00092A39" w:rsidR="0001057A">
        <w:t>machineguns</w:t>
      </w:r>
      <w:r w:rsidR="0001057A">
        <w:t xml:space="preserve"> and</w:t>
      </w:r>
      <w:r w:rsidRPr="00092A39">
        <w:t xml:space="preserve"> will accompany a</w:t>
      </w:r>
      <w:r w:rsidR="0001057A">
        <w:t xml:space="preserve"> completed </w:t>
      </w:r>
      <w:r w:rsidRPr="00092A39">
        <w:t>ATF Form 3</w:t>
      </w:r>
      <w:r w:rsidR="0001057A">
        <w:t>,</w:t>
      </w:r>
      <w:r w:rsidRPr="00092A39" w:rsidR="00092A39">
        <w:t xml:space="preserve"> </w:t>
      </w:r>
      <w:r w:rsidR="0001057A">
        <w:t xml:space="preserve">along </w:t>
      </w:r>
      <w:r w:rsidRPr="00092A39" w:rsidR="00092A39">
        <w:t>with corresponding weapon information. Th</w:t>
      </w:r>
      <w:r w:rsidR="0001057A">
        <w:t xml:space="preserve">e completed </w:t>
      </w:r>
      <w:r w:rsidRPr="0001057A" w:rsidR="0001057A">
        <w:t>ATF Form 5320.24</w:t>
      </w:r>
      <w:r w:rsidRPr="00092A39" w:rsidR="00092A39">
        <w:t xml:space="preserve"> will serve as supporting documentation for all required weapon information</w:t>
      </w:r>
      <w:r w:rsidR="0001057A">
        <w:t>,</w:t>
      </w:r>
      <w:r w:rsidRPr="00092A39" w:rsidR="00092A39">
        <w:t xml:space="preserve"> to satisfy government requirements in Title 27, </w:t>
      </w:r>
      <w:r w:rsidR="0001057A">
        <w:t xml:space="preserve">CFR </w:t>
      </w:r>
      <w:r w:rsidRPr="00092A39" w:rsidR="00092A39">
        <w:t xml:space="preserve">§ 479.105. </w:t>
      </w:r>
      <w:r w:rsidR="0001057A">
        <w:t xml:space="preserve">NFA Division personnel will use the information collected on </w:t>
      </w:r>
      <w:bookmarkStart w:id="3" w:name="_Hlk112416136"/>
      <w:r w:rsidRPr="0001057A" w:rsidR="0001057A">
        <w:t>ATF Form 5320.24</w:t>
      </w:r>
      <w:r w:rsidR="00092A39">
        <w:t xml:space="preserve"> </w:t>
      </w:r>
      <w:bookmarkEnd w:id="3"/>
      <w:r w:rsidR="00092A39">
        <w:t xml:space="preserve">to verify </w:t>
      </w:r>
      <w:r w:rsidR="0001057A">
        <w:t>authentic</w:t>
      </w:r>
      <w:r w:rsidR="00DB24AC">
        <w:t>ity</w:t>
      </w:r>
      <w:r w:rsidR="0001057A">
        <w:t xml:space="preserve"> of the </w:t>
      </w:r>
      <w:r w:rsidR="00092A39">
        <w:t>demonstration</w:t>
      </w:r>
      <w:r w:rsidR="0001057A">
        <w:t xml:space="preserve"> with the </w:t>
      </w:r>
      <w:r w:rsidRPr="0001057A" w:rsidR="0001057A">
        <w:t>requesting law enforcement entity</w:t>
      </w:r>
      <w:r w:rsidR="00092A39">
        <w:t xml:space="preserve">. </w:t>
      </w:r>
    </w:p>
    <w:p w:rsidR="00577CC7" w:rsidRPr="00E85B7F" w:rsidP="00391F14" w14:paraId="610EB31B" w14:textId="6C159F50">
      <w:pPr>
        <w:spacing w:before="264" w:line="288" w:lineRule="exact"/>
        <w:ind w:left="720"/>
      </w:pPr>
      <w:r w:rsidRPr="00577CC7">
        <w:t xml:space="preserve">Supporting documentation </w:t>
      </w:r>
      <w:r w:rsidR="0001057A">
        <w:t xml:space="preserve">regarding the </w:t>
      </w:r>
      <w:r w:rsidRPr="00577CC7">
        <w:t>transfer</w:t>
      </w:r>
      <w:r w:rsidR="0001057A">
        <w:t xml:space="preserve"> of</w:t>
      </w:r>
      <w:r w:rsidRPr="00577CC7">
        <w:t xml:space="preserve"> 922(o) </w:t>
      </w:r>
      <w:r w:rsidR="0001057A">
        <w:t>r</w:t>
      </w:r>
      <w:r w:rsidRPr="00577CC7" w:rsidR="0001057A">
        <w:t xml:space="preserve">estricted </w:t>
      </w:r>
      <w:r w:rsidR="0001057A">
        <w:t>m</w:t>
      </w:r>
      <w:r w:rsidRPr="00577CC7" w:rsidR="0001057A">
        <w:t xml:space="preserve">achine </w:t>
      </w:r>
      <w:r w:rsidRPr="00577CC7">
        <w:t xml:space="preserve">guns is required for each transfer to a non-government entity. A letter from </w:t>
      </w:r>
      <w:r w:rsidR="0001057A">
        <w:t>l</w:t>
      </w:r>
      <w:r w:rsidRPr="00577CC7" w:rsidR="0001057A">
        <w:t xml:space="preserve">aw </w:t>
      </w:r>
      <w:r w:rsidR="0001057A">
        <w:t>e</w:t>
      </w:r>
      <w:r w:rsidRPr="00577CC7" w:rsidR="0001057A">
        <w:t xml:space="preserve">nforcement </w:t>
      </w:r>
      <w:r w:rsidRPr="00577CC7">
        <w:t xml:space="preserve">or Government </w:t>
      </w:r>
      <w:r w:rsidR="0001057A">
        <w:t>e</w:t>
      </w:r>
      <w:r w:rsidRPr="00577CC7" w:rsidR="0001057A">
        <w:t xml:space="preserve">ntity </w:t>
      </w:r>
      <w:r w:rsidR="0001057A">
        <w:t>must also accompany a</w:t>
      </w:r>
      <w:r w:rsidRPr="00577CC7">
        <w:t xml:space="preserve"> request</w:t>
      </w:r>
      <w:r w:rsidR="0001057A">
        <w:t xml:space="preserve"> for</w:t>
      </w:r>
      <w:r w:rsidRPr="00577CC7">
        <w:t xml:space="preserve"> demonstration</w:t>
      </w:r>
      <w:r w:rsidR="0001057A">
        <w:t xml:space="preserve">, prior to a </w:t>
      </w:r>
      <w:r w:rsidRPr="00577CC7">
        <w:t xml:space="preserve">potential machine gun purchase. </w:t>
      </w:r>
      <w:r w:rsidRPr="006B7942" w:rsidR="006B7942">
        <w:t>ATF Form 5320.24</w:t>
      </w:r>
      <w:r w:rsidRPr="00577CC7">
        <w:t xml:space="preserve"> is intended to provide applicants with a </w:t>
      </w:r>
      <w:r w:rsidR="006B7942">
        <w:t xml:space="preserve">method to provide </w:t>
      </w:r>
      <w:r w:rsidRPr="00577CC7">
        <w:t xml:space="preserve">all </w:t>
      </w:r>
      <w:r w:rsidR="006B7942">
        <w:t xml:space="preserve">required </w:t>
      </w:r>
      <w:r w:rsidRPr="00577CC7">
        <w:t xml:space="preserve">information </w:t>
      </w:r>
      <w:r w:rsidR="006B7942">
        <w:t xml:space="preserve">to complete a </w:t>
      </w:r>
      <w:r w:rsidRPr="00577CC7">
        <w:t xml:space="preserve">valid transfer. </w:t>
      </w:r>
      <w:r w:rsidR="0001057A">
        <w:t xml:space="preserve">The completed </w:t>
      </w:r>
      <w:r w:rsidRPr="0001057A" w:rsidR="0001057A">
        <w:t>ATF Form 5320.24</w:t>
      </w:r>
      <w:r w:rsidR="0001057A">
        <w:t xml:space="preserve"> </w:t>
      </w:r>
      <w:r w:rsidRPr="00577CC7">
        <w:t xml:space="preserve">will be attached to </w:t>
      </w:r>
      <w:r w:rsidR="0001057A">
        <w:t xml:space="preserve">the requestors completed </w:t>
      </w:r>
      <w:r w:rsidRPr="00577CC7">
        <w:t>ATF Form 3 machine gun transfer application.</w:t>
      </w:r>
    </w:p>
    <w:p w:rsidR="005812BA" w:rsidRPr="00E85B7F" w:rsidP="00391F14" w14:paraId="5C407BE4" w14:textId="77777777">
      <w:pPr>
        <w:ind w:left="720" w:hanging="720"/>
      </w:pPr>
    </w:p>
    <w:p w:rsidR="00F214F8" w:rsidRPr="002E05CE" w:rsidP="00391F14" w14:paraId="1A002149" w14:textId="5DAF3A76">
      <w:pPr>
        <w:pStyle w:val="Default"/>
        <w:numPr>
          <w:ilvl w:val="0"/>
          <w:numId w:val="6"/>
        </w:numPr>
        <w:ind w:left="720" w:hanging="720"/>
        <w:rPr>
          <w:sz w:val="23"/>
          <w:szCs w:val="23"/>
        </w:rPr>
      </w:pPr>
      <w:r>
        <w:t>The fillable</w:t>
      </w:r>
      <w:bookmarkStart w:id="4" w:name="_Hlk112413607"/>
      <w:r>
        <w:t xml:space="preserve"> </w:t>
      </w:r>
      <w:r w:rsidRPr="0095233F">
        <w:t>ATF Form 5320.24</w:t>
      </w:r>
      <w:bookmarkEnd w:id="4"/>
      <w:r w:rsidRPr="002E05CE" w:rsidR="005812BA">
        <w:t xml:space="preserve"> is available on the ATF website </w:t>
      </w:r>
      <w:r>
        <w:t xml:space="preserve">for </w:t>
      </w:r>
      <w:r w:rsidRPr="002E05CE" w:rsidR="005423EC">
        <w:rPr>
          <w:sz w:val="23"/>
          <w:szCs w:val="23"/>
        </w:rPr>
        <w:t>download</w:t>
      </w:r>
      <w:r>
        <w:rPr>
          <w:sz w:val="23"/>
          <w:szCs w:val="23"/>
        </w:rPr>
        <w:t>,</w:t>
      </w:r>
      <w:r w:rsidRPr="002E05CE" w:rsidR="005423EC">
        <w:rPr>
          <w:sz w:val="23"/>
          <w:szCs w:val="23"/>
        </w:rPr>
        <w:t xml:space="preserve"> print</w:t>
      </w:r>
      <w:r>
        <w:rPr>
          <w:sz w:val="23"/>
          <w:szCs w:val="23"/>
        </w:rPr>
        <w:t xml:space="preserve">, and completion </w:t>
      </w:r>
      <w:r w:rsidR="00280DC1">
        <w:rPr>
          <w:sz w:val="23"/>
          <w:szCs w:val="23"/>
        </w:rPr>
        <w:t>and can be s</w:t>
      </w:r>
      <w:r>
        <w:rPr>
          <w:sz w:val="23"/>
          <w:szCs w:val="23"/>
        </w:rPr>
        <w:t>ubmi</w:t>
      </w:r>
      <w:r w:rsidR="00280DC1">
        <w:rPr>
          <w:sz w:val="23"/>
          <w:szCs w:val="23"/>
        </w:rPr>
        <w:t xml:space="preserve">tted </w:t>
      </w:r>
      <w:r>
        <w:rPr>
          <w:sz w:val="23"/>
          <w:szCs w:val="23"/>
        </w:rPr>
        <w:t>electronically by fax or email</w:t>
      </w:r>
      <w:r w:rsidR="00EF120E">
        <w:rPr>
          <w:sz w:val="23"/>
          <w:szCs w:val="23"/>
        </w:rPr>
        <w:t xml:space="preserve">: </w:t>
      </w:r>
      <w:hyperlink r:id="rId5" w:history="1">
        <w:r w:rsidRPr="004A57FA" w:rsidR="00EF120E">
          <w:rPr>
            <w:rStyle w:val="Hyperlink"/>
            <w:sz w:val="23"/>
            <w:szCs w:val="23"/>
          </w:rPr>
          <w:t>NFAFAX@ATF.GOV</w:t>
        </w:r>
      </w:hyperlink>
      <w:r w:rsidR="00EF120E">
        <w:rPr>
          <w:sz w:val="23"/>
          <w:szCs w:val="23"/>
        </w:rPr>
        <w:t>, for processing</w:t>
      </w:r>
      <w:r w:rsidRPr="002E05CE" w:rsidR="005423EC">
        <w:rPr>
          <w:sz w:val="23"/>
          <w:szCs w:val="23"/>
        </w:rPr>
        <w:t xml:space="preserve">. </w:t>
      </w:r>
      <w:r w:rsidRPr="002E05CE" w:rsidR="002E05CE">
        <w:rPr>
          <w:sz w:val="23"/>
          <w:szCs w:val="23"/>
        </w:rPr>
        <w:t xml:space="preserve">ATF intends </w:t>
      </w:r>
      <w:r>
        <w:rPr>
          <w:sz w:val="23"/>
          <w:szCs w:val="23"/>
        </w:rPr>
        <w:t xml:space="preserve">implement a fully electronic version of the </w:t>
      </w:r>
      <w:r w:rsidRPr="0095233F">
        <w:rPr>
          <w:sz w:val="23"/>
          <w:szCs w:val="23"/>
        </w:rPr>
        <w:t>ATF Form 5320.24</w:t>
      </w:r>
      <w:r w:rsidRPr="002E05CE" w:rsidR="002E05CE">
        <w:rPr>
          <w:sz w:val="23"/>
          <w:szCs w:val="23"/>
        </w:rPr>
        <w:t xml:space="preserve"> </w:t>
      </w:r>
      <w:r>
        <w:rPr>
          <w:sz w:val="23"/>
          <w:szCs w:val="23"/>
        </w:rPr>
        <w:t xml:space="preserve">on the eForms </w:t>
      </w:r>
      <w:r w:rsidRPr="002E05CE" w:rsidR="002E05CE">
        <w:rPr>
          <w:sz w:val="23"/>
          <w:szCs w:val="23"/>
        </w:rPr>
        <w:t>platform</w:t>
      </w:r>
      <w:r>
        <w:rPr>
          <w:sz w:val="23"/>
          <w:szCs w:val="23"/>
        </w:rPr>
        <w:t xml:space="preserve"> for completion and processing.  </w:t>
      </w:r>
      <w:r w:rsidRPr="002E05CE">
        <w:rPr>
          <w:sz w:val="23"/>
          <w:szCs w:val="23"/>
        </w:rPr>
        <w:t xml:space="preserve"> </w:t>
      </w:r>
    </w:p>
    <w:p w:rsidR="00F214F8" w:rsidP="00391F14" w14:paraId="59063011" w14:textId="0876C12D">
      <w:pPr>
        <w:pStyle w:val="ListParagraph"/>
        <w:numPr>
          <w:ilvl w:val="0"/>
          <w:numId w:val="6"/>
        </w:numPr>
        <w:spacing w:before="292" w:line="288" w:lineRule="exact"/>
        <w:ind w:left="720" w:hanging="720"/>
      </w:pPr>
      <w:r>
        <w:t xml:space="preserve">NFA Division </w:t>
      </w:r>
      <w:r w:rsidR="00182BC9">
        <w:t xml:space="preserve">personnel </w:t>
      </w:r>
      <w:r>
        <w:t xml:space="preserve">will still accept </w:t>
      </w:r>
      <w:r w:rsidR="00182BC9">
        <w:t xml:space="preserve">and process </w:t>
      </w:r>
      <w:r>
        <w:t xml:space="preserve">the historically accepted Demonstration Letter. </w:t>
      </w:r>
      <w:bookmarkStart w:id="5" w:name="_Hlk112414715"/>
      <w:r w:rsidRPr="0095233F" w:rsidR="0095233F">
        <w:t>ATF Form 5320.24</w:t>
      </w:r>
      <w:r>
        <w:t xml:space="preserve"> </w:t>
      </w:r>
      <w:bookmarkEnd w:id="5"/>
      <w:r>
        <w:t xml:space="preserve">is a duplication and standardization effort </w:t>
      </w:r>
      <w:r w:rsidR="0095233F">
        <w:t xml:space="preserve">to </w:t>
      </w:r>
      <w:r>
        <w:t>collect of the information required on the Demonstration Letter</w:t>
      </w:r>
      <w:r w:rsidR="00182BC9">
        <w:t xml:space="preserve">, while reducing </w:t>
      </w:r>
      <w:r w:rsidR="00EF120E">
        <w:t>public</w:t>
      </w:r>
      <w:r w:rsidR="00182BC9">
        <w:t xml:space="preserve"> submission of requests</w:t>
      </w:r>
      <w:r w:rsidR="00EF120E">
        <w:t xml:space="preserve"> on diverse templates and formats for processing.</w:t>
      </w:r>
      <w:r>
        <w:t xml:space="preserve"> The </w:t>
      </w:r>
      <w:r w:rsidR="00EF120E">
        <w:t xml:space="preserve">implementation of </w:t>
      </w:r>
      <w:r w:rsidRPr="00EF120E" w:rsidR="00EF120E">
        <w:t>ATF Form 5320.24</w:t>
      </w:r>
      <w:r w:rsidR="00EF120E">
        <w:t xml:space="preserve"> will</w:t>
      </w:r>
      <w:r w:rsidR="00182BC9">
        <w:t xml:space="preserve"> </w:t>
      </w:r>
      <w:r w:rsidR="00EF120E">
        <w:t>allow ATF personnel to properly track, monitor, verify</w:t>
      </w:r>
      <w:r w:rsidR="00182BC9">
        <w:t>,</w:t>
      </w:r>
      <w:r w:rsidR="00EF120E">
        <w:t xml:space="preserve"> and maintain records regarding requests for demonstrations from law enforcement agencies. Th</w:t>
      </w:r>
      <w:r w:rsidR="00182BC9">
        <w:t>is</w:t>
      </w:r>
      <w:r w:rsidR="00EF120E">
        <w:t xml:space="preserve"> new form </w:t>
      </w:r>
      <w:r w:rsidR="00182BC9">
        <w:t xml:space="preserve">is also intended to </w:t>
      </w:r>
      <w:r w:rsidR="00EF120E">
        <w:t xml:space="preserve"> </w:t>
      </w:r>
      <w:r>
        <w:t xml:space="preserve"> reduc</w:t>
      </w:r>
      <w:r w:rsidR="00182BC9">
        <w:t>e</w:t>
      </w:r>
      <w:r>
        <w:t xml:space="preserve"> the potential for error</w:t>
      </w:r>
      <w:r w:rsidR="00182BC9">
        <w:t xml:space="preserve">s which often leads to the disapproval of the Demonstration </w:t>
      </w:r>
      <w:r w:rsidR="0093028C">
        <w:t>Letter and</w:t>
      </w:r>
      <w:r w:rsidR="00182BC9">
        <w:t xml:space="preserve"> eliminate the potential for the filing fraudulent requests.</w:t>
      </w:r>
    </w:p>
    <w:p w:rsidR="007065A6" w:rsidRPr="00E85B7F" w:rsidP="00391F14" w14:paraId="3491E600" w14:textId="77777777">
      <w:pPr>
        <w:pStyle w:val="ListParagraph"/>
        <w:spacing w:before="292" w:line="288" w:lineRule="exact"/>
        <w:ind w:hanging="720"/>
      </w:pPr>
    </w:p>
    <w:p w:rsidR="00E74CC5" w:rsidP="00391F14" w14:paraId="5457FDA5" w14:textId="62853DC6">
      <w:pPr>
        <w:pStyle w:val="ListParagraph"/>
        <w:numPr>
          <w:ilvl w:val="0"/>
          <w:numId w:val="6"/>
        </w:numPr>
        <w:spacing w:before="288" w:line="288" w:lineRule="exact"/>
        <w:ind w:left="720" w:hanging="720"/>
      </w:pPr>
      <w:r>
        <w:t>This co</w:t>
      </w:r>
      <w:r w:rsidRPr="00E85B7F" w:rsidR="005812BA">
        <w:t xml:space="preserve">llection has no impact on small business. The recordkeeping/reporting requirement is considered to be the minimum necessary to </w:t>
      </w:r>
      <w:r w:rsidR="00B7403D">
        <w:t>e</w:t>
      </w:r>
      <w:r w:rsidRPr="00E85B7F" w:rsidR="005812BA">
        <w:t>nsure compliance with existing regulations.</w:t>
      </w:r>
    </w:p>
    <w:p w:rsidR="00E74CC5" w:rsidRPr="00E85B7F" w:rsidP="00391F14" w14:paraId="4EAA9056" w14:textId="77777777">
      <w:pPr>
        <w:spacing w:line="288" w:lineRule="exact"/>
        <w:ind w:left="720" w:hanging="720"/>
      </w:pPr>
    </w:p>
    <w:p w:rsidR="005812BA" w:rsidRPr="00E85B7F" w:rsidP="00391F14" w14:paraId="00701494" w14:textId="241306CF">
      <w:pPr>
        <w:ind w:left="720" w:hanging="720"/>
      </w:pPr>
      <w:r w:rsidRPr="00584B25">
        <w:t xml:space="preserve">6. </w:t>
      </w:r>
      <w:r w:rsidRPr="00584B25" w:rsidR="00C05A59">
        <w:t xml:space="preserve"> </w:t>
      </w:r>
      <w:r w:rsidR="0095233F">
        <w:t xml:space="preserve">     </w:t>
      </w:r>
      <w:r w:rsidRPr="00584B25" w:rsidR="00C05A59">
        <w:t xml:space="preserve"> </w:t>
      </w:r>
      <w:r w:rsidR="00182BC9">
        <w:t xml:space="preserve"> </w:t>
      </w:r>
      <w:bookmarkStart w:id="6" w:name="_Hlk112414993"/>
      <w:r w:rsidRPr="00182BC9" w:rsidR="00182BC9">
        <w:t>ATF Form 5320.24</w:t>
      </w:r>
      <w:bookmarkEnd w:id="6"/>
      <w:r w:rsidRPr="00182BC9" w:rsidR="00182BC9">
        <w:t xml:space="preserve"> </w:t>
      </w:r>
      <w:r w:rsidR="00182BC9">
        <w:t>will be</w:t>
      </w:r>
      <w:r w:rsidRPr="00584B25" w:rsidR="00B7403D">
        <w:t xml:space="preserve"> </w:t>
      </w:r>
      <w:r w:rsidR="00182BC9">
        <w:t xml:space="preserve">the primary method for </w:t>
      </w:r>
      <w:r w:rsidRPr="00584B25" w:rsidR="00B7403D">
        <w:t>applicant</w:t>
      </w:r>
      <w:r w:rsidR="00182BC9">
        <w:t>s</w:t>
      </w:r>
      <w:r w:rsidRPr="00584B25" w:rsidR="00B7403D">
        <w:t xml:space="preserve"> to provide supporting information </w:t>
      </w:r>
      <w:r w:rsidR="00182BC9">
        <w:t>about</w:t>
      </w:r>
      <w:r w:rsidRPr="00584B25" w:rsidR="00182BC9">
        <w:t xml:space="preserve"> </w:t>
      </w:r>
      <w:r w:rsidRPr="00584B25" w:rsidR="00B7403D">
        <w:t xml:space="preserve">their </w:t>
      </w:r>
      <w:bookmarkStart w:id="7" w:name="_Hlk112414886"/>
      <w:r w:rsidRPr="00584B25" w:rsidR="00B7403D">
        <w:t>restricted machine gun transfer requests</w:t>
      </w:r>
      <w:bookmarkEnd w:id="7"/>
      <w:r w:rsidRPr="00584B25" w:rsidR="00B7403D">
        <w:t xml:space="preserve">. </w:t>
      </w:r>
      <w:r w:rsidR="00182BC9">
        <w:t xml:space="preserve">Without this information collection (IC) applicants will continue to provide incomplete information to process their </w:t>
      </w:r>
      <w:r w:rsidRPr="00182BC9" w:rsidR="00182BC9">
        <w:t>restricted machine gun transfer requests</w:t>
      </w:r>
      <w:r w:rsidR="00182BC9">
        <w:t>.</w:t>
      </w:r>
      <w:r w:rsidRPr="00584B25">
        <w:t xml:space="preserve"> </w:t>
      </w:r>
      <w:r w:rsidR="00182BC9">
        <w:t xml:space="preserve">Information collected on </w:t>
      </w:r>
      <w:r w:rsidRPr="00182BC9" w:rsidR="00182BC9">
        <w:t>ATF Form 5320.24</w:t>
      </w:r>
      <w:r w:rsidR="00182BC9">
        <w:t xml:space="preserve"> </w:t>
      </w:r>
      <w:r w:rsidRPr="00584B25">
        <w:t>is</w:t>
      </w:r>
      <w:r w:rsidR="00182BC9">
        <w:t xml:space="preserve"> also</w:t>
      </w:r>
      <w:r w:rsidRPr="00584B25">
        <w:t xml:space="preserve"> used to verify </w:t>
      </w:r>
      <w:r w:rsidRPr="00584B25" w:rsidR="00B7403D">
        <w:t xml:space="preserve">Form 3 submissions </w:t>
      </w:r>
      <w:r w:rsidR="00694487">
        <w:t xml:space="preserve">of </w:t>
      </w:r>
      <w:r w:rsidRPr="00584B25" w:rsidR="00B7403D">
        <w:t>NFA Machineguns</w:t>
      </w:r>
      <w:r w:rsidR="00694487">
        <w:t xml:space="preserve"> purchases</w:t>
      </w:r>
      <w:r w:rsidRPr="00584B25" w:rsidR="00B7403D">
        <w:t xml:space="preserve"> to be transferred in the </w:t>
      </w:r>
      <w:r w:rsidRPr="00391F14" w:rsidR="00E74B8A">
        <w:t>National Firearms Registration and Transfer Record</w:t>
      </w:r>
      <w:r w:rsidRPr="00E74B8A" w:rsidR="00E74B8A">
        <w:t> </w:t>
      </w:r>
      <w:r w:rsidR="00E74B8A">
        <w:t>(</w:t>
      </w:r>
      <w:r w:rsidRPr="00584B25" w:rsidR="00B7403D">
        <w:t>NFRTR</w:t>
      </w:r>
      <w:r w:rsidR="00E74B8A">
        <w:t>)</w:t>
      </w:r>
      <w:r w:rsidRPr="00584B25" w:rsidR="00B7403D">
        <w:t>.</w:t>
      </w:r>
    </w:p>
    <w:p w:rsidR="00584B25" w:rsidRPr="00E85B7F" w:rsidP="00391F14" w14:paraId="60838236" w14:textId="3A38925D">
      <w:pPr>
        <w:spacing w:before="244" w:line="273" w:lineRule="exact"/>
        <w:ind w:left="720" w:hanging="720"/>
      </w:pPr>
      <w:r w:rsidRPr="00E85B7F">
        <w:t xml:space="preserve">7. </w:t>
      </w:r>
      <w:r w:rsidRPr="00E85B7F">
        <w:tab/>
      </w:r>
      <w:r w:rsidRPr="007065A6">
        <w:t xml:space="preserve">This collection </w:t>
      </w:r>
      <w:r w:rsidR="00E74B8A">
        <w:t xml:space="preserve">of information </w:t>
      </w:r>
      <w:r w:rsidRPr="007065A6">
        <w:t xml:space="preserve">is consistent with the provisions of 5 CFR </w:t>
      </w:r>
      <w:r w:rsidRPr="00092A39" w:rsidR="00E74B8A">
        <w:t>§</w:t>
      </w:r>
      <w:r w:rsidR="00E74B8A">
        <w:t xml:space="preserve"> </w:t>
      </w:r>
      <w:r w:rsidRPr="007065A6">
        <w:t>1320.6. There are no special circumstances.</w:t>
      </w:r>
      <w:r w:rsidRPr="007065A6">
        <w:t xml:space="preserve"> </w:t>
      </w:r>
      <w:r w:rsidR="00E74B8A">
        <w:t xml:space="preserve">Use of this IC </w:t>
      </w:r>
      <w:r w:rsidRPr="007065A6">
        <w:t>is consistent with the provision of</w:t>
      </w:r>
      <w:r w:rsidR="00E74B8A">
        <w:t xml:space="preserve"> NFA</w:t>
      </w:r>
      <w:r w:rsidRPr="007065A6">
        <w:t xml:space="preserve"> Title 26, United States Code, Chapter 53</w:t>
      </w:r>
      <w:r w:rsidRPr="007065A6" w:rsidR="007C0C68">
        <w:t xml:space="preserve">. The implementing regulations are found in Title 27, CFR, Part 478.  </w:t>
      </w:r>
      <w:r w:rsidRPr="007065A6">
        <w:t>As provided by 26 U.S.C</w:t>
      </w:r>
      <w:r w:rsidR="00E74B8A">
        <w:t>.</w:t>
      </w:r>
      <w:r w:rsidRPr="007065A6">
        <w:t xml:space="preserve"> </w:t>
      </w:r>
      <w:r w:rsidRPr="007065A6" w:rsidR="007065A6">
        <w:t>§</w:t>
      </w:r>
      <w:r w:rsidRPr="007065A6" w:rsidR="0093028C">
        <w:t xml:space="preserve">§ </w:t>
      </w:r>
      <w:r w:rsidRPr="007065A6">
        <w:t xml:space="preserve"> 5812 and 5852, any person seeking to transfer a firearm exempt from payment of tax must complete the ATF Form 3</w:t>
      </w:r>
      <w:r w:rsidR="00E74B8A">
        <w:t xml:space="preserve">. </w:t>
      </w:r>
      <w:r w:rsidRPr="00E74B8A" w:rsidR="00E74B8A">
        <w:t>ATF Form 5320.24</w:t>
      </w:r>
      <w:r w:rsidR="00E74B8A">
        <w:t xml:space="preserve"> will be used as</w:t>
      </w:r>
      <w:r w:rsidRPr="007065A6" w:rsidR="007C0C68">
        <w:t xml:space="preserve"> the supporting documentation for applicant</w:t>
      </w:r>
      <w:r w:rsidR="00E74B8A">
        <w:t>s</w:t>
      </w:r>
      <w:r w:rsidRPr="007065A6" w:rsidR="007C0C68">
        <w:t xml:space="preserve"> requesting </w:t>
      </w:r>
      <w:r w:rsidR="00E74B8A">
        <w:t xml:space="preserve">the transfer of </w:t>
      </w:r>
      <w:r w:rsidRPr="007065A6" w:rsidR="007C0C68">
        <w:t>a restricted machinegun for law enforcement use.</w:t>
      </w:r>
    </w:p>
    <w:p w:rsidR="005812BA" w:rsidRPr="00E85B7F" w:rsidP="00391F14" w14:paraId="26A3B06E" w14:textId="52EDD532">
      <w:pPr>
        <w:spacing w:before="326" w:line="259" w:lineRule="exact"/>
        <w:ind w:left="720" w:hanging="720"/>
      </w:pPr>
      <w:r w:rsidRPr="00E85B7F">
        <w:t xml:space="preserve">8. </w:t>
      </w:r>
      <w:r w:rsidRPr="00E85B7F">
        <w:tab/>
      </w:r>
      <w:r w:rsidR="00E74B8A">
        <w:t xml:space="preserve">Both a </w:t>
      </w:r>
      <w:r w:rsidRPr="003E206F" w:rsidR="00E3166C">
        <w:t>60-day and 30-day</w:t>
      </w:r>
      <w:r w:rsidR="00E74B8A">
        <w:t xml:space="preserve"> notice will be published in the </w:t>
      </w:r>
      <w:r w:rsidRPr="003E206F" w:rsidR="00E3166C">
        <w:t xml:space="preserve">Federal Register to solicit </w:t>
      </w:r>
      <w:r w:rsidR="00E74B8A">
        <w:t xml:space="preserve">public </w:t>
      </w:r>
      <w:r w:rsidRPr="003E206F" w:rsidR="00E3166C">
        <w:t>comments</w:t>
      </w:r>
      <w:r w:rsidR="00E74B8A">
        <w:t>.</w:t>
      </w:r>
    </w:p>
    <w:p w:rsidR="005812BA" w:rsidP="00382DBC" w14:paraId="70B444C0" w14:textId="5939EB9B">
      <w:pPr>
        <w:spacing w:before="292" w:line="259" w:lineRule="exact"/>
        <w:ind w:left="720" w:hanging="720"/>
      </w:pPr>
      <w:r w:rsidRPr="00E85B7F">
        <w:t xml:space="preserve">9. </w:t>
      </w:r>
      <w:r w:rsidRPr="00E85B7F">
        <w:tab/>
        <w:t>No payment or gift is associated with this collection.</w:t>
      </w:r>
    </w:p>
    <w:p w:rsidR="00E74B8A" w:rsidRPr="00E85B7F" w:rsidP="00391F14" w14:paraId="1E10901C" w14:textId="77777777">
      <w:pPr>
        <w:spacing w:before="292"/>
        <w:contextualSpacing/>
      </w:pPr>
    </w:p>
    <w:p w:rsidR="00E74CC5" w:rsidP="00382DBC" w14:paraId="4EBE5CF4" w14:textId="487B2ACC">
      <w:pPr>
        <w:spacing w:before="120" w:line="278" w:lineRule="exact"/>
        <w:ind w:left="720" w:hanging="720"/>
      </w:pPr>
      <w:r w:rsidRPr="00E85B7F">
        <w:t xml:space="preserve">10. </w:t>
      </w:r>
      <w:r w:rsidR="00E74B8A">
        <w:tab/>
      </w:r>
      <w:r w:rsidRPr="00E85B7F" w:rsidR="005812BA">
        <w:t>In addition to the requirements for confidentiality contained in the Privacy Act, this information is classified as "tax information" or "tax return information" and any release is severely restricted by the Tax Reform Act (26 U</w:t>
      </w:r>
      <w:r w:rsidR="00E74B8A">
        <w:t>.</w:t>
      </w:r>
      <w:r w:rsidRPr="00E85B7F" w:rsidR="005812BA">
        <w:t>S</w:t>
      </w:r>
      <w:r w:rsidR="00E74B8A">
        <w:t>.</w:t>
      </w:r>
      <w:r w:rsidRPr="00E85B7F" w:rsidR="005812BA">
        <w:t>C</w:t>
      </w:r>
      <w:r w:rsidR="00E74B8A">
        <w:t xml:space="preserve">. </w:t>
      </w:r>
      <w:r w:rsidRPr="007065A6" w:rsidR="00E74B8A">
        <w:t xml:space="preserve">§ </w:t>
      </w:r>
      <w:r w:rsidRPr="00E85B7F" w:rsidR="005812BA">
        <w:t xml:space="preserve"> 6103).  </w:t>
      </w:r>
    </w:p>
    <w:p w:rsidR="00280DC1" w:rsidRPr="00E85B7F" w:rsidP="00391F14" w14:paraId="096E866D" w14:textId="77777777">
      <w:pPr>
        <w:spacing w:before="120" w:line="278" w:lineRule="exact"/>
        <w:ind w:left="720" w:hanging="720"/>
        <w:contextualSpacing/>
      </w:pPr>
    </w:p>
    <w:p w:rsidR="00E74CC5" w:rsidP="00391F14" w14:paraId="56055DC4" w14:textId="6EEA0F8F">
      <w:pPr>
        <w:spacing w:before="120" w:line="278" w:lineRule="exact"/>
        <w:ind w:left="720" w:hanging="720"/>
      </w:pPr>
      <w:r w:rsidRPr="00E85B7F">
        <w:t xml:space="preserve">11. </w:t>
      </w:r>
      <w:r w:rsidR="00E74B8A">
        <w:tab/>
      </w:r>
      <w:r w:rsidRPr="00E85B7F">
        <w:t>No questions of a sensitive nature are asked.</w:t>
      </w:r>
    </w:p>
    <w:p w:rsidR="00704DDF" w:rsidRPr="00E85B7F" w:rsidP="00391F14" w14:paraId="0D0089E6" w14:textId="77777777">
      <w:pPr>
        <w:spacing w:before="120" w:line="278" w:lineRule="exact"/>
        <w:ind w:left="720" w:hanging="720"/>
      </w:pPr>
    </w:p>
    <w:p w:rsidR="00E74B8A" w:rsidP="00391F14" w14:paraId="0C3E31F8" w14:textId="40D33C9A">
      <w:pPr>
        <w:ind w:left="720" w:hanging="720"/>
      </w:pPr>
      <w:r w:rsidRPr="007C0C68">
        <w:t>12</w:t>
      </w:r>
      <w:r w:rsidRPr="007C0C68" w:rsidR="005812BA">
        <w:t xml:space="preserve">. </w:t>
      </w:r>
      <w:r>
        <w:t xml:space="preserve">      </w:t>
      </w:r>
      <w:r w:rsidRPr="007C0C68" w:rsidR="00353B40">
        <w:t xml:space="preserve">Each filing </w:t>
      </w:r>
      <w:r w:rsidRPr="007C0C68" w:rsidR="007C0C68">
        <w:t xml:space="preserve">of this new requested form will be the supporting documentation for </w:t>
      </w:r>
      <w:r>
        <w:t xml:space="preserve">ATF </w:t>
      </w:r>
      <w:r w:rsidRPr="007C0C68" w:rsidR="007C0C68">
        <w:t xml:space="preserve">Form 3 submission. </w:t>
      </w:r>
      <w:bookmarkStart w:id="8" w:name="_Hlk112415732"/>
      <w:r w:rsidRPr="007C0C68" w:rsidR="00353B40">
        <w:t xml:space="preserve">The </w:t>
      </w:r>
      <w:r>
        <w:t xml:space="preserve">total </w:t>
      </w:r>
      <w:r w:rsidRPr="007C0C68" w:rsidR="003E206F">
        <w:t xml:space="preserve">respondents </w:t>
      </w:r>
      <w:r w:rsidR="004B752A">
        <w:t xml:space="preserve">are </w:t>
      </w:r>
      <w:r w:rsidRPr="007C0C68" w:rsidR="006602EC">
        <w:t>1,</w:t>
      </w:r>
      <w:r w:rsidRPr="007C0C68" w:rsidR="007C0C68">
        <w:t>850</w:t>
      </w:r>
      <w:bookmarkEnd w:id="8"/>
      <w:r w:rsidRPr="007C0C68" w:rsidR="003E206F">
        <w:t xml:space="preserve">.  Each respondent </w:t>
      </w:r>
      <w:r>
        <w:t xml:space="preserve">will </w:t>
      </w:r>
      <w:r w:rsidRPr="007C0C68" w:rsidR="004B752A">
        <w:t>respond</w:t>
      </w:r>
      <w:r w:rsidRPr="007C0C68" w:rsidR="003E206F">
        <w:t xml:space="preserve"> on</w:t>
      </w:r>
      <w:r w:rsidR="004B752A">
        <w:t>ce</w:t>
      </w:r>
      <w:r w:rsidRPr="007C0C68" w:rsidR="003E206F">
        <w:t xml:space="preserve"> for a total </w:t>
      </w:r>
      <w:r w:rsidRPr="007C0C68" w:rsidR="006602EC">
        <w:t>1,</w:t>
      </w:r>
      <w:r w:rsidRPr="007C0C68" w:rsidR="007C0C68">
        <w:t xml:space="preserve">850 </w:t>
      </w:r>
      <w:r w:rsidRPr="007C0C68" w:rsidR="003E206F">
        <w:t>responses. It</w:t>
      </w:r>
      <w:r>
        <w:t xml:space="preserve"> will </w:t>
      </w:r>
      <w:r w:rsidRPr="00F87B86" w:rsidR="003E206F">
        <w:t xml:space="preserve">take </w:t>
      </w:r>
      <w:r>
        <w:t xml:space="preserve">approximately </w:t>
      </w:r>
      <w:r w:rsidRPr="00F87B86" w:rsidR="00287004">
        <w:t>20</w:t>
      </w:r>
      <w:r w:rsidRPr="00F87B86" w:rsidR="003E206F">
        <w:t xml:space="preserve"> minutes </w:t>
      </w:r>
      <w:r>
        <w:t xml:space="preserve">for each </w:t>
      </w:r>
      <w:r w:rsidRPr="00F87B86" w:rsidR="003E206F">
        <w:t xml:space="preserve">respondent to </w:t>
      </w:r>
      <w:r>
        <w:t xml:space="preserve">prepare their responses for this collection. Therefore, the </w:t>
      </w:r>
      <w:r w:rsidRPr="00F87B86" w:rsidR="003E206F">
        <w:t xml:space="preserve">total annual burden for this information collection is </w:t>
      </w:r>
      <w:r w:rsidRPr="00F87B86" w:rsidR="00287004">
        <w:t>616</w:t>
      </w:r>
      <w:r w:rsidRPr="00F87B86" w:rsidR="003E206F">
        <w:t xml:space="preserve"> hours.</w:t>
      </w:r>
      <w:r w:rsidRPr="00E85B7F" w:rsidR="003E206F">
        <w:t xml:space="preserve">  </w:t>
      </w:r>
    </w:p>
    <w:p w:rsidR="00F87B86" w:rsidRPr="008C201C" w:rsidP="00391F14" w14:paraId="05DFF62D" w14:textId="7D8F3CBA">
      <w:pPr>
        <w:spacing w:before="264" w:line="278" w:lineRule="exact"/>
        <w:ind w:left="720" w:right="504" w:hanging="720"/>
        <w:jc w:val="both"/>
      </w:pPr>
      <w:r w:rsidRPr="00E85B7F">
        <w:t xml:space="preserve">13. </w:t>
      </w:r>
      <w:r w:rsidR="004B752A">
        <w:t xml:space="preserve">      </w:t>
      </w:r>
      <w:r w:rsidRPr="00E85B7F">
        <w:t>There is no startup cost or annual cost to the respondent</w:t>
      </w:r>
      <w:r w:rsidR="004B752A">
        <w:t xml:space="preserve">, since the completed form can be electronically submitted by fax or email for processing. </w:t>
      </w:r>
    </w:p>
    <w:p w:rsidR="00F87B86" w:rsidP="00391F14" w14:paraId="012D6A71" w14:textId="06F3BB9C">
      <w:pPr>
        <w:spacing w:before="278" w:line="278" w:lineRule="exact"/>
        <w:ind w:left="720" w:hanging="720"/>
      </w:pPr>
      <w:r w:rsidRPr="008C201C">
        <w:t xml:space="preserve">14. </w:t>
      </w:r>
      <w:r w:rsidR="006B7942">
        <w:tab/>
        <w:t>The e</w:t>
      </w:r>
      <w:r w:rsidRPr="008C201C">
        <w:t>stimate</w:t>
      </w:r>
      <w:r w:rsidR="006B7942">
        <w:t>d</w:t>
      </w:r>
      <w:r w:rsidRPr="008C201C">
        <w:t xml:space="preserve"> annual cost to the Federal Government</w:t>
      </w:r>
      <w:r w:rsidR="006B7942">
        <w:t xml:space="preserve"> is </w:t>
      </w:r>
      <w:r w:rsidRPr="008C201C">
        <w:t>$</w:t>
      </w:r>
      <w:r w:rsidRPr="008C201C">
        <w:t>185.50</w:t>
      </w:r>
    </w:p>
    <w:p w:rsidR="005812BA" w:rsidRPr="003E206F" w:rsidP="00391F14" w14:paraId="58EC78EE" w14:textId="70DEBD41">
      <w:pPr>
        <w:spacing w:before="28"/>
        <w:ind w:left="720" w:hanging="720"/>
      </w:pPr>
      <w:r w:rsidRPr="00E85B7F">
        <w:tab/>
      </w:r>
    </w:p>
    <w:p w:rsidR="005812BA" w:rsidRPr="003E206F" w:rsidP="00391F14" w14:paraId="02E82525" w14:textId="3BF78CF8">
      <w:pPr>
        <w:spacing w:before="28"/>
        <w:ind w:left="720" w:hanging="720"/>
      </w:pPr>
      <w:r w:rsidRPr="003E206F">
        <w:t xml:space="preserve">15. </w:t>
      </w:r>
      <w:r w:rsidR="006B7942">
        <w:tab/>
        <w:t>This is a new collection that affects the public burden. There are a total 1</w:t>
      </w:r>
      <w:r w:rsidRPr="006B7942" w:rsidR="006B7942">
        <w:t>,850</w:t>
      </w:r>
      <w:r w:rsidR="006B7942">
        <w:t xml:space="preserve"> responses and respondents to this collection. The total burden hours are 616. However, there is no public cost burden associated with this collection</w:t>
      </w:r>
      <w:r w:rsidR="00280DC1">
        <w:t xml:space="preserve"> which has electronic submission capability</w:t>
      </w:r>
      <w:r w:rsidR="006B7942">
        <w:t xml:space="preserve">.  </w:t>
      </w:r>
    </w:p>
    <w:p w:rsidR="005812BA" w:rsidRPr="003E206F" w:rsidP="00391F14" w14:paraId="1EE5B863" w14:textId="77777777">
      <w:pPr>
        <w:spacing w:before="28"/>
        <w:ind w:left="720" w:hanging="720"/>
      </w:pPr>
    </w:p>
    <w:p w:rsidR="005812BA" w:rsidRPr="003E206F" w:rsidP="00391F14" w14:paraId="6DDF6D6E" w14:textId="3C3DD8CA">
      <w:pPr>
        <w:spacing w:before="28"/>
        <w:ind w:left="720" w:hanging="720"/>
      </w:pPr>
      <w:r w:rsidRPr="003E206F">
        <w:t xml:space="preserve">16. </w:t>
      </w:r>
      <w:r w:rsidR="006B7942">
        <w:tab/>
      </w:r>
      <w:r w:rsidRPr="003E206F">
        <w:t>The results of this collection will not be published.</w:t>
      </w:r>
    </w:p>
    <w:p w:rsidR="005812BA" w:rsidRPr="003E206F" w:rsidP="00391F14" w14:paraId="2F760009" w14:textId="02E7DB70">
      <w:pPr>
        <w:spacing w:before="302" w:line="259" w:lineRule="exact"/>
        <w:ind w:left="720" w:hanging="720"/>
      </w:pPr>
      <w:r w:rsidRPr="003E206F">
        <w:t>17.</w:t>
      </w:r>
      <w:r w:rsidRPr="003E206F">
        <w:tab/>
        <w:t xml:space="preserve">ATF does not request approval to not display </w:t>
      </w:r>
      <w:r w:rsidR="0093028C">
        <w:t xml:space="preserve">Office of Management and Budget </w:t>
      </w:r>
      <w:r w:rsidRPr="003E206F">
        <w:t>expiration date</w:t>
      </w:r>
      <w:r w:rsidR="0093028C">
        <w:t xml:space="preserve"> for</w:t>
      </w:r>
      <w:r w:rsidR="000D17EB">
        <w:t xml:space="preserve"> </w:t>
      </w:r>
      <w:r w:rsidRPr="003E206F">
        <w:t>this collection.</w:t>
      </w:r>
    </w:p>
    <w:p w:rsidR="005812BA" w:rsidRPr="003E206F" w:rsidP="00391F14" w14:paraId="5CEC2279" w14:textId="77777777">
      <w:pPr>
        <w:spacing w:before="28" w:line="259" w:lineRule="exact"/>
        <w:ind w:left="720" w:hanging="720"/>
      </w:pPr>
    </w:p>
    <w:p w:rsidR="005812BA" w:rsidRPr="003E206F" w:rsidP="00391F14" w14:paraId="69F3678D" w14:textId="5C532227">
      <w:pPr>
        <w:spacing w:before="28" w:line="259" w:lineRule="exact"/>
        <w:ind w:left="720" w:hanging="720"/>
      </w:pPr>
      <w:r w:rsidRPr="003E206F">
        <w:t xml:space="preserve">18. </w:t>
      </w:r>
      <w:r w:rsidR="00280DC1">
        <w:tab/>
      </w:r>
      <w:r w:rsidRPr="003E206F">
        <w:t>There are no exceptions to the certification statement.</w:t>
      </w:r>
    </w:p>
    <w:p w:rsidR="005812BA" w:rsidRPr="003E206F" w:rsidP="00391F14" w14:paraId="39D88622" w14:textId="22E7ED59">
      <w:pPr>
        <w:spacing w:before="340" w:line="259" w:lineRule="exact"/>
        <w:ind w:hanging="720"/>
        <w:rPr>
          <w:u w:val="single"/>
        </w:rPr>
      </w:pPr>
      <w:r w:rsidRPr="0093028C">
        <w:rPr>
          <w:b/>
          <w:bCs/>
        </w:rPr>
        <w:t>B</w:t>
      </w:r>
      <w:r w:rsidRPr="003E206F">
        <w:t xml:space="preserve">. </w:t>
      </w:r>
      <w:r w:rsidR="006B7942">
        <w:tab/>
      </w:r>
      <w:r w:rsidRPr="00391F14" w:rsidR="006B7942">
        <w:rPr>
          <w:b/>
          <w:bCs/>
        </w:rPr>
        <w:t xml:space="preserve">THIS </w:t>
      </w:r>
      <w:r w:rsidRPr="00391F14">
        <w:rPr>
          <w:b/>
          <w:bCs/>
        </w:rPr>
        <w:t>COLLECTIONS OF INFORMATION EMPLOY</w:t>
      </w:r>
      <w:r w:rsidRPr="00391F14" w:rsidR="006B7942">
        <w:rPr>
          <w:b/>
          <w:bCs/>
        </w:rPr>
        <w:t>S</w:t>
      </w:r>
      <w:r w:rsidRPr="00391F14">
        <w:rPr>
          <w:b/>
          <w:bCs/>
        </w:rPr>
        <w:t xml:space="preserve"> </w:t>
      </w:r>
      <w:r w:rsidRPr="00391F14" w:rsidR="006B7942">
        <w:rPr>
          <w:b/>
          <w:bCs/>
        </w:rPr>
        <w:t xml:space="preserve">NO </w:t>
      </w:r>
      <w:r w:rsidRPr="00391F14">
        <w:rPr>
          <w:b/>
          <w:bCs/>
        </w:rPr>
        <w:t>STATISTICAL METHODS.</w:t>
      </w:r>
    </w:p>
    <w:p w:rsidR="003751F9" w:rsidRPr="003E206F" w:rsidP="005812BA" w14:paraId="57BF88A4" w14:textId="2CEB06D1">
      <w:pPr>
        <w:spacing w:before="288" w:line="259" w:lineRule="exact"/>
      </w:pPr>
    </w:p>
    <w:sectPr w:rsidSect="00AA0B0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E3185"/>
    <w:multiLevelType w:val="hybridMultilevel"/>
    <w:tmpl w:val="E7FAEE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A440D42"/>
    <w:multiLevelType w:val="hybridMultilevel"/>
    <w:tmpl w:val="17BE2E6C"/>
    <w:lvl w:ilvl="0">
      <w:start w:val="1"/>
      <w:numFmt w:val="upperLetter"/>
      <w:pStyle w:val="Heading1"/>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B60242E"/>
    <w:multiLevelType w:val="hybridMultilevel"/>
    <w:tmpl w:val="D94E065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F6075C9"/>
    <w:multiLevelType w:val="hybridMultilevel"/>
    <w:tmpl w:val="6E1EE74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30C5E1A"/>
    <w:multiLevelType w:val="hybridMultilevel"/>
    <w:tmpl w:val="EA2EA2D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49C3791B"/>
    <w:multiLevelType w:val="hybridMultilevel"/>
    <w:tmpl w:val="882A341E"/>
    <w:lvl w:ilvl="0">
      <w:start w:val="3"/>
      <w:numFmt w:val="decimal"/>
      <w:lvlText w:val="%1."/>
      <w:lvlJc w:val="left"/>
      <w:pPr>
        <w:ind w:left="360" w:hanging="360"/>
      </w:pPr>
      <w:rPr>
        <w:rFonts w:hint="default"/>
        <w:sz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774404296">
    <w:abstractNumId w:val="1"/>
  </w:num>
  <w:num w:numId="2" w16cid:durableId="1629431597">
    <w:abstractNumId w:val="2"/>
  </w:num>
  <w:num w:numId="3" w16cid:durableId="1205411228">
    <w:abstractNumId w:val="3"/>
  </w:num>
  <w:num w:numId="4" w16cid:durableId="990791871">
    <w:abstractNumId w:val="0"/>
  </w:num>
  <w:num w:numId="5" w16cid:durableId="1106735213">
    <w:abstractNumId w:val="4"/>
  </w:num>
  <w:num w:numId="6" w16cid:durableId="4334809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D9F"/>
    <w:rsid w:val="0001057A"/>
    <w:rsid w:val="00012620"/>
    <w:rsid w:val="00092A39"/>
    <w:rsid w:val="000D17EB"/>
    <w:rsid w:val="00182BC9"/>
    <w:rsid w:val="001834B8"/>
    <w:rsid w:val="001853CE"/>
    <w:rsid w:val="00212DAD"/>
    <w:rsid w:val="00280B09"/>
    <w:rsid w:val="00280DC1"/>
    <w:rsid w:val="00287004"/>
    <w:rsid w:val="002B4D9F"/>
    <w:rsid w:val="002E05CE"/>
    <w:rsid w:val="002F542E"/>
    <w:rsid w:val="00305DDF"/>
    <w:rsid w:val="00353B40"/>
    <w:rsid w:val="003653EA"/>
    <w:rsid w:val="003751F9"/>
    <w:rsid w:val="00382DBC"/>
    <w:rsid w:val="00391F14"/>
    <w:rsid w:val="003B39E8"/>
    <w:rsid w:val="003C5C82"/>
    <w:rsid w:val="003E206F"/>
    <w:rsid w:val="003E6943"/>
    <w:rsid w:val="00417885"/>
    <w:rsid w:val="00421A89"/>
    <w:rsid w:val="0049773C"/>
    <w:rsid w:val="004A57FA"/>
    <w:rsid w:val="004B4EC9"/>
    <w:rsid w:val="004B752A"/>
    <w:rsid w:val="005036C8"/>
    <w:rsid w:val="00506CAD"/>
    <w:rsid w:val="005423EC"/>
    <w:rsid w:val="005429C8"/>
    <w:rsid w:val="0056779A"/>
    <w:rsid w:val="00575A85"/>
    <w:rsid w:val="00577CC7"/>
    <w:rsid w:val="005812BA"/>
    <w:rsid w:val="00584B25"/>
    <w:rsid w:val="005A7646"/>
    <w:rsid w:val="005F53B0"/>
    <w:rsid w:val="00607F8C"/>
    <w:rsid w:val="00633693"/>
    <w:rsid w:val="006602EC"/>
    <w:rsid w:val="00694243"/>
    <w:rsid w:val="00694487"/>
    <w:rsid w:val="006B7942"/>
    <w:rsid w:val="006D389D"/>
    <w:rsid w:val="006D47CF"/>
    <w:rsid w:val="00704DDF"/>
    <w:rsid w:val="007065A6"/>
    <w:rsid w:val="00755EAC"/>
    <w:rsid w:val="007C0C68"/>
    <w:rsid w:val="007E2597"/>
    <w:rsid w:val="007E724E"/>
    <w:rsid w:val="007E7B5A"/>
    <w:rsid w:val="008767BD"/>
    <w:rsid w:val="008C201C"/>
    <w:rsid w:val="0093028C"/>
    <w:rsid w:val="0095233F"/>
    <w:rsid w:val="009A3E0E"/>
    <w:rsid w:val="00A24175"/>
    <w:rsid w:val="00A711A3"/>
    <w:rsid w:val="00AA0B06"/>
    <w:rsid w:val="00B2097C"/>
    <w:rsid w:val="00B7403D"/>
    <w:rsid w:val="00B82D5C"/>
    <w:rsid w:val="00B92052"/>
    <w:rsid w:val="00BB0B05"/>
    <w:rsid w:val="00BD5491"/>
    <w:rsid w:val="00C05A59"/>
    <w:rsid w:val="00C14D9E"/>
    <w:rsid w:val="00C1743A"/>
    <w:rsid w:val="00CA2E88"/>
    <w:rsid w:val="00CB3B85"/>
    <w:rsid w:val="00CE1AF6"/>
    <w:rsid w:val="00D01C3E"/>
    <w:rsid w:val="00D33907"/>
    <w:rsid w:val="00D33D23"/>
    <w:rsid w:val="00D559D2"/>
    <w:rsid w:val="00D647F6"/>
    <w:rsid w:val="00DB24AC"/>
    <w:rsid w:val="00DF6BCE"/>
    <w:rsid w:val="00E05087"/>
    <w:rsid w:val="00E3166C"/>
    <w:rsid w:val="00E74B8A"/>
    <w:rsid w:val="00E74CC5"/>
    <w:rsid w:val="00E85B7F"/>
    <w:rsid w:val="00E932B6"/>
    <w:rsid w:val="00EF120E"/>
    <w:rsid w:val="00F01593"/>
    <w:rsid w:val="00F214F8"/>
    <w:rsid w:val="00F71A1F"/>
    <w:rsid w:val="00F87B86"/>
    <w:rsid w:val="00FD5E9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9F823B1"/>
  <w15:docId w15:val="{240459DA-7706-41A0-AEDE-7990BF5F7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A0B06"/>
    <w:rPr>
      <w:sz w:val="24"/>
      <w:szCs w:val="24"/>
    </w:rPr>
  </w:style>
  <w:style w:type="paragraph" w:styleId="Heading1">
    <w:name w:val="heading 1"/>
    <w:basedOn w:val="Normal"/>
    <w:next w:val="Normal"/>
    <w:qFormat/>
    <w:rsid w:val="00AA0B06"/>
    <w:pPr>
      <w:keepNext/>
      <w:numPr>
        <w:numId w:val="1"/>
      </w:numP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4B4EC9"/>
    <w:rPr>
      <w:sz w:val="16"/>
      <w:szCs w:val="16"/>
    </w:rPr>
  </w:style>
  <w:style w:type="paragraph" w:styleId="CommentText">
    <w:name w:val="annotation text"/>
    <w:basedOn w:val="Normal"/>
    <w:link w:val="CommentTextChar"/>
    <w:rsid w:val="004B4EC9"/>
    <w:rPr>
      <w:sz w:val="20"/>
      <w:szCs w:val="20"/>
    </w:rPr>
  </w:style>
  <w:style w:type="character" w:customStyle="1" w:styleId="CommentTextChar">
    <w:name w:val="Comment Text Char"/>
    <w:basedOn w:val="DefaultParagraphFont"/>
    <w:link w:val="CommentText"/>
    <w:rsid w:val="004B4EC9"/>
  </w:style>
  <w:style w:type="paragraph" w:styleId="CommentSubject">
    <w:name w:val="annotation subject"/>
    <w:basedOn w:val="CommentText"/>
    <w:next w:val="CommentText"/>
    <w:link w:val="CommentSubjectChar"/>
    <w:rsid w:val="004B4EC9"/>
    <w:rPr>
      <w:b/>
      <w:bCs/>
    </w:rPr>
  </w:style>
  <w:style w:type="character" w:customStyle="1" w:styleId="CommentSubjectChar">
    <w:name w:val="Comment Subject Char"/>
    <w:basedOn w:val="CommentTextChar"/>
    <w:link w:val="CommentSubject"/>
    <w:rsid w:val="004B4EC9"/>
    <w:rPr>
      <w:b/>
      <w:bCs/>
    </w:rPr>
  </w:style>
  <w:style w:type="paragraph" w:styleId="BalloonText">
    <w:name w:val="Balloon Text"/>
    <w:basedOn w:val="Normal"/>
    <w:link w:val="BalloonTextChar"/>
    <w:rsid w:val="004B4EC9"/>
    <w:rPr>
      <w:rFonts w:ascii="Tahoma" w:hAnsi="Tahoma" w:cs="Tahoma"/>
      <w:sz w:val="16"/>
      <w:szCs w:val="16"/>
    </w:rPr>
  </w:style>
  <w:style w:type="character" w:customStyle="1" w:styleId="BalloonTextChar">
    <w:name w:val="Balloon Text Char"/>
    <w:basedOn w:val="DefaultParagraphFont"/>
    <w:link w:val="BalloonText"/>
    <w:rsid w:val="004B4EC9"/>
    <w:rPr>
      <w:rFonts w:ascii="Tahoma" w:hAnsi="Tahoma" w:cs="Tahoma"/>
      <w:sz w:val="16"/>
      <w:szCs w:val="16"/>
    </w:rPr>
  </w:style>
  <w:style w:type="paragraph" w:styleId="ListParagraph">
    <w:name w:val="List Paragraph"/>
    <w:basedOn w:val="Normal"/>
    <w:uiPriority w:val="34"/>
    <w:qFormat/>
    <w:rsid w:val="00F01593"/>
    <w:pPr>
      <w:ind w:left="720"/>
      <w:contextualSpacing/>
    </w:pPr>
  </w:style>
  <w:style w:type="character" w:styleId="Hyperlink">
    <w:name w:val="Hyperlink"/>
    <w:basedOn w:val="DefaultParagraphFont"/>
    <w:uiPriority w:val="99"/>
    <w:unhideWhenUsed/>
    <w:rsid w:val="00E3166C"/>
    <w:rPr>
      <w:color w:val="0563C1"/>
      <w:u w:val="single"/>
    </w:rPr>
  </w:style>
  <w:style w:type="paragraph" w:customStyle="1" w:styleId="Default">
    <w:name w:val="Default"/>
    <w:rsid w:val="005423EC"/>
    <w:pPr>
      <w:autoSpaceDE w:val="0"/>
      <w:autoSpaceDN w:val="0"/>
      <w:adjustRightInd w:val="0"/>
    </w:pPr>
    <w:rPr>
      <w:color w:val="000000"/>
      <w:sz w:val="24"/>
      <w:szCs w:val="24"/>
    </w:rPr>
  </w:style>
  <w:style w:type="paragraph" w:styleId="Revision">
    <w:name w:val="Revision"/>
    <w:hidden/>
    <w:uiPriority w:val="99"/>
    <w:semiHidden/>
    <w:rsid w:val="00305DDF"/>
    <w:rPr>
      <w:sz w:val="24"/>
      <w:szCs w:val="24"/>
    </w:rPr>
  </w:style>
  <w:style w:type="character" w:styleId="UnresolvedMention">
    <w:name w:val="Unresolved Mention"/>
    <w:basedOn w:val="DefaultParagraphFont"/>
    <w:uiPriority w:val="99"/>
    <w:semiHidden/>
    <w:unhideWhenUsed/>
    <w:rsid w:val="00EF12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NFAFAX@ATF.GOV"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0DEEF1-7FD9-4099-BFF8-9FA8BFA2A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1069</Words>
  <Characters>6097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Department of Justice</vt:lpstr>
    </vt:vector>
  </TitlesOfParts>
  <Company>ATF</Company>
  <LinksUpToDate>false</LinksUpToDate>
  <CharactersWithSpaces>7152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Justice</dc:title>
  <dc:creator>ATF</dc:creator>
  <cp:lastModifiedBy>Bolton, Tamelia A. (Contractor)</cp:lastModifiedBy>
  <cp:revision>5</cp:revision>
  <cp:lastPrinted>2017-10-20T18:10:00Z</cp:lastPrinted>
  <dcterms:created xsi:type="dcterms:W3CDTF">2022-08-29T19:52:00Z</dcterms:created>
  <dcterms:modified xsi:type="dcterms:W3CDTF">2022-08-29T19:56:00Z</dcterms:modified>
</cp:coreProperties>
</file>