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79B" w:rsidP="00945117" w14:paraId="0EF96053" w14:textId="77777777">
      <w:pPr>
        <w:contextualSpacing/>
        <w:jc w:val="center"/>
        <w:rPr>
          <w:rFonts w:ascii="Times New Roman" w:hAnsi="Times New Roman"/>
          <w:b/>
          <w:bCs/>
        </w:rPr>
      </w:pPr>
      <w:r w:rsidRPr="00060AD0">
        <w:rPr>
          <w:rFonts w:ascii="Times New Roman" w:hAnsi="Times New Roman"/>
          <w:b/>
          <w:bCs/>
        </w:rPr>
        <w:t xml:space="preserve">SUPPORTING STATEMENT FOR PAPERWORK REDUCTION ACT </w:t>
      </w:r>
      <w:r w:rsidRPr="00060AD0" w:rsidR="000F3AB0">
        <w:rPr>
          <w:rFonts w:ascii="Times New Roman" w:hAnsi="Times New Roman"/>
          <w:b/>
          <w:bCs/>
        </w:rPr>
        <w:t xml:space="preserve">OF </w:t>
      </w:r>
      <w:r w:rsidRPr="00060AD0">
        <w:rPr>
          <w:rFonts w:ascii="Times New Roman" w:hAnsi="Times New Roman"/>
          <w:b/>
          <w:bCs/>
        </w:rPr>
        <w:t>1995</w:t>
      </w:r>
      <w:r w:rsidRPr="00060AD0" w:rsidR="00D309EB">
        <w:rPr>
          <w:rFonts w:ascii="Times New Roman" w:hAnsi="Times New Roman"/>
          <w:b/>
          <w:bCs/>
        </w:rPr>
        <w:t>:</w:t>
      </w:r>
      <w:r w:rsidR="00D309EB">
        <w:rPr>
          <w:rFonts w:ascii="Times New Roman" w:hAnsi="Times New Roman"/>
        </w:rPr>
        <w:t xml:space="preserve"> </w:t>
      </w:r>
      <w:r w:rsidRPr="00D309EB" w:rsidR="00D309EB">
        <w:rPr>
          <w:rFonts w:ascii="Times New Roman" w:hAnsi="Times New Roman"/>
          <w:b/>
          <w:bCs/>
        </w:rPr>
        <w:t>PROHIBITED TRANSACTION EXEMPTION 84-24</w:t>
      </w:r>
      <w:r w:rsidR="00D309EB">
        <w:rPr>
          <w:rFonts w:ascii="Times New Roman" w:hAnsi="Times New Roman"/>
          <w:b/>
          <w:bCs/>
        </w:rPr>
        <w:t>-</w:t>
      </w:r>
      <w:r w:rsidRPr="00D309EB" w:rsidR="00D309EB">
        <w:rPr>
          <w:rFonts w:ascii="CG Times" w:hAnsi="CG Times"/>
          <w:b/>
          <w:bCs/>
          <w:sz w:val="20"/>
          <w:szCs w:val="20"/>
        </w:rPr>
        <w:t xml:space="preserve"> </w:t>
      </w:r>
      <w:r w:rsidRPr="00D309EB" w:rsidR="00D309EB">
        <w:rPr>
          <w:rFonts w:ascii="Times New Roman" w:hAnsi="Times New Roman"/>
          <w:b/>
          <w:bCs/>
        </w:rPr>
        <w:t>INSURANCE AND ANNUITY CONTRACTS AND MUTUAL FUND PRINCIPAL UNDERWRITERS</w:t>
      </w:r>
    </w:p>
    <w:p w:rsidR="0002679B" w:rsidP="0002679B" w14:paraId="3DB71B71" w14:textId="77777777">
      <w:pPr>
        <w:contextualSpacing/>
        <w:rPr>
          <w:rFonts w:ascii="Times New Roman" w:hAnsi="Times New Roman"/>
          <w:b/>
          <w:bCs/>
        </w:rPr>
      </w:pPr>
    </w:p>
    <w:p w:rsidR="00D64A4C" w:rsidRPr="00D64A4C" w:rsidP="00D64A4C" w14:paraId="52EA0813" w14:textId="77777777">
      <w:pPr>
        <w:contextualSpacing/>
        <w:rPr>
          <w:rFonts w:ascii="Times New Roman" w:hAnsi="Times New Roman"/>
          <w:b/>
          <w:bCs/>
        </w:rPr>
      </w:pPr>
      <w:r w:rsidRPr="00D64A4C">
        <w:rPr>
          <w:rFonts w:ascii="Times New Roman" w:hAnsi="Times New Roman"/>
          <w:b/>
          <w:bCs/>
        </w:rPr>
        <w:t>This information collection request (ICR) seeks approval for a revision of an existing control number.</w:t>
      </w:r>
    </w:p>
    <w:p w:rsidR="006621D4" w:rsidRPr="008D15AA" w:rsidP="006627A7" w14:paraId="2871FBDC" w14:textId="77777777">
      <w:pPr>
        <w:contextualSpacing/>
        <w:rPr>
          <w:rFonts w:ascii="Times New Roman" w:hAnsi="Times New Roman"/>
        </w:rPr>
      </w:pPr>
    </w:p>
    <w:p w:rsidR="0065485A" w:rsidRPr="001A1B6B" w:rsidP="001A1B6B" w14:paraId="5A2B2803" w14:textId="658368ED">
      <w:pPr>
        <w:pStyle w:val="Heading1"/>
      </w:pPr>
      <w:r w:rsidRPr="001A1B6B">
        <w:t>JUSTIFICATION</w:t>
      </w:r>
    </w:p>
    <w:p w:rsidR="0065485A" w:rsidRPr="00945117" w:rsidP="006627A7" w14:paraId="44AAEA82" w14:textId="77777777">
      <w:pPr>
        <w:contextualSpacing/>
        <w:rPr>
          <w:rFonts w:ascii="Times New Roman" w:hAnsi="Times New Roman"/>
          <w:b/>
        </w:rPr>
      </w:pPr>
    </w:p>
    <w:p w:rsidR="007103EC" w:rsidRPr="00394EFB" w:rsidP="00394EFB" w14:paraId="3200884E" w14:textId="60EC1E12">
      <w:pPr>
        <w:pStyle w:val="Style1"/>
      </w:pPr>
      <w:r w:rsidRPr="00394EFB">
        <w:t>Explain the circumstances that make the collection of information necessary.</w:t>
      </w:r>
      <w:r w:rsidR="002024E6">
        <w:t xml:space="preserve"> </w:t>
      </w:r>
      <w:r w:rsidRPr="00394EFB">
        <w:t>Identify any legal or administrative requirements that necessitate the collection.</w:t>
      </w:r>
      <w:r w:rsidR="002024E6">
        <w:t xml:space="preserve"> </w:t>
      </w:r>
      <w:r w:rsidRPr="00394EFB">
        <w:t>Attach a copy of the appropriate section of each statute and regulation mandating or authorizing the collection of information.</w:t>
      </w:r>
    </w:p>
    <w:p w:rsidR="0065485A" w:rsidRPr="008D15AA" w:rsidP="006627A7" w14:paraId="71F29240" w14:textId="77777777">
      <w:pPr>
        <w:contextualSpacing/>
        <w:rPr>
          <w:rFonts w:ascii="Times New Roman" w:hAnsi="Times New Roman"/>
        </w:rPr>
      </w:pPr>
    </w:p>
    <w:p w:rsidR="001A4C42" w:rsidRPr="008D15AA" w:rsidP="006627A7" w14:paraId="01E18EB9" w14:textId="0EC1DD02">
      <w:pPr>
        <w:ind w:left="720"/>
        <w:contextualSpacing/>
        <w:rPr>
          <w:rFonts w:ascii="Times New Roman" w:hAnsi="Times New Roman"/>
          <w:color w:val="000000"/>
        </w:rPr>
      </w:pPr>
      <w:r w:rsidRPr="008D15AA">
        <w:rPr>
          <w:rFonts w:ascii="Times New Roman" w:hAnsi="Times New Roman"/>
          <w:color w:val="000000"/>
        </w:rPr>
        <w:t>Se</w:t>
      </w:r>
      <w:r w:rsidRPr="008D15AA">
        <w:rPr>
          <w:rFonts w:ascii="Times New Roman" w:hAnsi="Times New Roman"/>
          <w:color w:val="000000"/>
        </w:rPr>
        <w:t>ction 406(a)(1)(A)</w:t>
      </w:r>
      <w:r w:rsidRPr="008D15AA" w:rsidR="00333267">
        <w:rPr>
          <w:rFonts w:ascii="Times New Roman" w:hAnsi="Times New Roman"/>
          <w:color w:val="000000"/>
        </w:rPr>
        <w:t xml:space="preserve"> through </w:t>
      </w:r>
      <w:r w:rsidRPr="008D15AA">
        <w:rPr>
          <w:rFonts w:ascii="Times New Roman" w:hAnsi="Times New Roman"/>
          <w:color w:val="000000"/>
        </w:rPr>
        <w:t xml:space="preserve">(D) </w:t>
      </w:r>
      <w:r w:rsidRPr="008D15AA">
        <w:rPr>
          <w:rFonts w:ascii="Times New Roman" w:hAnsi="Times New Roman"/>
          <w:color w:val="000000"/>
        </w:rPr>
        <w:t>o</w:t>
      </w:r>
      <w:r w:rsidRPr="008D15AA" w:rsidR="0050695A">
        <w:rPr>
          <w:rFonts w:ascii="Times New Roman" w:hAnsi="Times New Roman"/>
          <w:color w:val="000000"/>
        </w:rPr>
        <w:t>f</w:t>
      </w:r>
      <w:r w:rsidRPr="008D15AA">
        <w:rPr>
          <w:rFonts w:ascii="Times New Roman" w:hAnsi="Times New Roman"/>
          <w:color w:val="000000"/>
        </w:rPr>
        <w:t xml:space="preserve"> the Employee Retirement Income Security Act of 1974 (“ERISA) </w:t>
      </w:r>
      <w:r w:rsidRPr="008D15AA">
        <w:rPr>
          <w:rFonts w:ascii="Times New Roman" w:hAnsi="Times New Roman"/>
          <w:color w:val="000000"/>
        </w:rPr>
        <w:t xml:space="preserve">and </w:t>
      </w:r>
      <w:r w:rsidRPr="008D15AA">
        <w:rPr>
          <w:rFonts w:ascii="Times New Roman" w:hAnsi="Times New Roman"/>
          <w:color w:val="000000"/>
        </w:rPr>
        <w:t>Internal Revenue Code (“</w:t>
      </w:r>
      <w:r w:rsidRPr="008D15AA">
        <w:rPr>
          <w:rFonts w:ascii="Times New Roman" w:hAnsi="Times New Roman"/>
          <w:color w:val="000000"/>
        </w:rPr>
        <w:t>Code</w:t>
      </w:r>
      <w:r w:rsidRPr="008D15AA">
        <w:rPr>
          <w:rFonts w:ascii="Times New Roman" w:hAnsi="Times New Roman"/>
          <w:color w:val="000000"/>
        </w:rPr>
        <w:t>”)</w:t>
      </w:r>
      <w:r w:rsidRPr="008D15AA">
        <w:rPr>
          <w:rFonts w:ascii="Times New Roman" w:hAnsi="Times New Roman"/>
          <w:color w:val="000000"/>
        </w:rPr>
        <w:t xml:space="preserve"> section 4975(c)(1)(A)</w:t>
      </w:r>
      <w:r w:rsidRPr="008D15AA" w:rsidR="00333267">
        <w:rPr>
          <w:rFonts w:ascii="Times New Roman" w:hAnsi="Times New Roman"/>
          <w:color w:val="000000"/>
        </w:rPr>
        <w:t xml:space="preserve"> through </w:t>
      </w:r>
      <w:r w:rsidRPr="008D15AA">
        <w:rPr>
          <w:rFonts w:ascii="Times New Roman" w:hAnsi="Times New Roman"/>
          <w:color w:val="000000"/>
        </w:rPr>
        <w:t>(D) prohibit certain transactions between plans or IRAs and “parties in interest,” as defined in ERISA section 3(14), or “disqualified persons,” as defined in Code section 4975(e)(2).</w:t>
      </w:r>
      <w:r w:rsidR="002024E6">
        <w:rPr>
          <w:rFonts w:ascii="Times New Roman" w:hAnsi="Times New Roman"/>
          <w:color w:val="000000"/>
        </w:rPr>
        <w:t xml:space="preserve"> </w:t>
      </w:r>
      <w:r w:rsidRPr="008D15AA">
        <w:rPr>
          <w:rFonts w:ascii="Times New Roman" w:hAnsi="Times New Roman"/>
          <w:color w:val="000000"/>
        </w:rPr>
        <w:t>Fiduciaries and other service providers are parties in interest and disqualified persons under ERISA and the Code.</w:t>
      </w:r>
      <w:r w:rsidR="002024E6">
        <w:rPr>
          <w:rFonts w:ascii="Times New Roman" w:hAnsi="Times New Roman"/>
          <w:color w:val="000000"/>
        </w:rPr>
        <w:t xml:space="preserve"> </w:t>
      </w:r>
      <w:r w:rsidRPr="008D15AA">
        <w:rPr>
          <w:rFonts w:ascii="Times New Roman" w:hAnsi="Times New Roman"/>
          <w:color w:val="000000"/>
        </w:rPr>
        <w:t>As a result, they are prohibited from engaging in (1) the sale, exchange</w:t>
      </w:r>
      <w:r w:rsidRPr="008D15AA" w:rsidR="00293187">
        <w:rPr>
          <w:rFonts w:ascii="Times New Roman" w:hAnsi="Times New Roman"/>
          <w:color w:val="000000"/>
        </w:rPr>
        <w:t>,</w:t>
      </w:r>
      <w:r w:rsidRPr="008D15AA">
        <w:rPr>
          <w:rFonts w:ascii="Times New Roman" w:hAnsi="Times New Roman"/>
          <w:color w:val="000000"/>
        </w:rPr>
        <w:t xml:space="preserve"> or leasing of property with a plan or IRA, (2) the lending of money or other extension of credit to a plan or IRA, (3) the furnishing of goods, services</w:t>
      </w:r>
      <w:r w:rsidRPr="008D15AA" w:rsidR="00293187">
        <w:rPr>
          <w:rFonts w:ascii="Times New Roman" w:hAnsi="Times New Roman"/>
          <w:color w:val="000000"/>
        </w:rPr>
        <w:t>,</w:t>
      </w:r>
      <w:r w:rsidRPr="008D15AA">
        <w:rPr>
          <w:rFonts w:ascii="Times New Roman" w:hAnsi="Times New Roman"/>
          <w:color w:val="000000"/>
        </w:rPr>
        <w:t xml:space="preserve"> or facilities to a plan or IRA and (4) the transfer to or use by or for the benefit of a party in interest of plan assets.</w:t>
      </w:r>
    </w:p>
    <w:p w:rsidR="001A4C42" w:rsidRPr="008D15AA" w:rsidP="006627A7" w14:paraId="452D1138" w14:textId="77777777">
      <w:pPr>
        <w:ind w:left="720"/>
        <w:contextualSpacing/>
        <w:rPr>
          <w:rFonts w:ascii="Times New Roman" w:hAnsi="Times New Roman"/>
          <w:color w:val="000000"/>
        </w:rPr>
      </w:pPr>
    </w:p>
    <w:p w:rsidR="001A4C42" w:rsidRPr="008D15AA" w:rsidP="006627A7" w14:paraId="6CFA6C28" w14:textId="4FA5A82A">
      <w:pPr>
        <w:ind w:left="720"/>
        <w:contextualSpacing/>
        <w:rPr>
          <w:rFonts w:ascii="Times New Roman" w:hAnsi="Times New Roman"/>
          <w:color w:val="000000"/>
        </w:rPr>
      </w:pPr>
      <w:r w:rsidRPr="008D15AA">
        <w:rPr>
          <w:rFonts w:ascii="Times New Roman" w:hAnsi="Times New Roman"/>
        </w:rPr>
        <w:t xml:space="preserve">In the absence of an exemption, ERISA and the Code generally prohibit fiduciaries from using their authority to affect or increase their own compensation. </w:t>
      </w:r>
      <w:r w:rsidRPr="008D15AA">
        <w:rPr>
          <w:rFonts w:ascii="Times New Roman" w:hAnsi="Times New Roman"/>
          <w:color w:val="000000"/>
        </w:rPr>
        <w:t>ERISA section 406(b) and Code section 4975(c)(1)(E)-(F) are aimed at fiduciaries only.</w:t>
      </w:r>
      <w:r w:rsidR="002024E6">
        <w:rPr>
          <w:rFonts w:ascii="Times New Roman" w:hAnsi="Times New Roman"/>
          <w:color w:val="000000"/>
        </w:rPr>
        <w:t xml:space="preserve"> </w:t>
      </w:r>
      <w:r w:rsidRPr="008D15AA">
        <w:rPr>
          <w:rFonts w:ascii="Times New Roman" w:hAnsi="Times New Roman"/>
          <w:color w:val="000000"/>
        </w:rPr>
        <w:t>These provisions generally prohibit a fiduciary from dealing with the income or assets of a plan or IRA in his or her own interest or his or her own account and from receiving payments from third parties in connection with transactions involving the plan or IRA.</w:t>
      </w:r>
      <w:r w:rsidR="002024E6">
        <w:rPr>
          <w:rFonts w:ascii="Times New Roman" w:hAnsi="Times New Roman"/>
          <w:color w:val="000000"/>
        </w:rPr>
        <w:t xml:space="preserve"> </w:t>
      </w:r>
      <w:r w:rsidRPr="008D15AA">
        <w:rPr>
          <w:rFonts w:ascii="Times New Roman" w:hAnsi="Times New Roman"/>
          <w:color w:val="000000"/>
        </w:rPr>
        <w:t>Parallel regulations issued by the Departments of Labor and the Treasury explain that these provisions impose on fiduciaries of plans and IRAs a duty not to act on conflicts of interest that may affect the fiduciary’s best judgment on behalf of the plan or IRA.</w:t>
      </w:r>
      <w:r w:rsidR="002024E6">
        <w:rPr>
          <w:rFonts w:ascii="Times New Roman" w:hAnsi="Times New Roman"/>
          <w:color w:val="000000"/>
        </w:rPr>
        <w:t xml:space="preserve"> </w:t>
      </w:r>
      <w:r w:rsidRPr="008D15AA">
        <w:rPr>
          <w:rFonts w:ascii="Times New Roman" w:hAnsi="Times New Roman"/>
          <w:color w:val="000000"/>
        </w:rPr>
        <w:t>Under these provisions, a fiduciary may not cause a plan or IRA to pay an additional fee to such fiduciary, or to a person in which such fiduciary has an interest that may affect the exercise of the fiduciary’s best judgment.</w:t>
      </w:r>
    </w:p>
    <w:p w:rsidR="00BB6860" w:rsidRPr="008D15AA" w:rsidP="006627A7" w14:paraId="5E143111" w14:textId="77777777">
      <w:pPr>
        <w:ind w:left="720"/>
        <w:contextualSpacing/>
        <w:rPr>
          <w:rFonts w:ascii="Times New Roman" w:hAnsi="Times New Roman"/>
          <w:color w:val="000000"/>
        </w:rPr>
      </w:pPr>
    </w:p>
    <w:p w:rsidR="00145C6A" w:rsidRPr="008D15AA" w:rsidP="00D90128" w14:paraId="291F02E7" w14:textId="41E47274">
      <w:pPr>
        <w:spacing w:before="240"/>
        <w:ind w:left="720"/>
        <w:contextualSpacing/>
        <w:rPr>
          <w:rFonts w:ascii="Times New Roman" w:hAnsi="Times New Roman"/>
          <w:color w:val="000000"/>
        </w:rPr>
      </w:pPr>
      <w:r w:rsidRPr="008D15AA">
        <w:rPr>
          <w:rFonts w:ascii="Times New Roman" w:hAnsi="Times New Roman"/>
        </w:rPr>
        <w:t>ERISA and Code provisions</w:t>
      </w:r>
      <w:r w:rsidR="00CC63C1">
        <w:rPr>
          <w:rFonts w:ascii="Times New Roman" w:hAnsi="Times New Roman"/>
        </w:rPr>
        <w:t xml:space="preserve"> </w:t>
      </w:r>
      <w:r w:rsidR="004A6529">
        <w:rPr>
          <w:rFonts w:ascii="Times New Roman" w:hAnsi="Times New Roman"/>
        </w:rPr>
        <w:t>(</w:t>
      </w:r>
      <w:r w:rsidRPr="008D15AA" w:rsidR="004A6529">
        <w:rPr>
          <w:rFonts w:ascii="Times New Roman" w:hAnsi="Times New Roman"/>
          <w:color w:val="000000"/>
        </w:rPr>
        <w:t>ERISA section 406 and Code section 4975(c)</w:t>
      </w:r>
      <w:r w:rsidR="004A6529">
        <w:rPr>
          <w:rFonts w:ascii="Times New Roman" w:hAnsi="Times New Roman"/>
        </w:rPr>
        <w:t>)</w:t>
      </w:r>
      <w:r w:rsidRPr="008D15AA">
        <w:rPr>
          <w:rFonts w:ascii="Times New Roman" w:hAnsi="Times New Roman"/>
        </w:rPr>
        <w:t xml:space="preserve"> generally </w:t>
      </w:r>
      <w:r w:rsidRPr="008D15AA">
        <w:rPr>
          <w:rFonts w:ascii="Times New Roman" w:hAnsi="Times New Roman"/>
        </w:rPr>
        <w:t xml:space="preserve">prohibit fiduciaries </w:t>
      </w:r>
      <w:r w:rsidRPr="008D15AA">
        <w:rPr>
          <w:rFonts w:ascii="Times New Roman" w:hAnsi="Times New Roman"/>
          <w:color w:val="000000"/>
        </w:rPr>
        <w:t xml:space="preserve">and other service providers </w:t>
      </w:r>
      <w:r w:rsidRPr="008D15AA">
        <w:rPr>
          <w:rFonts w:ascii="Times New Roman" w:hAnsi="Times New Roman"/>
        </w:rPr>
        <w:t>from engaging in</w:t>
      </w:r>
      <w:r>
        <w:rPr>
          <w:rFonts w:ascii="Times New Roman" w:hAnsi="Times New Roman"/>
        </w:rPr>
        <w:t xml:space="preserve"> </w:t>
      </w:r>
      <w:r w:rsidRPr="008D15AA">
        <w:rPr>
          <w:rFonts w:ascii="Times New Roman" w:hAnsi="Times New Roman"/>
          <w:color w:val="000000"/>
        </w:rPr>
        <w:t>(1) the sale, exchange, or leasing of property with a plan or IRA, (2) the lending of money or other extension of credit to a plan or IRA, (3) the furnishing of goods, services, or facilities to a plan or IRA and (4) the transfer to or use by or for the benefit of a party in interest of plan assets</w:t>
      </w:r>
      <w:r>
        <w:rPr>
          <w:rFonts w:ascii="Times New Roman" w:hAnsi="Times New Roman"/>
          <w:color w:val="000000"/>
        </w:rPr>
        <w:t>. Fiduciaries are also prohibited from</w:t>
      </w:r>
      <w:r w:rsidRPr="008D15AA">
        <w:rPr>
          <w:rFonts w:ascii="Times New Roman" w:hAnsi="Times New Roman"/>
        </w:rPr>
        <w:t xml:space="preserve"> self-dealing in connection with transactions involving these plans and IRAs. </w:t>
      </w:r>
    </w:p>
    <w:p w:rsidR="001A4C42" w:rsidRPr="008D15AA" w:rsidP="006627A7" w14:paraId="6681AAE5" w14:textId="77777777">
      <w:pPr>
        <w:ind w:left="720"/>
        <w:contextualSpacing/>
        <w:rPr>
          <w:rFonts w:ascii="Times New Roman" w:hAnsi="Times New Roman"/>
        </w:rPr>
      </w:pPr>
    </w:p>
    <w:p w:rsidR="00364AD4" w:rsidRPr="008D15AA" w:rsidP="006627A7" w14:paraId="1785FFFD" w14:textId="76D5672A">
      <w:pPr>
        <w:ind w:left="720"/>
        <w:contextualSpacing/>
        <w:rPr>
          <w:rFonts w:ascii="Times New Roman" w:hAnsi="Times New Roman"/>
        </w:rPr>
      </w:pPr>
      <w:r w:rsidRPr="008D15AA">
        <w:rPr>
          <w:rFonts w:ascii="Times New Roman" w:hAnsi="Times New Roman"/>
        </w:rPr>
        <w:t>The Secretary of Labor may grant and amend administrative exemptions from the prohibited transaction provisions of ERISA and the Code.</w:t>
      </w:r>
      <w:r>
        <w:rPr>
          <w:rFonts w:ascii="Times New Roman" w:hAnsi="Times New Roman"/>
          <w:vertAlign w:val="superscript"/>
        </w:rPr>
        <w:footnoteReference w:id="3"/>
      </w:r>
      <w:r w:rsidR="002024E6">
        <w:rPr>
          <w:rFonts w:ascii="Times New Roman" w:hAnsi="Times New Roman"/>
        </w:rPr>
        <w:t xml:space="preserve"> </w:t>
      </w:r>
      <w:r w:rsidRPr="008D15AA">
        <w:rPr>
          <w:rFonts w:ascii="Times New Roman" w:hAnsi="Times New Roman"/>
        </w:rPr>
        <w:t>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00364AD4" w:rsidRPr="008D15AA" w:rsidP="006627A7" w14:paraId="0ABA5CDD" w14:textId="1B6CDB6D">
      <w:pPr>
        <w:ind w:left="720"/>
        <w:contextualSpacing/>
        <w:rPr>
          <w:rFonts w:ascii="Times New Roman" w:hAnsi="Times New Roman"/>
        </w:rPr>
      </w:pPr>
    </w:p>
    <w:p w:rsidR="00BC5E18" w:rsidRPr="00BC5E18" w:rsidP="00BC5E18" w14:paraId="29D23B27" w14:textId="77777777">
      <w:pPr>
        <w:ind w:left="720"/>
        <w:contextualSpacing/>
        <w:rPr>
          <w:rFonts w:ascii="Times New Roman" w:hAnsi="Times New Roman"/>
        </w:rPr>
      </w:pPr>
      <w:r w:rsidRPr="00BC5E18">
        <w:rPr>
          <w:rFonts w:ascii="Times New Roman" w:hAnsi="Times New Roman"/>
        </w:rPr>
        <w:t>The Department is proposing to amend PTE 84-24 to exclude investment advice fiduciaries from the existing relief provided in Section II, which would be redesignated as Section II(a). The proposed amendment would add Section II(b), which would provide investment advice fiduciaries with relief from the restrictions of ERISA sections 406(a)(1)(D) and 406(b) and the taxes imposed by Code section 4975(a) and (b) by reason of Code sections 4975(c)(1)(E) and (F) if:</w:t>
      </w:r>
    </w:p>
    <w:p w:rsidR="00BC5E18" w:rsidRPr="001D02B9" w:rsidP="001D02B9" w14:paraId="0133FF12" w14:textId="7246764C">
      <w:pPr>
        <w:pStyle w:val="ListParagraph"/>
        <w:numPr>
          <w:ilvl w:val="1"/>
          <w:numId w:val="39"/>
        </w:numPr>
        <w:rPr>
          <w:rFonts w:ascii="Times New Roman" w:hAnsi="Times New Roman"/>
        </w:rPr>
      </w:pPr>
      <w:r w:rsidRPr="001D02B9">
        <w:rPr>
          <w:rFonts w:ascii="Times New Roman" w:hAnsi="Times New Roman"/>
        </w:rPr>
        <w:t xml:space="preserve">the fiduciary is an Independent Producer (as defined in Section X(d)), </w:t>
      </w:r>
    </w:p>
    <w:p w:rsidR="00BC5E18" w:rsidRPr="001D02B9" w:rsidP="001D02B9" w14:paraId="42CCF5FC" w14:textId="09E74C01">
      <w:pPr>
        <w:pStyle w:val="ListParagraph"/>
        <w:numPr>
          <w:ilvl w:val="1"/>
          <w:numId w:val="39"/>
        </w:numPr>
        <w:rPr>
          <w:rFonts w:ascii="Times New Roman" w:hAnsi="Times New Roman"/>
        </w:rPr>
      </w:pPr>
      <w:r w:rsidRPr="001D02B9">
        <w:rPr>
          <w:rFonts w:ascii="Times New Roman" w:hAnsi="Times New Roman"/>
        </w:rPr>
        <w:t xml:space="preserve">the transactions are described in new Section III(g), and </w:t>
      </w:r>
    </w:p>
    <w:p w:rsidR="00BC5E18" w:rsidRPr="001D02B9" w:rsidP="001D02B9" w14:paraId="4C0590F9" w14:textId="551E76C2">
      <w:pPr>
        <w:pStyle w:val="ListParagraph"/>
        <w:numPr>
          <w:ilvl w:val="1"/>
          <w:numId w:val="39"/>
        </w:numPr>
        <w:rPr>
          <w:rFonts w:ascii="Times New Roman" w:hAnsi="Times New Roman"/>
        </w:rPr>
      </w:pPr>
      <w:r w:rsidRPr="001D02B9">
        <w:rPr>
          <w:rFonts w:ascii="Times New Roman" w:hAnsi="Times New Roman"/>
        </w:rPr>
        <w:t xml:space="preserve">the conditions set forth in new Sections VI, VII, and IX are satisfied. </w:t>
      </w:r>
    </w:p>
    <w:p w:rsidR="00730E22" w:rsidP="00BC5E18" w14:paraId="30A75F7F" w14:textId="77777777">
      <w:pPr>
        <w:ind w:left="720"/>
        <w:contextualSpacing/>
        <w:rPr>
          <w:rFonts w:ascii="Times New Roman" w:hAnsi="Times New Roman"/>
        </w:rPr>
      </w:pPr>
    </w:p>
    <w:p w:rsidR="007103EC" w:rsidP="00BC5E18" w14:paraId="3A2A9A9F" w14:textId="0C979041">
      <w:pPr>
        <w:ind w:left="720"/>
        <w:contextualSpacing/>
        <w:rPr>
          <w:rFonts w:ascii="Times New Roman" w:hAnsi="Times New Roman"/>
        </w:rPr>
      </w:pPr>
      <w:r w:rsidRPr="00BC5E18">
        <w:rPr>
          <w:rFonts w:ascii="Times New Roman" w:hAnsi="Times New Roman"/>
        </w:rPr>
        <w:t xml:space="preserve">These conditions are </w:t>
      </w:r>
      <w:r w:rsidRPr="00BC5E18">
        <w:rPr>
          <w:rFonts w:ascii="Times New Roman" w:hAnsi="Times New Roman"/>
        </w:rPr>
        <w:t>similar to</w:t>
      </w:r>
      <w:r w:rsidRPr="00BC5E18">
        <w:rPr>
          <w:rFonts w:ascii="Times New Roman" w:hAnsi="Times New Roman"/>
        </w:rPr>
        <w:t xml:space="preserve"> the conditions contained in PTE 2020-02 but are tailored to protect Retirement Investors from the specific conflicts that can arise for Independent Producers that are compensated through commissions when providing investment advice to Retirement Investors regarding the purchase of an annuity. The Department also is proposing to add a new eligibility provision in Section VIII for investment advice transactions and amend the current recordkeeping condition in Section V(e) with a new recordkeeping provision in Section IX that is </w:t>
      </w:r>
      <w:r w:rsidRPr="00BC5E18">
        <w:rPr>
          <w:rFonts w:ascii="Times New Roman" w:hAnsi="Times New Roman"/>
        </w:rPr>
        <w:t>similar to</w:t>
      </w:r>
      <w:r w:rsidRPr="00BC5E18">
        <w:rPr>
          <w:rFonts w:ascii="Times New Roman" w:hAnsi="Times New Roman"/>
        </w:rPr>
        <w:t xml:space="preserve"> the recordkeeping provision in PTE 2020-02.</w:t>
      </w:r>
    </w:p>
    <w:p w:rsidR="00BC5E18" w:rsidRPr="008D15AA" w:rsidP="00BC5E18" w14:paraId="07B53AA0" w14:textId="77777777">
      <w:pPr>
        <w:ind w:left="720"/>
        <w:contextualSpacing/>
        <w:rPr>
          <w:rFonts w:ascii="Times New Roman" w:hAnsi="Times New Roman"/>
        </w:rPr>
      </w:pPr>
    </w:p>
    <w:p w:rsidR="0065485A" w:rsidRPr="00394EFB" w:rsidP="00394EFB" w14:paraId="43557B90" w14:textId="41DD19EE">
      <w:pPr>
        <w:pStyle w:val="Style1"/>
        <w:rPr>
          <w:b w:val="0"/>
        </w:rPr>
      </w:pPr>
      <w:r w:rsidRPr="00394EFB">
        <w:t>Indicate how, by whom, and for what purpose the information is to be used.</w:t>
      </w:r>
      <w:r w:rsidR="002024E6">
        <w:t xml:space="preserve"> </w:t>
      </w:r>
      <w:r w:rsidRPr="00394EFB">
        <w:t>Except for a new collection, indicate the actual use the agency has made of the information received from the current collection.</w:t>
      </w:r>
    </w:p>
    <w:p w:rsidR="0065485A" w:rsidRPr="008D15AA" w:rsidP="006627A7" w14:paraId="41721AFB" w14:textId="7F6CAAB6">
      <w:pPr>
        <w:ind w:left="720"/>
        <w:contextualSpacing/>
        <w:rPr>
          <w:rFonts w:ascii="Times New Roman" w:hAnsi="Times New Roman"/>
        </w:rPr>
      </w:pPr>
    </w:p>
    <w:p w:rsidR="00B91CB4" w:rsidRPr="008D15AA" w:rsidP="006627A7" w14:paraId="06DDFC09" w14:textId="642B3CF2">
      <w:pPr>
        <w:ind w:left="720"/>
        <w:contextualSpacing/>
        <w:rPr>
          <w:rFonts w:ascii="Times New Roman" w:hAnsi="Times New Roman"/>
          <w:i/>
        </w:rPr>
      </w:pPr>
      <w:r w:rsidRPr="008D15AA">
        <w:rPr>
          <w:rFonts w:ascii="Times New Roman" w:hAnsi="Times New Roman"/>
          <w:i/>
        </w:rPr>
        <w:t>Collections Required for the Transactions Described in Section III(a)-(f)</w:t>
      </w:r>
    </w:p>
    <w:p w:rsidR="00B91CB4" w:rsidP="006627A7" w14:paraId="63FE2FF6" w14:textId="77777777">
      <w:pPr>
        <w:ind w:left="720"/>
        <w:contextualSpacing/>
        <w:rPr>
          <w:rFonts w:ascii="Times New Roman" w:hAnsi="Times New Roman"/>
        </w:rPr>
      </w:pPr>
    </w:p>
    <w:p w:rsidR="00B6779D" w:rsidP="00B6779D" w14:paraId="3C10647D" w14:textId="77777777">
      <w:pPr>
        <w:ind w:left="720"/>
        <w:contextualSpacing/>
        <w:rPr>
          <w:rFonts w:ascii="Times New Roman" w:hAnsi="Times New Roman"/>
        </w:rPr>
      </w:pPr>
      <w:r>
        <w:rPr>
          <w:rFonts w:ascii="Times New Roman" w:hAnsi="Times New Roman"/>
        </w:rPr>
        <w:t xml:space="preserve">Note: Under proposed Section II(b), the transactions described in Section III(a)-(f) would not include transactions involving </w:t>
      </w:r>
      <w:r w:rsidRPr="008B54AC">
        <w:rPr>
          <w:rFonts w:ascii="Times New Roman" w:hAnsi="Times New Roman"/>
        </w:rPr>
        <w:t>fiduciaries providing investment advice within the meaning of ERISA section 3(21)(A)(ii) or Code section 4975(e)(3)(B) and regulations thereunder.</w:t>
      </w:r>
    </w:p>
    <w:p w:rsidR="00B6779D" w:rsidRPr="008D15AA" w:rsidP="006627A7" w14:paraId="6582C4AB" w14:textId="77777777">
      <w:pPr>
        <w:ind w:left="720"/>
        <w:contextualSpacing/>
        <w:rPr>
          <w:rFonts w:ascii="Times New Roman" w:hAnsi="Times New Roman"/>
        </w:rPr>
      </w:pPr>
    </w:p>
    <w:p w:rsidR="0069643E" w:rsidRPr="008D15AA" w:rsidP="006627A7" w14:paraId="186066EA" w14:textId="6E88528A">
      <w:pPr>
        <w:ind w:left="720"/>
        <w:contextualSpacing/>
        <w:rPr>
          <w:rFonts w:ascii="Times New Roman" w:hAnsi="Times New Roman"/>
        </w:rPr>
      </w:pPr>
      <w:r w:rsidRPr="002946C6">
        <w:rPr>
          <w:rFonts w:ascii="Times New Roman" w:hAnsi="Times New Roman"/>
        </w:rPr>
        <w:t xml:space="preserve">In order to receive commissions in conjunction with the purchase of </w:t>
      </w:r>
      <w:r w:rsidRPr="002946C6" w:rsidR="00BB6860">
        <w:rPr>
          <w:rFonts w:ascii="Times New Roman" w:hAnsi="Times New Roman"/>
        </w:rPr>
        <w:t xml:space="preserve">an insurance or annuity contract or of securities issued by the investment company, the insurance agent, insurance broker, pension consultant, or principal </w:t>
      </w:r>
      <w:r w:rsidRPr="002946C6" w:rsidR="00BB6860">
        <w:rPr>
          <w:rFonts w:ascii="Times New Roman" w:hAnsi="Times New Roman"/>
        </w:rPr>
        <w:t xml:space="preserve">underwriter </w:t>
      </w:r>
      <w:r w:rsidRPr="002946C6" w:rsidR="00137109">
        <w:rPr>
          <w:rFonts w:ascii="Times New Roman" w:hAnsi="Times New Roman"/>
        </w:rPr>
        <w:t xml:space="preserve"> </w:t>
      </w:r>
      <w:r w:rsidRPr="002946C6" w:rsidR="00BB6860">
        <w:rPr>
          <w:rFonts w:ascii="Times New Roman" w:hAnsi="Times New Roman"/>
        </w:rPr>
        <w:t>must</w:t>
      </w:r>
      <w:r w:rsidRPr="002946C6" w:rsidR="00BB6860">
        <w:rPr>
          <w:rFonts w:ascii="Times New Roman" w:hAnsi="Times New Roman"/>
        </w:rPr>
        <w:t xml:space="preserve"> obtain written authorization from the authorizing fiduciary. Prior to obtaining the written authorization, the insurance agent, insurance broker, pension consultant, or </w:t>
      </w:r>
      <w:r w:rsidRPr="002946C6" w:rsidR="00CE5362">
        <w:rPr>
          <w:rFonts w:ascii="Times New Roman" w:hAnsi="Times New Roman"/>
        </w:rPr>
        <w:t>principal underwriter must provide the authorizing fiduciary with sufficient materials and disclosures for the authorizing fiduciary to evaluate the appropriateness of the investment.</w:t>
      </w:r>
      <w:r w:rsidRPr="002946C6" w:rsidR="002024E6">
        <w:rPr>
          <w:rFonts w:ascii="Times New Roman" w:hAnsi="Times New Roman"/>
        </w:rPr>
        <w:t xml:space="preserve"> </w:t>
      </w:r>
      <w:r w:rsidRPr="002946C6" w:rsidR="00CE5362">
        <w:rPr>
          <w:rFonts w:ascii="Times New Roman" w:hAnsi="Times New Roman"/>
        </w:rPr>
        <w:t>Finally, the insurance agent, insurance broker, pension consultant, or principal underwriter must maintain sufficient records to demonstrate that the conditions of the exemption have been met.</w:t>
      </w:r>
    </w:p>
    <w:p w:rsidR="00CE5362" w:rsidRPr="008D15AA" w:rsidP="006627A7" w14:paraId="4558E1B2" w14:textId="77777777">
      <w:pPr>
        <w:ind w:left="720"/>
        <w:contextualSpacing/>
        <w:rPr>
          <w:rFonts w:ascii="Times New Roman" w:hAnsi="Times New Roman"/>
        </w:rPr>
      </w:pPr>
    </w:p>
    <w:p w:rsidR="002F1F76" w:rsidRPr="008D15AA" w:rsidP="006627A7" w14:paraId="65BFDD89" w14:textId="575C1CDA">
      <w:pPr>
        <w:ind w:left="720"/>
        <w:contextualSpacing/>
        <w:rPr>
          <w:rFonts w:ascii="Times New Roman" w:hAnsi="Times New Roman"/>
        </w:rPr>
      </w:pPr>
      <w:r w:rsidRPr="008D15AA">
        <w:rPr>
          <w:rFonts w:ascii="Times New Roman" w:hAnsi="Times New Roman"/>
        </w:rPr>
        <w:t xml:space="preserve">These </w:t>
      </w:r>
      <w:r w:rsidRPr="008D15AA" w:rsidR="0032216E">
        <w:rPr>
          <w:rFonts w:ascii="Times New Roman" w:hAnsi="Times New Roman"/>
        </w:rPr>
        <w:t xml:space="preserve">disclosure and written authorization </w:t>
      </w:r>
      <w:r w:rsidRPr="008D15AA">
        <w:rPr>
          <w:rFonts w:ascii="Times New Roman" w:hAnsi="Times New Roman"/>
        </w:rPr>
        <w:t>requirements are designed as appropriate safeguards to ensure the protection of the plan assets involved in the transactions, which, in the absence of the class exemption, would not be permitted.</w:t>
      </w:r>
      <w:r w:rsidR="002024E6">
        <w:rPr>
          <w:rFonts w:ascii="Times New Roman" w:hAnsi="Times New Roman"/>
        </w:rPr>
        <w:t xml:space="preserve"> </w:t>
      </w:r>
      <w:r w:rsidRPr="008D15AA">
        <w:rPr>
          <w:rFonts w:ascii="Times New Roman" w:hAnsi="Times New Roman"/>
        </w:rPr>
        <w:t>These safeguards rely on the prior authorization and monitoring of the fiduciary’s activities by a</w:t>
      </w:r>
      <w:r w:rsidRPr="008D15AA" w:rsidR="0032216E">
        <w:rPr>
          <w:rFonts w:ascii="Times New Roman" w:hAnsi="Times New Roman"/>
        </w:rPr>
        <w:t>n independent plan fiduciary</w:t>
      </w:r>
      <w:r w:rsidRPr="008D15AA" w:rsidR="00F16A7B">
        <w:rPr>
          <w:rFonts w:ascii="Times New Roman" w:hAnsi="Times New Roman"/>
        </w:rPr>
        <w:t>.</w:t>
      </w:r>
      <w:r w:rsidR="002024E6">
        <w:rPr>
          <w:rFonts w:ascii="Times New Roman" w:hAnsi="Times New Roman"/>
        </w:rPr>
        <w:t xml:space="preserve"> </w:t>
      </w:r>
    </w:p>
    <w:p w:rsidR="002F1F76" w:rsidRPr="008D15AA" w:rsidP="006627A7" w14:paraId="6C80E16F" w14:textId="5A131FC0">
      <w:pPr>
        <w:ind w:left="720"/>
        <w:contextualSpacing/>
        <w:rPr>
          <w:rFonts w:ascii="Times New Roman" w:hAnsi="Times New Roman"/>
          <w:highlight w:val="yellow"/>
        </w:rPr>
      </w:pPr>
    </w:p>
    <w:p w:rsidR="00B91CB4" w:rsidRPr="008D15AA" w:rsidP="006627A7" w14:paraId="2AB5E60A" w14:textId="663A85DC">
      <w:pPr>
        <w:ind w:left="720"/>
        <w:contextualSpacing/>
        <w:rPr>
          <w:rFonts w:ascii="Times New Roman" w:hAnsi="Times New Roman"/>
          <w:i/>
          <w:highlight w:val="yellow"/>
        </w:rPr>
      </w:pPr>
      <w:r w:rsidRPr="008D15AA">
        <w:rPr>
          <w:rFonts w:ascii="Times New Roman" w:hAnsi="Times New Roman"/>
          <w:i/>
        </w:rPr>
        <w:t>Collections Required for Transactions Described in Section III(g)</w:t>
      </w:r>
    </w:p>
    <w:p w:rsidR="00B91CB4" w:rsidP="006627A7" w14:paraId="088B6B1A" w14:textId="77777777">
      <w:pPr>
        <w:ind w:left="720"/>
        <w:contextualSpacing/>
        <w:rPr>
          <w:rFonts w:ascii="Times New Roman" w:hAnsi="Times New Roman"/>
          <w:highlight w:val="yellow"/>
        </w:rPr>
      </w:pPr>
    </w:p>
    <w:p w:rsidR="00FD5B39" w:rsidP="00FD5B39" w14:paraId="4B32E7BA" w14:textId="327A1444">
      <w:pPr>
        <w:ind w:left="720"/>
        <w:contextualSpacing/>
        <w:rPr>
          <w:rFonts w:ascii="Times New Roman" w:hAnsi="Times New Roman"/>
        </w:rPr>
      </w:pPr>
      <w:r>
        <w:rPr>
          <w:rFonts w:ascii="Times New Roman" w:hAnsi="Times New Roman"/>
        </w:rPr>
        <w:t xml:space="preserve">Note: </w:t>
      </w:r>
      <w:r>
        <w:rPr>
          <w:rFonts w:ascii="Times New Roman" w:hAnsi="Times New Roman"/>
        </w:rPr>
        <w:t>Proposed Section III(g) would provide relief for</w:t>
      </w:r>
      <w:r w:rsidRPr="00744165">
        <w:rPr>
          <w:rFonts w:ascii="Times New Roman" w:hAnsi="Times New Roman"/>
        </w:rPr>
        <w:t xml:space="preserve"> receipt, directly or indirectly, by an Independent Producer of an Insurance Sales Commission as a result of the provision of investment advice within the meaning of ERISA section 3(21)(A)(ii) and Code section 4975(e)(3)(B), regarding the purchase of an annuity contract or other insurance product not regulated by the Securities and Exchange Commission (SEC) of an Insurer that is not an Affiliate, including as part of a rollover from a Plan to an IRA as defined in Code section 4975(e)(1)(B) or (C).</w:t>
      </w:r>
    </w:p>
    <w:p w:rsidR="00FD5B39" w:rsidRPr="008D15AA" w:rsidP="006627A7" w14:paraId="5EA9D4EE" w14:textId="77777777">
      <w:pPr>
        <w:ind w:left="720"/>
        <w:contextualSpacing/>
        <w:rPr>
          <w:rFonts w:ascii="Times New Roman" w:hAnsi="Times New Roman"/>
          <w:highlight w:val="yellow"/>
        </w:rPr>
      </w:pPr>
    </w:p>
    <w:p w:rsidR="002F1F76" w:rsidRPr="008D15AA" w:rsidP="006627A7" w14:paraId="44F45709" w14:textId="315DABA2">
      <w:pPr>
        <w:ind w:left="720"/>
        <w:contextualSpacing/>
        <w:rPr>
          <w:rFonts w:ascii="Times New Roman" w:hAnsi="Times New Roman"/>
        </w:rPr>
      </w:pPr>
      <w:r w:rsidRPr="008D15AA">
        <w:rPr>
          <w:rFonts w:ascii="Times New Roman" w:hAnsi="Times New Roman"/>
        </w:rPr>
        <w:t xml:space="preserve">The proposed amendment would add information collections for </w:t>
      </w:r>
      <w:r w:rsidR="00806C07">
        <w:rPr>
          <w:rFonts w:ascii="Times New Roman" w:hAnsi="Times New Roman"/>
        </w:rPr>
        <w:t>Independent Producers</w:t>
      </w:r>
      <w:r w:rsidRPr="008D15AA">
        <w:rPr>
          <w:rFonts w:ascii="Times New Roman" w:hAnsi="Times New Roman"/>
        </w:rPr>
        <w:t xml:space="preserve"> </w:t>
      </w:r>
      <w:r w:rsidRPr="008D15AA">
        <w:rPr>
          <w:rFonts w:ascii="Times New Roman" w:hAnsi="Times New Roman"/>
        </w:rPr>
        <w:t>seeking relief from the restrictions of ERISA sections 406(a)(1)(D) and 406(b) and the taxes imposed by Code section 4975(a) and (b) by reason of Code sections 4975(c)(1)(E) and (F).</w:t>
      </w:r>
      <w:r w:rsidR="002024E6">
        <w:rPr>
          <w:rFonts w:ascii="Times New Roman" w:hAnsi="Times New Roman"/>
        </w:rPr>
        <w:t xml:space="preserve"> </w:t>
      </w:r>
      <w:r w:rsidRPr="008D15AA">
        <w:rPr>
          <w:rFonts w:ascii="Times New Roman" w:hAnsi="Times New Roman"/>
        </w:rPr>
        <w:t xml:space="preserve">These conditions are </w:t>
      </w:r>
      <w:r w:rsidRPr="008D15AA">
        <w:rPr>
          <w:rFonts w:ascii="Times New Roman" w:hAnsi="Times New Roman"/>
        </w:rPr>
        <w:t>similar to</w:t>
      </w:r>
      <w:r w:rsidRPr="008D15AA">
        <w:rPr>
          <w:rFonts w:ascii="Times New Roman" w:hAnsi="Times New Roman"/>
        </w:rPr>
        <w:t xml:space="preserve"> the conditions contained in PTE 2020-02 and are tailored to protect </w:t>
      </w:r>
      <w:r w:rsidR="00E65328">
        <w:rPr>
          <w:rFonts w:ascii="Times New Roman" w:hAnsi="Times New Roman"/>
        </w:rPr>
        <w:t>r</w:t>
      </w:r>
      <w:r w:rsidRPr="008D15AA">
        <w:rPr>
          <w:rFonts w:ascii="Times New Roman" w:hAnsi="Times New Roman"/>
        </w:rPr>
        <w:t xml:space="preserve">etirement </w:t>
      </w:r>
      <w:r w:rsidR="00E65328">
        <w:rPr>
          <w:rFonts w:ascii="Times New Roman" w:hAnsi="Times New Roman"/>
        </w:rPr>
        <w:t>i</w:t>
      </w:r>
      <w:r w:rsidRPr="008D15AA">
        <w:rPr>
          <w:rFonts w:ascii="Times New Roman" w:hAnsi="Times New Roman"/>
        </w:rPr>
        <w:t xml:space="preserve">nvestors from the specific conflicts that arise for </w:t>
      </w:r>
      <w:r w:rsidR="004D0228">
        <w:rPr>
          <w:rFonts w:ascii="Times New Roman" w:hAnsi="Times New Roman"/>
        </w:rPr>
        <w:t>I</w:t>
      </w:r>
      <w:r w:rsidRPr="008D15AA">
        <w:rPr>
          <w:rFonts w:ascii="Times New Roman" w:hAnsi="Times New Roman"/>
        </w:rPr>
        <w:t xml:space="preserve">ndependent </w:t>
      </w:r>
      <w:r w:rsidR="004D0228">
        <w:rPr>
          <w:rFonts w:ascii="Times New Roman" w:hAnsi="Times New Roman"/>
        </w:rPr>
        <w:t>P</w:t>
      </w:r>
      <w:r w:rsidRPr="008D15AA">
        <w:rPr>
          <w:rFonts w:ascii="Times New Roman" w:hAnsi="Times New Roman"/>
        </w:rPr>
        <w:t xml:space="preserve">roducers when providing investment advice to </w:t>
      </w:r>
      <w:r w:rsidR="00E65328">
        <w:rPr>
          <w:rFonts w:ascii="Times New Roman" w:hAnsi="Times New Roman"/>
        </w:rPr>
        <w:t>r</w:t>
      </w:r>
      <w:r w:rsidRPr="008D15AA">
        <w:rPr>
          <w:rFonts w:ascii="Times New Roman" w:hAnsi="Times New Roman"/>
        </w:rPr>
        <w:t xml:space="preserve">etirement </w:t>
      </w:r>
      <w:r w:rsidR="00E65328">
        <w:rPr>
          <w:rFonts w:ascii="Times New Roman" w:hAnsi="Times New Roman"/>
        </w:rPr>
        <w:t>i</w:t>
      </w:r>
      <w:r w:rsidRPr="008D15AA">
        <w:rPr>
          <w:rFonts w:ascii="Times New Roman" w:hAnsi="Times New Roman"/>
        </w:rPr>
        <w:t xml:space="preserve">nvestors regarding the purchase of an annuity. </w:t>
      </w:r>
      <w:r w:rsidR="00B12D49">
        <w:rPr>
          <w:rFonts w:ascii="Times New Roman" w:hAnsi="Times New Roman"/>
        </w:rPr>
        <w:t>T</w:t>
      </w:r>
      <w:r w:rsidRPr="00B12D49" w:rsidR="00B12D49">
        <w:rPr>
          <w:rFonts w:ascii="Times New Roman" w:hAnsi="Times New Roman"/>
        </w:rPr>
        <w:t xml:space="preserve">he Department is proposing to add a new Section IX to PTE 84-24, which would require the party engaging in a transaction covered by the exemption to maintain records necessary to enable certain persons (described in proposed Section IX(a)(2)) to determine whether the conditions of this exemption have been met. This provision would apply to </w:t>
      </w:r>
      <w:r w:rsidRPr="00B12D49" w:rsidR="00B12D49">
        <w:rPr>
          <w:rFonts w:ascii="Times New Roman" w:hAnsi="Times New Roman"/>
        </w:rPr>
        <w:t>all of</w:t>
      </w:r>
      <w:r w:rsidRPr="00B12D49" w:rsidR="00B12D49">
        <w:rPr>
          <w:rFonts w:ascii="Times New Roman" w:hAnsi="Times New Roman"/>
        </w:rPr>
        <w:t xml:space="preserve"> the conditions of PTE 84-24, replacing the more limited existing recordkeeping requirement in current Section V(e). This proposed recordkeeping requirement is consistent with PTE 2020-02</w:t>
      </w:r>
      <w:r w:rsidR="00E87322">
        <w:rPr>
          <w:rFonts w:ascii="Times New Roman" w:hAnsi="Times New Roman"/>
        </w:rPr>
        <w:t xml:space="preserve">. </w:t>
      </w:r>
      <w:r w:rsidRPr="008D15AA">
        <w:rPr>
          <w:rFonts w:ascii="Times New Roman" w:hAnsi="Times New Roman"/>
        </w:rPr>
        <w:t>The Department</w:t>
      </w:r>
      <w:r w:rsidRPr="008D15AA">
        <w:rPr>
          <w:rFonts w:ascii="Times New Roman" w:hAnsi="Times New Roman"/>
        </w:rPr>
        <w:t xml:space="preserve"> </w:t>
      </w:r>
      <w:r w:rsidR="00E87322">
        <w:rPr>
          <w:rFonts w:ascii="Times New Roman" w:hAnsi="Times New Roman"/>
        </w:rPr>
        <w:t>is</w:t>
      </w:r>
      <w:r w:rsidRPr="008D15AA">
        <w:rPr>
          <w:rFonts w:ascii="Times New Roman" w:hAnsi="Times New Roman"/>
        </w:rPr>
        <w:t xml:space="preserve"> also proposing to add a new eligibility provision for investment advice transactions.</w:t>
      </w:r>
    </w:p>
    <w:p w:rsidR="00E72683" w:rsidP="006627A7" w14:paraId="291CBAE7" w14:textId="77777777">
      <w:pPr>
        <w:ind w:left="720"/>
        <w:contextualSpacing/>
        <w:rPr>
          <w:rFonts w:ascii="Times New Roman" w:hAnsi="Times New Roman"/>
        </w:rPr>
      </w:pPr>
    </w:p>
    <w:p w:rsidR="00E72683" w:rsidRPr="00D90128" w:rsidP="00E72683" w14:paraId="253543D4" w14:textId="0F1BB238">
      <w:pPr>
        <w:ind w:left="720"/>
        <w:contextualSpacing/>
        <w:rPr>
          <w:rFonts w:ascii="Times New Roman" w:hAnsi="Times New Roman"/>
          <w:i/>
          <w:highlight w:val="yellow"/>
        </w:rPr>
      </w:pPr>
      <w:r w:rsidRPr="008D15AA">
        <w:rPr>
          <w:rFonts w:ascii="Times New Roman" w:hAnsi="Times New Roman"/>
          <w:i/>
        </w:rPr>
        <w:t>Collections Required for</w:t>
      </w:r>
      <w:r>
        <w:rPr>
          <w:rFonts w:ascii="Times New Roman" w:hAnsi="Times New Roman"/>
          <w:i/>
        </w:rPr>
        <w:t xml:space="preserve"> all</w:t>
      </w:r>
      <w:r w:rsidRPr="008D15AA">
        <w:rPr>
          <w:rFonts w:ascii="Times New Roman" w:hAnsi="Times New Roman"/>
          <w:i/>
        </w:rPr>
        <w:t xml:space="preserve"> Transactions </w:t>
      </w:r>
      <w:r>
        <w:rPr>
          <w:rFonts w:ascii="Times New Roman" w:hAnsi="Times New Roman"/>
          <w:i/>
        </w:rPr>
        <w:t>PTE 84-24</w:t>
      </w:r>
    </w:p>
    <w:p w:rsidR="00D76960" w:rsidP="00D76960" w14:paraId="488BC212" w14:textId="77777777">
      <w:pPr>
        <w:ind w:left="720"/>
        <w:contextualSpacing/>
        <w:rPr>
          <w:rFonts w:ascii="Times New Roman" w:hAnsi="Times New Roman"/>
        </w:rPr>
      </w:pPr>
    </w:p>
    <w:p w:rsidR="00D76960" w:rsidRPr="008D15AA" w:rsidP="00D76960" w14:paraId="51D0ADF7" w14:textId="480EB7CF">
      <w:pPr>
        <w:ind w:left="720"/>
        <w:contextualSpacing/>
        <w:rPr>
          <w:rFonts w:ascii="Times New Roman" w:hAnsi="Times New Roman"/>
        </w:rPr>
      </w:pPr>
      <w:r>
        <w:rPr>
          <w:rFonts w:ascii="Times New Roman" w:hAnsi="Times New Roman"/>
        </w:rPr>
        <w:t>T</w:t>
      </w:r>
      <w:r w:rsidRPr="00B12D49">
        <w:rPr>
          <w:rFonts w:ascii="Times New Roman" w:hAnsi="Times New Roman"/>
        </w:rPr>
        <w:t>he Department is proposing to add a new Section IX to PTE 84-24, which would require the party engaging in a</w:t>
      </w:r>
      <w:r>
        <w:rPr>
          <w:rFonts w:ascii="Times New Roman" w:hAnsi="Times New Roman"/>
        </w:rPr>
        <w:t>ny</w:t>
      </w:r>
      <w:r w:rsidRPr="00B12D49">
        <w:rPr>
          <w:rFonts w:ascii="Times New Roman" w:hAnsi="Times New Roman"/>
        </w:rPr>
        <w:t xml:space="preserve"> transaction covered by </w:t>
      </w:r>
      <w:r>
        <w:rPr>
          <w:rFonts w:ascii="Times New Roman" w:hAnsi="Times New Roman"/>
        </w:rPr>
        <w:t>PTE 84-24</w:t>
      </w:r>
      <w:r w:rsidRPr="00B12D49">
        <w:rPr>
          <w:rFonts w:ascii="Times New Roman" w:hAnsi="Times New Roman"/>
        </w:rPr>
        <w:t xml:space="preserve"> to maintain records necessary to enable certain </w:t>
      </w:r>
      <w:r w:rsidRPr="00B12D49">
        <w:rPr>
          <w:rFonts w:ascii="Times New Roman" w:hAnsi="Times New Roman"/>
        </w:rPr>
        <w:t>persons  to</w:t>
      </w:r>
      <w:r w:rsidRPr="00B12D49">
        <w:rPr>
          <w:rFonts w:ascii="Times New Roman" w:hAnsi="Times New Roman"/>
        </w:rPr>
        <w:t xml:space="preserve"> determine whether the conditions of </w:t>
      </w:r>
      <w:r>
        <w:rPr>
          <w:rFonts w:ascii="Times New Roman" w:hAnsi="Times New Roman"/>
        </w:rPr>
        <w:t>the</w:t>
      </w:r>
      <w:r w:rsidRPr="00B12D49">
        <w:rPr>
          <w:rFonts w:ascii="Times New Roman" w:hAnsi="Times New Roman"/>
        </w:rPr>
        <w:t xml:space="preserve"> exemption have been met. This provision would apply to </w:t>
      </w:r>
      <w:r w:rsidRPr="00B12D49">
        <w:rPr>
          <w:rFonts w:ascii="Times New Roman" w:hAnsi="Times New Roman"/>
        </w:rPr>
        <w:t>all of</w:t>
      </w:r>
      <w:r w:rsidRPr="00B12D49">
        <w:rPr>
          <w:rFonts w:ascii="Times New Roman" w:hAnsi="Times New Roman"/>
        </w:rPr>
        <w:t xml:space="preserve"> the conditions of PTE 84-24, replacing the more limited existing recordkeeping requirement in current Section V(e). </w:t>
      </w:r>
    </w:p>
    <w:p w:rsidR="0065485A" w:rsidRPr="008D15AA" w:rsidP="006627A7" w14:paraId="4451540A" w14:textId="77777777">
      <w:pPr>
        <w:ind w:left="720"/>
        <w:contextualSpacing/>
        <w:rPr>
          <w:rFonts w:ascii="Times New Roman" w:hAnsi="Times New Roman"/>
        </w:rPr>
      </w:pPr>
    </w:p>
    <w:p w:rsidR="00F7231D" w:rsidRPr="00D82BAB" w:rsidP="00D82BAB" w14:paraId="349EE5F2" w14:textId="566C45F3">
      <w:pPr>
        <w:ind w:left="720"/>
        <w:contextualSpacing/>
        <w:rPr>
          <w:rFonts w:ascii="Times New Roman" w:hAnsi="Times New Roman"/>
        </w:rPr>
      </w:pPr>
      <w:r w:rsidRPr="008D15AA">
        <w:rPr>
          <w:rFonts w:ascii="Times New Roman" w:hAnsi="Times New Roman"/>
        </w:rPr>
        <w:t xml:space="preserve">The Department is unable to estimate how frequently records supporting the exempt transactions </w:t>
      </w:r>
      <w:r w:rsidR="00C74419">
        <w:rPr>
          <w:rFonts w:ascii="Times New Roman" w:hAnsi="Times New Roman"/>
        </w:rPr>
        <w:t>would be</w:t>
      </w:r>
      <w:r w:rsidRPr="008D15AA" w:rsidR="00C74419">
        <w:rPr>
          <w:rFonts w:ascii="Times New Roman" w:hAnsi="Times New Roman"/>
        </w:rPr>
        <w:t xml:space="preserve"> </w:t>
      </w:r>
      <w:r w:rsidRPr="008D15AA">
        <w:rPr>
          <w:rFonts w:ascii="Times New Roman" w:hAnsi="Times New Roman"/>
        </w:rPr>
        <w:t>examined by either the Department or other parties.</w:t>
      </w:r>
      <w:r w:rsidR="002024E6">
        <w:rPr>
          <w:rFonts w:ascii="Times New Roman" w:hAnsi="Times New Roman"/>
        </w:rPr>
        <w:t xml:space="preserve"> </w:t>
      </w:r>
      <w:r w:rsidRPr="008D15AA">
        <w:rPr>
          <w:rFonts w:ascii="Times New Roman" w:hAnsi="Times New Roman"/>
        </w:rPr>
        <w:t xml:space="preserve">The Department has the authority to request such records and does so from time to time in </w:t>
      </w:r>
      <w:r w:rsidRPr="00D82BAB">
        <w:rPr>
          <w:rFonts w:ascii="Times New Roman" w:hAnsi="Times New Roman"/>
        </w:rPr>
        <w:t>connection with investigations.</w:t>
      </w:r>
      <w:r w:rsidR="002024E6">
        <w:rPr>
          <w:rFonts w:ascii="Times New Roman" w:hAnsi="Times New Roman"/>
        </w:rPr>
        <w:t xml:space="preserve"> </w:t>
      </w:r>
    </w:p>
    <w:p w:rsidR="008B6DA0" w:rsidP="00945117" w14:paraId="7C55F044" w14:textId="01856133">
      <w:pPr>
        <w:pStyle w:val="Quick1"/>
        <w:numPr>
          <w:ilvl w:val="0"/>
          <w:numId w:val="0"/>
        </w:numPr>
        <w:rPr>
          <w:rFonts w:ascii="Times New Roman" w:hAnsi="Times New Roman"/>
        </w:rPr>
      </w:pPr>
    </w:p>
    <w:p w:rsidR="00BA2A37" w:rsidRPr="00945117" w:rsidP="00FD2810" w14:paraId="60E8396B" w14:textId="14100E66">
      <w:pPr>
        <w:pStyle w:val="Style1"/>
      </w:pPr>
      <w:r w:rsidRPr="0094511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024E6">
        <w:t xml:space="preserve"> </w:t>
      </w:r>
      <w:r w:rsidRPr="00945117">
        <w:t>Also describe any consideration for using information technology to reduce burden.</w:t>
      </w:r>
    </w:p>
    <w:p w:rsidR="00BA2A37" w:rsidP="00BA2A37" w14:paraId="7E37EC0B" w14:textId="77777777">
      <w:pPr>
        <w:widowControl/>
        <w:ind w:left="720" w:hanging="720"/>
        <w:contextualSpacing/>
        <w:rPr>
          <w:rFonts w:ascii="Times New Roman" w:hAnsi="Times New Roman"/>
        </w:rPr>
      </w:pPr>
    </w:p>
    <w:p w:rsidR="00D4581B" w:rsidRPr="008D15AA" w:rsidP="00BA2A37" w14:paraId="6F28A8BF" w14:textId="17FCE5B2">
      <w:pPr>
        <w:widowControl/>
        <w:ind w:left="720"/>
        <w:contextualSpacing/>
        <w:rPr>
          <w:rFonts w:ascii="Times New Roman" w:hAnsi="Times New Roman"/>
        </w:rPr>
      </w:pPr>
      <w:r w:rsidRPr="008D15AA">
        <w:rPr>
          <w:rFonts w:ascii="Times New Roman" w:hAnsi="Times New Roman"/>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w:t>
      </w:r>
      <w:r w:rsidR="002024E6">
        <w:rPr>
          <w:rFonts w:ascii="Times New Roman" w:hAnsi="Times New Roman"/>
        </w:rPr>
        <w:t xml:space="preserve"> </w:t>
      </w:r>
      <w:r w:rsidRPr="008D15AA">
        <w:rPr>
          <w:rFonts w:ascii="Times New Roman" w:hAnsi="Times New Roman"/>
        </w:rPr>
        <w:t xml:space="preserve">Section 2520.104b-1(c) establishes the </w:t>
      </w:r>
      <w:r w:rsidRPr="008D15AA">
        <w:rPr>
          <w:rFonts w:ascii="Times New Roman" w:hAnsi="Times New Roman"/>
        </w:rPr>
        <w:t>manner in which</w:t>
      </w:r>
      <w:r w:rsidRPr="008D15AA">
        <w:rPr>
          <w:rFonts w:ascii="Times New Roman" w:hAnsi="Times New Roman"/>
        </w:rPr>
        <w:t xml:space="preserve"> disclosures under Title I of ERISA made through electronic media will be deemed to </w:t>
      </w:r>
      <w:r w:rsidRPr="008D15AA">
        <w:rPr>
          <w:rFonts w:ascii="Times New Roman" w:hAnsi="Times New Roman"/>
        </w:rPr>
        <w:t>satisfy the requirement of § 2520.104b-1(b).</w:t>
      </w:r>
      <w:r w:rsidR="002024E6">
        <w:rPr>
          <w:rFonts w:ascii="Times New Roman" w:hAnsi="Times New Roman"/>
        </w:rPr>
        <w:t xml:space="preserve"> </w:t>
      </w:r>
      <w:r w:rsidRPr="008D15AA">
        <w:rPr>
          <w:rFonts w:ascii="Times New Roman" w:hAnsi="Times New Roman"/>
        </w:rPr>
        <w:t>Section 2520-107-1 establishes standards concerning the use of electronic media for maintenance and retention of records.</w:t>
      </w:r>
      <w:r w:rsidR="002024E6">
        <w:rPr>
          <w:rFonts w:ascii="Times New Roman" w:hAnsi="Times New Roman"/>
        </w:rPr>
        <w:t xml:space="preserve"> </w:t>
      </w:r>
      <w:r w:rsidRPr="008D15AA">
        <w:rPr>
          <w:rFonts w:ascii="Times New Roman" w:hAnsi="Times New Roman"/>
        </w:rPr>
        <w:t>Under these rules, all pension and welfare plans covered under Title I of ERISA may use electronic media to satisfy disclosure and recordkeeping obligations, subject to specific safeguards.</w:t>
      </w:r>
    </w:p>
    <w:p w:rsidR="00D4581B" w:rsidRPr="008D15AA" w:rsidP="00BA2A37" w14:paraId="05DE9DC7" w14:textId="77777777">
      <w:pPr>
        <w:ind w:left="720" w:hanging="720"/>
        <w:contextualSpacing/>
        <w:rPr>
          <w:rFonts w:ascii="Times New Roman" w:hAnsi="Times New Roman"/>
        </w:rPr>
      </w:pPr>
    </w:p>
    <w:p w:rsidR="00EE73E9" w:rsidRPr="00D90128" w:rsidP="00EE73E9" w14:paraId="4CD66EF2" w14:textId="10B6C1FE">
      <w:pPr>
        <w:ind w:left="720"/>
        <w:rPr>
          <w:rFonts w:ascii="Times New Roman" w:hAnsi="Times New Roman"/>
        </w:rPr>
      </w:pPr>
      <w:r>
        <w:rPr>
          <w:rFonts w:ascii="Times New Roman" w:hAnsi="Times New Roman"/>
        </w:rPr>
        <w:t>T</w:t>
      </w:r>
      <w:r w:rsidRPr="00D90128">
        <w:rPr>
          <w:rFonts w:ascii="Times New Roman" w:hAnsi="Times New Roman"/>
        </w:rPr>
        <w:t xml:space="preserve">he disclosures under the proposed exemption amendments are coming from investment advice fiduciaries, rather the plan administrators. The Department does not have information on how many retirement investors, including plan beneficiaries and participants and IRA owners, receive disclosures electronically from investment advice fiduciaries. For the purposes of this analysis, the Department assumes that the percent of retirement investors receiving disclosures electronically would be </w:t>
      </w:r>
      <w:r w:rsidRPr="00D90128">
        <w:rPr>
          <w:rFonts w:ascii="Times New Roman" w:hAnsi="Times New Roman"/>
        </w:rPr>
        <w:t>similar to</w:t>
      </w:r>
      <w:r w:rsidRPr="00D90128">
        <w:rPr>
          <w:rFonts w:ascii="Times New Roman" w:hAnsi="Times New Roman"/>
        </w:rPr>
        <w:t xml:space="preserve"> the percent of plan participants receiving disclosures electronically under the Department’s 2020 electronic disclosure rules.</w:t>
      </w:r>
    </w:p>
    <w:p w:rsidR="00EE73E9" w:rsidP="003E639C" w14:paraId="06C1D8C0" w14:textId="77777777">
      <w:pPr>
        <w:contextualSpacing/>
        <w:rPr>
          <w:rFonts w:ascii="Times New Roman" w:hAnsi="Times New Roman"/>
        </w:rPr>
      </w:pPr>
    </w:p>
    <w:p w:rsidR="00D82BAB" w:rsidRPr="00945117" w:rsidP="00FD2810" w14:paraId="58664218" w14:textId="377755C9">
      <w:pPr>
        <w:pStyle w:val="Style1"/>
      </w:pPr>
      <w:r w:rsidRPr="00945117">
        <w:t>Describe efforts to identify duplication.</w:t>
      </w:r>
      <w:r w:rsidR="002024E6">
        <w:t xml:space="preserve"> </w:t>
      </w:r>
      <w:r w:rsidRPr="00945117">
        <w:t>Show specifically why any similar information already available cannot be used or modified for use for the purposes described in Item 2 above.</w:t>
      </w:r>
    </w:p>
    <w:p w:rsidR="0065485A" w:rsidRPr="00D82BAB" w:rsidP="00945117" w14:paraId="029AACA4" w14:textId="77777777">
      <w:pPr>
        <w:pStyle w:val="Quick1"/>
        <w:numPr>
          <w:ilvl w:val="0"/>
          <w:numId w:val="0"/>
        </w:numPr>
        <w:rPr>
          <w:rFonts w:ascii="Times New Roman" w:hAnsi="Times New Roman"/>
        </w:rPr>
      </w:pPr>
    </w:p>
    <w:p w:rsidR="001A76C9" w:rsidP="00D82BAB" w14:paraId="744B9B96" w14:textId="3E12C9E6">
      <w:pPr>
        <w:ind w:left="720"/>
        <w:contextualSpacing/>
        <w:rPr>
          <w:rFonts w:ascii="Times New Roman" w:hAnsi="Times New Roman"/>
        </w:rPr>
      </w:pPr>
      <w:r w:rsidRPr="001A76C9">
        <w:rPr>
          <w:rFonts w:ascii="Times New Roman" w:hAnsi="Times New Roman"/>
        </w:rPr>
        <w:t>The Department considered conduct standards set by other regulators</w:t>
      </w:r>
      <w:r w:rsidR="00810498">
        <w:rPr>
          <w:rFonts w:ascii="Times New Roman" w:hAnsi="Times New Roman"/>
        </w:rPr>
        <w:t xml:space="preserve"> —</w:t>
      </w:r>
      <w:r w:rsidRPr="001A76C9" w:rsidR="00810498">
        <w:rPr>
          <w:rFonts w:ascii="Times New Roman" w:hAnsi="Times New Roman"/>
        </w:rPr>
        <w:t xml:space="preserve"> </w:t>
      </w:r>
      <w:r w:rsidRPr="001A76C9">
        <w:rPr>
          <w:rFonts w:ascii="Times New Roman" w:hAnsi="Times New Roman"/>
        </w:rPr>
        <w:t>such as SEC, NAIC, FINRA</w:t>
      </w:r>
      <w:r w:rsidR="00810498">
        <w:rPr>
          <w:rFonts w:ascii="Times New Roman" w:hAnsi="Times New Roman"/>
        </w:rPr>
        <w:t xml:space="preserve"> and state law —</w:t>
      </w:r>
      <w:r w:rsidRPr="001A76C9">
        <w:rPr>
          <w:rFonts w:ascii="Times New Roman" w:hAnsi="Times New Roman"/>
        </w:rPr>
        <w:t xml:space="preserve"> in developing the exemption, with the goal of avoiding overlapping or duplicative requirements. To the extent the requirements overlap, compliance with the other disclosure or recordkeeping requirements can be used to satisfy the exemption conditions, provided the conditions are satisfied. In this regard, there is no duplicate requirements because entities </w:t>
      </w:r>
      <w:r w:rsidRPr="001A76C9">
        <w:rPr>
          <w:rFonts w:ascii="Times New Roman" w:hAnsi="Times New Roman"/>
        </w:rPr>
        <w:t>are able to</w:t>
      </w:r>
      <w:r w:rsidRPr="001A76C9">
        <w:rPr>
          <w:rFonts w:ascii="Times New Roman" w:hAnsi="Times New Roman"/>
        </w:rPr>
        <w:t xml:space="preserve"> satisfy the requirements of both this exemption and of the other applicable laws.</w:t>
      </w:r>
    </w:p>
    <w:p w:rsidR="00D82BAB" w:rsidP="00945117" w14:paraId="64647CBB" w14:textId="65099D50">
      <w:pPr>
        <w:contextualSpacing/>
        <w:rPr>
          <w:rFonts w:ascii="Times New Roman" w:hAnsi="Times New Roman"/>
        </w:rPr>
      </w:pPr>
    </w:p>
    <w:p w:rsidR="00BA2A37" w:rsidRPr="00945117" w:rsidP="00FD2810" w14:paraId="072E3E16" w14:textId="77777777">
      <w:pPr>
        <w:pStyle w:val="Style1"/>
      </w:pPr>
      <w:r w:rsidRPr="00945117">
        <w:t>If the collection of information impacts small businesses or other small entities, describe any methods used to minimize burden.</w:t>
      </w:r>
    </w:p>
    <w:p w:rsidR="00D82BAB" w:rsidRPr="008D15AA" w:rsidP="00D82BAB" w14:paraId="7FE2C1CD" w14:textId="77777777">
      <w:pPr>
        <w:ind w:left="720"/>
        <w:contextualSpacing/>
        <w:rPr>
          <w:rFonts w:ascii="Times New Roman" w:hAnsi="Times New Roman"/>
        </w:rPr>
      </w:pPr>
    </w:p>
    <w:p w:rsidR="00AC5AA5" w:rsidP="006627A7" w14:paraId="2F1A8A34" w14:textId="4722465D">
      <w:pPr>
        <w:ind w:left="720"/>
        <w:contextualSpacing/>
        <w:rPr>
          <w:rFonts w:ascii="Times New Roman" w:hAnsi="Times New Roman"/>
        </w:rPr>
      </w:pPr>
      <w:r w:rsidRPr="00AC5AA5">
        <w:rPr>
          <w:rFonts w:ascii="Times New Roman" w:hAnsi="Times New Roman"/>
        </w:rPr>
        <w:t>It is necessary for the information collection to apply equally to large and small entities to ensure that participants and beneficiaries and IRA owners are protected when their plans and IRAs engage in transactions that otherwise would be prohibited under ERISA and the Code. However, because smaller entities generally have less complex business practices and arrangements than their larger counterparts, it likely will cost less for them to comply with the exemption.</w:t>
      </w:r>
    </w:p>
    <w:p w:rsidR="00C54B55" w:rsidP="006627A7" w14:paraId="4BECAEF8" w14:textId="77777777">
      <w:pPr>
        <w:ind w:left="720"/>
        <w:contextualSpacing/>
        <w:rPr>
          <w:rFonts w:ascii="Times New Roman" w:hAnsi="Times New Roman"/>
        </w:rPr>
      </w:pPr>
    </w:p>
    <w:p w:rsidR="00D82BAB" w:rsidP="00C74419" w14:paraId="7F84B33D" w14:textId="15657702">
      <w:pPr>
        <w:ind w:left="720"/>
        <w:contextualSpacing/>
        <w:rPr>
          <w:rFonts w:ascii="Times New Roman" w:hAnsi="Times New Roman"/>
        </w:rPr>
      </w:pPr>
      <w:r>
        <w:rPr>
          <w:rFonts w:ascii="Times New Roman" w:hAnsi="Times New Roman"/>
        </w:rPr>
        <w:t>The Department has attempted to minimize burden by focusing the information collection on information available the impacted entities.</w:t>
      </w:r>
      <w:r w:rsidR="002024E6">
        <w:rPr>
          <w:rFonts w:ascii="Times New Roman" w:hAnsi="Times New Roman"/>
        </w:rPr>
        <w:t xml:space="preserve"> </w:t>
      </w:r>
      <w:r>
        <w:rPr>
          <w:rFonts w:ascii="Times New Roman" w:hAnsi="Times New Roman"/>
        </w:rPr>
        <w:t>For instance, m</w:t>
      </w:r>
      <w:r w:rsidR="00C74419">
        <w:rPr>
          <w:rFonts w:ascii="Times New Roman" w:hAnsi="Times New Roman"/>
        </w:rPr>
        <w:t xml:space="preserve">uch of the information </w:t>
      </w:r>
      <w:r w:rsidR="00C74419">
        <w:rPr>
          <w:rFonts w:ascii="Times New Roman" w:hAnsi="Times New Roman"/>
        </w:rPr>
        <w:t xml:space="preserve">required in disclosures contain information that is likely readily available to many fiduciaries, </w:t>
      </w:r>
      <w:r w:rsidRPr="008D15AA" w:rsidR="00130E40">
        <w:rPr>
          <w:rFonts w:ascii="Times New Roman" w:hAnsi="Times New Roman"/>
        </w:rPr>
        <w:t>and the recordkeeping requirement</w:t>
      </w:r>
      <w:r w:rsidR="00C74419">
        <w:rPr>
          <w:rFonts w:ascii="Times New Roman" w:hAnsi="Times New Roman"/>
        </w:rPr>
        <w:t>s</w:t>
      </w:r>
      <w:r w:rsidRPr="008D15AA" w:rsidR="00130E40">
        <w:rPr>
          <w:rFonts w:ascii="Times New Roman" w:hAnsi="Times New Roman"/>
        </w:rPr>
        <w:t xml:space="preserve"> include records that are otherwise maintained in the normal cost of business.</w:t>
      </w:r>
      <w:r w:rsidR="002024E6">
        <w:rPr>
          <w:rFonts w:ascii="Times New Roman" w:hAnsi="Times New Roman"/>
        </w:rPr>
        <w:t xml:space="preserve"> </w:t>
      </w:r>
    </w:p>
    <w:p w:rsidR="00D82BAB" w:rsidRPr="0013547C" w:rsidP="00D82BAB" w14:paraId="2459A36D" w14:textId="77777777">
      <w:pPr>
        <w:ind w:left="720"/>
        <w:contextualSpacing/>
        <w:rPr>
          <w:rFonts w:ascii="Times New Roman" w:hAnsi="Times New Roman"/>
        </w:rPr>
      </w:pPr>
    </w:p>
    <w:p w:rsidR="00D82BAB" w:rsidRPr="00945117" w:rsidP="00FD2810" w14:paraId="1D053866" w14:textId="4A9984DD">
      <w:pPr>
        <w:pStyle w:val="Style1"/>
      </w:pPr>
      <w:r w:rsidRPr="00945117">
        <w:t>Describe the consequence to Federal program or policy activities if the collection is not conducted or is conducted less frequently, as well as any technical or legal obstacles to reducing burden.</w:t>
      </w:r>
    </w:p>
    <w:p w:rsidR="00130E40" w:rsidRPr="008D15AA" w:rsidP="00C74419" w14:paraId="13B18002" w14:textId="77777777">
      <w:pPr>
        <w:ind w:left="720"/>
        <w:contextualSpacing/>
        <w:rPr>
          <w:rFonts w:ascii="Times New Roman" w:hAnsi="Times New Roman"/>
        </w:rPr>
      </w:pPr>
    </w:p>
    <w:p w:rsidR="00EE6FD4" w:rsidRPr="008D15AA" w:rsidP="006627A7" w14:paraId="5F0391FA" w14:textId="166AC01E">
      <w:pPr>
        <w:ind w:left="720"/>
        <w:contextualSpacing/>
        <w:rPr>
          <w:rFonts w:ascii="Times New Roman" w:hAnsi="Times New Roman"/>
        </w:rPr>
      </w:pPr>
      <w:r w:rsidRPr="008D15AA">
        <w:rPr>
          <w:rFonts w:ascii="Times New Roman" w:hAnsi="Times New Roman"/>
        </w:rPr>
        <w:t>The requirements of this PTE are only mandatory if entities wish to utilize the class exemption.</w:t>
      </w:r>
      <w:r w:rsidR="002024E6">
        <w:rPr>
          <w:rFonts w:ascii="Times New Roman" w:hAnsi="Times New Roman"/>
        </w:rPr>
        <w:t xml:space="preserve"> </w:t>
      </w:r>
      <w:r w:rsidRPr="008D15AA">
        <w:rPr>
          <w:rFonts w:ascii="Times New Roman" w:hAnsi="Times New Roman"/>
        </w:rPr>
        <w:t xml:space="preserve">The frequency </w:t>
      </w:r>
      <w:r w:rsidRPr="008D15AA" w:rsidR="0058552C">
        <w:rPr>
          <w:rFonts w:ascii="Times New Roman" w:hAnsi="Times New Roman"/>
        </w:rPr>
        <w:t xml:space="preserve">of some of the information collections are </w:t>
      </w:r>
      <w:r w:rsidRPr="008D15AA">
        <w:rPr>
          <w:rFonts w:ascii="Times New Roman" w:hAnsi="Times New Roman"/>
        </w:rPr>
        <w:t xml:space="preserve">dependent upon the occurrence of such transactions, not on a predetermined </w:t>
      </w:r>
      <w:r w:rsidRPr="008D15AA">
        <w:rPr>
          <w:rFonts w:ascii="Times New Roman" w:hAnsi="Times New Roman"/>
        </w:rPr>
        <w:t>time period</w:t>
      </w:r>
      <w:r w:rsidRPr="008D15AA">
        <w:rPr>
          <w:rFonts w:ascii="Times New Roman" w:hAnsi="Times New Roman"/>
        </w:rPr>
        <w:t>.</w:t>
      </w:r>
      <w:r w:rsidR="002024E6">
        <w:rPr>
          <w:rFonts w:ascii="Times New Roman" w:hAnsi="Times New Roman"/>
        </w:rPr>
        <w:t xml:space="preserve"> </w:t>
      </w:r>
      <w:r w:rsidRPr="008D15AA" w:rsidR="0058552C">
        <w:rPr>
          <w:rFonts w:ascii="Times New Roman" w:hAnsi="Times New Roman"/>
        </w:rPr>
        <w:t>The proposed amendments would include annual information collection requirements for entities using the class exemption.</w:t>
      </w:r>
    </w:p>
    <w:p w:rsidR="00EE6FD4" w:rsidRPr="008D15AA" w:rsidP="006627A7" w14:paraId="27040262" w14:textId="77777777">
      <w:pPr>
        <w:ind w:left="720"/>
        <w:contextualSpacing/>
        <w:rPr>
          <w:rFonts w:ascii="Times New Roman" w:hAnsi="Times New Roman"/>
        </w:rPr>
      </w:pPr>
    </w:p>
    <w:p w:rsidR="00D82BAB" w:rsidP="006627A7" w14:paraId="1232388F" w14:textId="574CE136">
      <w:pPr>
        <w:ind w:left="720"/>
        <w:contextualSpacing/>
        <w:rPr>
          <w:rFonts w:ascii="Times New Roman" w:hAnsi="Times New Roman"/>
        </w:rPr>
      </w:pPr>
      <w:r w:rsidRPr="000D03A7">
        <w:rPr>
          <w:rFonts w:ascii="Times New Roman" w:hAnsi="Times New Roman"/>
        </w:rPr>
        <w:t>The information collection requirements are necessary to ensure that the exemption conditions are protective of the rights of Plan participants and beneficiaries and IRA owners, as required by ERISA section 408(a) and Code section 4975(c)(2).</w:t>
      </w:r>
    </w:p>
    <w:p w:rsidR="00AF329C" w:rsidP="006627A7" w14:paraId="3C245737" w14:textId="77777777">
      <w:pPr>
        <w:ind w:left="720"/>
        <w:contextualSpacing/>
        <w:rPr>
          <w:rFonts w:ascii="Times New Roman" w:hAnsi="Times New Roman"/>
        </w:rPr>
      </w:pPr>
    </w:p>
    <w:p w:rsidR="00D82BAB" w:rsidRPr="008D761D" w:rsidP="00FD2810" w14:paraId="2E6A269D" w14:textId="7BF396F4">
      <w:pPr>
        <w:pStyle w:val="Style1"/>
      </w:pPr>
      <w:r w:rsidRPr="00945117">
        <w:t>Explain any special circumstances that would cause an information collection to be conducted in a manner:</w:t>
      </w:r>
    </w:p>
    <w:p w:rsidR="0065485A" w:rsidRPr="00057EFA" w:rsidP="00945117" w14:paraId="7838677A" w14:textId="6C402924">
      <w:pPr>
        <w:pStyle w:val="BodyTextIndent2"/>
        <w:contextualSpacing/>
      </w:pPr>
      <w:r w:rsidRPr="002F5013">
        <w:t>•</w:t>
      </w:r>
      <w:r w:rsidRPr="002F5013">
        <w:tab/>
      </w:r>
      <w:r w:rsidRPr="00945117">
        <w:rPr>
          <w:b/>
          <w:i w:val="0"/>
          <w:iCs w:val="0"/>
        </w:rPr>
        <w:t xml:space="preserve">requiring respondents to report information to the agency more often than </w:t>
      </w:r>
      <w:r w:rsidRPr="00945117">
        <w:rPr>
          <w:b/>
          <w:i w:val="0"/>
          <w:iCs w:val="0"/>
        </w:rPr>
        <w:t>quarterly;</w:t>
      </w:r>
    </w:p>
    <w:p w:rsidR="0065485A" w:rsidRPr="00945117" w:rsidP="00945117" w14:paraId="7B31710B" w14:textId="336304F3">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requiring respondents to prepare a written response to a collection of information in fewer than 30 days after receipt of </w:t>
      </w:r>
      <w:r w:rsidRPr="00945117">
        <w:rPr>
          <w:rFonts w:ascii="Times New Roman" w:hAnsi="Times New Roman"/>
          <w:b/>
          <w:iCs/>
        </w:rPr>
        <w:t>it;</w:t>
      </w:r>
    </w:p>
    <w:p w:rsidR="0065485A" w:rsidRPr="00945117" w:rsidP="00945117" w14:paraId="264F1195" w14:textId="4127E1FB">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requiring respondents to submit more than an original and two copies of any </w:t>
      </w:r>
      <w:r w:rsidRPr="00945117">
        <w:rPr>
          <w:rFonts w:ascii="Times New Roman" w:hAnsi="Times New Roman"/>
          <w:b/>
          <w:iCs/>
        </w:rPr>
        <w:t>document;</w:t>
      </w:r>
    </w:p>
    <w:p w:rsidR="0065485A" w:rsidRPr="00945117" w:rsidP="00945117" w14:paraId="4FD8E9D4" w14:textId="4C86DBC8">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requiring respondents to retain records, other than health, medical, government contract, grant-in-aid, or tax records for more than three </w:t>
      </w:r>
      <w:r w:rsidRPr="00945117">
        <w:rPr>
          <w:rFonts w:ascii="Times New Roman" w:hAnsi="Times New Roman"/>
          <w:b/>
          <w:iCs/>
        </w:rPr>
        <w:t>years;</w:t>
      </w:r>
      <w:r w:rsidRPr="00945117" w:rsidR="009B54CB">
        <w:rPr>
          <w:rFonts w:ascii="Times New Roman" w:hAnsi="Times New Roman" w:eastAsiaTheme="minorHAnsi"/>
          <w:b/>
        </w:rPr>
        <w:t xml:space="preserve"> </w:t>
      </w:r>
    </w:p>
    <w:p w:rsidR="0065485A" w:rsidRPr="00945117" w:rsidP="00945117" w14:paraId="47E2C672" w14:textId="22BB4C7C">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in connection with a statistical survey, that is not designed to produce valid and reliable results that can be generalized to the universe of </w:t>
      </w:r>
      <w:r w:rsidRPr="00945117">
        <w:rPr>
          <w:rFonts w:ascii="Times New Roman" w:hAnsi="Times New Roman"/>
          <w:b/>
          <w:iCs/>
        </w:rPr>
        <w:t>study;</w:t>
      </w:r>
    </w:p>
    <w:p w:rsidR="0065485A" w:rsidRPr="00945117" w:rsidP="00945117" w14:paraId="7B1995E6" w14:textId="67167974">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requiring the use of a statistical data classification that has not been reviewed and approved by </w:t>
      </w:r>
      <w:r w:rsidRPr="00945117">
        <w:rPr>
          <w:rFonts w:ascii="Times New Roman" w:hAnsi="Times New Roman"/>
          <w:b/>
          <w:iCs/>
        </w:rPr>
        <w:t>OMB;</w:t>
      </w:r>
    </w:p>
    <w:p w:rsidR="0065485A" w:rsidRPr="00945117" w:rsidP="00945117" w14:paraId="39CA9770" w14:textId="0F847AB8">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5485A" w:rsidRPr="00945117" w:rsidP="006627A7" w14:paraId="2C207044" w14:textId="77777777">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requiring respondents to submit proprietary trade secret, or other confidential information unless the agency can demonstrate that it has </w:t>
      </w:r>
      <w:r w:rsidRPr="00945117">
        <w:rPr>
          <w:rFonts w:ascii="Times New Roman" w:hAnsi="Times New Roman"/>
          <w:b/>
          <w:iCs/>
        </w:rPr>
        <w:t>instituted procedures to protect the information's confidentiality to the extent permitted by law.</w:t>
      </w:r>
    </w:p>
    <w:p w:rsidR="0065485A" w:rsidRPr="00945117" w:rsidP="006627A7" w14:paraId="737FAC9A" w14:textId="77777777">
      <w:pPr>
        <w:ind w:left="720"/>
        <w:contextualSpacing/>
        <w:rPr>
          <w:rFonts w:ascii="Times New Roman" w:hAnsi="Times New Roman"/>
          <w:iCs/>
        </w:rPr>
      </w:pPr>
    </w:p>
    <w:p w:rsidR="0065485A" w:rsidRPr="008D15AA" w:rsidP="006627A7" w14:paraId="040D903A" w14:textId="26B0660D">
      <w:pPr>
        <w:ind w:left="720"/>
        <w:contextualSpacing/>
        <w:rPr>
          <w:rFonts w:ascii="Times New Roman" w:hAnsi="Times New Roman"/>
          <w:iCs/>
        </w:rPr>
      </w:pPr>
      <w:r w:rsidRPr="008D15AA">
        <w:rPr>
          <w:rFonts w:ascii="Times New Roman" w:hAnsi="Times New Roman"/>
          <w:iCs/>
        </w:rPr>
        <w:t xml:space="preserve">Because this exemption is granted under section 408(a) of ERISA and section 4975(c)(2) of the Code, the exclusion from the </w:t>
      </w:r>
      <w:r w:rsidRPr="008D15AA">
        <w:rPr>
          <w:rFonts w:ascii="Times New Roman" w:hAnsi="Times New Roman"/>
          <w:iCs/>
        </w:rPr>
        <w:t>three year</w:t>
      </w:r>
      <w:r w:rsidRPr="008D15AA">
        <w:rPr>
          <w:rFonts w:ascii="Times New Roman" w:hAnsi="Times New Roman"/>
          <w:iCs/>
        </w:rPr>
        <w:t xml:space="preserve"> guideline for record retention set forth in 5 CFR 1320.5 is applicable.</w:t>
      </w:r>
      <w:r w:rsidR="002024E6">
        <w:rPr>
          <w:rFonts w:ascii="Times New Roman" w:hAnsi="Times New Roman"/>
          <w:iCs/>
        </w:rPr>
        <w:t xml:space="preserve"> </w:t>
      </w:r>
      <w:r w:rsidRPr="008D15AA">
        <w:rPr>
          <w:rFonts w:ascii="Times New Roman" w:hAnsi="Times New Roman"/>
          <w:iCs/>
        </w:rPr>
        <w:t xml:space="preserve">Furthermore, </w:t>
      </w:r>
      <w:r w:rsidRPr="008D15AA">
        <w:rPr>
          <w:rFonts w:ascii="Times New Roman" w:hAnsi="Times New Roman"/>
          <w:iCs/>
        </w:rPr>
        <w:t>as a result of</w:t>
      </w:r>
      <w:r w:rsidRPr="008D15AA">
        <w:rPr>
          <w:rFonts w:ascii="Times New Roman" w:hAnsi="Times New Roman"/>
          <w:iCs/>
        </w:rPr>
        <w:t xml:space="preserve"> statutory recordkeeping requirements in ERISA, the Code, and other federal laws, the respondents affected by this exemption (financial institutions</w:t>
      </w:r>
      <w:r w:rsidR="00BF38E4">
        <w:rPr>
          <w:rFonts w:ascii="Times New Roman" w:hAnsi="Times New Roman"/>
          <w:iCs/>
        </w:rPr>
        <w:t xml:space="preserve"> and </w:t>
      </w:r>
      <w:r w:rsidR="00806C07">
        <w:rPr>
          <w:rFonts w:ascii="Times New Roman" w:hAnsi="Times New Roman"/>
          <w:iCs/>
        </w:rPr>
        <w:t>Independent Producers</w:t>
      </w:r>
      <w:r w:rsidRPr="008D15AA">
        <w:rPr>
          <w:rFonts w:ascii="Times New Roman" w:hAnsi="Times New Roman"/>
          <w:iCs/>
        </w:rPr>
        <w:t xml:space="preserve"> that deal with employee benefit plans), for the most part, have adopted six-year recordkeeping as standard business practice in order to satisfy those separate recordkeeping requirements.</w:t>
      </w:r>
    </w:p>
    <w:p w:rsidR="00E9607D" w:rsidRPr="008D15AA" w:rsidP="006627A7" w14:paraId="1762B35A" w14:textId="77777777">
      <w:pPr>
        <w:ind w:left="720"/>
        <w:contextualSpacing/>
        <w:rPr>
          <w:rFonts w:ascii="Times New Roman" w:hAnsi="Times New Roman"/>
          <w:iCs/>
        </w:rPr>
      </w:pPr>
    </w:p>
    <w:p w:rsidR="00D82BAB" w:rsidRPr="0013547C" w:rsidP="00CB73EC" w14:paraId="2CA88075" w14:textId="531ACBB7">
      <w:pPr>
        <w:ind w:left="720"/>
        <w:contextualSpacing/>
        <w:rPr>
          <w:rFonts w:ascii="Times New Roman" w:hAnsi="Times New Roman"/>
        </w:rPr>
      </w:pPr>
      <w:r w:rsidRPr="008D15AA">
        <w:rPr>
          <w:rFonts w:ascii="Times New Roman" w:hAnsi="Times New Roman"/>
        </w:rPr>
        <w:t xml:space="preserve">Under the recordkeeping provisions of the exemption, </w:t>
      </w:r>
      <w:r w:rsidR="00BF38E4">
        <w:rPr>
          <w:rFonts w:ascii="Times New Roman" w:hAnsi="Times New Roman"/>
        </w:rPr>
        <w:t>parties relying on the exemption</w:t>
      </w:r>
      <w:r w:rsidRPr="008D15AA" w:rsidR="00BF38E4">
        <w:rPr>
          <w:rFonts w:ascii="Times New Roman" w:hAnsi="Times New Roman"/>
        </w:rPr>
        <w:t xml:space="preserve"> </w:t>
      </w:r>
      <w:r w:rsidRPr="008D15AA">
        <w:rPr>
          <w:rFonts w:ascii="Times New Roman" w:hAnsi="Times New Roman"/>
        </w:rPr>
        <w:t>are not required to disclose records that are privileged trade secrets or privileged commercial or financial information to plan fiduciaries, participants or beneficiaries, IRA owners, or their representatives.</w:t>
      </w:r>
      <w:r w:rsidR="002024E6">
        <w:rPr>
          <w:rFonts w:ascii="Times New Roman" w:hAnsi="Times New Roman"/>
        </w:rPr>
        <w:t xml:space="preserve"> </w:t>
      </w:r>
      <w:r w:rsidRPr="008D15AA">
        <w:rPr>
          <w:rFonts w:ascii="Times New Roman" w:hAnsi="Times New Roman"/>
        </w:rPr>
        <w:t xml:space="preserve">However, if the </w:t>
      </w:r>
      <w:r w:rsidR="00BF38E4">
        <w:rPr>
          <w:rFonts w:ascii="Times New Roman" w:hAnsi="Times New Roman"/>
        </w:rPr>
        <w:t>party relying on the exemption</w:t>
      </w:r>
      <w:r w:rsidRPr="008D15AA" w:rsidR="00BF38E4">
        <w:rPr>
          <w:rFonts w:ascii="Times New Roman" w:hAnsi="Times New Roman"/>
        </w:rPr>
        <w:t xml:space="preserve"> </w:t>
      </w:r>
      <w:r w:rsidRPr="008D15AA">
        <w:rPr>
          <w:rFonts w:ascii="Times New Roman" w:hAnsi="Times New Roman"/>
        </w:rPr>
        <w:t xml:space="preserve">refuses to disclose information on the basis that the information is exempt from disclosure, </w:t>
      </w:r>
      <w:r w:rsidR="00BF38E4">
        <w:rPr>
          <w:rFonts w:ascii="Times New Roman" w:hAnsi="Times New Roman"/>
        </w:rPr>
        <w:t>that party</w:t>
      </w:r>
      <w:r w:rsidRPr="008D15AA">
        <w:rPr>
          <w:rFonts w:ascii="Times New Roman" w:hAnsi="Times New Roman"/>
        </w:rPr>
        <w:t xml:space="preserve"> must, by the close of the thirtieth (30th) day following the request, provide a written notice advising the requestor of the reasons for the refusal and that the Department may request such information.</w:t>
      </w:r>
    </w:p>
    <w:p w:rsidR="00D82BAB" w:rsidRPr="0013547C" w:rsidP="00945117" w14:paraId="5754DD19" w14:textId="77777777">
      <w:pPr>
        <w:contextualSpacing/>
        <w:rPr>
          <w:rFonts w:ascii="Times New Roman" w:hAnsi="Times New Roman"/>
        </w:rPr>
      </w:pPr>
    </w:p>
    <w:p w:rsidR="00D82BAB" w:rsidRPr="00945117" w:rsidP="00FD2810" w14:paraId="6DB2E4B1" w14:textId="5A7A81D1">
      <w:pPr>
        <w:pStyle w:val="Style1"/>
      </w:pPr>
      <w:r w:rsidRPr="00945117">
        <w:t xml:space="preserve">If applicable, provide a copy and identify the date and page number of </w:t>
      </w:r>
      <w:r w:rsidRPr="00945117">
        <w:t>publication</w:t>
      </w:r>
      <w:r w:rsidRPr="00945117">
        <w:t xml:space="preserve"> in the Federal Register of the agency's notice, required by 5 CFR 1320.8(d), soliciting comments on the information collection prior to submission to OMB.</w:t>
      </w:r>
      <w:r w:rsidR="002024E6">
        <w:t xml:space="preserve"> </w:t>
      </w:r>
      <w:r w:rsidRPr="00945117">
        <w:t>Summarize public comments received in response to that notice and describe actions taken by the agency in response to these comments.</w:t>
      </w:r>
      <w:r w:rsidR="002024E6">
        <w:t xml:space="preserve"> </w:t>
      </w:r>
      <w:r w:rsidRPr="00945117">
        <w:t>Specifically address comments received on cost and hour burden.</w:t>
      </w:r>
    </w:p>
    <w:p w:rsidR="0065485A" w:rsidRPr="00945117" w:rsidP="006627A7" w14:paraId="7C009316" w14:textId="77777777">
      <w:pPr>
        <w:contextualSpacing/>
        <w:rPr>
          <w:rFonts w:ascii="Times New Roman" w:hAnsi="Times New Roman"/>
          <w:b/>
          <w:iCs/>
        </w:rPr>
      </w:pPr>
    </w:p>
    <w:p w:rsidR="0065485A" w:rsidRPr="00945117" w:rsidP="006627A7" w14:paraId="3D17BC1D" w14:textId="77777777">
      <w:pPr>
        <w:ind w:left="720"/>
        <w:contextualSpacing/>
        <w:rPr>
          <w:rFonts w:ascii="Times New Roman" w:hAnsi="Times New Roman"/>
          <w:b/>
          <w:iCs/>
        </w:rPr>
      </w:pPr>
      <w:r w:rsidRPr="00945117">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5485A" w:rsidRPr="00945117" w:rsidP="006627A7" w14:paraId="52986798" w14:textId="77777777">
      <w:pPr>
        <w:contextualSpacing/>
        <w:rPr>
          <w:rFonts w:ascii="Times New Roman" w:hAnsi="Times New Roman"/>
          <w:b/>
          <w:iCs/>
        </w:rPr>
      </w:pPr>
    </w:p>
    <w:p w:rsidR="0065485A" w:rsidRPr="008D15AA" w:rsidP="006627A7" w14:paraId="3BCB21DD" w14:textId="525AE631">
      <w:pPr>
        <w:ind w:left="720"/>
        <w:contextualSpacing/>
        <w:rPr>
          <w:rFonts w:ascii="Times New Roman" w:hAnsi="Times New Roman"/>
          <w:i/>
          <w:iCs/>
        </w:rPr>
      </w:pPr>
      <w:r w:rsidRPr="00945117">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w:t>
      </w:r>
      <w:r w:rsidR="002024E6">
        <w:rPr>
          <w:rFonts w:ascii="Times New Roman" w:hAnsi="Times New Roman"/>
          <w:b/>
          <w:iCs/>
        </w:rPr>
        <w:t xml:space="preserve"> </w:t>
      </w:r>
      <w:r w:rsidRPr="00945117">
        <w:rPr>
          <w:rFonts w:ascii="Times New Roman" w:hAnsi="Times New Roman"/>
          <w:b/>
          <w:iCs/>
        </w:rPr>
        <w:t>There may be circumstances that may preclude consultation in a specific situation.</w:t>
      </w:r>
      <w:r w:rsidR="002024E6">
        <w:rPr>
          <w:rFonts w:ascii="Times New Roman" w:hAnsi="Times New Roman"/>
          <w:b/>
          <w:iCs/>
        </w:rPr>
        <w:t xml:space="preserve"> </w:t>
      </w:r>
      <w:r w:rsidRPr="00945117">
        <w:rPr>
          <w:rFonts w:ascii="Times New Roman" w:hAnsi="Times New Roman"/>
          <w:b/>
          <w:iCs/>
        </w:rPr>
        <w:t>These circumstances should be explained.</w:t>
      </w:r>
    </w:p>
    <w:p w:rsidR="0065485A" w:rsidRPr="008D15AA" w:rsidP="006627A7" w14:paraId="7ADEE77C" w14:textId="77777777">
      <w:pPr>
        <w:ind w:left="720"/>
        <w:contextualSpacing/>
        <w:rPr>
          <w:rFonts w:ascii="Times New Roman" w:hAnsi="Times New Roman"/>
        </w:rPr>
      </w:pPr>
    </w:p>
    <w:p w:rsidR="00D36BC1" w:rsidRPr="00D36BC1" w:rsidP="00D36BC1" w14:paraId="188BCA87" w14:textId="77777777">
      <w:pPr>
        <w:ind w:left="720"/>
        <w:contextualSpacing/>
        <w:rPr>
          <w:rFonts w:ascii="Times New Roman" w:hAnsi="Times New Roman"/>
        </w:rPr>
      </w:pPr>
      <w:r w:rsidRPr="00D36BC1">
        <w:rPr>
          <w:rFonts w:ascii="Times New Roman" w:hAnsi="Times New Roman"/>
        </w:rPr>
        <w:t xml:space="preserve">In accordance with 5 CFR 1320.11, the proposed exemption provides the public with 30 </w:t>
      </w:r>
      <w:r w:rsidRPr="00D36BC1">
        <w:rPr>
          <w:rFonts w:ascii="Times New Roman" w:hAnsi="Times New Roman"/>
        </w:rPr>
        <w:t>days to comment on the information collection and burden estimates.</w:t>
      </w:r>
    </w:p>
    <w:p w:rsidR="00D82BAB" w:rsidRPr="0013547C" w:rsidP="00945117" w14:paraId="6818A8C4" w14:textId="77777777">
      <w:pPr>
        <w:contextualSpacing/>
        <w:rPr>
          <w:rFonts w:ascii="Times New Roman" w:hAnsi="Times New Roman"/>
        </w:rPr>
      </w:pPr>
    </w:p>
    <w:p w:rsidR="0065485A" w:rsidRPr="00945117" w:rsidP="00FD2810" w14:paraId="192A8E59" w14:textId="0C5B8016">
      <w:pPr>
        <w:pStyle w:val="Style1"/>
      </w:pPr>
      <w:r w:rsidRPr="00945117">
        <w:t>Explain any decision to provide any payment or gift to respondents, other than remuneration of contractors or grantees.</w:t>
      </w:r>
    </w:p>
    <w:p w:rsidR="0065485A" w:rsidRPr="008D15AA" w:rsidP="006627A7" w14:paraId="10A3A6C8" w14:textId="77777777">
      <w:pPr>
        <w:ind w:left="720"/>
        <w:contextualSpacing/>
        <w:rPr>
          <w:rFonts w:ascii="Times New Roman" w:hAnsi="Times New Roman"/>
        </w:rPr>
      </w:pPr>
    </w:p>
    <w:p w:rsidR="0065485A" w:rsidRPr="008D15AA" w:rsidP="006627A7" w14:paraId="7141EDD7" w14:textId="77777777">
      <w:pPr>
        <w:ind w:left="720"/>
        <w:contextualSpacing/>
        <w:rPr>
          <w:rFonts w:ascii="Times New Roman" w:hAnsi="Times New Roman"/>
        </w:rPr>
      </w:pPr>
      <w:r w:rsidRPr="008D15AA">
        <w:rPr>
          <w:rFonts w:ascii="Times New Roman" w:hAnsi="Times New Roman"/>
        </w:rPr>
        <w:t>No payments or gifts are provided to respondents.</w:t>
      </w:r>
    </w:p>
    <w:p w:rsidR="0065485A" w:rsidRPr="008D15AA" w:rsidP="006627A7" w14:paraId="094E513D" w14:textId="77777777">
      <w:pPr>
        <w:ind w:left="720"/>
        <w:contextualSpacing/>
        <w:rPr>
          <w:rFonts w:ascii="Times New Roman" w:hAnsi="Times New Roman"/>
        </w:rPr>
      </w:pPr>
    </w:p>
    <w:p w:rsidR="0065485A" w:rsidRPr="00945117" w:rsidP="00FD2810" w14:paraId="1C8F35A7" w14:textId="4D6B9690">
      <w:pPr>
        <w:pStyle w:val="Style1"/>
      </w:pPr>
      <w:r w:rsidRPr="00945117">
        <w:t>Describe any assurance of confidentiality provided to respondents and the basis for the assurance in statute, regulation, or agency policy.</w:t>
      </w:r>
    </w:p>
    <w:p w:rsidR="0065485A" w:rsidRPr="008D15AA" w:rsidP="006627A7" w14:paraId="3D0A0CC1" w14:textId="77777777">
      <w:pPr>
        <w:ind w:left="720"/>
        <w:contextualSpacing/>
        <w:rPr>
          <w:rFonts w:ascii="Times New Roman" w:hAnsi="Times New Roman"/>
        </w:rPr>
      </w:pPr>
    </w:p>
    <w:p w:rsidR="0065485A" w:rsidRPr="008D15AA" w:rsidP="006627A7" w14:paraId="45980DB9" w14:textId="77777777">
      <w:pPr>
        <w:ind w:left="720"/>
        <w:contextualSpacing/>
        <w:rPr>
          <w:rFonts w:ascii="Times New Roman" w:hAnsi="Times New Roman"/>
        </w:rPr>
      </w:pPr>
      <w:r w:rsidRPr="008D15AA">
        <w:rPr>
          <w:rFonts w:ascii="Times New Roman" w:hAnsi="Times New Roman"/>
        </w:rPr>
        <w:t>No assurance of confidentiality was provided.</w:t>
      </w:r>
    </w:p>
    <w:p w:rsidR="0065485A" w:rsidRPr="008D15AA" w:rsidP="006627A7" w14:paraId="7553423A" w14:textId="77777777">
      <w:pPr>
        <w:ind w:left="720"/>
        <w:contextualSpacing/>
        <w:rPr>
          <w:rFonts w:ascii="Times New Roman" w:hAnsi="Times New Roman"/>
        </w:rPr>
      </w:pPr>
    </w:p>
    <w:p w:rsidR="0065485A" w:rsidRPr="00945117" w:rsidP="00FD2810" w14:paraId="1620AAFA" w14:textId="5271AB48">
      <w:pPr>
        <w:pStyle w:val="Style1"/>
      </w:pPr>
      <w:r w:rsidRPr="00945117">
        <w:t>Provide additional justification for any questions of a sensitive nature, such as sexual behavior and attitudes, religious beliefs, and other matters that are commonly considered private.</w:t>
      </w:r>
      <w:r w:rsidR="002024E6">
        <w:t xml:space="preserve"> </w:t>
      </w:r>
      <w:r w:rsidRPr="00945117">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485A" w:rsidRPr="008D15AA" w:rsidP="006627A7" w14:paraId="7E4BEEB1" w14:textId="77777777">
      <w:pPr>
        <w:ind w:left="720"/>
        <w:contextualSpacing/>
        <w:rPr>
          <w:rFonts w:ascii="Times New Roman" w:hAnsi="Times New Roman"/>
          <w:i/>
          <w:iCs/>
        </w:rPr>
      </w:pPr>
    </w:p>
    <w:p w:rsidR="0065485A" w:rsidRPr="008D15AA" w:rsidP="006627A7" w14:paraId="4210ED25" w14:textId="2282BD9D">
      <w:pPr>
        <w:ind w:left="720"/>
        <w:contextualSpacing/>
        <w:rPr>
          <w:rFonts w:ascii="Times New Roman" w:hAnsi="Times New Roman"/>
        </w:rPr>
      </w:pPr>
      <w:r w:rsidRPr="008D15AA">
        <w:rPr>
          <w:rFonts w:ascii="Times New Roman" w:hAnsi="Times New Roman"/>
        </w:rPr>
        <w:t>There are no questions of a sensitive nature</w:t>
      </w:r>
      <w:r w:rsidRPr="008D15AA">
        <w:rPr>
          <w:rFonts w:ascii="Times New Roman" w:hAnsi="Times New Roman"/>
        </w:rPr>
        <w:t>.</w:t>
      </w:r>
    </w:p>
    <w:p w:rsidR="0065485A" w:rsidRPr="008D15AA" w:rsidP="006627A7" w14:paraId="1E666D33" w14:textId="77777777">
      <w:pPr>
        <w:ind w:left="720"/>
        <w:contextualSpacing/>
        <w:rPr>
          <w:rFonts w:ascii="Times New Roman" w:hAnsi="Times New Roman"/>
        </w:rPr>
      </w:pPr>
    </w:p>
    <w:p w:rsidR="0065485A" w:rsidRPr="00945117" w:rsidP="00FD2810" w14:paraId="488A8C55" w14:textId="300C4739">
      <w:pPr>
        <w:pStyle w:val="Style1"/>
      </w:pPr>
      <w:r w:rsidRPr="00945117">
        <w:t>Provide estimates of the hour burden of the collection of information.</w:t>
      </w:r>
      <w:r w:rsidR="002024E6">
        <w:t xml:space="preserve"> </w:t>
      </w:r>
      <w:r w:rsidRPr="00945117">
        <w:t>The statement should:</w:t>
      </w:r>
    </w:p>
    <w:p w:rsidR="0065485A" w:rsidRPr="00945117" w:rsidP="00D02D49" w14:paraId="74908F58" w14:textId="2F9358DD">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Indicate the number of respondents, frequency of response, annual hour burden</w:t>
      </w:r>
      <w:r w:rsidRPr="00945117" w:rsidR="00FB33C2">
        <w:rPr>
          <w:rFonts w:ascii="Times New Roman" w:hAnsi="Times New Roman"/>
          <w:b/>
          <w:iCs/>
        </w:rPr>
        <w:t>, and</w:t>
      </w:r>
      <w:r w:rsidRPr="00945117">
        <w:rPr>
          <w:rFonts w:ascii="Times New Roman" w:hAnsi="Times New Roman"/>
          <w:b/>
          <w:iCs/>
        </w:rPr>
        <w:t xml:space="preserve"> an explanation of how the burden was estimated.</w:t>
      </w:r>
      <w:r w:rsidR="002024E6">
        <w:rPr>
          <w:rFonts w:ascii="Times New Roman" w:hAnsi="Times New Roman"/>
          <w:b/>
          <w:iCs/>
        </w:rPr>
        <w:t xml:space="preserve"> </w:t>
      </w:r>
      <w:r w:rsidRPr="00945117">
        <w:rPr>
          <w:rFonts w:ascii="Times New Roman" w:hAnsi="Times New Roman"/>
          <w:b/>
          <w:iCs/>
        </w:rPr>
        <w:t>Unless directed to do so, agencies should not conduct special surveys to obtain information on which to base hour burden estimates.</w:t>
      </w:r>
      <w:r w:rsidR="002024E6">
        <w:rPr>
          <w:rFonts w:ascii="Times New Roman" w:hAnsi="Times New Roman"/>
          <w:b/>
          <w:iCs/>
        </w:rPr>
        <w:t xml:space="preserve"> </w:t>
      </w:r>
      <w:r w:rsidRPr="00945117">
        <w:rPr>
          <w:rFonts w:ascii="Times New Roman" w:hAnsi="Times New Roman"/>
          <w:b/>
          <w:iCs/>
        </w:rPr>
        <w:t>Consultation with a sample (fewer than 10) of potential respondents is desirable.</w:t>
      </w:r>
      <w:r w:rsidR="002024E6">
        <w:rPr>
          <w:rFonts w:ascii="Times New Roman" w:hAnsi="Times New Roman"/>
          <w:b/>
          <w:iCs/>
        </w:rPr>
        <w:t xml:space="preserve"> </w:t>
      </w:r>
      <w:r w:rsidRPr="00945117">
        <w:rPr>
          <w:rFonts w:ascii="Times New Roman" w:hAnsi="Times New Roman"/>
          <w:b/>
          <w:iCs/>
        </w:rPr>
        <w:t>If the hour burden on respondents is expected to vary widely because of differences in activity, size, or complexity, show the range of estimated hour burden, and explain the reasons for the variance.</w:t>
      </w:r>
      <w:r w:rsidR="002024E6">
        <w:rPr>
          <w:rFonts w:ascii="Times New Roman" w:hAnsi="Times New Roman"/>
          <w:b/>
          <w:iCs/>
        </w:rPr>
        <w:t xml:space="preserve"> </w:t>
      </w:r>
      <w:r w:rsidRPr="00945117">
        <w:rPr>
          <w:rFonts w:ascii="Times New Roman" w:hAnsi="Times New Roman"/>
          <w:b/>
          <w:iCs/>
        </w:rPr>
        <w:t>Generally, estimates should not include burden hours for customary and usual business practices.</w:t>
      </w:r>
    </w:p>
    <w:p w:rsidR="0065485A" w:rsidRPr="00945117" w:rsidP="00945117" w14:paraId="475CBA36" w14:textId="72D9D404">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 xml:space="preserve">If this request for approval covers more than one form, provide separate hour burden estimates for each </w:t>
      </w:r>
      <w:r w:rsidRPr="00945117">
        <w:rPr>
          <w:rFonts w:ascii="Times New Roman" w:hAnsi="Times New Roman"/>
          <w:b/>
          <w:iCs/>
        </w:rPr>
        <w:t>form</w:t>
      </w:r>
      <w:r w:rsidRPr="00945117">
        <w:rPr>
          <w:rFonts w:ascii="Times New Roman" w:hAnsi="Times New Roman"/>
          <w:b/>
          <w:iCs/>
        </w:rPr>
        <w:t xml:space="preserve"> and aggregate the hour burdens in Item 13.</w:t>
      </w:r>
    </w:p>
    <w:p w:rsidR="0065485A" w:rsidRPr="00945117" w:rsidP="006627A7" w14:paraId="4B607E96" w14:textId="18370D8F">
      <w:pPr>
        <w:tabs>
          <w:tab w:val="left" w:pos="-1440"/>
        </w:tabs>
        <w:ind w:left="1440" w:hanging="720"/>
        <w:contextualSpacing/>
        <w:rPr>
          <w:rFonts w:ascii="Times New Roman" w:hAnsi="Times New Roman"/>
          <w:b/>
          <w:iCs/>
        </w:rPr>
      </w:pPr>
      <w:r w:rsidRPr="00945117">
        <w:rPr>
          <w:rFonts w:ascii="Times New Roman" w:hAnsi="Times New Roman"/>
          <w:b/>
          <w:iCs/>
        </w:rPr>
        <w:t>•</w:t>
      </w:r>
      <w:r w:rsidRPr="00945117">
        <w:rPr>
          <w:rFonts w:ascii="Times New Roman" w:hAnsi="Times New Roman"/>
          <w:b/>
          <w:iCs/>
        </w:rPr>
        <w:tab/>
        <w:t>Provide estimates of annualized cost to respondents for the hour burdens for collections of information, identifying and using appropriate wage rate categories.</w:t>
      </w:r>
      <w:r w:rsidR="002024E6">
        <w:rPr>
          <w:rFonts w:ascii="Times New Roman" w:hAnsi="Times New Roman"/>
          <w:b/>
          <w:iCs/>
        </w:rPr>
        <w:t xml:space="preserve"> </w:t>
      </w:r>
      <w:r w:rsidRPr="00945117">
        <w:rPr>
          <w:rFonts w:ascii="Times New Roman" w:hAnsi="Times New Roman"/>
          <w:b/>
          <w:iCs/>
        </w:rPr>
        <w:t>The cost of contracting out or paying outside parties for information collection activities should not be included here.</w:t>
      </w:r>
    </w:p>
    <w:p w:rsidR="009A5BD8" w:rsidRPr="008D15AA" w:rsidP="006627A7" w14:paraId="47E7202F" w14:textId="77777777">
      <w:pPr>
        <w:ind w:left="720"/>
        <w:contextualSpacing/>
        <w:rPr>
          <w:rFonts w:ascii="Times New Roman" w:hAnsi="Times New Roman"/>
        </w:rPr>
      </w:pPr>
    </w:p>
    <w:p w:rsidR="00BF38E4" w:rsidRPr="00945117" w:rsidP="006627A7" w14:paraId="5876C003" w14:textId="46107E20">
      <w:pPr>
        <w:ind w:left="720"/>
        <w:contextualSpacing/>
        <w:rPr>
          <w:rFonts w:ascii="Times New Roman" w:hAnsi="Times New Roman"/>
          <w:color w:val="000000"/>
        </w:rPr>
      </w:pPr>
      <w:r w:rsidRPr="008D15AA">
        <w:rPr>
          <w:rFonts w:ascii="Times New Roman" w:hAnsi="Times New Roman"/>
        </w:rPr>
        <w:t>As discussed in Item 1, above</w:t>
      </w:r>
      <w:r w:rsidRPr="008D15AA" w:rsidR="001F50ED">
        <w:rPr>
          <w:rFonts w:ascii="Times New Roman" w:hAnsi="Times New Roman"/>
        </w:rPr>
        <w:t xml:space="preserve">, the ERISA and Code provisions at issue generally prohibit fiduciaries </w:t>
      </w:r>
      <w:r w:rsidRPr="008D15AA">
        <w:rPr>
          <w:rFonts w:ascii="Times New Roman" w:hAnsi="Times New Roman"/>
          <w:color w:val="000000"/>
        </w:rPr>
        <w:t xml:space="preserve">and other service providers </w:t>
      </w:r>
      <w:r w:rsidRPr="008D15AA" w:rsidR="001F50ED">
        <w:rPr>
          <w:rFonts w:ascii="Times New Roman" w:hAnsi="Times New Roman"/>
        </w:rPr>
        <w:t>from engaging in</w:t>
      </w:r>
      <w:r>
        <w:rPr>
          <w:rFonts w:ascii="Times New Roman" w:hAnsi="Times New Roman"/>
        </w:rPr>
        <w:t xml:space="preserve"> </w:t>
      </w:r>
      <w:r w:rsidRPr="008D15AA">
        <w:rPr>
          <w:rFonts w:ascii="Times New Roman" w:hAnsi="Times New Roman"/>
          <w:color w:val="000000"/>
        </w:rPr>
        <w:t>(1) the sale, exchange, or leasing of property with a plan or IRA, (2) the lending of money or other extension of credit to a plan or IRA, (3) the furnishing of goods, services, or facilities to a plan or IRA and (4) the transfer to or use by or for the benefit of a party in interest of plan assets</w:t>
      </w:r>
      <w:r>
        <w:rPr>
          <w:rFonts w:ascii="Times New Roman" w:hAnsi="Times New Roman"/>
          <w:color w:val="000000"/>
        </w:rPr>
        <w:t>. Fiduciaries are also prohibited from</w:t>
      </w:r>
      <w:r w:rsidRPr="008D15AA" w:rsidR="001F50ED">
        <w:rPr>
          <w:rFonts w:ascii="Times New Roman" w:hAnsi="Times New Roman"/>
        </w:rPr>
        <w:t xml:space="preserve"> self-dealing in connection with transactions involving these plans and IRAs. </w:t>
      </w:r>
      <w:r w:rsidRPr="008D15AA" w:rsidR="004B6521">
        <w:rPr>
          <w:rFonts w:ascii="Times New Roman" w:hAnsi="Times New Roman"/>
        </w:rPr>
        <w:t xml:space="preserve">The proposed amendment would exclude investment advice fiduciaries from the existing relief </w:t>
      </w:r>
      <w:r w:rsidR="004B6521">
        <w:rPr>
          <w:rFonts w:ascii="Times New Roman" w:hAnsi="Times New Roman"/>
        </w:rPr>
        <w:t xml:space="preserve">and provide relief for </w:t>
      </w:r>
      <w:r w:rsidRPr="008D15AA" w:rsidR="004B6521">
        <w:rPr>
          <w:rFonts w:ascii="Times New Roman" w:hAnsi="Times New Roman"/>
        </w:rPr>
        <w:t>Independent Insurance Producers that recommend annuities from unaffiliated Financial Institution</w:t>
      </w:r>
      <w:r w:rsidR="004B6521">
        <w:rPr>
          <w:rFonts w:ascii="Times New Roman" w:hAnsi="Times New Roman"/>
        </w:rPr>
        <w:t>, subject to</w:t>
      </w:r>
      <w:r w:rsidRPr="008D15AA" w:rsidR="004B6521">
        <w:rPr>
          <w:rFonts w:ascii="Times New Roman" w:hAnsi="Times New Roman"/>
        </w:rPr>
        <w:t xml:space="preserve"> conditions that mimic PTE 2020-02</w:t>
      </w:r>
      <w:r w:rsidR="004B6521">
        <w:rPr>
          <w:rFonts w:ascii="Times New Roman" w:hAnsi="Times New Roman"/>
        </w:rPr>
        <w:t xml:space="preserve">. </w:t>
      </w:r>
      <w:r w:rsidRPr="008D15AA" w:rsidR="001F50ED">
        <w:rPr>
          <w:rFonts w:ascii="Times New Roman" w:hAnsi="Times New Roman"/>
        </w:rPr>
        <w:t xml:space="preserve">The </w:t>
      </w:r>
      <w:r w:rsidR="00F847B9">
        <w:rPr>
          <w:rFonts w:ascii="Times New Roman" w:hAnsi="Times New Roman"/>
        </w:rPr>
        <w:t xml:space="preserve">amendment would </w:t>
      </w:r>
      <w:r w:rsidRPr="008D15AA" w:rsidR="001F50ED">
        <w:rPr>
          <w:rFonts w:ascii="Times New Roman" w:hAnsi="Times New Roman"/>
        </w:rPr>
        <w:t xml:space="preserve">allow fiduciaries to receive compensation when plans and IRAs </w:t>
      </w:r>
      <w:r w:rsidRPr="008D15AA" w:rsidR="001F50ED">
        <w:rPr>
          <w:rFonts w:ascii="Times New Roman" w:hAnsi="Times New Roman"/>
        </w:rPr>
        <w:t>enter into</w:t>
      </w:r>
      <w:r w:rsidRPr="008D15AA" w:rsidR="001F50ED">
        <w:rPr>
          <w:rFonts w:ascii="Times New Roman" w:hAnsi="Times New Roman"/>
        </w:rPr>
        <w:t xml:space="preserve"> certain insurance and mutual fund transactions recommended by the fiduciaries as well as certain related transactions</w:t>
      </w:r>
      <w:r w:rsidRPr="008D15AA" w:rsidR="00237901">
        <w:rPr>
          <w:rFonts w:ascii="Times New Roman" w:hAnsi="Times New Roman"/>
        </w:rPr>
        <w:t>.</w:t>
      </w:r>
    </w:p>
    <w:p w:rsidR="009A5BD8" w:rsidRPr="008D15AA" w:rsidP="006627A7" w14:paraId="27C7B836" w14:textId="08E6AF2C">
      <w:pPr>
        <w:ind w:left="720"/>
        <w:contextualSpacing/>
        <w:rPr>
          <w:rFonts w:ascii="Times New Roman" w:hAnsi="Times New Roman"/>
        </w:rPr>
      </w:pPr>
    </w:p>
    <w:p w:rsidR="004F4CE1" w:rsidRPr="004F4CE1" w:rsidP="004F4CE1" w14:paraId="75083702" w14:textId="344F32AD">
      <w:pPr>
        <w:ind w:left="720"/>
        <w:contextualSpacing/>
        <w:rPr>
          <w:rFonts w:ascii="Times New Roman" w:hAnsi="Times New Roman"/>
        </w:rPr>
      </w:pPr>
      <w:r w:rsidRPr="008D15AA">
        <w:rPr>
          <w:rFonts w:ascii="Times New Roman" w:hAnsi="Times New Roman"/>
        </w:rPr>
        <w:t>The Department’s estimate of the hour burden associated with the ICRs is discussed below.</w:t>
      </w:r>
      <w:r>
        <w:rPr>
          <w:rStyle w:val="FootnoteReference"/>
          <w:rFonts w:ascii="Times New Roman" w:hAnsi="Times New Roman"/>
          <w:vertAlign w:val="superscript"/>
        </w:rPr>
        <w:footnoteReference w:id="4"/>
      </w:r>
      <w:r w:rsidR="002024E6">
        <w:rPr>
          <w:rFonts w:ascii="Times New Roman" w:hAnsi="Times New Roman"/>
        </w:rPr>
        <w:t xml:space="preserve"> </w:t>
      </w:r>
      <w:r w:rsidRPr="004F4CE1">
        <w:rPr>
          <w:rFonts w:ascii="Times New Roman" w:hAnsi="Times New Roman"/>
        </w:rPr>
        <w:t xml:space="preserve">In the analysis discussed below, a combination of personnel would perform the tasks associated with the ICRs at an hourly wage rate of $158.94 for an </w:t>
      </w:r>
      <w:r w:rsidR="00ED1A11">
        <w:rPr>
          <w:rFonts w:ascii="Times New Roman" w:hAnsi="Times New Roman"/>
        </w:rPr>
        <w:t>Independent Producer</w:t>
      </w:r>
      <w:r w:rsidRPr="004F4CE1">
        <w:rPr>
          <w:rFonts w:ascii="Times New Roman" w:hAnsi="Times New Roman"/>
        </w:rPr>
        <w:t>, $63.45 for clerical personnel, and $159.34 for a legal professional, and $128.11 for a senior executive.</w:t>
      </w:r>
      <w:r>
        <w:rPr>
          <w:rFonts w:ascii="Times New Roman" w:hAnsi="Times New Roman"/>
          <w:vertAlign w:val="superscript"/>
        </w:rPr>
        <w:footnoteReference w:id="5"/>
      </w:r>
      <w:r w:rsidRPr="004F4CE1">
        <w:rPr>
          <w:rFonts w:ascii="Times New Roman" w:hAnsi="Times New Roman"/>
        </w:rPr>
        <w:t xml:space="preserve"> </w:t>
      </w:r>
    </w:p>
    <w:p w:rsidR="00484348" w:rsidP="004F4CE1" w14:paraId="2876616A" w14:textId="207D1550">
      <w:pPr>
        <w:ind w:left="720"/>
        <w:contextualSpacing/>
        <w:rPr>
          <w:rFonts w:ascii="Times New Roman" w:hAnsi="Times New Roman"/>
        </w:rPr>
      </w:pPr>
    </w:p>
    <w:p w:rsidR="004F4CE1" w:rsidRPr="003F7089" w:rsidP="00945117" w14:paraId="100F5211" w14:textId="2350EA0D">
      <w:pPr>
        <w:ind w:left="720"/>
        <w:rPr>
          <w:rFonts w:ascii="Times New Roman" w:hAnsi="Times New Roman"/>
        </w:rPr>
      </w:pPr>
      <w:r w:rsidRPr="004F4CE1">
        <w:rPr>
          <w:rFonts w:ascii="Times New Roman" w:hAnsi="Times New Roman"/>
        </w:rPr>
        <w:t>The Department does not have information on how many retirement investors, including plan beneficiaries and participants and IRA owners, receive disclosures electronically from investment advice fiduciaries.</w:t>
      </w:r>
      <w:r w:rsidRPr="004F4CE1">
        <w:rPr>
          <w:rFonts w:ascii="Times New Roman" w:hAnsi="Times New Roman"/>
        </w:rPr>
        <w:t xml:space="preserve"> </w:t>
      </w:r>
      <w:r w:rsidRPr="004F4CE1">
        <w:rPr>
          <w:rFonts w:ascii="Times New Roman" w:hAnsi="Times New Roman"/>
        </w:rPr>
        <w:t xml:space="preserve">For the purposes of this analysis, the Department assumes that the percent of retirement investors receiving disclosures electronically would be </w:t>
      </w:r>
      <w:r w:rsidRPr="004F4CE1">
        <w:rPr>
          <w:rFonts w:ascii="Times New Roman" w:hAnsi="Times New Roman"/>
        </w:rPr>
        <w:t>similar to</w:t>
      </w:r>
      <w:r w:rsidRPr="004F4CE1">
        <w:rPr>
          <w:rFonts w:ascii="Times New Roman" w:hAnsi="Times New Roman"/>
        </w:rPr>
        <w:t xml:space="preserve"> the percent of plan participants receiving disclosures electronically under the Department’s 2020 electronic disclosure rules.</w:t>
      </w:r>
      <w:r>
        <w:rPr>
          <w:rFonts w:ascii="Times New Roman" w:hAnsi="Times New Roman"/>
          <w:vertAlign w:val="superscript"/>
        </w:rPr>
        <w:footnoteReference w:id="6"/>
      </w:r>
      <w:r w:rsidRPr="004F4CE1">
        <w:rPr>
          <w:rFonts w:ascii="Times New Roman" w:hAnsi="Times New Roman"/>
        </w:rPr>
        <w:t xml:space="preserve"> </w:t>
      </w:r>
      <w:r w:rsidRPr="004F4CE1">
        <w:rPr>
          <w:rFonts w:ascii="Times New Roman" w:hAnsi="Times New Roman"/>
        </w:rPr>
        <w:t>Accordingly, the Department estimates that 94.2 percent of the disclosures sent to retirement investors would be sent electronically, and the remaining 5.8 percent would be sent by mail.</w:t>
      </w:r>
      <w:r>
        <w:rPr>
          <w:rFonts w:ascii="Times New Roman" w:hAnsi="Times New Roman"/>
          <w:vertAlign w:val="superscript"/>
        </w:rPr>
        <w:footnoteReference w:id="7"/>
      </w:r>
      <w:r w:rsidRPr="004F4CE1">
        <w:rPr>
          <w:rFonts w:ascii="Times New Roman" w:hAnsi="Times New Roman"/>
        </w:rPr>
        <w:t xml:space="preserve"> </w:t>
      </w:r>
    </w:p>
    <w:p w:rsidR="00C32262" w:rsidRPr="008D15AA" w:rsidP="00675971" w14:paraId="55FD46DB" w14:textId="7DFB09C3">
      <w:pPr>
        <w:contextualSpacing/>
        <w:rPr>
          <w:rFonts w:ascii="Times New Roman" w:hAnsi="Times New Roman"/>
        </w:rPr>
      </w:pPr>
    </w:p>
    <w:p w:rsidR="004F4CE1" w:rsidRPr="00675971" w:rsidP="00945117" w14:paraId="4D5AA42F" w14:textId="77777777">
      <w:pPr>
        <w:pStyle w:val="Quick1"/>
        <w:numPr>
          <w:ilvl w:val="1"/>
          <w:numId w:val="29"/>
        </w:numPr>
        <w:rPr>
          <w:rFonts w:ascii="Times New Roman" w:hAnsi="Times New Roman"/>
        </w:rPr>
      </w:pPr>
      <w:r w:rsidRPr="00945117">
        <w:rPr>
          <w:rFonts w:ascii="Times New Roman" w:hAnsi="Times New Roman"/>
          <w:i/>
        </w:rPr>
        <w:t>Hour Burden</w:t>
      </w:r>
      <w:r w:rsidRPr="00945117" w:rsidR="00237901">
        <w:rPr>
          <w:rFonts w:ascii="Times New Roman" w:hAnsi="Times New Roman"/>
          <w:i/>
        </w:rPr>
        <w:t xml:space="preserve"> Associated with Satisfying Conditions for Transactions Described in </w:t>
      </w:r>
    </w:p>
    <w:p w:rsidR="009A5BD8" w:rsidRPr="00945117" w:rsidP="00675971" w14:paraId="143DF48F" w14:textId="4FA0228F">
      <w:pPr>
        <w:pStyle w:val="Quick1"/>
        <w:numPr>
          <w:ilvl w:val="0"/>
          <w:numId w:val="0"/>
        </w:numPr>
        <w:ind w:left="792" w:firstLine="648"/>
        <w:rPr>
          <w:rFonts w:ascii="Times New Roman" w:hAnsi="Times New Roman"/>
        </w:rPr>
      </w:pPr>
      <w:r w:rsidRPr="00945117">
        <w:rPr>
          <w:rFonts w:ascii="Times New Roman" w:hAnsi="Times New Roman"/>
          <w:i/>
        </w:rPr>
        <w:t>Section III(a)-(f)</w:t>
      </w:r>
    </w:p>
    <w:p w:rsidR="00A95426" w:rsidRPr="0027174F" w:rsidP="006627A7" w14:paraId="7D90621A" w14:textId="2D45C5E9">
      <w:pPr>
        <w:pStyle w:val="ListParagraph"/>
        <w:ind w:left="1440"/>
        <w:rPr>
          <w:rFonts w:ascii="Times New Roman" w:hAnsi="Times New Roman"/>
        </w:rPr>
      </w:pPr>
    </w:p>
    <w:p w:rsidR="004F4CE1" w:rsidRPr="00675971" w:rsidP="00675971" w14:paraId="020495AD" w14:textId="29E597F9">
      <w:pPr>
        <w:ind w:left="720"/>
        <w:rPr>
          <w:rFonts w:ascii="Times New Roman" w:hAnsi="Times New Roman"/>
        </w:rPr>
      </w:pPr>
      <w:r w:rsidRPr="00675971">
        <w:rPr>
          <w:rFonts w:ascii="Times New Roman" w:hAnsi="Times New Roman"/>
        </w:rPr>
        <w:t xml:space="preserve">Insurance agents and brokers, pension consultants, insurance companies, and investment company principal underwriters are expected to continue to take advantage of the exemption for transactions described in Section III(a)-(f). The Department estimates that 2,986 insurance agents and brokers, pension consultants, and insurance companies </w:t>
      </w:r>
      <w:r w:rsidR="00A94FB9">
        <w:rPr>
          <w:rFonts w:ascii="Times New Roman" w:hAnsi="Times New Roman"/>
        </w:rPr>
        <w:t>could</w:t>
      </w:r>
      <w:r w:rsidRPr="00675971" w:rsidR="00A94FB9">
        <w:rPr>
          <w:rFonts w:ascii="Times New Roman" w:hAnsi="Times New Roman"/>
        </w:rPr>
        <w:t xml:space="preserve"> </w:t>
      </w:r>
      <w:r w:rsidRPr="00675971">
        <w:rPr>
          <w:rFonts w:ascii="Times New Roman" w:hAnsi="Times New Roman"/>
        </w:rPr>
        <w:t>continue to take advantage of the exemption for transactions described in Section III(a)-(f). This estimate is based on the following assumptions:</w:t>
      </w:r>
    </w:p>
    <w:p w:rsidR="004F4CE1" w:rsidRPr="005F3B17" w:rsidP="004F4CE1" w14:paraId="04EECEE4" w14:textId="77777777">
      <w:pPr>
        <w:pStyle w:val="ListParagraph"/>
        <w:numPr>
          <w:ilvl w:val="0"/>
          <w:numId w:val="38"/>
        </w:numPr>
        <w:rPr>
          <w:rFonts w:ascii="Times New Roman" w:hAnsi="Times New Roman"/>
        </w:rPr>
      </w:pPr>
      <w:r w:rsidRPr="005F3B17">
        <w:rPr>
          <w:rFonts w:ascii="Times New Roman" w:hAnsi="Times New Roman"/>
        </w:rPr>
        <w:t>According to the Insurance Information Institute, in 2022, there were 3,328 captive agents, which are insurance agents who work for only one insurance company.</w:t>
      </w:r>
      <w:r>
        <w:rPr>
          <w:rFonts w:ascii="Times New Roman" w:hAnsi="Times New Roman"/>
          <w:vertAlign w:val="superscript"/>
        </w:rPr>
        <w:footnoteReference w:id="8"/>
      </w:r>
      <w:r w:rsidRPr="005F3B17">
        <w:rPr>
          <w:rFonts w:ascii="Times New Roman" w:hAnsi="Times New Roman"/>
        </w:rPr>
        <w:t xml:space="preserve"> The Insurance Information Institute also found that life and annuity insurers accounted for 47.4 percent of all net premiums for the insurance industry in 2022.</w:t>
      </w:r>
      <w:r>
        <w:rPr>
          <w:rFonts w:ascii="Times New Roman" w:hAnsi="Times New Roman"/>
          <w:vertAlign w:val="superscript"/>
        </w:rPr>
        <w:footnoteReference w:id="9"/>
      </w:r>
      <w:r w:rsidRPr="005F3B17">
        <w:rPr>
          <w:rFonts w:ascii="Times New Roman" w:hAnsi="Times New Roman"/>
        </w:rPr>
        <w:t xml:space="preserve"> Thus, the Department estimates there are 1,577 insurance agents and brokers relying on the existing provisions.</w:t>
      </w:r>
      <w:r>
        <w:rPr>
          <w:rFonts w:ascii="Times New Roman" w:hAnsi="Times New Roman"/>
          <w:vertAlign w:val="superscript"/>
        </w:rPr>
        <w:footnoteReference w:id="10"/>
      </w:r>
    </w:p>
    <w:p w:rsidR="004F4CE1" w:rsidRPr="005F3B17" w:rsidP="004F4CE1" w14:paraId="5883A76B" w14:textId="24AFE617">
      <w:pPr>
        <w:pStyle w:val="ListParagraph"/>
        <w:numPr>
          <w:ilvl w:val="0"/>
          <w:numId w:val="38"/>
        </w:numPr>
        <w:rPr>
          <w:rFonts w:ascii="Times New Roman" w:hAnsi="Times New Roman"/>
        </w:rPr>
      </w:pPr>
      <w:r w:rsidRPr="005F3B17">
        <w:rPr>
          <w:rFonts w:ascii="Times New Roman" w:hAnsi="Times New Roman"/>
        </w:rPr>
        <w:t xml:space="preserve">The Department expects that pension consultants would continue to rely on the existing </w:t>
      </w:r>
      <w:r w:rsidR="00265233">
        <w:rPr>
          <w:rFonts w:ascii="Times New Roman" w:hAnsi="Times New Roman"/>
        </w:rPr>
        <w:t xml:space="preserve">PTE </w:t>
      </w:r>
      <w:r w:rsidRPr="005F3B17">
        <w:rPr>
          <w:rFonts w:ascii="Times New Roman" w:hAnsi="Times New Roman"/>
        </w:rPr>
        <w:t>84-24. Based on 2021 Form 5500 data, the Department estimates that 1,011 pension consultants serve the retirement market.</w:t>
      </w:r>
      <w:r>
        <w:rPr>
          <w:rFonts w:ascii="Times New Roman" w:hAnsi="Times New Roman"/>
          <w:vertAlign w:val="superscript"/>
        </w:rPr>
        <w:footnoteReference w:id="11"/>
      </w:r>
      <w:r w:rsidRPr="005F3B17">
        <w:rPr>
          <w:rFonts w:ascii="Times New Roman" w:hAnsi="Times New Roman"/>
        </w:rPr>
        <w:t xml:space="preserve"> </w:t>
      </w:r>
    </w:p>
    <w:p w:rsidR="004F4CE1" w:rsidRPr="005F3B17" w:rsidP="004F4CE1" w14:paraId="4DBA933F" w14:textId="77777777">
      <w:pPr>
        <w:pStyle w:val="ListParagraph"/>
        <w:numPr>
          <w:ilvl w:val="0"/>
          <w:numId w:val="38"/>
        </w:numPr>
        <w:rPr>
          <w:rFonts w:ascii="Times New Roman" w:hAnsi="Times New Roman"/>
        </w:rPr>
      </w:pPr>
      <w:r w:rsidRPr="005F3B17">
        <w:rPr>
          <w:rFonts w:ascii="Times New Roman" w:hAnsi="Times New Roman"/>
        </w:rPr>
        <w:t>In the Department’s 2016 Regulatory Impact Analysis, it estimated that 398 insurance companies wrote annuities.</w:t>
      </w:r>
      <w:r>
        <w:rPr>
          <w:rFonts w:ascii="Times New Roman" w:hAnsi="Times New Roman"/>
          <w:vertAlign w:val="superscript"/>
        </w:rPr>
        <w:footnoteReference w:id="12"/>
      </w:r>
      <w:r w:rsidRPr="005F3B17">
        <w:rPr>
          <w:rFonts w:ascii="Times New Roman" w:hAnsi="Times New Roman"/>
        </w:rPr>
        <w:t xml:space="preserve"> The Department requests information on how the number of insurance companies underwriting annuities has changed since then.</w:t>
      </w:r>
    </w:p>
    <w:p w:rsidR="005F3B17" w:rsidRPr="005F3B17" w:rsidP="00F01849" w14:paraId="6F457673" w14:textId="77777777">
      <w:pPr>
        <w:rPr>
          <w:rFonts w:ascii="Times New Roman" w:hAnsi="Times New Roman"/>
        </w:rPr>
      </w:pPr>
    </w:p>
    <w:p w:rsidR="005F3B17" w:rsidRPr="005F3B17" w:rsidP="00F01849" w14:paraId="79301703" w14:textId="5D13A949">
      <w:pPr>
        <w:ind w:left="720"/>
        <w:rPr>
          <w:rFonts w:ascii="Times New Roman" w:hAnsi="Times New Roman"/>
        </w:rPr>
      </w:pPr>
      <w:r w:rsidRPr="00675971">
        <w:rPr>
          <w:rFonts w:ascii="Times New Roman" w:hAnsi="Times New Roman"/>
        </w:rPr>
        <w:t xml:space="preserve">In addition, investment company principals may rely on the exemption. In the Department’s experience, investment company principal underwriters almost never use PTE 84-24. Therefore, the Department assumes that 20 investment company principal underwriters will engage in one transaction annually under PTE 84-24, 10 of which are </w:t>
      </w:r>
      <w:r w:rsidRPr="00675971">
        <w:rPr>
          <w:rFonts w:ascii="Times New Roman" w:hAnsi="Times New Roman"/>
        </w:rPr>
        <w:t xml:space="preserve">assumed to service plans and 10 are assumed to service IRAs. </w:t>
      </w:r>
    </w:p>
    <w:p w:rsidR="005F3B17" w:rsidRPr="005F3B17" w:rsidP="00F01849" w14:paraId="6161A544" w14:textId="77777777">
      <w:pPr>
        <w:ind w:left="720"/>
        <w:rPr>
          <w:rFonts w:ascii="Times New Roman" w:hAnsi="Times New Roman"/>
        </w:rPr>
      </w:pPr>
    </w:p>
    <w:p w:rsidR="004F4CE1" w:rsidRPr="00675971" w:rsidP="00675971" w14:paraId="68D56D6C" w14:textId="2B821BFD">
      <w:pPr>
        <w:ind w:left="720"/>
        <w:rPr>
          <w:rFonts w:ascii="Times New Roman" w:hAnsi="Times New Roman"/>
        </w:rPr>
      </w:pPr>
      <w:r w:rsidRPr="00675971">
        <w:rPr>
          <w:rFonts w:ascii="Times New Roman" w:hAnsi="Times New Roman"/>
        </w:rPr>
        <w:t>Further, the Department estimates that there are approximately 765,124 ERISA covered pension plans</w:t>
      </w:r>
      <w:r>
        <w:rPr>
          <w:rFonts w:ascii="Times New Roman" w:hAnsi="Times New Roman"/>
          <w:vertAlign w:val="superscript"/>
        </w:rPr>
        <w:footnoteReference w:id="13"/>
      </w:r>
      <w:r w:rsidRPr="00675971">
        <w:rPr>
          <w:rFonts w:ascii="Times New Roman" w:hAnsi="Times New Roman"/>
        </w:rPr>
        <w:t xml:space="preserve"> and approximately 67.8 million IRAs.</w:t>
      </w:r>
      <w:r>
        <w:rPr>
          <w:rFonts w:ascii="Times New Roman" w:hAnsi="Times New Roman"/>
          <w:vertAlign w:val="superscript"/>
        </w:rPr>
        <w:footnoteReference w:id="14"/>
      </w:r>
      <w:r w:rsidRPr="00675971">
        <w:rPr>
          <w:rFonts w:ascii="Times New Roman" w:hAnsi="Times New Roman"/>
        </w:rPr>
        <w:t xml:space="preserve"> </w:t>
      </w:r>
      <w:r w:rsidRPr="00675971">
        <w:rPr>
          <w:rFonts w:ascii="Times New Roman" w:hAnsi="Times New Roman"/>
        </w:rPr>
        <w:t>The Department estimates that 7.5 percent of plans are new accounts or new financial advice relationships</w:t>
      </w:r>
      <w:r>
        <w:rPr>
          <w:rFonts w:ascii="Times New Roman" w:hAnsi="Times New Roman"/>
          <w:vertAlign w:val="superscript"/>
        </w:rPr>
        <w:footnoteReference w:id="15"/>
      </w:r>
      <w:r w:rsidRPr="00675971">
        <w:rPr>
          <w:rFonts w:ascii="Times New Roman" w:hAnsi="Times New Roman"/>
          <w:vertAlign w:val="superscript"/>
        </w:rPr>
        <w:t xml:space="preserve"> </w:t>
      </w:r>
      <w:r w:rsidRPr="00675971">
        <w:rPr>
          <w:rFonts w:ascii="Times New Roman" w:hAnsi="Times New Roman"/>
        </w:rPr>
        <w:t>and that 3 percent of plans will use the exemption for covered transactions.</w:t>
      </w:r>
      <w:r>
        <w:rPr>
          <w:rFonts w:ascii="Times New Roman" w:hAnsi="Times New Roman"/>
          <w:vertAlign w:val="superscript"/>
        </w:rPr>
        <w:footnoteReference w:id="16"/>
      </w:r>
      <w:r w:rsidRPr="00675971">
        <w:rPr>
          <w:rFonts w:ascii="Times New Roman" w:hAnsi="Times New Roman"/>
        </w:rPr>
        <w:t xml:space="preserve"> Based on these assumptions, the Department estimates that 1,722 plans would be affected by the proposed amendments to PTE 84-24.</w:t>
      </w:r>
      <w:r>
        <w:rPr>
          <w:rFonts w:ascii="Times New Roman" w:hAnsi="Times New Roman"/>
          <w:vertAlign w:val="superscript"/>
        </w:rPr>
        <w:footnoteReference w:id="17"/>
      </w:r>
    </w:p>
    <w:p w:rsidR="005F3B17" w:rsidRPr="005F3B17" w:rsidP="00F01849" w14:paraId="12ADDF0C" w14:textId="77777777">
      <w:pPr>
        <w:rPr>
          <w:rFonts w:ascii="Times New Roman" w:hAnsi="Times New Roman"/>
        </w:rPr>
      </w:pPr>
    </w:p>
    <w:p w:rsidR="004F4CE1" w:rsidRPr="005F3B17" w:rsidP="00F01849" w14:paraId="5ED3C297" w14:textId="586B6482">
      <w:pPr>
        <w:ind w:left="720"/>
        <w:rPr>
          <w:rFonts w:ascii="Times New Roman" w:hAnsi="Times New Roman"/>
        </w:rPr>
      </w:pPr>
      <w:r w:rsidRPr="00675971">
        <w:rPr>
          <w:rFonts w:ascii="Times New Roman" w:hAnsi="Times New Roman"/>
        </w:rPr>
        <w:t xml:space="preserve">The proposed amendments to </w:t>
      </w:r>
      <w:r w:rsidR="00443EC1">
        <w:rPr>
          <w:rFonts w:ascii="Times New Roman" w:hAnsi="Times New Roman"/>
        </w:rPr>
        <w:t xml:space="preserve">PTE </w:t>
      </w:r>
      <w:r w:rsidRPr="00675971">
        <w:rPr>
          <w:rFonts w:ascii="Times New Roman" w:hAnsi="Times New Roman"/>
        </w:rPr>
        <w:t>84-24 would also affect new IRA accounts. The Department does not have data on the number of new IRA accounts that are opened each year. However, in 2022, of the 67.8 million IRA owners, 1.4 million, or approximately 2.1 percent, opened an IRA for the first time.</w:t>
      </w:r>
      <w:r>
        <w:rPr>
          <w:rFonts w:ascii="Times New Roman" w:hAnsi="Times New Roman"/>
          <w:vertAlign w:val="superscript"/>
        </w:rPr>
        <w:footnoteReference w:id="18"/>
      </w:r>
      <w:r w:rsidRPr="00675971">
        <w:rPr>
          <w:rFonts w:ascii="Times New Roman" w:hAnsi="Times New Roman"/>
        </w:rPr>
        <w:t xml:space="preserve"> Inferring from this statistic, the Department estimates that 2.1 percent of IRA accounts are new each year. The Department acknowledges that some IRA owners may have multiple IRAs, and as such, this statistic may underestimate the percentage of new IRAs opened.</w:t>
      </w:r>
      <w:r>
        <w:rPr>
          <w:rFonts w:ascii="Times New Roman" w:hAnsi="Times New Roman"/>
          <w:vertAlign w:val="superscript"/>
        </w:rPr>
        <w:footnoteReference w:id="19"/>
      </w:r>
      <w:r w:rsidRPr="00675971">
        <w:rPr>
          <w:rFonts w:ascii="Times New Roman" w:hAnsi="Times New Roman"/>
        </w:rPr>
        <w:t xml:space="preserve"> Additionally, the Department estimates that about 3 percent of these new IRAs, or approximately 52,000 IRAs, would use PTE 84-24 for covered transactions.</w:t>
      </w:r>
      <w:r>
        <w:rPr>
          <w:rFonts w:ascii="Times New Roman" w:hAnsi="Times New Roman"/>
          <w:vertAlign w:val="superscript"/>
        </w:rPr>
        <w:footnoteReference w:id="20"/>
      </w:r>
    </w:p>
    <w:p w:rsidR="005F3B17" w:rsidRPr="00675971" w:rsidP="00675971" w14:paraId="62A721DC" w14:textId="77777777">
      <w:pPr>
        <w:ind w:left="720"/>
        <w:rPr>
          <w:rFonts w:ascii="Times New Roman" w:hAnsi="Times New Roman"/>
        </w:rPr>
      </w:pPr>
    </w:p>
    <w:p w:rsidR="005F3B17" w:rsidRPr="00945117" w:rsidP="004F4CE1" w14:paraId="690A632F" w14:textId="0C184E52">
      <w:pPr>
        <w:ind w:left="720"/>
        <w:contextualSpacing/>
        <w:rPr>
          <w:rFonts w:ascii="Times New Roman" w:hAnsi="Times New Roman"/>
        </w:rPr>
      </w:pPr>
      <w:r w:rsidRPr="005F3B17">
        <w:rPr>
          <w:rFonts w:ascii="Times New Roman" w:hAnsi="Times New Roman"/>
        </w:rPr>
        <w:t>The proposed amendment would exclude entities currently relying on the exemption, under the existing provisions for investment advice.</w:t>
      </w:r>
      <w:r w:rsidRPr="005F3B17">
        <w:rPr>
          <w:rFonts w:ascii="Times New Roman" w:hAnsi="Times New Roman"/>
        </w:rPr>
        <w:t xml:space="preserve"> </w:t>
      </w:r>
      <w:r w:rsidRPr="005F3B17">
        <w:rPr>
          <w:rFonts w:ascii="Times New Roman" w:hAnsi="Times New Roman"/>
        </w:rPr>
        <w:t>As such, the Department acknowledges that the estimates discussed above may overestimate the entities able to rely on the exemption for relief for the transactions described in Section III(a)-(f).</w:t>
      </w:r>
      <w:r w:rsidRPr="005F3B17">
        <w:rPr>
          <w:rFonts w:ascii="Times New Roman" w:hAnsi="Times New Roman"/>
        </w:rPr>
        <w:t xml:space="preserve"> </w:t>
      </w:r>
    </w:p>
    <w:p w:rsidR="00B45314" w:rsidRPr="008D15AA" w:rsidP="00B45314" w14:paraId="4CD5017F" w14:textId="77777777">
      <w:pPr>
        <w:ind w:left="720"/>
        <w:contextualSpacing/>
        <w:rPr>
          <w:rFonts w:ascii="Times New Roman" w:hAnsi="Times New Roman"/>
        </w:rPr>
      </w:pPr>
    </w:p>
    <w:p w:rsidR="00B45314" w:rsidRPr="0013547C" w:rsidP="00945117" w14:paraId="22A7347D" w14:textId="1F4B883A">
      <w:pPr>
        <w:pStyle w:val="Quick1"/>
        <w:numPr>
          <w:ilvl w:val="2"/>
          <w:numId w:val="29"/>
        </w:numPr>
        <w:rPr>
          <w:rFonts w:ascii="Times New Roman" w:hAnsi="Times New Roman"/>
        </w:rPr>
      </w:pPr>
      <w:r w:rsidRPr="0013547C">
        <w:rPr>
          <w:rFonts w:ascii="Times New Roman" w:hAnsi="Times New Roman"/>
          <w:i/>
        </w:rPr>
        <w:t>Written Authorization from the Independent Plan Fiduciary</w:t>
      </w:r>
    </w:p>
    <w:p w:rsidR="00237901" w:rsidRPr="008D15AA" w:rsidP="006627A7" w14:paraId="71C76BBE" w14:textId="77777777">
      <w:pPr>
        <w:ind w:left="720"/>
        <w:contextualSpacing/>
        <w:rPr>
          <w:rFonts w:ascii="Times New Roman" w:hAnsi="Times New Roman"/>
        </w:rPr>
      </w:pPr>
    </w:p>
    <w:p w:rsidR="005F3B17" w:rsidRPr="005F3B17" w:rsidP="005F3B17" w14:paraId="7160AC82" w14:textId="77777777">
      <w:pPr>
        <w:ind w:left="720"/>
        <w:contextualSpacing/>
        <w:rPr>
          <w:rFonts w:ascii="Times New Roman" w:hAnsi="Times New Roman"/>
        </w:rPr>
      </w:pPr>
      <w:r w:rsidRPr="005F3B17">
        <w:rPr>
          <w:rFonts w:ascii="Times New Roman" w:hAnsi="Times New Roman"/>
        </w:rPr>
        <w:t>Based on the estimates discussed above, the Department estimates that</w:t>
      </w:r>
      <w:r w:rsidRPr="005F3B17">
        <w:rPr>
          <w:rFonts w:ascii="Times New Roman" w:hAnsi="Times New Roman"/>
        </w:rPr>
        <w:t xml:space="preserve"> </w:t>
      </w:r>
      <w:r w:rsidRPr="005F3B17">
        <w:rPr>
          <w:rFonts w:ascii="Times New Roman" w:hAnsi="Times New Roman"/>
        </w:rPr>
        <w:t>authorizing fiduciaries for 1,722 plans and authorizing fiduciaries for 52,449 IRA holders would be required to send an advance written authorization to the 2,996 financial institutions for IRAs</w:t>
      </w:r>
      <w:r>
        <w:rPr>
          <w:rFonts w:ascii="Times New Roman" w:hAnsi="Times New Roman"/>
          <w:vertAlign w:val="superscript"/>
        </w:rPr>
        <w:footnoteReference w:id="21"/>
      </w:r>
      <w:r w:rsidRPr="005F3B17">
        <w:rPr>
          <w:rFonts w:ascii="Times New Roman" w:hAnsi="Times New Roman"/>
        </w:rPr>
        <w:t xml:space="preserve"> for exemptive relief for the transactions described in Section III(a)-(f).</w:t>
      </w:r>
      <w:r w:rsidRPr="005F3B17">
        <w:rPr>
          <w:rFonts w:ascii="Times New Roman" w:hAnsi="Times New Roman"/>
        </w:rPr>
        <w:t xml:space="preserve"> </w:t>
      </w:r>
    </w:p>
    <w:p w:rsidR="005F3B17" w:rsidRPr="005F3B17" w:rsidP="005F3B17" w14:paraId="24C6F02A" w14:textId="77777777">
      <w:pPr>
        <w:ind w:left="720"/>
        <w:contextualSpacing/>
        <w:rPr>
          <w:rFonts w:ascii="Times New Roman" w:hAnsi="Times New Roman"/>
        </w:rPr>
      </w:pPr>
      <w:r w:rsidRPr="005F3B17">
        <w:rPr>
          <w:rFonts w:ascii="Times New Roman" w:hAnsi="Times New Roman"/>
        </w:rPr>
        <w:t>In the plan universe, it is assumed that a legal professional would spend five hours per plan reviewing the disclosures and preparing an authorization form.</w:t>
      </w:r>
      <w:r w:rsidRPr="005F3B17">
        <w:rPr>
          <w:rFonts w:ascii="Times New Roman" w:hAnsi="Times New Roman"/>
        </w:rPr>
        <w:t xml:space="preserve"> </w:t>
      </w:r>
      <w:r w:rsidRPr="005F3B17">
        <w:rPr>
          <w:rFonts w:ascii="Times New Roman" w:hAnsi="Times New Roman"/>
        </w:rPr>
        <w:t>In the IRA universe, it is assumed that a legal professional working on behalf of the financial</w:t>
      </w:r>
      <w:r w:rsidRPr="005F3B17">
        <w:rPr>
          <w:rFonts w:ascii="Times New Roman" w:hAnsi="Times New Roman"/>
        </w:rPr>
        <w:t xml:space="preserve"> </w:t>
      </w:r>
      <w:r w:rsidRPr="005F3B17">
        <w:rPr>
          <w:rFonts w:ascii="Times New Roman" w:hAnsi="Times New Roman"/>
        </w:rPr>
        <w:t>institution for IRAs will spend three hours drafting an authorization form for IRA holders to sign.</w:t>
      </w:r>
      <w:r w:rsidRPr="005F3B17">
        <w:rPr>
          <w:rFonts w:ascii="Times New Roman" w:hAnsi="Times New Roman"/>
        </w:rPr>
        <w:t xml:space="preserve"> </w:t>
      </w:r>
      <w:r w:rsidRPr="005F3B17">
        <w:rPr>
          <w:rFonts w:ascii="Times New Roman" w:hAnsi="Times New Roman"/>
        </w:rPr>
        <w:t>This results in an hour burden of 17,598 hours with an equivalent cost of $</w:t>
      </w:r>
      <w:r w:rsidRPr="005F3B17">
        <w:rPr>
          <w:rFonts w:ascii="Times New Roman" w:hAnsi="Times New Roman"/>
          <w:lang w:val="en"/>
        </w:rPr>
        <w:t>2.8 million</w:t>
      </w:r>
      <w:r w:rsidRPr="005F3B17">
        <w:rPr>
          <w:rFonts w:ascii="Times New Roman" w:hAnsi="Times New Roman"/>
        </w:rPr>
        <w:t>.</w:t>
      </w:r>
      <w:r>
        <w:rPr>
          <w:rFonts w:ascii="Times New Roman" w:hAnsi="Times New Roman"/>
          <w:vertAlign w:val="superscript"/>
        </w:rPr>
        <w:footnoteReference w:id="22"/>
      </w:r>
      <w:r w:rsidRPr="005F3B17">
        <w:rPr>
          <w:rFonts w:ascii="Times New Roman" w:hAnsi="Times New Roman"/>
        </w:rPr>
        <w:t xml:space="preserve"> </w:t>
      </w:r>
    </w:p>
    <w:p w:rsidR="00675971" w:rsidP="005F3B17" w14:paraId="1F692FAC" w14:textId="77777777">
      <w:pPr>
        <w:ind w:left="720"/>
        <w:contextualSpacing/>
        <w:rPr>
          <w:rFonts w:ascii="Times New Roman" w:hAnsi="Times New Roman"/>
        </w:rPr>
      </w:pPr>
    </w:p>
    <w:p w:rsidR="005F3B17" w:rsidP="005F3B17" w14:paraId="7EF83553" w14:textId="2434FA0B">
      <w:pPr>
        <w:ind w:left="720"/>
        <w:contextualSpacing/>
        <w:rPr>
          <w:rFonts w:ascii="Times New Roman" w:hAnsi="Times New Roman"/>
        </w:rPr>
      </w:pPr>
      <w:r w:rsidRPr="005F3B17">
        <w:rPr>
          <w:rFonts w:ascii="Times New Roman" w:hAnsi="Times New Roman"/>
        </w:rPr>
        <w:t>The Department expects that plans will send the written authorization through already established electronic means, and thus, the Department does not expect plans to incur any cost to send the authorization.</w:t>
      </w:r>
      <w:r w:rsidRPr="005F3B17">
        <w:rPr>
          <w:rFonts w:ascii="Times New Roman" w:hAnsi="Times New Roman"/>
        </w:rPr>
        <w:t xml:space="preserve"> </w:t>
      </w:r>
      <w:r w:rsidRPr="005F3B17">
        <w:rPr>
          <w:rFonts w:ascii="Times New Roman" w:hAnsi="Times New Roman"/>
        </w:rPr>
        <w:t>The Department expects that 94.2 percent of written authorization for IRAs will be sent electronically at no additional burden.</w:t>
      </w:r>
      <w:r w:rsidRPr="005F3B17">
        <w:rPr>
          <w:rFonts w:ascii="Times New Roman" w:hAnsi="Times New Roman"/>
        </w:rPr>
        <w:t xml:space="preserve"> </w:t>
      </w:r>
      <w:r w:rsidRPr="005F3B17">
        <w:rPr>
          <w:rFonts w:ascii="Times New Roman" w:hAnsi="Times New Roman"/>
        </w:rPr>
        <w:t>The remaining 5.8 percent of authorizations will be mailed.</w:t>
      </w:r>
      <w:r w:rsidRPr="005F3B17">
        <w:rPr>
          <w:rFonts w:ascii="Times New Roman" w:hAnsi="Times New Roman"/>
        </w:rPr>
        <w:t xml:space="preserve"> </w:t>
      </w:r>
      <w:r w:rsidRPr="005F3B17">
        <w:rPr>
          <w:rFonts w:ascii="Times New Roman" w:hAnsi="Times New Roman"/>
        </w:rPr>
        <w:t>For paper authorizations, the Department assumes that clerical staff will spend two minutes preparing and sending the authorization resulting in an hour burden of approximately 101 hours with an equivalent cost of $6,434.</w:t>
      </w:r>
      <w:r>
        <w:rPr>
          <w:rFonts w:ascii="Times New Roman" w:hAnsi="Times New Roman"/>
          <w:vertAlign w:val="superscript"/>
        </w:rPr>
        <w:footnoteReference w:id="23"/>
      </w:r>
      <w:r w:rsidRPr="005F3B17">
        <w:rPr>
          <w:rFonts w:ascii="Times New Roman" w:hAnsi="Times New Roman"/>
        </w:rPr>
        <w:t xml:space="preserve"> </w:t>
      </w:r>
    </w:p>
    <w:p w:rsidR="00675971" w:rsidRPr="005F3B17" w:rsidP="005F3B17" w14:paraId="670E21D6" w14:textId="77777777">
      <w:pPr>
        <w:ind w:left="720"/>
        <w:contextualSpacing/>
        <w:rPr>
          <w:rFonts w:ascii="Times New Roman" w:hAnsi="Times New Roman"/>
        </w:rPr>
      </w:pPr>
    </w:p>
    <w:p w:rsidR="005F3B17" w:rsidRPr="005F3B17" w:rsidP="005F3B17" w14:paraId="1322A897" w14:textId="77777777">
      <w:pPr>
        <w:ind w:left="720"/>
        <w:contextualSpacing/>
        <w:rPr>
          <w:rFonts w:ascii="Times New Roman" w:hAnsi="Times New Roman"/>
        </w:rPr>
      </w:pPr>
      <w:r w:rsidRPr="005F3B17">
        <w:rPr>
          <w:rFonts w:ascii="Times New Roman" w:hAnsi="Times New Roman"/>
        </w:rPr>
        <w:t xml:space="preserve">In total, as presented in the table below, the written authorization requirement, under the new conditions of relief, is expected to result in an annual total hour burden of 17,699 hours with an equivalent cost of $2,810,499. </w:t>
      </w:r>
    </w:p>
    <w:p w:rsidR="009A5BD8" w:rsidRPr="005F3B17" w:rsidP="005F3B17" w14:paraId="0B3B705D" w14:textId="22C427D9">
      <w:pPr>
        <w:ind w:left="720"/>
        <w:contextualSpacing/>
      </w:pP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800"/>
        <w:gridCol w:w="2070"/>
        <w:gridCol w:w="1661"/>
        <w:gridCol w:w="2209"/>
      </w:tblGrid>
      <w:tr w14:paraId="74C11CF6" w14:textId="77777777" w:rsidTr="00BC2DDB">
        <w:tblPrEx>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450" w:type="dxa"/>
            <w:gridSpan w:val="5"/>
            <w:shd w:val="clear" w:color="auto" w:fill="auto"/>
          </w:tcPr>
          <w:p w:rsidR="002A1996" w:rsidRPr="002A1996" w:rsidP="000F3099" w14:paraId="1BA71AF0" w14:textId="77777777">
            <w:pPr>
              <w:widowControl/>
              <w:autoSpaceDE/>
              <w:autoSpaceDN/>
              <w:adjustRightInd/>
              <w:ind w:firstLine="720"/>
              <w:contextualSpacing/>
              <w:jc w:val="center"/>
              <w:rPr>
                <w:rFonts w:ascii="Times New Roman" w:hAnsi="Times New Roman"/>
                <w:b/>
              </w:rPr>
            </w:pPr>
            <w:r w:rsidRPr="002A1996">
              <w:rPr>
                <w:rFonts w:ascii="Times New Roman" w:hAnsi="Times New Roman"/>
                <w:b/>
              </w:rPr>
              <w:t>Table 1: Hour Burden and Equivalent Cost Associated with the Written Authorization</w:t>
            </w:r>
          </w:p>
        </w:tc>
      </w:tr>
      <w:tr w14:paraId="75D54CBE" w14:textId="77777777" w:rsidTr="00BC2DDB">
        <w:tblPrEx>
          <w:tblW w:w="9450" w:type="dxa"/>
          <w:tblInd w:w="265" w:type="dxa"/>
          <w:tblLayout w:type="fixed"/>
          <w:tblLook w:val="04A0"/>
        </w:tblPrEx>
        <w:tc>
          <w:tcPr>
            <w:tcW w:w="1710" w:type="dxa"/>
            <w:shd w:val="clear" w:color="auto" w:fill="auto"/>
          </w:tcPr>
          <w:p w:rsidR="002A1996" w:rsidRPr="002A1996" w:rsidP="000F3099" w14:paraId="2F80F6EA" w14:textId="77777777">
            <w:pPr>
              <w:widowControl/>
              <w:autoSpaceDE/>
              <w:autoSpaceDN/>
              <w:adjustRightInd/>
              <w:spacing w:line="480" w:lineRule="auto"/>
              <w:ind w:firstLine="720"/>
              <w:contextualSpacing/>
              <w:jc w:val="center"/>
              <w:rPr>
                <w:rFonts w:ascii="Times New Roman" w:hAnsi="Times New Roman"/>
                <w:b/>
              </w:rPr>
            </w:pPr>
          </w:p>
        </w:tc>
        <w:tc>
          <w:tcPr>
            <w:tcW w:w="3870" w:type="dxa"/>
            <w:gridSpan w:val="2"/>
            <w:shd w:val="clear" w:color="auto" w:fill="auto"/>
          </w:tcPr>
          <w:p w:rsidR="002A1996" w:rsidRPr="002A1996" w:rsidP="000F3099" w14:paraId="018D3811" w14:textId="77777777">
            <w:pPr>
              <w:widowControl/>
              <w:autoSpaceDE/>
              <w:autoSpaceDN/>
              <w:adjustRightInd/>
              <w:ind w:firstLine="720"/>
              <w:contextualSpacing/>
              <w:jc w:val="center"/>
              <w:rPr>
                <w:rFonts w:ascii="Times New Roman" w:hAnsi="Times New Roman"/>
                <w:b/>
              </w:rPr>
            </w:pPr>
            <w:r w:rsidRPr="002A1996">
              <w:rPr>
                <w:rFonts w:ascii="Times New Roman" w:hAnsi="Times New Roman"/>
                <w:b/>
              </w:rPr>
              <w:t>Year 1</w:t>
            </w:r>
          </w:p>
        </w:tc>
        <w:tc>
          <w:tcPr>
            <w:tcW w:w="3870" w:type="dxa"/>
            <w:gridSpan w:val="2"/>
          </w:tcPr>
          <w:p w:rsidR="002A1996" w:rsidRPr="002A1996" w:rsidP="000F3099" w14:paraId="21AC9B7A" w14:textId="77777777">
            <w:pPr>
              <w:widowControl/>
              <w:autoSpaceDE/>
              <w:autoSpaceDN/>
              <w:adjustRightInd/>
              <w:ind w:hanging="14"/>
              <w:contextualSpacing/>
              <w:jc w:val="center"/>
              <w:rPr>
                <w:rFonts w:ascii="Times New Roman" w:hAnsi="Times New Roman"/>
                <w:b/>
              </w:rPr>
            </w:pPr>
            <w:r w:rsidRPr="002A1996">
              <w:rPr>
                <w:rFonts w:ascii="Times New Roman" w:hAnsi="Times New Roman"/>
                <w:b/>
              </w:rPr>
              <w:t>Subsequent Years</w:t>
            </w:r>
          </w:p>
        </w:tc>
      </w:tr>
      <w:tr w14:paraId="532903E0" w14:textId="77777777" w:rsidTr="00BC2DDB">
        <w:tblPrEx>
          <w:tblW w:w="9450" w:type="dxa"/>
          <w:tblInd w:w="265" w:type="dxa"/>
          <w:tblLayout w:type="fixed"/>
          <w:tblLook w:val="04A0"/>
        </w:tblPrEx>
        <w:tc>
          <w:tcPr>
            <w:tcW w:w="1710" w:type="dxa"/>
            <w:shd w:val="clear" w:color="auto" w:fill="auto"/>
          </w:tcPr>
          <w:p w:rsidR="002A1996" w:rsidRPr="002A1996" w:rsidP="000F3099" w14:paraId="12EE0DEC" w14:textId="77777777">
            <w:pPr>
              <w:widowControl/>
              <w:autoSpaceDE/>
              <w:autoSpaceDN/>
              <w:adjustRightInd/>
              <w:contextualSpacing/>
              <w:jc w:val="center"/>
              <w:rPr>
                <w:rFonts w:ascii="Times New Roman" w:hAnsi="Times New Roman"/>
                <w:b/>
              </w:rPr>
            </w:pPr>
            <w:r w:rsidRPr="002A1996">
              <w:rPr>
                <w:rFonts w:ascii="Times New Roman" w:hAnsi="Times New Roman"/>
                <w:b/>
              </w:rPr>
              <w:t>Activity</w:t>
            </w:r>
          </w:p>
        </w:tc>
        <w:tc>
          <w:tcPr>
            <w:tcW w:w="1800" w:type="dxa"/>
            <w:shd w:val="clear" w:color="auto" w:fill="auto"/>
          </w:tcPr>
          <w:p w:rsidR="002A1996" w:rsidRPr="002A1996" w:rsidP="000F3099" w14:paraId="5198E063" w14:textId="77777777">
            <w:pPr>
              <w:widowControl/>
              <w:autoSpaceDE/>
              <w:autoSpaceDN/>
              <w:adjustRightInd/>
              <w:contextualSpacing/>
              <w:jc w:val="center"/>
              <w:rPr>
                <w:rFonts w:ascii="Times New Roman" w:hAnsi="Times New Roman"/>
                <w:b/>
              </w:rPr>
            </w:pPr>
            <w:r w:rsidRPr="002A1996">
              <w:rPr>
                <w:rFonts w:ascii="Times New Roman" w:hAnsi="Times New Roman"/>
                <w:b/>
              </w:rPr>
              <w:t>Burden Hours</w:t>
            </w:r>
          </w:p>
        </w:tc>
        <w:tc>
          <w:tcPr>
            <w:tcW w:w="2070" w:type="dxa"/>
            <w:shd w:val="clear" w:color="auto" w:fill="auto"/>
          </w:tcPr>
          <w:p w:rsidR="002A1996" w:rsidRPr="002A1996" w:rsidP="000F3099" w14:paraId="70E52502" w14:textId="77777777">
            <w:pPr>
              <w:widowControl/>
              <w:autoSpaceDE/>
              <w:autoSpaceDN/>
              <w:adjustRightInd/>
              <w:contextualSpacing/>
              <w:jc w:val="center"/>
              <w:rPr>
                <w:rFonts w:ascii="Times New Roman" w:hAnsi="Times New Roman"/>
                <w:b/>
              </w:rPr>
            </w:pPr>
            <w:r w:rsidRPr="002A1996">
              <w:rPr>
                <w:rFonts w:ascii="Times New Roman" w:hAnsi="Times New Roman"/>
                <w:b/>
              </w:rPr>
              <w:t>Equivalent Burden Cost</w:t>
            </w:r>
          </w:p>
        </w:tc>
        <w:tc>
          <w:tcPr>
            <w:tcW w:w="1661" w:type="dxa"/>
          </w:tcPr>
          <w:p w:rsidR="002A1996" w:rsidRPr="002A1996" w:rsidP="000F3099" w14:paraId="21C99EE9" w14:textId="77777777">
            <w:pPr>
              <w:widowControl/>
              <w:autoSpaceDE/>
              <w:autoSpaceDN/>
              <w:adjustRightInd/>
              <w:ind w:hanging="14"/>
              <w:contextualSpacing/>
              <w:jc w:val="center"/>
              <w:rPr>
                <w:rFonts w:ascii="Times New Roman" w:hAnsi="Times New Roman"/>
                <w:b/>
              </w:rPr>
            </w:pPr>
            <w:r w:rsidRPr="002A1996">
              <w:rPr>
                <w:rFonts w:ascii="Times New Roman" w:hAnsi="Times New Roman"/>
                <w:b/>
              </w:rPr>
              <w:t>Burden Hours</w:t>
            </w:r>
          </w:p>
        </w:tc>
        <w:tc>
          <w:tcPr>
            <w:tcW w:w="2209" w:type="dxa"/>
          </w:tcPr>
          <w:p w:rsidR="002A1996" w:rsidRPr="002A1996" w:rsidP="000F3099" w14:paraId="4EE21ABF" w14:textId="77777777">
            <w:pPr>
              <w:widowControl/>
              <w:autoSpaceDE/>
              <w:autoSpaceDN/>
              <w:adjustRightInd/>
              <w:ind w:firstLine="720"/>
              <w:contextualSpacing/>
              <w:jc w:val="center"/>
              <w:rPr>
                <w:rFonts w:ascii="Times New Roman" w:hAnsi="Times New Roman"/>
                <w:b/>
              </w:rPr>
            </w:pPr>
            <w:r w:rsidRPr="002A1996">
              <w:rPr>
                <w:rFonts w:ascii="Times New Roman" w:hAnsi="Times New Roman"/>
                <w:b/>
              </w:rPr>
              <w:t>Equivalent Burden Cost</w:t>
            </w:r>
          </w:p>
        </w:tc>
      </w:tr>
      <w:tr w14:paraId="24BE13CE" w14:textId="77777777" w:rsidTr="00BC2DDB">
        <w:tblPrEx>
          <w:tblW w:w="9450" w:type="dxa"/>
          <w:tblInd w:w="265" w:type="dxa"/>
          <w:tblLayout w:type="fixed"/>
          <w:tblLook w:val="04A0"/>
        </w:tblPrEx>
        <w:tc>
          <w:tcPr>
            <w:tcW w:w="1710" w:type="dxa"/>
            <w:shd w:val="clear" w:color="auto" w:fill="auto"/>
          </w:tcPr>
          <w:p w:rsidR="002A1996" w:rsidRPr="002A1996" w:rsidP="000F3099" w14:paraId="67869731" w14:textId="77777777">
            <w:pPr>
              <w:widowControl/>
              <w:autoSpaceDE/>
              <w:autoSpaceDN/>
              <w:adjustRightInd/>
              <w:ind w:firstLine="720"/>
              <w:contextualSpacing/>
              <w:rPr>
                <w:rFonts w:ascii="Times New Roman" w:hAnsi="Times New Roman"/>
              </w:rPr>
            </w:pPr>
            <w:r w:rsidRPr="002A1996">
              <w:rPr>
                <w:rFonts w:ascii="Times New Roman" w:hAnsi="Times New Roman"/>
              </w:rPr>
              <w:t>Legal</w:t>
            </w:r>
          </w:p>
        </w:tc>
        <w:tc>
          <w:tcPr>
            <w:tcW w:w="1800" w:type="dxa"/>
            <w:shd w:val="clear" w:color="auto" w:fill="auto"/>
          </w:tcPr>
          <w:p w:rsidR="002A1996" w:rsidRPr="002A1996" w:rsidP="000F3099" w14:paraId="31632571" w14:textId="77777777">
            <w:pPr>
              <w:widowControl/>
              <w:autoSpaceDE/>
              <w:autoSpaceDN/>
              <w:adjustRightInd/>
              <w:ind w:firstLine="720"/>
              <w:contextualSpacing/>
              <w:jc w:val="right"/>
              <w:rPr>
                <w:rFonts w:ascii="Times New Roman" w:hAnsi="Times New Roman"/>
              </w:rPr>
            </w:pPr>
            <w:r w:rsidRPr="002A1996">
              <w:rPr>
                <w:rFonts w:ascii="Times New Roman" w:hAnsi="Times New Roman"/>
              </w:rPr>
              <w:t>17,598</w:t>
            </w:r>
          </w:p>
        </w:tc>
        <w:tc>
          <w:tcPr>
            <w:tcW w:w="2070" w:type="dxa"/>
            <w:shd w:val="clear" w:color="auto" w:fill="auto"/>
          </w:tcPr>
          <w:p w:rsidR="002A1996" w:rsidRPr="002A1996" w:rsidP="000F3099" w14:paraId="43A03671" w14:textId="77777777">
            <w:pPr>
              <w:widowControl/>
              <w:autoSpaceDE/>
              <w:autoSpaceDN/>
              <w:adjustRightInd/>
              <w:ind w:firstLine="720"/>
              <w:contextualSpacing/>
              <w:jc w:val="right"/>
              <w:rPr>
                <w:rFonts w:ascii="Times New Roman" w:hAnsi="Times New Roman"/>
              </w:rPr>
            </w:pPr>
            <w:r w:rsidRPr="002A1996">
              <w:rPr>
                <w:rFonts w:ascii="Times New Roman" w:hAnsi="Times New Roman"/>
              </w:rPr>
              <w:t>$2,804,065</w:t>
            </w:r>
          </w:p>
        </w:tc>
        <w:tc>
          <w:tcPr>
            <w:tcW w:w="1661" w:type="dxa"/>
          </w:tcPr>
          <w:p w:rsidR="002A1996" w:rsidRPr="002A1996" w:rsidP="000F3099" w14:paraId="74557772" w14:textId="77777777">
            <w:pPr>
              <w:widowControl/>
              <w:autoSpaceDE/>
              <w:autoSpaceDN/>
              <w:adjustRightInd/>
              <w:ind w:hanging="14"/>
              <w:contextualSpacing/>
              <w:jc w:val="right"/>
              <w:rPr>
                <w:rFonts w:ascii="Times New Roman" w:hAnsi="Times New Roman"/>
              </w:rPr>
            </w:pPr>
            <w:r w:rsidRPr="002A1996">
              <w:rPr>
                <w:rFonts w:ascii="Times New Roman" w:hAnsi="Times New Roman"/>
              </w:rPr>
              <w:t>17,598</w:t>
            </w:r>
          </w:p>
        </w:tc>
        <w:tc>
          <w:tcPr>
            <w:tcW w:w="2209" w:type="dxa"/>
          </w:tcPr>
          <w:p w:rsidR="002A1996" w:rsidRPr="002A1996" w:rsidP="000F3099" w14:paraId="0DD44DEC" w14:textId="77777777">
            <w:pPr>
              <w:widowControl/>
              <w:autoSpaceDE/>
              <w:autoSpaceDN/>
              <w:adjustRightInd/>
              <w:ind w:firstLine="720"/>
              <w:contextualSpacing/>
              <w:jc w:val="right"/>
              <w:rPr>
                <w:rFonts w:ascii="Times New Roman" w:hAnsi="Times New Roman"/>
              </w:rPr>
            </w:pPr>
            <w:r w:rsidRPr="002A1996">
              <w:rPr>
                <w:rFonts w:ascii="Times New Roman" w:hAnsi="Times New Roman"/>
              </w:rPr>
              <w:t>$2,804,065</w:t>
            </w:r>
          </w:p>
        </w:tc>
      </w:tr>
      <w:tr w14:paraId="0B1BFB4B" w14:textId="77777777" w:rsidTr="00BC2DDB">
        <w:tblPrEx>
          <w:tblW w:w="9450" w:type="dxa"/>
          <w:tblInd w:w="265" w:type="dxa"/>
          <w:tblLayout w:type="fixed"/>
          <w:tblLook w:val="04A0"/>
        </w:tblPrEx>
        <w:tc>
          <w:tcPr>
            <w:tcW w:w="1710" w:type="dxa"/>
            <w:shd w:val="clear" w:color="auto" w:fill="auto"/>
          </w:tcPr>
          <w:p w:rsidR="002A1996" w:rsidRPr="002A1996" w:rsidP="000F3099" w14:paraId="2B0A7ABD" w14:textId="77777777">
            <w:pPr>
              <w:widowControl/>
              <w:autoSpaceDE/>
              <w:autoSpaceDN/>
              <w:adjustRightInd/>
              <w:ind w:firstLine="720"/>
              <w:contextualSpacing/>
              <w:rPr>
                <w:rFonts w:ascii="Times New Roman" w:hAnsi="Times New Roman"/>
              </w:rPr>
            </w:pPr>
            <w:r w:rsidRPr="002A1996">
              <w:rPr>
                <w:rFonts w:ascii="Times New Roman" w:hAnsi="Times New Roman"/>
              </w:rPr>
              <w:t>Clerical</w:t>
            </w:r>
          </w:p>
        </w:tc>
        <w:tc>
          <w:tcPr>
            <w:tcW w:w="1800" w:type="dxa"/>
            <w:shd w:val="clear" w:color="auto" w:fill="auto"/>
          </w:tcPr>
          <w:p w:rsidR="002A1996" w:rsidRPr="002A1996" w:rsidP="000F3099" w14:paraId="4C136147" w14:textId="77777777">
            <w:pPr>
              <w:widowControl/>
              <w:autoSpaceDE/>
              <w:autoSpaceDN/>
              <w:adjustRightInd/>
              <w:ind w:firstLine="720"/>
              <w:contextualSpacing/>
              <w:jc w:val="right"/>
              <w:rPr>
                <w:rFonts w:ascii="Times New Roman" w:hAnsi="Times New Roman"/>
              </w:rPr>
            </w:pPr>
            <w:r w:rsidRPr="002A1996">
              <w:rPr>
                <w:rFonts w:ascii="Times New Roman" w:hAnsi="Times New Roman"/>
              </w:rPr>
              <w:t>101</w:t>
            </w:r>
          </w:p>
        </w:tc>
        <w:tc>
          <w:tcPr>
            <w:tcW w:w="2070" w:type="dxa"/>
            <w:shd w:val="clear" w:color="auto" w:fill="auto"/>
          </w:tcPr>
          <w:p w:rsidR="002A1996" w:rsidRPr="002A1996" w:rsidP="000F3099" w14:paraId="1E87B89C" w14:textId="77777777">
            <w:pPr>
              <w:widowControl/>
              <w:autoSpaceDE/>
              <w:autoSpaceDN/>
              <w:adjustRightInd/>
              <w:ind w:firstLine="720"/>
              <w:contextualSpacing/>
              <w:jc w:val="right"/>
              <w:rPr>
                <w:rFonts w:ascii="Times New Roman" w:hAnsi="Times New Roman"/>
              </w:rPr>
            </w:pPr>
            <w:r w:rsidRPr="002A1996">
              <w:rPr>
                <w:rFonts w:ascii="Times New Roman" w:hAnsi="Times New Roman"/>
              </w:rPr>
              <w:t>$6,434</w:t>
            </w:r>
          </w:p>
        </w:tc>
        <w:tc>
          <w:tcPr>
            <w:tcW w:w="1661" w:type="dxa"/>
          </w:tcPr>
          <w:p w:rsidR="002A1996" w:rsidRPr="002A1996" w:rsidP="000F3099" w14:paraId="57C20E04" w14:textId="77777777">
            <w:pPr>
              <w:widowControl/>
              <w:autoSpaceDE/>
              <w:autoSpaceDN/>
              <w:adjustRightInd/>
              <w:ind w:hanging="14"/>
              <w:contextualSpacing/>
              <w:jc w:val="right"/>
              <w:rPr>
                <w:rFonts w:ascii="Times New Roman" w:hAnsi="Times New Roman"/>
              </w:rPr>
            </w:pPr>
            <w:r w:rsidRPr="002A1996">
              <w:rPr>
                <w:rFonts w:ascii="Times New Roman" w:hAnsi="Times New Roman"/>
              </w:rPr>
              <w:t>101</w:t>
            </w:r>
          </w:p>
        </w:tc>
        <w:tc>
          <w:tcPr>
            <w:tcW w:w="2209" w:type="dxa"/>
          </w:tcPr>
          <w:p w:rsidR="002A1996" w:rsidRPr="002A1996" w:rsidP="000F3099" w14:paraId="4AA08505" w14:textId="77777777">
            <w:pPr>
              <w:widowControl/>
              <w:autoSpaceDE/>
              <w:autoSpaceDN/>
              <w:adjustRightInd/>
              <w:ind w:firstLine="720"/>
              <w:contextualSpacing/>
              <w:jc w:val="right"/>
              <w:rPr>
                <w:rFonts w:ascii="Times New Roman" w:hAnsi="Times New Roman"/>
              </w:rPr>
            </w:pPr>
            <w:r w:rsidRPr="002A1996">
              <w:rPr>
                <w:rFonts w:ascii="Times New Roman" w:hAnsi="Times New Roman"/>
              </w:rPr>
              <w:t>$6,434</w:t>
            </w:r>
          </w:p>
        </w:tc>
      </w:tr>
      <w:tr w14:paraId="757C2BF1" w14:textId="77777777" w:rsidTr="00BC2DDB">
        <w:tblPrEx>
          <w:tblW w:w="9450" w:type="dxa"/>
          <w:tblInd w:w="265" w:type="dxa"/>
          <w:tblLayout w:type="fixed"/>
          <w:tblLook w:val="04A0"/>
        </w:tblPrEx>
        <w:tc>
          <w:tcPr>
            <w:tcW w:w="1710" w:type="dxa"/>
            <w:shd w:val="clear" w:color="auto" w:fill="auto"/>
          </w:tcPr>
          <w:p w:rsidR="002A1996" w:rsidRPr="002A1996" w:rsidP="000F3099" w14:paraId="4B8423FE" w14:textId="77777777">
            <w:pPr>
              <w:widowControl/>
              <w:autoSpaceDE/>
              <w:autoSpaceDN/>
              <w:adjustRightInd/>
              <w:ind w:firstLine="720"/>
              <w:contextualSpacing/>
              <w:rPr>
                <w:rFonts w:ascii="Times New Roman" w:hAnsi="Times New Roman"/>
                <w:b/>
              </w:rPr>
            </w:pPr>
            <w:r w:rsidRPr="002A1996">
              <w:rPr>
                <w:rFonts w:ascii="Times New Roman" w:hAnsi="Times New Roman"/>
                <w:b/>
              </w:rPr>
              <w:t>Total</w:t>
            </w:r>
          </w:p>
        </w:tc>
        <w:tc>
          <w:tcPr>
            <w:tcW w:w="1800" w:type="dxa"/>
            <w:shd w:val="clear" w:color="auto" w:fill="auto"/>
          </w:tcPr>
          <w:p w:rsidR="002A1996" w:rsidRPr="002A1996" w:rsidP="000F3099" w14:paraId="2765A682" w14:textId="77777777">
            <w:pPr>
              <w:widowControl/>
              <w:autoSpaceDE/>
              <w:autoSpaceDN/>
              <w:adjustRightInd/>
              <w:ind w:firstLine="720"/>
              <w:contextualSpacing/>
              <w:jc w:val="right"/>
              <w:rPr>
                <w:rFonts w:ascii="Times New Roman" w:hAnsi="Times New Roman"/>
                <w:b/>
              </w:rPr>
            </w:pPr>
            <w:r w:rsidRPr="002A1996">
              <w:rPr>
                <w:rFonts w:ascii="Times New Roman" w:hAnsi="Times New Roman"/>
                <w:b/>
              </w:rPr>
              <w:t>17,699</w:t>
            </w:r>
          </w:p>
        </w:tc>
        <w:tc>
          <w:tcPr>
            <w:tcW w:w="2070" w:type="dxa"/>
            <w:shd w:val="clear" w:color="auto" w:fill="auto"/>
          </w:tcPr>
          <w:p w:rsidR="002A1996" w:rsidRPr="002A1996" w:rsidP="000F3099" w14:paraId="01B19DE6" w14:textId="77777777">
            <w:pPr>
              <w:widowControl/>
              <w:autoSpaceDE/>
              <w:autoSpaceDN/>
              <w:adjustRightInd/>
              <w:ind w:firstLine="720"/>
              <w:contextualSpacing/>
              <w:jc w:val="right"/>
              <w:rPr>
                <w:rFonts w:ascii="Times New Roman" w:hAnsi="Times New Roman"/>
                <w:b/>
              </w:rPr>
            </w:pPr>
            <w:r w:rsidRPr="002A1996">
              <w:rPr>
                <w:rFonts w:ascii="Times New Roman" w:hAnsi="Times New Roman"/>
                <w:b/>
              </w:rPr>
              <w:t>$2,810,499</w:t>
            </w:r>
          </w:p>
        </w:tc>
        <w:tc>
          <w:tcPr>
            <w:tcW w:w="1661" w:type="dxa"/>
          </w:tcPr>
          <w:p w:rsidR="002A1996" w:rsidRPr="002A1996" w:rsidP="000F3099" w14:paraId="16033DC6" w14:textId="77777777">
            <w:pPr>
              <w:widowControl/>
              <w:autoSpaceDE/>
              <w:autoSpaceDN/>
              <w:adjustRightInd/>
              <w:ind w:hanging="14"/>
              <w:contextualSpacing/>
              <w:jc w:val="right"/>
              <w:rPr>
                <w:rFonts w:ascii="Times New Roman" w:hAnsi="Times New Roman"/>
                <w:b/>
              </w:rPr>
            </w:pPr>
            <w:r w:rsidRPr="002A1996">
              <w:rPr>
                <w:rFonts w:ascii="Times New Roman" w:hAnsi="Times New Roman"/>
                <w:b/>
              </w:rPr>
              <w:t>17,699</w:t>
            </w:r>
          </w:p>
        </w:tc>
        <w:tc>
          <w:tcPr>
            <w:tcW w:w="2209" w:type="dxa"/>
          </w:tcPr>
          <w:p w:rsidR="002A1996" w:rsidRPr="002A1996" w:rsidP="000F3099" w14:paraId="156597C5" w14:textId="77777777">
            <w:pPr>
              <w:widowControl/>
              <w:autoSpaceDE/>
              <w:autoSpaceDN/>
              <w:adjustRightInd/>
              <w:ind w:firstLine="720"/>
              <w:contextualSpacing/>
              <w:jc w:val="right"/>
              <w:rPr>
                <w:rFonts w:ascii="Times New Roman" w:hAnsi="Times New Roman"/>
                <w:b/>
              </w:rPr>
            </w:pPr>
            <w:r w:rsidRPr="002A1996">
              <w:rPr>
                <w:rFonts w:ascii="Times New Roman" w:hAnsi="Times New Roman"/>
                <w:b/>
              </w:rPr>
              <w:t>$2,810,499</w:t>
            </w:r>
          </w:p>
        </w:tc>
      </w:tr>
    </w:tbl>
    <w:p w:rsidR="00B57B40" w:rsidRPr="008D15AA" w:rsidP="00B57B40" w14:paraId="596BB1B9" w14:textId="228792A7">
      <w:pPr>
        <w:ind w:left="720"/>
        <w:contextualSpacing/>
        <w:rPr>
          <w:rFonts w:ascii="Times New Roman" w:hAnsi="Times New Roman"/>
        </w:rPr>
      </w:pPr>
    </w:p>
    <w:p w:rsidR="00B57B40" w:rsidRPr="00945117" w:rsidP="00B57B40" w14:paraId="4842D6B7" w14:textId="228792A7">
      <w:pPr>
        <w:pStyle w:val="Quick1"/>
        <w:numPr>
          <w:ilvl w:val="2"/>
          <w:numId w:val="29"/>
        </w:numPr>
        <w:rPr>
          <w:rFonts w:ascii="Times New Roman" w:hAnsi="Times New Roman"/>
          <w:i/>
        </w:rPr>
      </w:pPr>
      <w:r w:rsidRPr="00945117">
        <w:rPr>
          <w:rFonts w:ascii="Times New Roman" w:hAnsi="Times New Roman"/>
          <w:i/>
        </w:rPr>
        <w:t>Disclosure</w:t>
      </w:r>
    </w:p>
    <w:p w:rsidR="00691402" w:rsidRPr="00530597" w14:paraId="5A1C61AF" w14:textId="77777777">
      <w:pPr>
        <w:ind w:left="720"/>
        <w:contextualSpacing/>
        <w:rPr>
          <w:rFonts w:ascii="Times New Roman" w:hAnsi="Times New Roman"/>
        </w:rPr>
      </w:pPr>
    </w:p>
    <w:p w:rsidR="005F3B17" w:rsidP="005F3B17" w14:paraId="3C5E5351" w14:textId="77777777">
      <w:pPr>
        <w:ind w:left="720"/>
        <w:contextualSpacing/>
        <w:rPr>
          <w:rFonts w:ascii="Times New Roman" w:hAnsi="Times New Roman"/>
        </w:rPr>
      </w:pPr>
      <w:r w:rsidRPr="005F3B17">
        <w:rPr>
          <w:rFonts w:ascii="Times New Roman" w:hAnsi="Times New Roman"/>
        </w:rPr>
        <w:t>Based on the estimates discussed above, the Department estimates that approximately 3,006 financial institutions</w:t>
      </w:r>
      <w:r>
        <w:rPr>
          <w:rFonts w:ascii="Times New Roman" w:hAnsi="Times New Roman"/>
          <w:vertAlign w:val="superscript"/>
        </w:rPr>
        <w:footnoteReference w:id="24"/>
      </w:r>
      <w:r w:rsidRPr="005F3B17">
        <w:rPr>
          <w:rFonts w:ascii="Times New Roman" w:hAnsi="Times New Roman"/>
        </w:rPr>
        <w:t xml:space="preserve"> would continue to utilize the exemption for exemptive relief for the transactions described in Section III(a)-(f) for each plan and IRA. In total, the Department estimates that 2,996 entities would prepare disclosures for plans and 2,996</w:t>
      </w:r>
      <w:r w:rsidRPr="005F3B17">
        <w:rPr>
          <w:rFonts w:ascii="Times New Roman" w:hAnsi="Times New Roman"/>
        </w:rPr>
        <w:t xml:space="preserve"> </w:t>
      </w:r>
      <w:r w:rsidRPr="005F3B17">
        <w:rPr>
          <w:rFonts w:ascii="Times New Roman" w:hAnsi="Times New Roman"/>
        </w:rPr>
        <w:t>entities would prepare disclosures for IRAs.</w:t>
      </w:r>
      <w:r w:rsidRPr="005F3B17">
        <w:rPr>
          <w:rFonts w:ascii="Times New Roman" w:hAnsi="Times New Roman"/>
        </w:rPr>
        <w:t xml:space="preserve"> </w:t>
      </w:r>
      <w:r w:rsidRPr="005F3B17">
        <w:rPr>
          <w:rFonts w:ascii="Times New Roman" w:hAnsi="Times New Roman"/>
        </w:rPr>
        <w:t>The Department assumes that an in-house attorney will spend one hour of legal staff time drafting the disclosure for plans and one hour of legal staff time drafting the disclosure for IRAs.</w:t>
      </w:r>
      <w:r w:rsidRPr="005F3B17">
        <w:rPr>
          <w:rFonts w:ascii="Times New Roman" w:hAnsi="Times New Roman"/>
        </w:rPr>
        <w:t xml:space="preserve"> </w:t>
      </w:r>
      <w:r w:rsidRPr="005F3B17">
        <w:rPr>
          <w:rFonts w:ascii="Times New Roman" w:hAnsi="Times New Roman"/>
        </w:rPr>
        <w:t>This results in an hour burden of 5,992 hours with an equivalent cost of $</w:t>
      </w:r>
      <w:r w:rsidRPr="005F3B17">
        <w:rPr>
          <w:rFonts w:ascii="Times New Roman" w:hAnsi="Times New Roman"/>
          <w:lang w:val="en"/>
        </w:rPr>
        <w:t>954,765</w:t>
      </w:r>
      <w:r w:rsidRPr="005F3B17">
        <w:rPr>
          <w:rFonts w:ascii="Times New Roman" w:hAnsi="Times New Roman"/>
        </w:rPr>
        <w:t>.</w:t>
      </w:r>
      <w:r>
        <w:rPr>
          <w:rFonts w:ascii="Times New Roman" w:hAnsi="Times New Roman"/>
          <w:vertAlign w:val="superscript"/>
        </w:rPr>
        <w:footnoteReference w:id="25"/>
      </w:r>
    </w:p>
    <w:p w:rsidR="005F3B17" w:rsidRPr="005F3B17" w:rsidP="005F3B17" w14:paraId="77F12C54" w14:textId="77777777">
      <w:pPr>
        <w:ind w:left="720"/>
        <w:contextualSpacing/>
        <w:rPr>
          <w:rFonts w:ascii="Times New Roman" w:hAnsi="Times New Roman"/>
        </w:rPr>
      </w:pPr>
    </w:p>
    <w:p w:rsidR="005F3B17" w:rsidP="005F3B17" w14:paraId="09AF1A4E" w14:textId="77777777">
      <w:pPr>
        <w:ind w:left="720"/>
        <w:contextualSpacing/>
        <w:rPr>
          <w:rFonts w:ascii="Times New Roman" w:hAnsi="Times New Roman"/>
        </w:rPr>
      </w:pPr>
      <w:r w:rsidRPr="005F3B17">
        <w:rPr>
          <w:rFonts w:ascii="Times New Roman" w:hAnsi="Times New Roman"/>
        </w:rPr>
        <w:t>The Department expects that the disclosures for plans would be distributed through already established electronic means, and thus, the Department does not expect plans to incur any cost to send the disclosures.</w:t>
      </w:r>
      <w:r w:rsidRPr="005F3B17">
        <w:rPr>
          <w:rFonts w:ascii="Times New Roman" w:hAnsi="Times New Roman"/>
        </w:rPr>
        <w:t xml:space="preserve"> </w:t>
      </w:r>
      <w:r w:rsidRPr="005F3B17">
        <w:rPr>
          <w:rFonts w:ascii="Times New Roman" w:hAnsi="Times New Roman"/>
        </w:rPr>
        <w:t>The Department expects that 94.2 percent of disclosures for IRAs will be sent electronically at no additional burden.</w:t>
      </w:r>
      <w:r w:rsidRPr="005F3B17">
        <w:rPr>
          <w:rFonts w:ascii="Times New Roman" w:hAnsi="Times New Roman"/>
        </w:rPr>
        <w:t xml:space="preserve"> </w:t>
      </w:r>
      <w:r w:rsidRPr="005F3B17">
        <w:rPr>
          <w:rFonts w:ascii="Times New Roman" w:hAnsi="Times New Roman"/>
        </w:rPr>
        <w:t>The remaining 5.8 percent of authorizations will be mailed.</w:t>
      </w:r>
      <w:r w:rsidRPr="005F3B17">
        <w:rPr>
          <w:rFonts w:ascii="Times New Roman" w:hAnsi="Times New Roman"/>
        </w:rPr>
        <w:t xml:space="preserve"> </w:t>
      </w:r>
      <w:r w:rsidRPr="005F3B17">
        <w:rPr>
          <w:rFonts w:ascii="Times New Roman" w:hAnsi="Times New Roman"/>
        </w:rPr>
        <w:t>For paper copies, a clerical staff member is assumed to require two minutes to prepare and mail the required information to the plan fiduciary.</w:t>
      </w:r>
      <w:r w:rsidRPr="005F3B17">
        <w:rPr>
          <w:rFonts w:ascii="Times New Roman" w:hAnsi="Times New Roman"/>
        </w:rPr>
        <w:t xml:space="preserve"> </w:t>
      </w:r>
      <w:r w:rsidRPr="005F3B17">
        <w:rPr>
          <w:rFonts w:ascii="Times New Roman" w:hAnsi="Times New Roman"/>
        </w:rPr>
        <w:t xml:space="preserve">This information will be sent to the 52,449 IRAs plus the </w:t>
      </w:r>
      <w:r w:rsidRPr="005F3B17">
        <w:rPr>
          <w:rFonts w:ascii="Times New Roman" w:hAnsi="Times New Roman"/>
        </w:rPr>
        <w:t>10 investment</w:t>
      </w:r>
      <w:r w:rsidRPr="005F3B17">
        <w:rPr>
          <w:rFonts w:ascii="Times New Roman" w:hAnsi="Times New Roman"/>
        </w:rPr>
        <w:t xml:space="preserve"> company principal underwriters for IRAs entering into an agreement with an insurance agent, pension consultant, or mutual fund principal underwriter, and based on the above, the Department estimates that this requirement results in an hour burden of 84 hours with an equivalent cost of $6,435.</w:t>
      </w:r>
      <w:r>
        <w:rPr>
          <w:rFonts w:ascii="Times New Roman" w:hAnsi="Times New Roman"/>
          <w:vertAlign w:val="superscript"/>
        </w:rPr>
        <w:footnoteReference w:id="26"/>
      </w:r>
    </w:p>
    <w:p w:rsidR="005F3B17" w:rsidRPr="005F3B17" w:rsidP="005F3B17" w14:paraId="0C5AB83B" w14:textId="77777777">
      <w:pPr>
        <w:ind w:left="720"/>
        <w:contextualSpacing/>
        <w:rPr>
          <w:rFonts w:ascii="Times New Roman" w:hAnsi="Times New Roman"/>
        </w:rPr>
      </w:pPr>
    </w:p>
    <w:p w:rsidR="005F3B17" w:rsidRPr="005F3B17" w:rsidP="005F3B17" w14:paraId="1D90C794" w14:textId="77777777">
      <w:pPr>
        <w:ind w:left="720"/>
        <w:contextualSpacing/>
        <w:rPr>
          <w:rFonts w:ascii="Times New Roman" w:hAnsi="Times New Roman"/>
        </w:rPr>
      </w:pPr>
      <w:r w:rsidRPr="005F3B17">
        <w:rPr>
          <w:rFonts w:ascii="Times New Roman" w:hAnsi="Times New Roman"/>
        </w:rPr>
        <w:t>In total, as presented in the table below, providing the pre-authorization materials is expected to impose an annual total hour burden of 6,093 hours with an equivalent cost of $961,200.</w:t>
      </w:r>
    </w:p>
    <w:p w:rsidR="009A5BD8" w:rsidRPr="00530597" w:rsidP="00237E1E" w14:paraId="1ABDE7B3" w14:textId="77777777">
      <w:pPr>
        <w:ind w:left="720"/>
        <w:contextualSpacing/>
        <w:rPr>
          <w:rFonts w:ascii="Times New Roman" w:hAnsi="Times New Roman"/>
        </w:rPr>
      </w:pPr>
    </w:p>
    <w:tbl>
      <w:tblPr>
        <w:tblW w:w="91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5"/>
        <w:gridCol w:w="1722"/>
        <w:gridCol w:w="1963"/>
        <w:gridCol w:w="1483"/>
        <w:gridCol w:w="2297"/>
      </w:tblGrid>
      <w:tr w14:paraId="0923A2E7" w14:textId="77777777" w:rsidTr="00BC2DDB">
        <w:tblPrEx>
          <w:tblW w:w="91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5"/>
            <w:shd w:val="clear" w:color="auto" w:fill="auto"/>
          </w:tcPr>
          <w:p w:rsidR="00E81E79" w:rsidRPr="00E55BDE" w:rsidP="00E55BDE" w14:paraId="1FCCA6B1" w14:textId="5AB35306">
            <w:pPr>
              <w:widowControl/>
              <w:autoSpaceDE/>
              <w:autoSpaceDN/>
              <w:adjustRightInd/>
              <w:ind w:firstLine="720"/>
              <w:contextualSpacing/>
              <w:jc w:val="center"/>
              <w:rPr>
                <w:rFonts w:ascii="Times New Roman" w:eastAsia="Yu Mincho" w:hAnsi="Times New Roman"/>
                <w:b/>
                <w:szCs w:val="32"/>
              </w:rPr>
            </w:pPr>
            <w:r w:rsidRPr="00E55BDE">
              <w:rPr>
                <w:rFonts w:ascii="Times New Roman" w:eastAsia="Yu Mincho" w:hAnsi="Times New Roman"/>
                <w:b/>
                <w:szCs w:val="32"/>
              </w:rPr>
              <w:t xml:space="preserve">Table </w:t>
            </w:r>
            <w:r>
              <w:rPr>
                <w:rFonts w:ascii="Times New Roman" w:eastAsia="Yu Mincho" w:hAnsi="Times New Roman"/>
                <w:b/>
                <w:szCs w:val="32"/>
              </w:rPr>
              <w:t>2</w:t>
            </w:r>
            <w:r w:rsidRPr="00E55BDE">
              <w:rPr>
                <w:rFonts w:ascii="Times New Roman" w:eastAsia="Yu Mincho" w:hAnsi="Times New Roman"/>
                <w:b/>
                <w:szCs w:val="32"/>
              </w:rPr>
              <w:t>:</w:t>
            </w:r>
            <w:r w:rsidRPr="00E55BDE">
              <w:rPr>
                <w:rFonts w:ascii="Times New Roman" w:eastAsia="Yu Mincho" w:hAnsi="Times New Roman"/>
                <w:b/>
                <w:szCs w:val="32"/>
              </w:rPr>
              <w:t xml:space="preserve"> </w:t>
            </w:r>
            <w:r w:rsidRPr="00E55BDE">
              <w:rPr>
                <w:rFonts w:ascii="Times New Roman" w:eastAsia="Yu Mincho" w:hAnsi="Times New Roman"/>
                <w:b/>
                <w:szCs w:val="32"/>
              </w:rPr>
              <w:t>Hour Burden and Equivalent Cost Associated with the Disclosure</w:t>
            </w:r>
          </w:p>
        </w:tc>
      </w:tr>
      <w:tr w14:paraId="45C7C4BD" w14:textId="77777777" w:rsidTr="00BC2DDB">
        <w:tblPrEx>
          <w:tblW w:w="9180" w:type="dxa"/>
          <w:tblInd w:w="265" w:type="dxa"/>
          <w:tblLayout w:type="fixed"/>
          <w:tblLook w:val="04A0"/>
        </w:tblPrEx>
        <w:tc>
          <w:tcPr>
            <w:tcW w:w="1715" w:type="dxa"/>
            <w:shd w:val="clear" w:color="auto" w:fill="auto"/>
          </w:tcPr>
          <w:p w:rsidR="00E81E79" w:rsidRPr="00E55BDE" w:rsidP="00E55BDE" w14:paraId="372D4026" w14:textId="77777777">
            <w:pPr>
              <w:widowControl/>
              <w:autoSpaceDE/>
              <w:autoSpaceDN/>
              <w:adjustRightInd/>
              <w:ind w:firstLine="720"/>
              <w:contextualSpacing/>
              <w:jc w:val="center"/>
              <w:rPr>
                <w:rFonts w:ascii="Times New Roman" w:eastAsia="Yu Mincho" w:hAnsi="Times New Roman"/>
                <w:b/>
                <w:szCs w:val="32"/>
              </w:rPr>
            </w:pPr>
          </w:p>
        </w:tc>
        <w:tc>
          <w:tcPr>
            <w:tcW w:w="3685" w:type="dxa"/>
            <w:gridSpan w:val="2"/>
            <w:shd w:val="clear" w:color="auto" w:fill="auto"/>
          </w:tcPr>
          <w:p w:rsidR="00E81E79" w:rsidRPr="00E55BDE" w:rsidP="00E55BDE" w14:paraId="5E02CF8A" w14:textId="77777777">
            <w:pPr>
              <w:widowControl/>
              <w:autoSpaceDE/>
              <w:autoSpaceDN/>
              <w:adjustRightInd/>
              <w:ind w:firstLine="720"/>
              <w:contextualSpacing/>
              <w:jc w:val="center"/>
              <w:rPr>
                <w:rFonts w:ascii="Times New Roman" w:eastAsia="Yu Mincho" w:hAnsi="Times New Roman"/>
                <w:b/>
                <w:szCs w:val="32"/>
              </w:rPr>
            </w:pPr>
            <w:r w:rsidRPr="00E55BDE">
              <w:rPr>
                <w:rFonts w:ascii="Times New Roman" w:eastAsia="Yu Mincho" w:hAnsi="Times New Roman"/>
                <w:b/>
                <w:szCs w:val="32"/>
              </w:rPr>
              <w:t>Year 1</w:t>
            </w:r>
          </w:p>
        </w:tc>
        <w:tc>
          <w:tcPr>
            <w:tcW w:w="3780" w:type="dxa"/>
            <w:gridSpan w:val="2"/>
          </w:tcPr>
          <w:p w:rsidR="00E81E79" w:rsidRPr="00E55BDE" w:rsidP="00E55BDE" w14:paraId="2CE0C3E4" w14:textId="77777777">
            <w:pPr>
              <w:widowControl/>
              <w:autoSpaceDE/>
              <w:autoSpaceDN/>
              <w:adjustRightInd/>
              <w:ind w:firstLine="720"/>
              <w:contextualSpacing/>
              <w:jc w:val="center"/>
              <w:rPr>
                <w:rFonts w:ascii="Times New Roman" w:eastAsia="Yu Mincho" w:hAnsi="Times New Roman"/>
                <w:b/>
                <w:szCs w:val="32"/>
              </w:rPr>
            </w:pPr>
            <w:r w:rsidRPr="00E55BDE">
              <w:rPr>
                <w:rFonts w:ascii="Times New Roman" w:eastAsia="Yu Mincho" w:hAnsi="Times New Roman"/>
                <w:b/>
                <w:szCs w:val="32"/>
              </w:rPr>
              <w:t>Subsequent Years</w:t>
            </w:r>
          </w:p>
        </w:tc>
      </w:tr>
      <w:tr w14:paraId="23DE9C8E" w14:textId="77777777" w:rsidTr="00BC2DDB">
        <w:tblPrEx>
          <w:tblW w:w="9180" w:type="dxa"/>
          <w:tblInd w:w="265" w:type="dxa"/>
          <w:tblLayout w:type="fixed"/>
          <w:tblLook w:val="04A0"/>
        </w:tblPrEx>
        <w:tc>
          <w:tcPr>
            <w:tcW w:w="1715" w:type="dxa"/>
            <w:shd w:val="clear" w:color="auto" w:fill="auto"/>
          </w:tcPr>
          <w:p w:rsidR="00E81E79" w:rsidRPr="00E55BDE" w:rsidP="00E55BDE" w14:paraId="1BD3685F" w14:textId="77777777">
            <w:pPr>
              <w:widowControl/>
              <w:autoSpaceDE/>
              <w:autoSpaceDN/>
              <w:adjustRightInd/>
              <w:ind w:firstLine="75"/>
              <w:contextualSpacing/>
              <w:jc w:val="center"/>
              <w:rPr>
                <w:rFonts w:ascii="Times New Roman" w:eastAsia="Yu Mincho" w:hAnsi="Times New Roman"/>
                <w:b/>
                <w:szCs w:val="32"/>
              </w:rPr>
            </w:pPr>
            <w:r w:rsidRPr="00E55BDE">
              <w:rPr>
                <w:rFonts w:ascii="Times New Roman" w:eastAsia="Yu Mincho" w:hAnsi="Times New Roman"/>
                <w:b/>
                <w:szCs w:val="32"/>
              </w:rPr>
              <w:t>Activity</w:t>
            </w:r>
          </w:p>
        </w:tc>
        <w:tc>
          <w:tcPr>
            <w:tcW w:w="1722" w:type="dxa"/>
            <w:shd w:val="clear" w:color="auto" w:fill="auto"/>
          </w:tcPr>
          <w:p w:rsidR="00E81E79" w:rsidRPr="00E55BDE" w:rsidP="00E55BDE" w14:paraId="1857B298" w14:textId="77777777">
            <w:pPr>
              <w:widowControl/>
              <w:autoSpaceDE/>
              <w:autoSpaceDN/>
              <w:adjustRightInd/>
              <w:contextualSpacing/>
              <w:jc w:val="center"/>
              <w:rPr>
                <w:rFonts w:ascii="Times New Roman" w:eastAsia="Yu Mincho" w:hAnsi="Times New Roman"/>
                <w:b/>
                <w:szCs w:val="32"/>
              </w:rPr>
            </w:pPr>
            <w:r w:rsidRPr="00E55BDE">
              <w:rPr>
                <w:rFonts w:ascii="Times New Roman" w:eastAsia="Yu Mincho" w:hAnsi="Times New Roman"/>
                <w:b/>
                <w:szCs w:val="32"/>
              </w:rPr>
              <w:t>Burden Hours</w:t>
            </w:r>
          </w:p>
        </w:tc>
        <w:tc>
          <w:tcPr>
            <w:tcW w:w="1963" w:type="dxa"/>
            <w:shd w:val="clear" w:color="auto" w:fill="auto"/>
          </w:tcPr>
          <w:p w:rsidR="00E81E79" w:rsidRPr="00E55BDE" w:rsidP="00E55BDE" w14:paraId="776B3FE4" w14:textId="77777777">
            <w:pPr>
              <w:widowControl/>
              <w:autoSpaceDE/>
              <w:autoSpaceDN/>
              <w:adjustRightInd/>
              <w:contextualSpacing/>
              <w:jc w:val="center"/>
              <w:rPr>
                <w:rFonts w:ascii="Times New Roman" w:eastAsia="Yu Mincho" w:hAnsi="Times New Roman"/>
                <w:b/>
                <w:szCs w:val="32"/>
              </w:rPr>
            </w:pPr>
            <w:r w:rsidRPr="00E55BDE">
              <w:rPr>
                <w:rFonts w:ascii="Times New Roman" w:eastAsia="Yu Mincho" w:hAnsi="Times New Roman"/>
                <w:b/>
                <w:szCs w:val="32"/>
              </w:rPr>
              <w:t>Equivalent Burden Cost</w:t>
            </w:r>
          </w:p>
        </w:tc>
        <w:tc>
          <w:tcPr>
            <w:tcW w:w="1483" w:type="dxa"/>
          </w:tcPr>
          <w:p w:rsidR="00E81E79" w:rsidRPr="00E55BDE" w:rsidP="00E55BDE" w14:paraId="687F0363" w14:textId="77777777">
            <w:pPr>
              <w:widowControl/>
              <w:autoSpaceDE/>
              <w:autoSpaceDN/>
              <w:adjustRightInd/>
              <w:contextualSpacing/>
              <w:jc w:val="center"/>
              <w:rPr>
                <w:rFonts w:ascii="Times New Roman" w:eastAsia="Yu Mincho" w:hAnsi="Times New Roman"/>
                <w:b/>
                <w:szCs w:val="32"/>
              </w:rPr>
            </w:pPr>
            <w:r w:rsidRPr="00E55BDE">
              <w:rPr>
                <w:rFonts w:ascii="Times New Roman" w:eastAsia="Yu Mincho" w:hAnsi="Times New Roman"/>
                <w:b/>
                <w:szCs w:val="32"/>
              </w:rPr>
              <w:t>Burden Hours</w:t>
            </w:r>
          </w:p>
        </w:tc>
        <w:tc>
          <w:tcPr>
            <w:tcW w:w="2297" w:type="dxa"/>
          </w:tcPr>
          <w:p w:rsidR="00E81E79" w:rsidRPr="00E55BDE" w:rsidP="00E55BDE" w14:paraId="6BB1ED04" w14:textId="77777777">
            <w:pPr>
              <w:widowControl/>
              <w:autoSpaceDE/>
              <w:autoSpaceDN/>
              <w:adjustRightInd/>
              <w:ind w:firstLine="720"/>
              <w:contextualSpacing/>
              <w:jc w:val="center"/>
              <w:rPr>
                <w:rFonts w:ascii="Times New Roman" w:eastAsia="Yu Mincho" w:hAnsi="Times New Roman"/>
                <w:b/>
                <w:szCs w:val="32"/>
              </w:rPr>
            </w:pPr>
            <w:r w:rsidRPr="00E55BDE">
              <w:rPr>
                <w:rFonts w:ascii="Times New Roman" w:eastAsia="Yu Mincho" w:hAnsi="Times New Roman"/>
                <w:b/>
                <w:szCs w:val="32"/>
              </w:rPr>
              <w:t>Equivalent Burden Cost</w:t>
            </w:r>
          </w:p>
        </w:tc>
      </w:tr>
      <w:tr w14:paraId="7A198D15" w14:textId="77777777" w:rsidTr="00BC2DDB">
        <w:tblPrEx>
          <w:tblW w:w="9180" w:type="dxa"/>
          <w:tblInd w:w="265" w:type="dxa"/>
          <w:tblLayout w:type="fixed"/>
          <w:tblLook w:val="04A0"/>
        </w:tblPrEx>
        <w:tc>
          <w:tcPr>
            <w:tcW w:w="1715" w:type="dxa"/>
            <w:shd w:val="clear" w:color="auto" w:fill="auto"/>
          </w:tcPr>
          <w:p w:rsidR="00E81E79" w:rsidRPr="00E55BDE" w:rsidP="00E55BDE" w14:paraId="2E28AEDB" w14:textId="77777777">
            <w:pPr>
              <w:widowControl/>
              <w:autoSpaceDE/>
              <w:autoSpaceDN/>
              <w:adjustRightInd/>
              <w:ind w:firstLine="720"/>
              <w:contextualSpacing/>
              <w:rPr>
                <w:rFonts w:ascii="Times New Roman" w:eastAsia="Yu Mincho" w:hAnsi="Times New Roman"/>
                <w:szCs w:val="32"/>
              </w:rPr>
            </w:pPr>
            <w:r w:rsidRPr="00E55BDE">
              <w:rPr>
                <w:rFonts w:ascii="Times New Roman" w:eastAsia="Yu Mincho" w:hAnsi="Times New Roman"/>
                <w:szCs w:val="32"/>
              </w:rPr>
              <w:t>Legal</w:t>
            </w:r>
          </w:p>
        </w:tc>
        <w:tc>
          <w:tcPr>
            <w:tcW w:w="1722" w:type="dxa"/>
            <w:shd w:val="clear" w:color="auto" w:fill="auto"/>
          </w:tcPr>
          <w:p w:rsidR="00E81E79" w:rsidRPr="00E55BDE" w:rsidP="00E55BDE" w14:paraId="69C8D508"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5,992</w:t>
            </w:r>
          </w:p>
        </w:tc>
        <w:tc>
          <w:tcPr>
            <w:tcW w:w="1963" w:type="dxa"/>
            <w:shd w:val="clear" w:color="auto" w:fill="auto"/>
          </w:tcPr>
          <w:p w:rsidR="00E81E79" w:rsidRPr="00E55BDE" w:rsidP="00E55BDE" w14:paraId="58A18D10"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w:t>
            </w:r>
            <w:r w:rsidRPr="00E55BDE">
              <w:rPr>
                <w:rFonts w:ascii="Times New Roman" w:eastAsia="Yu Mincho" w:hAnsi="Times New Roman"/>
                <w:szCs w:val="32"/>
                <w:lang w:val="en"/>
              </w:rPr>
              <w:t>954,765</w:t>
            </w:r>
          </w:p>
        </w:tc>
        <w:tc>
          <w:tcPr>
            <w:tcW w:w="1483" w:type="dxa"/>
          </w:tcPr>
          <w:p w:rsidR="00E81E79" w:rsidRPr="00E55BDE" w:rsidP="00E55BDE" w14:paraId="48AD9400"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5,992</w:t>
            </w:r>
          </w:p>
        </w:tc>
        <w:tc>
          <w:tcPr>
            <w:tcW w:w="2297" w:type="dxa"/>
          </w:tcPr>
          <w:p w:rsidR="00E81E79" w:rsidRPr="00E55BDE" w:rsidP="00E55BDE" w14:paraId="4613A123"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w:t>
            </w:r>
            <w:r w:rsidRPr="00E55BDE">
              <w:rPr>
                <w:rFonts w:ascii="Times New Roman" w:eastAsia="Yu Mincho" w:hAnsi="Times New Roman"/>
                <w:szCs w:val="32"/>
                <w:lang w:val="en"/>
              </w:rPr>
              <w:t>954,765</w:t>
            </w:r>
          </w:p>
        </w:tc>
      </w:tr>
      <w:tr w14:paraId="6F140907" w14:textId="77777777" w:rsidTr="00BC2DDB">
        <w:tblPrEx>
          <w:tblW w:w="9180" w:type="dxa"/>
          <w:tblInd w:w="265" w:type="dxa"/>
          <w:tblLayout w:type="fixed"/>
          <w:tblLook w:val="04A0"/>
        </w:tblPrEx>
        <w:tc>
          <w:tcPr>
            <w:tcW w:w="1715" w:type="dxa"/>
            <w:shd w:val="clear" w:color="auto" w:fill="auto"/>
          </w:tcPr>
          <w:p w:rsidR="00E81E79" w:rsidRPr="00E55BDE" w:rsidP="00E55BDE" w14:paraId="414668DF" w14:textId="77777777">
            <w:pPr>
              <w:widowControl/>
              <w:autoSpaceDE/>
              <w:autoSpaceDN/>
              <w:adjustRightInd/>
              <w:ind w:firstLine="720"/>
              <w:contextualSpacing/>
              <w:rPr>
                <w:rFonts w:ascii="Times New Roman" w:eastAsia="Yu Mincho" w:hAnsi="Times New Roman"/>
                <w:szCs w:val="32"/>
              </w:rPr>
            </w:pPr>
            <w:r w:rsidRPr="00E55BDE">
              <w:rPr>
                <w:rFonts w:ascii="Times New Roman" w:eastAsia="Yu Mincho" w:hAnsi="Times New Roman"/>
                <w:szCs w:val="32"/>
              </w:rPr>
              <w:t>Clerical</w:t>
            </w:r>
          </w:p>
        </w:tc>
        <w:tc>
          <w:tcPr>
            <w:tcW w:w="1722" w:type="dxa"/>
            <w:shd w:val="clear" w:color="auto" w:fill="auto"/>
          </w:tcPr>
          <w:p w:rsidR="00E81E79" w:rsidRPr="00E55BDE" w:rsidP="00E55BDE" w14:paraId="453211CC"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101</w:t>
            </w:r>
          </w:p>
        </w:tc>
        <w:tc>
          <w:tcPr>
            <w:tcW w:w="1963" w:type="dxa"/>
            <w:shd w:val="clear" w:color="auto" w:fill="auto"/>
          </w:tcPr>
          <w:p w:rsidR="00E81E79" w:rsidRPr="00E55BDE" w:rsidP="00E55BDE" w14:paraId="2CE19055"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$6,435</w:t>
            </w:r>
          </w:p>
        </w:tc>
        <w:tc>
          <w:tcPr>
            <w:tcW w:w="1483" w:type="dxa"/>
          </w:tcPr>
          <w:p w:rsidR="00E81E79" w:rsidRPr="00E55BDE" w:rsidP="00E55BDE" w14:paraId="646AE2D2"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101</w:t>
            </w:r>
          </w:p>
        </w:tc>
        <w:tc>
          <w:tcPr>
            <w:tcW w:w="2297" w:type="dxa"/>
          </w:tcPr>
          <w:p w:rsidR="00E81E79" w:rsidRPr="00E55BDE" w:rsidP="00E55BDE" w14:paraId="738C793D" w14:textId="77777777">
            <w:pPr>
              <w:widowControl/>
              <w:autoSpaceDE/>
              <w:autoSpaceDN/>
              <w:adjustRightInd/>
              <w:ind w:firstLine="720"/>
              <w:contextualSpacing/>
              <w:jc w:val="right"/>
              <w:rPr>
                <w:rFonts w:ascii="Times New Roman" w:eastAsia="Yu Mincho" w:hAnsi="Times New Roman"/>
                <w:szCs w:val="32"/>
              </w:rPr>
            </w:pPr>
            <w:r w:rsidRPr="00E55BDE">
              <w:rPr>
                <w:rFonts w:ascii="Times New Roman" w:eastAsia="Yu Mincho" w:hAnsi="Times New Roman"/>
                <w:szCs w:val="32"/>
              </w:rPr>
              <w:t>$6,435</w:t>
            </w:r>
          </w:p>
        </w:tc>
      </w:tr>
      <w:tr w14:paraId="255DDB23" w14:textId="77777777" w:rsidTr="00BC2DDB">
        <w:tblPrEx>
          <w:tblW w:w="9180" w:type="dxa"/>
          <w:tblInd w:w="265" w:type="dxa"/>
          <w:tblLayout w:type="fixed"/>
          <w:tblLook w:val="04A0"/>
        </w:tblPrEx>
        <w:tc>
          <w:tcPr>
            <w:tcW w:w="1715" w:type="dxa"/>
            <w:shd w:val="clear" w:color="auto" w:fill="auto"/>
          </w:tcPr>
          <w:p w:rsidR="00E81E79" w:rsidRPr="00E55BDE" w:rsidP="00E55BDE" w14:paraId="6EAB32B9" w14:textId="77777777">
            <w:pPr>
              <w:widowControl/>
              <w:autoSpaceDE/>
              <w:autoSpaceDN/>
              <w:adjustRightInd/>
              <w:ind w:firstLine="720"/>
              <w:contextualSpacing/>
              <w:rPr>
                <w:rFonts w:ascii="Times New Roman" w:eastAsia="Yu Mincho" w:hAnsi="Times New Roman"/>
                <w:b/>
                <w:szCs w:val="32"/>
              </w:rPr>
            </w:pPr>
            <w:r w:rsidRPr="00E55BDE">
              <w:rPr>
                <w:rFonts w:ascii="Times New Roman" w:eastAsia="Yu Mincho" w:hAnsi="Times New Roman"/>
                <w:b/>
                <w:szCs w:val="32"/>
              </w:rPr>
              <w:t>Total</w:t>
            </w:r>
          </w:p>
        </w:tc>
        <w:tc>
          <w:tcPr>
            <w:tcW w:w="1722" w:type="dxa"/>
            <w:shd w:val="clear" w:color="auto" w:fill="auto"/>
          </w:tcPr>
          <w:p w:rsidR="00E81E79" w:rsidRPr="00E55BDE" w:rsidP="00E55BDE" w14:paraId="38C5D3AD" w14:textId="77777777">
            <w:pPr>
              <w:widowControl/>
              <w:autoSpaceDE/>
              <w:autoSpaceDN/>
              <w:adjustRightInd/>
              <w:ind w:firstLine="720"/>
              <w:contextualSpacing/>
              <w:jc w:val="right"/>
              <w:rPr>
                <w:rFonts w:ascii="Times New Roman" w:eastAsia="Yu Mincho" w:hAnsi="Times New Roman"/>
                <w:b/>
                <w:szCs w:val="32"/>
              </w:rPr>
            </w:pPr>
            <w:r w:rsidRPr="00E55BDE">
              <w:rPr>
                <w:rFonts w:ascii="Times New Roman" w:eastAsia="Yu Mincho" w:hAnsi="Times New Roman"/>
                <w:b/>
                <w:szCs w:val="32"/>
              </w:rPr>
              <w:t>6,093</w:t>
            </w:r>
          </w:p>
        </w:tc>
        <w:tc>
          <w:tcPr>
            <w:tcW w:w="1963" w:type="dxa"/>
            <w:shd w:val="clear" w:color="auto" w:fill="auto"/>
          </w:tcPr>
          <w:p w:rsidR="00E81E79" w:rsidRPr="00E55BDE" w:rsidP="00E55BDE" w14:paraId="1856600D" w14:textId="77777777">
            <w:pPr>
              <w:widowControl/>
              <w:autoSpaceDE/>
              <w:autoSpaceDN/>
              <w:adjustRightInd/>
              <w:ind w:firstLine="720"/>
              <w:contextualSpacing/>
              <w:jc w:val="right"/>
              <w:rPr>
                <w:rFonts w:ascii="Times New Roman" w:eastAsia="Yu Mincho" w:hAnsi="Times New Roman"/>
                <w:b/>
                <w:szCs w:val="32"/>
              </w:rPr>
            </w:pPr>
            <w:r w:rsidRPr="00E55BDE">
              <w:rPr>
                <w:rFonts w:ascii="Times New Roman" w:eastAsia="Yu Mincho" w:hAnsi="Times New Roman"/>
                <w:b/>
                <w:szCs w:val="32"/>
              </w:rPr>
              <w:t>$</w:t>
            </w:r>
            <w:r w:rsidRPr="00E55BDE">
              <w:rPr>
                <w:rFonts w:ascii="Times New Roman" w:eastAsia="Yu Mincho" w:hAnsi="Times New Roman"/>
                <w:b/>
                <w:szCs w:val="32"/>
                <w:lang w:val="en"/>
              </w:rPr>
              <w:t>961,200</w:t>
            </w:r>
          </w:p>
        </w:tc>
        <w:tc>
          <w:tcPr>
            <w:tcW w:w="1483" w:type="dxa"/>
          </w:tcPr>
          <w:p w:rsidR="00E81E79" w:rsidRPr="00E55BDE" w:rsidP="00E55BDE" w14:paraId="44AFA226" w14:textId="77777777">
            <w:pPr>
              <w:widowControl/>
              <w:autoSpaceDE/>
              <w:autoSpaceDN/>
              <w:adjustRightInd/>
              <w:ind w:firstLine="720"/>
              <w:contextualSpacing/>
              <w:jc w:val="right"/>
              <w:rPr>
                <w:rFonts w:ascii="Times New Roman" w:eastAsia="Yu Mincho" w:hAnsi="Times New Roman"/>
                <w:b/>
                <w:szCs w:val="32"/>
              </w:rPr>
            </w:pPr>
            <w:r w:rsidRPr="00E55BDE">
              <w:rPr>
                <w:rFonts w:ascii="Times New Roman" w:eastAsia="Yu Mincho" w:hAnsi="Times New Roman"/>
                <w:b/>
                <w:szCs w:val="32"/>
              </w:rPr>
              <w:t>6,093</w:t>
            </w:r>
          </w:p>
        </w:tc>
        <w:tc>
          <w:tcPr>
            <w:tcW w:w="2297" w:type="dxa"/>
          </w:tcPr>
          <w:p w:rsidR="00E81E79" w:rsidRPr="00E55BDE" w:rsidP="00E55BDE" w14:paraId="20EC53F6" w14:textId="77777777">
            <w:pPr>
              <w:widowControl/>
              <w:autoSpaceDE/>
              <w:autoSpaceDN/>
              <w:adjustRightInd/>
              <w:ind w:firstLine="720"/>
              <w:contextualSpacing/>
              <w:jc w:val="right"/>
              <w:rPr>
                <w:rFonts w:ascii="Times New Roman" w:eastAsia="Yu Mincho" w:hAnsi="Times New Roman"/>
                <w:b/>
                <w:szCs w:val="32"/>
              </w:rPr>
            </w:pPr>
            <w:r w:rsidRPr="00E55BDE">
              <w:rPr>
                <w:rFonts w:ascii="Times New Roman" w:eastAsia="Yu Mincho" w:hAnsi="Times New Roman"/>
                <w:b/>
                <w:szCs w:val="32"/>
              </w:rPr>
              <w:t>$</w:t>
            </w:r>
            <w:r w:rsidRPr="00E55BDE">
              <w:rPr>
                <w:rFonts w:ascii="Times New Roman" w:eastAsia="Yu Mincho" w:hAnsi="Times New Roman"/>
                <w:b/>
                <w:szCs w:val="32"/>
                <w:lang w:val="en"/>
              </w:rPr>
              <w:t>961,200</w:t>
            </w:r>
          </w:p>
        </w:tc>
      </w:tr>
    </w:tbl>
    <w:p w:rsidR="00B57B40" w:rsidRPr="008D15AA" w:rsidP="00B57B40" w14:paraId="69797C32" w14:textId="16C3FED7">
      <w:pPr>
        <w:ind w:left="720"/>
        <w:contextualSpacing/>
        <w:rPr>
          <w:rFonts w:ascii="Times New Roman" w:hAnsi="Times New Roman"/>
        </w:rPr>
      </w:pPr>
    </w:p>
    <w:p w:rsidR="005F3B17" w:rsidRPr="005F3B17" w:rsidP="00B57B40" w14:paraId="7D24C220" w14:textId="77777777">
      <w:pPr>
        <w:pStyle w:val="Quick1"/>
        <w:numPr>
          <w:ilvl w:val="1"/>
          <w:numId w:val="29"/>
        </w:numPr>
        <w:rPr>
          <w:rFonts w:ascii="Times New Roman" w:hAnsi="Times New Roman"/>
        </w:rPr>
      </w:pPr>
      <w:r w:rsidRPr="0013547C">
        <w:rPr>
          <w:rFonts w:ascii="Times New Roman" w:hAnsi="Times New Roman"/>
          <w:i/>
        </w:rPr>
        <w:t>Hour Burden Associated with Satisfying Conditions for Transactio</w:t>
      </w:r>
      <w:r>
        <w:rPr>
          <w:rFonts w:ascii="Times New Roman" w:hAnsi="Times New Roman"/>
          <w:i/>
        </w:rPr>
        <w:t xml:space="preserve">ns Described in </w:t>
      </w:r>
    </w:p>
    <w:p w:rsidR="00B57B40" w:rsidRPr="0013547C" w:rsidP="005F3B17" w14:paraId="749E73E3" w14:textId="60F6F513">
      <w:pPr>
        <w:pStyle w:val="Quick1"/>
        <w:numPr>
          <w:ilvl w:val="0"/>
          <w:numId w:val="0"/>
        </w:numPr>
        <w:ind w:left="792" w:firstLine="648"/>
        <w:rPr>
          <w:rFonts w:ascii="Times New Roman" w:hAnsi="Times New Roman"/>
        </w:rPr>
      </w:pPr>
      <w:r>
        <w:rPr>
          <w:rFonts w:ascii="Times New Roman" w:hAnsi="Times New Roman"/>
          <w:i/>
        </w:rPr>
        <w:t>Section III(g</w:t>
      </w:r>
      <w:r w:rsidRPr="0013547C">
        <w:rPr>
          <w:rFonts w:ascii="Times New Roman" w:hAnsi="Times New Roman"/>
          <w:i/>
        </w:rPr>
        <w:t>)</w:t>
      </w:r>
    </w:p>
    <w:p w:rsidR="00681B99" w:rsidRPr="00530597" w:rsidP="006627A7" w14:paraId="5E2607A6" w14:textId="4FDEFC36">
      <w:pPr>
        <w:ind w:left="720"/>
        <w:contextualSpacing/>
        <w:rPr>
          <w:rFonts w:ascii="Times New Roman" w:hAnsi="Times New Roman"/>
        </w:rPr>
      </w:pPr>
    </w:p>
    <w:p w:rsidR="005F3B17" w:rsidRPr="005F3B17" w:rsidP="005F3B17" w14:paraId="50C093BD" w14:textId="03763CD8">
      <w:pPr>
        <w:ind w:left="720"/>
        <w:contextualSpacing/>
        <w:rPr>
          <w:rFonts w:ascii="Times New Roman" w:hAnsi="Times New Roman"/>
        </w:rPr>
      </w:pPr>
      <w:r w:rsidRPr="005F3B17">
        <w:rPr>
          <w:rFonts w:ascii="Times New Roman" w:hAnsi="Times New Roman"/>
        </w:rPr>
        <w:t xml:space="preserve">The amendment would provide investment advice fiduciaries with relief for </w:t>
      </w:r>
      <w:r w:rsidR="00ED1A11">
        <w:rPr>
          <w:rFonts w:ascii="Times New Roman" w:hAnsi="Times New Roman"/>
        </w:rPr>
        <w:t>Independent Producer</w:t>
      </w:r>
      <w:r w:rsidRPr="005F3B17">
        <w:rPr>
          <w:rFonts w:ascii="Times New Roman" w:hAnsi="Times New Roman"/>
        </w:rPr>
        <w:t xml:space="preserve">s for transactions in which the </w:t>
      </w:r>
      <w:r w:rsidR="00ED1A11">
        <w:rPr>
          <w:rFonts w:ascii="Times New Roman" w:hAnsi="Times New Roman"/>
        </w:rPr>
        <w:t>Independent Producer</w:t>
      </w:r>
      <w:r w:rsidRPr="005F3B17">
        <w:rPr>
          <w:rFonts w:ascii="Times New Roman" w:hAnsi="Times New Roman"/>
        </w:rPr>
        <w:t xml:space="preserve"> receives an insurance sales commission </w:t>
      </w:r>
      <w:r w:rsidRPr="005F3B17">
        <w:rPr>
          <w:rFonts w:ascii="Times New Roman" w:hAnsi="Times New Roman"/>
        </w:rPr>
        <w:t>as a result of</w:t>
      </w:r>
      <w:r w:rsidRPr="005F3B17">
        <w:rPr>
          <w:rFonts w:ascii="Times New Roman" w:hAnsi="Times New Roman"/>
        </w:rPr>
        <w:t xml:space="preserve"> the provision of investment advice, regarding the purchase of an annuity contract of a financial institution that is not an Affiliate.</w:t>
      </w:r>
      <w:r w:rsidRPr="005F3B17">
        <w:rPr>
          <w:rFonts w:ascii="Times New Roman" w:hAnsi="Times New Roman"/>
        </w:rPr>
        <w:t xml:space="preserve"> </w:t>
      </w:r>
      <w:r w:rsidRPr="005F3B17">
        <w:rPr>
          <w:rFonts w:ascii="Times New Roman" w:hAnsi="Times New Roman"/>
        </w:rPr>
        <w:t>The Department expects that the financial institutions covered by this proposal would be insurance companies that directly write annuities.</w:t>
      </w:r>
      <w:r w:rsidRPr="005F3B17">
        <w:rPr>
          <w:rFonts w:ascii="Times New Roman" w:hAnsi="Times New Roman"/>
        </w:rPr>
        <w:t xml:space="preserve"> </w:t>
      </w:r>
      <w:r w:rsidRPr="005F3B17">
        <w:rPr>
          <w:rFonts w:ascii="Times New Roman" w:hAnsi="Times New Roman"/>
        </w:rPr>
        <w:t>The proposed amendments outline conditions pertaining to disclosure, policies and procedures, and retrospective reviews that need to be satisfied to rely on the exemption.</w:t>
      </w:r>
      <w:r w:rsidRPr="005F3B17">
        <w:rPr>
          <w:rFonts w:ascii="Times New Roman" w:hAnsi="Times New Roman"/>
        </w:rPr>
        <w:t xml:space="preserve"> </w:t>
      </w:r>
      <w:r w:rsidRPr="005F3B17">
        <w:rPr>
          <w:rFonts w:ascii="Times New Roman" w:hAnsi="Times New Roman"/>
        </w:rPr>
        <w:t xml:space="preserve">These conditions are tailored to protect retirement investors from the specific conflicts that arise for </w:t>
      </w:r>
      <w:r w:rsidR="00ED1A11">
        <w:rPr>
          <w:rFonts w:ascii="Times New Roman" w:hAnsi="Times New Roman"/>
        </w:rPr>
        <w:t>Independent Producer</w:t>
      </w:r>
      <w:r w:rsidRPr="005F3B17">
        <w:rPr>
          <w:rFonts w:ascii="Times New Roman" w:hAnsi="Times New Roman"/>
        </w:rPr>
        <w:t>s when providing investment advice to retirement investors regarding the purchase of an annuity.</w:t>
      </w:r>
      <w:r w:rsidRPr="005F3B17">
        <w:rPr>
          <w:rFonts w:ascii="Times New Roman" w:hAnsi="Times New Roman"/>
        </w:rPr>
        <w:t xml:space="preserve"> </w:t>
      </w:r>
    </w:p>
    <w:p w:rsidR="005F3B17" w:rsidP="005F3B17" w14:paraId="06F0A75C" w14:textId="19504FF4">
      <w:pPr>
        <w:ind w:left="720"/>
        <w:contextualSpacing/>
        <w:rPr>
          <w:rFonts w:ascii="Times New Roman" w:hAnsi="Times New Roman"/>
        </w:rPr>
      </w:pPr>
      <w:r w:rsidRPr="005F3B17">
        <w:rPr>
          <w:rFonts w:ascii="Times New Roman" w:hAnsi="Times New Roman"/>
        </w:rPr>
        <w:t xml:space="preserve">The Independent Insurance Agents and Brokers of America estimated that there were 40,000 </w:t>
      </w:r>
      <w:r w:rsidR="00ED1A11">
        <w:rPr>
          <w:rFonts w:ascii="Times New Roman" w:hAnsi="Times New Roman"/>
        </w:rPr>
        <w:t>Independent Producer</w:t>
      </w:r>
      <w:r w:rsidRPr="005F3B17">
        <w:rPr>
          <w:rFonts w:ascii="Times New Roman" w:hAnsi="Times New Roman"/>
        </w:rPr>
        <w:t>s in 2022.</w:t>
      </w:r>
      <w:r>
        <w:rPr>
          <w:rFonts w:ascii="Times New Roman" w:hAnsi="Times New Roman"/>
          <w:vertAlign w:val="superscript"/>
        </w:rPr>
        <w:footnoteReference w:id="27"/>
      </w:r>
      <w:r w:rsidRPr="005F3B17">
        <w:rPr>
          <w:rFonts w:ascii="Times New Roman" w:hAnsi="Times New Roman"/>
        </w:rPr>
        <w:t xml:space="preserve"> The Department does not have data on what percent of </w:t>
      </w:r>
      <w:r w:rsidR="00ED1A11">
        <w:rPr>
          <w:rFonts w:ascii="Times New Roman" w:hAnsi="Times New Roman"/>
        </w:rPr>
        <w:t>Independent Producer</w:t>
      </w:r>
      <w:r w:rsidRPr="005F3B17">
        <w:rPr>
          <w:rFonts w:ascii="Times New Roman" w:hAnsi="Times New Roman"/>
        </w:rPr>
        <w:t>s service the retirement market.</w:t>
      </w:r>
      <w:r w:rsidRPr="005F3B17">
        <w:rPr>
          <w:rFonts w:ascii="Times New Roman" w:hAnsi="Times New Roman"/>
        </w:rPr>
        <w:t xml:space="preserve"> </w:t>
      </w:r>
      <w:r w:rsidRPr="005F3B17">
        <w:rPr>
          <w:rFonts w:ascii="Times New Roman" w:hAnsi="Times New Roman"/>
        </w:rPr>
        <w:t xml:space="preserve">For the purposes of this analysis, the Department assumes that 10 percent, or 4,000, of these </w:t>
      </w:r>
      <w:r w:rsidR="00ED1A11">
        <w:rPr>
          <w:rFonts w:ascii="Times New Roman" w:hAnsi="Times New Roman"/>
        </w:rPr>
        <w:t>Independent Producer</w:t>
      </w:r>
      <w:r w:rsidRPr="005F3B17">
        <w:rPr>
          <w:rFonts w:ascii="Times New Roman" w:hAnsi="Times New Roman"/>
        </w:rPr>
        <w:t>s service the retirement market.</w:t>
      </w:r>
      <w:r w:rsidRPr="005F3B17">
        <w:rPr>
          <w:rFonts w:ascii="Times New Roman" w:hAnsi="Times New Roman"/>
        </w:rPr>
        <w:t xml:space="preserve"> </w:t>
      </w:r>
    </w:p>
    <w:p w:rsidR="005F3B17" w:rsidRPr="005F3B17" w:rsidP="005F3B17" w14:paraId="6D136529" w14:textId="77777777">
      <w:pPr>
        <w:ind w:left="720"/>
        <w:contextualSpacing/>
        <w:rPr>
          <w:rFonts w:ascii="Times New Roman" w:hAnsi="Times New Roman"/>
        </w:rPr>
      </w:pPr>
    </w:p>
    <w:p w:rsidR="005F3B17" w:rsidRPr="005F3B17" w:rsidP="005F3B17" w14:paraId="595124E6" w14:textId="77777777">
      <w:pPr>
        <w:ind w:left="720"/>
        <w:contextualSpacing/>
        <w:rPr>
          <w:rFonts w:ascii="Times New Roman" w:hAnsi="Times New Roman"/>
        </w:rPr>
      </w:pPr>
      <w:r w:rsidRPr="005F3B17">
        <w:rPr>
          <w:rFonts w:ascii="Times New Roman" w:hAnsi="Times New Roman"/>
        </w:rPr>
        <w:t>Insurance companies are primarily regulated by states and no single regulator records a nationwide count of insurance companies. Although state regulators track insurance companies, the total number of insurance companies cannot be calculated by aggregating individual state totals, because individual insurance companies often operate in multiple states. In the Department’s 2016 Regulatory Impact Analysis, it estimated that 398 insurance companies wrote annuities.</w:t>
      </w:r>
      <w:r>
        <w:rPr>
          <w:rFonts w:ascii="Times New Roman" w:hAnsi="Times New Roman"/>
          <w:vertAlign w:val="superscript"/>
        </w:rPr>
        <w:footnoteReference w:id="28"/>
      </w:r>
      <w:r w:rsidRPr="005F3B17">
        <w:rPr>
          <w:rFonts w:ascii="Times New Roman" w:hAnsi="Times New Roman"/>
          <w:vertAlign w:val="superscript"/>
        </w:rPr>
        <w:t xml:space="preserve"> </w:t>
      </w:r>
      <w:r w:rsidRPr="005F3B17">
        <w:rPr>
          <w:rFonts w:ascii="Times New Roman" w:hAnsi="Times New Roman"/>
        </w:rPr>
        <w:t>The Department requests information on how the number of insurance companies underwriting annuities has changed since then.</w:t>
      </w:r>
    </w:p>
    <w:p w:rsidR="005F3B17" w:rsidP="005F3B17" w14:paraId="19017967" w14:textId="1458064E">
      <w:pPr>
        <w:ind w:left="720"/>
        <w:contextualSpacing/>
        <w:rPr>
          <w:rFonts w:ascii="Times New Roman" w:hAnsi="Times New Roman"/>
        </w:rPr>
      </w:pPr>
      <w:r w:rsidRPr="005F3B17">
        <w:rPr>
          <w:rFonts w:ascii="Times New Roman" w:hAnsi="Times New Roman"/>
        </w:rPr>
        <w:t>Some of these insurance companies may not sell any annuity contracts in the IRA or pla</w:t>
      </w:r>
      <w:r w:rsidR="002128DC">
        <w:rPr>
          <w:rFonts w:ascii="Times New Roman" w:hAnsi="Times New Roman"/>
        </w:rPr>
        <w:t>n</w:t>
      </w:r>
      <w:r w:rsidRPr="005F3B17">
        <w:rPr>
          <w:rFonts w:ascii="Times New Roman" w:hAnsi="Times New Roman"/>
        </w:rPr>
        <w:t xml:space="preserve">s. Because of these data limitations, the Department includes all 398 insurance companies in its cost estimate, though this likely represents an upper bound. </w:t>
      </w:r>
    </w:p>
    <w:p w:rsidR="005F3B17" w:rsidRPr="005F3B17" w:rsidP="005F3B17" w14:paraId="23EAD33B" w14:textId="77777777">
      <w:pPr>
        <w:ind w:left="720"/>
        <w:contextualSpacing/>
        <w:rPr>
          <w:rFonts w:ascii="Times New Roman" w:hAnsi="Times New Roman"/>
        </w:rPr>
      </w:pPr>
    </w:p>
    <w:p w:rsidR="005F3B17" w:rsidP="005F3B17" w14:paraId="689B22D5" w14:textId="77777777">
      <w:pPr>
        <w:ind w:left="720"/>
        <w:contextualSpacing/>
        <w:rPr>
          <w:rFonts w:ascii="Times New Roman" w:hAnsi="Times New Roman"/>
        </w:rPr>
      </w:pPr>
      <w:r w:rsidRPr="005F3B17">
        <w:rPr>
          <w:rFonts w:ascii="Times New Roman" w:hAnsi="Times New Roman"/>
        </w:rPr>
        <w:t>Insurance companies sell insurance products through (1) captive insurance agents that work for an insurance company as employees or as independent contractors who exclusively sell the insurance company’s products and (2) independent agents who sell multiple insurance companies’ products. In recent years, the market has seen a shift away from captive distribution more towards independent distribution.</w:t>
      </w:r>
      <w:r>
        <w:rPr>
          <w:rFonts w:ascii="Times New Roman" w:hAnsi="Times New Roman"/>
          <w:vertAlign w:val="superscript"/>
        </w:rPr>
        <w:footnoteReference w:id="29"/>
      </w:r>
    </w:p>
    <w:p w:rsidR="00675971" w:rsidRPr="005F3B17" w:rsidP="005F3B17" w14:paraId="102E2DC2" w14:textId="77777777">
      <w:pPr>
        <w:ind w:left="720"/>
        <w:contextualSpacing/>
        <w:rPr>
          <w:rFonts w:ascii="Times New Roman" w:hAnsi="Times New Roman"/>
        </w:rPr>
      </w:pPr>
    </w:p>
    <w:p w:rsidR="005F3B17" w:rsidP="005F3B17" w14:paraId="22942AFC" w14:textId="1360E50D">
      <w:pPr>
        <w:ind w:left="720"/>
        <w:contextualSpacing/>
        <w:rPr>
          <w:rFonts w:ascii="Times New Roman" w:hAnsi="Times New Roman"/>
        </w:rPr>
      </w:pPr>
      <w:r w:rsidRPr="005F3B17">
        <w:rPr>
          <w:rFonts w:ascii="Times New Roman" w:hAnsi="Times New Roman"/>
        </w:rPr>
        <w:t xml:space="preserve">The Department does not have data on the number of insurance companies using captive agents or </w:t>
      </w:r>
      <w:r w:rsidR="00ED1A11">
        <w:rPr>
          <w:rFonts w:ascii="Times New Roman" w:hAnsi="Times New Roman"/>
        </w:rPr>
        <w:t>Independent Producer</w:t>
      </w:r>
      <w:r w:rsidRPr="005F3B17">
        <w:rPr>
          <w:rFonts w:ascii="Times New Roman" w:hAnsi="Times New Roman"/>
        </w:rPr>
        <w:t>s. Based on data on the sales of individual annuities by distribution channel, the Department estimates that approximately 46 percent of insurance companies underwriting annuities sell annuities through captive distribution channels, while 54 percent sell annuities through independent distribution channels.</w:t>
      </w:r>
      <w:r>
        <w:rPr>
          <w:rFonts w:ascii="Times New Roman" w:hAnsi="Times New Roman"/>
          <w:vertAlign w:val="superscript"/>
        </w:rPr>
        <w:footnoteReference w:id="30"/>
      </w:r>
      <w:r w:rsidRPr="005F3B17">
        <w:rPr>
          <w:rFonts w:ascii="Times New Roman" w:hAnsi="Times New Roman"/>
          <w:vertAlign w:val="superscript"/>
        </w:rPr>
        <w:t xml:space="preserve"> </w:t>
      </w:r>
      <w:r w:rsidRPr="005F3B17">
        <w:rPr>
          <w:rFonts w:ascii="Times New Roman" w:hAnsi="Times New Roman"/>
        </w:rPr>
        <w:t xml:space="preserve">For the purposes of this analysis, the Department estimates that 215 insurance companies </w:t>
      </w:r>
      <w:r w:rsidRPr="005F3B17">
        <w:rPr>
          <w:rFonts w:ascii="Times New Roman" w:hAnsi="Times New Roman"/>
        </w:rPr>
        <w:t>distribute annuities through independent channels and would rely on PTE 84-24 for transactions involving investment advice.</w:t>
      </w:r>
      <w:r>
        <w:rPr>
          <w:rFonts w:ascii="Times New Roman" w:hAnsi="Times New Roman"/>
          <w:vertAlign w:val="superscript"/>
        </w:rPr>
        <w:footnoteReference w:id="31"/>
      </w:r>
    </w:p>
    <w:p w:rsidR="005F3B17" w:rsidRPr="005F3B17" w:rsidP="005F3B17" w14:paraId="00B39285" w14:textId="77777777">
      <w:pPr>
        <w:ind w:left="720"/>
        <w:contextualSpacing/>
        <w:rPr>
          <w:rFonts w:ascii="Times New Roman" w:hAnsi="Times New Roman"/>
        </w:rPr>
      </w:pPr>
    </w:p>
    <w:p w:rsidR="005F3B17" w:rsidRPr="005F3B17" w:rsidP="005F3B17" w14:paraId="2941C4B7" w14:textId="605A7684">
      <w:pPr>
        <w:ind w:left="720"/>
        <w:contextualSpacing/>
        <w:rPr>
          <w:rFonts w:ascii="Times New Roman" w:hAnsi="Times New Roman"/>
          <w:i/>
        </w:rPr>
      </w:pPr>
      <w:r w:rsidRPr="005F3B17">
        <w:rPr>
          <w:rFonts w:ascii="Times New Roman" w:hAnsi="Times New Roman"/>
        </w:rPr>
        <w:t>The Department estimates that 70 of the 398 insurance companies are large entities.</w:t>
      </w:r>
      <w:r>
        <w:rPr>
          <w:rFonts w:ascii="Times New Roman" w:hAnsi="Times New Roman"/>
          <w:vertAlign w:val="superscript"/>
        </w:rPr>
        <w:footnoteReference w:id="32"/>
      </w:r>
      <w:r w:rsidRPr="005F3B17">
        <w:rPr>
          <w:rFonts w:ascii="Times New Roman" w:hAnsi="Times New Roman"/>
          <w:vertAlign w:val="superscript"/>
        </w:rPr>
        <w:t xml:space="preserve"> </w:t>
      </w:r>
      <w:r w:rsidRPr="005F3B17">
        <w:rPr>
          <w:rFonts w:ascii="Times New Roman" w:hAnsi="Times New Roman"/>
        </w:rPr>
        <w:t xml:space="preserve">For the purposes of this analysis, the Department assumes the percent of small insurance companies using each distribution channel is the same as for all insurance companies. That is, the Department assumes that 46 percent of insurance companies (183 insurance companies) sell annuities through captive distribution channels, of which 151 are estimated to be small insurance companies and the remaining 32 large insurance </w:t>
      </w:r>
      <w:r w:rsidRPr="005F3B17">
        <w:rPr>
          <w:rFonts w:ascii="Times New Roman" w:hAnsi="Times New Roman"/>
        </w:rPr>
        <w:t>companies</w:t>
      </w:r>
      <w:r w:rsidRPr="005F3B17">
        <w:rPr>
          <w:rFonts w:ascii="Times New Roman" w:hAnsi="Times New Roman"/>
        </w:rPr>
        <w:t>.</w:t>
      </w:r>
      <w:r>
        <w:rPr>
          <w:rFonts w:ascii="Times New Roman" w:hAnsi="Times New Roman"/>
          <w:vertAlign w:val="superscript"/>
        </w:rPr>
        <w:footnoteReference w:id="33"/>
      </w:r>
      <w:r w:rsidRPr="005F3B17">
        <w:rPr>
          <w:rFonts w:ascii="Times New Roman" w:hAnsi="Times New Roman"/>
          <w:vertAlign w:val="superscript"/>
        </w:rPr>
        <w:t xml:space="preserve"> </w:t>
      </w:r>
      <w:r w:rsidRPr="005F3B17">
        <w:rPr>
          <w:rFonts w:ascii="Times New Roman" w:hAnsi="Times New Roman"/>
        </w:rPr>
        <w:t>Additionally, 54 percent (215 insurance companies) sell annuities through independent distribution channels, of which 177 are estimated to be small insurance companies and the remaining 38 are large.</w:t>
      </w:r>
      <w:r>
        <w:rPr>
          <w:rFonts w:ascii="Times New Roman" w:hAnsi="Times New Roman"/>
          <w:vertAlign w:val="superscript"/>
        </w:rPr>
        <w:footnoteReference w:id="34"/>
      </w:r>
      <w:r w:rsidRPr="005F3B17">
        <w:rPr>
          <w:rFonts w:ascii="Times New Roman" w:hAnsi="Times New Roman"/>
          <w:vertAlign w:val="superscript"/>
        </w:rPr>
        <w:t xml:space="preserve"> </w:t>
      </w:r>
      <w:r w:rsidRPr="005F3B17">
        <w:rPr>
          <w:rFonts w:ascii="Times New Roman" w:hAnsi="Times New Roman"/>
        </w:rPr>
        <w:t xml:space="preserve">The Department recognizes that the distribution of sales by distribution channel is likely different from the distribution of insurance companies by distribution channel. </w:t>
      </w:r>
    </w:p>
    <w:p w:rsidR="00B57B40" w:rsidRPr="008D15AA" w:rsidP="00B57B40" w14:paraId="4C9DB3EA" w14:textId="77777777">
      <w:pPr>
        <w:ind w:left="720"/>
        <w:contextualSpacing/>
        <w:rPr>
          <w:rFonts w:ascii="Times New Roman" w:hAnsi="Times New Roman"/>
        </w:rPr>
      </w:pPr>
    </w:p>
    <w:p w:rsidR="00B57B40" w:rsidRPr="00945117" w:rsidP="00675971" w14:paraId="590BFE0F" w14:textId="6E012D96">
      <w:pPr>
        <w:pStyle w:val="Quick1"/>
        <w:numPr>
          <w:ilvl w:val="0"/>
          <w:numId w:val="0"/>
        </w:numPr>
        <w:ind w:left="1224"/>
        <w:rPr>
          <w:rFonts w:ascii="Times New Roman" w:hAnsi="Times New Roman"/>
        </w:rPr>
      </w:pPr>
      <w:r>
        <w:rPr>
          <w:rFonts w:ascii="Times New Roman" w:hAnsi="Times New Roman"/>
          <w:i/>
        </w:rPr>
        <w:t xml:space="preserve">12.2.1. </w:t>
      </w:r>
      <w:r>
        <w:rPr>
          <w:rFonts w:ascii="Times New Roman" w:hAnsi="Times New Roman"/>
          <w:i/>
        </w:rPr>
        <w:t>Disclosures</w:t>
      </w:r>
    </w:p>
    <w:p w:rsidR="00B57B40" w:rsidP="00945117" w14:paraId="564A6577" w14:textId="77777777">
      <w:pPr>
        <w:pStyle w:val="Quick1"/>
        <w:numPr>
          <w:ilvl w:val="0"/>
          <w:numId w:val="0"/>
        </w:numPr>
        <w:ind w:left="1224"/>
        <w:rPr>
          <w:rFonts w:ascii="Times New Roman" w:hAnsi="Times New Roman"/>
        </w:rPr>
      </w:pPr>
    </w:p>
    <w:p w:rsidR="000750B5" w:rsidRPr="000750B5" w:rsidP="000750B5" w14:paraId="319C2E0D" w14:textId="20D3AF04">
      <w:pPr>
        <w:ind w:left="720"/>
        <w:contextualSpacing/>
        <w:rPr>
          <w:rFonts w:ascii="Times New Roman" w:hAnsi="Times New Roman"/>
        </w:rPr>
      </w:pPr>
      <w:r w:rsidRPr="000750B5">
        <w:rPr>
          <w:rFonts w:ascii="Times New Roman" w:hAnsi="Times New Roman"/>
        </w:rPr>
        <w:t xml:space="preserve">As discussed above, the Department assumes that 4,000 </w:t>
      </w:r>
      <w:r w:rsidR="00ED1A11">
        <w:rPr>
          <w:rFonts w:ascii="Times New Roman" w:hAnsi="Times New Roman"/>
        </w:rPr>
        <w:t>Independent Producer</w:t>
      </w:r>
      <w:r w:rsidRPr="000750B5">
        <w:rPr>
          <w:rFonts w:ascii="Times New Roman" w:hAnsi="Times New Roman"/>
        </w:rPr>
        <w:t>s service the retirement market, selling the products of 215 insurance companies.</w:t>
      </w:r>
      <w:r w:rsidRPr="000750B5">
        <w:rPr>
          <w:rFonts w:ascii="Times New Roman" w:hAnsi="Times New Roman"/>
        </w:rPr>
        <w:t xml:space="preserve"> </w:t>
      </w:r>
      <w:r w:rsidRPr="000750B5">
        <w:rPr>
          <w:rFonts w:ascii="Times New Roman" w:hAnsi="Times New Roman"/>
        </w:rPr>
        <w:t xml:space="preserve">For more generalized disclosures, the Department assumes that insurance companies would prepare and provide disclosures to </w:t>
      </w:r>
      <w:r w:rsidR="00ED1A11">
        <w:rPr>
          <w:rFonts w:ascii="Times New Roman" w:hAnsi="Times New Roman"/>
        </w:rPr>
        <w:t>Independent Producer</w:t>
      </w:r>
      <w:r w:rsidRPr="000750B5">
        <w:rPr>
          <w:rFonts w:ascii="Times New Roman" w:hAnsi="Times New Roman"/>
        </w:rPr>
        <w:t>s selling their products.</w:t>
      </w:r>
      <w:r w:rsidRPr="000750B5">
        <w:rPr>
          <w:rFonts w:ascii="Times New Roman" w:hAnsi="Times New Roman"/>
        </w:rPr>
        <w:t xml:space="preserve"> </w:t>
      </w:r>
      <w:r w:rsidRPr="000750B5">
        <w:rPr>
          <w:rFonts w:ascii="Times New Roman" w:hAnsi="Times New Roman"/>
        </w:rPr>
        <w:t xml:space="preserve">However, some of the disclosures are tailored specifically to the </w:t>
      </w:r>
      <w:r w:rsidR="00ED1A11">
        <w:rPr>
          <w:rFonts w:ascii="Times New Roman" w:hAnsi="Times New Roman"/>
        </w:rPr>
        <w:t>Independent Producer</w:t>
      </w:r>
      <w:r w:rsidRPr="000750B5">
        <w:rPr>
          <w:rFonts w:ascii="Times New Roman" w:hAnsi="Times New Roman"/>
        </w:rPr>
        <w:t>.</w:t>
      </w:r>
      <w:r w:rsidRPr="000750B5">
        <w:rPr>
          <w:rFonts w:ascii="Times New Roman" w:hAnsi="Times New Roman"/>
        </w:rPr>
        <w:t xml:space="preserve"> </w:t>
      </w:r>
      <w:r w:rsidRPr="000750B5">
        <w:rPr>
          <w:rFonts w:ascii="Times New Roman" w:hAnsi="Times New Roman"/>
        </w:rPr>
        <w:t xml:space="preserve">The Department assumes that these disclosures would need to be prepared by the </w:t>
      </w:r>
      <w:r w:rsidR="00ED1A11">
        <w:rPr>
          <w:rFonts w:ascii="Times New Roman" w:hAnsi="Times New Roman"/>
        </w:rPr>
        <w:t>Independent Producer</w:t>
      </w:r>
      <w:r w:rsidRPr="000750B5">
        <w:rPr>
          <w:rFonts w:ascii="Times New Roman" w:hAnsi="Times New Roman"/>
        </w:rPr>
        <w:t xml:space="preserve"> themselves.</w:t>
      </w:r>
      <w:r w:rsidRPr="000750B5">
        <w:rPr>
          <w:rFonts w:ascii="Times New Roman" w:hAnsi="Times New Roman"/>
        </w:rPr>
        <w:t xml:space="preserve"> </w:t>
      </w:r>
      <w:r w:rsidRPr="000750B5">
        <w:rPr>
          <w:rFonts w:ascii="Times New Roman" w:hAnsi="Times New Roman"/>
        </w:rPr>
        <w:t>The Department recognizes that some may rely on intermediaries in the distribution channel to prepare more specific disclosures; however, the Department expects that the costs associated with the preparation would be covered by commissions retained by the intermediary for its services.</w:t>
      </w:r>
      <w:r w:rsidRPr="000750B5">
        <w:rPr>
          <w:rFonts w:ascii="Times New Roman" w:hAnsi="Times New Roman"/>
        </w:rPr>
        <w:t xml:space="preserve"> </w:t>
      </w:r>
    </w:p>
    <w:p w:rsidR="000750B5" w:rsidRPr="00945117" w:rsidP="000750B5" w14:paraId="4C8D6DAC" w14:textId="77777777">
      <w:pPr>
        <w:pStyle w:val="Quick1"/>
        <w:numPr>
          <w:ilvl w:val="0"/>
          <w:numId w:val="0"/>
        </w:numPr>
        <w:rPr>
          <w:rFonts w:ascii="Times New Roman" w:hAnsi="Times New Roman"/>
        </w:rPr>
      </w:pPr>
    </w:p>
    <w:p w:rsidR="005F3B17" w:rsidRPr="005F3B17" w:rsidP="00945117" w14:paraId="649A84CB" w14:textId="18B2FB8B">
      <w:pPr>
        <w:pStyle w:val="Quick1"/>
        <w:numPr>
          <w:ilvl w:val="3"/>
          <w:numId w:val="29"/>
        </w:numPr>
        <w:rPr>
          <w:rFonts w:ascii="Times New Roman" w:hAnsi="Times New Roman"/>
        </w:rPr>
      </w:pPr>
      <w:r w:rsidRPr="0013547C">
        <w:rPr>
          <w:rFonts w:ascii="Times New Roman" w:hAnsi="Times New Roman"/>
          <w:i/>
        </w:rPr>
        <w:t>Writt</w:t>
      </w:r>
      <w:r w:rsidR="00675971">
        <w:rPr>
          <w:rFonts w:ascii="Times New Roman" w:hAnsi="Times New Roman"/>
          <w:i/>
        </w:rPr>
        <w:t>e</w:t>
      </w:r>
      <w:r w:rsidRPr="0013547C">
        <w:rPr>
          <w:rFonts w:ascii="Times New Roman" w:hAnsi="Times New Roman"/>
          <w:i/>
        </w:rPr>
        <w:t xml:space="preserve">n Acknowledgement that the Independent Producer is a Fiduciary </w:t>
      </w:r>
    </w:p>
    <w:p w:rsidR="00B57B40" w:rsidP="005F3B17" w14:paraId="0EF94E8C" w14:textId="6CFA97B2">
      <w:pPr>
        <w:pStyle w:val="Quick1"/>
        <w:numPr>
          <w:ilvl w:val="0"/>
          <w:numId w:val="0"/>
        </w:numPr>
        <w:ind w:left="1728" w:firstLine="432"/>
        <w:rPr>
          <w:rFonts w:ascii="Times New Roman" w:hAnsi="Times New Roman"/>
          <w:i/>
        </w:rPr>
      </w:pPr>
      <w:r w:rsidRPr="0013547C">
        <w:rPr>
          <w:rFonts w:ascii="Times New Roman" w:hAnsi="Times New Roman"/>
          <w:i/>
        </w:rPr>
        <w:t>by the Independent Producer</w:t>
      </w:r>
    </w:p>
    <w:p w:rsidR="000750B5" w:rsidP="00F01849" w14:paraId="3BCD9018" w14:textId="77777777">
      <w:pPr>
        <w:pStyle w:val="Quick1"/>
        <w:numPr>
          <w:ilvl w:val="0"/>
          <w:numId w:val="0"/>
        </w:numPr>
        <w:rPr>
          <w:rFonts w:ascii="Times New Roman" w:hAnsi="Times New Roman"/>
        </w:rPr>
      </w:pPr>
    </w:p>
    <w:p w:rsidR="00F91230" w:rsidRPr="00F91230" w:rsidP="00F91230" w14:paraId="02904BD8" w14:textId="7E14E962">
      <w:pPr>
        <w:pStyle w:val="Quick1"/>
        <w:numPr>
          <w:ilvl w:val="0"/>
          <w:numId w:val="0"/>
        </w:numPr>
        <w:ind w:left="720"/>
        <w:rPr>
          <w:rFonts w:ascii="Times New Roman" w:hAnsi="Times New Roman"/>
        </w:rPr>
      </w:pPr>
      <w:r w:rsidRPr="00F91230">
        <w:rPr>
          <w:rFonts w:ascii="Times New Roman" w:hAnsi="Times New Roman"/>
        </w:rPr>
        <w:t>The Department is including a model statement in the preamble to PTE 84-24 that details what should be included in a fiduciary acknowledgment for financial institutions.</w:t>
      </w:r>
      <w:r>
        <w:rPr>
          <w:rFonts w:ascii="Times New Roman" w:hAnsi="Times New Roman"/>
          <w:vertAlign w:val="superscript"/>
        </w:rPr>
        <w:footnoteReference w:id="35"/>
      </w:r>
      <w:r w:rsidRPr="00F91230">
        <w:rPr>
          <w:rFonts w:ascii="Times New Roman" w:hAnsi="Times New Roman"/>
          <w:vertAlign w:val="superscript"/>
        </w:rPr>
        <w:t xml:space="preserve"> </w:t>
      </w:r>
      <w:r w:rsidRPr="00F91230">
        <w:rPr>
          <w:rFonts w:ascii="Times New Roman" w:hAnsi="Times New Roman"/>
        </w:rPr>
        <w:t>The Department assumes that the time associated with preparing the disclosures would be minimal. Further, these disclosures are expected to be uniform in nature. Accordingly, the Department estimates that these disclosures would not take a significant amount of time to prepare.</w:t>
      </w:r>
    </w:p>
    <w:p w:rsidR="00F01849" w:rsidP="00F01849" w14:paraId="364255DA" w14:textId="77777777">
      <w:pPr>
        <w:pStyle w:val="Quick1"/>
        <w:numPr>
          <w:ilvl w:val="0"/>
          <w:numId w:val="0"/>
        </w:numPr>
        <w:ind w:left="720"/>
        <w:rPr>
          <w:rFonts w:ascii="Times New Roman" w:hAnsi="Times New Roman"/>
        </w:rPr>
      </w:pPr>
    </w:p>
    <w:p w:rsidR="002D3F9D" w:rsidP="00675971" w14:paraId="06C64FCE" w14:textId="5889219C">
      <w:pPr>
        <w:pStyle w:val="Quick1"/>
        <w:numPr>
          <w:ilvl w:val="0"/>
          <w:numId w:val="0"/>
        </w:numPr>
        <w:ind w:left="720"/>
        <w:rPr>
          <w:rFonts w:ascii="Times New Roman" w:hAnsi="Times New Roman"/>
        </w:rPr>
      </w:pPr>
      <w:r w:rsidRPr="000750B5">
        <w:rPr>
          <w:rFonts w:ascii="Times New Roman" w:hAnsi="Times New Roman"/>
        </w:rPr>
        <w:t xml:space="preserve">Due to the nature of </w:t>
      </w:r>
      <w:r w:rsidR="00ED1A11">
        <w:rPr>
          <w:rFonts w:ascii="Times New Roman" w:hAnsi="Times New Roman"/>
        </w:rPr>
        <w:t>Independent Producer</w:t>
      </w:r>
      <w:r w:rsidRPr="000750B5">
        <w:rPr>
          <w:rFonts w:ascii="Times New Roman" w:hAnsi="Times New Roman"/>
        </w:rPr>
        <w:t xml:space="preserve">s, the Department assumes that most financial institutions would make draft disclosures available to </w:t>
      </w:r>
      <w:r w:rsidR="00ED1A11">
        <w:rPr>
          <w:rFonts w:ascii="Times New Roman" w:hAnsi="Times New Roman"/>
        </w:rPr>
        <w:t>Independent Producer</w:t>
      </w:r>
      <w:r w:rsidRPr="000750B5">
        <w:rPr>
          <w:rFonts w:ascii="Times New Roman" w:hAnsi="Times New Roman"/>
        </w:rPr>
        <w:t xml:space="preserve">s pertaining to their fiduciary status. However, the Department expects that a small percentage of </w:t>
      </w:r>
      <w:r w:rsidR="00ED1A11">
        <w:rPr>
          <w:rFonts w:ascii="Times New Roman" w:hAnsi="Times New Roman"/>
        </w:rPr>
        <w:t>Independent Producer</w:t>
      </w:r>
      <w:r w:rsidRPr="000750B5">
        <w:rPr>
          <w:rFonts w:ascii="Times New Roman" w:hAnsi="Times New Roman"/>
        </w:rPr>
        <w:t xml:space="preserve">s may draft their own disclosures. The Department assumes that an in-house attorney for all 215 financial institutions as well as 5 percent of </w:t>
      </w:r>
      <w:r w:rsidR="00ED1A11">
        <w:rPr>
          <w:rFonts w:ascii="Times New Roman" w:hAnsi="Times New Roman"/>
        </w:rPr>
        <w:t>Independent Producer</w:t>
      </w:r>
      <w:r w:rsidRPr="000750B5">
        <w:rPr>
          <w:rFonts w:ascii="Times New Roman" w:hAnsi="Times New Roman"/>
        </w:rPr>
        <w:t xml:space="preserve">s, or 200 </w:t>
      </w:r>
      <w:r w:rsidR="00ED1A11">
        <w:rPr>
          <w:rFonts w:ascii="Times New Roman" w:hAnsi="Times New Roman"/>
        </w:rPr>
        <w:t>Independent Producer</w:t>
      </w:r>
      <w:r w:rsidRPr="000750B5">
        <w:rPr>
          <w:rFonts w:ascii="Times New Roman" w:hAnsi="Times New Roman"/>
        </w:rPr>
        <w:t>s, would spend 10 minutes of legal staff time to produce a written acknowledgement in the first year. This results in an estimated hour burden of approximately 69 with an equivalent cost of $11,021 in the first year.</w:t>
      </w:r>
      <w:r>
        <w:rPr>
          <w:rFonts w:ascii="Times New Roman" w:hAnsi="Times New Roman"/>
          <w:vertAlign w:val="superscript"/>
        </w:rPr>
        <w:footnoteReference w:id="36"/>
      </w:r>
    </w:p>
    <w:p w:rsidR="00974708" w:rsidP="00675971" w14:paraId="00F24B8E" w14:textId="77777777">
      <w:pPr>
        <w:pStyle w:val="Quick1"/>
        <w:numPr>
          <w:ilvl w:val="0"/>
          <w:numId w:val="0"/>
        </w:numPr>
        <w:ind w:left="720"/>
        <w:rPr>
          <w:rFonts w:ascii="Times New Roman" w:hAnsi="Times New Roma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1722"/>
        <w:gridCol w:w="1723"/>
        <w:gridCol w:w="1723"/>
        <w:gridCol w:w="1723"/>
      </w:tblGrid>
      <w:tr w14:paraId="6A244D78" w14:textId="77777777">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16" w:type="dxa"/>
            <w:gridSpan w:val="5"/>
            <w:shd w:val="clear" w:color="auto" w:fill="auto"/>
          </w:tcPr>
          <w:p w:rsidR="00823B62" w:rsidRPr="00823B62" w:rsidP="00540E14" w14:paraId="666274B6" w14:textId="63592682">
            <w:pPr>
              <w:widowControl/>
              <w:autoSpaceDE/>
              <w:autoSpaceDN/>
              <w:adjustRightInd/>
              <w:contextualSpacing/>
              <w:jc w:val="center"/>
              <w:rPr>
                <w:rFonts w:ascii="Times New Roman" w:hAnsi="Times New Roman"/>
                <w:b/>
              </w:rPr>
            </w:pPr>
            <w:r w:rsidRPr="00823B62">
              <w:rPr>
                <w:rFonts w:ascii="Times New Roman" w:hAnsi="Times New Roman"/>
                <w:b/>
              </w:rPr>
              <w:t xml:space="preserve">Table </w:t>
            </w:r>
            <w:r>
              <w:rPr>
                <w:rFonts w:ascii="Times New Roman" w:eastAsia="Yu Mincho" w:hAnsi="Times New Roman"/>
                <w:b/>
              </w:rPr>
              <w:t>3</w:t>
            </w:r>
            <w:r w:rsidRPr="00823B62">
              <w:rPr>
                <w:rFonts w:ascii="Times New Roman" w:hAnsi="Times New Roman"/>
                <w:b/>
              </w:rPr>
              <w:t>:</w:t>
            </w:r>
            <w:r w:rsidRPr="00823B62">
              <w:rPr>
                <w:rFonts w:ascii="Times New Roman" w:hAnsi="Times New Roman"/>
                <w:b/>
              </w:rPr>
              <w:t xml:space="preserve"> </w:t>
            </w:r>
            <w:r w:rsidRPr="00823B62">
              <w:rPr>
                <w:rFonts w:ascii="Times New Roman" w:hAnsi="Times New Roman"/>
                <w:b/>
              </w:rPr>
              <w:t xml:space="preserve">Hour Burden and Equivalent Cost Associated with the Fiduciary Acknowledgement </w:t>
            </w:r>
          </w:p>
        </w:tc>
      </w:tr>
      <w:tr w14:paraId="1A323495" w14:textId="77777777">
        <w:tblPrEx>
          <w:tblW w:w="0" w:type="auto"/>
          <w:tblInd w:w="355" w:type="dxa"/>
          <w:tblLayout w:type="fixed"/>
          <w:tblLook w:val="04A0"/>
        </w:tblPrEx>
        <w:tc>
          <w:tcPr>
            <w:tcW w:w="1625" w:type="dxa"/>
            <w:shd w:val="clear" w:color="auto" w:fill="auto"/>
          </w:tcPr>
          <w:p w:rsidR="00823B62" w:rsidRPr="00823B62" w:rsidP="00540E14" w14:paraId="0DBCEF41" w14:textId="77777777">
            <w:pPr>
              <w:widowControl/>
              <w:autoSpaceDE/>
              <w:autoSpaceDN/>
              <w:adjustRightInd/>
              <w:contextualSpacing/>
              <w:jc w:val="center"/>
              <w:rPr>
                <w:rFonts w:ascii="Times New Roman" w:hAnsi="Times New Roman"/>
                <w:b/>
              </w:rPr>
            </w:pPr>
          </w:p>
        </w:tc>
        <w:tc>
          <w:tcPr>
            <w:tcW w:w="3445" w:type="dxa"/>
            <w:gridSpan w:val="2"/>
            <w:shd w:val="clear" w:color="auto" w:fill="auto"/>
          </w:tcPr>
          <w:p w:rsidR="00823B62" w:rsidRPr="00823B62" w:rsidP="00540E14" w14:paraId="2433515A" w14:textId="77777777">
            <w:pPr>
              <w:widowControl/>
              <w:autoSpaceDE/>
              <w:autoSpaceDN/>
              <w:adjustRightInd/>
              <w:contextualSpacing/>
              <w:jc w:val="center"/>
              <w:rPr>
                <w:rFonts w:ascii="Times New Roman" w:hAnsi="Times New Roman"/>
                <w:b/>
              </w:rPr>
            </w:pPr>
            <w:r w:rsidRPr="00823B62">
              <w:rPr>
                <w:rFonts w:ascii="Times New Roman" w:hAnsi="Times New Roman"/>
                <w:b/>
              </w:rPr>
              <w:t>Year 1</w:t>
            </w:r>
          </w:p>
        </w:tc>
        <w:tc>
          <w:tcPr>
            <w:tcW w:w="3446" w:type="dxa"/>
            <w:gridSpan w:val="2"/>
          </w:tcPr>
          <w:p w:rsidR="00823B62" w:rsidRPr="00823B62" w:rsidP="00540E14" w14:paraId="5FC4C123" w14:textId="77777777">
            <w:pPr>
              <w:widowControl/>
              <w:autoSpaceDE/>
              <w:autoSpaceDN/>
              <w:adjustRightInd/>
              <w:contextualSpacing/>
              <w:jc w:val="center"/>
              <w:rPr>
                <w:rFonts w:ascii="Times New Roman" w:hAnsi="Times New Roman"/>
                <w:b/>
              </w:rPr>
            </w:pPr>
            <w:r w:rsidRPr="00823B62">
              <w:rPr>
                <w:rFonts w:ascii="Times New Roman" w:hAnsi="Times New Roman"/>
                <w:b/>
              </w:rPr>
              <w:t>Subsequent Years</w:t>
            </w:r>
          </w:p>
        </w:tc>
      </w:tr>
      <w:tr w14:paraId="40F5E11B" w14:textId="77777777">
        <w:tblPrEx>
          <w:tblW w:w="0" w:type="auto"/>
          <w:tblInd w:w="355" w:type="dxa"/>
          <w:tblLayout w:type="fixed"/>
          <w:tblLook w:val="04A0"/>
        </w:tblPrEx>
        <w:tc>
          <w:tcPr>
            <w:tcW w:w="1625" w:type="dxa"/>
            <w:shd w:val="clear" w:color="auto" w:fill="auto"/>
          </w:tcPr>
          <w:p w:rsidR="00823B62" w:rsidRPr="00823B62" w:rsidP="00540E14" w14:paraId="1317FBF1" w14:textId="77777777">
            <w:pPr>
              <w:widowControl/>
              <w:autoSpaceDE/>
              <w:autoSpaceDN/>
              <w:adjustRightInd/>
              <w:contextualSpacing/>
              <w:jc w:val="center"/>
              <w:rPr>
                <w:rFonts w:ascii="Times New Roman" w:hAnsi="Times New Roman"/>
                <w:b/>
              </w:rPr>
            </w:pPr>
            <w:r w:rsidRPr="00823B62">
              <w:rPr>
                <w:rFonts w:ascii="Times New Roman" w:hAnsi="Times New Roman"/>
                <w:b/>
              </w:rPr>
              <w:t>Activity</w:t>
            </w:r>
          </w:p>
        </w:tc>
        <w:tc>
          <w:tcPr>
            <w:tcW w:w="1722" w:type="dxa"/>
            <w:shd w:val="clear" w:color="auto" w:fill="auto"/>
          </w:tcPr>
          <w:p w:rsidR="00823B62" w:rsidRPr="00823B62" w:rsidP="00540E14" w14:paraId="1A290ECA" w14:textId="77777777">
            <w:pPr>
              <w:widowControl/>
              <w:autoSpaceDE/>
              <w:autoSpaceDN/>
              <w:adjustRightInd/>
              <w:contextualSpacing/>
              <w:jc w:val="center"/>
              <w:rPr>
                <w:rFonts w:ascii="Times New Roman" w:hAnsi="Times New Roman"/>
                <w:b/>
              </w:rPr>
            </w:pPr>
            <w:r w:rsidRPr="00823B62">
              <w:rPr>
                <w:rFonts w:ascii="Times New Roman" w:hAnsi="Times New Roman"/>
                <w:b/>
              </w:rPr>
              <w:t>Burden Hours</w:t>
            </w:r>
          </w:p>
        </w:tc>
        <w:tc>
          <w:tcPr>
            <w:tcW w:w="1723" w:type="dxa"/>
            <w:shd w:val="clear" w:color="auto" w:fill="auto"/>
          </w:tcPr>
          <w:p w:rsidR="00823B62" w:rsidRPr="00823B62" w:rsidP="00540E14" w14:paraId="342924BD" w14:textId="77777777">
            <w:pPr>
              <w:widowControl/>
              <w:autoSpaceDE/>
              <w:autoSpaceDN/>
              <w:adjustRightInd/>
              <w:contextualSpacing/>
              <w:jc w:val="center"/>
              <w:rPr>
                <w:rFonts w:ascii="Times New Roman" w:hAnsi="Times New Roman"/>
                <w:b/>
              </w:rPr>
            </w:pPr>
            <w:r w:rsidRPr="00823B62">
              <w:rPr>
                <w:rFonts w:ascii="Times New Roman" w:hAnsi="Times New Roman"/>
                <w:b/>
              </w:rPr>
              <w:t>Equivalent Burden Cost</w:t>
            </w:r>
          </w:p>
        </w:tc>
        <w:tc>
          <w:tcPr>
            <w:tcW w:w="1723" w:type="dxa"/>
          </w:tcPr>
          <w:p w:rsidR="00823B62" w:rsidRPr="00823B62" w:rsidP="00540E14" w14:paraId="297339D5" w14:textId="77777777">
            <w:pPr>
              <w:widowControl/>
              <w:autoSpaceDE/>
              <w:autoSpaceDN/>
              <w:adjustRightInd/>
              <w:contextualSpacing/>
              <w:jc w:val="center"/>
              <w:rPr>
                <w:rFonts w:ascii="Times New Roman" w:hAnsi="Times New Roman"/>
                <w:b/>
              </w:rPr>
            </w:pPr>
            <w:r w:rsidRPr="00823B62">
              <w:rPr>
                <w:rFonts w:ascii="Times New Roman" w:hAnsi="Times New Roman"/>
                <w:b/>
              </w:rPr>
              <w:t>Burden Hours</w:t>
            </w:r>
          </w:p>
        </w:tc>
        <w:tc>
          <w:tcPr>
            <w:tcW w:w="1723" w:type="dxa"/>
          </w:tcPr>
          <w:p w:rsidR="00823B62" w:rsidRPr="00823B62" w:rsidP="00540E14" w14:paraId="447E6BAF" w14:textId="77777777">
            <w:pPr>
              <w:widowControl/>
              <w:autoSpaceDE/>
              <w:autoSpaceDN/>
              <w:adjustRightInd/>
              <w:contextualSpacing/>
              <w:jc w:val="center"/>
              <w:rPr>
                <w:rFonts w:ascii="Times New Roman" w:hAnsi="Times New Roman"/>
                <w:b/>
              </w:rPr>
            </w:pPr>
            <w:r w:rsidRPr="00823B62">
              <w:rPr>
                <w:rFonts w:ascii="Times New Roman" w:hAnsi="Times New Roman"/>
                <w:b/>
              </w:rPr>
              <w:t>Equivalent Burden Cost</w:t>
            </w:r>
          </w:p>
        </w:tc>
      </w:tr>
      <w:tr w14:paraId="322670EB" w14:textId="77777777">
        <w:tblPrEx>
          <w:tblW w:w="0" w:type="auto"/>
          <w:tblInd w:w="355" w:type="dxa"/>
          <w:tblLayout w:type="fixed"/>
          <w:tblLook w:val="04A0"/>
        </w:tblPrEx>
        <w:tc>
          <w:tcPr>
            <w:tcW w:w="1625" w:type="dxa"/>
            <w:shd w:val="clear" w:color="auto" w:fill="auto"/>
          </w:tcPr>
          <w:p w:rsidR="00823B62" w:rsidRPr="00823B62" w:rsidP="00540E14" w14:paraId="33C99C0E" w14:textId="77777777">
            <w:pPr>
              <w:widowControl/>
              <w:autoSpaceDE/>
              <w:autoSpaceDN/>
              <w:adjustRightInd/>
              <w:contextualSpacing/>
              <w:rPr>
                <w:rFonts w:ascii="Times New Roman" w:hAnsi="Times New Roman"/>
              </w:rPr>
            </w:pPr>
            <w:r w:rsidRPr="00823B62">
              <w:rPr>
                <w:rFonts w:ascii="Times New Roman" w:hAnsi="Times New Roman"/>
              </w:rPr>
              <w:t>Legal</w:t>
            </w:r>
          </w:p>
        </w:tc>
        <w:tc>
          <w:tcPr>
            <w:tcW w:w="1722" w:type="dxa"/>
            <w:shd w:val="clear" w:color="auto" w:fill="auto"/>
          </w:tcPr>
          <w:p w:rsidR="00823B62" w:rsidRPr="00823B62" w:rsidP="00540E14" w14:paraId="5874975B" w14:textId="77777777">
            <w:pPr>
              <w:widowControl/>
              <w:autoSpaceDE/>
              <w:autoSpaceDN/>
              <w:adjustRightInd/>
              <w:contextualSpacing/>
              <w:jc w:val="right"/>
              <w:rPr>
                <w:rFonts w:ascii="Times New Roman" w:hAnsi="Times New Roman"/>
              </w:rPr>
            </w:pPr>
            <w:r w:rsidRPr="00823B62">
              <w:rPr>
                <w:rFonts w:ascii="Times New Roman" w:hAnsi="Times New Roman"/>
              </w:rPr>
              <w:t>69</w:t>
            </w:r>
          </w:p>
        </w:tc>
        <w:tc>
          <w:tcPr>
            <w:tcW w:w="1723" w:type="dxa"/>
            <w:shd w:val="clear" w:color="auto" w:fill="auto"/>
          </w:tcPr>
          <w:p w:rsidR="00823B62" w:rsidRPr="00823B62" w:rsidP="00540E14" w14:paraId="0BDF68D6" w14:textId="77777777">
            <w:pPr>
              <w:widowControl/>
              <w:autoSpaceDE/>
              <w:autoSpaceDN/>
              <w:adjustRightInd/>
              <w:contextualSpacing/>
              <w:jc w:val="right"/>
              <w:rPr>
                <w:rFonts w:ascii="Times New Roman" w:hAnsi="Times New Roman"/>
              </w:rPr>
            </w:pPr>
            <w:r w:rsidRPr="00823B62">
              <w:rPr>
                <w:rFonts w:ascii="Times New Roman" w:hAnsi="Times New Roman"/>
              </w:rPr>
              <w:t>$</w:t>
            </w:r>
            <w:r w:rsidRPr="00823B62">
              <w:rPr>
                <w:rFonts w:ascii="Times New Roman" w:hAnsi="Times New Roman"/>
                <w:lang w:val="en"/>
              </w:rPr>
              <w:t>11,021</w:t>
            </w:r>
          </w:p>
        </w:tc>
        <w:tc>
          <w:tcPr>
            <w:tcW w:w="1723" w:type="dxa"/>
          </w:tcPr>
          <w:p w:rsidR="00823B62" w:rsidRPr="00823B62" w:rsidP="00540E14" w14:paraId="14C58700" w14:textId="77777777">
            <w:pPr>
              <w:widowControl/>
              <w:autoSpaceDE/>
              <w:autoSpaceDN/>
              <w:adjustRightInd/>
              <w:contextualSpacing/>
              <w:jc w:val="right"/>
              <w:rPr>
                <w:rFonts w:ascii="Times New Roman" w:hAnsi="Times New Roman"/>
              </w:rPr>
            </w:pPr>
            <w:r w:rsidRPr="00823B62">
              <w:rPr>
                <w:rFonts w:ascii="Times New Roman" w:hAnsi="Times New Roman"/>
              </w:rPr>
              <w:t>0</w:t>
            </w:r>
          </w:p>
        </w:tc>
        <w:tc>
          <w:tcPr>
            <w:tcW w:w="1723" w:type="dxa"/>
          </w:tcPr>
          <w:p w:rsidR="00823B62" w:rsidRPr="00823B62" w:rsidP="00540E14" w14:paraId="78D8D9BF" w14:textId="77777777">
            <w:pPr>
              <w:widowControl/>
              <w:autoSpaceDE/>
              <w:autoSpaceDN/>
              <w:adjustRightInd/>
              <w:contextualSpacing/>
              <w:jc w:val="right"/>
              <w:rPr>
                <w:rFonts w:ascii="Times New Roman" w:hAnsi="Times New Roman"/>
              </w:rPr>
            </w:pPr>
            <w:r w:rsidRPr="00823B62">
              <w:rPr>
                <w:rFonts w:ascii="Times New Roman" w:hAnsi="Times New Roman"/>
              </w:rPr>
              <w:t>$0</w:t>
            </w:r>
          </w:p>
        </w:tc>
      </w:tr>
      <w:tr w14:paraId="26DC4321" w14:textId="77777777">
        <w:tblPrEx>
          <w:tblW w:w="0" w:type="auto"/>
          <w:tblInd w:w="355" w:type="dxa"/>
          <w:tblLayout w:type="fixed"/>
          <w:tblLook w:val="04A0"/>
        </w:tblPrEx>
        <w:tc>
          <w:tcPr>
            <w:tcW w:w="1625" w:type="dxa"/>
            <w:shd w:val="clear" w:color="auto" w:fill="auto"/>
          </w:tcPr>
          <w:p w:rsidR="00823B62" w:rsidRPr="00823B62" w:rsidP="00540E14" w14:paraId="07C6BD05" w14:textId="77777777">
            <w:pPr>
              <w:widowControl/>
              <w:autoSpaceDE/>
              <w:autoSpaceDN/>
              <w:adjustRightInd/>
              <w:contextualSpacing/>
              <w:rPr>
                <w:rFonts w:ascii="Times New Roman" w:hAnsi="Times New Roman"/>
                <w:b/>
              </w:rPr>
            </w:pPr>
            <w:r w:rsidRPr="00823B62">
              <w:rPr>
                <w:rFonts w:ascii="Times New Roman" w:hAnsi="Times New Roman"/>
                <w:b/>
              </w:rPr>
              <w:t>Total</w:t>
            </w:r>
          </w:p>
        </w:tc>
        <w:tc>
          <w:tcPr>
            <w:tcW w:w="1722" w:type="dxa"/>
            <w:shd w:val="clear" w:color="auto" w:fill="auto"/>
          </w:tcPr>
          <w:p w:rsidR="00823B62" w:rsidRPr="00823B62" w:rsidP="00540E14" w14:paraId="6E4E0D87" w14:textId="77777777">
            <w:pPr>
              <w:widowControl/>
              <w:autoSpaceDE/>
              <w:autoSpaceDN/>
              <w:adjustRightInd/>
              <w:contextualSpacing/>
              <w:jc w:val="right"/>
              <w:rPr>
                <w:rFonts w:ascii="Times New Roman" w:hAnsi="Times New Roman"/>
                <w:b/>
              </w:rPr>
            </w:pPr>
            <w:r w:rsidRPr="00823B62">
              <w:rPr>
                <w:rFonts w:ascii="Times New Roman" w:hAnsi="Times New Roman"/>
                <w:b/>
              </w:rPr>
              <w:t>69</w:t>
            </w:r>
          </w:p>
        </w:tc>
        <w:tc>
          <w:tcPr>
            <w:tcW w:w="1723" w:type="dxa"/>
            <w:shd w:val="clear" w:color="auto" w:fill="auto"/>
          </w:tcPr>
          <w:p w:rsidR="00823B62" w:rsidRPr="00823B62" w:rsidP="00540E14" w14:paraId="4369F465" w14:textId="77777777">
            <w:pPr>
              <w:widowControl/>
              <w:autoSpaceDE/>
              <w:autoSpaceDN/>
              <w:adjustRightInd/>
              <w:contextualSpacing/>
              <w:jc w:val="right"/>
              <w:rPr>
                <w:rFonts w:ascii="Times New Roman" w:hAnsi="Times New Roman"/>
                <w:b/>
              </w:rPr>
            </w:pPr>
            <w:r w:rsidRPr="00823B62">
              <w:rPr>
                <w:rFonts w:ascii="Times New Roman" w:hAnsi="Times New Roman"/>
                <w:b/>
              </w:rPr>
              <w:t>$</w:t>
            </w:r>
            <w:r w:rsidRPr="00823B62">
              <w:rPr>
                <w:rFonts w:ascii="Times New Roman" w:hAnsi="Times New Roman"/>
                <w:b/>
                <w:lang w:val="en"/>
              </w:rPr>
              <w:t>11,021</w:t>
            </w:r>
          </w:p>
        </w:tc>
        <w:tc>
          <w:tcPr>
            <w:tcW w:w="1723" w:type="dxa"/>
          </w:tcPr>
          <w:p w:rsidR="00823B62" w:rsidRPr="00823B62" w:rsidP="00540E14" w14:paraId="52D1A660" w14:textId="77777777">
            <w:pPr>
              <w:widowControl/>
              <w:autoSpaceDE/>
              <w:autoSpaceDN/>
              <w:adjustRightInd/>
              <w:contextualSpacing/>
              <w:jc w:val="right"/>
              <w:rPr>
                <w:rFonts w:ascii="Times New Roman" w:hAnsi="Times New Roman"/>
                <w:b/>
              </w:rPr>
            </w:pPr>
            <w:r w:rsidRPr="00823B62">
              <w:rPr>
                <w:rFonts w:ascii="Times New Roman" w:hAnsi="Times New Roman"/>
                <w:b/>
              </w:rPr>
              <w:t>0</w:t>
            </w:r>
          </w:p>
        </w:tc>
        <w:tc>
          <w:tcPr>
            <w:tcW w:w="1723" w:type="dxa"/>
          </w:tcPr>
          <w:p w:rsidR="00823B62" w:rsidRPr="00823B62" w:rsidP="00540E14" w14:paraId="4FE888FD" w14:textId="77777777">
            <w:pPr>
              <w:widowControl/>
              <w:autoSpaceDE/>
              <w:autoSpaceDN/>
              <w:adjustRightInd/>
              <w:contextualSpacing/>
              <w:jc w:val="right"/>
              <w:rPr>
                <w:rFonts w:ascii="Times New Roman" w:hAnsi="Times New Roman"/>
                <w:b/>
              </w:rPr>
            </w:pPr>
            <w:r w:rsidRPr="00823B62">
              <w:rPr>
                <w:rFonts w:ascii="Times New Roman" w:hAnsi="Times New Roman"/>
                <w:b/>
              </w:rPr>
              <w:t>$</w:t>
            </w:r>
            <w:r w:rsidRPr="00823B62">
              <w:rPr>
                <w:rFonts w:ascii="Times New Roman" w:hAnsi="Times New Roman"/>
                <w:b/>
                <w:lang w:val="en"/>
              </w:rPr>
              <w:t>0</w:t>
            </w:r>
          </w:p>
        </w:tc>
      </w:tr>
    </w:tbl>
    <w:p w:rsidR="005D652C" w:rsidRPr="00530597" w:rsidP="00823B62" w14:paraId="3CDE5E7C" w14:textId="4D41037C">
      <w:pPr>
        <w:contextualSpacing/>
        <w:rPr>
          <w:rFonts w:ascii="Times New Roman" w:hAnsi="Times New Roman"/>
        </w:rPr>
      </w:pPr>
    </w:p>
    <w:p w:rsidR="000750B5" w:rsidP="00945117" w14:paraId="5DF8F33E" w14:textId="77777777">
      <w:pPr>
        <w:widowControl/>
        <w:numPr>
          <w:ilvl w:val="3"/>
          <w:numId w:val="29"/>
        </w:numPr>
        <w:autoSpaceDE/>
        <w:autoSpaceDN/>
        <w:adjustRightInd/>
        <w:contextualSpacing/>
        <w:rPr>
          <w:rFonts w:ascii="Times New Roman" w:hAnsi="Times New Roman"/>
          <w:i/>
        </w:rPr>
      </w:pPr>
      <w:r w:rsidRPr="00530597">
        <w:rPr>
          <w:rFonts w:ascii="Times New Roman" w:hAnsi="Times New Roman"/>
          <w:i/>
        </w:rPr>
        <w:t xml:space="preserve">Written Statement of the Best Interest Standard of Care owed by the </w:t>
      </w:r>
    </w:p>
    <w:p w:rsidR="00035E50" w:rsidRPr="00530597" w:rsidP="00675971" w14:paraId="15FBC1DF" w14:textId="4E8BA2FF">
      <w:pPr>
        <w:widowControl/>
        <w:autoSpaceDE/>
        <w:autoSpaceDN/>
        <w:adjustRightInd/>
        <w:ind w:left="1728" w:firstLine="432"/>
        <w:contextualSpacing/>
        <w:rPr>
          <w:rFonts w:ascii="Times New Roman" w:hAnsi="Times New Roman"/>
          <w:i/>
        </w:rPr>
      </w:pPr>
      <w:r w:rsidRPr="00530597">
        <w:rPr>
          <w:rFonts w:ascii="Times New Roman" w:hAnsi="Times New Roman"/>
          <w:i/>
        </w:rPr>
        <w:t>Independent Producer</w:t>
      </w:r>
    </w:p>
    <w:p w:rsidR="00CF200B" w:rsidRPr="00530597" w:rsidP="00945117" w14:paraId="7D42397B" w14:textId="77777777">
      <w:pPr>
        <w:pStyle w:val="Quick1"/>
        <w:widowControl/>
        <w:numPr>
          <w:ilvl w:val="0"/>
          <w:numId w:val="0"/>
        </w:numPr>
        <w:autoSpaceDE/>
        <w:autoSpaceDN/>
        <w:adjustRightInd/>
        <w:ind w:left="1224"/>
        <w:contextualSpacing/>
        <w:rPr>
          <w:rFonts w:ascii="Times New Roman" w:hAnsi="Times New Roman"/>
        </w:rPr>
      </w:pPr>
    </w:p>
    <w:p w:rsidR="000750B5" w:rsidP="00675971" w14:paraId="29B475A1" w14:textId="7ED5AA11">
      <w:pPr>
        <w:pStyle w:val="Quick1"/>
        <w:numPr>
          <w:ilvl w:val="0"/>
          <w:numId w:val="0"/>
        </w:numPr>
        <w:ind w:left="720"/>
        <w:rPr>
          <w:rFonts w:ascii="Times New Roman" w:hAnsi="Times New Roman"/>
          <w:vertAlign w:val="superscript"/>
        </w:rPr>
      </w:pPr>
      <w:r w:rsidRPr="000750B5">
        <w:rPr>
          <w:rFonts w:ascii="Times New Roman" w:hAnsi="Times New Roman"/>
        </w:rPr>
        <w:t xml:space="preserve">As discussed above, the Department assumes that 4,000 </w:t>
      </w:r>
      <w:r w:rsidR="00ED1A11">
        <w:rPr>
          <w:rFonts w:ascii="Times New Roman" w:hAnsi="Times New Roman"/>
        </w:rPr>
        <w:t>Independent Producer</w:t>
      </w:r>
      <w:r w:rsidRPr="000750B5">
        <w:rPr>
          <w:rFonts w:ascii="Times New Roman" w:hAnsi="Times New Roman"/>
        </w:rPr>
        <w:t>s service the retirement market, selling the products of 215 financial institutions.</w:t>
      </w:r>
      <w:r w:rsidRPr="000750B5">
        <w:rPr>
          <w:rFonts w:ascii="Times New Roman" w:hAnsi="Times New Roman"/>
        </w:rPr>
        <w:t xml:space="preserve"> </w:t>
      </w:r>
      <w:r w:rsidRPr="000750B5">
        <w:rPr>
          <w:rFonts w:ascii="Times New Roman" w:hAnsi="Times New Roman"/>
        </w:rPr>
        <w:t xml:space="preserve">Due to the nature of </w:t>
      </w:r>
      <w:r w:rsidR="00ED1A11">
        <w:rPr>
          <w:rFonts w:ascii="Times New Roman" w:hAnsi="Times New Roman"/>
        </w:rPr>
        <w:t>Independent Producer</w:t>
      </w:r>
      <w:r w:rsidRPr="000750B5">
        <w:rPr>
          <w:rFonts w:ascii="Times New Roman" w:hAnsi="Times New Roman"/>
        </w:rPr>
        <w:t xml:space="preserve">s, the Department assumes that most financial institutions would make draft disclosures available to </w:t>
      </w:r>
      <w:r w:rsidR="00ED1A11">
        <w:rPr>
          <w:rFonts w:ascii="Times New Roman" w:hAnsi="Times New Roman"/>
        </w:rPr>
        <w:t>Independent Producer</w:t>
      </w:r>
      <w:r w:rsidRPr="000750B5">
        <w:rPr>
          <w:rFonts w:ascii="Times New Roman" w:hAnsi="Times New Roman"/>
        </w:rPr>
        <w:t>s, pertaining to the annuities they offer.</w:t>
      </w:r>
      <w:r w:rsidRPr="000750B5">
        <w:rPr>
          <w:rFonts w:ascii="Times New Roman" w:hAnsi="Times New Roman"/>
        </w:rPr>
        <w:t xml:space="preserve"> </w:t>
      </w:r>
      <w:r w:rsidRPr="000750B5">
        <w:rPr>
          <w:rFonts w:ascii="Times New Roman" w:hAnsi="Times New Roman"/>
        </w:rPr>
        <w:t xml:space="preserve">The Department assumes that an in-house attorney for all 215 financial institutions as well as 5 percent of </w:t>
      </w:r>
      <w:r w:rsidR="00ED1A11">
        <w:rPr>
          <w:rFonts w:ascii="Times New Roman" w:hAnsi="Times New Roman"/>
        </w:rPr>
        <w:t>Independent Producer</w:t>
      </w:r>
      <w:r w:rsidRPr="000750B5">
        <w:rPr>
          <w:rFonts w:ascii="Times New Roman" w:hAnsi="Times New Roman"/>
        </w:rPr>
        <w:t xml:space="preserve">s, or 200 </w:t>
      </w:r>
      <w:r w:rsidR="00ED1A11">
        <w:rPr>
          <w:rFonts w:ascii="Times New Roman" w:hAnsi="Times New Roman"/>
        </w:rPr>
        <w:t>Independent Producer</w:t>
      </w:r>
      <w:r w:rsidRPr="000750B5">
        <w:rPr>
          <w:rFonts w:ascii="Times New Roman" w:hAnsi="Times New Roman"/>
        </w:rPr>
        <w:t>s,</w:t>
      </w:r>
      <w:r w:rsidRPr="000750B5">
        <w:rPr>
          <w:rFonts w:ascii="Times New Roman" w:hAnsi="Times New Roman"/>
        </w:rPr>
        <w:t xml:space="preserve"> </w:t>
      </w:r>
      <w:r w:rsidRPr="000750B5">
        <w:rPr>
          <w:rFonts w:ascii="Times New Roman" w:hAnsi="Times New Roman"/>
        </w:rPr>
        <w:t>would spend 30 minutes of legal staff time to prepare the statement in the first year.</w:t>
      </w:r>
      <w:r w:rsidRPr="000750B5">
        <w:rPr>
          <w:rFonts w:ascii="Times New Roman" w:hAnsi="Times New Roman"/>
        </w:rPr>
        <w:t xml:space="preserve"> </w:t>
      </w:r>
      <w:r w:rsidRPr="000750B5">
        <w:rPr>
          <w:rFonts w:ascii="Times New Roman" w:hAnsi="Times New Roman"/>
        </w:rPr>
        <w:t>This results in an hour burden of 208 hours with an equivalent cost of $33,063 in the first year.</w:t>
      </w:r>
      <w:r>
        <w:rPr>
          <w:rFonts w:ascii="Times New Roman" w:hAnsi="Times New Roman"/>
          <w:vertAlign w:val="superscript"/>
        </w:rPr>
        <w:footnoteReference w:id="37"/>
      </w:r>
      <w:r w:rsidRPr="000750B5">
        <w:rPr>
          <w:rFonts w:ascii="Times New Roman" w:hAnsi="Times New Roman"/>
          <w:vertAlign w:val="superscript"/>
        </w:rPr>
        <w:t xml:space="preserve"> </w:t>
      </w:r>
    </w:p>
    <w:p w:rsidR="00CF200B" w:rsidRPr="00530597" w:rsidP="00675971" w14:paraId="56340D72" w14:textId="77777777">
      <w:pPr>
        <w:pStyle w:val="Quick1"/>
        <w:numPr>
          <w:ilvl w:val="0"/>
          <w:numId w:val="0"/>
        </w:num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722"/>
        <w:gridCol w:w="1723"/>
        <w:gridCol w:w="1723"/>
        <w:gridCol w:w="1723"/>
      </w:tblGrid>
      <w:tr w14:paraId="4D718E93"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CC08E5" w:rsidRPr="00CC08E5" w:rsidP="00CC08E5" w14:paraId="4D6C43CB" w14:textId="47CB1AA4">
            <w:pPr>
              <w:widowControl/>
              <w:autoSpaceDE/>
              <w:autoSpaceDN/>
              <w:adjustRightInd/>
              <w:ind w:firstLine="720"/>
              <w:contextualSpacing/>
              <w:jc w:val="center"/>
              <w:rPr>
                <w:rFonts w:ascii="Times New Roman" w:eastAsia="Yu Mincho" w:hAnsi="Times New Roman"/>
                <w:b/>
                <w:szCs w:val="32"/>
              </w:rPr>
            </w:pPr>
            <w:r w:rsidRPr="00CC08E5">
              <w:rPr>
                <w:rFonts w:ascii="Times New Roman" w:eastAsia="Yu Mincho" w:hAnsi="Times New Roman"/>
                <w:b/>
                <w:szCs w:val="32"/>
              </w:rPr>
              <w:t xml:space="preserve">Table </w:t>
            </w:r>
            <w:r>
              <w:rPr>
                <w:rFonts w:ascii="Times New Roman" w:eastAsia="Yu Mincho" w:hAnsi="Times New Roman"/>
                <w:b/>
                <w:szCs w:val="32"/>
              </w:rPr>
              <w:t>4</w:t>
            </w:r>
            <w:r w:rsidRPr="00CC08E5">
              <w:rPr>
                <w:rFonts w:ascii="Times New Roman" w:eastAsia="Yu Mincho" w:hAnsi="Times New Roman"/>
                <w:b/>
                <w:szCs w:val="32"/>
              </w:rPr>
              <w:t>: Hour Burden and Equivalent Cost Associated with the Written Statement of the Best Interest Standard of Care Owed</w:t>
            </w:r>
          </w:p>
        </w:tc>
      </w:tr>
      <w:tr w14:paraId="26582D29" w14:textId="77777777">
        <w:tblPrEx>
          <w:tblW w:w="0" w:type="auto"/>
          <w:tblInd w:w="828" w:type="dxa"/>
          <w:tblLayout w:type="fixed"/>
          <w:tblLook w:val="04A0"/>
        </w:tblPrEx>
        <w:tc>
          <w:tcPr>
            <w:tcW w:w="1152" w:type="dxa"/>
            <w:shd w:val="clear" w:color="auto" w:fill="auto"/>
          </w:tcPr>
          <w:p w:rsidR="00CC08E5" w:rsidRPr="00CC08E5" w:rsidP="00CC08E5" w14:paraId="1877705A" w14:textId="77777777">
            <w:pPr>
              <w:widowControl/>
              <w:autoSpaceDE/>
              <w:autoSpaceDN/>
              <w:adjustRightInd/>
              <w:ind w:firstLine="720"/>
              <w:contextualSpacing/>
              <w:jc w:val="center"/>
              <w:rPr>
                <w:rFonts w:ascii="Times New Roman" w:eastAsia="Yu Mincho" w:hAnsi="Times New Roman"/>
                <w:b/>
                <w:szCs w:val="32"/>
              </w:rPr>
            </w:pPr>
          </w:p>
        </w:tc>
        <w:tc>
          <w:tcPr>
            <w:tcW w:w="3445" w:type="dxa"/>
            <w:gridSpan w:val="2"/>
            <w:shd w:val="clear" w:color="auto" w:fill="auto"/>
          </w:tcPr>
          <w:p w:rsidR="00CC08E5" w:rsidRPr="00CC08E5" w:rsidP="00CC08E5" w14:paraId="391DE318" w14:textId="77777777">
            <w:pPr>
              <w:widowControl/>
              <w:autoSpaceDE/>
              <w:autoSpaceDN/>
              <w:adjustRightInd/>
              <w:ind w:firstLine="720"/>
              <w:contextualSpacing/>
              <w:jc w:val="center"/>
              <w:rPr>
                <w:rFonts w:ascii="Times New Roman" w:eastAsia="Yu Mincho" w:hAnsi="Times New Roman"/>
                <w:b/>
                <w:szCs w:val="32"/>
              </w:rPr>
            </w:pPr>
            <w:r w:rsidRPr="00CC08E5">
              <w:rPr>
                <w:rFonts w:ascii="Times New Roman" w:eastAsia="Yu Mincho" w:hAnsi="Times New Roman"/>
                <w:b/>
                <w:szCs w:val="32"/>
              </w:rPr>
              <w:t>Year 1</w:t>
            </w:r>
          </w:p>
        </w:tc>
        <w:tc>
          <w:tcPr>
            <w:tcW w:w="3446" w:type="dxa"/>
            <w:gridSpan w:val="2"/>
          </w:tcPr>
          <w:p w:rsidR="00CC08E5" w:rsidRPr="00CC08E5" w:rsidP="00CC08E5" w14:paraId="4A9DE49D" w14:textId="77777777">
            <w:pPr>
              <w:widowControl/>
              <w:autoSpaceDE/>
              <w:autoSpaceDN/>
              <w:adjustRightInd/>
              <w:ind w:firstLine="720"/>
              <w:contextualSpacing/>
              <w:jc w:val="center"/>
              <w:rPr>
                <w:rFonts w:ascii="Times New Roman" w:eastAsia="Yu Mincho" w:hAnsi="Times New Roman"/>
                <w:b/>
                <w:szCs w:val="32"/>
              </w:rPr>
            </w:pPr>
            <w:r w:rsidRPr="00CC08E5">
              <w:rPr>
                <w:rFonts w:ascii="Times New Roman" w:eastAsia="Yu Mincho" w:hAnsi="Times New Roman"/>
                <w:b/>
                <w:szCs w:val="32"/>
              </w:rPr>
              <w:t>Subsequent Years</w:t>
            </w:r>
          </w:p>
        </w:tc>
      </w:tr>
      <w:tr w14:paraId="086CE237" w14:textId="77777777">
        <w:tblPrEx>
          <w:tblW w:w="0" w:type="auto"/>
          <w:tblInd w:w="828" w:type="dxa"/>
          <w:tblLayout w:type="fixed"/>
          <w:tblLook w:val="04A0"/>
        </w:tblPrEx>
        <w:tc>
          <w:tcPr>
            <w:tcW w:w="1152" w:type="dxa"/>
            <w:shd w:val="clear" w:color="auto" w:fill="auto"/>
          </w:tcPr>
          <w:p w:rsidR="00CC08E5" w:rsidRPr="00CC08E5" w:rsidP="00CC08E5" w14:paraId="1FC9345F" w14:textId="77777777">
            <w:pPr>
              <w:widowControl/>
              <w:autoSpaceDE/>
              <w:autoSpaceDN/>
              <w:adjustRightInd/>
              <w:ind w:firstLine="45"/>
              <w:contextualSpacing/>
              <w:jc w:val="center"/>
              <w:rPr>
                <w:rFonts w:ascii="Times New Roman" w:eastAsia="Yu Mincho" w:hAnsi="Times New Roman"/>
                <w:b/>
                <w:szCs w:val="32"/>
              </w:rPr>
            </w:pPr>
            <w:r w:rsidRPr="00CC08E5">
              <w:rPr>
                <w:rFonts w:ascii="Times New Roman" w:eastAsia="Yu Mincho" w:hAnsi="Times New Roman"/>
                <w:b/>
                <w:szCs w:val="32"/>
              </w:rPr>
              <w:t>Activity</w:t>
            </w:r>
          </w:p>
        </w:tc>
        <w:tc>
          <w:tcPr>
            <w:tcW w:w="1722" w:type="dxa"/>
            <w:shd w:val="clear" w:color="auto" w:fill="auto"/>
          </w:tcPr>
          <w:p w:rsidR="00CC08E5" w:rsidRPr="00CC08E5" w:rsidP="00CC08E5" w14:paraId="04EAD604" w14:textId="77777777">
            <w:pPr>
              <w:widowControl/>
              <w:autoSpaceDE/>
              <w:autoSpaceDN/>
              <w:adjustRightInd/>
              <w:ind w:firstLine="45"/>
              <w:contextualSpacing/>
              <w:jc w:val="center"/>
              <w:rPr>
                <w:rFonts w:ascii="Times New Roman" w:eastAsia="Yu Mincho" w:hAnsi="Times New Roman"/>
                <w:b/>
                <w:szCs w:val="32"/>
              </w:rPr>
            </w:pPr>
            <w:r w:rsidRPr="00CC08E5">
              <w:rPr>
                <w:rFonts w:ascii="Times New Roman" w:eastAsia="Yu Mincho" w:hAnsi="Times New Roman"/>
                <w:b/>
                <w:szCs w:val="32"/>
              </w:rPr>
              <w:t>Burden Hours</w:t>
            </w:r>
          </w:p>
        </w:tc>
        <w:tc>
          <w:tcPr>
            <w:tcW w:w="1723" w:type="dxa"/>
            <w:shd w:val="clear" w:color="auto" w:fill="auto"/>
          </w:tcPr>
          <w:p w:rsidR="00CC08E5" w:rsidRPr="00CC08E5" w:rsidP="00CC08E5" w14:paraId="4020FF17" w14:textId="77777777">
            <w:pPr>
              <w:widowControl/>
              <w:autoSpaceDE/>
              <w:autoSpaceDN/>
              <w:adjustRightInd/>
              <w:ind w:firstLine="45"/>
              <w:contextualSpacing/>
              <w:jc w:val="center"/>
              <w:rPr>
                <w:rFonts w:ascii="Times New Roman" w:eastAsia="Yu Mincho" w:hAnsi="Times New Roman"/>
                <w:b/>
                <w:szCs w:val="32"/>
              </w:rPr>
            </w:pPr>
            <w:r w:rsidRPr="00CC08E5">
              <w:rPr>
                <w:rFonts w:ascii="Times New Roman" w:eastAsia="Yu Mincho" w:hAnsi="Times New Roman"/>
                <w:b/>
                <w:szCs w:val="32"/>
              </w:rPr>
              <w:t>Equivalent Burden Cost</w:t>
            </w:r>
          </w:p>
        </w:tc>
        <w:tc>
          <w:tcPr>
            <w:tcW w:w="1723" w:type="dxa"/>
          </w:tcPr>
          <w:p w:rsidR="00CC08E5" w:rsidRPr="00CC08E5" w:rsidP="00CC08E5" w14:paraId="4CE6F291" w14:textId="77777777">
            <w:pPr>
              <w:widowControl/>
              <w:autoSpaceDE/>
              <w:autoSpaceDN/>
              <w:adjustRightInd/>
              <w:ind w:firstLine="45"/>
              <w:contextualSpacing/>
              <w:jc w:val="center"/>
              <w:rPr>
                <w:rFonts w:ascii="Times New Roman" w:eastAsia="Yu Mincho" w:hAnsi="Times New Roman"/>
                <w:b/>
                <w:szCs w:val="32"/>
              </w:rPr>
            </w:pPr>
            <w:r w:rsidRPr="00CC08E5">
              <w:rPr>
                <w:rFonts w:ascii="Times New Roman" w:eastAsia="Yu Mincho" w:hAnsi="Times New Roman"/>
                <w:b/>
                <w:szCs w:val="32"/>
              </w:rPr>
              <w:t>Burden Hours</w:t>
            </w:r>
          </w:p>
        </w:tc>
        <w:tc>
          <w:tcPr>
            <w:tcW w:w="1723" w:type="dxa"/>
          </w:tcPr>
          <w:p w:rsidR="00CC08E5" w:rsidRPr="00CC08E5" w:rsidP="00CC08E5" w14:paraId="52F47D04" w14:textId="77777777">
            <w:pPr>
              <w:widowControl/>
              <w:autoSpaceDE/>
              <w:autoSpaceDN/>
              <w:adjustRightInd/>
              <w:ind w:firstLine="45"/>
              <w:contextualSpacing/>
              <w:jc w:val="center"/>
              <w:rPr>
                <w:rFonts w:ascii="Times New Roman" w:eastAsia="Yu Mincho" w:hAnsi="Times New Roman"/>
                <w:b/>
                <w:szCs w:val="32"/>
              </w:rPr>
            </w:pPr>
            <w:r w:rsidRPr="00CC08E5">
              <w:rPr>
                <w:rFonts w:ascii="Times New Roman" w:eastAsia="Yu Mincho" w:hAnsi="Times New Roman"/>
                <w:b/>
                <w:szCs w:val="32"/>
              </w:rPr>
              <w:t>Equivalent Burden Cost</w:t>
            </w:r>
          </w:p>
        </w:tc>
      </w:tr>
      <w:tr w14:paraId="23CFC7C6" w14:textId="77777777">
        <w:tblPrEx>
          <w:tblW w:w="0" w:type="auto"/>
          <w:tblInd w:w="828" w:type="dxa"/>
          <w:tblLayout w:type="fixed"/>
          <w:tblLook w:val="04A0"/>
        </w:tblPrEx>
        <w:tc>
          <w:tcPr>
            <w:tcW w:w="1152" w:type="dxa"/>
            <w:shd w:val="clear" w:color="auto" w:fill="auto"/>
          </w:tcPr>
          <w:p w:rsidR="00CC08E5" w:rsidRPr="00CC08E5" w:rsidP="00CC08E5" w14:paraId="542F10B3" w14:textId="77777777">
            <w:pPr>
              <w:widowControl/>
              <w:autoSpaceDE/>
              <w:autoSpaceDN/>
              <w:adjustRightInd/>
              <w:ind w:firstLine="45"/>
              <w:contextualSpacing/>
              <w:rPr>
                <w:rFonts w:ascii="Times New Roman" w:eastAsia="Yu Mincho" w:hAnsi="Times New Roman"/>
                <w:szCs w:val="32"/>
              </w:rPr>
            </w:pPr>
            <w:r w:rsidRPr="00CC08E5">
              <w:rPr>
                <w:rFonts w:ascii="Times New Roman" w:eastAsia="Yu Mincho" w:hAnsi="Times New Roman"/>
                <w:szCs w:val="32"/>
              </w:rPr>
              <w:t>Legal</w:t>
            </w:r>
          </w:p>
        </w:tc>
        <w:tc>
          <w:tcPr>
            <w:tcW w:w="1722" w:type="dxa"/>
            <w:shd w:val="clear" w:color="auto" w:fill="auto"/>
          </w:tcPr>
          <w:p w:rsidR="00CC08E5" w:rsidRPr="00CC08E5" w:rsidP="00CC08E5" w14:paraId="2CA09020" w14:textId="77777777">
            <w:pPr>
              <w:widowControl/>
              <w:autoSpaceDE/>
              <w:autoSpaceDN/>
              <w:adjustRightInd/>
              <w:ind w:firstLine="45"/>
              <w:contextualSpacing/>
              <w:jc w:val="right"/>
              <w:rPr>
                <w:rFonts w:ascii="Times New Roman" w:eastAsia="Yu Mincho" w:hAnsi="Times New Roman"/>
                <w:szCs w:val="32"/>
              </w:rPr>
            </w:pPr>
            <w:r w:rsidRPr="00CC08E5">
              <w:rPr>
                <w:rFonts w:ascii="Times New Roman" w:eastAsia="Yu Mincho" w:hAnsi="Times New Roman"/>
                <w:szCs w:val="32"/>
              </w:rPr>
              <w:t>208</w:t>
            </w:r>
          </w:p>
        </w:tc>
        <w:tc>
          <w:tcPr>
            <w:tcW w:w="1723" w:type="dxa"/>
            <w:shd w:val="clear" w:color="auto" w:fill="auto"/>
          </w:tcPr>
          <w:p w:rsidR="00CC08E5" w:rsidRPr="00CC08E5" w:rsidP="00CC08E5" w14:paraId="26C5E116" w14:textId="77777777">
            <w:pPr>
              <w:widowControl/>
              <w:autoSpaceDE/>
              <w:autoSpaceDN/>
              <w:adjustRightInd/>
              <w:ind w:firstLine="45"/>
              <w:contextualSpacing/>
              <w:jc w:val="right"/>
              <w:rPr>
                <w:rFonts w:ascii="Times New Roman" w:eastAsia="Yu Mincho" w:hAnsi="Times New Roman"/>
                <w:szCs w:val="32"/>
              </w:rPr>
            </w:pPr>
            <w:r w:rsidRPr="00CC08E5">
              <w:rPr>
                <w:rFonts w:ascii="Times New Roman" w:eastAsia="Yu Mincho" w:hAnsi="Times New Roman"/>
                <w:szCs w:val="32"/>
              </w:rPr>
              <w:t>$</w:t>
            </w:r>
            <w:r w:rsidRPr="00CC08E5">
              <w:rPr>
                <w:rFonts w:ascii="Times New Roman" w:eastAsia="Yu Mincho" w:hAnsi="Times New Roman"/>
                <w:szCs w:val="32"/>
                <w:lang w:val="en"/>
              </w:rPr>
              <w:t>33,063</w:t>
            </w:r>
          </w:p>
        </w:tc>
        <w:tc>
          <w:tcPr>
            <w:tcW w:w="1723" w:type="dxa"/>
          </w:tcPr>
          <w:p w:rsidR="00CC08E5" w:rsidRPr="00CC08E5" w:rsidP="00CC08E5" w14:paraId="1058CB15" w14:textId="77777777">
            <w:pPr>
              <w:widowControl/>
              <w:autoSpaceDE/>
              <w:autoSpaceDN/>
              <w:adjustRightInd/>
              <w:ind w:firstLine="45"/>
              <w:contextualSpacing/>
              <w:jc w:val="right"/>
              <w:rPr>
                <w:rFonts w:ascii="Times New Roman" w:eastAsia="Yu Mincho" w:hAnsi="Times New Roman"/>
                <w:szCs w:val="32"/>
              </w:rPr>
            </w:pPr>
            <w:r w:rsidRPr="00CC08E5">
              <w:rPr>
                <w:rFonts w:ascii="Times New Roman" w:eastAsia="Yu Mincho" w:hAnsi="Times New Roman"/>
                <w:szCs w:val="32"/>
              </w:rPr>
              <w:t>0</w:t>
            </w:r>
          </w:p>
        </w:tc>
        <w:tc>
          <w:tcPr>
            <w:tcW w:w="1723" w:type="dxa"/>
          </w:tcPr>
          <w:p w:rsidR="00CC08E5" w:rsidRPr="00CC08E5" w:rsidP="00CC08E5" w14:paraId="3973A00C" w14:textId="77777777">
            <w:pPr>
              <w:widowControl/>
              <w:autoSpaceDE/>
              <w:autoSpaceDN/>
              <w:adjustRightInd/>
              <w:ind w:firstLine="45"/>
              <w:contextualSpacing/>
              <w:jc w:val="right"/>
              <w:rPr>
                <w:rFonts w:ascii="Times New Roman" w:eastAsia="Yu Mincho" w:hAnsi="Times New Roman"/>
                <w:szCs w:val="32"/>
              </w:rPr>
            </w:pPr>
            <w:r w:rsidRPr="00CC08E5">
              <w:rPr>
                <w:rFonts w:ascii="Times New Roman" w:eastAsia="Yu Mincho" w:hAnsi="Times New Roman"/>
                <w:szCs w:val="32"/>
              </w:rPr>
              <w:t>$0</w:t>
            </w:r>
          </w:p>
        </w:tc>
      </w:tr>
      <w:tr w14:paraId="37F236E0" w14:textId="77777777">
        <w:tblPrEx>
          <w:tblW w:w="0" w:type="auto"/>
          <w:tblInd w:w="828" w:type="dxa"/>
          <w:tblLayout w:type="fixed"/>
          <w:tblLook w:val="04A0"/>
        </w:tblPrEx>
        <w:tc>
          <w:tcPr>
            <w:tcW w:w="1152" w:type="dxa"/>
            <w:shd w:val="clear" w:color="auto" w:fill="auto"/>
          </w:tcPr>
          <w:p w:rsidR="00CC08E5" w:rsidRPr="00CC08E5" w:rsidP="00CC08E5" w14:paraId="752FC17B" w14:textId="77777777">
            <w:pPr>
              <w:widowControl/>
              <w:autoSpaceDE/>
              <w:autoSpaceDN/>
              <w:adjustRightInd/>
              <w:ind w:firstLine="45"/>
              <w:contextualSpacing/>
              <w:rPr>
                <w:rFonts w:ascii="Times New Roman" w:eastAsia="Yu Mincho" w:hAnsi="Times New Roman"/>
                <w:b/>
                <w:szCs w:val="32"/>
              </w:rPr>
            </w:pPr>
            <w:r w:rsidRPr="00CC08E5">
              <w:rPr>
                <w:rFonts w:ascii="Times New Roman" w:eastAsia="Yu Mincho" w:hAnsi="Times New Roman"/>
                <w:b/>
                <w:szCs w:val="32"/>
              </w:rPr>
              <w:t>Total</w:t>
            </w:r>
          </w:p>
        </w:tc>
        <w:tc>
          <w:tcPr>
            <w:tcW w:w="1722" w:type="dxa"/>
            <w:shd w:val="clear" w:color="auto" w:fill="auto"/>
          </w:tcPr>
          <w:p w:rsidR="00CC08E5" w:rsidRPr="00CC08E5" w:rsidP="00CC08E5" w14:paraId="441E819F" w14:textId="77777777">
            <w:pPr>
              <w:widowControl/>
              <w:autoSpaceDE/>
              <w:autoSpaceDN/>
              <w:adjustRightInd/>
              <w:ind w:firstLine="45"/>
              <w:contextualSpacing/>
              <w:jc w:val="right"/>
              <w:rPr>
                <w:rFonts w:ascii="Times New Roman" w:eastAsia="Yu Mincho" w:hAnsi="Times New Roman"/>
                <w:b/>
                <w:szCs w:val="32"/>
              </w:rPr>
            </w:pPr>
            <w:r w:rsidRPr="00CC08E5">
              <w:rPr>
                <w:rFonts w:ascii="Times New Roman" w:eastAsia="Yu Mincho" w:hAnsi="Times New Roman"/>
                <w:b/>
                <w:szCs w:val="32"/>
              </w:rPr>
              <w:t>208</w:t>
            </w:r>
          </w:p>
        </w:tc>
        <w:tc>
          <w:tcPr>
            <w:tcW w:w="1723" w:type="dxa"/>
            <w:shd w:val="clear" w:color="auto" w:fill="auto"/>
          </w:tcPr>
          <w:p w:rsidR="00CC08E5" w:rsidRPr="00CC08E5" w:rsidP="00CC08E5" w14:paraId="615F8701" w14:textId="77777777">
            <w:pPr>
              <w:widowControl/>
              <w:autoSpaceDE/>
              <w:autoSpaceDN/>
              <w:adjustRightInd/>
              <w:ind w:firstLine="45"/>
              <w:contextualSpacing/>
              <w:jc w:val="right"/>
              <w:rPr>
                <w:rFonts w:ascii="Times New Roman" w:eastAsia="Yu Mincho" w:hAnsi="Times New Roman"/>
                <w:b/>
                <w:szCs w:val="32"/>
              </w:rPr>
            </w:pPr>
            <w:r w:rsidRPr="00CC08E5">
              <w:rPr>
                <w:rFonts w:ascii="Times New Roman" w:eastAsia="Yu Mincho" w:hAnsi="Times New Roman"/>
                <w:b/>
                <w:szCs w:val="32"/>
              </w:rPr>
              <w:t>$</w:t>
            </w:r>
            <w:r w:rsidRPr="00CC08E5">
              <w:rPr>
                <w:rFonts w:ascii="Times New Roman" w:eastAsia="Yu Mincho" w:hAnsi="Times New Roman"/>
                <w:b/>
                <w:szCs w:val="32"/>
                <w:lang w:val="en"/>
              </w:rPr>
              <w:t>33,063</w:t>
            </w:r>
          </w:p>
        </w:tc>
        <w:tc>
          <w:tcPr>
            <w:tcW w:w="1723" w:type="dxa"/>
          </w:tcPr>
          <w:p w:rsidR="00CC08E5" w:rsidRPr="00CC08E5" w:rsidP="00CC08E5" w14:paraId="28CB0DD4" w14:textId="77777777">
            <w:pPr>
              <w:widowControl/>
              <w:autoSpaceDE/>
              <w:autoSpaceDN/>
              <w:adjustRightInd/>
              <w:ind w:firstLine="45"/>
              <w:contextualSpacing/>
              <w:jc w:val="right"/>
              <w:rPr>
                <w:rFonts w:ascii="Times New Roman" w:eastAsia="Yu Mincho" w:hAnsi="Times New Roman"/>
                <w:b/>
                <w:szCs w:val="32"/>
              </w:rPr>
            </w:pPr>
            <w:r w:rsidRPr="00CC08E5">
              <w:rPr>
                <w:rFonts w:ascii="Times New Roman" w:eastAsia="Yu Mincho" w:hAnsi="Times New Roman"/>
                <w:b/>
                <w:szCs w:val="32"/>
              </w:rPr>
              <w:t>0</w:t>
            </w:r>
          </w:p>
        </w:tc>
        <w:tc>
          <w:tcPr>
            <w:tcW w:w="1723" w:type="dxa"/>
          </w:tcPr>
          <w:p w:rsidR="00CC08E5" w:rsidRPr="00CC08E5" w:rsidP="00CC08E5" w14:paraId="10DE370A" w14:textId="77777777">
            <w:pPr>
              <w:widowControl/>
              <w:autoSpaceDE/>
              <w:autoSpaceDN/>
              <w:adjustRightInd/>
              <w:ind w:firstLine="45"/>
              <w:contextualSpacing/>
              <w:jc w:val="right"/>
              <w:rPr>
                <w:rFonts w:ascii="Times New Roman" w:eastAsia="Yu Mincho" w:hAnsi="Times New Roman"/>
                <w:b/>
                <w:szCs w:val="32"/>
              </w:rPr>
            </w:pPr>
            <w:r w:rsidRPr="00CC08E5">
              <w:rPr>
                <w:rFonts w:ascii="Times New Roman" w:eastAsia="Yu Mincho" w:hAnsi="Times New Roman"/>
                <w:b/>
                <w:szCs w:val="32"/>
              </w:rPr>
              <w:t>$</w:t>
            </w:r>
            <w:r w:rsidRPr="00CC08E5">
              <w:rPr>
                <w:rFonts w:ascii="Times New Roman" w:eastAsia="Yu Mincho" w:hAnsi="Times New Roman"/>
                <w:b/>
                <w:szCs w:val="32"/>
                <w:lang w:val="en"/>
              </w:rPr>
              <w:t>0</w:t>
            </w:r>
          </w:p>
        </w:tc>
      </w:tr>
    </w:tbl>
    <w:p w:rsidR="00CC08E5" w:rsidRPr="000750B5" w:rsidP="00675971" w14:paraId="22F55351" w14:textId="77777777">
      <w:pPr>
        <w:pStyle w:val="Quick1"/>
        <w:numPr>
          <w:ilvl w:val="0"/>
          <w:numId w:val="0"/>
        </w:numPr>
        <w:ind w:left="720"/>
        <w:rPr>
          <w:rFonts w:ascii="Times New Roman" w:hAnsi="Times New Roman"/>
        </w:rPr>
      </w:pPr>
    </w:p>
    <w:p w:rsidR="00035E50" w:rsidRPr="00530597" w:rsidP="000559E7" w14:paraId="39B09192" w14:textId="0A55D137">
      <w:pPr>
        <w:widowControl/>
        <w:autoSpaceDE/>
        <w:autoSpaceDN/>
        <w:adjustRightInd/>
        <w:contextualSpacing/>
        <w:rPr>
          <w:rFonts w:ascii="Times New Roman" w:hAnsi="Times New Roman"/>
        </w:rPr>
      </w:pPr>
    </w:p>
    <w:p w:rsidR="00675971" w:rsidP="00945117" w14:paraId="1A05B55E" w14:textId="77777777">
      <w:pPr>
        <w:widowControl/>
        <w:numPr>
          <w:ilvl w:val="3"/>
          <w:numId w:val="29"/>
        </w:numPr>
        <w:autoSpaceDE/>
        <w:autoSpaceDN/>
        <w:adjustRightInd/>
        <w:contextualSpacing/>
        <w:rPr>
          <w:rFonts w:ascii="Times New Roman" w:hAnsi="Times New Roman"/>
          <w:i/>
        </w:rPr>
      </w:pPr>
      <w:r w:rsidRPr="00530597">
        <w:rPr>
          <w:rFonts w:ascii="Times New Roman" w:hAnsi="Times New Roman"/>
          <w:i/>
        </w:rPr>
        <w:t xml:space="preserve">Written Statement of the Services Provided and the Products the </w:t>
      </w:r>
    </w:p>
    <w:p w:rsidR="00035E50" w:rsidRPr="00530597" w:rsidP="00675971" w14:paraId="45CD6F4C" w14:textId="1396C4B9">
      <w:pPr>
        <w:widowControl/>
        <w:autoSpaceDE/>
        <w:autoSpaceDN/>
        <w:adjustRightInd/>
        <w:ind w:left="1728" w:firstLine="432"/>
        <w:contextualSpacing/>
        <w:rPr>
          <w:rFonts w:ascii="Times New Roman" w:hAnsi="Times New Roman"/>
          <w:i/>
        </w:rPr>
      </w:pPr>
      <w:r w:rsidRPr="00530597">
        <w:rPr>
          <w:rFonts w:ascii="Times New Roman" w:hAnsi="Times New Roman"/>
          <w:i/>
        </w:rPr>
        <w:t>Independent Producer is Licensed and Authorized to Sell</w:t>
      </w:r>
    </w:p>
    <w:p w:rsidR="00002ED1" w:rsidRPr="00530597" w:rsidP="006627A7" w14:paraId="5BFFA866" w14:textId="5A39298A">
      <w:pPr>
        <w:widowControl/>
        <w:autoSpaceDE/>
        <w:autoSpaceDN/>
        <w:adjustRightInd/>
        <w:contextualSpacing/>
        <w:rPr>
          <w:rFonts w:ascii="Times New Roman" w:hAnsi="Times New Roman"/>
        </w:rPr>
      </w:pPr>
    </w:p>
    <w:p w:rsidR="000750B5" w:rsidP="00F01849" w14:paraId="45B884C5" w14:textId="43E8D7EB">
      <w:pPr>
        <w:widowControl/>
        <w:autoSpaceDE/>
        <w:autoSpaceDN/>
        <w:adjustRightInd/>
        <w:ind w:left="720"/>
        <w:contextualSpacing/>
        <w:rPr>
          <w:rFonts w:ascii="Times New Roman" w:hAnsi="Times New Roman"/>
        </w:rPr>
      </w:pPr>
      <w:r w:rsidRPr="000750B5">
        <w:rPr>
          <w:rFonts w:ascii="Times New Roman" w:hAnsi="Times New Roman"/>
        </w:rPr>
        <w:t xml:space="preserve">As discussed above, the Department assumes that 4,000 </w:t>
      </w:r>
      <w:r w:rsidR="00ED1A11">
        <w:rPr>
          <w:rFonts w:ascii="Times New Roman" w:hAnsi="Times New Roman"/>
        </w:rPr>
        <w:t>Independent Producer</w:t>
      </w:r>
      <w:r w:rsidRPr="000750B5">
        <w:rPr>
          <w:rFonts w:ascii="Times New Roman" w:hAnsi="Times New Roman"/>
        </w:rPr>
        <w:t>s service the retirement market, selling the products of 215 insurance companies.</w:t>
      </w:r>
      <w:r w:rsidRPr="000750B5">
        <w:rPr>
          <w:rFonts w:ascii="Times New Roman" w:hAnsi="Times New Roman"/>
        </w:rPr>
        <w:t xml:space="preserve"> </w:t>
      </w:r>
      <w:r w:rsidRPr="000750B5">
        <w:rPr>
          <w:rFonts w:ascii="Times New Roman" w:hAnsi="Times New Roman"/>
        </w:rPr>
        <w:t xml:space="preserve">For disclosures tailored more specifically to an individual </w:t>
      </w:r>
      <w:r w:rsidR="00ED1A11">
        <w:rPr>
          <w:rFonts w:ascii="Times New Roman" w:hAnsi="Times New Roman"/>
        </w:rPr>
        <w:t>Independent Producer</w:t>
      </w:r>
      <w:r w:rsidRPr="000750B5">
        <w:rPr>
          <w:rFonts w:ascii="Times New Roman" w:hAnsi="Times New Roman"/>
        </w:rPr>
        <w:t xml:space="preserve">, the Department assumes that the disclosure would need to be prepared by the </w:t>
      </w:r>
      <w:r w:rsidR="00ED1A11">
        <w:rPr>
          <w:rFonts w:ascii="Times New Roman" w:hAnsi="Times New Roman"/>
        </w:rPr>
        <w:t>Independent Producer</w:t>
      </w:r>
      <w:r w:rsidRPr="000750B5">
        <w:rPr>
          <w:rFonts w:ascii="Times New Roman" w:hAnsi="Times New Roman"/>
        </w:rPr>
        <w:t>.</w:t>
      </w:r>
      <w:r w:rsidRPr="000750B5">
        <w:rPr>
          <w:rFonts w:ascii="Times New Roman" w:hAnsi="Times New Roman"/>
        </w:rPr>
        <w:t xml:space="preserve"> </w:t>
      </w:r>
      <w:r w:rsidRPr="000750B5">
        <w:rPr>
          <w:rFonts w:ascii="Times New Roman" w:hAnsi="Times New Roman"/>
        </w:rPr>
        <w:t xml:space="preserve">The Department recognizes that many </w:t>
      </w:r>
      <w:r w:rsidR="00ED1A11">
        <w:rPr>
          <w:rFonts w:ascii="Times New Roman" w:hAnsi="Times New Roman"/>
        </w:rPr>
        <w:t>Independent Producer</w:t>
      </w:r>
      <w:r w:rsidRPr="000750B5">
        <w:rPr>
          <w:rFonts w:ascii="Times New Roman" w:hAnsi="Times New Roman"/>
        </w:rPr>
        <w:t>s may not have the internal resources to prepare such disclosure.</w:t>
      </w:r>
      <w:r w:rsidRPr="000750B5">
        <w:rPr>
          <w:rFonts w:ascii="Times New Roman" w:hAnsi="Times New Roman"/>
        </w:rPr>
        <w:t xml:space="preserve"> </w:t>
      </w:r>
      <w:r w:rsidRPr="000750B5">
        <w:rPr>
          <w:rFonts w:ascii="Times New Roman" w:hAnsi="Times New Roman"/>
        </w:rPr>
        <w:t>The Department expects that some may rely on intermediaries in the distribution channel to prepare the disclosures and some may seek external legal support.</w:t>
      </w:r>
      <w:r w:rsidRPr="000750B5">
        <w:rPr>
          <w:rFonts w:ascii="Times New Roman" w:hAnsi="Times New Roman"/>
        </w:rPr>
        <w:t xml:space="preserve"> </w:t>
      </w:r>
      <w:r w:rsidRPr="000750B5">
        <w:rPr>
          <w:rFonts w:ascii="Times New Roman" w:hAnsi="Times New Roman"/>
        </w:rPr>
        <w:t>However, the Department expects that the costs associated with the preparation would be covered by commission retained by the intermediary for its services or by the fee paid to external legal support.</w:t>
      </w:r>
      <w:r w:rsidRPr="000750B5">
        <w:rPr>
          <w:rFonts w:ascii="Times New Roman" w:hAnsi="Times New Roman"/>
        </w:rPr>
        <w:t xml:space="preserve"> </w:t>
      </w:r>
      <w:r w:rsidRPr="000750B5">
        <w:rPr>
          <w:rFonts w:ascii="Times New Roman" w:hAnsi="Times New Roman"/>
        </w:rPr>
        <w:t xml:space="preserve">As such, the Department still attributes this cost back to the </w:t>
      </w:r>
      <w:r w:rsidR="00ED1A11">
        <w:rPr>
          <w:rFonts w:ascii="Times New Roman" w:hAnsi="Times New Roman"/>
        </w:rPr>
        <w:t>Independent Producer</w:t>
      </w:r>
      <w:r w:rsidRPr="000750B5">
        <w:rPr>
          <w:rFonts w:ascii="Times New Roman" w:hAnsi="Times New Roman"/>
        </w:rPr>
        <w:t>.</w:t>
      </w:r>
      <w:r w:rsidRPr="000750B5">
        <w:rPr>
          <w:rFonts w:ascii="Times New Roman" w:hAnsi="Times New Roman"/>
        </w:rPr>
        <w:t xml:space="preserve"> </w:t>
      </w:r>
    </w:p>
    <w:p w:rsidR="000750B5" w:rsidRPr="000750B5" w:rsidP="00675971" w14:paraId="54F9D972" w14:textId="77777777">
      <w:pPr>
        <w:widowControl/>
        <w:autoSpaceDE/>
        <w:autoSpaceDN/>
        <w:adjustRightInd/>
        <w:ind w:left="720"/>
        <w:contextualSpacing/>
        <w:rPr>
          <w:rFonts w:ascii="Times New Roman" w:hAnsi="Times New Roman"/>
        </w:rPr>
      </w:pPr>
    </w:p>
    <w:p w:rsidR="000750B5" w:rsidRPr="000750B5" w:rsidP="00675971" w14:paraId="52CA5B92" w14:textId="3CE82475">
      <w:pPr>
        <w:widowControl/>
        <w:autoSpaceDE/>
        <w:autoSpaceDN/>
        <w:adjustRightInd/>
        <w:ind w:left="720"/>
        <w:contextualSpacing/>
        <w:rPr>
          <w:rFonts w:ascii="Times New Roman" w:hAnsi="Times New Roman"/>
        </w:rPr>
      </w:pPr>
      <w:r w:rsidRPr="000750B5">
        <w:rPr>
          <w:rFonts w:ascii="Times New Roman" w:hAnsi="Times New Roman"/>
        </w:rPr>
        <w:t xml:space="preserve">Accordingly, the Department assumes that all 4,000 </w:t>
      </w:r>
      <w:r w:rsidR="00ED1A11">
        <w:rPr>
          <w:rFonts w:ascii="Times New Roman" w:hAnsi="Times New Roman"/>
        </w:rPr>
        <w:t>Independent Producer</w:t>
      </w:r>
      <w:r w:rsidRPr="000750B5">
        <w:rPr>
          <w:rFonts w:ascii="Times New Roman" w:hAnsi="Times New Roman"/>
        </w:rPr>
        <w:t>s in this analysis would need to prepare the disclosure.</w:t>
      </w:r>
      <w:r w:rsidRPr="000750B5">
        <w:rPr>
          <w:rFonts w:ascii="Times New Roman" w:hAnsi="Times New Roman"/>
        </w:rPr>
        <w:t xml:space="preserve"> </w:t>
      </w:r>
      <w:r w:rsidRPr="000750B5">
        <w:rPr>
          <w:rFonts w:ascii="Times New Roman" w:hAnsi="Times New Roman"/>
        </w:rPr>
        <w:t xml:space="preserve">The Department assumes that, for each of these </w:t>
      </w:r>
      <w:r w:rsidR="00ED1A11">
        <w:rPr>
          <w:rFonts w:ascii="Times New Roman" w:hAnsi="Times New Roman"/>
        </w:rPr>
        <w:t>Independent Producer</w:t>
      </w:r>
      <w:r w:rsidRPr="000750B5">
        <w:rPr>
          <w:rFonts w:ascii="Times New Roman" w:hAnsi="Times New Roman"/>
        </w:rPr>
        <w:t>s, an attorney would spend 30 minutes of legal staff time drafting the written description.</w:t>
      </w:r>
      <w:r w:rsidRPr="000750B5">
        <w:rPr>
          <w:rFonts w:ascii="Times New Roman" w:hAnsi="Times New Roman"/>
        </w:rPr>
        <w:t xml:space="preserve"> </w:t>
      </w:r>
      <w:r w:rsidRPr="000750B5">
        <w:rPr>
          <w:rFonts w:ascii="Times New Roman" w:hAnsi="Times New Roman"/>
        </w:rPr>
        <w:t>This results in an hour burden of 2,000 hours with an equivalent cost of $318,680 in the first year.</w:t>
      </w:r>
      <w:r>
        <w:rPr>
          <w:rFonts w:ascii="Times New Roman" w:hAnsi="Times New Roman"/>
          <w:vertAlign w:val="superscript"/>
        </w:rPr>
        <w:footnoteReference w:id="38"/>
      </w:r>
      <w:r w:rsidRPr="000750B5">
        <w:rPr>
          <w:rFonts w:ascii="Times New Roman" w:hAnsi="Times New Roman"/>
        </w:rPr>
        <w:t xml:space="preserve"> </w:t>
      </w:r>
    </w:p>
    <w:p w:rsidR="00CF200B" w:rsidRPr="00530597" w:rsidP="006627A7" w14:paraId="59BCDAB6" w14:textId="03020A86">
      <w:pPr>
        <w:ind w:left="72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722"/>
        <w:gridCol w:w="1723"/>
        <w:gridCol w:w="1723"/>
        <w:gridCol w:w="1723"/>
      </w:tblGrid>
      <w:tr w14:paraId="23E113FF"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D778DD" w:rsidRPr="00D778DD" w:rsidP="00D778DD" w14:paraId="442A3FDF" w14:textId="4781B34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 xml:space="preserve">Table </w:t>
            </w:r>
            <w:r>
              <w:rPr>
                <w:rFonts w:ascii="Times New Roman" w:eastAsia="Yu Mincho" w:hAnsi="Times New Roman"/>
                <w:b/>
                <w:szCs w:val="32"/>
              </w:rPr>
              <w:t>5</w:t>
            </w:r>
            <w:r w:rsidRPr="00D778DD">
              <w:rPr>
                <w:rFonts w:ascii="Times New Roman" w:eastAsia="Yu Mincho" w:hAnsi="Times New Roman"/>
                <w:b/>
                <w:szCs w:val="32"/>
              </w:rPr>
              <w:t>: Hour Burden and Equivalent Cost Associated with the Written Description of Service Provided</w:t>
            </w:r>
          </w:p>
        </w:tc>
      </w:tr>
      <w:tr w14:paraId="7DEF9CE3" w14:textId="77777777">
        <w:tblPrEx>
          <w:tblW w:w="0" w:type="auto"/>
          <w:tblInd w:w="828" w:type="dxa"/>
          <w:tblLayout w:type="fixed"/>
          <w:tblLook w:val="04A0"/>
        </w:tblPrEx>
        <w:tc>
          <w:tcPr>
            <w:tcW w:w="1152" w:type="dxa"/>
            <w:shd w:val="clear" w:color="auto" w:fill="auto"/>
          </w:tcPr>
          <w:p w:rsidR="00D778DD" w:rsidRPr="00D778DD" w:rsidP="00D778DD" w14:paraId="0CC8EA24" w14:textId="77777777">
            <w:pPr>
              <w:widowControl/>
              <w:autoSpaceDE/>
              <w:autoSpaceDN/>
              <w:adjustRightInd/>
              <w:contextualSpacing/>
              <w:jc w:val="center"/>
              <w:rPr>
                <w:rFonts w:ascii="Times New Roman" w:eastAsia="Yu Mincho" w:hAnsi="Times New Roman"/>
                <w:b/>
                <w:szCs w:val="32"/>
              </w:rPr>
            </w:pPr>
          </w:p>
        </w:tc>
        <w:tc>
          <w:tcPr>
            <w:tcW w:w="3445" w:type="dxa"/>
            <w:gridSpan w:val="2"/>
            <w:shd w:val="clear" w:color="auto" w:fill="auto"/>
          </w:tcPr>
          <w:p w:rsidR="00D778DD" w:rsidRPr="00D778DD" w:rsidP="00D778DD" w14:paraId="12CB2C04"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Year 1</w:t>
            </w:r>
          </w:p>
        </w:tc>
        <w:tc>
          <w:tcPr>
            <w:tcW w:w="3446" w:type="dxa"/>
            <w:gridSpan w:val="2"/>
          </w:tcPr>
          <w:p w:rsidR="00D778DD" w:rsidRPr="00D778DD" w:rsidP="00D778DD" w14:paraId="17644D21"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Subsequent Years</w:t>
            </w:r>
          </w:p>
        </w:tc>
      </w:tr>
      <w:tr w14:paraId="42069645" w14:textId="77777777">
        <w:tblPrEx>
          <w:tblW w:w="0" w:type="auto"/>
          <w:tblInd w:w="828" w:type="dxa"/>
          <w:tblLayout w:type="fixed"/>
          <w:tblLook w:val="04A0"/>
        </w:tblPrEx>
        <w:tc>
          <w:tcPr>
            <w:tcW w:w="1152" w:type="dxa"/>
            <w:shd w:val="clear" w:color="auto" w:fill="auto"/>
          </w:tcPr>
          <w:p w:rsidR="00D778DD" w:rsidRPr="00D778DD" w:rsidP="00D778DD" w14:paraId="6C62AF9E"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Activity</w:t>
            </w:r>
          </w:p>
        </w:tc>
        <w:tc>
          <w:tcPr>
            <w:tcW w:w="1722" w:type="dxa"/>
            <w:shd w:val="clear" w:color="auto" w:fill="auto"/>
          </w:tcPr>
          <w:p w:rsidR="00D778DD" w:rsidRPr="00D778DD" w:rsidP="00D778DD" w14:paraId="20F823AE"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Burden Hours</w:t>
            </w:r>
          </w:p>
        </w:tc>
        <w:tc>
          <w:tcPr>
            <w:tcW w:w="1723" w:type="dxa"/>
            <w:shd w:val="clear" w:color="auto" w:fill="auto"/>
          </w:tcPr>
          <w:p w:rsidR="00D778DD" w:rsidRPr="00D778DD" w:rsidP="00D778DD" w14:paraId="6A7D979C"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Equivalent Burden Cost</w:t>
            </w:r>
          </w:p>
        </w:tc>
        <w:tc>
          <w:tcPr>
            <w:tcW w:w="1723" w:type="dxa"/>
          </w:tcPr>
          <w:p w:rsidR="00D778DD" w:rsidRPr="00D778DD" w:rsidP="00D778DD" w14:paraId="6F2E2DDC"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Burden Hours</w:t>
            </w:r>
          </w:p>
        </w:tc>
        <w:tc>
          <w:tcPr>
            <w:tcW w:w="1723" w:type="dxa"/>
          </w:tcPr>
          <w:p w:rsidR="00D778DD" w:rsidRPr="00D778DD" w:rsidP="00D778DD" w14:paraId="59A24A3B" w14:textId="77777777">
            <w:pPr>
              <w:widowControl/>
              <w:autoSpaceDE/>
              <w:autoSpaceDN/>
              <w:adjustRightInd/>
              <w:contextualSpacing/>
              <w:jc w:val="center"/>
              <w:rPr>
                <w:rFonts w:ascii="Times New Roman" w:eastAsia="Yu Mincho" w:hAnsi="Times New Roman"/>
                <w:b/>
                <w:szCs w:val="32"/>
              </w:rPr>
            </w:pPr>
            <w:r w:rsidRPr="00D778DD">
              <w:rPr>
                <w:rFonts w:ascii="Times New Roman" w:eastAsia="Yu Mincho" w:hAnsi="Times New Roman"/>
                <w:b/>
                <w:szCs w:val="32"/>
              </w:rPr>
              <w:t>Equivalent Burden Cost</w:t>
            </w:r>
          </w:p>
        </w:tc>
      </w:tr>
      <w:tr w14:paraId="002EC890" w14:textId="77777777">
        <w:tblPrEx>
          <w:tblW w:w="0" w:type="auto"/>
          <w:tblInd w:w="828" w:type="dxa"/>
          <w:tblLayout w:type="fixed"/>
          <w:tblLook w:val="04A0"/>
        </w:tblPrEx>
        <w:tc>
          <w:tcPr>
            <w:tcW w:w="1152" w:type="dxa"/>
            <w:shd w:val="clear" w:color="auto" w:fill="auto"/>
          </w:tcPr>
          <w:p w:rsidR="00D778DD" w:rsidRPr="00D778DD" w:rsidP="00D778DD" w14:paraId="11BFB0EF" w14:textId="77777777">
            <w:pPr>
              <w:widowControl/>
              <w:autoSpaceDE/>
              <w:autoSpaceDN/>
              <w:adjustRightInd/>
              <w:contextualSpacing/>
              <w:rPr>
                <w:rFonts w:ascii="Times New Roman" w:eastAsia="Yu Mincho" w:hAnsi="Times New Roman"/>
                <w:szCs w:val="32"/>
              </w:rPr>
            </w:pPr>
            <w:r w:rsidRPr="00D778DD">
              <w:rPr>
                <w:rFonts w:ascii="Times New Roman" w:eastAsia="Yu Mincho" w:hAnsi="Times New Roman"/>
                <w:szCs w:val="32"/>
              </w:rPr>
              <w:t>Legal</w:t>
            </w:r>
          </w:p>
        </w:tc>
        <w:tc>
          <w:tcPr>
            <w:tcW w:w="1722" w:type="dxa"/>
            <w:shd w:val="clear" w:color="auto" w:fill="auto"/>
          </w:tcPr>
          <w:p w:rsidR="00D778DD" w:rsidRPr="00D778DD" w:rsidP="00D778DD" w14:paraId="01F36877" w14:textId="77777777">
            <w:pPr>
              <w:widowControl/>
              <w:autoSpaceDE/>
              <w:autoSpaceDN/>
              <w:adjustRightInd/>
              <w:contextualSpacing/>
              <w:jc w:val="right"/>
              <w:rPr>
                <w:rFonts w:ascii="Times New Roman" w:eastAsia="Yu Mincho" w:hAnsi="Times New Roman"/>
                <w:szCs w:val="32"/>
              </w:rPr>
            </w:pPr>
            <w:r w:rsidRPr="00D778DD">
              <w:rPr>
                <w:rFonts w:ascii="Times New Roman" w:eastAsia="Yu Mincho" w:hAnsi="Times New Roman"/>
                <w:szCs w:val="32"/>
              </w:rPr>
              <w:t>2,000</w:t>
            </w:r>
          </w:p>
        </w:tc>
        <w:tc>
          <w:tcPr>
            <w:tcW w:w="1723" w:type="dxa"/>
            <w:shd w:val="clear" w:color="auto" w:fill="auto"/>
          </w:tcPr>
          <w:p w:rsidR="00D778DD" w:rsidRPr="00D778DD" w:rsidP="00D778DD" w14:paraId="71FB5413" w14:textId="77777777">
            <w:pPr>
              <w:widowControl/>
              <w:autoSpaceDE/>
              <w:autoSpaceDN/>
              <w:adjustRightInd/>
              <w:contextualSpacing/>
              <w:jc w:val="right"/>
              <w:rPr>
                <w:rFonts w:ascii="Times New Roman" w:eastAsia="Yu Mincho" w:hAnsi="Times New Roman"/>
                <w:szCs w:val="32"/>
              </w:rPr>
            </w:pPr>
            <w:r w:rsidRPr="00D778DD">
              <w:rPr>
                <w:rFonts w:ascii="Times New Roman" w:eastAsia="Yu Mincho" w:hAnsi="Times New Roman"/>
                <w:szCs w:val="32"/>
              </w:rPr>
              <w:t>$</w:t>
            </w:r>
            <w:r w:rsidRPr="00D778DD">
              <w:rPr>
                <w:rFonts w:ascii="Times New Roman" w:eastAsia="Yu Mincho" w:hAnsi="Times New Roman"/>
                <w:szCs w:val="32"/>
                <w:lang w:val="en"/>
              </w:rPr>
              <w:t>318,680</w:t>
            </w:r>
          </w:p>
        </w:tc>
        <w:tc>
          <w:tcPr>
            <w:tcW w:w="1723" w:type="dxa"/>
          </w:tcPr>
          <w:p w:rsidR="00D778DD" w:rsidRPr="00D778DD" w:rsidP="00D778DD" w14:paraId="51D55B9C" w14:textId="77777777">
            <w:pPr>
              <w:widowControl/>
              <w:autoSpaceDE/>
              <w:autoSpaceDN/>
              <w:adjustRightInd/>
              <w:contextualSpacing/>
              <w:jc w:val="right"/>
              <w:rPr>
                <w:rFonts w:ascii="Times New Roman" w:eastAsia="Yu Mincho" w:hAnsi="Times New Roman"/>
                <w:szCs w:val="32"/>
              </w:rPr>
            </w:pPr>
            <w:r w:rsidRPr="00D778DD">
              <w:rPr>
                <w:rFonts w:ascii="Times New Roman" w:eastAsia="Yu Mincho" w:hAnsi="Times New Roman"/>
                <w:szCs w:val="32"/>
              </w:rPr>
              <w:t>0</w:t>
            </w:r>
          </w:p>
        </w:tc>
        <w:tc>
          <w:tcPr>
            <w:tcW w:w="1723" w:type="dxa"/>
          </w:tcPr>
          <w:p w:rsidR="00D778DD" w:rsidRPr="00D778DD" w:rsidP="00D778DD" w14:paraId="01284013" w14:textId="77777777">
            <w:pPr>
              <w:widowControl/>
              <w:autoSpaceDE/>
              <w:autoSpaceDN/>
              <w:adjustRightInd/>
              <w:contextualSpacing/>
              <w:jc w:val="right"/>
              <w:rPr>
                <w:rFonts w:ascii="Times New Roman" w:eastAsia="Yu Mincho" w:hAnsi="Times New Roman"/>
                <w:szCs w:val="32"/>
              </w:rPr>
            </w:pPr>
            <w:r w:rsidRPr="00D778DD">
              <w:rPr>
                <w:rFonts w:ascii="Times New Roman" w:eastAsia="Yu Mincho" w:hAnsi="Times New Roman"/>
                <w:szCs w:val="32"/>
              </w:rPr>
              <w:t>$0</w:t>
            </w:r>
          </w:p>
        </w:tc>
      </w:tr>
      <w:tr w14:paraId="6F9D8A89" w14:textId="77777777">
        <w:tblPrEx>
          <w:tblW w:w="0" w:type="auto"/>
          <w:tblInd w:w="828" w:type="dxa"/>
          <w:tblLayout w:type="fixed"/>
          <w:tblLook w:val="04A0"/>
        </w:tblPrEx>
        <w:tc>
          <w:tcPr>
            <w:tcW w:w="1152" w:type="dxa"/>
            <w:shd w:val="clear" w:color="auto" w:fill="auto"/>
          </w:tcPr>
          <w:p w:rsidR="00D778DD" w:rsidRPr="00D778DD" w:rsidP="00D778DD" w14:paraId="1DD0DD82" w14:textId="77777777">
            <w:pPr>
              <w:widowControl/>
              <w:autoSpaceDE/>
              <w:autoSpaceDN/>
              <w:adjustRightInd/>
              <w:contextualSpacing/>
              <w:rPr>
                <w:rFonts w:ascii="Times New Roman" w:eastAsia="Yu Mincho" w:hAnsi="Times New Roman"/>
                <w:b/>
                <w:szCs w:val="32"/>
              </w:rPr>
            </w:pPr>
            <w:r w:rsidRPr="00D778DD">
              <w:rPr>
                <w:rFonts w:ascii="Times New Roman" w:eastAsia="Yu Mincho" w:hAnsi="Times New Roman"/>
                <w:b/>
                <w:szCs w:val="32"/>
              </w:rPr>
              <w:t>Total</w:t>
            </w:r>
          </w:p>
        </w:tc>
        <w:tc>
          <w:tcPr>
            <w:tcW w:w="1722" w:type="dxa"/>
            <w:shd w:val="clear" w:color="auto" w:fill="auto"/>
          </w:tcPr>
          <w:p w:rsidR="00D778DD" w:rsidRPr="00D778DD" w:rsidP="00D778DD" w14:paraId="70CE951B" w14:textId="77777777">
            <w:pPr>
              <w:widowControl/>
              <w:autoSpaceDE/>
              <w:autoSpaceDN/>
              <w:adjustRightInd/>
              <w:contextualSpacing/>
              <w:jc w:val="right"/>
              <w:rPr>
                <w:rFonts w:ascii="Times New Roman" w:eastAsia="Yu Mincho" w:hAnsi="Times New Roman"/>
                <w:b/>
                <w:szCs w:val="32"/>
              </w:rPr>
            </w:pPr>
            <w:r w:rsidRPr="00D778DD">
              <w:rPr>
                <w:rFonts w:ascii="Times New Roman" w:eastAsia="Yu Mincho" w:hAnsi="Times New Roman"/>
                <w:b/>
                <w:szCs w:val="32"/>
              </w:rPr>
              <w:t>2,000</w:t>
            </w:r>
          </w:p>
        </w:tc>
        <w:tc>
          <w:tcPr>
            <w:tcW w:w="1723" w:type="dxa"/>
            <w:shd w:val="clear" w:color="auto" w:fill="auto"/>
          </w:tcPr>
          <w:p w:rsidR="00D778DD" w:rsidRPr="00D778DD" w:rsidP="00D778DD" w14:paraId="403B2F2F" w14:textId="77777777">
            <w:pPr>
              <w:widowControl/>
              <w:autoSpaceDE/>
              <w:autoSpaceDN/>
              <w:adjustRightInd/>
              <w:contextualSpacing/>
              <w:jc w:val="right"/>
              <w:rPr>
                <w:rFonts w:ascii="Times New Roman" w:eastAsia="Yu Mincho" w:hAnsi="Times New Roman"/>
                <w:b/>
                <w:szCs w:val="32"/>
              </w:rPr>
            </w:pPr>
            <w:r w:rsidRPr="00D778DD">
              <w:rPr>
                <w:rFonts w:ascii="Times New Roman" w:eastAsia="Yu Mincho" w:hAnsi="Times New Roman"/>
                <w:b/>
                <w:szCs w:val="32"/>
              </w:rPr>
              <w:t>$</w:t>
            </w:r>
            <w:r w:rsidRPr="00D778DD">
              <w:rPr>
                <w:rFonts w:ascii="Times New Roman" w:eastAsia="Yu Mincho" w:hAnsi="Times New Roman"/>
                <w:b/>
                <w:szCs w:val="32"/>
                <w:lang w:val="en"/>
              </w:rPr>
              <w:t>318,680</w:t>
            </w:r>
          </w:p>
        </w:tc>
        <w:tc>
          <w:tcPr>
            <w:tcW w:w="1723" w:type="dxa"/>
          </w:tcPr>
          <w:p w:rsidR="00D778DD" w:rsidRPr="00D778DD" w:rsidP="00D778DD" w14:paraId="398DFA03" w14:textId="77777777">
            <w:pPr>
              <w:widowControl/>
              <w:autoSpaceDE/>
              <w:autoSpaceDN/>
              <w:adjustRightInd/>
              <w:contextualSpacing/>
              <w:jc w:val="right"/>
              <w:rPr>
                <w:rFonts w:ascii="Times New Roman" w:eastAsia="Yu Mincho" w:hAnsi="Times New Roman"/>
                <w:b/>
                <w:szCs w:val="32"/>
              </w:rPr>
            </w:pPr>
            <w:r w:rsidRPr="00D778DD">
              <w:rPr>
                <w:rFonts w:ascii="Times New Roman" w:eastAsia="Yu Mincho" w:hAnsi="Times New Roman"/>
                <w:b/>
                <w:szCs w:val="32"/>
              </w:rPr>
              <w:t>0</w:t>
            </w:r>
          </w:p>
        </w:tc>
        <w:tc>
          <w:tcPr>
            <w:tcW w:w="1723" w:type="dxa"/>
          </w:tcPr>
          <w:p w:rsidR="00D778DD" w:rsidRPr="00D778DD" w:rsidP="00D778DD" w14:paraId="16BD1A10" w14:textId="77777777">
            <w:pPr>
              <w:widowControl/>
              <w:autoSpaceDE/>
              <w:autoSpaceDN/>
              <w:adjustRightInd/>
              <w:contextualSpacing/>
              <w:jc w:val="right"/>
              <w:rPr>
                <w:rFonts w:ascii="Times New Roman" w:eastAsia="Yu Mincho" w:hAnsi="Times New Roman"/>
                <w:b/>
                <w:szCs w:val="32"/>
              </w:rPr>
            </w:pPr>
            <w:r w:rsidRPr="00D778DD">
              <w:rPr>
                <w:rFonts w:ascii="Times New Roman" w:eastAsia="Yu Mincho" w:hAnsi="Times New Roman"/>
                <w:b/>
                <w:szCs w:val="32"/>
              </w:rPr>
              <w:t>$</w:t>
            </w:r>
            <w:r w:rsidRPr="00D778DD">
              <w:rPr>
                <w:rFonts w:ascii="Times New Roman" w:eastAsia="Yu Mincho" w:hAnsi="Times New Roman"/>
                <w:b/>
                <w:szCs w:val="32"/>
                <w:lang w:val="en"/>
              </w:rPr>
              <w:t>0</w:t>
            </w:r>
          </w:p>
        </w:tc>
      </w:tr>
    </w:tbl>
    <w:p w:rsidR="00CF200B" w:rsidRPr="00530597" w:rsidP="006627A7" w14:paraId="005A5C26" w14:textId="77777777">
      <w:pPr>
        <w:ind w:left="720"/>
        <w:contextualSpacing/>
        <w:rPr>
          <w:rFonts w:ascii="Times New Roman" w:hAnsi="Times New Roman"/>
        </w:rPr>
      </w:pPr>
    </w:p>
    <w:p w:rsidR="00035E50" w:rsidRPr="00530597" w:rsidP="00035E50" w14:paraId="42361832" w14:textId="77777777">
      <w:pPr>
        <w:widowControl/>
        <w:autoSpaceDE/>
        <w:autoSpaceDN/>
        <w:adjustRightInd/>
        <w:ind w:left="1440"/>
        <w:contextualSpacing/>
        <w:rPr>
          <w:rFonts w:ascii="Times New Roman" w:hAnsi="Times New Roman"/>
        </w:rPr>
      </w:pPr>
    </w:p>
    <w:p w:rsidR="00675971" w:rsidP="00945117" w14:paraId="41F49CE1" w14:textId="77777777">
      <w:pPr>
        <w:widowControl/>
        <w:numPr>
          <w:ilvl w:val="3"/>
          <w:numId w:val="29"/>
        </w:numPr>
        <w:autoSpaceDE/>
        <w:autoSpaceDN/>
        <w:adjustRightInd/>
        <w:contextualSpacing/>
        <w:rPr>
          <w:rFonts w:ascii="Times New Roman" w:hAnsi="Times New Roman"/>
          <w:i/>
        </w:rPr>
      </w:pPr>
      <w:r w:rsidRPr="00530597">
        <w:rPr>
          <w:rFonts w:ascii="Times New Roman" w:hAnsi="Times New Roman"/>
          <w:i/>
        </w:rPr>
        <w:t xml:space="preserve">Written Statement of the Independent Producer’s Material Conflicts of </w:t>
      </w:r>
    </w:p>
    <w:p w:rsidR="00035E50" w:rsidRPr="00530597" w:rsidP="00675971" w14:paraId="304AFBA0" w14:textId="5032A519">
      <w:pPr>
        <w:widowControl/>
        <w:autoSpaceDE/>
        <w:autoSpaceDN/>
        <w:adjustRightInd/>
        <w:ind w:left="2160"/>
        <w:contextualSpacing/>
        <w:rPr>
          <w:rFonts w:ascii="Times New Roman" w:hAnsi="Times New Roman"/>
          <w:i/>
        </w:rPr>
      </w:pPr>
      <w:r w:rsidRPr="00530597">
        <w:rPr>
          <w:rFonts w:ascii="Times New Roman" w:hAnsi="Times New Roman"/>
          <w:i/>
        </w:rPr>
        <w:t>Interest, and the Amount of the Insurance Commission that Will be Paid to the Independent Producer in Connection with the Purchase by a Retirement Investor of the Recommended Annuity</w:t>
      </w:r>
    </w:p>
    <w:p w:rsidR="00BE6D2B" w:rsidRPr="00530597" w:rsidP="006627A7" w14:paraId="2BFFB3CA" w14:textId="77777777">
      <w:pPr>
        <w:widowControl/>
        <w:autoSpaceDE/>
        <w:autoSpaceDN/>
        <w:adjustRightInd/>
        <w:contextualSpacing/>
        <w:rPr>
          <w:rFonts w:ascii="Times New Roman" w:hAnsi="Times New Roman"/>
        </w:rPr>
      </w:pPr>
    </w:p>
    <w:p w:rsidR="000750B5" w:rsidP="00F01849" w14:paraId="094AC84C" w14:textId="6B46AD5E">
      <w:pPr>
        <w:widowControl/>
        <w:autoSpaceDE/>
        <w:autoSpaceDN/>
        <w:adjustRightInd/>
        <w:ind w:left="720"/>
        <w:contextualSpacing/>
        <w:rPr>
          <w:rFonts w:ascii="Times New Roman" w:hAnsi="Times New Roman"/>
        </w:rPr>
      </w:pPr>
      <w:r w:rsidRPr="000750B5">
        <w:rPr>
          <w:rFonts w:ascii="Times New Roman" w:hAnsi="Times New Roman"/>
        </w:rPr>
        <w:t xml:space="preserve">As discussed above, for disclosures tailored more specifically to an individual </w:t>
      </w:r>
      <w:r w:rsidR="00ED1A11">
        <w:rPr>
          <w:rFonts w:ascii="Times New Roman" w:hAnsi="Times New Roman"/>
        </w:rPr>
        <w:t>Independent Producer</w:t>
      </w:r>
      <w:r w:rsidRPr="000750B5">
        <w:rPr>
          <w:rFonts w:ascii="Times New Roman" w:hAnsi="Times New Roman"/>
        </w:rPr>
        <w:t xml:space="preserve">, the Department assumes that the disclosure would need to be prepared by the </w:t>
      </w:r>
      <w:r w:rsidR="00ED1A11">
        <w:rPr>
          <w:rFonts w:ascii="Times New Roman" w:hAnsi="Times New Roman"/>
        </w:rPr>
        <w:t>Independent Producer</w:t>
      </w:r>
      <w:r w:rsidRPr="000750B5">
        <w:rPr>
          <w:rFonts w:ascii="Times New Roman" w:hAnsi="Times New Roman"/>
        </w:rPr>
        <w:t>.</w:t>
      </w:r>
      <w:r w:rsidRPr="000750B5">
        <w:rPr>
          <w:rFonts w:ascii="Times New Roman" w:hAnsi="Times New Roman"/>
        </w:rPr>
        <w:t xml:space="preserve"> </w:t>
      </w:r>
      <w:r w:rsidRPr="000750B5">
        <w:rPr>
          <w:rFonts w:ascii="Times New Roman" w:hAnsi="Times New Roman"/>
        </w:rPr>
        <w:t xml:space="preserve">The Department recognizes that many </w:t>
      </w:r>
      <w:r w:rsidR="00ED1A11">
        <w:rPr>
          <w:rFonts w:ascii="Times New Roman" w:hAnsi="Times New Roman"/>
        </w:rPr>
        <w:t>Independent Producer</w:t>
      </w:r>
      <w:r w:rsidRPr="000750B5">
        <w:rPr>
          <w:rFonts w:ascii="Times New Roman" w:hAnsi="Times New Roman"/>
        </w:rPr>
        <w:t>s may not have the internal resources to prepare such disclosure, however they may already have a similar statement to satisfy other legal requirements.</w:t>
      </w:r>
      <w:r w:rsidRPr="000750B5">
        <w:rPr>
          <w:rFonts w:ascii="Times New Roman" w:hAnsi="Times New Roman"/>
        </w:rPr>
        <w:t xml:space="preserve"> </w:t>
      </w:r>
      <w:r w:rsidRPr="000750B5">
        <w:rPr>
          <w:rFonts w:ascii="Times New Roman" w:hAnsi="Times New Roman"/>
        </w:rPr>
        <w:t>The Department expects that some may rely on intermediaries in the distribution channel to prepare the disclosures and some may seek external legal support.</w:t>
      </w:r>
      <w:r w:rsidRPr="000750B5">
        <w:rPr>
          <w:rFonts w:ascii="Times New Roman" w:hAnsi="Times New Roman"/>
        </w:rPr>
        <w:t xml:space="preserve"> </w:t>
      </w:r>
      <w:r w:rsidRPr="000750B5">
        <w:rPr>
          <w:rFonts w:ascii="Times New Roman" w:hAnsi="Times New Roman"/>
        </w:rPr>
        <w:t>However, the Department expects that the costs associated with the preparation would be covered by the commission retained by the intermediary for its services or by the fee paid to external legal support.</w:t>
      </w:r>
      <w:r w:rsidRPr="000750B5">
        <w:rPr>
          <w:rFonts w:ascii="Times New Roman" w:hAnsi="Times New Roman"/>
        </w:rPr>
        <w:t xml:space="preserve"> </w:t>
      </w:r>
      <w:r w:rsidRPr="000750B5">
        <w:rPr>
          <w:rFonts w:ascii="Times New Roman" w:hAnsi="Times New Roman"/>
        </w:rPr>
        <w:t xml:space="preserve">As such, the Department still attributes this cost back to the </w:t>
      </w:r>
      <w:r w:rsidR="00ED1A11">
        <w:rPr>
          <w:rFonts w:ascii="Times New Roman" w:hAnsi="Times New Roman"/>
        </w:rPr>
        <w:t>Independent Producer</w:t>
      </w:r>
      <w:r w:rsidRPr="000750B5">
        <w:rPr>
          <w:rFonts w:ascii="Times New Roman" w:hAnsi="Times New Roman"/>
        </w:rPr>
        <w:t>.</w:t>
      </w:r>
      <w:r w:rsidRPr="000750B5">
        <w:rPr>
          <w:rFonts w:ascii="Times New Roman" w:hAnsi="Times New Roman"/>
        </w:rPr>
        <w:t xml:space="preserve"> </w:t>
      </w:r>
    </w:p>
    <w:p w:rsidR="000750B5" w:rsidRPr="000750B5" w:rsidP="00675971" w14:paraId="51BDB369" w14:textId="77777777">
      <w:pPr>
        <w:widowControl/>
        <w:autoSpaceDE/>
        <w:autoSpaceDN/>
        <w:adjustRightInd/>
        <w:ind w:left="720"/>
        <w:contextualSpacing/>
        <w:rPr>
          <w:rFonts w:ascii="Times New Roman" w:hAnsi="Times New Roman"/>
        </w:rPr>
      </w:pPr>
    </w:p>
    <w:p w:rsidR="000750B5" w:rsidRPr="000750B5" w:rsidP="00675971" w14:paraId="14F2C54F" w14:textId="1175CD1D">
      <w:pPr>
        <w:widowControl/>
        <w:autoSpaceDE/>
        <w:autoSpaceDN/>
        <w:adjustRightInd/>
        <w:ind w:left="720"/>
        <w:contextualSpacing/>
        <w:rPr>
          <w:rFonts w:ascii="Times New Roman" w:hAnsi="Times New Roman"/>
        </w:rPr>
      </w:pPr>
      <w:r w:rsidRPr="000750B5">
        <w:rPr>
          <w:rFonts w:ascii="Times New Roman" w:hAnsi="Times New Roman"/>
        </w:rPr>
        <w:t xml:space="preserve">Accordingly, the Department assumes that all 4,000 </w:t>
      </w:r>
      <w:r w:rsidR="00ED1A11">
        <w:rPr>
          <w:rFonts w:ascii="Times New Roman" w:hAnsi="Times New Roman"/>
        </w:rPr>
        <w:t>Independent Producer</w:t>
      </w:r>
      <w:r w:rsidRPr="000750B5">
        <w:rPr>
          <w:rFonts w:ascii="Times New Roman" w:hAnsi="Times New Roman"/>
        </w:rPr>
        <w:t>s in this analysis would need to prepare the disclosure.</w:t>
      </w:r>
      <w:r w:rsidRPr="000750B5">
        <w:rPr>
          <w:rFonts w:ascii="Times New Roman" w:hAnsi="Times New Roman"/>
        </w:rPr>
        <w:t xml:space="preserve"> </w:t>
      </w:r>
      <w:r w:rsidRPr="000750B5">
        <w:rPr>
          <w:rFonts w:ascii="Times New Roman" w:hAnsi="Times New Roman"/>
        </w:rPr>
        <w:t xml:space="preserve">The Department assumes that, for each of these entities, an attorney would spend one hour of legal staff time drafting the written </w:t>
      </w:r>
      <w:r w:rsidRPr="000750B5">
        <w:rPr>
          <w:rFonts w:ascii="Times New Roman" w:hAnsi="Times New Roman"/>
        </w:rPr>
        <w:t>description.</w:t>
      </w:r>
      <w:r w:rsidRPr="000750B5">
        <w:rPr>
          <w:rFonts w:ascii="Times New Roman" w:hAnsi="Times New Roman"/>
        </w:rPr>
        <w:t xml:space="preserve"> </w:t>
      </w:r>
      <w:r w:rsidRPr="000750B5">
        <w:rPr>
          <w:rFonts w:ascii="Times New Roman" w:hAnsi="Times New Roman"/>
        </w:rPr>
        <w:t xml:space="preserve">This results in an hour burden </w:t>
      </w:r>
      <w:r w:rsidRPr="000750B5">
        <w:rPr>
          <w:rFonts w:ascii="Times New Roman" w:hAnsi="Times New Roman"/>
        </w:rPr>
        <w:t xml:space="preserve">of </w:t>
      </w:r>
      <w:r w:rsidRPr="000750B5">
        <w:rPr>
          <w:rFonts w:ascii="Times New Roman" w:hAnsi="Times New Roman"/>
        </w:rPr>
        <w:t>4,000 hours with an equivalent cost of $637,360 in the first year.</w:t>
      </w:r>
      <w:r>
        <w:rPr>
          <w:rFonts w:ascii="Times New Roman" w:hAnsi="Times New Roman"/>
          <w:vertAlign w:val="superscript"/>
        </w:rPr>
        <w:footnoteReference w:id="39"/>
      </w:r>
      <w:r w:rsidRPr="000750B5">
        <w:rPr>
          <w:rFonts w:ascii="Times New Roman" w:hAnsi="Times New Roman"/>
        </w:rPr>
        <w:t xml:space="preserve"> </w:t>
      </w:r>
    </w:p>
    <w:p w:rsidR="00BE6D2B" w:rsidRPr="00530597" w:rsidP="006627A7" w14:paraId="023F98E7" w14:textId="77777777">
      <w:pPr>
        <w:ind w:left="72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722"/>
        <w:gridCol w:w="1723"/>
        <w:gridCol w:w="1723"/>
        <w:gridCol w:w="1723"/>
      </w:tblGrid>
      <w:tr w14:paraId="7C0BE035"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7D0D62" w:rsidRPr="007D0D62" w:rsidP="007D0D62" w14:paraId="72B3F005" w14:textId="4A62A72A">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 xml:space="preserve">Table </w:t>
            </w:r>
            <w:r>
              <w:rPr>
                <w:rFonts w:ascii="Times New Roman" w:eastAsia="Yu Mincho" w:hAnsi="Times New Roman"/>
                <w:b/>
                <w:szCs w:val="32"/>
              </w:rPr>
              <w:t>6</w:t>
            </w:r>
            <w:r w:rsidRPr="007D0D62">
              <w:rPr>
                <w:rFonts w:ascii="Times New Roman" w:eastAsia="Yu Mincho" w:hAnsi="Times New Roman"/>
                <w:b/>
                <w:szCs w:val="32"/>
              </w:rPr>
              <w:t>: Hour Burden and Equivalent Cost Associated with the Written Statement of the Independent Producer’s Material Conflicts of Interest</w:t>
            </w:r>
          </w:p>
        </w:tc>
      </w:tr>
      <w:tr w14:paraId="267D0CAF" w14:textId="77777777">
        <w:tblPrEx>
          <w:tblW w:w="0" w:type="auto"/>
          <w:tblInd w:w="828" w:type="dxa"/>
          <w:tblLayout w:type="fixed"/>
          <w:tblLook w:val="04A0"/>
        </w:tblPrEx>
        <w:tc>
          <w:tcPr>
            <w:tcW w:w="1152" w:type="dxa"/>
            <w:shd w:val="clear" w:color="auto" w:fill="auto"/>
          </w:tcPr>
          <w:p w:rsidR="007D0D62" w:rsidRPr="007D0D62" w:rsidP="007D0D62" w14:paraId="6EA53CC6" w14:textId="77777777">
            <w:pPr>
              <w:widowControl/>
              <w:autoSpaceDE/>
              <w:autoSpaceDN/>
              <w:adjustRightInd/>
              <w:contextualSpacing/>
              <w:jc w:val="center"/>
              <w:rPr>
                <w:rFonts w:ascii="Times New Roman" w:eastAsia="Yu Mincho" w:hAnsi="Times New Roman"/>
                <w:b/>
                <w:szCs w:val="32"/>
              </w:rPr>
            </w:pPr>
          </w:p>
        </w:tc>
        <w:tc>
          <w:tcPr>
            <w:tcW w:w="3445" w:type="dxa"/>
            <w:gridSpan w:val="2"/>
            <w:shd w:val="clear" w:color="auto" w:fill="auto"/>
          </w:tcPr>
          <w:p w:rsidR="007D0D62" w:rsidRPr="007D0D62" w:rsidP="007D0D62" w14:paraId="54196AF2"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Year 1</w:t>
            </w:r>
          </w:p>
        </w:tc>
        <w:tc>
          <w:tcPr>
            <w:tcW w:w="3446" w:type="dxa"/>
            <w:gridSpan w:val="2"/>
          </w:tcPr>
          <w:p w:rsidR="007D0D62" w:rsidRPr="007D0D62" w:rsidP="007D0D62" w14:paraId="6E2898DB"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Subsequent Years</w:t>
            </w:r>
          </w:p>
        </w:tc>
      </w:tr>
      <w:tr w14:paraId="4D3C3820" w14:textId="77777777">
        <w:tblPrEx>
          <w:tblW w:w="0" w:type="auto"/>
          <w:tblInd w:w="828" w:type="dxa"/>
          <w:tblLayout w:type="fixed"/>
          <w:tblLook w:val="04A0"/>
        </w:tblPrEx>
        <w:tc>
          <w:tcPr>
            <w:tcW w:w="1152" w:type="dxa"/>
            <w:shd w:val="clear" w:color="auto" w:fill="auto"/>
          </w:tcPr>
          <w:p w:rsidR="007D0D62" w:rsidRPr="007D0D62" w:rsidP="007D0D62" w14:paraId="265C6A9F"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Activity</w:t>
            </w:r>
          </w:p>
        </w:tc>
        <w:tc>
          <w:tcPr>
            <w:tcW w:w="1722" w:type="dxa"/>
            <w:shd w:val="clear" w:color="auto" w:fill="auto"/>
          </w:tcPr>
          <w:p w:rsidR="007D0D62" w:rsidRPr="007D0D62" w:rsidP="007D0D62" w14:paraId="42730F75"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Burden Hours</w:t>
            </w:r>
          </w:p>
        </w:tc>
        <w:tc>
          <w:tcPr>
            <w:tcW w:w="1723" w:type="dxa"/>
            <w:shd w:val="clear" w:color="auto" w:fill="auto"/>
          </w:tcPr>
          <w:p w:rsidR="007D0D62" w:rsidRPr="007D0D62" w:rsidP="007D0D62" w14:paraId="5324D019"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Equivalent Burden Cost</w:t>
            </w:r>
          </w:p>
        </w:tc>
        <w:tc>
          <w:tcPr>
            <w:tcW w:w="1723" w:type="dxa"/>
          </w:tcPr>
          <w:p w:rsidR="007D0D62" w:rsidRPr="007D0D62" w:rsidP="007D0D62" w14:paraId="46502BB1"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Burden Hours</w:t>
            </w:r>
          </w:p>
        </w:tc>
        <w:tc>
          <w:tcPr>
            <w:tcW w:w="1723" w:type="dxa"/>
          </w:tcPr>
          <w:p w:rsidR="007D0D62" w:rsidRPr="007D0D62" w:rsidP="007D0D62" w14:paraId="0CA912A0" w14:textId="77777777">
            <w:pPr>
              <w:widowControl/>
              <w:autoSpaceDE/>
              <w:autoSpaceDN/>
              <w:adjustRightInd/>
              <w:contextualSpacing/>
              <w:jc w:val="center"/>
              <w:rPr>
                <w:rFonts w:ascii="Times New Roman" w:eastAsia="Yu Mincho" w:hAnsi="Times New Roman"/>
                <w:b/>
                <w:szCs w:val="32"/>
              </w:rPr>
            </w:pPr>
            <w:r w:rsidRPr="007D0D62">
              <w:rPr>
                <w:rFonts w:ascii="Times New Roman" w:eastAsia="Yu Mincho" w:hAnsi="Times New Roman"/>
                <w:b/>
                <w:szCs w:val="32"/>
              </w:rPr>
              <w:t>Equivalent Burden Cost</w:t>
            </w:r>
          </w:p>
        </w:tc>
      </w:tr>
      <w:tr w14:paraId="0ABB4143" w14:textId="77777777">
        <w:tblPrEx>
          <w:tblW w:w="0" w:type="auto"/>
          <w:tblInd w:w="828" w:type="dxa"/>
          <w:tblLayout w:type="fixed"/>
          <w:tblLook w:val="04A0"/>
        </w:tblPrEx>
        <w:tc>
          <w:tcPr>
            <w:tcW w:w="1152" w:type="dxa"/>
            <w:shd w:val="clear" w:color="auto" w:fill="auto"/>
          </w:tcPr>
          <w:p w:rsidR="007D0D62" w:rsidRPr="007D0D62" w:rsidP="007D0D62" w14:paraId="1A41FFB7" w14:textId="77777777">
            <w:pPr>
              <w:widowControl/>
              <w:autoSpaceDE/>
              <w:autoSpaceDN/>
              <w:adjustRightInd/>
              <w:contextualSpacing/>
              <w:rPr>
                <w:rFonts w:ascii="Times New Roman" w:eastAsia="Yu Mincho" w:hAnsi="Times New Roman"/>
                <w:szCs w:val="32"/>
              </w:rPr>
            </w:pPr>
            <w:r w:rsidRPr="007D0D62">
              <w:rPr>
                <w:rFonts w:ascii="Times New Roman" w:eastAsia="Yu Mincho" w:hAnsi="Times New Roman"/>
                <w:szCs w:val="32"/>
              </w:rPr>
              <w:t>Legal</w:t>
            </w:r>
          </w:p>
        </w:tc>
        <w:tc>
          <w:tcPr>
            <w:tcW w:w="1722" w:type="dxa"/>
            <w:shd w:val="clear" w:color="auto" w:fill="auto"/>
          </w:tcPr>
          <w:p w:rsidR="007D0D62" w:rsidRPr="007D0D62" w:rsidP="007D0D62" w14:paraId="70FBCC05" w14:textId="77777777">
            <w:pPr>
              <w:widowControl/>
              <w:autoSpaceDE/>
              <w:autoSpaceDN/>
              <w:adjustRightInd/>
              <w:contextualSpacing/>
              <w:jc w:val="right"/>
              <w:rPr>
                <w:rFonts w:ascii="Times New Roman" w:eastAsia="Yu Mincho" w:hAnsi="Times New Roman"/>
                <w:szCs w:val="32"/>
              </w:rPr>
            </w:pPr>
            <w:r w:rsidRPr="007D0D62">
              <w:rPr>
                <w:rFonts w:ascii="Times New Roman" w:eastAsia="Yu Mincho" w:hAnsi="Times New Roman"/>
                <w:szCs w:val="32"/>
              </w:rPr>
              <w:t>4,000</w:t>
            </w:r>
          </w:p>
        </w:tc>
        <w:tc>
          <w:tcPr>
            <w:tcW w:w="1723" w:type="dxa"/>
            <w:shd w:val="clear" w:color="auto" w:fill="auto"/>
          </w:tcPr>
          <w:p w:rsidR="007D0D62" w:rsidRPr="007D0D62" w:rsidP="007D0D62" w14:paraId="06CED308" w14:textId="77777777">
            <w:pPr>
              <w:widowControl/>
              <w:autoSpaceDE/>
              <w:autoSpaceDN/>
              <w:adjustRightInd/>
              <w:contextualSpacing/>
              <w:jc w:val="right"/>
              <w:rPr>
                <w:rFonts w:ascii="Times New Roman" w:eastAsia="Yu Mincho" w:hAnsi="Times New Roman"/>
                <w:szCs w:val="32"/>
              </w:rPr>
            </w:pPr>
            <w:r w:rsidRPr="007D0D62">
              <w:rPr>
                <w:rFonts w:ascii="Times New Roman" w:eastAsia="Yu Mincho" w:hAnsi="Times New Roman"/>
                <w:szCs w:val="32"/>
              </w:rPr>
              <w:t>$</w:t>
            </w:r>
            <w:r w:rsidRPr="007D0D62">
              <w:rPr>
                <w:rFonts w:ascii="Times New Roman" w:eastAsia="Yu Mincho" w:hAnsi="Times New Roman"/>
                <w:szCs w:val="32"/>
                <w:lang w:val="en"/>
              </w:rPr>
              <w:t>637,360</w:t>
            </w:r>
          </w:p>
        </w:tc>
        <w:tc>
          <w:tcPr>
            <w:tcW w:w="1723" w:type="dxa"/>
          </w:tcPr>
          <w:p w:rsidR="007D0D62" w:rsidRPr="007D0D62" w:rsidP="007D0D62" w14:paraId="47828D15" w14:textId="77777777">
            <w:pPr>
              <w:widowControl/>
              <w:autoSpaceDE/>
              <w:autoSpaceDN/>
              <w:adjustRightInd/>
              <w:contextualSpacing/>
              <w:jc w:val="right"/>
              <w:rPr>
                <w:rFonts w:ascii="Times New Roman" w:eastAsia="Yu Mincho" w:hAnsi="Times New Roman"/>
                <w:szCs w:val="32"/>
              </w:rPr>
            </w:pPr>
            <w:r w:rsidRPr="007D0D62">
              <w:rPr>
                <w:rFonts w:ascii="Times New Roman" w:eastAsia="Yu Mincho" w:hAnsi="Times New Roman"/>
                <w:szCs w:val="32"/>
              </w:rPr>
              <w:t>0</w:t>
            </w:r>
          </w:p>
        </w:tc>
        <w:tc>
          <w:tcPr>
            <w:tcW w:w="1723" w:type="dxa"/>
          </w:tcPr>
          <w:p w:rsidR="007D0D62" w:rsidRPr="007D0D62" w:rsidP="007D0D62" w14:paraId="766B3ACA" w14:textId="77777777">
            <w:pPr>
              <w:widowControl/>
              <w:autoSpaceDE/>
              <w:autoSpaceDN/>
              <w:adjustRightInd/>
              <w:contextualSpacing/>
              <w:jc w:val="right"/>
              <w:rPr>
                <w:rFonts w:ascii="Times New Roman" w:eastAsia="Yu Mincho" w:hAnsi="Times New Roman"/>
                <w:szCs w:val="32"/>
              </w:rPr>
            </w:pPr>
            <w:r w:rsidRPr="007D0D62">
              <w:rPr>
                <w:rFonts w:ascii="Times New Roman" w:eastAsia="Yu Mincho" w:hAnsi="Times New Roman"/>
                <w:szCs w:val="32"/>
              </w:rPr>
              <w:t>$0</w:t>
            </w:r>
          </w:p>
        </w:tc>
      </w:tr>
      <w:tr w14:paraId="68BB74A9" w14:textId="77777777">
        <w:tblPrEx>
          <w:tblW w:w="0" w:type="auto"/>
          <w:tblInd w:w="828" w:type="dxa"/>
          <w:tblLayout w:type="fixed"/>
          <w:tblLook w:val="04A0"/>
        </w:tblPrEx>
        <w:tc>
          <w:tcPr>
            <w:tcW w:w="1152" w:type="dxa"/>
            <w:shd w:val="clear" w:color="auto" w:fill="auto"/>
          </w:tcPr>
          <w:p w:rsidR="007D0D62" w:rsidRPr="007D0D62" w:rsidP="007D0D62" w14:paraId="4CC34DC7" w14:textId="77777777">
            <w:pPr>
              <w:widowControl/>
              <w:autoSpaceDE/>
              <w:autoSpaceDN/>
              <w:adjustRightInd/>
              <w:contextualSpacing/>
              <w:rPr>
                <w:rFonts w:ascii="Times New Roman" w:eastAsia="Yu Mincho" w:hAnsi="Times New Roman"/>
                <w:b/>
                <w:szCs w:val="32"/>
              </w:rPr>
            </w:pPr>
            <w:r w:rsidRPr="007D0D62">
              <w:rPr>
                <w:rFonts w:ascii="Times New Roman" w:eastAsia="Yu Mincho" w:hAnsi="Times New Roman"/>
                <w:b/>
                <w:szCs w:val="32"/>
              </w:rPr>
              <w:t>Total</w:t>
            </w:r>
          </w:p>
        </w:tc>
        <w:tc>
          <w:tcPr>
            <w:tcW w:w="1722" w:type="dxa"/>
            <w:shd w:val="clear" w:color="auto" w:fill="auto"/>
          </w:tcPr>
          <w:p w:rsidR="007D0D62" w:rsidRPr="007D0D62" w:rsidP="007D0D62" w14:paraId="7B8BAC19" w14:textId="77777777">
            <w:pPr>
              <w:widowControl/>
              <w:autoSpaceDE/>
              <w:autoSpaceDN/>
              <w:adjustRightInd/>
              <w:contextualSpacing/>
              <w:jc w:val="right"/>
              <w:rPr>
                <w:rFonts w:ascii="Times New Roman" w:eastAsia="Yu Mincho" w:hAnsi="Times New Roman"/>
                <w:b/>
                <w:szCs w:val="32"/>
              </w:rPr>
            </w:pPr>
            <w:r w:rsidRPr="007D0D62">
              <w:rPr>
                <w:rFonts w:ascii="Times New Roman" w:eastAsia="Yu Mincho" w:hAnsi="Times New Roman"/>
                <w:b/>
                <w:szCs w:val="32"/>
              </w:rPr>
              <w:t>4,000</w:t>
            </w:r>
          </w:p>
        </w:tc>
        <w:tc>
          <w:tcPr>
            <w:tcW w:w="1723" w:type="dxa"/>
            <w:shd w:val="clear" w:color="auto" w:fill="auto"/>
          </w:tcPr>
          <w:p w:rsidR="007D0D62" w:rsidRPr="007D0D62" w:rsidP="007D0D62" w14:paraId="38562EFF" w14:textId="77777777">
            <w:pPr>
              <w:widowControl/>
              <w:autoSpaceDE/>
              <w:autoSpaceDN/>
              <w:adjustRightInd/>
              <w:contextualSpacing/>
              <w:jc w:val="right"/>
              <w:rPr>
                <w:rFonts w:ascii="Times New Roman" w:eastAsia="Yu Mincho" w:hAnsi="Times New Roman"/>
                <w:b/>
                <w:szCs w:val="32"/>
              </w:rPr>
            </w:pPr>
            <w:r w:rsidRPr="007D0D62">
              <w:rPr>
                <w:rFonts w:ascii="Times New Roman" w:eastAsia="Yu Mincho" w:hAnsi="Times New Roman"/>
                <w:b/>
                <w:szCs w:val="32"/>
              </w:rPr>
              <w:t>$</w:t>
            </w:r>
            <w:r w:rsidRPr="007D0D62">
              <w:rPr>
                <w:rFonts w:ascii="Times New Roman" w:eastAsia="Yu Mincho" w:hAnsi="Times New Roman"/>
                <w:b/>
                <w:szCs w:val="32"/>
                <w:lang w:val="en"/>
              </w:rPr>
              <w:t>637,360</w:t>
            </w:r>
          </w:p>
        </w:tc>
        <w:tc>
          <w:tcPr>
            <w:tcW w:w="1723" w:type="dxa"/>
          </w:tcPr>
          <w:p w:rsidR="007D0D62" w:rsidRPr="007D0D62" w:rsidP="007D0D62" w14:paraId="5D55C679" w14:textId="77777777">
            <w:pPr>
              <w:widowControl/>
              <w:autoSpaceDE/>
              <w:autoSpaceDN/>
              <w:adjustRightInd/>
              <w:contextualSpacing/>
              <w:jc w:val="right"/>
              <w:rPr>
                <w:rFonts w:ascii="Times New Roman" w:eastAsia="Yu Mincho" w:hAnsi="Times New Roman"/>
                <w:b/>
                <w:szCs w:val="32"/>
              </w:rPr>
            </w:pPr>
            <w:r w:rsidRPr="007D0D62">
              <w:rPr>
                <w:rFonts w:ascii="Times New Roman" w:eastAsia="Yu Mincho" w:hAnsi="Times New Roman"/>
                <w:b/>
                <w:szCs w:val="32"/>
              </w:rPr>
              <w:t>0</w:t>
            </w:r>
          </w:p>
        </w:tc>
        <w:tc>
          <w:tcPr>
            <w:tcW w:w="1723" w:type="dxa"/>
          </w:tcPr>
          <w:p w:rsidR="007D0D62" w:rsidRPr="007D0D62" w:rsidP="007D0D62" w14:paraId="3EAC07FE" w14:textId="77777777">
            <w:pPr>
              <w:widowControl/>
              <w:autoSpaceDE/>
              <w:autoSpaceDN/>
              <w:adjustRightInd/>
              <w:contextualSpacing/>
              <w:jc w:val="right"/>
              <w:rPr>
                <w:rFonts w:ascii="Times New Roman" w:eastAsia="Yu Mincho" w:hAnsi="Times New Roman"/>
                <w:b/>
                <w:szCs w:val="32"/>
              </w:rPr>
            </w:pPr>
            <w:r w:rsidRPr="007D0D62">
              <w:rPr>
                <w:rFonts w:ascii="Times New Roman" w:eastAsia="Yu Mincho" w:hAnsi="Times New Roman"/>
                <w:b/>
                <w:szCs w:val="32"/>
              </w:rPr>
              <w:t>$</w:t>
            </w:r>
            <w:r w:rsidRPr="007D0D62">
              <w:rPr>
                <w:rFonts w:ascii="Times New Roman" w:eastAsia="Yu Mincho" w:hAnsi="Times New Roman"/>
                <w:b/>
                <w:szCs w:val="32"/>
                <w:lang w:val="en"/>
              </w:rPr>
              <w:t>0</w:t>
            </w:r>
          </w:p>
        </w:tc>
      </w:tr>
    </w:tbl>
    <w:p w:rsidR="00035E50" w:rsidRPr="00530597" w:rsidP="00035E50" w14:paraId="6B83278D" w14:textId="77777777">
      <w:pPr>
        <w:widowControl/>
        <w:autoSpaceDE/>
        <w:autoSpaceDN/>
        <w:adjustRightInd/>
        <w:ind w:left="1440"/>
        <w:contextualSpacing/>
        <w:rPr>
          <w:rFonts w:ascii="Times New Roman" w:hAnsi="Times New Roman"/>
        </w:rPr>
      </w:pPr>
    </w:p>
    <w:p w:rsidR="00035E50" w:rsidRPr="00530597" w:rsidP="00460945" w14:paraId="219136B3" w14:textId="246C51DA">
      <w:pPr>
        <w:widowControl/>
        <w:numPr>
          <w:ilvl w:val="3"/>
          <w:numId w:val="29"/>
        </w:numPr>
        <w:autoSpaceDE/>
        <w:autoSpaceDN/>
        <w:adjustRightInd/>
        <w:ind w:left="2160" w:hanging="1080"/>
        <w:contextualSpacing/>
        <w:rPr>
          <w:rFonts w:ascii="Times New Roman" w:hAnsi="Times New Roman"/>
          <w:i/>
        </w:rPr>
      </w:pPr>
      <w:r w:rsidRPr="00530597">
        <w:rPr>
          <w:rFonts w:ascii="Times New Roman" w:hAnsi="Times New Roman"/>
          <w:i/>
        </w:rPr>
        <w:t xml:space="preserve">Before </w:t>
      </w:r>
      <w:r w:rsidR="00460945">
        <w:rPr>
          <w:rFonts w:ascii="Times New Roman" w:hAnsi="Times New Roman"/>
          <w:i/>
        </w:rPr>
        <w:t xml:space="preserve">Recommending an Annuity, </w:t>
      </w:r>
      <w:r w:rsidRPr="00530597">
        <w:rPr>
          <w:rFonts w:ascii="Times New Roman" w:hAnsi="Times New Roman"/>
          <w:i/>
        </w:rPr>
        <w:t>Engaging</w:t>
      </w:r>
      <w:r w:rsidRPr="00530597">
        <w:rPr>
          <w:rFonts w:ascii="Times New Roman" w:hAnsi="Times New Roman"/>
          <w:i/>
        </w:rPr>
        <w:t xml:space="preserve"> in a Rollover, or Making a Recommendation to a Plan Participant as to the Post-Rollover Investment of Assets Currently Held in a Plan, the Independent Producer Must Document Its Conclusions as to Whether a Rollover is in the Investor’s Best Interest</w:t>
      </w:r>
    </w:p>
    <w:p w:rsidR="00035E50" w:rsidP="00945117" w14:paraId="6FFBC687" w14:textId="77777777">
      <w:pPr>
        <w:widowControl/>
        <w:autoSpaceDE/>
        <w:autoSpaceDN/>
        <w:adjustRightInd/>
        <w:contextualSpacing/>
        <w:rPr>
          <w:rFonts w:ascii="Times New Roman" w:hAnsi="Times New Roman"/>
          <w:i/>
        </w:rPr>
      </w:pPr>
    </w:p>
    <w:p w:rsidR="000750B5" w:rsidP="00F01849" w14:paraId="53DE87AD" w14:textId="61D201F2">
      <w:pPr>
        <w:widowControl/>
        <w:autoSpaceDE/>
        <w:autoSpaceDN/>
        <w:adjustRightInd/>
        <w:ind w:left="720"/>
        <w:contextualSpacing/>
        <w:rPr>
          <w:rFonts w:ascii="Times New Roman" w:hAnsi="Times New Roman"/>
        </w:rPr>
      </w:pPr>
      <w:r w:rsidRPr="000750B5">
        <w:rPr>
          <w:rFonts w:ascii="Times New Roman" w:hAnsi="Times New Roman"/>
        </w:rPr>
        <w:t xml:space="preserve">The proposed amendment would require an </w:t>
      </w:r>
      <w:r w:rsidR="00ED1A11">
        <w:rPr>
          <w:rFonts w:ascii="Times New Roman" w:hAnsi="Times New Roman"/>
        </w:rPr>
        <w:t>Independent Producer</w:t>
      </w:r>
      <w:r w:rsidRPr="000750B5">
        <w:rPr>
          <w:rFonts w:ascii="Times New Roman" w:hAnsi="Times New Roman"/>
        </w:rPr>
        <w:t xml:space="preserve"> to provide a disclosure to investors that documents their consideration as to whether a </w:t>
      </w:r>
      <w:r w:rsidR="00E959F2">
        <w:rPr>
          <w:rFonts w:ascii="Times New Roman" w:hAnsi="Times New Roman"/>
        </w:rPr>
        <w:t xml:space="preserve">recommended annuity </w:t>
      </w:r>
      <w:r w:rsidR="00FD1425">
        <w:rPr>
          <w:rFonts w:ascii="Times New Roman" w:hAnsi="Times New Roman"/>
        </w:rPr>
        <w:t xml:space="preserve">or </w:t>
      </w:r>
      <w:r w:rsidRPr="000750B5">
        <w:rPr>
          <w:rFonts w:ascii="Times New Roman" w:hAnsi="Times New Roman"/>
        </w:rPr>
        <w:t xml:space="preserve">rollover is in the retirement investor’s best interest. Due to the nature of this disclosure, the Department assumes that the content of the disclosure would need to be prepared by the </w:t>
      </w:r>
      <w:r w:rsidR="00ED1A11">
        <w:rPr>
          <w:rFonts w:ascii="Times New Roman" w:hAnsi="Times New Roman"/>
        </w:rPr>
        <w:t>Independent Producer</w:t>
      </w:r>
      <w:r w:rsidRPr="000750B5">
        <w:rPr>
          <w:rFonts w:ascii="Times New Roman" w:hAnsi="Times New Roman"/>
        </w:rPr>
        <w:t>.</w:t>
      </w:r>
      <w:r w:rsidRPr="000750B5">
        <w:rPr>
          <w:rFonts w:ascii="Times New Roman" w:hAnsi="Times New Roman"/>
        </w:rPr>
        <w:t xml:space="preserve"> </w:t>
      </w:r>
      <w:r w:rsidRPr="000750B5">
        <w:rPr>
          <w:rFonts w:ascii="Times New Roman" w:hAnsi="Times New Roman"/>
        </w:rPr>
        <w:t>The Department recognizes that some may rely on intermediaries in the distribution channel, and some may seek external legal support to assist with drafting the disclosures.</w:t>
      </w:r>
      <w:r w:rsidRPr="000750B5">
        <w:rPr>
          <w:rFonts w:ascii="Times New Roman" w:hAnsi="Times New Roman"/>
        </w:rPr>
        <w:t xml:space="preserve"> </w:t>
      </w:r>
      <w:r w:rsidRPr="000750B5">
        <w:rPr>
          <w:rFonts w:ascii="Times New Roman" w:hAnsi="Times New Roman"/>
        </w:rPr>
        <w:t xml:space="preserve">However, the Department expects that most </w:t>
      </w:r>
      <w:r w:rsidR="00ED1A11">
        <w:rPr>
          <w:rFonts w:ascii="Times New Roman" w:hAnsi="Times New Roman"/>
        </w:rPr>
        <w:t>Independent Producer</w:t>
      </w:r>
      <w:r w:rsidRPr="000750B5">
        <w:rPr>
          <w:rFonts w:ascii="Times New Roman" w:hAnsi="Times New Roman"/>
        </w:rPr>
        <w:t>s would prepare the disclosure themselves.</w:t>
      </w:r>
      <w:r w:rsidRPr="000750B5">
        <w:rPr>
          <w:rFonts w:ascii="Times New Roman" w:hAnsi="Times New Roman"/>
        </w:rPr>
        <w:t xml:space="preserve"> </w:t>
      </w:r>
    </w:p>
    <w:p w:rsidR="000750B5" w:rsidRPr="000750B5" w:rsidP="00675971" w14:paraId="1EFDEC10" w14:textId="77777777">
      <w:pPr>
        <w:widowControl/>
        <w:autoSpaceDE/>
        <w:autoSpaceDN/>
        <w:adjustRightInd/>
        <w:ind w:left="720"/>
        <w:contextualSpacing/>
        <w:rPr>
          <w:rFonts w:ascii="Times New Roman" w:hAnsi="Times New Roman"/>
        </w:rPr>
      </w:pPr>
    </w:p>
    <w:p w:rsidR="000750B5" w:rsidP="00F01849" w14:paraId="1B07CB2C" w14:textId="23ECA7AB">
      <w:pPr>
        <w:widowControl/>
        <w:autoSpaceDE/>
        <w:autoSpaceDN/>
        <w:adjustRightInd/>
        <w:ind w:left="720"/>
        <w:contextualSpacing/>
        <w:rPr>
          <w:rFonts w:ascii="Times New Roman" w:hAnsi="Times New Roman"/>
          <w:vertAlign w:val="superscript"/>
        </w:rPr>
      </w:pPr>
      <w:r w:rsidRPr="000750B5">
        <w:rPr>
          <w:rFonts w:ascii="Times New Roman" w:hAnsi="Times New Roman"/>
        </w:rPr>
        <w:t xml:space="preserve">For the purposes of this analysis, the Department uses its estimate for the number of new IRA accounts held by insurance companies as a proxy for the number of retirement investors that have relationships with </w:t>
      </w:r>
      <w:r w:rsidR="00ED1A11">
        <w:rPr>
          <w:rFonts w:ascii="Times New Roman" w:hAnsi="Times New Roman"/>
        </w:rPr>
        <w:t>Independent Producer</w:t>
      </w:r>
      <w:r w:rsidRPr="000750B5">
        <w:rPr>
          <w:rFonts w:ascii="Times New Roman" w:hAnsi="Times New Roman"/>
        </w:rPr>
        <w:t>s that would engage in transactions covered under the exemption. As such, the Department estimates that 52,449 retirement investors would receive documentation on whether the recommended annuity is in their best interest each year.</w:t>
      </w:r>
      <w:r w:rsidRPr="000750B5">
        <w:rPr>
          <w:rFonts w:ascii="Times New Roman" w:hAnsi="Times New Roman"/>
          <w:vertAlign w:val="superscript"/>
        </w:rPr>
        <w:t xml:space="preserve"> </w:t>
      </w:r>
      <w:r>
        <w:rPr>
          <w:rFonts w:ascii="Times New Roman" w:hAnsi="Times New Roman"/>
          <w:vertAlign w:val="superscript"/>
        </w:rPr>
        <w:footnoteReference w:id="40"/>
      </w:r>
    </w:p>
    <w:p w:rsidR="000750B5" w:rsidRPr="000750B5" w:rsidP="00675971" w14:paraId="4EDA12E3" w14:textId="77777777">
      <w:pPr>
        <w:widowControl/>
        <w:autoSpaceDE/>
        <w:autoSpaceDN/>
        <w:adjustRightInd/>
        <w:ind w:left="720"/>
        <w:contextualSpacing/>
        <w:rPr>
          <w:rFonts w:ascii="Times New Roman" w:hAnsi="Times New Roman"/>
        </w:rPr>
      </w:pPr>
    </w:p>
    <w:p w:rsidR="000750B5" w:rsidRPr="000750B5" w:rsidP="00675971" w14:paraId="150A09DD" w14:textId="6E7D86B4">
      <w:pPr>
        <w:widowControl/>
        <w:autoSpaceDE/>
        <w:autoSpaceDN/>
        <w:adjustRightInd/>
        <w:ind w:left="720"/>
        <w:contextualSpacing/>
        <w:rPr>
          <w:rFonts w:ascii="Times New Roman" w:hAnsi="Times New Roman"/>
        </w:rPr>
      </w:pPr>
      <w:r w:rsidRPr="000750B5">
        <w:rPr>
          <w:rFonts w:ascii="Times New Roman" w:hAnsi="Times New Roman"/>
        </w:rPr>
        <w:t xml:space="preserve">The Department assumes that, for each of these </w:t>
      </w:r>
      <w:r w:rsidR="00E62DBD">
        <w:rPr>
          <w:rFonts w:ascii="Times New Roman" w:hAnsi="Times New Roman"/>
        </w:rPr>
        <w:t>R</w:t>
      </w:r>
      <w:r w:rsidRPr="000750B5">
        <w:rPr>
          <w:rFonts w:ascii="Times New Roman" w:hAnsi="Times New Roman"/>
        </w:rPr>
        <w:t xml:space="preserve">etirement </w:t>
      </w:r>
      <w:r w:rsidR="00E62DBD">
        <w:rPr>
          <w:rFonts w:ascii="Times New Roman" w:hAnsi="Times New Roman"/>
        </w:rPr>
        <w:t>I</w:t>
      </w:r>
      <w:r w:rsidRPr="000750B5">
        <w:rPr>
          <w:rFonts w:ascii="Times New Roman" w:hAnsi="Times New Roman"/>
        </w:rPr>
        <w:t xml:space="preserve">nvestors, an </w:t>
      </w:r>
      <w:r w:rsidR="00ED1A11">
        <w:rPr>
          <w:rFonts w:ascii="Times New Roman" w:hAnsi="Times New Roman"/>
        </w:rPr>
        <w:t>Independent Producer</w:t>
      </w:r>
      <w:r w:rsidRPr="000750B5">
        <w:rPr>
          <w:rFonts w:ascii="Times New Roman" w:hAnsi="Times New Roman"/>
        </w:rPr>
        <w:t xml:space="preserve"> would spend one hour of a financial manager’s time drafting the documentation. This results in an estimated hour burden of 52,449 hours with an equivalent cost of $8.3 million annually.</w:t>
      </w:r>
      <w:r>
        <w:rPr>
          <w:rFonts w:ascii="Times New Roman" w:hAnsi="Times New Roman"/>
          <w:vertAlign w:val="superscript"/>
        </w:rPr>
        <w:footnoteReference w:id="41"/>
      </w:r>
      <w:r w:rsidRPr="000750B5">
        <w:rPr>
          <w:rFonts w:ascii="Times New Roman" w:hAnsi="Times New Roman"/>
        </w:rPr>
        <w:t xml:space="preserve"> </w:t>
      </w:r>
    </w:p>
    <w:p w:rsidR="009A32EA" w:rsidRPr="00530597" w:rsidP="006627A7" w14:paraId="49EEDE16" w14:textId="6F8D5F90">
      <w:pPr>
        <w:widowControl/>
        <w:autoSpaceDE/>
        <w:autoSpaceDN/>
        <w:adjustRightInd/>
        <w:ind w:left="144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7"/>
        <w:gridCol w:w="1547"/>
        <w:gridCol w:w="1723"/>
        <w:gridCol w:w="1723"/>
        <w:gridCol w:w="1723"/>
      </w:tblGrid>
      <w:tr w14:paraId="23C84DFD"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D9297E" w:rsidRPr="00D9297E" w:rsidP="00D9297E" w14:paraId="5825234E" w14:textId="190954BB">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 xml:space="preserve">Table </w:t>
            </w:r>
            <w:r>
              <w:rPr>
                <w:rFonts w:ascii="Times New Roman" w:eastAsia="Yu Mincho" w:hAnsi="Times New Roman"/>
                <w:b/>
                <w:szCs w:val="32"/>
              </w:rPr>
              <w:t>7</w:t>
            </w:r>
            <w:r w:rsidRPr="00D9297E">
              <w:rPr>
                <w:rFonts w:ascii="Times New Roman" w:eastAsia="Yu Mincho" w:hAnsi="Times New Roman"/>
                <w:b/>
                <w:szCs w:val="32"/>
              </w:rPr>
              <w:t>:</w:t>
            </w:r>
            <w:r w:rsidRPr="00D9297E">
              <w:rPr>
                <w:rFonts w:ascii="Times New Roman" w:eastAsia="Yu Mincho" w:hAnsi="Times New Roman"/>
                <w:b/>
                <w:szCs w:val="32"/>
              </w:rPr>
              <w:t xml:space="preserve"> </w:t>
            </w:r>
            <w:r w:rsidRPr="00D9297E">
              <w:rPr>
                <w:rFonts w:ascii="Times New Roman" w:eastAsia="Yu Mincho" w:hAnsi="Times New Roman"/>
                <w:b/>
                <w:szCs w:val="32"/>
              </w:rPr>
              <w:t>Hour Burden and Equivalent Cost Associated with the Rollover Documentation</w:t>
            </w:r>
          </w:p>
        </w:tc>
      </w:tr>
      <w:tr w14:paraId="4A9A7B9C" w14:textId="77777777">
        <w:tblPrEx>
          <w:tblW w:w="0" w:type="auto"/>
          <w:tblInd w:w="828" w:type="dxa"/>
          <w:tblLayout w:type="fixed"/>
          <w:tblLook w:val="04A0"/>
        </w:tblPrEx>
        <w:tc>
          <w:tcPr>
            <w:tcW w:w="1327" w:type="dxa"/>
            <w:shd w:val="clear" w:color="auto" w:fill="auto"/>
          </w:tcPr>
          <w:p w:rsidR="00D9297E" w:rsidRPr="00D9297E" w:rsidP="00D9297E" w14:paraId="5664B6E7" w14:textId="77777777">
            <w:pPr>
              <w:widowControl/>
              <w:autoSpaceDE/>
              <w:autoSpaceDN/>
              <w:adjustRightInd/>
              <w:contextualSpacing/>
              <w:jc w:val="center"/>
              <w:rPr>
                <w:rFonts w:ascii="Times New Roman" w:eastAsia="Yu Mincho" w:hAnsi="Times New Roman"/>
                <w:b/>
                <w:szCs w:val="32"/>
              </w:rPr>
            </w:pPr>
          </w:p>
        </w:tc>
        <w:tc>
          <w:tcPr>
            <w:tcW w:w="3270" w:type="dxa"/>
            <w:gridSpan w:val="2"/>
            <w:shd w:val="clear" w:color="auto" w:fill="auto"/>
          </w:tcPr>
          <w:p w:rsidR="00D9297E" w:rsidRPr="00D9297E" w:rsidP="00D9297E" w14:paraId="70C9AD82"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Year 1</w:t>
            </w:r>
          </w:p>
        </w:tc>
        <w:tc>
          <w:tcPr>
            <w:tcW w:w="3446" w:type="dxa"/>
            <w:gridSpan w:val="2"/>
          </w:tcPr>
          <w:p w:rsidR="00D9297E" w:rsidRPr="00D9297E" w:rsidP="00D9297E" w14:paraId="04123C28"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Subsequent Years</w:t>
            </w:r>
          </w:p>
        </w:tc>
      </w:tr>
      <w:tr w14:paraId="27BCF180" w14:textId="77777777">
        <w:tblPrEx>
          <w:tblW w:w="0" w:type="auto"/>
          <w:tblInd w:w="828" w:type="dxa"/>
          <w:tblLayout w:type="fixed"/>
          <w:tblLook w:val="04A0"/>
        </w:tblPrEx>
        <w:tc>
          <w:tcPr>
            <w:tcW w:w="1327" w:type="dxa"/>
            <w:shd w:val="clear" w:color="auto" w:fill="auto"/>
          </w:tcPr>
          <w:p w:rsidR="00D9297E" w:rsidRPr="00D9297E" w:rsidP="00D9297E" w14:paraId="2384E88A"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Activity</w:t>
            </w:r>
          </w:p>
        </w:tc>
        <w:tc>
          <w:tcPr>
            <w:tcW w:w="1547" w:type="dxa"/>
            <w:shd w:val="clear" w:color="auto" w:fill="auto"/>
          </w:tcPr>
          <w:p w:rsidR="00D9297E" w:rsidRPr="00D9297E" w:rsidP="00D9297E" w14:paraId="3CD9B9F2"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Burden Hours</w:t>
            </w:r>
          </w:p>
        </w:tc>
        <w:tc>
          <w:tcPr>
            <w:tcW w:w="1723" w:type="dxa"/>
            <w:shd w:val="clear" w:color="auto" w:fill="auto"/>
          </w:tcPr>
          <w:p w:rsidR="00D9297E" w:rsidRPr="00D9297E" w:rsidP="00D9297E" w14:paraId="07BF3B28"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Equivalent Burden Cost</w:t>
            </w:r>
          </w:p>
        </w:tc>
        <w:tc>
          <w:tcPr>
            <w:tcW w:w="1723" w:type="dxa"/>
          </w:tcPr>
          <w:p w:rsidR="00D9297E" w:rsidRPr="00D9297E" w:rsidP="00D9297E" w14:paraId="4E4D1086"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Burden Hours</w:t>
            </w:r>
          </w:p>
        </w:tc>
        <w:tc>
          <w:tcPr>
            <w:tcW w:w="1723" w:type="dxa"/>
          </w:tcPr>
          <w:p w:rsidR="00D9297E" w:rsidRPr="00D9297E" w:rsidP="00D9297E" w14:paraId="7D7FB7D9" w14:textId="77777777">
            <w:pPr>
              <w:widowControl/>
              <w:autoSpaceDE/>
              <w:autoSpaceDN/>
              <w:adjustRightInd/>
              <w:contextualSpacing/>
              <w:jc w:val="center"/>
              <w:rPr>
                <w:rFonts w:ascii="Times New Roman" w:eastAsia="Yu Mincho" w:hAnsi="Times New Roman"/>
                <w:b/>
                <w:szCs w:val="32"/>
              </w:rPr>
            </w:pPr>
            <w:r w:rsidRPr="00D9297E">
              <w:rPr>
                <w:rFonts w:ascii="Times New Roman" w:eastAsia="Yu Mincho" w:hAnsi="Times New Roman"/>
                <w:b/>
                <w:szCs w:val="32"/>
              </w:rPr>
              <w:t>Equivalent Burden Cost</w:t>
            </w:r>
          </w:p>
        </w:tc>
      </w:tr>
      <w:tr w14:paraId="50A8FE24" w14:textId="77777777">
        <w:tblPrEx>
          <w:tblW w:w="0" w:type="auto"/>
          <w:tblInd w:w="828" w:type="dxa"/>
          <w:tblLayout w:type="fixed"/>
          <w:tblLook w:val="04A0"/>
        </w:tblPrEx>
        <w:tc>
          <w:tcPr>
            <w:tcW w:w="1327" w:type="dxa"/>
            <w:shd w:val="clear" w:color="auto" w:fill="auto"/>
          </w:tcPr>
          <w:p w:rsidR="00D9297E" w:rsidRPr="00D9297E" w:rsidP="00D9297E" w14:paraId="1689841C" w14:textId="77777777">
            <w:pPr>
              <w:widowControl/>
              <w:autoSpaceDE/>
              <w:autoSpaceDN/>
              <w:adjustRightInd/>
              <w:contextualSpacing/>
              <w:rPr>
                <w:rFonts w:ascii="Times New Roman" w:eastAsia="Yu Mincho" w:hAnsi="Times New Roman"/>
                <w:szCs w:val="32"/>
              </w:rPr>
            </w:pPr>
            <w:r w:rsidRPr="00D9297E">
              <w:rPr>
                <w:rFonts w:ascii="Times New Roman" w:eastAsia="Yu Mincho" w:hAnsi="Times New Roman"/>
                <w:szCs w:val="32"/>
              </w:rPr>
              <w:t>Insurance Sales Agent</w:t>
            </w:r>
          </w:p>
        </w:tc>
        <w:tc>
          <w:tcPr>
            <w:tcW w:w="1547" w:type="dxa"/>
            <w:shd w:val="clear" w:color="auto" w:fill="auto"/>
          </w:tcPr>
          <w:p w:rsidR="00D9297E" w:rsidRPr="00D9297E" w:rsidP="00D9297E" w14:paraId="349DDA06" w14:textId="77777777">
            <w:pPr>
              <w:widowControl/>
              <w:autoSpaceDE/>
              <w:autoSpaceDN/>
              <w:adjustRightInd/>
              <w:contextualSpacing/>
              <w:jc w:val="right"/>
              <w:rPr>
                <w:rFonts w:ascii="Times New Roman" w:eastAsia="Yu Mincho" w:hAnsi="Times New Roman"/>
                <w:szCs w:val="32"/>
              </w:rPr>
            </w:pPr>
            <w:r w:rsidRPr="00D9297E">
              <w:rPr>
                <w:rFonts w:ascii="Times New Roman" w:eastAsia="Yu Mincho" w:hAnsi="Times New Roman"/>
                <w:szCs w:val="32"/>
              </w:rPr>
              <w:t>52,449</w:t>
            </w:r>
          </w:p>
        </w:tc>
        <w:tc>
          <w:tcPr>
            <w:tcW w:w="1723" w:type="dxa"/>
            <w:shd w:val="clear" w:color="auto" w:fill="auto"/>
          </w:tcPr>
          <w:p w:rsidR="00D9297E" w:rsidRPr="00D9297E" w:rsidP="00D9297E" w14:paraId="26C1E655" w14:textId="77777777">
            <w:pPr>
              <w:widowControl/>
              <w:autoSpaceDE/>
              <w:autoSpaceDN/>
              <w:adjustRightInd/>
              <w:contextualSpacing/>
              <w:jc w:val="right"/>
              <w:rPr>
                <w:rFonts w:ascii="Times New Roman" w:eastAsia="Yu Mincho" w:hAnsi="Times New Roman"/>
                <w:szCs w:val="32"/>
              </w:rPr>
            </w:pPr>
            <w:r w:rsidRPr="00D9297E">
              <w:rPr>
                <w:rFonts w:ascii="Times New Roman" w:eastAsia="Yu Mincho" w:hAnsi="Times New Roman"/>
                <w:szCs w:val="32"/>
              </w:rPr>
              <w:t>$8,336,244</w:t>
            </w:r>
          </w:p>
        </w:tc>
        <w:tc>
          <w:tcPr>
            <w:tcW w:w="1723" w:type="dxa"/>
          </w:tcPr>
          <w:p w:rsidR="00D9297E" w:rsidRPr="00D9297E" w:rsidP="00D9297E" w14:paraId="77AE0FA9" w14:textId="77777777">
            <w:pPr>
              <w:widowControl/>
              <w:autoSpaceDE/>
              <w:autoSpaceDN/>
              <w:adjustRightInd/>
              <w:contextualSpacing/>
              <w:jc w:val="right"/>
              <w:rPr>
                <w:rFonts w:ascii="Times New Roman" w:eastAsia="Yu Mincho" w:hAnsi="Times New Roman"/>
                <w:szCs w:val="32"/>
              </w:rPr>
            </w:pPr>
            <w:r w:rsidRPr="00D9297E">
              <w:rPr>
                <w:rFonts w:ascii="Times New Roman" w:eastAsia="Yu Mincho" w:hAnsi="Times New Roman"/>
                <w:szCs w:val="32"/>
              </w:rPr>
              <w:t>52,449</w:t>
            </w:r>
          </w:p>
        </w:tc>
        <w:tc>
          <w:tcPr>
            <w:tcW w:w="1723" w:type="dxa"/>
          </w:tcPr>
          <w:p w:rsidR="00D9297E" w:rsidRPr="00D9297E" w:rsidP="00D9297E" w14:paraId="6B9BBCDB" w14:textId="77777777">
            <w:pPr>
              <w:widowControl/>
              <w:autoSpaceDE/>
              <w:autoSpaceDN/>
              <w:adjustRightInd/>
              <w:contextualSpacing/>
              <w:jc w:val="right"/>
              <w:rPr>
                <w:rFonts w:ascii="Times New Roman" w:eastAsia="Yu Mincho" w:hAnsi="Times New Roman"/>
                <w:szCs w:val="32"/>
              </w:rPr>
            </w:pPr>
            <w:r w:rsidRPr="00D9297E">
              <w:rPr>
                <w:rFonts w:ascii="Times New Roman" w:eastAsia="Yu Mincho" w:hAnsi="Times New Roman"/>
                <w:szCs w:val="32"/>
              </w:rPr>
              <w:t>$8,336,244</w:t>
            </w:r>
          </w:p>
        </w:tc>
      </w:tr>
      <w:tr w14:paraId="3305E217" w14:textId="77777777">
        <w:tblPrEx>
          <w:tblW w:w="0" w:type="auto"/>
          <w:tblInd w:w="828" w:type="dxa"/>
          <w:tblLayout w:type="fixed"/>
          <w:tblLook w:val="04A0"/>
        </w:tblPrEx>
        <w:tc>
          <w:tcPr>
            <w:tcW w:w="1327" w:type="dxa"/>
            <w:shd w:val="clear" w:color="auto" w:fill="auto"/>
          </w:tcPr>
          <w:p w:rsidR="00D9297E" w:rsidRPr="00D9297E" w:rsidP="00D9297E" w14:paraId="7E2A8A29" w14:textId="77777777">
            <w:pPr>
              <w:widowControl/>
              <w:autoSpaceDE/>
              <w:autoSpaceDN/>
              <w:adjustRightInd/>
              <w:contextualSpacing/>
              <w:rPr>
                <w:rFonts w:ascii="Times New Roman" w:eastAsia="Yu Mincho" w:hAnsi="Times New Roman"/>
                <w:b/>
                <w:szCs w:val="32"/>
              </w:rPr>
            </w:pPr>
            <w:r w:rsidRPr="00D9297E">
              <w:rPr>
                <w:rFonts w:ascii="Times New Roman" w:eastAsia="Yu Mincho" w:hAnsi="Times New Roman"/>
                <w:b/>
                <w:szCs w:val="32"/>
              </w:rPr>
              <w:t>Total</w:t>
            </w:r>
          </w:p>
        </w:tc>
        <w:tc>
          <w:tcPr>
            <w:tcW w:w="1547" w:type="dxa"/>
            <w:shd w:val="clear" w:color="auto" w:fill="auto"/>
          </w:tcPr>
          <w:p w:rsidR="00D9297E" w:rsidRPr="00D9297E" w:rsidP="00D9297E" w14:paraId="410333FE" w14:textId="77777777">
            <w:pPr>
              <w:widowControl/>
              <w:autoSpaceDE/>
              <w:autoSpaceDN/>
              <w:adjustRightInd/>
              <w:contextualSpacing/>
              <w:jc w:val="right"/>
              <w:rPr>
                <w:rFonts w:ascii="Times New Roman" w:eastAsia="Yu Mincho" w:hAnsi="Times New Roman"/>
                <w:b/>
                <w:szCs w:val="32"/>
              </w:rPr>
            </w:pPr>
            <w:r w:rsidRPr="00D9297E">
              <w:rPr>
                <w:rFonts w:ascii="Times New Roman" w:eastAsia="Yu Mincho" w:hAnsi="Times New Roman"/>
                <w:b/>
                <w:szCs w:val="32"/>
              </w:rPr>
              <w:t>52,449</w:t>
            </w:r>
          </w:p>
        </w:tc>
        <w:tc>
          <w:tcPr>
            <w:tcW w:w="1723" w:type="dxa"/>
            <w:shd w:val="clear" w:color="auto" w:fill="auto"/>
          </w:tcPr>
          <w:p w:rsidR="00D9297E" w:rsidRPr="00D9297E" w:rsidP="00D9297E" w14:paraId="32EE5CBC" w14:textId="77777777">
            <w:pPr>
              <w:widowControl/>
              <w:autoSpaceDE/>
              <w:autoSpaceDN/>
              <w:adjustRightInd/>
              <w:contextualSpacing/>
              <w:jc w:val="right"/>
              <w:rPr>
                <w:rFonts w:ascii="Times New Roman" w:eastAsia="Yu Mincho" w:hAnsi="Times New Roman"/>
                <w:b/>
                <w:szCs w:val="32"/>
              </w:rPr>
            </w:pPr>
            <w:r w:rsidRPr="00D9297E">
              <w:rPr>
                <w:rFonts w:ascii="Times New Roman" w:eastAsia="Yu Mincho" w:hAnsi="Times New Roman"/>
                <w:b/>
                <w:szCs w:val="32"/>
              </w:rPr>
              <w:t>$8,336,244</w:t>
            </w:r>
          </w:p>
        </w:tc>
        <w:tc>
          <w:tcPr>
            <w:tcW w:w="1723" w:type="dxa"/>
          </w:tcPr>
          <w:p w:rsidR="00D9297E" w:rsidRPr="00D9297E" w:rsidP="00D9297E" w14:paraId="7D685A61" w14:textId="77777777">
            <w:pPr>
              <w:widowControl/>
              <w:autoSpaceDE/>
              <w:autoSpaceDN/>
              <w:adjustRightInd/>
              <w:contextualSpacing/>
              <w:jc w:val="right"/>
              <w:rPr>
                <w:rFonts w:ascii="Times New Roman" w:eastAsia="Yu Mincho" w:hAnsi="Times New Roman"/>
                <w:b/>
                <w:szCs w:val="32"/>
              </w:rPr>
            </w:pPr>
            <w:r w:rsidRPr="00D9297E">
              <w:rPr>
                <w:rFonts w:ascii="Times New Roman" w:eastAsia="Yu Mincho" w:hAnsi="Times New Roman"/>
                <w:b/>
                <w:szCs w:val="32"/>
              </w:rPr>
              <w:t>52,449</w:t>
            </w:r>
          </w:p>
        </w:tc>
        <w:tc>
          <w:tcPr>
            <w:tcW w:w="1723" w:type="dxa"/>
          </w:tcPr>
          <w:p w:rsidR="00D9297E" w:rsidRPr="00D9297E" w:rsidP="00D9297E" w14:paraId="27604363" w14:textId="77777777">
            <w:pPr>
              <w:widowControl/>
              <w:autoSpaceDE/>
              <w:autoSpaceDN/>
              <w:adjustRightInd/>
              <w:contextualSpacing/>
              <w:jc w:val="right"/>
              <w:rPr>
                <w:rFonts w:ascii="Times New Roman" w:eastAsia="Yu Mincho" w:hAnsi="Times New Roman"/>
                <w:b/>
                <w:szCs w:val="32"/>
              </w:rPr>
            </w:pPr>
            <w:r w:rsidRPr="00D9297E">
              <w:rPr>
                <w:rFonts w:ascii="Times New Roman" w:eastAsia="Yu Mincho" w:hAnsi="Times New Roman"/>
                <w:b/>
                <w:szCs w:val="32"/>
              </w:rPr>
              <w:t>$8,336,244</w:t>
            </w:r>
          </w:p>
        </w:tc>
      </w:tr>
    </w:tbl>
    <w:p w:rsidR="00035E50" w:rsidRPr="00530597" w:rsidP="00035E50" w14:paraId="159599B9" w14:textId="77777777">
      <w:pPr>
        <w:widowControl/>
        <w:autoSpaceDE/>
        <w:autoSpaceDN/>
        <w:adjustRightInd/>
        <w:ind w:left="1440"/>
        <w:contextualSpacing/>
        <w:rPr>
          <w:rFonts w:ascii="Times New Roman" w:hAnsi="Times New Roman"/>
        </w:rPr>
      </w:pPr>
    </w:p>
    <w:p w:rsidR="00035E50" w:rsidRPr="00530597" w:rsidP="00945117" w14:paraId="273706C8" w14:textId="2EB7AF50">
      <w:pPr>
        <w:widowControl/>
        <w:numPr>
          <w:ilvl w:val="3"/>
          <w:numId w:val="29"/>
        </w:numPr>
        <w:autoSpaceDE/>
        <w:autoSpaceDN/>
        <w:adjustRightInd/>
        <w:contextualSpacing/>
        <w:rPr>
          <w:rFonts w:ascii="Times New Roman" w:hAnsi="Times New Roman"/>
          <w:i/>
        </w:rPr>
      </w:pPr>
      <w:r w:rsidRPr="00530597">
        <w:rPr>
          <w:rFonts w:ascii="Times New Roman" w:hAnsi="Times New Roman"/>
          <w:i/>
        </w:rPr>
        <w:t xml:space="preserve">Mailing Cost for Disclosures Sent from </w:t>
      </w:r>
      <w:r w:rsidR="00806C07">
        <w:rPr>
          <w:rFonts w:ascii="Times New Roman" w:hAnsi="Times New Roman"/>
          <w:i/>
        </w:rPr>
        <w:t>Independent Producers</w:t>
      </w:r>
      <w:r w:rsidRPr="00530597">
        <w:rPr>
          <w:rFonts w:ascii="Times New Roman" w:hAnsi="Times New Roman"/>
          <w:i/>
        </w:rPr>
        <w:t xml:space="preserve"> to Retirement Investor</w:t>
      </w:r>
    </w:p>
    <w:p w:rsidR="00035E50" w:rsidP="00035E50" w14:paraId="050BDF75" w14:textId="77777777">
      <w:pPr>
        <w:widowControl/>
        <w:autoSpaceDE/>
        <w:autoSpaceDN/>
        <w:adjustRightInd/>
        <w:contextualSpacing/>
        <w:rPr>
          <w:rFonts w:ascii="Times New Roman" w:hAnsi="Times New Roman"/>
          <w:i/>
        </w:rPr>
      </w:pPr>
    </w:p>
    <w:p w:rsidR="000750B5" w:rsidP="00F01849" w14:paraId="27577E63" w14:textId="5E18A491">
      <w:pPr>
        <w:widowControl/>
        <w:autoSpaceDE/>
        <w:autoSpaceDN/>
        <w:adjustRightInd/>
        <w:ind w:left="720"/>
        <w:contextualSpacing/>
        <w:rPr>
          <w:rFonts w:ascii="Times New Roman" w:hAnsi="Times New Roman"/>
        </w:rPr>
      </w:pPr>
      <w:r w:rsidRPr="000750B5">
        <w:rPr>
          <w:rFonts w:ascii="Times New Roman" w:hAnsi="Times New Roman"/>
        </w:rPr>
        <w:t xml:space="preserve">As discussed </w:t>
      </w:r>
      <w:r>
        <w:rPr>
          <w:rFonts w:ascii="Times New Roman" w:hAnsi="Times New Roman"/>
        </w:rPr>
        <w:t>above, t</w:t>
      </w:r>
      <w:r w:rsidRPr="000750B5">
        <w:rPr>
          <w:rFonts w:ascii="Times New Roman" w:hAnsi="Times New Roman"/>
        </w:rPr>
        <w:t>he Department assumes that 5.8 percent of disclosures would be mailed. Accordingly, of the estimated 52,449 affected retirement investors, 3,042 retirement investors are estimated to receive paper disclosures.</w:t>
      </w:r>
      <w:r>
        <w:rPr>
          <w:rFonts w:ascii="Times New Roman" w:hAnsi="Times New Roman"/>
          <w:vertAlign w:val="superscript"/>
        </w:rPr>
        <w:footnoteReference w:id="42"/>
      </w:r>
      <w:r w:rsidRPr="000750B5">
        <w:rPr>
          <w:rFonts w:ascii="Times New Roman" w:hAnsi="Times New Roman"/>
        </w:rPr>
        <w:t xml:space="preserve"> For paper copies, a clerical staff member is assumed to require five minutes to prepare and mail the required information to the retirement investor. This requirement results in an estimated hour burden of 254 hours with an equivalent cost of $16,085.</w:t>
      </w:r>
      <w:r>
        <w:rPr>
          <w:rFonts w:ascii="Times New Roman" w:hAnsi="Times New Roman"/>
          <w:vertAlign w:val="superscript"/>
        </w:rPr>
        <w:footnoteReference w:id="43"/>
      </w:r>
      <w:r w:rsidRPr="000750B5">
        <w:rPr>
          <w:rFonts w:ascii="Times New Roman" w:hAnsi="Times New Roman"/>
        </w:rPr>
        <w:t xml:space="preserve"> </w:t>
      </w:r>
    </w:p>
    <w:p w:rsidR="002D3F9D" w:rsidRPr="00530597" w:rsidP="00675971" w14:paraId="3C9B8B0F" w14:textId="77777777">
      <w:pPr>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722"/>
        <w:gridCol w:w="1723"/>
        <w:gridCol w:w="1723"/>
        <w:gridCol w:w="1723"/>
      </w:tblGrid>
      <w:tr w14:paraId="75D80543"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0517B1" w:rsidRPr="000517B1" w:rsidP="000517B1" w14:paraId="6297D520" w14:textId="68602BC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 xml:space="preserve">Table </w:t>
            </w:r>
            <w:r>
              <w:rPr>
                <w:rFonts w:ascii="Times New Roman" w:eastAsia="Yu Mincho" w:hAnsi="Times New Roman"/>
                <w:b/>
                <w:szCs w:val="32"/>
              </w:rPr>
              <w:t>8</w:t>
            </w:r>
            <w:r w:rsidRPr="000517B1">
              <w:rPr>
                <w:rFonts w:ascii="Times New Roman" w:eastAsia="Yu Mincho" w:hAnsi="Times New Roman"/>
                <w:b/>
                <w:szCs w:val="32"/>
              </w:rPr>
              <w:t>:</w:t>
            </w:r>
            <w:r w:rsidRPr="000517B1">
              <w:rPr>
                <w:rFonts w:ascii="Times New Roman" w:eastAsia="Yu Mincho" w:hAnsi="Times New Roman"/>
                <w:b/>
                <w:szCs w:val="32"/>
              </w:rPr>
              <w:t xml:space="preserve"> </w:t>
            </w:r>
            <w:r w:rsidRPr="000517B1">
              <w:rPr>
                <w:rFonts w:ascii="Times New Roman" w:eastAsia="Yu Mincho" w:hAnsi="Times New Roman"/>
                <w:b/>
                <w:szCs w:val="32"/>
              </w:rPr>
              <w:t>Hour Burden and Equivalent Cost Associated with Preparing the Disclosures</w:t>
            </w:r>
          </w:p>
        </w:tc>
      </w:tr>
      <w:tr w14:paraId="652DB499" w14:textId="77777777">
        <w:tblPrEx>
          <w:tblW w:w="0" w:type="auto"/>
          <w:tblInd w:w="828" w:type="dxa"/>
          <w:tblLayout w:type="fixed"/>
          <w:tblLook w:val="04A0"/>
        </w:tblPrEx>
        <w:tc>
          <w:tcPr>
            <w:tcW w:w="1152" w:type="dxa"/>
            <w:shd w:val="clear" w:color="auto" w:fill="auto"/>
          </w:tcPr>
          <w:p w:rsidR="000517B1" w:rsidRPr="000517B1" w:rsidP="000517B1" w14:paraId="7B4ED6F8" w14:textId="77777777">
            <w:pPr>
              <w:widowControl/>
              <w:autoSpaceDE/>
              <w:autoSpaceDN/>
              <w:adjustRightInd/>
              <w:ind w:firstLine="45"/>
              <w:contextualSpacing/>
              <w:jc w:val="center"/>
              <w:rPr>
                <w:rFonts w:ascii="Times New Roman" w:eastAsia="Yu Mincho" w:hAnsi="Times New Roman"/>
                <w:b/>
                <w:szCs w:val="32"/>
              </w:rPr>
            </w:pPr>
          </w:p>
        </w:tc>
        <w:tc>
          <w:tcPr>
            <w:tcW w:w="3445" w:type="dxa"/>
            <w:gridSpan w:val="2"/>
            <w:shd w:val="clear" w:color="auto" w:fill="auto"/>
          </w:tcPr>
          <w:p w:rsidR="000517B1" w:rsidRPr="000517B1" w:rsidP="000517B1" w14:paraId="1A99DD36"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Year 1</w:t>
            </w:r>
          </w:p>
        </w:tc>
        <w:tc>
          <w:tcPr>
            <w:tcW w:w="3446" w:type="dxa"/>
            <w:gridSpan w:val="2"/>
          </w:tcPr>
          <w:p w:rsidR="000517B1" w:rsidRPr="000517B1" w:rsidP="000517B1" w14:paraId="1BC81080"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Subsequent Years</w:t>
            </w:r>
          </w:p>
        </w:tc>
      </w:tr>
      <w:tr w14:paraId="309CCF11" w14:textId="77777777">
        <w:tblPrEx>
          <w:tblW w:w="0" w:type="auto"/>
          <w:tblInd w:w="828" w:type="dxa"/>
          <w:tblLayout w:type="fixed"/>
          <w:tblLook w:val="04A0"/>
        </w:tblPrEx>
        <w:tc>
          <w:tcPr>
            <w:tcW w:w="1152" w:type="dxa"/>
            <w:shd w:val="clear" w:color="auto" w:fill="auto"/>
          </w:tcPr>
          <w:p w:rsidR="000517B1" w:rsidRPr="000517B1" w:rsidP="000517B1" w14:paraId="257630F8"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Activity</w:t>
            </w:r>
          </w:p>
        </w:tc>
        <w:tc>
          <w:tcPr>
            <w:tcW w:w="1722" w:type="dxa"/>
            <w:shd w:val="clear" w:color="auto" w:fill="auto"/>
          </w:tcPr>
          <w:p w:rsidR="000517B1" w:rsidRPr="000517B1" w:rsidP="000517B1" w14:paraId="42415656"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Burden Hours</w:t>
            </w:r>
          </w:p>
        </w:tc>
        <w:tc>
          <w:tcPr>
            <w:tcW w:w="1723" w:type="dxa"/>
            <w:shd w:val="clear" w:color="auto" w:fill="auto"/>
          </w:tcPr>
          <w:p w:rsidR="000517B1" w:rsidRPr="000517B1" w:rsidP="000517B1" w14:paraId="5F99FC94"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Equivalent Burden Cost</w:t>
            </w:r>
          </w:p>
        </w:tc>
        <w:tc>
          <w:tcPr>
            <w:tcW w:w="1723" w:type="dxa"/>
          </w:tcPr>
          <w:p w:rsidR="000517B1" w:rsidRPr="000517B1" w:rsidP="000517B1" w14:paraId="317BA3B7"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Burden Hours</w:t>
            </w:r>
          </w:p>
        </w:tc>
        <w:tc>
          <w:tcPr>
            <w:tcW w:w="1723" w:type="dxa"/>
          </w:tcPr>
          <w:p w:rsidR="000517B1" w:rsidRPr="000517B1" w:rsidP="000517B1" w14:paraId="6F44772C" w14:textId="77777777">
            <w:pPr>
              <w:widowControl/>
              <w:autoSpaceDE/>
              <w:autoSpaceDN/>
              <w:adjustRightInd/>
              <w:ind w:firstLine="45"/>
              <w:contextualSpacing/>
              <w:jc w:val="center"/>
              <w:rPr>
                <w:rFonts w:ascii="Times New Roman" w:eastAsia="Yu Mincho" w:hAnsi="Times New Roman"/>
                <w:b/>
                <w:szCs w:val="32"/>
              </w:rPr>
            </w:pPr>
            <w:r w:rsidRPr="000517B1">
              <w:rPr>
                <w:rFonts w:ascii="Times New Roman" w:eastAsia="Yu Mincho" w:hAnsi="Times New Roman"/>
                <w:b/>
                <w:szCs w:val="32"/>
              </w:rPr>
              <w:t>Equivalent Burden Cost</w:t>
            </w:r>
          </w:p>
        </w:tc>
      </w:tr>
      <w:tr w14:paraId="5D355F83" w14:textId="77777777">
        <w:tblPrEx>
          <w:tblW w:w="0" w:type="auto"/>
          <w:tblInd w:w="828" w:type="dxa"/>
          <w:tblLayout w:type="fixed"/>
          <w:tblLook w:val="04A0"/>
        </w:tblPrEx>
        <w:tc>
          <w:tcPr>
            <w:tcW w:w="1152" w:type="dxa"/>
            <w:shd w:val="clear" w:color="auto" w:fill="auto"/>
          </w:tcPr>
          <w:p w:rsidR="000517B1" w:rsidRPr="000517B1" w:rsidP="000517B1" w14:paraId="0AC0913A" w14:textId="77777777">
            <w:pPr>
              <w:widowControl/>
              <w:autoSpaceDE/>
              <w:autoSpaceDN/>
              <w:adjustRightInd/>
              <w:ind w:firstLine="45"/>
              <w:contextualSpacing/>
              <w:rPr>
                <w:rFonts w:ascii="Times New Roman" w:eastAsia="Yu Mincho" w:hAnsi="Times New Roman"/>
                <w:szCs w:val="32"/>
              </w:rPr>
            </w:pPr>
            <w:r w:rsidRPr="000517B1">
              <w:rPr>
                <w:rFonts w:ascii="Times New Roman" w:eastAsia="Yu Mincho" w:hAnsi="Times New Roman"/>
                <w:szCs w:val="32"/>
              </w:rPr>
              <w:t>Clerical</w:t>
            </w:r>
          </w:p>
        </w:tc>
        <w:tc>
          <w:tcPr>
            <w:tcW w:w="1722" w:type="dxa"/>
            <w:shd w:val="clear" w:color="auto" w:fill="auto"/>
          </w:tcPr>
          <w:p w:rsidR="000517B1" w:rsidRPr="000517B1" w:rsidP="000517B1" w14:paraId="18900D94" w14:textId="77777777">
            <w:pPr>
              <w:widowControl/>
              <w:autoSpaceDE/>
              <w:autoSpaceDN/>
              <w:adjustRightInd/>
              <w:ind w:firstLine="45"/>
              <w:contextualSpacing/>
              <w:jc w:val="right"/>
              <w:rPr>
                <w:rFonts w:ascii="Times New Roman" w:eastAsia="Yu Mincho" w:hAnsi="Times New Roman"/>
                <w:szCs w:val="32"/>
              </w:rPr>
            </w:pPr>
            <w:r w:rsidRPr="000517B1">
              <w:rPr>
                <w:rFonts w:ascii="Times New Roman" w:eastAsia="Yu Mincho" w:hAnsi="Times New Roman"/>
                <w:szCs w:val="32"/>
              </w:rPr>
              <w:t>254</w:t>
            </w:r>
          </w:p>
        </w:tc>
        <w:tc>
          <w:tcPr>
            <w:tcW w:w="1723" w:type="dxa"/>
            <w:shd w:val="clear" w:color="auto" w:fill="auto"/>
          </w:tcPr>
          <w:p w:rsidR="000517B1" w:rsidRPr="000517B1" w:rsidP="000517B1" w14:paraId="6965A062" w14:textId="77777777">
            <w:pPr>
              <w:widowControl/>
              <w:autoSpaceDE/>
              <w:autoSpaceDN/>
              <w:adjustRightInd/>
              <w:ind w:firstLine="45"/>
              <w:contextualSpacing/>
              <w:jc w:val="right"/>
              <w:rPr>
                <w:rFonts w:ascii="Times New Roman" w:eastAsia="Yu Mincho" w:hAnsi="Times New Roman"/>
                <w:szCs w:val="32"/>
              </w:rPr>
            </w:pPr>
            <w:r w:rsidRPr="000517B1">
              <w:rPr>
                <w:rFonts w:ascii="Times New Roman" w:eastAsia="Yu Mincho" w:hAnsi="Times New Roman"/>
                <w:szCs w:val="32"/>
              </w:rPr>
              <w:t>$16,085</w:t>
            </w:r>
          </w:p>
        </w:tc>
        <w:tc>
          <w:tcPr>
            <w:tcW w:w="1723" w:type="dxa"/>
          </w:tcPr>
          <w:p w:rsidR="000517B1" w:rsidRPr="000517B1" w:rsidP="000517B1" w14:paraId="7AC6C396" w14:textId="77777777">
            <w:pPr>
              <w:widowControl/>
              <w:autoSpaceDE/>
              <w:autoSpaceDN/>
              <w:adjustRightInd/>
              <w:ind w:firstLine="45"/>
              <w:contextualSpacing/>
              <w:jc w:val="right"/>
              <w:rPr>
                <w:rFonts w:ascii="Times New Roman" w:eastAsia="Yu Mincho" w:hAnsi="Times New Roman"/>
                <w:szCs w:val="32"/>
              </w:rPr>
            </w:pPr>
            <w:r w:rsidRPr="000517B1">
              <w:rPr>
                <w:rFonts w:ascii="Times New Roman" w:eastAsia="Yu Mincho" w:hAnsi="Times New Roman"/>
                <w:szCs w:val="32"/>
              </w:rPr>
              <w:t>254</w:t>
            </w:r>
          </w:p>
        </w:tc>
        <w:tc>
          <w:tcPr>
            <w:tcW w:w="1723" w:type="dxa"/>
            <w:shd w:val="clear" w:color="auto" w:fill="auto"/>
          </w:tcPr>
          <w:p w:rsidR="000517B1" w:rsidRPr="000517B1" w:rsidP="000517B1" w14:paraId="364A5897" w14:textId="77777777">
            <w:pPr>
              <w:widowControl/>
              <w:autoSpaceDE/>
              <w:autoSpaceDN/>
              <w:adjustRightInd/>
              <w:ind w:firstLine="45"/>
              <w:contextualSpacing/>
              <w:jc w:val="right"/>
              <w:rPr>
                <w:rFonts w:ascii="Times New Roman" w:eastAsia="Yu Mincho" w:hAnsi="Times New Roman"/>
                <w:szCs w:val="32"/>
              </w:rPr>
            </w:pPr>
            <w:r w:rsidRPr="000517B1">
              <w:rPr>
                <w:rFonts w:ascii="Times New Roman" w:eastAsia="Yu Mincho" w:hAnsi="Times New Roman"/>
                <w:szCs w:val="32"/>
              </w:rPr>
              <w:t>$16,085</w:t>
            </w:r>
          </w:p>
        </w:tc>
      </w:tr>
      <w:tr w14:paraId="0CF89409" w14:textId="77777777">
        <w:tblPrEx>
          <w:tblW w:w="0" w:type="auto"/>
          <w:tblInd w:w="828" w:type="dxa"/>
          <w:tblLayout w:type="fixed"/>
          <w:tblLook w:val="04A0"/>
        </w:tblPrEx>
        <w:tc>
          <w:tcPr>
            <w:tcW w:w="1152" w:type="dxa"/>
            <w:shd w:val="clear" w:color="auto" w:fill="auto"/>
          </w:tcPr>
          <w:p w:rsidR="000517B1" w:rsidRPr="000517B1" w:rsidP="000517B1" w14:paraId="639E0971" w14:textId="77777777">
            <w:pPr>
              <w:widowControl/>
              <w:autoSpaceDE/>
              <w:autoSpaceDN/>
              <w:adjustRightInd/>
              <w:ind w:firstLine="45"/>
              <w:contextualSpacing/>
              <w:rPr>
                <w:rFonts w:ascii="Times New Roman" w:eastAsia="Yu Mincho" w:hAnsi="Times New Roman"/>
                <w:b/>
                <w:szCs w:val="32"/>
              </w:rPr>
            </w:pPr>
            <w:r w:rsidRPr="000517B1">
              <w:rPr>
                <w:rFonts w:ascii="Times New Roman" w:eastAsia="Yu Mincho" w:hAnsi="Times New Roman"/>
                <w:b/>
                <w:szCs w:val="32"/>
              </w:rPr>
              <w:t>Total</w:t>
            </w:r>
          </w:p>
        </w:tc>
        <w:tc>
          <w:tcPr>
            <w:tcW w:w="1722" w:type="dxa"/>
            <w:shd w:val="clear" w:color="auto" w:fill="auto"/>
          </w:tcPr>
          <w:p w:rsidR="000517B1" w:rsidRPr="000517B1" w:rsidP="000517B1" w14:paraId="40DD209F" w14:textId="77777777">
            <w:pPr>
              <w:widowControl/>
              <w:autoSpaceDE/>
              <w:autoSpaceDN/>
              <w:adjustRightInd/>
              <w:ind w:firstLine="45"/>
              <w:contextualSpacing/>
              <w:jc w:val="right"/>
              <w:rPr>
                <w:rFonts w:ascii="Times New Roman" w:eastAsia="Yu Mincho" w:hAnsi="Times New Roman"/>
                <w:b/>
                <w:szCs w:val="32"/>
              </w:rPr>
            </w:pPr>
            <w:r w:rsidRPr="000517B1">
              <w:rPr>
                <w:rFonts w:ascii="Times New Roman" w:eastAsia="Yu Mincho" w:hAnsi="Times New Roman"/>
                <w:b/>
                <w:szCs w:val="32"/>
              </w:rPr>
              <w:t>254</w:t>
            </w:r>
          </w:p>
        </w:tc>
        <w:tc>
          <w:tcPr>
            <w:tcW w:w="1723" w:type="dxa"/>
            <w:shd w:val="clear" w:color="auto" w:fill="auto"/>
          </w:tcPr>
          <w:p w:rsidR="000517B1" w:rsidRPr="000517B1" w:rsidP="000517B1" w14:paraId="7E39552A" w14:textId="77777777">
            <w:pPr>
              <w:widowControl/>
              <w:autoSpaceDE/>
              <w:autoSpaceDN/>
              <w:adjustRightInd/>
              <w:ind w:firstLine="45"/>
              <w:contextualSpacing/>
              <w:jc w:val="right"/>
              <w:rPr>
                <w:rFonts w:ascii="Times New Roman" w:eastAsia="Yu Mincho" w:hAnsi="Times New Roman"/>
                <w:b/>
                <w:szCs w:val="32"/>
              </w:rPr>
            </w:pPr>
            <w:r w:rsidRPr="000517B1">
              <w:rPr>
                <w:rFonts w:ascii="Times New Roman" w:eastAsia="Yu Mincho" w:hAnsi="Times New Roman"/>
                <w:b/>
                <w:szCs w:val="32"/>
              </w:rPr>
              <w:t>$16,085</w:t>
            </w:r>
          </w:p>
        </w:tc>
        <w:tc>
          <w:tcPr>
            <w:tcW w:w="1723" w:type="dxa"/>
          </w:tcPr>
          <w:p w:rsidR="000517B1" w:rsidRPr="000517B1" w:rsidP="000517B1" w14:paraId="7885318D" w14:textId="77777777">
            <w:pPr>
              <w:widowControl/>
              <w:autoSpaceDE/>
              <w:autoSpaceDN/>
              <w:adjustRightInd/>
              <w:ind w:firstLine="45"/>
              <w:contextualSpacing/>
              <w:jc w:val="right"/>
              <w:rPr>
                <w:rFonts w:ascii="Times New Roman" w:eastAsia="Yu Mincho" w:hAnsi="Times New Roman"/>
                <w:b/>
                <w:szCs w:val="32"/>
              </w:rPr>
            </w:pPr>
            <w:r w:rsidRPr="000517B1">
              <w:rPr>
                <w:rFonts w:ascii="Times New Roman" w:eastAsia="Yu Mincho" w:hAnsi="Times New Roman"/>
                <w:b/>
                <w:szCs w:val="32"/>
              </w:rPr>
              <w:t>254</w:t>
            </w:r>
          </w:p>
        </w:tc>
        <w:tc>
          <w:tcPr>
            <w:tcW w:w="1723" w:type="dxa"/>
            <w:shd w:val="clear" w:color="auto" w:fill="auto"/>
          </w:tcPr>
          <w:p w:rsidR="000517B1" w:rsidRPr="000517B1" w:rsidP="000517B1" w14:paraId="28CAF3D2" w14:textId="77777777">
            <w:pPr>
              <w:widowControl/>
              <w:autoSpaceDE/>
              <w:autoSpaceDN/>
              <w:adjustRightInd/>
              <w:ind w:firstLine="45"/>
              <w:contextualSpacing/>
              <w:jc w:val="right"/>
              <w:rPr>
                <w:rFonts w:ascii="Times New Roman" w:eastAsia="Yu Mincho" w:hAnsi="Times New Roman"/>
                <w:b/>
                <w:szCs w:val="32"/>
              </w:rPr>
            </w:pPr>
            <w:r w:rsidRPr="000517B1">
              <w:rPr>
                <w:rFonts w:ascii="Times New Roman" w:eastAsia="Yu Mincho" w:hAnsi="Times New Roman"/>
                <w:b/>
                <w:szCs w:val="32"/>
              </w:rPr>
              <w:t>$16,085</w:t>
            </w:r>
          </w:p>
        </w:tc>
      </w:tr>
    </w:tbl>
    <w:p w:rsidR="000750B5" w:rsidP="00945117" w14:paraId="26D07434" w14:textId="77777777">
      <w:pPr>
        <w:pStyle w:val="ListParagraph"/>
        <w:widowControl/>
        <w:autoSpaceDE/>
        <w:autoSpaceDN/>
        <w:adjustRightInd/>
        <w:ind w:left="792"/>
        <w:rPr>
          <w:rFonts w:ascii="Times New Roman" w:hAnsi="Times New Roman"/>
          <w:i/>
        </w:rPr>
      </w:pPr>
    </w:p>
    <w:p w:rsidR="000750B5" w:rsidRPr="00675971" w:rsidP="00675971" w14:paraId="196C31F6" w14:textId="4ED1F3BE">
      <w:pPr>
        <w:pStyle w:val="ListParagraph"/>
        <w:ind w:left="792"/>
        <w:rPr>
          <w:rFonts w:ascii="Times New Roman" w:hAnsi="Times New Roman"/>
          <w:iCs/>
        </w:rPr>
      </w:pPr>
      <w:r w:rsidRPr="000750B5">
        <w:rPr>
          <w:rFonts w:ascii="Times New Roman" w:hAnsi="Times New Roman"/>
          <w:iCs/>
        </w:rPr>
        <w:t xml:space="preserve">Additionally, </w:t>
      </w:r>
      <w:r w:rsidR="00ED1A11">
        <w:rPr>
          <w:rFonts w:ascii="Times New Roman" w:hAnsi="Times New Roman"/>
          <w:iCs/>
        </w:rPr>
        <w:t>Independent Producer</w:t>
      </w:r>
      <w:r w:rsidRPr="000750B5">
        <w:rPr>
          <w:rFonts w:ascii="Times New Roman" w:hAnsi="Times New Roman"/>
          <w:iCs/>
        </w:rPr>
        <w:t>s would be required to send the documentation to the insurance company. The Department expects that such documentation would be sent electronically and result in a de minimis burden.</w:t>
      </w:r>
    </w:p>
    <w:p w:rsidR="00035E50" w:rsidRPr="008D15AA" w:rsidP="00675971" w14:paraId="18360334" w14:textId="5164519A">
      <w:pPr>
        <w:contextualSpacing/>
        <w:rPr>
          <w:rFonts w:ascii="Times New Roman" w:hAnsi="Times New Roman"/>
        </w:rPr>
      </w:pPr>
    </w:p>
    <w:p w:rsidR="00035E50" w:rsidRPr="00945117" w14:paraId="6B259BF5" w14:textId="0B523823">
      <w:pPr>
        <w:pStyle w:val="Quick1"/>
        <w:numPr>
          <w:ilvl w:val="2"/>
          <w:numId w:val="29"/>
        </w:numPr>
        <w:rPr>
          <w:rFonts w:ascii="Times New Roman" w:hAnsi="Times New Roman"/>
        </w:rPr>
      </w:pPr>
      <w:r>
        <w:rPr>
          <w:rFonts w:ascii="Times New Roman" w:hAnsi="Times New Roman"/>
          <w:i/>
        </w:rPr>
        <w:t>Policies and Procedures</w:t>
      </w:r>
    </w:p>
    <w:p w:rsidR="00F76FDE" w:rsidRPr="00945117" w:rsidP="00945117" w14:paraId="6C403B0D" w14:textId="77777777">
      <w:pPr>
        <w:pStyle w:val="Quick1"/>
        <w:numPr>
          <w:ilvl w:val="0"/>
          <w:numId w:val="0"/>
        </w:numPr>
        <w:ind w:left="1224"/>
        <w:rPr>
          <w:rFonts w:ascii="Times New Roman" w:hAnsi="Times New Roman"/>
        </w:rPr>
      </w:pPr>
    </w:p>
    <w:p w:rsidR="00035E50" w:rsidRPr="0013547C" w:rsidP="00945117" w14:paraId="17ADB40D" w14:textId="79517B2A">
      <w:pPr>
        <w:pStyle w:val="Quick1"/>
        <w:numPr>
          <w:ilvl w:val="3"/>
          <w:numId w:val="29"/>
        </w:numPr>
        <w:rPr>
          <w:rFonts w:ascii="Times New Roman" w:hAnsi="Times New Roman"/>
        </w:rPr>
      </w:pPr>
      <w:r w:rsidRPr="00530597">
        <w:rPr>
          <w:rFonts w:ascii="Times New Roman" w:hAnsi="Times New Roman"/>
          <w:i/>
        </w:rPr>
        <w:t xml:space="preserve">Insurance Companies Must Establish, Maintains, and Enforces Written Policies and Procedures for the Review of Each Recommendation Before an Annuity is Issued to a Retirement Investor, and the Financial Institution Reviews its Policies and Procedures at Least </w:t>
      </w:r>
      <w:r w:rsidRPr="00530597">
        <w:rPr>
          <w:rFonts w:ascii="Times New Roman" w:hAnsi="Times New Roman"/>
          <w:i/>
        </w:rPr>
        <w:t>Annually</w:t>
      </w:r>
    </w:p>
    <w:p w:rsidR="002D3F9D" w:rsidRPr="00530597" w:rsidP="006627A7" w14:paraId="4FFBEBCD" w14:textId="77777777">
      <w:pPr>
        <w:pStyle w:val="ListParagraph"/>
        <w:widowControl/>
        <w:autoSpaceDE/>
        <w:autoSpaceDN/>
        <w:adjustRightInd/>
        <w:ind w:left="1224"/>
        <w:rPr>
          <w:rFonts w:ascii="Times New Roman" w:hAnsi="Times New Roman"/>
          <w:i/>
        </w:rPr>
      </w:pPr>
    </w:p>
    <w:p w:rsidR="000750B5" w:rsidP="00F01849" w14:paraId="04A054FF" w14:textId="77777777">
      <w:pPr>
        <w:ind w:left="720"/>
        <w:rPr>
          <w:rFonts w:ascii="Times New Roman" w:hAnsi="Times New Roman"/>
        </w:rPr>
      </w:pPr>
      <w:r w:rsidRPr="00675971">
        <w:rPr>
          <w:rFonts w:ascii="Times New Roman" w:hAnsi="Times New Roman"/>
        </w:rPr>
        <w:t>As discussed above, the Department estimates that 215 financial institutions would need to meet this requirement, of which 177 are estimated to be small and 38 are estimated to be large.</w:t>
      </w:r>
      <w:r>
        <w:rPr>
          <w:vertAlign w:val="superscript"/>
        </w:rPr>
        <w:footnoteReference w:id="44"/>
      </w:r>
      <w:r w:rsidRPr="00675971">
        <w:rPr>
          <w:rFonts w:ascii="Times New Roman" w:hAnsi="Times New Roman"/>
        </w:rPr>
        <w:t xml:space="preserve"> The Department assumes that, for each large insurance company, an in-house attorney would spend ten hours of legal staff time drafting the written description, and for each small insurance company, an in-house attorney would spend five hours of legal staff time.</w:t>
      </w:r>
      <w:r w:rsidRPr="00675971">
        <w:rPr>
          <w:rFonts w:ascii="Times New Roman" w:hAnsi="Times New Roman"/>
        </w:rPr>
        <w:t xml:space="preserve"> </w:t>
      </w:r>
      <w:r w:rsidRPr="00675971">
        <w:rPr>
          <w:rFonts w:ascii="Times New Roman" w:hAnsi="Times New Roman"/>
        </w:rPr>
        <w:t>This results in hour burden of 1,265 hours with an equivalent cost of $201,565 in the first year.</w:t>
      </w:r>
      <w:r>
        <w:rPr>
          <w:vertAlign w:val="superscript"/>
        </w:rPr>
        <w:footnoteReference w:id="45"/>
      </w:r>
      <w:r w:rsidRPr="00675971">
        <w:rPr>
          <w:rFonts w:ascii="Times New Roman" w:hAnsi="Times New Roman"/>
        </w:rPr>
        <w:t xml:space="preserve"> </w:t>
      </w:r>
    </w:p>
    <w:p w:rsidR="000750B5" w:rsidP="00F01849" w14:paraId="39AAA15E" w14:textId="77777777">
      <w:pPr>
        <w:ind w:left="720"/>
        <w:rPr>
          <w:rFonts w:ascii="Times New Roman" w:hAnsi="Times New Roman"/>
        </w:rPr>
      </w:pPr>
    </w:p>
    <w:p w:rsidR="000750B5" w:rsidP="00F01849" w14:paraId="7007FBC8" w14:textId="77777777">
      <w:pPr>
        <w:ind w:left="720"/>
        <w:rPr>
          <w:rFonts w:ascii="Times New Roman" w:hAnsi="Times New Roman"/>
        </w:rPr>
      </w:pPr>
      <w:r w:rsidRPr="00675971">
        <w:rPr>
          <w:rFonts w:ascii="Times New Roman" w:hAnsi="Times New Roman"/>
        </w:rPr>
        <w:t>In the following years, the Department assumes for each insurance company, an in-house attorney would spend two hours of legal staff time reviewing the policies and procedures.</w:t>
      </w:r>
      <w:r w:rsidRPr="00675971">
        <w:rPr>
          <w:rFonts w:ascii="Times New Roman" w:hAnsi="Times New Roman"/>
        </w:rPr>
        <w:t xml:space="preserve"> </w:t>
      </w:r>
      <w:r w:rsidRPr="00675971">
        <w:rPr>
          <w:rFonts w:ascii="Times New Roman" w:hAnsi="Times New Roman"/>
        </w:rPr>
        <w:t>This results in hour burden of 430 hours with an equivalent cost of $68,516 in subsequent years.</w:t>
      </w:r>
      <w:r>
        <w:rPr>
          <w:vertAlign w:val="superscript"/>
        </w:rPr>
        <w:footnoteReference w:id="46"/>
      </w:r>
      <w:r w:rsidRPr="00675971">
        <w:rPr>
          <w:rFonts w:ascii="Times New Roman" w:hAnsi="Times New Roman"/>
        </w:rPr>
        <w:t xml:space="preserve"> </w:t>
      </w:r>
    </w:p>
    <w:p w:rsidR="000750B5" w:rsidP="00F01849" w14:paraId="0452692F" w14:textId="77777777">
      <w:pPr>
        <w:ind w:left="720"/>
        <w:rPr>
          <w:rFonts w:ascii="Times New Roman" w:hAnsi="Times New Roman"/>
        </w:rPr>
      </w:pPr>
    </w:p>
    <w:p w:rsidR="000750B5" w:rsidP="00675971" w14:paraId="505C508D" w14:textId="361E7D7C">
      <w:pPr>
        <w:ind w:left="720"/>
        <w:contextualSpacing/>
        <w:rPr>
          <w:rFonts w:ascii="Times New Roman" w:hAnsi="Times New Roman"/>
        </w:rPr>
      </w:pPr>
      <w:r w:rsidRPr="00675971">
        <w:rPr>
          <w:rFonts w:ascii="Times New Roman" w:hAnsi="Times New Roman"/>
        </w:rPr>
        <w:t xml:space="preserve">The proposed amendments would also require financial institutions to provide their complete policies and procedures to the Department upon request. As discussed above for PTE 2020-02, the Department estimates that it would request 165 policies and procedures in the first year and 50 in subsequent years. </w:t>
      </w:r>
      <w:r w:rsidRPr="00675971">
        <w:rPr>
          <w:rFonts w:ascii="Times New Roman" w:hAnsi="Times New Roman"/>
        </w:rPr>
        <w:t>Assuming that</w:t>
      </w:r>
      <w:r w:rsidRPr="00675971">
        <w:rPr>
          <w:rFonts w:ascii="Times New Roman" w:hAnsi="Times New Roman"/>
        </w:rPr>
        <w:t xml:space="preserve"> the number of requests for the entities covered under PTE 2020-02 is equivalent to the number of requests for the entities covered under PTE 84-24, the Department assumes that it will request two policies and procedures from insurers in the first year and one request in subsequent years, on average.</w:t>
      </w:r>
      <w:r>
        <w:rPr>
          <w:vertAlign w:val="superscript"/>
        </w:rPr>
        <w:footnoteReference w:id="47"/>
      </w:r>
      <w:r w:rsidRPr="00675971">
        <w:rPr>
          <w:rFonts w:ascii="Times New Roman" w:hAnsi="Times New Roman"/>
        </w:rPr>
        <w:t xml:space="preserve"> This results in an estimated cost of approximately $32 in the first year</w:t>
      </w:r>
      <w:r>
        <w:rPr>
          <w:vertAlign w:val="superscript"/>
        </w:rPr>
        <w:footnoteReference w:id="48"/>
      </w:r>
      <w:r w:rsidRPr="00675971">
        <w:rPr>
          <w:rFonts w:ascii="Times New Roman" w:hAnsi="Times New Roman"/>
        </w:rPr>
        <w:t xml:space="preserve"> and $16 in subsequent years.</w:t>
      </w:r>
      <w:r w:rsidRPr="00675971">
        <w:rPr>
          <w:rFonts w:ascii="Times New Roman" w:hAnsi="Times New Roman"/>
          <w:vertAlign w:val="superscript"/>
        </w:rPr>
        <w:t xml:space="preserve"> </w:t>
      </w:r>
      <w:r>
        <w:rPr>
          <w:vertAlign w:val="superscript"/>
        </w:rPr>
        <w:footnoteReference w:id="49"/>
      </w:r>
    </w:p>
    <w:p w:rsidR="000750B5" w:rsidP="00675971" w14:paraId="3976D9AC" w14:textId="77777777">
      <w:pPr>
        <w:ind w:left="720"/>
        <w:contextualSpacing/>
        <w:rPr>
          <w:rFonts w:ascii="Times New Roman" w:hAnsi="Times New Roman"/>
        </w:rPr>
      </w:pPr>
    </w:p>
    <w:p w:rsidR="000750B5" w:rsidRPr="00530597" w:rsidP="00675971" w14:paraId="4CDD84C4" w14:textId="67808CF9">
      <w:pPr>
        <w:ind w:left="720"/>
        <w:rPr>
          <w:rFonts w:ascii="Times New Roman" w:hAnsi="Times New Roman"/>
        </w:rPr>
      </w:pPr>
      <w:r w:rsidRPr="000750B5">
        <w:rPr>
          <w:rFonts w:ascii="Times New Roman" w:hAnsi="Times New Roman"/>
        </w:rPr>
        <w:t xml:space="preserve">Insurers would also be required to review each of the </w:t>
      </w:r>
      <w:r w:rsidR="00ED1A11">
        <w:rPr>
          <w:rFonts w:ascii="Times New Roman" w:hAnsi="Times New Roman"/>
        </w:rPr>
        <w:t>Independent Producer</w:t>
      </w:r>
      <w:r w:rsidRPr="000750B5">
        <w:rPr>
          <w:rFonts w:ascii="Times New Roman" w:hAnsi="Times New Roman"/>
        </w:rPr>
        <w:t>’s recommendations before an annuity is issued to a retirement investor to ensure compliance with the Impartial Conduct Standards and other conditions of this exemption. This requirement is consistent with the language in NAIC’s 2010 Model Regulation 275, Suitability in Annuity Transactions,</w:t>
      </w:r>
      <w:r>
        <w:rPr>
          <w:rFonts w:ascii="Times New Roman" w:hAnsi="Times New Roman"/>
          <w:vertAlign w:val="superscript"/>
        </w:rPr>
        <w:footnoteReference w:id="50"/>
      </w:r>
      <w:r w:rsidRPr="000750B5">
        <w:rPr>
          <w:rFonts w:ascii="Times New Roman" w:hAnsi="Times New Roman"/>
        </w:rPr>
        <w:t xml:space="preserve"> and the 2020 revisions to Model Regulation 275, which expanded the suitability standard to a best interest standard.</w:t>
      </w:r>
      <w:r>
        <w:rPr>
          <w:rFonts w:ascii="Times New Roman" w:hAnsi="Times New Roman"/>
          <w:vertAlign w:val="superscript"/>
        </w:rPr>
        <w:footnoteReference w:id="51"/>
      </w:r>
      <w:r w:rsidRPr="000750B5">
        <w:rPr>
          <w:rFonts w:ascii="Times New Roman" w:hAnsi="Times New Roman"/>
        </w:rPr>
        <w:t xml:space="preserve"> Most states have adopted some form of the Model Regulation 275.</w:t>
      </w:r>
      <w:r>
        <w:rPr>
          <w:rFonts w:ascii="Times New Roman" w:hAnsi="Times New Roman"/>
          <w:vertAlign w:val="superscript"/>
        </w:rPr>
        <w:footnoteReference w:id="52"/>
      </w:r>
      <w:r w:rsidRPr="000750B5">
        <w:rPr>
          <w:rFonts w:ascii="Times New Roman" w:hAnsi="Times New Roman"/>
        </w:rPr>
        <w:t xml:space="preserve"> As such, the Department expects that reviewing recommendations before an annuity is issued is common industry practice. Accordingly, the Department expects that financial institutions would incur a de minimis burden to comply with the proposed amendments, when already complying with Model Regulation 275. </w:t>
      </w:r>
    </w:p>
    <w:p w:rsidR="002D3F9D" w:rsidRPr="00530597" w:rsidP="00675971" w14:paraId="4D647357" w14:textId="77777777">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722"/>
        <w:gridCol w:w="1723"/>
        <w:gridCol w:w="1723"/>
        <w:gridCol w:w="1723"/>
      </w:tblGrid>
      <w:tr w14:paraId="5738B085"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8E56F3" w:rsidRPr="008E56F3" w:rsidP="008E56F3" w14:paraId="0707F46D" w14:textId="47423D6A">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 xml:space="preserve">Table </w:t>
            </w:r>
            <w:r>
              <w:rPr>
                <w:rFonts w:ascii="Times New Roman" w:eastAsia="Yu Mincho" w:hAnsi="Times New Roman"/>
                <w:b/>
                <w:szCs w:val="32"/>
              </w:rPr>
              <w:t>9</w:t>
            </w:r>
            <w:r w:rsidRPr="008E56F3">
              <w:rPr>
                <w:rFonts w:ascii="Times New Roman" w:eastAsia="Yu Mincho" w:hAnsi="Times New Roman"/>
                <w:b/>
                <w:szCs w:val="32"/>
              </w:rPr>
              <w:t>:</w:t>
            </w:r>
            <w:r w:rsidRPr="008E56F3">
              <w:rPr>
                <w:rFonts w:ascii="Times New Roman" w:eastAsia="Yu Mincho" w:hAnsi="Times New Roman"/>
                <w:b/>
                <w:szCs w:val="32"/>
              </w:rPr>
              <w:t xml:space="preserve"> </w:t>
            </w:r>
            <w:r w:rsidRPr="008E56F3">
              <w:rPr>
                <w:rFonts w:ascii="Times New Roman" w:eastAsia="Yu Mincho" w:hAnsi="Times New Roman"/>
                <w:b/>
                <w:szCs w:val="32"/>
              </w:rPr>
              <w:t>Hour Burden and Equivalent Cost Associated with Policies and Procedures</w:t>
            </w:r>
          </w:p>
        </w:tc>
      </w:tr>
      <w:tr w14:paraId="4802F355" w14:textId="77777777">
        <w:tblPrEx>
          <w:tblW w:w="0" w:type="auto"/>
          <w:tblInd w:w="828" w:type="dxa"/>
          <w:tblLayout w:type="fixed"/>
          <w:tblLook w:val="04A0"/>
        </w:tblPrEx>
        <w:tc>
          <w:tcPr>
            <w:tcW w:w="1152" w:type="dxa"/>
            <w:shd w:val="clear" w:color="auto" w:fill="auto"/>
          </w:tcPr>
          <w:p w:rsidR="008E56F3" w:rsidRPr="008E56F3" w:rsidP="008E56F3" w14:paraId="34D8BDA0" w14:textId="77777777">
            <w:pPr>
              <w:widowControl/>
              <w:autoSpaceDE/>
              <w:autoSpaceDN/>
              <w:adjustRightInd/>
              <w:contextualSpacing/>
              <w:jc w:val="center"/>
              <w:rPr>
                <w:rFonts w:ascii="Times New Roman" w:eastAsia="Yu Mincho" w:hAnsi="Times New Roman"/>
                <w:b/>
                <w:szCs w:val="32"/>
              </w:rPr>
            </w:pPr>
          </w:p>
        </w:tc>
        <w:tc>
          <w:tcPr>
            <w:tcW w:w="3445" w:type="dxa"/>
            <w:gridSpan w:val="2"/>
            <w:shd w:val="clear" w:color="auto" w:fill="auto"/>
          </w:tcPr>
          <w:p w:rsidR="008E56F3" w:rsidRPr="008E56F3" w:rsidP="008E56F3" w14:paraId="79EF7EC2"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Year 1</w:t>
            </w:r>
          </w:p>
        </w:tc>
        <w:tc>
          <w:tcPr>
            <w:tcW w:w="3446" w:type="dxa"/>
            <w:gridSpan w:val="2"/>
          </w:tcPr>
          <w:p w:rsidR="008E56F3" w:rsidRPr="008E56F3" w:rsidP="008E56F3" w14:paraId="73DEDE4C"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Subsequent Years</w:t>
            </w:r>
          </w:p>
        </w:tc>
      </w:tr>
      <w:tr w14:paraId="113D1221" w14:textId="77777777">
        <w:tblPrEx>
          <w:tblW w:w="0" w:type="auto"/>
          <w:tblInd w:w="828" w:type="dxa"/>
          <w:tblLayout w:type="fixed"/>
          <w:tblLook w:val="04A0"/>
        </w:tblPrEx>
        <w:tc>
          <w:tcPr>
            <w:tcW w:w="1152" w:type="dxa"/>
            <w:shd w:val="clear" w:color="auto" w:fill="auto"/>
          </w:tcPr>
          <w:p w:rsidR="008E56F3" w:rsidRPr="008E56F3" w:rsidP="008E56F3" w14:paraId="343DE91C"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Activity</w:t>
            </w:r>
          </w:p>
        </w:tc>
        <w:tc>
          <w:tcPr>
            <w:tcW w:w="1722" w:type="dxa"/>
            <w:shd w:val="clear" w:color="auto" w:fill="auto"/>
          </w:tcPr>
          <w:p w:rsidR="008E56F3" w:rsidRPr="008E56F3" w:rsidP="008E56F3" w14:paraId="462499DC"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Burden Hours</w:t>
            </w:r>
          </w:p>
        </w:tc>
        <w:tc>
          <w:tcPr>
            <w:tcW w:w="1723" w:type="dxa"/>
            <w:shd w:val="clear" w:color="auto" w:fill="auto"/>
          </w:tcPr>
          <w:p w:rsidR="008E56F3" w:rsidRPr="008E56F3" w:rsidP="008E56F3" w14:paraId="052F59BA"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Equivalent Burden Cost</w:t>
            </w:r>
          </w:p>
        </w:tc>
        <w:tc>
          <w:tcPr>
            <w:tcW w:w="1723" w:type="dxa"/>
          </w:tcPr>
          <w:p w:rsidR="008E56F3" w:rsidRPr="008E56F3" w:rsidP="008E56F3" w14:paraId="0491EF05"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Burden Hours</w:t>
            </w:r>
          </w:p>
        </w:tc>
        <w:tc>
          <w:tcPr>
            <w:tcW w:w="1723" w:type="dxa"/>
          </w:tcPr>
          <w:p w:rsidR="008E56F3" w:rsidRPr="008E56F3" w:rsidP="008E56F3" w14:paraId="6D8B3A00" w14:textId="77777777">
            <w:pPr>
              <w:widowControl/>
              <w:autoSpaceDE/>
              <w:autoSpaceDN/>
              <w:adjustRightInd/>
              <w:contextualSpacing/>
              <w:jc w:val="center"/>
              <w:rPr>
                <w:rFonts w:ascii="Times New Roman" w:eastAsia="Yu Mincho" w:hAnsi="Times New Roman"/>
                <w:b/>
                <w:szCs w:val="32"/>
              </w:rPr>
            </w:pPr>
            <w:r w:rsidRPr="008E56F3">
              <w:rPr>
                <w:rFonts w:ascii="Times New Roman" w:eastAsia="Yu Mincho" w:hAnsi="Times New Roman"/>
                <w:b/>
                <w:szCs w:val="32"/>
              </w:rPr>
              <w:t>Equivalent Burden Cost</w:t>
            </w:r>
          </w:p>
        </w:tc>
      </w:tr>
      <w:tr w14:paraId="7AE87562" w14:textId="77777777">
        <w:tblPrEx>
          <w:tblW w:w="0" w:type="auto"/>
          <w:tblInd w:w="828" w:type="dxa"/>
          <w:tblLayout w:type="fixed"/>
          <w:tblLook w:val="04A0"/>
        </w:tblPrEx>
        <w:tc>
          <w:tcPr>
            <w:tcW w:w="1152" w:type="dxa"/>
            <w:shd w:val="clear" w:color="auto" w:fill="auto"/>
          </w:tcPr>
          <w:p w:rsidR="008E56F3" w:rsidRPr="008E56F3" w:rsidP="008E56F3" w14:paraId="6EED46D7" w14:textId="77777777">
            <w:pPr>
              <w:widowControl/>
              <w:autoSpaceDE/>
              <w:autoSpaceDN/>
              <w:adjustRightInd/>
              <w:contextualSpacing/>
              <w:rPr>
                <w:rFonts w:ascii="Times New Roman" w:eastAsia="Yu Mincho" w:hAnsi="Times New Roman"/>
                <w:szCs w:val="32"/>
              </w:rPr>
            </w:pPr>
            <w:r w:rsidRPr="008E56F3">
              <w:rPr>
                <w:rFonts w:ascii="Times New Roman" w:eastAsia="Yu Mincho" w:hAnsi="Times New Roman"/>
                <w:szCs w:val="32"/>
              </w:rPr>
              <w:t>Legal</w:t>
            </w:r>
          </w:p>
        </w:tc>
        <w:tc>
          <w:tcPr>
            <w:tcW w:w="1722" w:type="dxa"/>
            <w:shd w:val="clear" w:color="auto" w:fill="auto"/>
          </w:tcPr>
          <w:p w:rsidR="008E56F3" w:rsidRPr="008E56F3" w:rsidP="008E56F3" w14:paraId="1FC3918E"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szCs w:val="32"/>
              </w:rPr>
              <w:t>1,265</w:t>
            </w:r>
          </w:p>
        </w:tc>
        <w:tc>
          <w:tcPr>
            <w:tcW w:w="1723" w:type="dxa"/>
            <w:shd w:val="clear" w:color="auto" w:fill="auto"/>
          </w:tcPr>
          <w:p w:rsidR="008E56F3" w:rsidRPr="008E56F3" w:rsidP="008E56F3" w14:paraId="2CB3BA58"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szCs w:val="32"/>
              </w:rPr>
              <w:t>$</w:t>
            </w:r>
            <w:r w:rsidRPr="008E56F3">
              <w:rPr>
                <w:rFonts w:ascii="Times New Roman" w:eastAsia="Yu Mincho" w:hAnsi="Times New Roman"/>
                <w:szCs w:val="32"/>
                <w:lang w:val="en"/>
              </w:rPr>
              <w:t>201,565</w:t>
            </w:r>
          </w:p>
        </w:tc>
        <w:tc>
          <w:tcPr>
            <w:tcW w:w="1723" w:type="dxa"/>
          </w:tcPr>
          <w:p w:rsidR="008E56F3" w:rsidRPr="008E56F3" w:rsidP="008E56F3" w14:paraId="06009FEF"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szCs w:val="32"/>
              </w:rPr>
              <w:t>430</w:t>
            </w:r>
          </w:p>
        </w:tc>
        <w:tc>
          <w:tcPr>
            <w:tcW w:w="1723" w:type="dxa"/>
          </w:tcPr>
          <w:p w:rsidR="008E56F3" w:rsidRPr="008E56F3" w:rsidP="008E56F3" w14:paraId="61043EC2"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szCs w:val="32"/>
              </w:rPr>
              <w:t>$68,516</w:t>
            </w:r>
          </w:p>
        </w:tc>
      </w:tr>
      <w:tr w14:paraId="12FD73A4" w14:textId="77777777">
        <w:tblPrEx>
          <w:tblW w:w="0" w:type="auto"/>
          <w:tblInd w:w="828" w:type="dxa"/>
          <w:tblLayout w:type="fixed"/>
          <w:tblLook w:val="04A0"/>
        </w:tblPrEx>
        <w:tc>
          <w:tcPr>
            <w:tcW w:w="1152" w:type="dxa"/>
            <w:shd w:val="clear" w:color="auto" w:fill="auto"/>
          </w:tcPr>
          <w:p w:rsidR="008E56F3" w:rsidRPr="008E56F3" w:rsidP="008E56F3" w14:paraId="42EC39CC" w14:textId="77777777">
            <w:pPr>
              <w:widowControl/>
              <w:autoSpaceDE/>
              <w:autoSpaceDN/>
              <w:adjustRightInd/>
              <w:contextualSpacing/>
              <w:rPr>
                <w:rFonts w:ascii="Times New Roman" w:eastAsia="Yu Mincho" w:hAnsi="Times New Roman"/>
                <w:szCs w:val="32"/>
              </w:rPr>
            </w:pPr>
            <w:r w:rsidRPr="008E56F3">
              <w:rPr>
                <w:rFonts w:ascii="Times New Roman" w:eastAsia="Yu Mincho" w:hAnsi="Times New Roman"/>
                <w:szCs w:val="32"/>
              </w:rPr>
              <w:t>Clerical</w:t>
            </w:r>
          </w:p>
        </w:tc>
        <w:tc>
          <w:tcPr>
            <w:tcW w:w="1722" w:type="dxa"/>
            <w:shd w:val="clear" w:color="auto" w:fill="auto"/>
          </w:tcPr>
          <w:p w:rsidR="008E56F3" w:rsidRPr="008E56F3" w:rsidP="008E56F3" w14:paraId="7B72110F"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bCs/>
                <w:szCs w:val="32"/>
              </w:rPr>
              <w:t>1</w:t>
            </w:r>
          </w:p>
        </w:tc>
        <w:tc>
          <w:tcPr>
            <w:tcW w:w="1723" w:type="dxa"/>
            <w:shd w:val="clear" w:color="auto" w:fill="auto"/>
          </w:tcPr>
          <w:p w:rsidR="008E56F3" w:rsidRPr="008E56F3" w:rsidP="008E56F3" w14:paraId="6205775D"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bCs/>
                <w:szCs w:val="32"/>
              </w:rPr>
              <w:t>$32</w:t>
            </w:r>
          </w:p>
        </w:tc>
        <w:tc>
          <w:tcPr>
            <w:tcW w:w="1723" w:type="dxa"/>
          </w:tcPr>
          <w:p w:rsidR="008E56F3" w:rsidRPr="008E56F3" w:rsidP="008E56F3" w14:paraId="06C12200"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bCs/>
                <w:szCs w:val="32"/>
              </w:rPr>
              <w:t>1</w:t>
            </w:r>
          </w:p>
        </w:tc>
        <w:tc>
          <w:tcPr>
            <w:tcW w:w="1723" w:type="dxa"/>
          </w:tcPr>
          <w:p w:rsidR="008E56F3" w:rsidRPr="008E56F3" w:rsidP="008E56F3" w14:paraId="3A420D1A" w14:textId="77777777">
            <w:pPr>
              <w:widowControl/>
              <w:autoSpaceDE/>
              <w:autoSpaceDN/>
              <w:adjustRightInd/>
              <w:contextualSpacing/>
              <w:jc w:val="right"/>
              <w:rPr>
                <w:rFonts w:ascii="Times New Roman" w:eastAsia="Yu Mincho" w:hAnsi="Times New Roman"/>
                <w:szCs w:val="32"/>
              </w:rPr>
            </w:pPr>
            <w:r w:rsidRPr="008E56F3">
              <w:rPr>
                <w:rFonts w:ascii="Times New Roman" w:eastAsia="Yu Mincho" w:hAnsi="Times New Roman"/>
                <w:bCs/>
                <w:szCs w:val="32"/>
              </w:rPr>
              <w:t>$16</w:t>
            </w:r>
          </w:p>
        </w:tc>
      </w:tr>
      <w:tr w14:paraId="53386DAB" w14:textId="77777777">
        <w:tblPrEx>
          <w:tblW w:w="0" w:type="auto"/>
          <w:tblInd w:w="828" w:type="dxa"/>
          <w:tblLayout w:type="fixed"/>
          <w:tblLook w:val="04A0"/>
        </w:tblPrEx>
        <w:tc>
          <w:tcPr>
            <w:tcW w:w="1152" w:type="dxa"/>
            <w:shd w:val="clear" w:color="auto" w:fill="auto"/>
          </w:tcPr>
          <w:p w:rsidR="008E56F3" w:rsidRPr="008E56F3" w:rsidP="008E56F3" w14:paraId="204A2236" w14:textId="77777777">
            <w:pPr>
              <w:widowControl/>
              <w:autoSpaceDE/>
              <w:autoSpaceDN/>
              <w:adjustRightInd/>
              <w:contextualSpacing/>
              <w:rPr>
                <w:rFonts w:ascii="Times New Roman" w:eastAsia="Yu Mincho" w:hAnsi="Times New Roman"/>
                <w:b/>
                <w:szCs w:val="32"/>
              </w:rPr>
            </w:pPr>
            <w:r w:rsidRPr="008E56F3">
              <w:rPr>
                <w:rFonts w:ascii="Times New Roman" w:eastAsia="Yu Mincho" w:hAnsi="Times New Roman"/>
                <w:b/>
                <w:szCs w:val="32"/>
              </w:rPr>
              <w:t>Total</w:t>
            </w:r>
          </w:p>
        </w:tc>
        <w:tc>
          <w:tcPr>
            <w:tcW w:w="1722" w:type="dxa"/>
            <w:shd w:val="clear" w:color="auto" w:fill="auto"/>
          </w:tcPr>
          <w:p w:rsidR="008E56F3" w:rsidRPr="008E56F3" w:rsidP="008E56F3" w14:paraId="570F3DF8" w14:textId="77777777">
            <w:pPr>
              <w:widowControl/>
              <w:autoSpaceDE/>
              <w:autoSpaceDN/>
              <w:adjustRightInd/>
              <w:contextualSpacing/>
              <w:jc w:val="right"/>
              <w:rPr>
                <w:rFonts w:ascii="Times New Roman" w:eastAsia="Yu Mincho" w:hAnsi="Times New Roman"/>
                <w:b/>
                <w:szCs w:val="32"/>
              </w:rPr>
            </w:pPr>
            <w:r w:rsidRPr="008E56F3">
              <w:rPr>
                <w:rFonts w:ascii="Times New Roman" w:eastAsia="Yu Mincho" w:hAnsi="Times New Roman"/>
                <w:b/>
                <w:szCs w:val="32"/>
              </w:rPr>
              <w:t>1,266</w:t>
            </w:r>
          </w:p>
        </w:tc>
        <w:tc>
          <w:tcPr>
            <w:tcW w:w="1723" w:type="dxa"/>
            <w:shd w:val="clear" w:color="auto" w:fill="auto"/>
          </w:tcPr>
          <w:p w:rsidR="008E56F3" w:rsidRPr="008E56F3" w:rsidP="008E56F3" w14:paraId="7EC93073" w14:textId="77777777">
            <w:pPr>
              <w:widowControl/>
              <w:autoSpaceDE/>
              <w:autoSpaceDN/>
              <w:adjustRightInd/>
              <w:contextualSpacing/>
              <w:jc w:val="right"/>
              <w:rPr>
                <w:rFonts w:ascii="Times New Roman" w:eastAsia="Yu Mincho" w:hAnsi="Times New Roman"/>
                <w:b/>
                <w:szCs w:val="32"/>
              </w:rPr>
            </w:pPr>
            <w:r w:rsidRPr="008E56F3">
              <w:rPr>
                <w:rFonts w:ascii="Times New Roman" w:eastAsia="Yu Mincho" w:hAnsi="Times New Roman"/>
                <w:b/>
                <w:szCs w:val="32"/>
              </w:rPr>
              <w:t>$</w:t>
            </w:r>
            <w:r w:rsidRPr="008E56F3">
              <w:rPr>
                <w:rFonts w:ascii="Times New Roman" w:eastAsia="Yu Mincho" w:hAnsi="Times New Roman"/>
                <w:b/>
                <w:szCs w:val="32"/>
                <w:lang w:val="en"/>
              </w:rPr>
              <w:t>201,597</w:t>
            </w:r>
          </w:p>
        </w:tc>
        <w:tc>
          <w:tcPr>
            <w:tcW w:w="1723" w:type="dxa"/>
          </w:tcPr>
          <w:p w:rsidR="008E56F3" w:rsidRPr="008E56F3" w:rsidP="008E56F3" w14:paraId="0754B86C" w14:textId="77777777">
            <w:pPr>
              <w:widowControl/>
              <w:autoSpaceDE/>
              <w:autoSpaceDN/>
              <w:adjustRightInd/>
              <w:contextualSpacing/>
              <w:jc w:val="right"/>
              <w:rPr>
                <w:rFonts w:ascii="Times New Roman" w:eastAsia="Yu Mincho" w:hAnsi="Times New Roman"/>
                <w:b/>
                <w:szCs w:val="32"/>
              </w:rPr>
            </w:pPr>
            <w:r w:rsidRPr="008E56F3">
              <w:rPr>
                <w:rFonts w:ascii="Times New Roman" w:eastAsia="Yu Mincho" w:hAnsi="Times New Roman"/>
                <w:b/>
                <w:szCs w:val="32"/>
              </w:rPr>
              <w:t>430</w:t>
            </w:r>
          </w:p>
        </w:tc>
        <w:tc>
          <w:tcPr>
            <w:tcW w:w="1723" w:type="dxa"/>
          </w:tcPr>
          <w:p w:rsidR="008E56F3" w:rsidRPr="008E56F3" w:rsidP="008E56F3" w14:paraId="5833B876" w14:textId="77777777">
            <w:pPr>
              <w:widowControl/>
              <w:autoSpaceDE/>
              <w:autoSpaceDN/>
              <w:adjustRightInd/>
              <w:contextualSpacing/>
              <w:jc w:val="right"/>
              <w:rPr>
                <w:rFonts w:ascii="Times New Roman" w:eastAsia="Yu Mincho" w:hAnsi="Times New Roman"/>
                <w:b/>
                <w:szCs w:val="32"/>
              </w:rPr>
            </w:pPr>
            <w:r w:rsidRPr="008E56F3">
              <w:rPr>
                <w:rFonts w:ascii="Times New Roman" w:eastAsia="Yu Mincho" w:hAnsi="Times New Roman"/>
                <w:b/>
                <w:szCs w:val="32"/>
              </w:rPr>
              <w:t>$68,532</w:t>
            </w:r>
          </w:p>
        </w:tc>
      </w:tr>
    </w:tbl>
    <w:p w:rsidR="004D7D8E" w:rsidRPr="008D15AA" w:rsidP="00675971" w14:paraId="3E3B95AA" w14:textId="77777777">
      <w:pPr>
        <w:contextualSpacing/>
        <w:rPr>
          <w:rFonts w:ascii="Times New Roman" w:hAnsi="Times New Roman"/>
        </w:rPr>
      </w:pPr>
    </w:p>
    <w:p w:rsidR="001B747E" w:rsidRPr="00945117" w:rsidP="00945117" w14:paraId="22D4FE3E" w14:textId="3C27EDE7">
      <w:pPr>
        <w:pStyle w:val="Quick1"/>
        <w:numPr>
          <w:ilvl w:val="2"/>
          <w:numId w:val="29"/>
        </w:numPr>
        <w:rPr>
          <w:rFonts w:ascii="Times New Roman" w:hAnsi="Times New Roman"/>
        </w:rPr>
      </w:pPr>
      <w:r>
        <w:rPr>
          <w:rFonts w:ascii="Times New Roman" w:hAnsi="Times New Roman"/>
          <w:i/>
        </w:rPr>
        <w:t>Retrospective Review</w:t>
      </w:r>
    </w:p>
    <w:p w:rsidR="000750B5" w:rsidP="00F01849" w14:paraId="110D0176" w14:textId="77777777">
      <w:pPr>
        <w:pStyle w:val="Quick1"/>
        <w:numPr>
          <w:ilvl w:val="0"/>
          <w:numId w:val="0"/>
        </w:numPr>
        <w:ind w:left="720"/>
        <w:rPr>
          <w:rFonts w:ascii="Times New Roman" w:hAnsi="Times New Roman"/>
        </w:rPr>
      </w:pPr>
    </w:p>
    <w:p w:rsidR="000750B5" w:rsidRPr="00675971" w:rsidP="00675971" w14:paraId="2E364D23" w14:textId="49AD1B33">
      <w:pPr>
        <w:ind w:left="720"/>
        <w:contextualSpacing/>
        <w:rPr>
          <w:rFonts w:ascii="Times New Roman" w:hAnsi="Times New Roman"/>
          <w:i/>
        </w:rPr>
      </w:pPr>
      <w:r w:rsidRPr="00675971">
        <w:rPr>
          <w:rFonts w:ascii="Times New Roman" w:hAnsi="Times New Roman"/>
        </w:rPr>
        <w:t xml:space="preserve">The proposed amendment would require financial institutions to conduct a retrospective review at least annually. The review would be required to be reasonably designed to prevent violations of and achieve compliance with (1) the Impartial Conduct Standards, (2) the terms of this exemption, and (3) the policies and procedures governing compliance with the exemption. The review would be required to evaluate the effectiveness of the supervision system, any noncompliance discovered in connection with the review, and corrective actions taken or recommended, if any. Financial institutions would also be required to provide the </w:t>
      </w:r>
      <w:r w:rsidR="00ED1A11">
        <w:rPr>
          <w:rFonts w:ascii="Times New Roman" w:hAnsi="Times New Roman"/>
        </w:rPr>
        <w:t>Independent Producer</w:t>
      </w:r>
      <w:r w:rsidRPr="00675971">
        <w:rPr>
          <w:rFonts w:ascii="Times New Roman" w:hAnsi="Times New Roman"/>
        </w:rPr>
        <w:t xml:space="preserve"> with the underlying methodology and results of the retrospective review.</w:t>
      </w:r>
    </w:p>
    <w:p w:rsidR="000750B5" w:rsidRPr="00945117" w:rsidP="00675971" w14:paraId="235B9F0E" w14:textId="77777777">
      <w:pPr>
        <w:pStyle w:val="Quick1"/>
        <w:numPr>
          <w:ilvl w:val="0"/>
          <w:numId w:val="0"/>
        </w:numPr>
        <w:ind w:left="720"/>
        <w:rPr>
          <w:rFonts w:ascii="Times New Roman" w:hAnsi="Times New Roman"/>
        </w:rPr>
      </w:pPr>
    </w:p>
    <w:p w:rsidR="001B747E" w:rsidRPr="00530597" w:rsidP="00945117" w14:paraId="2EEE34D9" w14:textId="77777777">
      <w:pPr>
        <w:pStyle w:val="ListParagraph"/>
        <w:widowControl/>
        <w:numPr>
          <w:ilvl w:val="3"/>
          <w:numId w:val="29"/>
        </w:numPr>
        <w:autoSpaceDE/>
        <w:autoSpaceDN/>
        <w:adjustRightInd/>
        <w:rPr>
          <w:rFonts w:ascii="Times New Roman" w:hAnsi="Times New Roman"/>
        </w:rPr>
      </w:pPr>
      <w:r w:rsidRPr="00530597">
        <w:rPr>
          <w:rFonts w:ascii="Times New Roman" w:hAnsi="Times New Roman"/>
          <w:i/>
        </w:rPr>
        <w:t>The Insurance Company Must Conduct a Retrospective Review, at Least Annually,</w:t>
      </w:r>
      <w:r w:rsidRPr="00530597">
        <w:rPr>
          <w:rFonts w:ascii="Times New Roman" w:hAnsi="Times New Roman"/>
        </w:rPr>
        <w:t xml:space="preserve"> </w:t>
      </w:r>
      <w:r w:rsidRPr="00530597">
        <w:rPr>
          <w:rFonts w:ascii="Times New Roman" w:hAnsi="Times New Roman"/>
          <w:i/>
        </w:rPr>
        <w:t>for Each Independent Producer that Sells the Insurance Company’s Annuity Contracts</w:t>
      </w:r>
    </w:p>
    <w:p w:rsidR="002D3F9D" w:rsidRPr="00530597" w:rsidP="00945117" w14:paraId="0BABB65C" w14:textId="77777777">
      <w:pPr>
        <w:pStyle w:val="Quick1"/>
        <w:numPr>
          <w:ilvl w:val="0"/>
          <w:numId w:val="0"/>
        </w:numPr>
        <w:rPr>
          <w:rFonts w:ascii="Times New Roman" w:hAnsi="Times New Roman"/>
        </w:rPr>
      </w:pPr>
    </w:p>
    <w:p w:rsidR="004D4500" w:rsidRPr="004D4500" w:rsidP="00675971" w14:paraId="794C816E" w14:textId="1E458443">
      <w:pPr>
        <w:pStyle w:val="Quick1"/>
        <w:numPr>
          <w:ilvl w:val="0"/>
          <w:numId w:val="0"/>
        </w:numPr>
        <w:ind w:left="720"/>
        <w:rPr>
          <w:rFonts w:ascii="Times New Roman" w:hAnsi="Times New Roman"/>
        </w:rPr>
      </w:pPr>
      <w:r w:rsidRPr="004D4500">
        <w:rPr>
          <w:rFonts w:ascii="Times New Roman" w:hAnsi="Times New Roman"/>
        </w:rPr>
        <w:t>The Department estimates that 215 financial institutions would need to meet this requirement.</w:t>
      </w:r>
      <w:r w:rsidRPr="004D4500">
        <w:rPr>
          <w:rFonts w:ascii="Times New Roman" w:hAnsi="Times New Roman"/>
        </w:rPr>
        <w:t xml:space="preserve"> </w:t>
      </w:r>
      <w:r w:rsidRPr="004D4500">
        <w:rPr>
          <w:rFonts w:ascii="Times New Roman" w:hAnsi="Times New Roman"/>
        </w:rPr>
        <w:t xml:space="preserve">For this requirement the information collection is documenting the findings of the retrospective review. The Departments lacks data on, for a given insurance company, how many </w:t>
      </w:r>
      <w:r w:rsidR="00ED1A11">
        <w:rPr>
          <w:rFonts w:ascii="Times New Roman" w:hAnsi="Times New Roman"/>
        </w:rPr>
        <w:t>Independent Producer</w:t>
      </w:r>
      <w:r w:rsidRPr="004D4500">
        <w:rPr>
          <w:rFonts w:ascii="Times New Roman" w:hAnsi="Times New Roman"/>
        </w:rPr>
        <w:t xml:space="preserve">s, on average, sell their annuities. For the purposes of this analysis, the Department assumes that, on average, each </w:t>
      </w:r>
      <w:r w:rsidR="00ED1A11">
        <w:rPr>
          <w:rFonts w:ascii="Times New Roman" w:hAnsi="Times New Roman"/>
        </w:rPr>
        <w:t>Independent Producer</w:t>
      </w:r>
      <w:r w:rsidRPr="004D4500">
        <w:rPr>
          <w:rFonts w:ascii="Times New Roman" w:hAnsi="Times New Roman"/>
        </w:rPr>
        <w:t xml:space="preserve"> sells the products of three financial institutions. From each of these financial institutions, they may sell multiple products. As such, the Department assumes that each year, insurance companies would need to prepare a total of 12,000 retrospective reviews,</w:t>
      </w:r>
      <w:r>
        <w:rPr>
          <w:rFonts w:ascii="Times New Roman" w:hAnsi="Times New Roman"/>
          <w:vertAlign w:val="superscript"/>
        </w:rPr>
        <w:footnoteReference w:id="53"/>
      </w:r>
      <w:r w:rsidRPr="004D4500">
        <w:rPr>
          <w:rFonts w:ascii="Times New Roman" w:hAnsi="Times New Roman"/>
        </w:rPr>
        <w:t xml:space="preserve"> or on average, each insurance company would need to prepare approximately 56 retrospective reviews.</w:t>
      </w:r>
      <w:r>
        <w:rPr>
          <w:rFonts w:ascii="Times New Roman" w:hAnsi="Times New Roman"/>
          <w:vertAlign w:val="superscript"/>
        </w:rPr>
        <w:footnoteReference w:id="54"/>
      </w:r>
      <w:r w:rsidRPr="004D4500">
        <w:rPr>
          <w:rFonts w:ascii="Times New Roman" w:hAnsi="Times New Roman"/>
        </w:rPr>
        <w:t xml:space="preserve"> The Department assumes that, for each </w:t>
      </w:r>
      <w:r w:rsidR="00ED1A11">
        <w:rPr>
          <w:rFonts w:ascii="Times New Roman" w:hAnsi="Times New Roman"/>
        </w:rPr>
        <w:t>Independent Producer</w:t>
      </w:r>
      <w:r w:rsidRPr="004D4500">
        <w:rPr>
          <w:rFonts w:ascii="Times New Roman" w:hAnsi="Times New Roman"/>
        </w:rPr>
        <w:t xml:space="preserve"> selling an insurance company’s products, an in-house attorney at the insurance company would spend one hour of legal staff time, on average, drafting the retrospective review. This results in an estimated hour burden of 12,000 hours with an equivalent cost of $1.9 </w:t>
      </w:r>
      <w:r w:rsidRPr="004D4500">
        <w:rPr>
          <w:rFonts w:ascii="Times New Roman" w:hAnsi="Times New Roman"/>
        </w:rPr>
        <w:t>million.</w:t>
      </w:r>
      <w:r>
        <w:rPr>
          <w:rFonts w:ascii="Times New Roman" w:hAnsi="Times New Roman"/>
          <w:vertAlign w:val="superscript"/>
        </w:rPr>
        <w:footnoteReference w:id="55"/>
      </w:r>
    </w:p>
    <w:p w:rsidR="002D3F9D" w:rsidRPr="00530597" w:rsidP="00675971" w14:paraId="2DC04664" w14:textId="77777777">
      <w:pPr>
        <w:ind w:left="144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722"/>
        <w:gridCol w:w="1723"/>
        <w:gridCol w:w="1723"/>
        <w:gridCol w:w="1723"/>
      </w:tblGrid>
      <w:tr w14:paraId="3E073554"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490493" w:rsidRPr="00490493" w:rsidP="00490493" w14:paraId="6B9E96AC" w14:textId="54411F3D">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Table 1</w:t>
            </w:r>
            <w:r>
              <w:rPr>
                <w:rFonts w:ascii="Times New Roman" w:eastAsia="Yu Mincho" w:hAnsi="Times New Roman"/>
                <w:b/>
                <w:szCs w:val="32"/>
              </w:rPr>
              <w:t>0</w:t>
            </w:r>
            <w:r w:rsidRPr="00490493">
              <w:rPr>
                <w:rFonts w:ascii="Times New Roman" w:eastAsia="Yu Mincho" w:hAnsi="Times New Roman"/>
                <w:b/>
                <w:szCs w:val="32"/>
              </w:rPr>
              <w:t>:</w:t>
            </w:r>
            <w:r w:rsidRPr="00490493">
              <w:rPr>
                <w:rFonts w:ascii="Times New Roman" w:eastAsia="Yu Mincho" w:hAnsi="Times New Roman"/>
                <w:b/>
                <w:szCs w:val="32"/>
              </w:rPr>
              <w:t xml:space="preserve"> </w:t>
            </w:r>
            <w:r w:rsidRPr="00490493">
              <w:rPr>
                <w:rFonts w:ascii="Times New Roman" w:eastAsia="Yu Mincho" w:hAnsi="Times New Roman"/>
                <w:b/>
                <w:szCs w:val="32"/>
              </w:rPr>
              <w:t>Hour Burden and Equivalent Cost Associated with the Retrospective Review</w:t>
            </w:r>
          </w:p>
        </w:tc>
      </w:tr>
      <w:tr w14:paraId="56B25C25" w14:textId="77777777">
        <w:tblPrEx>
          <w:tblW w:w="0" w:type="auto"/>
          <w:tblInd w:w="828" w:type="dxa"/>
          <w:tblLayout w:type="fixed"/>
          <w:tblLook w:val="04A0"/>
        </w:tblPrEx>
        <w:tc>
          <w:tcPr>
            <w:tcW w:w="1152" w:type="dxa"/>
            <w:shd w:val="clear" w:color="auto" w:fill="auto"/>
          </w:tcPr>
          <w:p w:rsidR="00490493" w:rsidRPr="00490493" w:rsidP="00490493" w14:paraId="3595A046" w14:textId="77777777">
            <w:pPr>
              <w:widowControl/>
              <w:autoSpaceDE/>
              <w:autoSpaceDN/>
              <w:adjustRightInd/>
              <w:contextualSpacing/>
              <w:jc w:val="center"/>
              <w:rPr>
                <w:rFonts w:ascii="Times New Roman" w:eastAsia="Yu Mincho" w:hAnsi="Times New Roman"/>
                <w:b/>
                <w:szCs w:val="32"/>
              </w:rPr>
            </w:pPr>
          </w:p>
        </w:tc>
        <w:tc>
          <w:tcPr>
            <w:tcW w:w="3445" w:type="dxa"/>
            <w:gridSpan w:val="2"/>
            <w:shd w:val="clear" w:color="auto" w:fill="auto"/>
          </w:tcPr>
          <w:p w:rsidR="00490493" w:rsidRPr="00490493" w:rsidP="00490493" w14:paraId="48325F37"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Year 1</w:t>
            </w:r>
          </w:p>
        </w:tc>
        <w:tc>
          <w:tcPr>
            <w:tcW w:w="3446" w:type="dxa"/>
            <w:gridSpan w:val="2"/>
          </w:tcPr>
          <w:p w:rsidR="00490493" w:rsidRPr="00490493" w:rsidP="00490493" w14:paraId="4F7BAD40"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Subsequent Years</w:t>
            </w:r>
          </w:p>
        </w:tc>
      </w:tr>
      <w:tr w14:paraId="2FEAD9B8" w14:textId="77777777">
        <w:tblPrEx>
          <w:tblW w:w="0" w:type="auto"/>
          <w:tblInd w:w="828" w:type="dxa"/>
          <w:tblLayout w:type="fixed"/>
          <w:tblLook w:val="04A0"/>
        </w:tblPrEx>
        <w:tc>
          <w:tcPr>
            <w:tcW w:w="1152" w:type="dxa"/>
            <w:shd w:val="clear" w:color="auto" w:fill="auto"/>
          </w:tcPr>
          <w:p w:rsidR="00490493" w:rsidRPr="00490493" w:rsidP="00490493" w14:paraId="1385E6DD"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Activity</w:t>
            </w:r>
          </w:p>
        </w:tc>
        <w:tc>
          <w:tcPr>
            <w:tcW w:w="1722" w:type="dxa"/>
            <w:shd w:val="clear" w:color="auto" w:fill="auto"/>
          </w:tcPr>
          <w:p w:rsidR="00490493" w:rsidRPr="00490493" w:rsidP="00490493" w14:paraId="12F66396"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Burden Hours</w:t>
            </w:r>
          </w:p>
        </w:tc>
        <w:tc>
          <w:tcPr>
            <w:tcW w:w="1723" w:type="dxa"/>
            <w:shd w:val="clear" w:color="auto" w:fill="auto"/>
          </w:tcPr>
          <w:p w:rsidR="00490493" w:rsidRPr="00490493" w:rsidP="00490493" w14:paraId="115726EB"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Equivalent Burden Cost</w:t>
            </w:r>
          </w:p>
        </w:tc>
        <w:tc>
          <w:tcPr>
            <w:tcW w:w="1723" w:type="dxa"/>
          </w:tcPr>
          <w:p w:rsidR="00490493" w:rsidRPr="00490493" w:rsidP="00490493" w14:paraId="577CCC67"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Burden Hours</w:t>
            </w:r>
          </w:p>
        </w:tc>
        <w:tc>
          <w:tcPr>
            <w:tcW w:w="1723" w:type="dxa"/>
          </w:tcPr>
          <w:p w:rsidR="00490493" w:rsidRPr="00490493" w:rsidP="00490493" w14:paraId="69BA6CBF" w14:textId="77777777">
            <w:pPr>
              <w:widowControl/>
              <w:autoSpaceDE/>
              <w:autoSpaceDN/>
              <w:adjustRightInd/>
              <w:contextualSpacing/>
              <w:jc w:val="center"/>
              <w:rPr>
                <w:rFonts w:ascii="Times New Roman" w:eastAsia="Yu Mincho" w:hAnsi="Times New Roman"/>
                <w:b/>
                <w:szCs w:val="32"/>
              </w:rPr>
            </w:pPr>
            <w:r w:rsidRPr="00490493">
              <w:rPr>
                <w:rFonts w:ascii="Times New Roman" w:eastAsia="Yu Mincho" w:hAnsi="Times New Roman"/>
                <w:b/>
                <w:szCs w:val="32"/>
              </w:rPr>
              <w:t>Equivalent Burden Cost</w:t>
            </w:r>
          </w:p>
        </w:tc>
      </w:tr>
      <w:tr w14:paraId="10997498" w14:textId="77777777">
        <w:tblPrEx>
          <w:tblW w:w="0" w:type="auto"/>
          <w:tblInd w:w="828" w:type="dxa"/>
          <w:tblLayout w:type="fixed"/>
          <w:tblLook w:val="04A0"/>
        </w:tblPrEx>
        <w:tc>
          <w:tcPr>
            <w:tcW w:w="1152" w:type="dxa"/>
            <w:shd w:val="clear" w:color="auto" w:fill="auto"/>
          </w:tcPr>
          <w:p w:rsidR="00490493" w:rsidRPr="00490493" w:rsidP="00490493" w14:paraId="5FAF24C2" w14:textId="77777777">
            <w:pPr>
              <w:widowControl/>
              <w:autoSpaceDE/>
              <w:autoSpaceDN/>
              <w:adjustRightInd/>
              <w:contextualSpacing/>
              <w:rPr>
                <w:rFonts w:ascii="Times New Roman" w:eastAsia="Yu Mincho" w:hAnsi="Times New Roman"/>
                <w:szCs w:val="32"/>
              </w:rPr>
            </w:pPr>
            <w:r w:rsidRPr="00490493">
              <w:rPr>
                <w:rFonts w:ascii="Times New Roman" w:eastAsia="Yu Mincho" w:hAnsi="Times New Roman"/>
                <w:szCs w:val="32"/>
              </w:rPr>
              <w:t>Legal</w:t>
            </w:r>
          </w:p>
        </w:tc>
        <w:tc>
          <w:tcPr>
            <w:tcW w:w="1722" w:type="dxa"/>
            <w:shd w:val="clear" w:color="auto" w:fill="auto"/>
          </w:tcPr>
          <w:p w:rsidR="00490493" w:rsidRPr="00490493" w:rsidP="00490493" w14:paraId="5D221A2A" w14:textId="77777777">
            <w:pPr>
              <w:widowControl/>
              <w:autoSpaceDE/>
              <w:autoSpaceDN/>
              <w:adjustRightInd/>
              <w:contextualSpacing/>
              <w:jc w:val="right"/>
              <w:rPr>
                <w:rFonts w:ascii="Times New Roman" w:eastAsia="Yu Mincho" w:hAnsi="Times New Roman"/>
                <w:szCs w:val="32"/>
              </w:rPr>
            </w:pPr>
            <w:r w:rsidRPr="00490493">
              <w:rPr>
                <w:rFonts w:ascii="Times New Roman" w:eastAsia="Yu Mincho" w:hAnsi="Times New Roman"/>
                <w:szCs w:val="32"/>
              </w:rPr>
              <w:t>12,000</w:t>
            </w:r>
          </w:p>
        </w:tc>
        <w:tc>
          <w:tcPr>
            <w:tcW w:w="1723" w:type="dxa"/>
            <w:shd w:val="clear" w:color="auto" w:fill="auto"/>
          </w:tcPr>
          <w:p w:rsidR="00490493" w:rsidRPr="00490493" w:rsidP="00490493" w14:paraId="0052A87C" w14:textId="77777777">
            <w:pPr>
              <w:widowControl/>
              <w:autoSpaceDE/>
              <w:autoSpaceDN/>
              <w:adjustRightInd/>
              <w:contextualSpacing/>
              <w:jc w:val="right"/>
              <w:rPr>
                <w:rFonts w:ascii="Times New Roman" w:eastAsia="Yu Mincho" w:hAnsi="Times New Roman"/>
                <w:szCs w:val="32"/>
              </w:rPr>
            </w:pPr>
            <w:r w:rsidRPr="00490493">
              <w:rPr>
                <w:rFonts w:ascii="Times New Roman" w:eastAsia="Yu Mincho" w:hAnsi="Times New Roman"/>
                <w:szCs w:val="32"/>
              </w:rPr>
              <w:t>$</w:t>
            </w:r>
            <w:r w:rsidRPr="00490493">
              <w:rPr>
                <w:rFonts w:ascii="Times New Roman" w:eastAsia="Yu Mincho" w:hAnsi="Times New Roman"/>
                <w:szCs w:val="32"/>
                <w:lang w:val="en"/>
              </w:rPr>
              <w:t>1,912,080</w:t>
            </w:r>
          </w:p>
        </w:tc>
        <w:tc>
          <w:tcPr>
            <w:tcW w:w="1723" w:type="dxa"/>
          </w:tcPr>
          <w:p w:rsidR="00490493" w:rsidRPr="00490493" w:rsidP="00490493" w14:paraId="7E164DBF" w14:textId="77777777">
            <w:pPr>
              <w:widowControl/>
              <w:autoSpaceDE/>
              <w:autoSpaceDN/>
              <w:adjustRightInd/>
              <w:contextualSpacing/>
              <w:jc w:val="right"/>
              <w:rPr>
                <w:rFonts w:ascii="Times New Roman" w:eastAsia="Yu Mincho" w:hAnsi="Times New Roman"/>
                <w:szCs w:val="32"/>
              </w:rPr>
            </w:pPr>
            <w:r w:rsidRPr="00490493">
              <w:rPr>
                <w:rFonts w:ascii="Times New Roman" w:eastAsia="Yu Mincho" w:hAnsi="Times New Roman"/>
                <w:szCs w:val="32"/>
              </w:rPr>
              <w:t>12,000</w:t>
            </w:r>
          </w:p>
        </w:tc>
        <w:tc>
          <w:tcPr>
            <w:tcW w:w="1723" w:type="dxa"/>
          </w:tcPr>
          <w:p w:rsidR="00490493" w:rsidRPr="00490493" w:rsidP="00490493" w14:paraId="38B19B24" w14:textId="77777777">
            <w:pPr>
              <w:widowControl/>
              <w:autoSpaceDE/>
              <w:autoSpaceDN/>
              <w:adjustRightInd/>
              <w:contextualSpacing/>
              <w:jc w:val="right"/>
              <w:rPr>
                <w:rFonts w:ascii="Times New Roman" w:eastAsia="Yu Mincho" w:hAnsi="Times New Roman"/>
                <w:szCs w:val="32"/>
              </w:rPr>
            </w:pPr>
            <w:r w:rsidRPr="00490493">
              <w:rPr>
                <w:rFonts w:ascii="Times New Roman" w:eastAsia="Yu Mincho" w:hAnsi="Times New Roman"/>
                <w:szCs w:val="32"/>
              </w:rPr>
              <w:t>$</w:t>
            </w:r>
            <w:r w:rsidRPr="00490493">
              <w:rPr>
                <w:rFonts w:ascii="Times New Roman" w:eastAsia="Yu Mincho" w:hAnsi="Times New Roman"/>
                <w:szCs w:val="32"/>
                <w:lang w:val="en"/>
              </w:rPr>
              <w:t>1,912,080</w:t>
            </w:r>
          </w:p>
        </w:tc>
      </w:tr>
      <w:tr w14:paraId="0BD21FFE" w14:textId="77777777">
        <w:tblPrEx>
          <w:tblW w:w="0" w:type="auto"/>
          <w:tblInd w:w="828" w:type="dxa"/>
          <w:tblLayout w:type="fixed"/>
          <w:tblLook w:val="04A0"/>
        </w:tblPrEx>
        <w:tc>
          <w:tcPr>
            <w:tcW w:w="1152" w:type="dxa"/>
            <w:shd w:val="clear" w:color="auto" w:fill="auto"/>
          </w:tcPr>
          <w:p w:rsidR="00490493" w:rsidRPr="00490493" w:rsidP="00490493" w14:paraId="6A1AADC1" w14:textId="77777777">
            <w:pPr>
              <w:widowControl/>
              <w:autoSpaceDE/>
              <w:autoSpaceDN/>
              <w:adjustRightInd/>
              <w:contextualSpacing/>
              <w:rPr>
                <w:rFonts w:ascii="Times New Roman" w:eastAsia="Yu Mincho" w:hAnsi="Times New Roman"/>
                <w:b/>
                <w:szCs w:val="32"/>
              </w:rPr>
            </w:pPr>
            <w:r w:rsidRPr="00490493">
              <w:rPr>
                <w:rFonts w:ascii="Times New Roman" w:eastAsia="Yu Mincho" w:hAnsi="Times New Roman"/>
                <w:b/>
                <w:szCs w:val="32"/>
              </w:rPr>
              <w:t>Total</w:t>
            </w:r>
          </w:p>
        </w:tc>
        <w:tc>
          <w:tcPr>
            <w:tcW w:w="1722" w:type="dxa"/>
            <w:shd w:val="clear" w:color="auto" w:fill="auto"/>
          </w:tcPr>
          <w:p w:rsidR="00490493" w:rsidRPr="00490493" w:rsidP="00490493" w14:paraId="1C88AA58" w14:textId="77777777">
            <w:pPr>
              <w:widowControl/>
              <w:autoSpaceDE/>
              <w:autoSpaceDN/>
              <w:adjustRightInd/>
              <w:contextualSpacing/>
              <w:jc w:val="right"/>
              <w:rPr>
                <w:rFonts w:ascii="Times New Roman" w:eastAsia="Yu Mincho" w:hAnsi="Times New Roman"/>
                <w:b/>
                <w:szCs w:val="32"/>
              </w:rPr>
            </w:pPr>
            <w:r w:rsidRPr="00490493">
              <w:rPr>
                <w:rFonts w:ascii="Times New Roman" w:eastAsia="Yu Mincho" w:hAnsi="Times New Roman"/>
                <w:b/>
                <w:szCs w:val="32"/>
              </w:rPr>
              <w:t>12,000</w:t>
            </w:r>
          </w:p>
        </w:tc>
        <w:tc>
          <w:tcPr>
            <w:tcW w:w="1723" w:type="dxa"/>
            <w:shd w:val="clear" w:color="auto" w:fill="auto"/>
          </w:tcPr>
          <w:p w:rsidR="00490493" w:rsidRPr="00490493" w:rsidP="00490493" w14:paraId="41FBB4A8" w14:textId="77777777">
            <w:pPr>
              <w:widowControl/>
              <w:autoSpaceDE/>
              <w:autoSpaceDN/>
              <w:adjustRightInd/>
              <w:contextualSpacing/>
              <w:jc w:val="right"/>
              <w:rPr>
                <w:rFonts w:ascii="Times New Roman" w:eastAsia="Yu Mincho" w:hAnsi="Times New Roman"/>
                <w:b/>
                <w:szCs w:val="32"/>
              </w:rPr>
            </w:pPr>
            <w:r w:rsidRPr="00490493">
              <w:rPr>
                <w:rFonts w:ascii="Times New Roman" w:eastAsia="Yu Mincho" w:hAnsi="Times New Roman"/>
                <w:b/>
                <w:szCs w:val="32"/>
              </w:rPr>
              <w:t>$</w:t>
            </w:r>
            <w:r w:rsidRPr="00490493">
              <w:rPr>
                <w:rFonts w:ascii="Times New Roman" w:eastAsia="Yu Mincho" w:hAnsi="Times New Roman"/>
                <w:b/>
                <w:szCs w:val="32"/>
                <w:lang w:val="en"/>
              </w:rPr>
              <w:t>1,912,080</w:t>
            </w:r>
          </w:p>
        </w:tc>
        <w:tc>
          <w:tcPr>
            <w:tcW w:w="1723" w:type="dxa"/>
          </w:tcPr>
          <w:p w:rsidR="00490493" w:rsidRPr="00490493" w:rsidP="00490493" w14:paraId="704E5DD5" w14:textId="77777777">
            <w:pPr>
              <w:widowControl/>
              <w:autoSpaceDE/>
              <w:autoSpaceDN/>
              <w:adjustRightInd/>
              <w:contextualSpacing/>
              <w:jc w:val="right"/>
              <w:rPr>
                <w:rFonts w:ascii="Times New Roman" w:eastAsia="Yu Mincho" w:hAnsi="Times New Roman"/>
                <w:b/>
                <w:szCs w:val="32"/>
              </w:rPr>
            </w:pPr>
            <w:r w:rsidRPr="00490493">
              <w:rPr>
                <w:rFonts w:ascii="Times New Roman" w:eastAsia="Yu Mincho" w:hAnsi="Times New Roman"/>
                <w:b/>
                <w:szCs w:val="32"/>
              </w:rPr>
              <w:t>12,000</w:t>
            </w:r>
          </w:p>
        </w:tc>
        <w:tc>
          <w:tcPr>
            <w:tcW w:w="1723" w:type="dxa"/>
          </w:tcPr>
          <w:p w:rsidR="00490493" w:rsidRPr="00490493" w:rsidP="00490493" w14:paraId="09729531" w14:textId="77777777">
            <w:pPr>
              <w:widowControl/>
              <w:autoSpaceDE/>
              <w:autoSpaceDN/>
              <w:adjustRightInd/>
              <w:contextualSpacing/>
              <w:jc w:val="right"/>
              <w:rPr>
                <w:rFonts w:ascii="Times New Roman" w:eastAsia="Yu Mincho" w:hAnsi="Times New Roman"/>
                <w:b/>
                <w:szCs w:val="32"/>
              </w:rPr>
            </w:pPr>
            <w:r w:rsidRPr="00490493">
              <w:rPr>
                <w:rFonts w:ascii="Times New Roman" w:eastAsia="Yu Mincho" w:hAnsi="Times New Roman"/>
                <w:b/>
                <w:szCs w:val="32"/>
              </w:rPr>
              <w:t>$</w:t>
            </w:r>
            <w:r w:rsidRPr="00490493">
              <w:rPr>
                <w:rFonts w:ascii="Times New Roman" w:eastAsia="Yu Mincho" w:hAnsi="Times New Roman"/>
                <w:b/>
                <w:szCs w:val="32"/>
                <w:lang w:val="en"/>
              </w:rPr>
              <w:t>1,912,080</w:t>
            </w:r>
          </w:p>
        </w:tc>
      </w:tr>
    </w:tbl>
    <w:p w:rsidR="001B747E" w:rsidRPr="0013547C" w:rsidP="001B747E" w14:paraId="496EC9CF" w14:textId="77777777">
      <w:pPr>
        <w:pStyle w:val="Quick1"/>
        <w:numPr>
          <w:ilvl w:val="0"/>
          <w:numId w:val="0"/>
        </w:numPr>
        <w:ind w:left="1224"/>
        <w:rPr>
          <w:rFonts w:ascii="Times New Roman" w:hAnsi="Times New Roman"/>
        </w:rPr>
      </w:pPr>
    </w:p>
    <w:p w:rsidR="001B747E" w:rsidRPr="00530597" w:rsidP="00945117" w14:paraId="3A40F785" w14:textId="5132FD31">
      <w:pPr>
        <w:pStyle w:val="ListParagraph"/>
        <w:widowControl/>
        <w:numPr>
          <w:ilvl w:val="3"/>
          <w:numId w:val="29"/>
        </w:numPr>
        <w:autoSpaceDE/>
        <w:autoSpaceDN/>
        <w:adjustRightInd/>
        <w:rPr>
          <w:rFonts w:ascii="Times New Roman" w:hAnsi="Times New Roman"/>
        </w:rPr>
      </w:pPr>
      <w:r w:rsidRPr="00530597">
        <w:rPr>
          <w:rFonts w:ascii="Times New Roman" w:hAnsi="Times New Roman"/>
          <w:i/>
        </w:rPr>
        <w:t>Certification by the Senior Executive Officer of the Insurance Company</w:t>
      </w:r>
    </w:p>
    <w:p w:rsidR="002D3F9D" w:rsidRPr="00530597" w:rsidP="00945117" w14:paraId="35BB6DBE" w14:textId="18360349">
      <w:pPr>
        <w:widowControl/>
        <w:autoSpaceDE/>
        <w:autoSpaceDN/>
        <w:adjustRightInd/>
        <w:rPr>
          <w:rFonts w:ascii="Times New Roman" w:hAnsi="Times New Roman"/>
          <w:i/>
        </w:rPr>
      </w:pPr>
    </w:p>
    <w:p w:rsidR="004D4500" w:rsidRPr="004D4500" w:rsidP="00675971" w14:paraId="1A0C1127" w14:textId="77777777">
      <w:pPr>
        <w:widowControl/>
        <w:autoSpaceDE/>
        <w:autoSpaceDN/>
        <w:adjustRightInd/>
        <w:ind w:left="720"/>
        <w:rPr>
          <w:rFonts w:ascii="Times New Roman" w:hAnsi="Times New Roman"/>
        </w:rPr>
      </w:pPr>
      <w:r w:rsidRPr="004D4500">
        <w:rPr>
          <w:rFonts w:ascii="Times New Roman" w:hAnsi="Times New Roman"/>
        </w:rPr>
        <w:t>The Department assumes it would take a Senior Executive Officer 15 minutes to certify the report.</w:t>
      </w:r>
      <w:r w:rsidRPr="004D4500">
        <w:rPr>
          <w:rFonts w:ascii="Times New Roman" w:hAnsi="Times New Roman"/>
        </w:rPr>
        <w:t xml:space="preserve"> </w:t>
      </w:r>
      <w:r w:rsidRPr="004D4500">
        <w:rPr>
          <w:rFonts w:ascii="Times New Roman" w:hAnsi="Times New Roman"/>
        </w:rPr>
        <w:t>This results in an annual hour burden of 3,000 hours with an equivalent cost of $384,330.</w:t>
      </w:r>
      <w:r>
        <w:rPr>
          <w:rFonts w:ascii="Times New Roman" w:hAnsi="Times New Roman"/>
          <w:vertAlign w:val="superscript"/>
        </w:rPr>
        <w:footnoteReference w:id="56"/>
      </w:r>
    </w:p>
    <w:p w:rsidR="002D3F9D" w:rsidRPr="00530597" w:rsidP="006627A7" w14:paraId="7C3263A5" w14:textId="77777777">
      <w:pPr>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637"/>
        <w:gridCol w:w="1723"/>
        <w:gridCol w:w="1723"/>
        <w:gridCol w:w="1723"/>
      </w:tblGrid>
      <w:tr w14:paraId="0BF1B6F6"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3C744D" w:rsidRPr="003C744D" w:rsidP="003C744D" w14:paraId="2D78BCDA" w14:textId="6C7D60FC">
            <w:pPr>
              <w:widowControl/>
              <w:autoSpaceDE/>
              <w:autoSpaceDN/>
              <w:adjustRightInd/>
              <w:contextualSpacing/>
              <w:jc w:val="center"/>
              <w:rPr>
                <w:rFonts w:ascii="Times New Roman" w:eastAsia="Yu Mincho" w:hAnsi="Times New Roman"/>
                <w:b/>
                <w:szCs w:val="32"/>
              </w:rPr>
            </w:pPr>
            <w:r w:rsidRPr="003C744D">
              <w:rPr>
                <w:rFonts w:ascii="Times New Roman" w:eastAsia="Yu Mincho" w:hAnsi="Times New Roman"/>
                <w:b/>
                <w:szCs w:val="32"/>
              </w:rPr>
              <w:t>Table 1</w:t>
            </w:r>
            <w:r>
              <w:rPr>
                <w:rFonts w:ascii="Times New Roman" w:eastAsia="Yu Mincho" w:hAnsi="Times New Roman"/>
                <w:b/>
                <w:szCs w:val="32"/>
              </w:rPr>
              <w:t>1</w:t>
            </w:r>
            <w:r w:rsidRPr="003C744D">
              <w:rPr>
                <w:rFonts w:ascii="Times New Roman" w:eastAsia="Yu Mincho" w:hAnsi="Times New Roman"/>
                <w:b/>
                <w:szCs w:val="32"/>
              </w:rPr>
              <w:t>:</w:t>
            </w:r>
            <w:r w:rsidRPr="003C744D">
              <w:rPr>
                <w:rFonts w:ascii="Times New Roman" w:eastAsia="Yu Mincho" w:hAnsi="Times New Roman"/>
                <w:b/>
                <w:szCs w:val="32"/>
              </w:rPr>
              <w:t xml:space="preserve"> </w:t>
            </w:r>
            <w:r w:rsidRPr="003C744D">
              <w:rPr>
                <w:rFonts w:ascii="Times New Roman" w:eastAsia="Yu Mincho" w:hAnsi="Times New Roman"/>
                <w:b/>
                <w:szCs w:val="32"/>
              </w:rPr>
              <w:t>Hour Burden and Equivalent Cost Associated with the Certification by the Senior Executive Officer</w:t>
            </w:r>
          </w:p>
        </w:tc>
      </w:tr>
      <w:tr w14:paraId="26D5D1A3" w14:textId="77777777">
        <w:tblPrEx>
          <w:tblW w:w="0" w:type="auto"/>
          <w:tblInd w:w="828" w:type="dxa"/>
          <w:tblLayout w:type="fixed"/>
          <w:tblLook w:val="04A0"/>
        </w:tblPrEx>
        <w:tc>
          <w:tcPr>
            <w:tcW w:w="1237" w:type="dxa"/>
            <w:shd w:val="clear" w:color="auto" w:fill="auto"/>
          </w:tcPr>
          <w:p w:rsidR="003C744D" w:rsidRPr="003C744D" w:rsidP="003C744D" w14:paraId="5304C4F2" w14:textId="77777777">
            <w:pPr>
              <w:widowControl/>
              <w:autoSpaceDE/>
              <w:autoSpaceDN/>
              <w:adjustRightInd/>
              <w:contextualSpacing/>
              <w:jc w:val="center"/>
              <w:rPr>
                <w:rFonts w:ascii="Times New Roman" w:eastAsia="Yu Mincho" w:hAnsi="Times New Roman"/>
                <w:b/>
                <w:szCs w:val="32"/>
              </w:rPr>
            </w:pPr>
          </w:p>
        </w:tc>
        <w:tc>
          <w:tcPr>
            <w:tcW w:w="3360" w:type="dxa"/>
            <w:gridSpan w:val="2"/>
            <w:shd w:val="clear" w:color="auto" w:fill="auto"/>
          </w:tcPr>
          <w:p w:rsidR="003C744D" w:rsidRPr="003C744D" w:rsidP="003C744D" w14:paraId="79045FFC" w14:textId="77777777">
            <w:pPr>
              <w:widowControl/>
              <w:autoSpaceDE/>
              <w:autoSpaceDN/>
              <w:adjustRightInd/>
              <w:contextualSpacing/>
              <w:jc w:val="center"/>
              <w:rPr>
                <w:rFonts w:ascii="Times New Roman" w:eastAsia="Yu Mincho" w:hAnsi="Times New Roman"/>
                <w:b/>
                <w:szCs w:val="32"/>
              </w:rPr>
            </w:pPr>
            <w:r w:rsidRPr="003C744D">
              <w:rPr>
                <w:rFonts w:ascii="Times New Roman" w:eastAsia="Yu Mincho" w:hAnsi="Times New Roman"/>
                <w:b/>
                <w:szCs w:val="32"/>
              </w:rPr>
              <w:t>Year 1</w:t>
            </w:r>
          </w:p>
        </w:tc>
        <w:tc>
          <w:tcPr>
            <w:tcW w:w="3446" w:type="dxa"/>
            <w:gridSpan w:val="2"/>
          </w:tcPr>
          <w:p w:rsidR="003C744D" w:rsidRPr="003C744D" w:rsidP="003C744D" w14:paraId="37E35237" w14:textId="77777777">
            <w:pPr>
              <w:widowControl/>
              <w:autoSpaceDE/>
              <w:autoSpaceDN/>
              <w:adjustRightInd/>
              <w:spacing w:line="480" w:lineRule="auto"/>
              <w:contextualSpacing/>
              <w:jc w:val="center"/>
              <w:rPr>
                <w:rFonts w:ascii="Times New Roman" w:eastAsia="Yu Mincho" w:hAnsi="Times New Roman"/>
                <w:b/>
                <w:szCs w:val="32"/>
              </w:rPr>
            </w:pPr>
            <w:r w:rsidRPr="003C744D">
              <w:rPr>
                <w:rFonts w:ascii="Times New Roman" w:eastAsia="Yu Mincho" w:hAnsi="Times New Roman"/>
                <w:b/>
                <w:szCs w:val="32"/>
              </w:rPr>
              <w:t>Subsequent Years</w:t>
            </w:r>
          </w:p>
        </w:tc>
      </w:tr>
      <w:tr w14:paraId="1214E499" w14:textId="77777777">
        <w:tblPrEx>
          <w:tblW w:w="0" w:type="auto"/>
          <w:tblInd w:w="828" w:type="dxa"/>
          <w:tblLayout w:type="fixed"/>
          <w:tblLook w:val="04A0"/>
        </w:tblPrEx>
        <w:tc>
          <w:tcPr>
            <w:tcW w:w="1237" w:type="dxa"/>
            <w:shd w:val="clear" w:color="auto" w:fill="auto"/>
          </w:tcPr>
          <w:p w:rsidR="003C744D" w:rsidRPr="003C744D" w:rsidP="003C744D" w14:paraId="73D822E4" w14:textId="77777777">
            <w:pPr>
              <w:widowControl/>
              <w:autoSpaceDE/>
              <w:autoSpaceDN/>
              <w:adjustRightInd/>
              <w:contextualSpacing/>
              <w:jc w:val="center"/>
              <w:rPr>
                <w:rFonts w:ascii="Times New Roman" w:eastAsia="Yu Mincho" w:hAnsi="Times New Roman"/>
                <w:b/>
                <w:szCs w:val="32"/>
              </w:rPr>
            </w:pPr>
            <w:r w:rsidRPr="003C744D">
              <w:rPr>
                <w:rFonts w:ascii="Times New Roman" w:eastAsia="Yu Mincho" w:hAnsi="Times New Roman"/>
                <w:b/>
                <w:szCs w:val="32"/>
              </w:rPr>
              <w:t>Activity</w:t>
            </w:r>
          </w:p>
        </w:tc>
        <w:tc>
          <w:tcPr>
            <w:tcW w:w="1637" w:type="dxa"/>
            <w:shd w:val="clear" w:color="auto" w:fill="auto"/>
          </w:tcPr>
          <w:p w:rsidR="003C744D" w:rsidRPr="003C744D" w:rsidP="003C744D" w14:paraId="45BF8C60" w14:textId="77777777">
            <w:pPr>
              <w:widowControl/>
              <w:autoSpaceDE/>
              <w:autoSpaceDN/>
              <w:adjustRightInd/>
              <w:contextualSpacing/>
              <w:jc w:val="center"/>
              <w:rPr>
                <w:rFonts w:ascii="Times New Roman" w:eastAsia="Yu Mincho" w:hAnsi="Times New Roman"/>
                <w:b/>
                <w:szCs w:val="32"/>
              </w:rPr>
            </w:pPr>
            <w:r w:rsidRPr="003C744D">
              <w:rPr>
                <w:rFonts w:ascii="Times New Roman" w:eastAsia="Yu Mincho" w:hAnsi="Times New Roman"/>
                <w:b/>
                <w:szCs w:val="32"/>
              </w:rPr>
              <w:t>Burden Hours</w:t>
            </w:r>
          </w:p>
        </w:tc>
        <w:tc>
          <w:tcPr>
            <w:tcW w:w="1723" w:type="dxa"/>
            <w:shd w:val="clear" w:color="auto" w:fill="auto"/>
          </w:tcPr>
          <w:p w:rsidR="003C744D" w:rsidRPr="003C744D" w:rsidP="003C744D" w14:paraId="607908FA" w14:textId="77777777">
            <w:pPr>
              <w:widowControl/>
              <w:autoSpaceDE/>
              <w:autoSpaceDN/>
              <w:adjustRightInd/>
              <w:spacing w:line="480" w:lineRule="auto"/>
              <w:contextualSpacing/>
              <w:jc w:val="center"/>
              <w:rPr>
                <w:rFonts w:ascii="Times New Roman" w:eastAsia="Yu Mincho" w:hAnsi="Times New Roman"/>
                <w:b/>
                <w:szCs w:val="32"/>
              </w:rPr>
            </w:pPr>
            <w:r w:rsidRPr="003C744D">
              <w:rPr>
                <w:rFonts w:ascii="Times New Roman" w:eastAsia="Yu Mincho" w:hAnsi="Times New Roman"/>
                <w:b/>
                <w:szCs w:val="32"/>
              </w:rPr>
              <w:t>Equivalent Burden Cost</w:t>
            </w:r>
          </w:p>
        </w:tc>
        <w:tc>
          <w:tcPr>
            <w:tcW w:w="1723" w:type="dxa"/>
          </w:tcPr>
          <w:p w:rsidR="003C744D" w:rsidRPr="003C744D" w:rsidP="003C744D" w14:paraId="1E5A5150" w14:textId="77777777">
            <w:pPr>
              <w:widowControl/>
              <w:autoSpaceDE/>
              <w:autoSpaceDN/>
              <w:adjustRightInd/>
              <w:spacing w:line="480" w:lineRule="auto"/>
              <w:contextualSpacing/>
              <w:jc w:val="center"/>
              <w:rPr>
                <w:rFonts w:ascii="Times New Roman" w:eastAsia="Yu Mincho" w:hAnsi="Times New Roman"/>
                <w:b/>
                <w:szCs w:val="32"/>
              </w:rPr>
            </w:pPr>
            <w:r w:rsidRPr="003C744D">
              <w:rPr>
                <w:rFonts w:ascii="Times New Roman" w:eastAsia="Yu Mincho" w:hAnsi="Times New Roman"/>
                <w:b/>
                <w:szCs w:val="32"/>
              </w:rPr>
              <w:t>Burden Hours</w:t>
            </w:r>
          </w:p>
        </w:tc>
        <w:tc>
          <w:tcPr>
            <w:tcW w:w="1723" w:type="dxa"/>
          </w:tcPr>
          <w:p w:rsidR="003C744D" w:rsidRPr="003C744D" w:rsidP="003C744D" w14:paraId="09EE3286" w14:textId="77777777">
            <w:pPr>
              <w:widowControl/>
              <w:autoSpaceDE/>
              <w:autoSpaceDN/>
              <w:adjustRightInd/>
              <w:spacing w:line="480" w:lineRule="auto"/>
              <w:contextualSpacing/>
              <w:jc w:val="center"/>
              <w:rPr>
                <w:rFonts w:ascii="Times New Roman" w:eastAsia="Yu Mincho" w:hAnsi="Times New Roman"/>
                <w:b/>
                <w:szCs w:val="32"/>
              </w:rPr>
            </w:pPr>
            <w:r w:rsidRPr="003C744D">
              <w:rPr>
                <w:rFonts w:ascii="Times New Roman" w:eastAsia="Yu Mincho" w:hAnsi="Times New Roman"/>
                <w:b/>
                <w:szCs w:val="32"/>
              </w:rPr>
              <w:t>Equivalent Burden Cost</w:t>
            </w:r>
          </w:p>
        </w:tc>
      </w:tr>
      <w:tr w14:paraId="0C01BC17" w14:textId="77777777">
        <w:tblPrEx>
          <w:tblW w:w="0" w:type="auto"/>
          <w:tblInd w:w="828" w:type="dxa"/>
          <w:tblLayout w:type="fixed"/>
          <w:tblLook w:val="04A0"/>
        </w:tblPrEx>
        <w:tc>
          <w:tcPr>
            <w:tcW w:w="1237" w:type="dxa"/>
            <w:shd w:val="clear" w:color="auto" w:fill="auto"/>
          </w:tcPr>
          <w:p w:rsidR="003C744D" w:rsidRPr="003C744D" w:rsidP="003C744D" w14:paraId="4692719C" w14:textId="77777777">
            <w:pPr>
              <w:widowControl/>
              <w:autoSpaceDE/>
              <w:autoSpaceDN/>
              <w:adjustRightInd/>
              <w:contextualSpacing/>
              <w:rPr>
                <w:rFonts w:ascii="Times New Roman" w:eastAsia="Yu Mincho" w:hAnsi="Times New Roman"/>
                <w:szCs w:val="32"/>
              </w:rPr>
            </w:pPr>
            <w:r w:rsidRPr="003C744D">
              <w:rPr>
                <w:rFonts w:ascii="Times New Roman" w:eastAsia="Yu Mincho" w:hAnsi="Times New Roman"/>
                <w:szCs w:val="32"/>
              </w:rPr>
              <w:t>Senior Executive Officer</w:t>
            </w:r>
          </w:p>
        </w:tc>
        <w:tc>
          <w:tcPr>
            <w:tcW w:w="1637" w:type="dxa"/>
            <w:shd w:val="clear" w:color="auto" w:fill="auto"/>
          </w:tcPr>
          <w:p w:rsidR="003C744D" w:rsidRPr="003C744D" w:rsidP="003C744D" w14:paraId="7B1D5811" w14:textId="77777777">
            <w:pPr>
              <w:widowControl/>
              <w:autoSpaceDE/>
              <w:autoSpaceDN/>
              <w:adjustRightInd/>
              <w:contextualSpacing/>
              <w:jc w:val="right"/>
              <w:rPr>
                <w:rFonts w:ascii="Times New Roman" w:eastAsia="Yu Mincho" w:hAnsi="Times New Roman"/>
                <w:szCs w:val="32"/>
              </w:rPr>
            </w:pPr>
            <w:r w:rsidRPr="003C744D">
              <w:rPr>
                <w:rFonts w:ascii="Times New Roman" w:eastAsia="Yu Mincho" w:hAnsi="Times New Roman"/>
                <w:szCs w:val="32"/>
              </w:rPr>
              <w:t>3,000</w:t>
            </w:r>
          </w:p>
        </w:tc>
        <w:tc>
          <w:tcPr>
            <w:tcW w:w="1723" w:type="dxa"/>
            <w:shd w:val="clear" w:color="auto" w:fill="auto"/>
          </w:tcPr>
          <w:p w:rsidR="003C744D" w:rsidRPr="003C744D" w:rsidP="003C744D" w14:paraId="2FC881AF" w14:textId="77777777">
            <w:pPr>
              <w:widowControl/>
              <w:autoSpaceDE/>
              <w:autoSpaceDN/>
              <w:adjustRightInd/>
              <w:spacing w:line="480" w:lineRule="auto"/>
              <w:contextualSpacing/>
              <w:jc w:val="right"/>
              <w:rPr>
                <w:rFonts w:ascii="Times New Roman" w:eastAsia="Yu Mincho" w:hAnsi="Times New Roman"/>
                <w:szCs w:val="32"/>
              </w:rPr>
            </w:pPr>
            <w:r w:rsidRPr="003C744D">
              <w:rPr>
                <w:rFonts w:ascii="Times New Roman" w:eastAsia="Yu Mincho" w:hAnsi="Times New Roman"/>
                <w:szCs w:val="32"/>
              </w:rPr>
              <w:t>$</w:t>
            </w:r>
            <w:r w:rsidRPr="003C744D">
              <w:rPr>
                <w:rFonts w:ascii="Times New Roman" w:eastAsia="Yu Mincho" w:hAnsi="Times New Roman"/>
                <w:szCs w:val="32"/>
                <w:lang w:val="en"/>
              </w:rPr>
              <w:t>384,330</w:t>
            </w:r>
          </w:p>
        </w:tc>
        <w:tc>
          <w:tcPr>
            <w:tcW w:w="1723" w:type="dxa"/>
          </w:tcPr>
          <w:p w:rsidR="003C744D" w:rsidRPr="003C744D" w:rsidP="003C744D" w14:paraId="3A23D3A4" w14:textId="77777777">
            <w:pPr>
              <w:widowControl/>
              <w:autoSpaceDE/>
              <w:autoSpaceDN/>
              <w:adjustRightInd/>
              <w:spacing w:line="480" w:lineRule="auto"/>
              <w:contextualSpacing/>
              <w:jc w:val="right"/>
              <w:rPr>
                <w:rFonts w:ascii="Times New Roman" w:eastAsia="Yu Mincho" w:hAnsi="Times New Roman"/>
                <w:szCs w:val="32"/>
              </w:rPr>
            </w:pPr>
            <w:r w:rsidRPr="003C744D">
              <w:rPr>
                <w:rFonts w:ascii="Times New Roman" w:eastAsia="Yu Mincho" w:hAnsi="Times New Roman"/>
                <w:szCs w:val="32"/>
              </w:rPr>
              <w:t>3,000</w:t>
            </w:r>
          </w:p>
        </w:tc>
        <w:tc>
          <w:tcPr>
            <w:tcW w:w="1723" w:type="dxa"/>
          </w:tcPr>
          <w:p w:rsidR="003C744D" w:rsidRPr="003C744D" w:rsidP="003C744D" w14:paraId="0B7B15D8" w14:textId="77777777">
            <w:pPr>
              <w:widowControl/>
              <w:autoSpaceDE/>
              <w:autoSpaceDN/>
              <w:adjustRightInd/>
              <w:spacing w:line="480" w:lineRule="auto"/>
              <w:contextualSpacing/>
              <w:jc w:val="right"/>
              <w:rPr>
                <w:rFonts w:ascii="Times New Roman" w:eastAsia="Yu Mincho" w:hAnsi="Times New Roman"/>
                <w:szCs w:val="32"/>
              </w:rPr>
            </w:pPr>
            <w:r w:rsidRPr="003C744D">
              <w:rPr>
                <w:rFonts w:ascii="Times New Roman" w:eastAsia="Yu Mincho" w:hAnsi="Times New Roman"/>
                <w:szCs w:val="32"/>
              </w:rPr>
              <w:t>$</w:t>
            </w:r>
            <w:r w:rsidRPr="003C744D">
              <w:rPr>
                <w:rFonts w:ascii="Times New Roman" w:eastAsia="Yu Mincho" w:hAnsi="Times New Roman"/>
                <w:szCs w:val="32"/>
                <w:lang w:val="en"/>
              </w:rPr>
              <w:t>384,330</w:t>
            </w:r>
          </w:p>
        </w:tc>
      </w:tr>
      <w:tr w14:paraId="30FFB4B9" w14:textId="77777777">
        <w:tblPrEx>
          <w:tblW w:w="0" w:type="auto"/>
          <w:tblInd w:w="828" w:type="dxa"/>
          <w:tblLayout w:type="fixed"/>
          <w:tblLook w:val="04A0"/>
        </w:tblPrEx>
        <w:tc>
          <w:tcPr>
            <w:tcW w:w="1237" w:type="dxa"/>
            <w:shd w:val="clear" w:color="auto" w:fill="auto"/>
          </w:tcPr>
          <w:p w:rsidR="003C744D" w:rsidRPr="003C744D" w:rsidP="003C744D" w14:paraId="39996FCF" w14:textId="77777777">
            <w:pPr>
              <w:widowControl/>
              <w:autoSpaceDE/>
              <w:autoSpaceDN/>
              <w:adjustRightInd/>
              <w:contextualSpacing/>
              <w:rPr>
                <w:rFonts w:ascii="Times New Roman" w:eastAsia="Yu Mincho" w:hAnsi="Times New Roman"/>
                <w:b/>
                <w:szCs w:val="32"/>
              </w:rPr>
            </w:pPr>
            <w:r w:rsidRPr="003C744D">
              <w:rPr>
                <w:rFonts w:ascii="Times New Roman" w:eastAsia="Yu Mincho" w:hAnsi="Times New Roman"/>
                <w:b/>
                <w:szCs w:val="32"/>
              </w:rPr>
              <w:t>Total</w:t>
            </w:r>
          </w:p>
        </w:tc>
        <w:tc>
          <w:tcPr>
            <w:tcW w:w="1637" w:type="dxa"/>
            <w:shd w:val="clear" w:color="auto" w:fill="auto"/>
          </w:tcPr>
          <w:p w:rsidR="003C744D" w:rsidRPr="003C744D" w:rsidP="003C744D" w14:paraId="4E632D8B" w14:textId="77777777">
            <w:pPr>
              <w:widowControl/>
              <w:autoSpaceDE/>
              <w:autoSpaceDN/>
              <w:adjustRightInd/>
              <w:contextualSpacing/>
              <w:jc w:val="right"/>
              <w:rPr>
                <w:rFonts w:ascii="Times New Roman" w:eastAsia="Yu Mincho" w:hAnsi="Times New Roman"/>
                <w:b/>
                <w:szCs w:val="32"/>
              </w:rPr>
            </w:pPr>
            <w:r w:rsidRPr="003C744D">
              <w:rPr>
                <w:rFonts w:ascii="Times New Roman" w:eastAsia="Yu Mincho" w:hAnsi="Times New Roman"/>
                <w:b/>
                <w:szCs w:val="32"/>
              </w:rPr>
              <w:t>3,000</w:t>
            </w:r>
          </w:p>
        </w:tc>
        <w:tc>
          <w:tcPr>
            <w:tcW w:w="1723" w:type="dxa"/>
            <w:shd w:val="clear" w:color="auto" w:fill="auto"/>
          </w:tcPr>
          <w:p w:rsidR="003C744D" w:rsidRPr="003C744D" w:rsidP="003C744D" w14:paraId="4DD70310" w14:textId="77777777">
            <w:pPr>
              <w:widowControl/>
              <w:autoSpaceDE/>
              <w:autoSpaceDN/>
              <w:adjustRightInd/>
              <w:spacing w:line="480" w:lineRule="auto"/>
              <w:contextualSpacing/>
              <w:jc w:val="right"/>
              <w:rPr>
                <w:rFonts w:ascii="Times New Roman" w:eastAsia="Yu Mincho" w:hAnsi="Times New Roman"/>
                <w:b/>
                <w:szCs w:val="32"/>
              </w:rPr>
            </w:pPr>
            <w:r w:rsidRPr="003C744D">
              <w:rPr>
                <w:rFonts w:ascii="Times New Roman" w:eastAsia="Yu Mincho" w:hAnsi="Times New Roman"/>
                <w:b/>
                <w:szCs w:val="32"/>
              </w:rPr>
              <w:t>$</w:t>
            </w:r>
            <w:r w:rsidRPr="003C744D">
              <w:rPr>
                <w:rFonts w:ascii="Times New Roman" w:eastAsia="Yu Mincho" w:hAnsi="Times New Roman"/>
                <w:b/>
                <w:szCs w:val="32"/>
                <w:lang w:val="en"/>
              </w:rPr>
              <w:t>384,330</w:t>
            </w:r>
          </w:p>
        </w:tc>
        <w:tc>
          <w:tcPr>
            <w:tcW w:w="1723" w:type="dxa"/>
          </w:tcPr>
          <w:p w:rsidR="003C744D" w:rsidRPr="003C744D" w:rsidP="003C744D" w14:paraId="4C9D6749" w14:textId="77777777">
            <w:pPr>
              <w:widowControl/>
              <w:autoSpaceDE/>
              <w:autoSpaceDN/>
              <w:adjustRightInd/>
              <w:spacing w:line="480" w:lineRule="auto"/>
              <w:contextualSpacing/>
              <w:jc w:val="right"/>
              <w:rPr>
                <w:rFonts w:ascii="Times New Roman" w:eastAsia="Yu Mincho" w:hAnsi="Times New Roman"/>
                <w:b/>
                <w:szCs w:val="32"/>
              </w:rPr>
            </w:pPr>
            <w:r w:rsidRPr="003C744D">
              <w:rPr>
                <w:rFonts w:ascii="Times New Roman" w:eastAsia="Yu Mincho" w:hAnsi="Times New Roman"/>
                <w:b/>
                <w:szCs w:val="32"/>
              </w:rPr>
              <w:t>3,000</w:t>
            </w:r>
          </w:p>
        </w:tc>
        <w:tc>
          <w:tcPr>
            <w:tcW w:w="1723" w:type="dxa"/>
          </w:tcPr>
          <w:p w:rsidR="003C744D" w:rsidRPr="003C744D" w:rsidP="003C744D" w14:paraId="4D9039A1" w14:textId="77777777">
            <w:pPr>
              <w:widowControl/>
              <w:autoSpaceDE/>
              <w:autoSpaceDN/>
              <w:adjustRightInd/>
              <w:spacing w:line="480" w:lineRule="auto"/>
              <w:contextualSpacing/>
              <w:jc w:val="right"/>
              <w:rPr>
                <w:rFonts w:ascii="Times New Roman" w:eastAsia="Yu Mincho" w:hAnsi="Times New Roman"/>
                <w:b/>
                <w:szCs w:val="32"/>
              </w:rPr>
            </w:pPr>
            <w:r w:rsidRPr="003C744D">
              <w:rPr>
                <w:rFonts w:ascii="Times New Roman" w:eastAsia="Yu Mincho" w:hAnsi="Times New Roman"/>
                <w:b/>
                <w:szCs w:val="32"/>
              </w:rPr>
              <w:t>$</w:t>
            </w:r>
            <w:r w:rsidRPr="003C744D">
              <w:rPr>
                <w:rFonts w:ascii="Times New Roman" w:eastAsia="Yu Mincho" w:hAnsi="Times New Roman"/>
                <w:b/>
                <w:szCs w:val="32"/>
                <w:lang w:val="en"/>
              </w:rPr>
              <w:t>384,330</w:t>
            </w:r>
          </w:p>
        </w:tc>
      </w:tr>
    </w:tbl>
    <w:p w:rsidR="006353CD" w:rsidRPr="0013547C" w:rsidP="003C744D" w14:paraId="42DAB75A" w14:textId="77777777">
      <w:pPr>
        <w:pStyle w:val="Quick1"/>
        <w:numPr>
          <w:ilvl w:val="0"/>
          <w:numId w:val="0"/>
        </w:numPr>
        <w:rPr>
          <w:rFonts w:ascii="Times New Roman" w:hAnsi="Times New Roman"/>
        </w:rPr>
      </w:pPr>
    </w:p>
    <w:p w:rsidR="004D4500" w:rsidRPr="00675971" w:rsidP="006353CD" w14:paraId="49FCA220" w14:textId="77777777">
      <w:pPr>
        <w:pStyle w:val="ListParagraph"/>
        <w:widowControl/>
        <w:numPr>
          <w:ilvl w:val="3"/>
          <w:numId w:val="29"/>
        </w:numPr>
        <w:autoSpaceDE/>
        <w:autoSpaceDN/>
        <w:adjustRightInd/>
        <w:rPr>
          <w:rFonts w:ascii="Times New Roman" w:hAnsi="Times New Roman"/>
        </w:rPr>
      </w:pPr>
      <w:r w:rsidRPr="00530597">
        <w:rPr>
          <w:rFonts w:ascii="Times New Roman" w:hAnsi="Times New Roman"/>
          <w:i/>
        </w:rPr>
        <w:t xml:space="preserve">The Insurance Company Provides to the Independent Producer the </w:t>
      </w:r>
    </w:p>
    <w:p w:rsidR="006353CD" w:rsidRPr="00530597" w:rsidP="00675971" w14:paraId="5BB8C22C" w14:textId="1BA5FD8C">
      <w:pPr>
        <w:pStyle w:val="ListParagraph"/>
        <w:widowControl/>
        <w:autoSpaceDE/>
        <w:autoSpaceDN/>
        <w:adjustRightInd/>
        <w:ind w:left="1728" w:firstLine="432"/>
        <w:rPr>
          <w:rFonts w:ascii="Times New Roman" w:hAnsi="Times New Roman"/>
        </w:rPr>
      </w:pPr>
      <w:r w:rsidRPr="00530597">
        <w:rPr>
          <w:rFonts w:ascii="Times New Roman" w:hAnsi="Times New Roman"/>
          <w:i/>
        </w:rPr>
        <w:t>Methodology and Results of the Retrospective Review Company</w:t>
      </w:r>
    </w:p>
    <w:p w:rsidR="002D3F9D" w:rsidRPr="00530597" w:rsidP="00945117" w14:paraId="7F7E1A91" w14:textId="16F6420A">
      <w:pPr>
        <w:widowControl/>
        <w:autoSpaceDE/>
        <w:autoSpaceDN/>
        <w:adjustRightInd/>
        <w:rPr>
          <w:rFonts w:ascii="Times New Roman" w:hAnsi="Times New Roman"/>
          <w:i/>
        </w:rPr>
      </w:pPr>
    </w:p>
    <w:p w:rsidR="004D4500" w:rsidRPr="004D4500" w:rsidP="00675971" w14:paraId="381A2173" w14:textId="6A289B2F">
      <w:pPr>
        <w:widowControl/>
        <w:autoSpaceDE/>
        <w:autoSpaceDN/>
        <w:adjustRightInd/>
        <w:ind w:left="720"/>
        <w:rPr>
          <w:rFonts w:ascii="Times New Roman" w:hAnsi="Times New Roman"/>
        </w:rPr>
      </w:pPr>
      <w:r w:rsidRPr="004D4500">
        <w:rPr>
          <w:rFonts w:ascii="Times New Roman" w:hAnsi="Times New Roman"/>
        </w:rPr>
        <w:t>The Department assumes that the insurance company would provide the methodology and results electronically.</w:t>
      </w:r>
      <w:r w:rsidRPr="004D4500">
        <w:rPr>
          <w:rFonts w:ascii="Times New Roman" w:hAnsi="Times New Roman"/>
        </w:rPr>
        <w:t xml:space="preserve"> </w:t>
      </w:r>
      <w:r w:rsidRPr="004D4500">
        <w:rPr>
          <w:rFonts w:ascii="Times New Roman" w:hAnsi="Times New Roman"/>
        </w:rPr>
        <w:t>The Department estimates that it would take clerical staff five minutes to prepare and send each of the estimated 12,000 retrospective reviews.</w:t>
      </w:r>
      <w:r w:rsidRPr="004D4500">
        <w:rPr>
          <w:rFonts w:ascii="Times New Roman" w:hAnsi="Times New Roman"/>
        </w:rPr>
        <w:t xml:space="preserve"> </w:t>
      </w:r>
      <w:r w:rsidRPr="004D4500">
        <w:rPr>
          <w:rFonts w:ascii="Times New Roman" w:hAnsi="Times New Roman"/>
        </w:rPr>
        <w:t>This results in an annual hour burden of 1,000 hours with an equivalent cost of $63,450.</w:t>
      </w:r>
      <w:r>
        <w:rPr>
          <w:rFonts w:ascii="Times New Roman" w:hAnsi="Times New Roman"/>
          <w:vertAlign w:val="superscript"/>
        </w:rPr>
        <w:footnoteReference w:id="57"/>
      </w:r>
      <w:r w:rsidRPr="004D4500">
        <w:rPr>
          <w:rFonts w:ascii="Times New Roman" w:hAnsi="Times New Roman"/>
        </w:rPr>
        <w:t xml:space="preserve"> The Department expects that the results would be provided electronically, thus the Department does not expect there to be any material costs with providing </w:t>
      </w:r>
      <w:r w:rsidR="00ED1A11">
        <w:rPr>
          <w:rFonts w:ascii="Times New Roman" w:hAnsi="Times New Roman"/>
        </w:rPr>
        <w:t>Independent Producer</w:t>
      </w:r>
      <w:r w:rsidRPr="004D4500">
        <w:rPr>
          <w:rFonts w:ascii="Times New Roman" w:hAnsi="Times New Roman"/>
        </w:rPr>
        <w:t>s with the retrospective review.</w:t>
      </w:r>
    </w:p>
    <w:p w:rsidR="002D3F9D" w:rsidRPr="00530597" w:rsidP="006627A7" w14:paraId="346F0A03" w14:textId="77777777">
      <w:pPr>
        <w:ind w:left="72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637"/>
        <w:gridCol w:w="1723"/>
        <w:gridCol w:w="1723"/>
        <w:gridCol w:w="1723"/>
      </w:tblGrid>
      <w:tr w14:paraId="30270BF4"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A925F7" w:rsidRPr="00A925F7" w:rsidP="00A925F7" w14:paraId="6BDA48C8" w14:textId="6FFCC054">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Table 1</w:t>
            </w:r>
            <w:r>
              <w:rPr>
                <w:rFonts w:ascii="Times New Roman" w:eastAsia="Yu Mincho" w:hAnsi="Times New Roman"/>
                <w:b/>
                <w:szCs w:val="32"/>
              </w:rPr>
              <w:t>2</w:t>
            </w:r>
            <w:r w:rsidRPr="00A925F7">
              <w:rPr>
                <w:rFonts w:ascii="Times New Roman" w:eastAsia="Yu Mincho" w:hAnsi="Times New Roman"/>
                <w:b/>
                <w:szCs w:val="32"/>
              </w:rPr>
              <w:t>: Hour Burden and Equivalent Cost Associated with the Provision of the Results of the Retrospective Review</w:t>
            </w:r>
          </w:p>
        </w:tc>
      </w:tr>
      <w:tr w14:paraId="1EB3EE5C" w14:textId="77777777">
        <w:tblPrEx>
          <w:tblW w:w="0" w:type="auto"/>
          <w:tblInd w:w="828" w:type="dxa"/>
          <w:tblLayout w:type="fixed"/>
          <w:tblLook w:val="04A0"/>
        </w:tblPrEx>
        <w:tc>
          <w:tcPr>
            <w:tcW w:w="1237" w:type="dxa"/>
            <w:shd w:val="clear" w:color="auto" w:fill="auto"/>
          </w:tcPr>
          <w:p w:rsidR="00A925F7" w:rsidRPr="00A925F7" w:rsidP="00A925F7" w14:paraId="65026DAC" w14:textId="77777777">
            <w:pPr>
              <w:widowControl/>
              <w:autoSpaceDE/>
              <w:autoSpaceDN/>
              <w:adjustRightInd/>
              <w:contextualSpacing/>
              <w:jc w:val="center"/>
              <w:rPr>
                <w:rFonts w:ascii="Times New Roman" w:eastAsia="Yu Mincho" w:hAnsi="Times New Roman"/>
                <w:b/>
                <w:szCs w:val="32"/>
              </w:rPr>
            </w:pPr>
          </w:p>
        </w:tc>
        <w:tc>
          <w:tcPr>
            <w:tcW w:w="3360" w:type="dxa"/>
            <w:gridSpan w:val="2"/>
            <w:shd w:val="clear" w:color="auto" w:fill="auto"/>
          </w:tcPr>
          <w:p w:rsidR="00A925F7" w:rsidRPr="00A925F7" w:rsidP="00A925F7" w14:paraId="29365E1D"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Year 1</w:t>
            </w:r>
          </w:p>
        </w:tc>
        <w:tc>
          <w:tcPr>
            <w:tcW w:w="3446" w:type="dxa"/>
            <w:gridSpan w:val="2"/>
          </w:tcPr>
          <w:p w:rsidR="00A925F7" w:rsidRPr="00A925F7" w:rsidP="00A925F7" w14:paraId="25C55754"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Subsequent Years</w:t>
            </w:r>
          </w:p>
        </w:tc>
      </w:tr>
      <w:tr w14:paraId="552338C3" w14:textId="77777777">
        <w:tblPrEx>
          <w:tblW w:w="0" w:type="auto"/>
          <w:tblInd w:w="828" w:type="dxa"/>
          <w:tblLayout w:type="fixed"/>
          <w:tblLook w:val="04A0"/>
        </w:tblPrEx>
        <w:tc>
          <w:tcPr>
            <w:tcW w:w="1237" w:type="dxa"/>
            <w:shd w:val="clear" w:color="auto" w:fill="auto"/>
          </w:tcPr>
          <w:p w:rsidR="00A925F7" w:rsidRPr="00A925F7" w:rsidP="00A925F7" w14:paraId="77CC05C7"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Activity</w:t>
            </w:r>
          </w:p>
        </w:tc>
        <w:tc>
          <w:tcPr>
            <w:tcW w:w="1637" w:type="dxa"/>
            <w:shd w:val="clear" w:color="auto" w:fill="auto"/>
          </w:tcPr>
          <w:p w:rsidR="00A925F7" w:rsidRPr="00A925F7" w:rsidP="00A925F7" w14:paraId="690692A2"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Burden Hours</w:t>
            </w:r>
          </w:p>
        </w:tc>
        <w:tc>
          <w:tcPr>
            <w:tcW w:w="1723" w:type="dxa"/>
            <w:shd w:val="clear" w:color="auto" w:fill="auto"/>
          </w:tcPr>
          <w:p w:rsidR="00A925F7" w:rsidRPr="00A925F7" w:rsidP="00A925F7" w14:paraId="3C344E0F"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Equivalent Burden Cost</w:t>
            </w:r>
          </w:p>
        </w:tc>
        <w:tc>
          <w:tcPr>
            <w:tcW w:w="1723" w:type="dxa"/>
          </w:tcPr>
          <w:p w:rsidR="00A925F7" w:rsidRPr="00A925F7" w:rsidP="00A925F7" w14:paraId="3DA35CEE"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Burden Hours</w:t>
            </w:r>
          </w:p>
        </w:tc>
        <w:tc>
          <w:tcPr>
            <w:tcW w:w="1723" w:type="dxa"/>
          </w:tcPr>
          <w:p w:rsidR="00A925F7" w:rsidRPr="00A925F7" w:rsidP="00A925F7" w14:paraId="3F30FB3D" w14:textId="77777777">
            <w:pPr>
              <w:widowControl/>
              <w:autoSpaceDE/>
              <w:autoSpaceDN/>
              <w:adjustRightInd/>
              <w:contextualSpacing/>
              <w:jc w:val="center"/>
              <w:rPr>
                <w:rFonts w:ascii="Times New Roman" w:eastAsia="Yu Mincho" w:hAnsi="Times New Roman"/>
                <w:b/>
                <w:szCs w:val="32"/>
              </w:rPr>
            </w:pPr>
            <w:r w:rsidRPr="00A925F7">
              <w:rPr>
                <w:rFonts w:ascii="Times New Roman" w:eastAsia="Yu Mincho" w:hAnsi="Times New Roman"/>
                <w:b/>
                <w:szCs w:val="32"/>
              </w:rPr>
              <w:t>Equivalent Burden Cost</w:t>
            </w:r>
          </w:p>
        </w:tc>
      </w:tr>
      <w:tr w14:paraId="6D8C4591" w14:textId="77777777">
        <w:tblPrEx>
          <w:tblW w:w="0" w:type="auto"/>
          <w:tblInd w:w="828" w:type="dxa"/>
          <w:tblLayout w:type="fixed"/>
          <w:tblLook w:val="04A0"/>
        </w:tblPrEx>
        <w:tc>
          <w:tcPr>
            <w:tcW w:w="1237" w:type="dxa"/>
            <w:shd w:val="clear" w:color="auto" w:fill="auto"/>
          </w:tcPr>
          <w:p w:rsidR="00A925F7" w:rsidRPr="00A925F7" w:rsidP="00A925F7" w14:paraId="4345765E" w14:textId="77777777">
            <w:pPr>
              <w:widowControl/>
              <w:autoSpaceDE/>
              <w:autoSpaceDN/>
              <w:adjustRightInd/>
              <w:contextualSpacing/>
              <w:rPr>
                <w:rFonts w:ascii="Times New Roman" w:eastAsia="Yu Mincho" w:hAnsi="Times New Roman"/>
                <w:szCs w:val="32"/>
              </w:rPr>
            </w:pPr>
            <w:r w:rsidRPr="00A925F7">
              <w:rPr>
                <w:rFonts w:ascii="Times New Roman" w:eastAsia="Yu Mincho" w:hAnsi="Times New Roman"/>
                <w:szCs w:val="32"/>
              </w:rPr>
              <w:t>Clerical</w:t>
            </w:r>
          </w:p>
        </w:tc>
        <w:tc>
          <w:tcPr>
            <w:tcW w:w="1637" w:type="dxa"/>
            <w:shd w:val="clear" w:color="auto" w:fill="auto"/>
          </w:tcPr>
          <w:p w:rsidR="00A925F7" w:rsidRPr="00A925F7" w:rsidP="00A925F7" w14:paraId="5ADAD2B5" w14:textId="77777777">
            <w:pPr>
              <w:widowControl/>
              <w:autoSpaceDE/>
              <w:autoSpaceDN/>
              <w:adjustRightInd/>
              <w:contextualSpacing/>
              <w:jc w:val="right"/>
              <w:rPr>
                <w:rFonts w:ascii="Times New Roman" w:eastAsia="Yu Mincho" w:hAnsi="Times New Roman"/>
                <w:szCs w:val="32"/>
              </w:rPr>
            </w:pPr>
            <w:r w:rsidRPr="00A925F7">
              <w:rPr>
                <w:rFonts w:ascii="Times New Roman" w:eastAsia="Yu Mincho" w:hAnsi="Times New Roman"/>
                <w:szCs w:val="32"/>
              </w:rPr>
              <w:t>1,000</w:t>
            </w:r>
          </w:p>
        </w:tc>
        <w:tc>
          <w:tcPr>
            <w:tcW w:w="1723" w:type="dxa"/>
            <w:shd w:val="clear" w:color="auto" w:fill="auto"/>
          </w:tcPr>
          <w:p w:rsidR="00A925F7" w:rsidRPr="00A925F7" w:rsidP="00A925F7" w14:paraId="17D24C70" w14:textId="77777777">
            <w:pPr>
              <w:widowControl/>
              <w:autoSpaceDE/>
              <w:autoSpaceDN/>
              <w:adjustRightInd/>
              <w:contextualSpacing/>
              <w:jc w:val="right"/>
              <w:rPr>
                <w:rFonts w:ascii="Times New Roman" w:eastAsia="Yu Mincho" w:hAnsi="Times New Roman"/>
                <w:szCs w:val="32"/>
              </w:rPr>
            </w:pPr>
            <w:r w:rsidRPr="00A925F7">
              <w:rPr>
                <w:rFonts w:ascii="Times New Roman" w:eastAsia="Yu Mincho" w:hAnsi="Times New Roman"/>
                <w:szCs w:val="32"/>
              </w:rPr>
              <w:t>$</w:t>
            </w:r>
            <w:r w:rsidRPr="00A925F7">
              <w:rPr>
                <w:rFonts w:ascii="Times New Roman" w:eastAsia="Yu Mincho" w:hAnsi="Times New Roman"/>
                <w:szCs w:val="32"/>
                <w:lang w:val="en"/>
              </w:rPr>
              <w:t>63,450</w:t>
            </w:r>
          </w:p>
        </w:tc>
        <w:tc>
          <w:tcPr>
            <w:tcW w:w="1723" w:type="dxa"/>
          </w:tcPr>
          <w:p w:rsidR="00A925F7" w:rsidRPr="00A925F7" w:rsidP="00A925F7" w14:paraId="79CB20A0" w14:textId="77777777">
            <w:pPr>
              <w:widowControl/>
              <w:autoSpaceDE/>
              <w:autoSpaceDN/>
              <w:adjustRightInd/>
              <w:contextualSpacing/>
              <w:jc w:val="right"/>
              <w:rPr>
                <w:rFonts w:ascii="Times New Roman" w:eastAsia="Yu Mincho" w:hAnsi="Times New Roman"/>
                <w:szCs w:val="32"/>
              </w:rPr>
            </w:pPr>
            <w:r w:rsidRPr="00A925F7">
              <w:rPr>
                <w:rFonts w:ascii="Times New Roman" w:eastAsia="Yu Mincho" w:hAnsi="Times New Roman"/>
                <w:szCs w:val="32"/>
              </w:rPr>
              <w:t>1,000</w:t>
            </w:r>
          </w:p>
        </w:tc>
        <w:tc>
          <w:tcPr>
            <w:tcW w:w="1723" w:type="dxa"/>
          </w:tcPr>
          <w:p w:rsidR="00A925F7" w:rsidRPr="00A925F7" w:rsidP="00A925F7" w14:paraId="00AFA652" w14:textId="77777777">
            <w:pPr>
              <w:widowControl/>
              <w:autoSpaceDE/>
              <w:autoSpaceDN/>
              <w:adjustRightInd/>
              <w:contextualSpacing/>
              <w:jc w:val="right"/>
              <w:rPr>
                <w:rFonts w:ascii="Times New Roman" w:eastAsia="Yu Mincho" w:hAnsi="Times New Roman"/>
                <w:szCs w:val="32"/>
              </w:rPr>
            </w:pPr>
            <w:r w:rsidRPr="00A925F7">
              <w:rPr>
                <w:rFonts w:ascii="Times New Roman" w:eastAsia="Yu Mincho" w:hAnsi="Times New Roman"/>
                <w:szCs w:val="32"/>
              </w:rPr>
              <w:t>$</w:t>
            </w:r>
            <w:r w:rsidRPr="00A925F7">
              <w:rPr>
                <w:rFonts w:ascii="Times New Roman" w:eastAsia="Yu Mincho" w:hAnsi="Times New Roman"/>
                <w:szCs w:val="32"/>
                <w:lang w:val="en"/>
              </w:rPr>
              <w:t>63,450</w:t>
            </w:r>
          </w:p>
        </w:tc>
      </w:tr>
      <w:tr w14:paraId="189A24FA" w14:textId="77777777">
        <w:tblPrEx>
          <w:tblW w:w="0" w:type="auto"/>
          <w:tblInd w:w="828" w:type="dxa"/>
          <w:tblLayout w:type="fixed"/>
          <w:tblLook w:val="04A0"/>
        </w:tblPrEx>
        <w:tc>
          <w:tcPr>
            <w:tcW w:w="1237" w:type="dxa"/>
            <w:shd w:val="clear" w:color="auto" w:fill="auto"/>
          </w:tcPr>
          <w:p w:rsidR="00A925F7" w:rsidRPr="00A925F7" w:rsidP="00A925F7" w14:paraId="3955CB35" w14:textId="77777777">
            <w:pPr>
              <w:widowControl/>
              <w:autoSpaceDE/>
              <w:autoSpaceDN/>
              <w:adjustRightInd/>
              <w:contextualSpacing/>
              <w:rPr>
                <w:rFonts w:ascii="Times New Roman" w:eastAsia="Yu Mincho" w:hAnsi="Times New Roman"/>
                <w:b/>
                <w:szCs w:val="32"/>
              </w:rPr>
            </w:pPr>
            <w:r w:rsidRPr="00A925F7">
              <w:rPr>
                <w:rFonts w:ascii="Times New Roman" w:eastAsia="Yu Mincho" w:hAnsi="Times New Roman"/>
                <w:b/>
                <w:szCs w:val="32"/>
              </w:rPr>
              <w:t>Total</w:t>
            </w:r>
          </w:p>
        </w:tc>
        <w:tc>
          <w:tcPr>
            <w:tcW w:w="1637" w:type="dxa"/>
            <w:shd w:val="clear" w:color="auto" w:fill="auto"/>
          </w:tcPr>
          <w:p w:rsidR="00A925F7" w:rsidRPr="00A925F7" w:rsidP="00A925F7" w14:paraId="2B61751D" w14:textId="77777777">
            <w:pPr>
              <w:widowControl/>
              <w:autoSpaceDE/>
              <w:autoSpaceDN/>
              <w:adjustRightInd/>
              <w:contextualSpacing/>
              <w:jc w:val="right"/>
              <w:rPr>
                <w:rFonts w:ascii="Times New Roman" w:eastAsia="Yu Mincho" w:hAnsi="Times New Roman"/>
                <w:b/>
                <w:szCs w:val="32"/>
              </w:rPr>
            </w:pPr>
            <w:r w:rsidRPr="00A925F7">
              <w:rPr>
                <w:rFonts w:ascii="Times New Roman" w:eastAsia="Yu Mincho" w:hAnsi="Times New Roman"/>
                <w:b/>
                <w:szCs w:val="32"/>
              </w:rPr>
              <w:t>1,000</w:t>
            </w:r>
          </w:p>
        </w:tc>
        <w:tc>
          <w:tcPr>
            <w:tcW w:w="1723" w:type="dxa"/>
            <w:shd w:val="clear" w:color="auto" w:fill="auto"/>
          </w:tcPr>
          <w:p w:rsidR="00A925F7" w:rsidRPr="00A925F7" w:rsidP="00A925F7" w14:paraId="54D6B09A" w14:textId="77777777">
            <w:pPr>
              <w:widowControl/>
              <w:autoSpaceDE/>
              <w:autoSpaceDN/>
              <w:adjustRightInd/>
              <w:contextualSpacing/>
              <w:jc w:val="right"/>
              <w:rPr>
                <w:rFonts w:ascii="Times New Roman" w:eastAsia="Yu Mincho" w:hAnsi="Times New Roman"/>
                <w:b/>
                <w:szCs w:val="32"/>
              </w:rPr>
            </w:pPr>
            <w:r w:rsidRPr="00A925F7">
              <w:rPr>
                <w:rFonts w:ascii="Times New Roman" w:eastAsia="Yu Mincho" w:hAnsi="Times New Roman"/>
                <w:b/>
                <w:szCs w:val="32"/>
              </w:rPr>
              <w:t>$</w:t>
            </w:r>
            <w:r w:rsidRPr="00A925F7">
              <w:rPr>
                <w:rFonts w:ascii="Times New Roman" w:eastAsia="Yu Mincho" w:hAnsi="Times New Roman"/>
                <w:b/>
                <w:szCs w:val="32"/>
                <w:lang w:val="en"/>
              </w:rPr>
              <w:t>63,450</w:t>
            </w:r>
          </w:p>
        </w:tc>
        <w:tc>
          <w:tcPr>
            <w:tcW w:w="1723" w:type="dxa"/>
          </w:tcPr>
          <w:p w:rsidR="00A925F7" w:rsidRPr="00A925F7" w:rsidP="00A925F7" w14:paraId="4B41E055" w14:textId="77777777">
            <w:pPr>
              <w:widowControl/>
              <w:autoSpaceDE/>
              <w:autoSpaceDN/>
              <w:adjustRightInd/>
              <w:contextualSpacing/>
              <w:jc w:val="right"/>
              <w:rPr>
                <w:rFonts w:ascii="Times New Roman" w:eastAsia="Yu Mincho" w:hAnsi="Times New Roman"/>
                <w:b/>
                <w:szCs w:val="32"/>
              </w:rPr>
            </w:pPr>
            <w:r w:rsidRPr="00A925F7">
              <w:rPr>
                <w:rFonts w:ascii="Times New Roman" w:eastAsia="Yu Mincho" w:hAnsi="Times New Roman"/>
                <w:b/>
                <w:szCs w:val="32"/>
              </w:rPr>
              <w:t>1,000</w:t>
            </w:r>
          </w:p>
        </w:tc>
        <w:tc>
          <w:tcPr>
            <w:tcW w:w="1723" w:type="dxa"/>
          </w:tcPr>
          <w:p w:rsidR="00A925F7" w:rsidRPr="00A925F7" w:rsidP="00A925F7" w14:paraId="3947F54C" w14:textId="77777777">
            <w:pPr>
              <w:widowControl/>
              <w:autoSpaceDE/>
              <w:autoSpaceDN/>
              <w:adjustRightInd/>
              <w:contextualSpacing/>
              <w:jc w:val="right"/>
              <w:rPr>
                <w:rFonts w:ascii="Times New Roman" w:eastAsia="Yu Mincho" w:hAnsi="Times New Roman"/>
                <w:b/>
                <w:szCs w:val="32"/>
              </w:rPr>
            </w:pPr>
            <w:r w:rsidRPr="00A925F7">
              <w:rPr>
                <w:rFonts w:ascii="Times New Roman" w:eastAsia="Yu Mincho" w:hAnsi="Times New Roman"/>
                <w:b/>
                <w:szCs w:val="32"/>
              </w:rPr>
              <w:t>$</w:t>
            </w:r>
            <w:r w:rsidRPr="00A925F7">
              <w:rPr>
                <w:rFonts w:ascii="Times New Roman" w:eastAsia="Yu Mincho" w:hAnsi="Times New Roman"/>
                <w:b/>
                <w:szCs w:val="32"/>
                <w:lang w:val="en"/>
              </w:rPr>
              <w:t>63,450</w:t>
            </w:r>
          </w:p>
        </w:tc>
      </w:tr>
    </w:tbl>
    <w:p w:rsidR="006353CD" w:rsidRPr="008D15AA" w:rsidP="00945117" w14:paraId="2121FEC4" w14:textId="3F80EEDA">
      <w:pPr>
        <w:contextualSpacing/>
        <w:rPr>
          <w:rFonts w:ascii="Times New Roman" w:hAnsi="Times New Roman"/>
        </w:rPr>
      </w:pPr>
    </w:p>
    <w:p w:rsidR="006353CD" w:rsidRPr="00945117" w:rsidP="006353CD" w14:paraId="30375CCD" w14:textId="4A58BC3F">
      <w:pPr>
        <w:pStyle w:val="Quick1"/>
        <w:numPr>
          <w:ilvl w:val="2"/>
          <w:numId w:val="29"/>
        </w:numPr>
        <w:rPr>
          <w:rFonts w:ascii="Times New Roman" w:hAnsi="Times New Roman"/>
        </w:rPr>
      </w:pPr>
      <w:r>
        <w:rPr>
          <w:rFonts w:ascii="Times New Roman" w:hAnsi="Times New Roman"/>
          <w:i/>
        </w:rPr>
        <w:t xml:space="preserve">Recordkeeping Requirement </w:t>
      </w:r>
    </w:p>
    <w:p w:rsidR="00E32FF5" w:rsidRPr="00530597" w:rsidP="006627A7" w14:paraId="29BEF9DF" w14:textId="77777777">
      <w:pPr>
        <w:pStyle w:val="ListParagraph"/>
        <w:autoSpaceDE/>
        <w:autoSpaceDN/>
        <w:adjustRightInd/>
        <w:ind w:left="360"/>
        <w:rPr>
          <w:rFonts w:ascii="Times New Roman" w:hAnsi="Times New Roman"/>
          <w:i/>
        </w:rPr>
      </w:pPr>
    </w:p>
    <w:p w:rsidR="004D4500" w:rsidP="00F01849" w14:paraId="60B4FDDF" w14:textId="0F4465E6">
      <w:pPr>
        <w:pStyle w:val="ListParagraph"/>
        <w:rPr>
          <w:rFonts w:ascii="Times New Roman" w:hAnsi="Times New Roman"/>
        </w:rPr>
      </w:pPr>
      <w:r w:rsidRPr="004D4500">
        <w:rPr>
          <w:rFonts w:ascii="Times New Roman" w:hAnsi="Times New Roman"/>
        </w:rPr>
        <w:t xml:space="preserve">The proposed amendment would change the current recordkeeping requirements to incorporate a new provision that is </w:t>
      </w:r>
      <w:r w:rsidRPr="004D4500">
        <w:rPr>
          <w:rFonts w:ascii="Times New Roman" w:hAnsi="Times New Roman"/>
        </w:rPr>
        <w:t>similar to</w:t>
      </w:r>
      <w:r w:rsidRPr="004D4500">
        <w:rPr>
          <w:rFonts w:ascii="Times New Roman" w:hAnsi="Times New Roman"/>
        </w:rPr>
        <w:t xml:space="preserve"> the recordkeeping provision in PTE 2020-02. This requirement would replace the more limited existing recordkeeping requirement in current version of PTE 84-24, which requires sufficient records to demonstrate that the conditions of the exemption have been met. The Department does not have data on how many pension consultants, insurance companies, and investment company principal underwriters would continue to rely on PTE 84-24 as amended without also complying with the amended PTE 2020-02. In this analysis, the Department assumes that </w:t>
      </w:r>
      <w:r w:rsidRPr="004D4500">
        <w:rPr>
          <w:rFonts w:ascii="Times New Roman" w:hAnsi="Times New Roman"/>
        </w:rPr>
        <w:t>all of</w:t>
      </w:r>
      <w:r w:rsidRPr="004D4500">
        <w:rPr>
          <w:rFonts w:ascii="Times New Roman" w:hAnsi="Times New Roman"/>
        </w:rPr>
        <w:t xml:space="preserve"> the pension consultants and investment company principal underwriters continuing to rely on the amended PTE 84-24 would also rely on the amended PTE 2020-02. Thus, to avoid double counting the compliance cost, this analysis does not include the cost associated with the proposed recordkeeping requirement for these entities.</w:t>
      </w:r>
    </w:p>
    <w:p w:rsidR="004D4500" w:rsidRPr="004D4500" w:rsidP="00675971" w14:paraId="1523FA1D" w14:textId="77777777">
      <w:pPr>
        <w:pStyle w:val="ListParagraph"/>
        <w:rPr>
          <w:rFonts w:ascii="Times New Roman" w:hAnsi="Times New Roman"/>
        </w:rPr>
      </w:pPr>
    </w:p>
    <w:p w:rsidR="004D4500" w:rsidRPr="004D4500" w:rsidP="00675971" w14:paraId="1A7C4216" w14:textId="622A404B">
      <w:pPr>
        <w:pStyle w:val="ListParagraph"/>
        <w:rPr>
          <w:rFonts w:ascii="Times New Roman" w:hAnsi="Times New Roman"/>
        </w:rPr>
      </w:pPr>
      <w:r w:rsidRPr="004D4500">
        <w:rPr>
          <w:rFonts w:ascii="Times New Roman" w:hAnsi="Times New Roman"/>
        </w:rPr>
        <w:t xml:space="preserve">For this analysis, the Department considers the cost for insurance companies and </w:t>
      </w:r>
      <w:r w:rsidR="00ED1A11">
        <w:rPr>
          <w:rFonts w:ascii="Times New Roman" w:hAnsi="Times New Roman"/>
        </w:rPr>
        <w:t>Independent Producer</w:t>
      </w:r>
      <w:r w:rsidRPr="004D4500">
        <w:rPr>
          <w:rFonts w:ascii="Times New Roman" w:hAnsi="Times New Roman"/>
        </w:rPr>
        <w:t xml:space="preserve">s complying with the proposed recordkeeping requirements. The Department estimates that the additional time needed to maintain records for the financial institutions to be consistent with the exemption would take an </w:t>
      </w:r>
      <w:r w:rsidR="00ED1A11">
        <w:rPr>
          <w:rFonts w:ascii="Times New Roman" w:hAnsi="Times New Roman"/>
        </w:rPr>
        <w:t>Independent Producer</w:t>
      </w:r>
      <w:r w:rsidRPr="004D4500">
        <w:rPr>
          <w:rFonts w:ascii="Times New Roman" w:hAnsi="Times New Roman"/>
        </w:rPr>
        <w:t xml:space="preserve"> two </w:t>
      </w:r>
      <w:r w:rsidRPr="004D4500">
        <w:rPr>
          <w:rFonts w:ascii="Times New Roman" w:hAnsi="Times New Roman"/>
        </w:rPr>
        <w:t>hours, resulting in an hour burden of 8,430 hours and an equivalent cost of $1.3 million.</w:t>
      </w:r>
      <w:r>
        <w:rPr>
          <w:rFonts w:ascii="Times New Roman" w:hAnsi="Times New Roman"/>
          <w:vertAlign w:val="superscript"/>
        </w:rPr>
        <w:footnoteReference w:id="58"/>
      </w:r>
    </w:p>
    <w:p w:rsidR="00C03023" w:rsidRPr="00530597" w:rsidP="00945117" w14:paraId="56320A08" w14:textId="5945602F">
      <w:pPr>
        <w:widowControl/>
        <w:autoSpaceDE/>
        <w:autoSpaceDN/>
        <w:adjustRightInd/>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637"/>
        <w:gridCol w:w="1723"/>
        <w:gridCol w:w="1723"/>
        <w:gridCol w:w="1723"/>
      </w:tblGrid>
      <w:tr w14:paraId="1645E0FA"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43" w:type="dxa"/>
            <w:gridSpan w:val="5"/>
            <w:shd w:val="clear" w:color="auto" w:fill="auto"/>
          </w:tcPr>
          <w:p w:rsidR="004B43E2" w:rsidRPr="004B43E2" w:rsidP="004B43E2" w14:paraId="4909C135" w14:textId="39456540">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Table 1</w:t>
            </w:r>
            <w:r>
              <w:rPr>
                <w:rFonts w:ascii="Times New Roman" w:eastAsia="Yu Mincho" w:hAnsi="Times New Roman"/>
                <w:b/>
                <w:szCs w:val="32"/>
              </w:rPr>
              <w:t>3</w:t>
            </w:r>
            <w:r w:rsidRPr="004B43E2">
              <w:rPr>
                <w:rFonts w:ascii="Times New Roman" w:eastAsia="Yu Mincho" w:hAnsi="Times New Roman"/>
                <w:b/>
                <w:szCs w:val="32"/>
              </w:rPr>
              <w:t>:</w:t>
            </w:r>
            <w:r w:rsidRPr="004B43E2">
              <w:rPr>
                <w:rFonts w:ascii="Times New Roman" w:eastAsia="Yu Mincho" w:hAnsi="Times New Roman"/>
                <w:b/>
                <w:szCs w:val="32"/>
              </w:rPr>
              <w:t xml:space="preserve"> </w:t>
            </w:r>
            <w:r w:rsidRPr="004B43E2">
              <w:rPr>
                <w:rFonts w:ascii="Times New Roman" w:eastAsia="Yu Mincho" w:hAnsi="Times New Roman"/>
                <w:b/>
                <w:szCs w:val="32"/>
              </w:rPr>
              <w:t>Hour Burden and Equivalent Cost Associated with the Recordkeeping Requirement</w:t>
            </w:r>
          </w:p>
        </w:tc>
      </w:tr>
      <w:tr w14:paraId="4918863D" w14:textId="77777777">
        <w:tblPrEx>
          <w:tblW w:w="0" w:type="auto"/>
          <w:tblInd w:w="828" w:type="dxa"/>
          <w:tblLayout w:type="fixed"/>
          <w:tblLook w:val="04A0"/>
        </w:tblPrEx>
        <w:tc>
          <w:tcPr>
            <w:tcW w:w="1237" w:type="dxa"/>
            <w:shd w:val="clear" w:color="auto" w:fill="auto"/>
          </w:tcPr>
          <w:p w:rsidR="004B43E2" w:rsidRPr="004B43E2" w:rsidP="004B43E2" w14:paraId="11D49EAE" w14:textId="77777777">
            <w:pPr>
              <w:widowControl/>
              <w:autoSpaceDE/>
              <w:autoSpaceDN/>
              <w:adjustRightInd/>
              <w:ind w:firstLine="45"/>
              <w:contextualSpacing/>
              <w:jc w:val="center"/>
              <w:rPr>
                <w:rFonts w:ascii="Times New Roman" w:eastAsia="Yu Mincho" w:hAnsi="Times New Roman"/>
                <w:b/>
                <w:szCs w:val="32"/>
              </w:rPr>
            </w:pPr>
          </w:p>
        </w:tc>
        <w:tc>
          <w:tcPr>
            <w:tcW w:w="3360" w:type="dxa"/>
            <w:gridSpan w:val="2"/>
            <w:shd w:val="clear" w:color="auto" w:fill="auto"/>
          </w:tcPr>
          <w:p w:rsidR="004B43E2" w:rsidRPr="004B43E2" w:rsidP="004B43E2" w14:paraId="24D8341B"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Year 1</w:t>
            </w:r>
          </w:p>
        </w:tc>
        <w:tc>
          <w:tcPr>
            <w:tcW w:w="3446" w:type="dxa"/>
            <w:gridSpan w:val="2"/>
          </w:tcPr>
          <w:p w:rsidR="004B43E2" w:rsidRPr="004B43E2" w:rsidP="004B43E2" w14:paraId="1553C0CF"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Subsequent Years</w:t>
            </w:r>
          </w:p>
        </w:tc>
      </w:tr>
      <w:tr w14:paraId="44D03D2C" w14:textId="77777777">
        <w:tblPrEx>
          <w:tblW w:w="0" w:type="auto"/>
          <w:tblInd w:w="828" w:type="dxa"/>
          <w:tblLayout w:type="fixed"/>
          <w:tblLook w:val="04A0"/>
        </w:tblPrEx>
        <w:tc>
          <w:tcPr>
            <w:tcW w:w="1237" w:type="dxa"/>
            <w:shd w:val="clear" w:color="auto" w:fill="auto"/>
          </w:tcPr>
          <w:p w:rsidR="004B43E2" w:rsidRPr="004B43E2" w:rsidP="004B43E2" w14:paraId="4CE29F1C"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Activity</w:t>
            </w:r>
          </w:p>
        </w:tc>
        <w:tc>
          <w:tcPr>
            <w:tcW w:w="1637" w:type="dxa"/>
            <w:shd w:val="clear" w:color="auto" w:fill="auto"/>
          </w:tcPr>
          <w:p w:rsidR="004B43E2" w:rsidRPr="004B43E2" w:rsidP="004B43E2" w14:paraId="2CFEE3EB"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Burden Hours</w:t>
            </w:r>
          </w:p>
        </w:tc>
        <w:tc>
          <w:tcPr>
            <w:tcW w:w="1723" w:type="dxa"/>
            <w:shd w:val="clear" w:color="auto" w:fill="auto"/>
          </w:tcPr>
          <w:p w:rsidR="004B43E2" w:rsidRPr="004B43E2" w:rsidP="004B43E2" w14:paraId="497A73AE"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Equivalent Burden Cost</w:t>
            </w:r>
          </w:p>
        </w:tc>
        <w:tc>
          <w:tcPr>
            <w:tcW w:w="1723" w:type="dxa"/>
          </w:tcPr>
          <w:p w:rsidR="004B43E2" w:rsidRPr="004B43E2" w:rsidP="004B43E2" w14:paraId="79B4B4B9"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Burden Hours</w:t>
            </w:r>
          </w:p>
        </w:tc>
        <w:tc>
          <w:tcPr>
            <w:tcW w:w="1723" w:type="dxa"/>
          </w:tcPr>
          <w:p w:rsidR="004B43E2" w:rsidRPr="004B43E2" w:rsidP="004B43E2" w14:paraId="2486073C" w14:textId="77777777">
            <w:pPr>
              <w:widowControl/>
              <w:autoSpaceDE/>
              <w:autoSpaceDN/>
              <w:adjustRightInd/>
              <w:ind w:firstLine="45"/>
              <w:contextualSpacing/>
              <w:jc w:val="center"/>
              <w:rPr>
                <w:rFonts w:ascii="Times New Roman" w:eastAsia="Yu Mincho" w:hAnsi="Times New Roman"/>
                <w:b/>
                <w:szCs w:val="32"/>
              </w:rPr>
            </w:pPr>
            <w:r w:rsidRPr="004B43E2">
              <w:rPr>
                <w:rFonts w:ascii="Times New Roman" w:eastAsia="Yu Mincho" w:hAnsi="Times New Roman"/>
                <w:b/>
                <w:szCs w:val="32"/>
              </w:rPr>
              <w:t>Equivalent Burden Cost</w:t>
            </w:r>
          </w:p>
        </w:tc>
      </w:tr>
      <w:tr w14:paraId="727BACCE" w14:textId="77777777">
        <w:tblPrEx>
          <w:tblW w:w="0" w:type="auto"/>
          <w:tblInd w:w="828" w:type="dxa"/>
          <w:tblLayout w:type="fixed"/>
          <w:tblLook w:val="04A0"/>
        </w:tblPrEx>
        <w:tc>
          <w:tcPr>
            <w:tcW w:w="1237" w:type="dxa"/>
            <w:shd w:val="clear" w:color="auto" w:fill="auto"/>
          </w:tcPr>
          <w:p w:rsidR="004B43E2" w:rsidRPr="004B43E2" w:rsidP="004B43E2" w14:paraId="03C7998E" w14:textId="77777777">
            <w:pPr>
              <w:widowControl/>
              <w:autoSpaceDE/>
              <w:autoSpaceDN/>
              <w:adjustRightInd/>
              <w:ind w:firstLine="45"/>
              <w:contextualSpacing/>
              <w:rPr>
                <w:rFonts w:ascii="Times New Roman" w:eastAsia="Yu Mincho" w:hAnsi="Times New Roman"/>
                <w:szCs w:val="32"/>
              </w:rPr>
            </w:pPr>
            <w:bookmarkStart w:id="0" w:name="OLE_LINK9" w:colFirst="1" w:colLast="4"/>
            <w:bookmarkStart w:id="1" w:name="OLE_LINK10" w:colFirst="1" w:colLast="4"/>
            <w:bookmarkStart w:id="2" w:name="_Hlk144904765"/>
            <w:r w:rsidRPr="004B43E2">
              <w:rPr>
                <w:rFonts w:ascii="Times New Roman" w:eastAsia="Yu Mincho" w:hAnsi="Times New Roman"/>
                <w:szCs w:val="32"/>
              </w:rPr>
              <w:t>Legal</w:t>
            </w:r>
          </w:p>
        </w:tc>
        <w:tc>
          <w:tcPr>
            <w:tcW w:w="1637" w:type="dxa"/>
            <w:shd w:val="clear" w:color="auto" w:fill="auto"/>
          </w:tcPr>
          <w:p w:rsidR="004B43E2" w:rsidRPr="004B43E2" w:rsidP="004B43E2" w14:paraId="1B5A8486" w14:textId="77777777">
            <w:pPr>
              <w:widowControl/>
              <w:autoSpaceDE/>
              <w:autoSpaceDN/>
              <w:adjustRightInd/>
              <w:ind w:firstLine="45"/>
              <w:contextualSpacing/>
              <w:jc w:val="right"/>
              <w:rPr>
                <w:rFonts w:ascii="Times New Roman" w:eastAsia="Yu Mincho" w:hAnsi="Times New Roman"/>
                <w:szCs w:val="32"/>
              </w:rPr>
            </w:pPr>
            <w:r w:rsidRPr="004B43E2">
              <w:rPr>
                <w:rFonts w:ascii="Times New Roman" w:eastAsia="Yu Mincho" w:hAnsi="Times New Roman"/>
                <w:szCs w:val="32"/>
              </w:rPr>
              <w:t>8,430</w:t>
            </w:r>
          </w:p>
        </w:tc>
        <w:tc>
          <w:tcPr>
            <w:tcW w:w="1723" w:type="dxa"/>
            <w:shd w:val="clear" w:color="auto" w:fill="auto"/>
          </w:tcPr>
          <w:p w:rsidR="004B43E2" w:rsidRPr="004B43E2" w:rsidP="004B43E2" w14:paraId="7A9ADB66" w14:textId="77777777">
            <w:pPr>
              <w:widowControl/>
              <w:autoSpaceDE/>
              <w:autoSpaceDN/>
              <w:adjustRightInd/>
              <w:ind w:firstLine="45"/>
              <w:contextualSpacing/>
              <w:jc w:val="right"/>
              <w:rPr>
                <w:rFonts w:ascii="Times New Roman" w:eastAsia="Yu Mincho" w:hAnsi="Times New Roman"/>
                <w:szCs w:val="32"/>
              </w:rPr>
            </w:pPr>
            <w:r w:rsidRPr="004B43E2">
              <w:rPr>
                <w:rFonts w:ascii="Times New Roman" w:eastAsia="Yu Mincho" w:hAnsi="Times New Roman"/>
                <w:szCs w:val="32"/>
              </w:rPr>
              <w:t>$</w:t>
            </w:r>
            <w:r w:rsidRPr="004B43E2">
              <w:rPr>
                <w:rFonts w:ascii="Times New Roman" w:eastAsia="Yu Mincho" w:hAnsi="Times New Roman"/>
                <w:szCs w:val="32"/>
                <w:lang w:val="en"/>
              </w:rPr>
              <w:t>1,340,036</w:t>
            </w:r>
          </w:p>
        </w:tc>
        <w:tc>
          <w:tcPr>
            <w:tcW w:w="1723" w:type="dxa"/>
          </w:tcPr>
          <w:p w:rsidR="004B43E2" w:rsidRPr="004B43E2" w:rsidP="004B43E2" w14:paraId="21DFC647" w14:textId="77777777">
            <w:pPr>
              <w:widowControl/>
              <w:autoSpaceDE/>
              <w:autoSpaceDN/>
              <w:adjustRightInd/>
              <w:ind w:firstLine="45"/>
              <w:contextualSpacing/>
              <w:jc w:val="right"/>
              <w:rPr>
                <w:rFonts w:ascii="Times New Roman" w:eastAsia="Yu Mincho" w:hAnsi="Times New Roman"/>
                <w:szCs w:val="32"/>
              </w:rPr>
            </w:pPr>
            <w:r w:rsidRPr="004B43E2">
              <w:rPr>
                <w:rFonts w:ascii="Times New Roman" w:eastAsia="Yu Mincho" w:hAnsi="Times New Roman"/>
                <w:szCs w:val="32"/>
              </w:rPr>
              <w:t>8,430</w:t>
            </w:r>
          </w:p>
        </w:tc>
        <w:tc>
          <w:tcPr>
            <w:tcW w:w="1723" w:type="dxa"/>
          </w:tcPr>
          <w:p w:rsidR="004B43E2" w:rsidRPr="004B43E2" w:rsidP="004B43E2" w14:paraId="20C64CC4" w14:textId="77777777">
            <w:pPr>
              <w:widowControl/>
              <w:autoSpaceDE/>
              <w:autoSpaceDN/>
              <w:adjustRightInd/>
              <w:ind w:firstLine="45"/>
              <w:contextualSpacing/>
              <w:jc w:val="right"/>
              <w:rPr>
                <w:rFonts w:ascii="Times New Roman" w:eastAsia="Yu Mincho" w:hAnsi="Times New Roman"/>
                <w:szCs w:val="32"/>
              </w:rPr>
            </w:pPr>
            <w:r w:rsidRPr="004B43E2">
              <w:rPr>
                <w:rFonts w:ascii="Times New Roman" w:eastAsia="Yu Mincho" w:hAnsi="Times New Roman"/>
                <w:szCs w:val="32"/>
              </w:rPr>
              <w:t>$</w:t>
            </w:r>
            <w:r w:rsidRPr="004B43E2">
              <w:rPr>
                <w:rFonts w:ascii="Times New Roman" w:eastAsia="Yu Mincho" w:hAnsi="Times New Roman"/>
                <w:szCs w:val="32"/>
                <w:lang w:val="en"/>
              </w:rPr>
              <w:t>1,340,036</w:t>
            </w:r>
          </w:p>
        </w:tc>
      </w:tr>
      <w:tr w14:paraId="41D4A1C0" w14:textId="77777777">
        <w:tblPrEx>
          <w:tblW w:w="0" w:type="auto"/>
          <w:tblInd w:w="828" w:type="dxa"/>
          <w:tblLayout w:type="fixed"/>
          <w:tblLook w:val="04A0"/>
        </w:tblPrEx>
        <w:tc>
          <w:tcPr>
            <w:tcW w:w="1237" w:type="dxa"/>
            <w:shd w:val="clear" w:color="auto" w:fill="auto"/>
          </w:tcPr>
          <w:p w:rsidR="004B43E2" w:rsidRPr="004B43E2" w:rsidP="004B43E2" w14:paraId="0DA13E1F" w14:textId="77777777">
            <w:pPr>
              <w:widowControl/>
              <w:autoSpaceDE/>
              <w:autoSpaceDN/>
              <w:adjustRightInd/>
              <w:ind w:firstLine="45"/>
              <w:contextualSpacing/>
              <w:rPr>
                <w:rFonts w:ascii="Times New Roman" w:eastAsia="Yu Mincho" w:hAnsi="Times New Roman"/>
                <w:b/>
                <w:szCs w:val="32"/>
              </w:rPr>
            </w:pPr>
            <w:r w:rsidRPr="004B43E2">
              <w:rPr>
                <w:rFonts w:ascii="Times New Roman" w:eastAsia="Yu Mincho" w:hAnsi="Times New Roman"/>
                <w:b/>
                <w:szCs w:val="32"/>
              </w:rPr>
              <w:t>Total</w:t>
            </w:r>
          </w:p>
        </w:tc>
        <w:tc>
          <w:tcPr>
            <w:tcW w:w="1637" w:type="dxa"/>
            <w:shd w:val="clear" w:color="auto" w:fill="auto"/>
          </w:tcPr>
          <w:p w:rsidR="004B43E2" w:rsidRPr="004B43E2" w:rsidP="004B43E2" w14:paraId="7DD8D24C" w14:textId="77777777">
            <w:pPr>
              <w:widowControl/>
              <w:autoSpaceDE/>
              <w:autoSpaceDN/>
              <w:adjustRightInd/>
              <w:ind w:firstLine="45"/>
              <w:contextualSpacing/>
              <w:jc w:val="right"/>
              <w:rPr>
                <w:rFonts w:ascii="Times New Roman" w:eastAsia="Yu Mincho" w:hAnsi="Times New Roman"/>
                <w:b/>
                <w:szCs w:val="32"/>
              </w:rPr>
            </w:pPr>
            <w:r w:rsidRPr="004B43E2">
              <w:rPr>
                <w:rFonts w:ascii="Times New Roman" w:eastAsia="Yu Mincho" w:hAnsi="Times New Roman"/>
                <w:b/>
                <w:szCs w:val="32"/>
              </w:rPr>
              <w:t>8,430</w:t>
            </w:r>
          </w:p>
        </w:tc>
        <w:tc>
          <w:tcPr>
            <w:tcW w:w="1723" w:type="dxa"/>
            <w:shd w:val="clear" w:color="auto" w:fill="auto"/>
          </w:tcPr>
          <w:p w:rsidR="004B43E2" w:rsidRPr="004B43E2" w:rsidP="004B43E2" w14:paraId="02089FCE" w14:textId="77777777">
            <w:pPr>
              <w:widowControl/>
              <w:autoSpaceDE/>
              <w:autoSpaceDN/>
              <w:adjustRightInd/>
              <w:ind w:firstLine="45"/>
              <w:contextualSpacing/>
              <w:jc w:val="right"/>
              <w:rPr>
                <w:rFonts w:ascii="Times New Roman" w:eastAsia="Yu Mincho" w:hAnsi="Times New Roman"/>
                <w:b/>
                <w:szCs w:val="32"/>
              </w:rPr>
            </w:pPr>
            <w:r w:rsidRPr="004B43E2">
              <w:rPr>
                <w:rFonts w:ascii="Times New Roman" w:eastAsia="Yu Mincho" w:hAnsi="Times New Roman"/>
                <w:b/>
                <w:szCs w:val="32"/>
              </w:rPr>
              <w:t>$</w:t>
            </w:r>
            <w:r w:rsidRPr="004B43E2">
              <w:rPr>
                <w:rFonts w:ascii="Times New Roman" w:eastAsia="Yu Mincho" w:hAnsi="Times New Roman"/>
                <w:b/>
                <w:szCs w:val="32"/>
                <w:lang w:val="en"/>
              </w:rPr>
              <w:t>1,340,036</w:t>
            </w:r>
          </w:p>
        </w:tc>
        <w:tc>
          <w:tcPr>
            <w:tcW w:w="1723" w:type="dxa"/>
          </w:tcPr>
          <w:p w:rsidR="004B43E2" w:rsidRPr="004B43E2" w:rsidP="004B43E2" w14:paraId="1FE74E6C" w14:textId="77777777">
            <w:pPr>
              <w:widowControl/>
              <w:autoSpaceDE/>
              <w:autoSpaceDN/>
              <w:adjustRightInd/>
              <w:ind w:firstLine="45"/>
              <w:contextualSpacing/>
              <w:jc w:val="right"/>
              <w:rPr>
                <w:rFonts w:ascii="Times New Roman" w:eastAsia="Yu Mincho" w:hAnsi="Times New Roman"/>
                <w:b/>
                <w:szCs w:val="32"/>
              </w:rPr>
            </w:pPr>
            <w:r w:rsidRPr="004B43E2">
              <w:rPr>
                <w:rFonts w:ascii="Times New Roman" w:eastAsia="Yu Mincho" w:hAnsi="Times New Roman"/>
                <w:b/>
                <w:szCs w:val="32"/>
              </w:rPr>
              <w:t>8,430</w:t>
            </w:r>
          </w:p>
        </w:tc>
        <w:tc>
          <w:tcPr>
            <w:tcW w:w="1723" w:type="dxa"/>
          </w:tcPr>
          <w:p w:rsidR="004B43E2" w:rsidRPr="004B43E2" w:rsidP="004B43E2" w14:paraId="07B83BA3" w14:textId="77777777">
            <w:pPr>
              <w:widowControl/>
              <w:autoSpaceDE/>
              <w:autoSpaceDN/>
              <w:adjustRightInd/>
              <w:ind w:firstLine="45"/>
              <w:contextualSpacing/>
              <w:jc w:val="right"/>
              <w:rPr>
                <w:rFonts w:ascii="Times New Roman" w:eastAsia="Yu Mincho" w:hAnsi="Times New Roman"/>
                <w:b/>
                <w:szCs w:val="32"/>
              </w:rPr>
            </w:pPr>
            <w:r w:rsidRPr="004B43E2">
              <w:rPr>
                <w:rFonts w:ascii="Times New Roman" w:eastAsia="Yu Mincho" w:hAnsi="Times New Roman"/>
                <w:b/>
                <w:szCs w:val="32"/>
              </w:rPr>
              <w:t>$</w:t>
            </w:r>
            <w:r w:rsidRPr="004B43E2">
              <w:rPr>
                <w:rFonts w:ascii="Times New Roman" w:eastAsia="Yu Mincho" w:hAnsi="Times New Roman"/>
                <w:b/>
                <w:szCs w:val="32"/>
                <w:lang w:val="en"/>
              </w:rPr>
              <w:t>1,340,036</w:t>
            </w:r>
          </w:p>
        </w:tc>
      </w:tr>
      <w:bookmarkEnd w:id="0"/>
      <w:bookmarkEnd w:id="1"/>
      <w:bookmarkEnd w:id="2"/>
    </w:tbl>
    <w:p w:rsidR="00C03023" w:rsidRPr="00530597" w:rsidP="00C03023" w14:paraId="58B7ACF2" w14:textId="77777777">
      <w:pPr>
        <w:ind w:left="720"/>
        <w:contextualSpacing/>
        <w:rPr>
          <w:rFonts w:ascii="Times New Roman" w:hAnsi="Times New Roman"/>
        </w:rPr>
      </w:pPr>
    </w:p>
    <w:p w:rsidR="006353CD" w:rsidP="006627A7" w14:paraId="30328D62" w14:textId="77777777">
      <w:pPr>
        <w:ind w:left="720"/>
        <w:contextualSpacing/>
        <w:rPr>
          <w:rFonts w:ascii="Times New Roman" w:hAnsi="Times New Roman"/>
        </w:rPr>
      </w:pPr>
    </w:p>
    <w:p w:rsidR="00675971" w:rsidRPr="00675971" w:rsidP="006627A7" w14:paraId="5785F6E5" w14:textId="7EEBC273">
      <w:pPr>
        <w:ind w:left="720"/>
        <w:contextualSpacing/>
        <w:rPr>
          <w:rFonts w:ascii="Times New Roman" w:hAnsi="Times New Roman"/>
        </w:rPr>
      </w:pPr>
      <w:r w:rsidRPr="00675971">
        <w:rPr>
          <w:rFonts w:ascii="Times New Roman" w:hAnsi="Times New Roman"/>
          <w:i/>
          <w:iCs/>
        </w:rPr>
        <w:t xml:space="preserve">12.2.5. Summary </w:t>
      </w:r>
    </w:p>
    <w:p w:rsidR="00675971" w:rsidP="006627A7" w14:paraId="62EF4AD4" w14:textId="77777777">
      <w:pPr>
        <w:ind w:left="720"/>
        <w:contextualSpacing/>
        <w:rPr>
          <w:rFonts w:ascii="Times New Roman" w:hAnsi="Times New Roman"/>
        </w:rPr>
      </w:pPr>
    </w:p>
    <w:p w:rsidR="00675971" w:rsidP="006627A7" w14:paraId="74B3B6A6" w14:textId="697EAD49">
      <w:pPr>
        <w:ind w:left="720"/>
        <w:contextualSpacing/>
        <w:rPr>
          <w:rFonts w:ascii="Times New Roman" w:hAnsi="Times New Roman"/>
        </w:rPr>
      </w:pPr>
      <w:r>
        <w:rPr>
          <w:rFonts w:ascii="Times New Roman" w:hAnsi="Times New Roman"/>
        </w:rPr>
        <w:t>In summary, the total hour burden</w:t>
      </w:r>
      <w:r w:rsidR="00894BE6">
        <w:rPr>
          <w:rFonts w:ascii="Times New Roman" w:hAnsi="Times New Roman"/>
        </w:rPr>
        <w:t xml:space="preserve"> in the first year</w:t>
      </w:r>
      <w:r>
        <w:rPr>
          <w:rFonts w:ascii="Times New Roman" w:hAnsi="Times New Roman"/>
        </w:rPr>
        <w:t xml:space="preserve"> associated with this information collection is </w:t>
      </w:r>
      <w:r w:rsidRPr="00D71568" w:rsidR="00D71568">
        <w:rPr>
          <w:rFonts w:ascii="Times New Roman" w:hAnsi="Times New Roman"/>
        </w:rPr>
        <w:t>128,467</w:t>
      </w:r>
      <w:r w:rsidR="00D71568">
        <w:rPr>
          <w:rFonts w:ascii="Times New Roman" w:hAnsi="Times New Roman"/>
        </w:rPr>
        <w:t xml:space="preserve"> </w:t>
      </w:r>
      <w:r>
        <w:rPr>
          <w:rFonts w:ascii="Times New Roman" w:hAnsi="Times New Roman"/>
        </w:rPr>
        <w:t xml:space="preserve">hours and </w:t>
      </w:r>
      <w:r w:rsidR="00FB2C10">
        <w:rPr>
          <w:rFonts w:ascii="Times New Roman" w:hAnsi="Times New Roman"/>
        </w:rPr>
        <w:t>an</w:t>
      </w:r>
      <w:r>
        <w:rPr>
          <w:rFonts w:ascii="Times New Roman" w:hAnsi="Times New Roman"/>
        </w:rPr>
        <w:t xml:space="preserve"> equivalent </w:t>
      </w:r>
      <w:r w:rsidR="00FB2C10">
        <w:rPr>
          <w:rFonts w:ascii="Times New Roman" w:hAnsi="Times New Roman"/>
        </w:rPr>
        <w:t>cost</w:t>
      </w:r>
      <w:r>
        <w:rPr>
          <w:rFonts w:ascii="Times New Roman" w:hAnsi="Times New Roman"/>
        </w:rPr>
        <w:t xml:space="preserve"> </w:t>
      </w:r>
      <w:r w:rsidR="00FB2C10">
        <w:rPr>
          <w:rFonts w:ascii="Times New Roman" w:hAnsi="Times New Roman"/>
        </w:rPr>
        <w:t>of</w:t>
      </w:r>
      <w:r>
        <w:rPr>
          <w:rFonts w:ascii="Times New Roman" w:hAnsi="Times New Roman"/>
        </w:rPr>
        <w:t xml:space="preserve"> </w:t>
      </w:r>
      <w:r w:rsidRPr="0049142F" w:rsidR="0049142F">
        <w:rPr>
          <w:rFonts w:ascii="Times New Roman" w:hAnsi="Times New Roman"/>
        </w:rPr>
        <w:t>$20,204,445</w:t>
      </w:r>
      <w:r w:rsidR="0049142F">
        <w:rPr>
          <w:rFonts w:ascii="Times New Roman" w:hAnsi="Times New Roman"/>
        </w:rPr>
        <w:t>. T</w:t>
      </w:r>
      <w:r w:rsidRPr="0049142F" w:rsidR="0049142F">
        <w:rPr>
          <w:rFonts w:ascii="Times New Roman" w:hAnsi="Times New Roman"/>
        </w:rPr>
        <w:t xml:space="preserve">he total hour burden in </w:t>
      </w:r>
      <w:r w:rsidR="0049142F">
        <w:rPr>
          <w:rFonts w:ascii="Times New Roman" w:hAnsi="Times New Roman"/>
        </w:rPr>
        <w:t>subsequent years</w:t>
      </w:r>
      <w:r w:rsidRPr="0049142F" w:rsidR="0049142F">
        <w:rPr>
          <w:rFonts w:ascii="Times New Roman" w:hAnsi="Times New Roman"/>
        </w:rPr>
        <w:t xml:space="preserve"> is </w:t>
      </w:r>
      <w:r w:rsidRPr="000650CF" w:rsidR="000650CF">
        <w:rPr>
          <w:rFonts w:ascii="Times New Roman" w:hAnsi="Times New Roman"/>
        </w:rPr>
        <w:t>121,356</w:t>
      </w:r>
      <w:r w:rsidR="000650CF">
        <w:rPr>
          <w:rFonts w:ascii="Times New Roman" w:hAnsi="Times New Roman"/>
        </w:rPr>
        <w:t xml:space="preserve"> </w:t>
      </w:r>
      <w:r w:rsidRPr="0049142F" w:rsidR="0049142F">
        <w:rPr>
          <w:rFonts w:ascii="Times New Roman" w:hAnsi="Times New Roman"/>
        </w:rPr>
        <w:t xml:space="preserve">hours and </w:t>
      </w:r>
      <w:r w:rsidR="00FB2C10">
        <w:rPr>
          <w:rFonts w:ascii="Times New Roman" w:hAnsi="Times New Roman"/>
        </w:rPr>
        <w:t>an</w:t>
      </w:r>
      <w:r w:rsidRPr="0049142F" w:rsidR="0049142F">
        <w:rPr>
          <w:rFonts w:ascii="Times New Roman" w:hAnsi="Times New Roman"/>
        </w:rPr>
        <w:t xml:space="preserve"> equivalent </w:t>
      </w:r>
      <w:r w:rsidR="00FB2C10">
        <w:rPr>
          <w:rFonts w:ascii="Times New Roman" w:hAnsi="Times New Roman"/>
        </w:rPr>
        <w:t>cost</w:t>
      </w:r>
      <w:r w:rsidRPr="0049142F" w:rsidR="0049142F">
        <w:rPr>
          <w:rFonts w:ascii="Times New Roman" w:hAnsi="Times New Roman"/>
        </w:rPr>
        <w:t xml:space="preserve"> </w:t>
      </w:r>
      <w:r w:rsidR="00FB2C10">
        <w:rPr>
          <w:rFonts w:ascii="Times New Roman" w:hAnsi="Times New Roman"/>
        </w:rPr>
        <w:t xml:space="preserve">of </w:t>
      </w:r>
      <w:r w:rsidRPr="00AC23F0" w:rsidR="00AC23F0">
        <w:rPr>
          <w:rFonts w:ascii="Times New Roman" w:hAnsi="Times New Roman"/>
        </w:rPr>
        <w:t>$19,071,257</w:t>
      </w:r>
      <w:r w:rsidR="00AC23F0">
        <w:rPr>
          <w:rFonts w:ascii="Times New Roman" w:hAnsi="Times New Roman"/>
        </w:rPr>
        <w:t xml:space="preserve">. The three-year </w:t>
      </w:r>
      <w:r w:rsidR="00423003">
        <w:rPr>
          <w:rFonts w:ascii="Times New Roman" w:hAnsi="Times New Roman"/>
        </w:rPr>
        <w:t xml:space="preserve">average </w:t>
      </w:r>
      <w:r w:rsidR="00AC23F0">
        <w:rPr>
          <w:rFonts w:ascii="Times New Roman" w:hAnsi="Times New Roman"/>
        </w:rPr>
        <w:t xml:space="preserve">hour burden is </w:t>
      </w:r>
      <w:r w:rsidRPr="00FB2C10" w:rsidR="00FB2C10">
        <w:rPr>
          <w:rFonts w:ascii="Times New Roman" w:hAnsi="Times New Roman"/>
        </w:rPr>
        <w:t>123,726</w:t>
      </w:r>
      <w:r w:rsidR="00FB2C10">
        <w:rPr>
          <w:rFonts w:ascii="Times New Roman" w:hAnsi="Times New Roman"/>
        </w:rPr>
        <w:t xml:space="preserve"> hours and an equivalent cost of </w:t>
      </w:r>
      <w:r w:rsidRPr="00677994" w:rsidR="00677994">
        <w:rPr>
          <w:rFonts w:ascii="Times New Roman" w:hAnsi="Times New Roman"/>
        </w:rPr>
        <w:t>$19,448,986</w:t>
      </w:r>
      <w:r w:rsidR="00677994">
        <w:rPr>
          <w:rFonts w:ascii="Times New Roman" w:hAnsi="Times New Roman"/>
        </w:rPr>
        <w:t>.</w:t>
      </w:r>
    </w:p>
    <w:p w:rsidR="00A22D1E" w:rsidP="00677994" w14:paraId="3991D030" w14:textId="77777777">
      <w:pPr>
        <w:contextualSpacing/>
        <w:rPr>
          <w:rFonts w:ascii="Times New Roman" w:hAnsi="Times New Roman"/>
        </w:rPr>
      </w:pPr>
    </w:p>
    <w:p w:rsidR="008D761D" w:rsidP="008D761D" w14:paraId="40FDE2F5" w14:textId="03DE6437">
      <w:pPr>
        <w:widowControl/>
        <w:autoSpaceDE/>
        <w:adjustRightInd/>
        <w:ind w:left="720"/>
        <w:jc w:val="center"/>
        <w:rPr>
          <w:rFonts w:ascii="Times New Roman" w:hAnsi="Times New Roman"/>
          <w:i/>
          <w:iCs/>
        </w:rPr>
      </w:pPr>
    </w:p>
    <w:tbl>
      <w:tblPr>
        <w:tblW w:w="10748" w:type="dxa"/>
        <w:tblLayout w:type="fixed"/>
        <w:tblLook w:val="04A0"/>
      </w:tblPr>
      <w:tblGrid>
        <w:gridCol w:w="1970"/>
        <w:gridCol w:w="1440"/>
        <w:gridCol w:w="1486"/>
        <w:gridCol w:w="1152"/>
        <w:gridCol w:w="1008"/>
        <w:gridCol w:w="1008"/>
        <w:gridCol w:w="1008"/>
        <w:gridCol w:w="1440"/>
        <w:gridCol w:w="236"/>
      </w:tblGrid>
      <w:tr w14:paraId="09F20E5C" w14:textId="77777777" w:rsidTr="00AA5718">
        <w:tblPrEx>
          <w:tblW w:w="10748" w:type="dxa"/>
          <w:tblLayout w:type="fixed"/>
          <w:tblLook w:val="04A0"/>
        </w:tblPrEx>
        <w:trPr>
          <w:gridAfter w:val="1"/>
          <w:wAfter w:w="236" w:type="dxa"/>
          <w:trHeight w:val="523"/>
        </w:trPr>
        <w:tc>
          <w:tcPr>
            <w:tcW w:w="10512" w:type="dxa"/>
            <w:gridSpan w:val="8"/>
            <w:tcBorders>
              <w:top w:val="single" w:sz="8" w:space="0" w:color="auto"/>
              <w:left w:val="single" w:sz="8" w:space="0" w:color="auto"/>
              <w:bottom w:val="single" w:sz="8" w:space="0" w:color="000000"/>
              <w:right w:val="single" w:sz="8" w:space="0" w:color="auto"/>
            </w:tcBorders>
            <w:shd w:val="clear" w:color="auto" w:fill="FFFFFF" w:themeFill="background1"/>
            <w:vAlign w:val="center"/>
          </w:tcPr>
          <w:p w:rsidR="008A1380" w:rsidRPr="00FB73CD" w:rsidP="008A1380" w14:paraId="35164BFD" w14:textId="77777777">
            <w:pPr>
              <w:widowControl/>
              <w:autoSpaceDE/>
              <w:adjustRightInd/>
              <w:ind w:left="720"/>
              <w:jc w:val="center"/>
              <w:rPr>
                <w:rFonts w:ascii="Times New Roman" w:hAnsi="Times New Roman"/>
                <w:b/>
                <w:iCs/>
              </w:rPr>
            </w:pPr>
            <w:r w:rsidRPr="00FB73CD">
              <w:rPr>
                <w:rFonts w:ascii="Times New Roman" w:hAnsi="Times New Roman"/>
                <w:b/>
                <w:iCs/>
              </w:rPr>
              <w:t xml:space="preserve">Table 17: Estimated Annualized Respondent Hour Burden and Equivalent Cost of </w:t>
            </w:r>
          </w:p>
          <w:p w:rsidR="008A1380" w:rsidRPr="00FB73CD" w:rsidP="008A1380" w14:paraId="0CD607B3" w14:textId="4B037EA1">
            <w:pPr>
              <w:widowControl/>
              <w:autoSpaceDE/>
              <w:adjustRightInd/>
              <w:ind w:left="720"/>
              <w:jc w:val="center"/>
              <w:rPr>
                <w:rFonts w:ascii="Times New Roman" w:hAnsi="Times New Roman"/>
                <w:i/>
                <w:iCs/>
              </w:rPr>
            </w:pPr>
            <w:r w:rsidRPr="00FB73CD">
              <w:rPr>
                <w:rFonts w:ascii="Times New Roman" w:hAnsi="Times New Roman"/>
                <w:b/>
                <w:iCs/>
              </w:rPr>
              <w:t>Hour Burden</w:t>
            </w:r>
          </w:p>
        </w:tc>
      </w:tr>
      <w:tr w14:paraId="521008B3" w14:textId="77777777" w:rsidTr="00D45EDA">
        <w:tblPrEx>
          <w:tblW w:w="10748" w:type="dxa"/>
          <w:tblLayout w:type="fixed"/>
          <w:tblLook w:val="04A0"/>
        </w:tblPrEx>
        <w:trPr>
          <w:gridAfter w:val="1"/>
          <w:wAfter w:w="236" w:type="dxa"/>
          <w:trHeight w:val="523"/>
        </w:trPr>
        <w:tc>
          <w:tcPr>
            <w:tcW w:w="197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4D4C4284" w14:textId="77777777">
            <w:pPr>
              <w:widowControl/>
              <w:autoSpaceDE/>
              <w:autoSpaceDN/>
              <w:adjustRightInd/>
              <w:rPr>
                <w:rFonts w:ascii="Times New Roman" w:hAnsi="Times New Roman"/>
                <w:b/>
                <w:bCs/>
                <w:color w:val="000000"/>
                <w:sz w:val="20"/>
                <w:szCs w:val="20"/>
              </w:rPr>
            </w:pPr>
            <w:r w:rsidRPr="00494288">
              <w:rPr>
                <w:rFonts w:ascii="Times New Roman" w:hAnsi="Times New Roman"/>
                <w:b/>
                <w:bCs/>
                <w:color w:val="000000"/>
                <w:sz w:val="20"/>
                <w:szCs w:val="20"/>
              </w:rPr>
              <w:t>Activity</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01A09A39" w14:textId="395F6D03">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Number of Respondents</w:t>
            </w:r>
            <w:r w:rsidR="00D45EDA">
              <w:rPr>
                <w:rFonts w:ascii="Times New Roman" w:hAnsi="Times New Roman"/>
                <w:b/>
                <w:bCs/>
                <w:color w:val="000000"/>
                <w:sz w:val="20"/>
                <w:szCs w:val="20"/>
              </w:rPr>
              <w:t>*</w:t>
            </w:r>
          </w:p>
        </w:tc>
        <w:tc>
          <w:tcPr>
            <w:tcW w:w="1486"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09493A9A" w14:textId="37492787">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Number of Responses per Respondent</w:t>
            </w:r>
            <w:r w:rsidR="00D45EDA">
              <w:rPr>
                <w:rFonts w:ascii="Times New Roman" w:hAnsi="Times New Roman"/>
                <w:b/>
                <w:bCs/>
                <w:color w:val="000000"/>
                <w:sz w:val="20"/>
                <w:szCs w:val="20"/>
              </w:rPr>
              <w:t>**</w:t>
            </w:r>
          </w:p>
        </w:tc>
        <w:tc>
          <w:tcPr>
            <w:tcW w:w="1152"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5959DAC5" w14:textId="77777777">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Total Responses</w:t>
            </w:r>
          </w:p>
        </w:tc>
        <w:tc>
          <w:tcPr>
            <w:tcW w:w="1008"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672A9F14" w14:textId="77777777">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Average Burden (Hours)</w:t>
            </w:r>
          </w:p>
        </w:tc>
        <w:tc>
          <w:tcPr>
            <w:tcW w:w="1008"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6925ACD0" w14:textId="77777777">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Total Burden (Hours)</w:t>
            </w:r>
          </w:p>
        </w:tc>
        <w:tc>
          <w:tcPr>
            <w:tcW w:w="1008"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65638CA4" w14:textId="77777777">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Hourly Wage Rate</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FB73CD" w:rsidP="00494288" w14:paraId="37174AB1" w14:textId="77777777">
            <w:pPr>
              <w:widowControl/>
              <w:autoSpaceDE/>
              <w:autoSpaceDN/>
              <w:adjustRightInd/>
              <w:jc w:val="center"/>
              <w:rPr>
                <w:rFonts w:ascii="Times New Roman" w:hAnsi="Times New Roman"/>
                <w:b/>
                <w:bCs/>
                <w:color w:val="000000"/>
                <w:sz w:val="20"/>
                <w:szCs w:val="20"/>
              </w:rPr>
            </w:pPr>
            <w:r w:rsidRPr="00FB73CD">
              <w:rPr>
                <w:rFonts w:ascii="Times New Roman" w:hAnsi="Times New Roman"/>
                <w:b/>
                <w:bCs/>
                <w:color w:val="000000"/>
                <w:sz w:val="20"/>
                <w:szCs w:val="20"/>
              </w:rPr>
              <w:t>Equivalent Cost of Hour Burden</w:t>
            </w:r>
          </w:p>
        </w:tc>
      </w:tr>
      <w:tr w14:paraId="390F51C3" w14:textId="77777777" w:rsidTr="00D45EDA">
        <w:tblPrEx>
          <w:tblW w:w="10748" w:type="dxa"/>
          <w:tblLayout w:type="fixed"/>
          <w:tblLook w:val="04A0"/>
        </w:tblPrEx>
        <w:trPr>
          <w:trHeight w:val="523"/>
        </w:trPr>
        <w:tc>
          <w:tcPr>
            <w:tcW w:w="197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78D33906" w14:textId="77777777">
            <w:pPr>
              <w:widowControl/>
              <w:autoSpaceDE/>
              <w:autoSpaceDN/>
              <w:adjustRightInd/>
              <w:rPr>
                <w:rFonts w:ascii="Times New Roman" w:hAnsi="Times New Roman"/>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5A3F9623" w14:textId="77777777">
            <w:pPr>
              <w:widowControl/>
              <w:autoSpaceDE/>
              <w:autoSpaceDN/>
              <w:adjustRightInd/>
              <w:rPr>
                <w:rFonts w:ascii="Times New Roman" w:hAnsi="Times New Roman"/>
                <w:b/>
                <w:bCs/>
                <w:color w:val="000000"/>
                <w:sz w:val="20"/>
                <w:szCs w:val="20"/>
              </w:rPr>
            </w:pPr>
          </w:p>
        </w:tc>
        <w:tc>
          <w:tcPr>
            <w:tcW w:w="1486"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546F9966" w14:textId="77777777">
            <w:pPr>
              <w:widowControl/>
              <w:autoSpaceDE/>
              <w:autoSpaceDN/>
              <w:adjustRightInd/>
              <w:rPr>
                <w:rFonts w:ascii="Times New Roman" w:hAnsi="Times New Roman"/>
                <w:b/>
                <w:bCs/>
                <w:color w:val="000000"/>
                <w:sz w:val="20"/>
                <w:szCs w:val="20"/>
              </w:rPr>
            </w:pPr>
          </w:p>
        </w:tc>
        <w:tc>
          <w:tcPr>
            <w:tcW w:w="115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585CD258"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7BFE5035"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66580414"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59A152CC" w14:textId="77777777">
            <w:pPr>
              <w:widowControl/>
              <w:autoSpaceDE/>
              <w:autoSpaceDN/>
              <w:adjustRightInd/>
              <w:rPr>
                <w:rFonts w:ascii="Times New Roman" w:hAnsi="Times New Roman"/>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1CF24CA7" w14:textId="77777777">
            <w:pPr>
              <w:widowControl/>
              <w:autoSpaceDE/>
              <w:autoSpaceDN/>
              <w:adjustRightInd/>
              <w:rPr>
                <w:rFonts w:ascii="Times New Roman" w:hAnsi="Times New Roman"/>
                <w:b/>
                <w:bCs/>
                <w:color w:val="000000"/>
                <w:sz w:val="20"/>
                <w:szCs w:val="20"/>
              </w:rPr>
            </w:pPr>
          </w:p>
        </w:tc>
        <w:tc>
          <w:tcPr>
            <w:tcW w:w="236" w:type="dxa"/>
            <w:tcBorders>
              <w:top w:val="nil"/>
              <w:left w:val="nil"/>
              <w:bottom w:val="nil"/>
              <w:right w:val="nil"/>
            </w:tcBorders>
            <w:shd w:val="clear" w:color="auto" w:fill="auto"/>
            <w:noWrap/>
            <w:vAlign w:val="bottom"/>
            <w:hideMark/>
          </w:tcPr>
          <w:p w:rsidR="00494288" w:rsidRPr="00494288" w:rsidP="00494288" w14:paraId="167375C4" w14:textId="77777777">
            <w:pPr>
              <w:widowControl/>
              <w:autoSpaceDE/>
              <w:autoSpaceDN/>
              <w:adjustRightInd/>
              <w:jc w:val="center"/>
              <w:rPr>
                <w:rFonts w:ascii="Times New Roman" w:hAnsi="Times New Roman"/>
                <w:b/>
                <w:bCs/>
                <w:color w:val="000000"/>
                <w:sz w:val="20"/>
                <w:szCs w:val="20"/>
              </w:rPr>
            </w:pPr>
          </w:p>
        </w:tc>
      </w:tr>
      <w:tr w14:paraId="3359342F" w14:textId="77777777" w:rsidTr="00D45EDA">
        <w:tblPrEx>
          <w:tblW w:w="10748" w:type="dxa"/>
          <w:tblLayout w:type="fixed"/>
          <w:tblLook w:val="04A0"/>
        </w:tblPrEx>
        <w:trPr>
          <w:trHeight w:val="270"/>
        </w:trPr>
        <w:tc>
          <w:tcPr>
            <w:tcW w:w="197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63AA0EC8" w14:textId="77777777">
            <w:pPr>
              <w:widowControl/>
              <w:autoSpaceDE/>
              <w:autoSpaceDN/>
              <w:adjustRightInd/>
              <w:rPr>
                <w:rFonts w:ascii="Times New Roman" w:hAnsi="Times New Roman"/>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0E0607E5" w14:textId="77777777">
            <w:pPr>
              <w:widowControl/>
              <w:autoSpaceDE/>
              <w:autoSpaceDN/>
              <w:adjustRightInd/>
              <w:rPr>
                <w:rFonts w:ascii="Times New Roman" w:hAnsi="Times New Roman"/>
                <w:b/>
                <w:bCs/>
                <w:color w:val="000000"/>
                <w:sz w:val="20"/>
                <w:szCs w:val="20"/>
              </w:rPr>
            </w:pPr>
          </w:p>
        </w:tc>
        <w:tc>
          <w:tcPr>
            <w:tcW w:w="1486"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18698BA0" w14:textId="77777777">
            <w:pPr>
              <w:widowControl/>
              <w:autoSpaceDE/>
              <w:autoSpaceDN/>
              <w:adjustRightInd/>
              <w:rPr>
                <w:rFonts w:ascii="Times New Roman" w:hAnsi="Times New Roman"/>
                <w:b/>
                <w:bCs/>
                <w:color w:val="000000"/>
                <w:sz w:val="20"/>
                <w:szCs w:val="20"/>
              </w:rPr>
            </w:pPr>
          </w:p>
        </w:tc>
        <w:tc>
          <w:tcPr>
            <w:tcW w:w="1152"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241E2BC7"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3482430A"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0452B6FF" w14:textId="77777777">
            <w:pPr>
              <w:widowControl/>
              <w:autoSpaceDE/>
              <w:autoSpaceDN/>
              <w:adjustRightInd/>
              <w:rPr>
                <w:rFonts w:ascii="Times New Roman" w:hAnsi="Times New Roman"/>
                <w:b/>
                <w:bCs/>
                <w:color w:val="000000"/>
                <w:sz w:val="20"/>
                <w:szCs w:val="20"/>
              </w:rPr>
            </w:pPr>
          </w:p>
        </w:tc>
        <w:tc>
          <w:tcPr>
            <w:tcW w:w="1008"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7442F860" w14:textId="77777777">
            <w:pPr>
              <w:widowControl/>
              <w:autoSpaceDE/>
              <w:autoSpaceDN/>
              <w:adjustRightInd/>
              <w:rPr>
                <w:rFonts w:ascii="Times New Roman" w:hAnsi="Times New Roman"/>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94288" w:rsidRPr="00494288" w:rsidP="00494288" w14:paraId="483F6D5E" w14:textId="77777777">
            <w:pPr>
              <w:widowControl/>
              <w:autoSpaceDE/>
              <w:autoSpaceDN/>
              <w:adjustRightInd/>
              <w:rPr>
                <w:rFonts w:ascii="Times New Roman" w:hAnsi="Times New Roman"/>
                <w:b/>
                <w:bCs/>
                <w:color w:val="000000"/>
                <w:sz w:val="20"/>
                <w:szCs w:val="20"/>
              </w:rPr>
            </w:pPr>
          </w:p>
        </w:tc>
        <w:tc>
          <w:tcPr>
            <w:tcW w:w="236" w:type="dxa"/>
            <w:tcBorders>
              <w:top w:val="nil"/>
              <w:left w:val="nil"/>
              <w:bottom w:val="nil"/>
              <w:right w:val="nil"/>
            </w:tcBorders>
            <w:shd w:val="clear" w:color="auto" w:fill="auto"/>
            <w:noWrap/>
            <w:vAlign w:val="bottom"/>
            <w:hideMark/>
          </w:tcPr>
          <w:p w:rsidR="00494288" w:rsidRPr="00494288" w:rsidP="00494288" w14:paraId="4453779B" w14:textId="77777777">
            <w:pPr>
              <w:widowControl/>
              <w:autoSpaceDE/>
              <w:autoSpaceDN/>
              <w:adjustRightInd/>
              <w:rPr>
                <w:rFonts w:ascii="Times New Roman" w:hAnsi="Times New Roman"/>
                <w:sz w:val="20"/>
                <w:szCs w:val="20"/>
              </w:rPr>
            </w:pPr>
          </w:p>
        </w:tc>
      </w:tr>
      <w:tr w14:paraId="6D5442FB" w14:textId="77777777" w:rsidTr="00D45EDA">
        <w:tblPrEx>
          <w:tblW w:w="10748" w:type="dxa"/>
          <w:tblLayout w:type="fixed"/>
          <w:tblLook w:val="04A0"/>
        </w:tblPrEx>
        <w:trPr>
          <w:trHeight w:val="27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5D80EDE2" w14:textId="51F0CF6A">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Comply with current requirements of PTE 84-24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3632E18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3,006</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5901C2A4"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3.56</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3394F0E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10,710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73EBD51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2.22</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395BC70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23,793</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0EE227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1AAC21EB"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$3,771,700</w:t>
            </w:r>
          </w:p>
        </w:tc>
        <w:tc>
          <w:tcPr>
            <w:tcW w:w="236" w:type="dxa"/>
            <w:vAlign w:val="center"/>
            <w:hideMark/>
          </w:tcPr>
          <w:p w:rsidR="00494288" w:rsidRPr="00494288" w:rsidP="00494288" w14:paraId="589DF82E" w14:textId="77777777">
            <w:pPr>
              <w:widowControl/>
              <w:autoSpaceDE/>
              <w:autoSpaceDN/>
              <w:adjustRightInd/>
              <w:rPr>
                <w:rFonts w:ascii="Times New Roman" w:hAnsi="Times New Roman"/>
                <w:sz w:val="20"/>
                <w:szCs w:val="20"/>
              </w:rPr>
            </w:pPr>
          </w:p>
        </w:tc>
      </w:tr>
      <w:tr w14:paraId="34E67E21" w14:textId="77777777" w:rsidTr="00D45EDA">
        <w:tblPrEx>
          <w:tblW w:w="10748" w:type="dxa"/>
          <w:tblLayout w:type="fixed"/>
          <w:tblLook w:val="04A0"/>
        </w:tblPrEx>
        <w:trPr>
          <w:trHeight w:val="27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1DD7F76B" w14:textId="09F16E9E">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Prepare a written statement that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is fiduciary</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013B970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661E4C4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3361EE81"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415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F07A99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10/60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740136A7"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69</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D9AA51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60BC707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$11,021 </w:t>
            </w:r>
          </w:p>
        </w:tc>
        <w:tc>
          <w:tcPr>
            <w:tcW w:w="236" w:type="dxa"/>
            <w:vAlign w:val="center"/>
            <w:hideMark/>
          </w:tcPr>
          <w:p w:rsidR="00494288" w:rsidRPr="00494288" w:rsidP="00494288" w14:paraId="3832A074" w14:textId="77777777">
            <w:pPr>
              <w:widowControl/>
              <w:autoSpaceDE/>
              <w:autoSpaceDN/>
              <w:adjustRightInd/>
              <w:rPr>
                <w:rFonts w:ascii="Times New Roman" w:hAnsi="Times New Roman"/>
                <w:sz w:val="20"/>
                <w:szCs w:val="20"/>
              </w:rPr>
            </w:pPr>
          </w:p>
        </w:tc>
      </w:tr>
      <w:tr w14:paraId="6C7164BB" w14:textId="77777777" w:rsidTr="00D45EDA">
        <w:tblPrEx>
          <w:tblW w:w="10748" w:type="dxa"/>
          <w:tblLayout w:type="fixed"/>
          <w:tblLook w:val="04A0"/>
        </w:tblPrEx>
        <w:trPr>
          <w:trHeight w:val="53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500C3229" w14:textId="0E2D500F">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Prepare a written statement of the Best Interest Standard of </w:t>
            </w:r>
            <w:r w:rsidRPr="00494288">
              <w:rPr>
                <w:rFonts w:ascii="Times New Roman" w:hAnsi="Times New Roman"/>
                <w:color w:val="000000"/>
                <w:sz w:val="20"/>
                <w:szCs w:val="20"/>
              </w:rPr>
              <w:t xml:space="preserve">Care owed by the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to the retirement investor (first year)</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7EED231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6A68EFAA"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56BF4EC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415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043D47F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30/60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3DFD8566"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208</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1F3714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334D4E64"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$33,063 </w:t>
            </w:r>
          </w:p>
        </w:tc>
        <w:tc>
          <w:tcPr>
            <w:tcW w:w="236" w:type="dxa"/>
            <w:vAlign w:val="center"/>
            <w:hideMark/>
          </w:tcPr>
          <w:p w:rsidR="00494288" w:rsidRPr="00494288" w:rsidP="00494288" w14:paraId="37C52281" w14:textId="77777777">
            <w:pPr>
              <w:widowControl/>
              <w:autoSpaceDE/>
              <w:autoSpaceDN/>
              <w:adjustRightInd/>
              <w:rPr>
                <w:rFonts w:ascii="Times New Roman" w:hAnsi="Times New Roman"/>
                <w:sz w:val="20"/>
                <w:szCs w:val="20"/>
              </w:rPr>
            </w:pPr>
          </w:p>
        </w:tc>
      </w:tr>
      <w:tr w14:paraId="38855D34" w14:textId="77777777" w:rsidTr="00D45EDA">
        <w:tblPrEx>
          <w:tblW w:w="10748" w:type="dxa"/>
          <w:tblLayout w:type="fixed"/>
          <w:tblLook w:val="04A0"/>
        </w:tblPrEx>
        <w:trPr>
          <w:trHeight w:val="79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6AD99DBD" w14:textId="6EA97EB2">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Prepare a written description of the services provided by the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and the products the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is licensed and authorized to sell (first year)</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3985464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4,000</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48E62447"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400A95C1"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711FDE6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30/60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EA43F0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2E13DEEB"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4B5BA753"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$318,680 </w:t>
            </w:r>
          </w:p>
        </w:tc>
        <w:tc>
          <w:tcPr>
            <w:tcW w:w="236" w:type="dxa"/>
            <w:vAlign w:val="center"/>
            <w:hideMark/>
          </w:tcPr>
          <w:p w:rsidR="00494288" w:rsidRPr="00494288" w:rsidP="00494288" w14:paraId="162EFFB6" w14:textId="77777777">
            <w:pPr>
              <w:widowControl/>
              <w:autoSpaceDE/>
              <w:autoSpaceDN/>
              <w:adjustRightInd/>
              <w:rPr>
                <w:rFonts w:ascii="Times New Roman" w:hAnsi="Times New Roman"/>
                <w:sz w:val="20"/>
                <w:szCs w:val="20"/>
              </w:rPr>
            </w:pPr>
          </w:p>
        </w:tc>
      </w:tr>
      <w:tr w14:paraId="5083B5FF" w14:textId="77777777" w:rsidTr="00D45EDA">
        <w:tblPrEx>
          <w:tblW w:w="10748" w:type="dxa"/>
          <w:tblLayout w:type="fixed"/>
          <w:tblLook w:val="04A0"/>
        </w:tblPrEx>
        <w:trPr>
          <w:trHeight w:val="105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446994AB" w14:textId="62258CCF">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A written statement of the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’s material conflicts of interest, and the amount of the insurance commission that will be paid to the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in connection with the purchase by a retirement investor of the recommended annuity.</w:t>
            </w:r>
            <w:r w:rsidR="002024E6">
              <w:rPr>
                <w:rFonts w:ascii="Times New Roman" w:hAnsi="Times New Roman"/>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2179418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4,000</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43D4D1D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5682ABC6"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E04AB23"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426403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0A7B8556"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3FB6DC8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$637,360 </w:t>
            </w:r>
          </w:p>
        </w:tc>
        <w:tc>
          <w:tcPr>
            <w:tcW w:w="236" w:type="dxa"/>
            <w:vAlign w:val="center"/>
            <w:hideMark/>
          </w:tcPr>
          <w:p w:rsidR="00494288" w:rsidRPr="00494288" w:rsidP="00494288" w14:paraId="653802C8" w14:textId="77777777">
            <w:pPr>
              <w:widowControl/>
              <w:autoSpaceDE/>
              <w:autoSpaceDN/>
              <w:adjustRightInd/>
              <w:rPr>
                <w:rFonts w:ascii="Times New Roman" w:hAnsi="Times New Roman"/>
                <w:sz w:val="20"/>
                <w:szCs w:val="20"/>
              </w:rPr>
            </w:pPr>
          </w:p>
        </w:tc>
      </w:tr>
      <w:tr w14:paraId="6F52CD6B" w14:textId="77777777" w:rsidTr="00D45EDA">
        <w:tblPrEx>
          <w:tblW w:w="10748" w:type="dxa"/>
          <w:tblLayout w:type="fixed"/>
          <w:tblLook w:val="04A0"/>
        </w:tblPrEx>
        <w:trPr>
          <w:trHeight w:val="79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2B04D3FC"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Independent Producer considers and documents its conclusions as to whether a rollover is in the retirement investor’s best interest and provide that documentation to the retirement investor and financial institution</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734529E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52,449</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3F66A94A"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60795246"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52,449</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295631D4"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AC2692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52,449</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3F4906E3"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$158.94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6F9A06C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$8,336,244 </w:t>
            </w:r>
          </w:p>
        </w:tc>
        <w:tc>
          <w:tcPr>
            <w:tcW w:w="236" w:type="dxa"/>
            <w:vAlign w:val="center"/>
            <w:hideMark/>
          </w:tcPr>
          <w:p w:rsidR="00494288" w:rsidRPr="00494288" w:rsidP="00494288" w14:paraId="03022795" w14:textId="77777777">
            <w:pPr>
              <w:widowControl/>
              <w:autoSpaceDE/>
              <w:autoSpaceDN/>
              <w:adjustRightInd/>
              <w:rPr>
                <w:rFonts w:ascii="Times New Roman" w:hAnsi="Times New Roman"/>
                <w:sz w:val="20"/>
                <w:szCs w:val="20"/>
              </w:rPr>
            </w:pPr>
          </w:p>
        </w:tc>
      </w:tr>
      <w:tr w14:paraId="11425DF6" w14:textId="77777777" w:rsidTr="00D45EDA">
        <w:tblPrEx>
          <w:tblW w:w="10748" w:type="dxa"/>
          <w:tblLayout w:type="fixed"/>
          <w:tblLook w:val="04A0"/>
        </w:tblPrEx>
        <w:trPr>
          <w:trHeight w:val="27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36073A1F"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Provision of disclosures to retirement investors (first year)</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4E4D9211"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3,042</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10E9666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650B2BA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3,042</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7897820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76371B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254</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D0EAEBB"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675224A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$16,085 </w:t>
            </w:r>
          </w:p>
        </w:tc>
        <w:tc>
          <w:tcPr>
            <w:tcW w:w="236" w:type="dxa"/>
            <w:vAlign w:val="center"/>
            <w:hideMark/>
          </w:tcPr>
          <w:p w:rsidR="00494288" w:rsidRPr="00494288" w:rsidP="00494288" w14:paraId="55562504" w14:textId="77777777">
            <w:pPr>
              <w:widowControl/>
              <w:autoSpaceDE/>
              <w:autoSpaceDN/>
              <w:adjustRightInd/>
              <w:rPr>
                <w:rFonts w:ascii="Times New Roman" w:hAnsi="Times New Roman"/>
                <w:sz w:val="20"/>
                <w:szCs w:val="20"/>
              </w:rPr>
            </w:pPr>
          </w:p>
        </w:tc>
      </w:tr>
      <w:tr w14:paraId="1FD3C98F" w14:textId="77777777" w:rsidTr="00D45EDA">
        <w:tblPrEx>
          <w:tblW w:w="10748" w:type="dxa"/>
          <w:tblLayout w:type="fixed"/>
          <w:tblLook w:val="04A0"/>
        </w:tblPrEx>
        <w:trPr>
          <w:trHeight w:val="27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22DB849A"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Financial Institution conducts a retrospective review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5A7ACA2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33AB366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55.81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4A53ED2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12,000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0BCFCA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3D35819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12,000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8B8448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602AF43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$1,912,080 </w:t>
            </w:r>
          </w:p>
        </w:tc>
        <w:tc>
          <w:tcPr>
            <w:tcW w:w="236" w:type="dxa"/>
            <w:vAlign w:val="center"/>
            <w:hideMark/>
          </w:tcPr>
          <w:p w:rsidR="00494288" w:rsidRPr="00494288" w:rsidP="00494288" w14:paraId="6AE7F31D" w14:textId="77777777">
            <w:pPr>
              <w:widowControl/>
              <w:autoSpaceDE/>
              <w:autoSpaceDN/>
              <w:adjustRightInd/>
              <w:rPr>
                <w:rFonts w:ascii="Times New Roman" w:hAnsi="Times New Roman"/>
                <w:sz w:val="20"/>
                <w:szCs w:val="20"/>
              </w:rPr>
            </w:pPr>
          </w:p>
        </w:tc>
      </w:tr>
      <w:tr w14:paraId="2CF970F7" w14:textId="77777777" w:rsidTr="00D45EDA">
        <w:tblPrEx>
          <w:tblW w:w="10748" w:type="dxa"/>
          <w:tblLayout w:type="fixed"/>
          <w:tblLook w:val="04A0"/>
        </w:tblPrEx>
        <w:trPr>
          <w:trHeight w:val="53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7E1C5210"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Financial Institution annually provides a written report to a senior executive officer which details the review</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1F852C5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5303019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55.81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3561AF1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12,000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7F87C58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15/60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6B1854B"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3353390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$128.11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1ABFB6E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$384,330 </w:t>
            </w:r>
          </w:p>
        </w:tc>
        <w:tc>
          <w:tcPr>
            <w:tcW w:w="236" w:type="dxa"/>
            <w:vAlign w:val="center"/>
            <w:hideMark/>
          </w:tcPr>
          <w:p w:rsidR="00494288" w:rsidRPr="00494288" w:rsidP="00494288" w14:paraId="47D7C0D0" w14:textId="77777777">
            <w:pPr>
              <w:widowControl/>
              <w:autoSpaceDE/>
              <w:autoSpaceDN/>
              <w:adjustRightInd/>
              <w:rPr>
                <w:rFonts w:ascii="Times New Roman" w:hAnsi="Times New Roman"/>
                <w:sz w:val="20"/>
                <w:szCs w:val="20"/>
              </w:rPr>
            </w:pPr>
          </w:p>
        </w:tc>
      </w:tr>
      <w:tr w14:paraId="0A859971" w14:textId="77777777" w:rsidTr="00D45EDA">
        <w:tblPrEx>
          <w:tblW w:w="10748" w:type="dxa"/>
          <w:tblLayout w:type="fixed"/>
          <w:tblLook w:val="04A0"/>
        </w:tblPrEx>
        <w:trPr>
          <w:trHeight w:val="53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717CCEED" w14:textId="3BB8203C">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Financial Institution provides to the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the methodology and results of the retrospective review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5C1B582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2010B18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55.81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3B780D3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12,000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07A0E50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27E3D44"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000134B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$63.45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49512B1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$63,450 </w:t>
            </w:r>
          </w:p>
        </w:tc>
        <w:tc>
          <w:tcPr>
            <w:tcW w:w="236" w:type="dxa"/>
            <w:vAlign w:val="center"/>
            <w:hideMark/>
          </w:tcPr>
          <w:p w:rsidR="00494288" w:rsidRPr="00494288" w:rsidP="00494288" w14:paraId="49EF4243" w14:textId="77777777">
            <w:pPr>
              <w:widowControl/>
              <w:autoSpaceDE/>
              <w:autoSpaceDN/>
              <w:adjustRightInd/>
              <w:rPr>
                <w:rFonts w:ascii="Times New Roman" w:hAnsi="Times New Roman"/>
                <w:sz w:val="20"/>
                <w:szCs w:val="20"/>
              </w:rPr>
            </w:pPr>
          </w:p>
        </w:tc>
      </w:tr>
      <w:tr w14:paraId="3E660C01" w14:textId="77777777" w:rsidTr="00D45EDA">
        <w:tblPrEx>
          <w:tblW w:w="10748" w:type="dxa"/>
          <w:tblLayout w:type="fixed"/>
          <w:tblLook w:val="04A0"/>
        </w:tblPrEx>
        <w:trPr>
          <w:trHeight w:val="53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480D8E28"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Financial Institution establishes, maintains, and enforces written policies and procedures</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4B1374F7"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447AF8C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3CA7BED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0A512D4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5.88</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743ABBA"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1,265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2A1FE6B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24E30D1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$201,565 </w:t>
            </w:r>
          </w:p>
        </w:tc>
        <w:tc>
          <w:tcPr>
            <w:tcW w:w="236" w:type="dxa"/>
            <w:vAlign w:val="center"/>
            <w:hideMark/>
          </w:tcPr>
          <w:p w:rsidR="00494288" w:rsidRPr="00494288" w:rsidP="00494288" w14:paraId="357AFD6F" w14:textId="77777777">
            <w:pPr>
              <w:widowControl/>
              <w:autoSpaceDE/>
              <w:autoSpaceDN/>
              <w:adjustRightInd/>
              <w:rPr>
                <w:rFonts w:ascii="Times New Roman" w:hAnsi="Times New Roman"/>
                <w:sz w:val="20"/>
                <w:szCs w:val="20"/>
              </w:rPr>
            </w:pPr>
          </w:p>
        </w:tc>
      </w:tr>
      <w:tr w14:paraId="33358E8C" w14:textId="77777777" w:rsidTr="00D45EDA">
        <w:tblPrEx>
          <w:tblW w:w="10748" w:type="dxa"/>
          <w:tblLayout w:type="fixed"/>
          <w:tblLook w:val="04A0"/>
        </w:tblPrEx>
        <w:trPr>
          <w:trHeight w:val="27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6006EAE6"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Financial Institution must review its policies and procedures</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046E555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17CCD801"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2887595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215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B7AE9D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569E6B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430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2AC62127"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$159.34 </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0DF2A10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$68,516 </w:t>
            </w:r>
          </w:p>
        </w:tc>
        <w:tc>
          <w:tcPr>
            <w:tcW w:w="236" w:type="dxa"/>
            <w:vAlign w:val="center"/>
            <w:hideMark/>
          </w:tcPr>
          <w:p w:rsidR="00494288" w:rsidRPr="00494288" w:rsidP="00494288" w14:paraId="30172995" w14:textId="77777777">
            <w:pPr>
              <w:widowControl/>
              <w:autoSpaceDE/>
              <w:autoSpaceDN/>
              <w:adjustRightInd/>
              <w:rPr>
                <w:rFonts w:ascii="Times New Roman" w:hAnsi="Times New Roman"/>
                <w:sz w:val="20"/>
                <w:szCs w:val="20"/>
              </w:rPr>
            </w:pPr>
          </w:p>
        </w:tc>
      </w:tr>
      <w:tr w14:paraId="2F9FB614" w14:textId="77777777" w:rsidTr="00D45EDA">
        <w:tblPrEx>
          <w:tblW w:w="10748" w:type="dxa"/>
          <w:tblLayout w:type="fixed"/>
          <w:tblLook w:val="04A0"/>
        </w:tblPrEx>
        <w:trPr>
          <w:trHeight w:val="53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228BA0B9"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Financial Institutions must provide their complete policies and procedures to the Department within 10 business days of request (first year)</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61A1AB54"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1236925B"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5299628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166D5F3"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15/60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12AA87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0.5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C8E9BC1"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$63.45</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25F9F483"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$32</w:t>
            </w:r>
          </w:p>
        </w:tc>
        <w:tc>
          <w:tcPr>
            <w:tcW w:w="236" w:type="dxa"/>
            <w:vAlign w:val="center"/>
            <w:hideMark/>
          </w:tcPr>
          <w:p w:rsidR="00494288" w:rsidRPr="00494288" w:rsidP="00494288" w14:paraId="0125FE51" w14:textId="77777777">
            <w:pPr>
              <w:widowControl/>
              <w:autoSpaceDE/>
              <w:autoSpaceDN/>
              <w:adjustRightInd/>
              <w:rPr>
                <w:rFonts w:ascii="Times New Roman" w:hAnsi="Times New Roman"/>
                <w:sz w:val="20"/>
                <w:szCs w:val="20"/>
              </w:rPr>
            </w:pPr>
          </w:p>
        </w:tc>
      </w:tr>
      <w:tr w14:paraId="769A161B" w14:textId="77777777" w:rsidTr="00D45EDA">
        <w:tblPrEx>
          <w:tblW w:w="10748" w:type="dxa"/>
          <w:tblLayout w:type="fixed"/>
          <w:tblLook w:val="04A0"/>
        </w:tblPrEx>
        <w:trPr>
          <w:trHeight w:val="53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15769C92" w14:textId="77777777">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Financial Institutions must provide their complete policies and procedures to the Department within 10 business days of request (subsequent years)</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02615AA2"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6BDE9C8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5628CF6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76A9E3F4"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15/60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6E9B0EA9"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0.25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D8E4F8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$63.45</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678D915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$16</w:t>
            </w:r>
          </w:p>
        </w:tc>
        <w:tc>
          <w:tcPr>
            <w:tcW w:w="236" w:type="dxa"/>
            <w:vAlign w:val="center"/>
            <w:hideMark/>
          </w:tcPr>
          <w:p w:rsidR="00494288" w:rsidRPr="00494288" w:rsidP="00494288" w14:paraId="3D0D58EC" w14:textId="77777777">
            <w:pPr>
              <w:widowControl/>
              <w:autoSpaceDE/>
              <w:autoSpaceDN/>
              <w:adjustRightInd/>
              <w:rPr>
                <w:rFonts w:ascii="Times New Roman" w:hAnsi="Times New Roman"/>
                <w:sz w:val="20"/>
                <w:szCs w:val="20"/>
              </w:rPr>
            </w:pPr>
          </w:p>
        </w:tc>
      </w:tr>
      <w:tr w14:paraId="63A0F657" w14:textId="77777777" w:rsidTr="00D45EDA">
        <w:tblPrEx>
          <w:tblW w:w="10748" w:type="dxa"/>
          <w:tblLayout w:type="fixed"/>
          <w:tblLook w:val="04A0"/>
        </w:tblPrEx>
        <w:trPr>
          <w:trHeight w:val="79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165C9F67" w14:textId="21B95E9D">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Insurance agent or broker, pension consultant or investment company principal underwriter, and </w:t>
            </w:r>
            <w:r w:rsidR="00ED1A11">
              <w:rPr>
                <w:rFonts w:ascii="Times New Roman" w:hAnsi="Times New Roman"/>
                <w:color w:val="000000"/>
                <w:sz w:val="20"/>
                <w:szCs w:val="20"/>
              </w:rPr>
              <w:t xml:space="preserve">Independent </w:t>
            </w:r>
            <w:r w:rsidR="00ED1A11">
              <w:rPr>
                <w:rFonts w:ascii="Times New Roman" w:hAnsi="Times New Roman"/>
                <w:color w:val="000000"/>
                <w:sz w:val="20"/>
                <w:szCs w:val="20"/>
              </w:rPr>
              <w:t>Producer</w:t>
            </w:r>
            <w:r w:rsidRPr="00494288">
              <w:rPr>
                <w:rFonts w:ascii="Times New Roman" w:hAnsi="Times New Roman"/>
                <w:color w:val="000000"/>
                <w:sz w:val="20"/>
                <w:szCs w:val="20"/>
              </w:rPr>
              <w:t xml:space="preserve"> or financial institution maintain the records</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7A5BF793"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4,215</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3535B55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687ABD0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4,215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7B250AB"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ECD8086"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8,430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4CC84455"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39F25ECD"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$1,340,036 </w:t>
            </w:r>
          </w:p>
        </w:tc>
        <w:tc>
          <w:tcPr>
            <w:tcW w:w="236" w:type="dxa"/>
            <w:vAlign w:val="center"/>
            <w:hideMark/>
          </w:tcPr>
          <w:p w:rsidR="00494288" w:rsidRPr="00494288" w:rsidP="00494288" w14:paraId="222BA3DC" w14:textId="77777777">
            <w:pPr>
              <w:widowControl/>
              <w:autoSpaceDE/>
              <w:autoSpaceDN/>
              <w:adjustRightInd/>
              <w:rPr>
                <w:rFonts w:ascii="Times New Roman" w:hAnsi="Times New Roman"/>
                <w:sz w:val="20"/>
                <w:szCs w:val="20"/>
              </w:rPr>
            </w:pPr>
          </w:p>
        </w:tc>
      </w:tr>
      <w:tr w14:paraId="34444DB8" w14:textId="77777777" w:rsidTr="00D45EDA">
        <w:tblPrEx>
          <w:tblW w:w="10748" w:type="dxa"/>
          <w:tblLayout w:type="fixed"/>
          <w:tblLook w:val="04A0"/>
        </w:tblPrEx>
        <w:trPr>
          <w:trHeight w:val="790"/>
        </w:trPr>
        <w:tc>
          <w:tcPr>
            <w:tcW w:w="1970" w:type="dxa"/>
            <w:tcBorders>
              <w:top w:val="nil"/>
              <w:left w:val="single" w:sz="8" w:space="0" w:color="auto"/>
              <w:bottom w:val="single" w:sz="8" w:space="0" w:color="auto"/>
              <w:right w:val="single" w:sz="8" w:space="0" w:color="auto"/>
            </w:tcBorders>
            <w:shd w:val="clear" w:color="auto" w:fill="auto"/>
            <w:vAlign w:val="center"/>
            <w:hideMark/>
          </w:tcPr>
          <w:p w:rsidR="00494288" w:rsidRPr="00494288" w:rsidP="00494288" w14:paraId="6BD46788" w14:textId="5F6F6514">
            <w:pPr>
              <w:widowControl/>
              <w:autoSpaceDE/>
              <w:autoSpaceDN/>
              <w:adjustRightInd/>
              <w:rPr>
                <w:rFonts w:ascii="Times New Roman" w:hAnsi="Times New Roman"/>
                <w:color w:val="000000"/>
                <w:sz w:val="20"/>
                <w:szCs w:val="20"/>
              </w:rPr>
            </w:pPr>
            <w:r w:rsidRPr="00494288">
              <w:rPr>
                <w:rFonts w:ascii="Times New Roman" w:hAnsi="Times New Roman"/>
                <w:color w:val="000000"/>
                <w:sz w:val="20"/>
                <w:szCs w:val="20"/>
              </w:rPr>
              <w:t xml:space="preserve">Insurance agent or broker, pension consultant or investment company principal underwriter, and </w:t>
            </w:r>
            <w:r w:rsidR="00ED1A11">
              <w:rPr>
                <w:rFonts w:ascii="Times New Roman" w:hAnsi="Times New Roman"/>
                <w:color w:val="000000"/>
                <w:sz w:val="20"/>
                <w:szCs w:val="20"/>
              </w:rPr>
              <w:t>Independent Producer</w:t>
            </w:r>
            <w:r w:rsidRPr="00494288">
              <w:rPr>
                <w:rFonts w:ascii="Times New Roman" w:hAnsi="Times New Roman"/>
                <w:color w:val="000000"/>
                <w:sz w:val="20"/>
                <w:szCs w:val="20"/>
              </w:rPr>
              <w:t xml:space="preserve"> or financial institution distribute records on request</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4E94CDCF"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5,246</w:t>
            </w:r>
          </w:p>
        </w:tc>
        <w:tc>
          <w:tcPr>
            <w:tcW w:w="1486" w:type="dxa"/>
            <w:tcBorders>
              <w:top w:val="nil"/>
              <w:left w:val="nil"/>
              <w:bottom w:val="single" w:sz="8" w:space="0" w:color="auto"/>
              <w:right w:val="single" w:sz="8" w:space="0" w:color="auto"/>
            </w:tcBorders>
            <w:shd w:val="clear" w:color="auto" w:fill="auto"/>
            <w:vAlign w:val="center"/>
            <w:hideMark/>
          </w:tcPr>
          <w:p w:rsidR="00494288" w:rsidRPr="00494288" w:rsidP="00494288" w14:paraId="3DA84C5A"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8</w:t>
            </w:r>
          </w:p>
        </w:tc>
        <w:tc>
          <w:tcPr>
            <w:tcW w:w="1152" w:type="dxa"/>
            <w:tcBorders>
              <w:top w:val="nil"/>
              <w:left w:val="nil"/>
              <w:bottom w:val="single" w:sz="8" w:space="0" w:color="auto"/>
              <w:right w:val="single" w:sz="8" w:space="0" w:color="auto"/>
            </w:tcBorders>
            <w:shd w:val="clear" w:color="auto" w:fill="auto"/>
            <w:vAlign w:val="center"/>
            <w:hideMark/>
          </w:tcPr>
          <w:p w:rsidR="00494288" w:rsidRPr="00494288" w:rsidP="00494288" w14:paraId="7C85DD7A"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40,000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368E87C8"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0.5</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4FBE43E"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20,000</w:t>
            </w:r>
          </w:p>
        </w:tc>
        <w:tc>
          <w:tcPr>
            <w:tcW w:w="1008" w:type="dxa"/>
            <w:tcBorders>
              <w:top w:val="nil"/>
              <w:left w:val="nil"/>
              <w:bottom w:val="single" w:sz="8" w:space="0" w:color="auto"/>
              <w:right w:val="single" w:sz="8" w:space="0" w:color="auto"/>
            </w:tcBorders>
            <w:shd w:val="clear" w:color="auto" w:fill="auto"/>
            <w:vAlign w:val="center"/>
            <w:hideMark/>
          </w:tcPr>
          <w:p w:rsidR="00494288" w:rsidRPr="00494288" w:rsidP="00494288" w14:paraId="1E6FD72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$159.34</w:t>
            </w:r>
          </w:p>
        </w:tc>
        <w:tc>
          <w:tcPr>
            <w:tcW w:w="1440" w:type="dxa"/>
            <w:tcBorders>
              <w:top w:val="nil"/>
              <w:left w:val="nil"/>
              <w:bottom w:val="single" w:sz="8" w:space="0" w:color="auto"/>
              <w:right w:val="single" w:sz="8" w:space="0" w:color="auto"/>
            </w:tcBorders>
            <w:shd w:val="clear" w:color="auto" w:fill="auto"/>
            <w:vAlign w:val="center"/>
            <w:hideMark/>
          </w:tcPr>
          <w:p w:rsidR="00494288" w:rsidRPr="00494288" w:rsidP="00494288" w14:paraId="439E72C0"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 xml:space="preserve">$3,178,800 </w:t>
            </w:r>
          </w:p>
        </w:tc>
        <w:tc>
          <w:tcPr>
            <w:tcW w:w="236" w:type="dxa"/>
            <w:vAlign w:val="center"/>
            <w:hideMark/>
          </w:tcPr>
          <w:p w:rsidR="00494288" w:rsidRPr="00494288" w:rsidP="00494288" w14:paraId="30A4F955" w14:textId="77777777">
            <w:pPr>
              <w:widowControl/>
              <w:autoSpaceDE/>
              <w:autoSpaceDN/>
              <w:adjustRightInd/>
              <w:rPr>
                <w:rFonts w:ascii="Times New Roman" w:hAnsi="Times New Roman"/>
                <w:sz w:val="20"/>
                <w:szCs w:val="20"/>
              </w:rPr>
            </w:pPr>
          </w:p>
        </w:tc>
      </w:tr>
      <w:tr w14:paraId="6A5FA1A3" w14:textId="77777777" w:rsidTr="00D45EDA">
        <w:tblPrEx>
          <w:tblW w:w="10748" w:type="dxa"/>
          <w:tblLayout w:type="fixed"/>
          <w:tblLook w:val="04A0"/>
        </w:tblPrEx>
        <w:trPr>
          <w:trHeight w:val="270"/>
        </w:trPr>
        <w:tc>
          <w:tcPr>
            <w:tcW w:w="1970" w:type="dxa"/>
            <w:tcBorders>
              <w:top w:val="nil"/>
              <w:left w:val="single" w:sz="8" w:space="0" w:color="auto"/>
              <w:bottom w:val="single" w:sz="8" w:space="0" w:color="auto"/>
              <w:right w:val="single" w:sz="8" w:space="0" w:color="auto"/>
            </w:tcBorders>
            <w:shd w:val="clear" w:color="auto" w:fill="FFFFFF" w:themeFill="background1"/>
            <w:vAlign w:val="center"/>
            <w:hideMark/>
          </w:tcPr>
          <w:p w:rsidR="00494288" w:rsidRPr="00086922" w:rsidP="00494288" w14:paraId="0076CD2A" w14:textId="1969AA9D">
            <w:pPr>
              <w:widowControl/>
              <w:autoSpaceDE/>
              <w:autoSpaceDN/>
              <w:adjustRightInd/>
              <w:rPr>
                <w:rFonts w:ascii="Times New Roman" w:hAnsi="Times New Roman"/>
                <w:b/>
                <w:bCs/>
                <w:color w:val="000000"/>
                <w:sz w:val="20"/>
                <w:szCs w:val="20"/>
              </w:rPr>
            </w:pPr>
            <w:r w:rsidRPr="00086922">
              <w:rPr>
                <w:rFonts w:ascii="Times New Roman" w:hAnsi="Times New Roman"/>
                <w:b/>
                <w:bCs/>
                <w:color w:val="000000"/>
                <w:sz w:val="20"/>
                <w:szCs w:val="20"/>
              </w:rPr>
              <w:t>Total</w:t>
            </w:r>
            <w:r w:rsidRPr="00086922" w:rsidR="001C3664">
              <w:rPr>
                <w:rFonts w:ascii="Times New Roman" w:hAnsi="Times New Roman"/>
                <w:b/>
                <w:bCs/>
                <w:color w:val="000000"/>
                <w:sz w:val="20"/>
                <w:szCs w:val="20"/>
              </w:rPr>
              <w:t xml:space="preserve"> (Three-Year </w:t>
            </w:r>
            <w:r w:rsidRPr="00086922" w:rsidR="00086922">
              <w:rPr>
                <w:rFonts w:ascii="Times New Roman" w:hAnsi="Times New Roman"/>
                <w:b/>
                <w:bCs/>
                <w:color w:val="000000"/>
                <w:sz w:val="20"/>
                <w:szCs w:val="20"/>
              </w:rPr>
              <w:t>Average) ***</w:t>
            </w:r>
          </w:p>
        </w:tc>
        <w:tc>
          <w:tcPr>
            <w:tcW w:w="1440" w:type="dxa"/>
            <w:tcBorders>
              <w:top w:val="nil"/>
              <w:left w:val="nil"/>
              <w:bottom w:val="single" w:sz="8" w:space="0" w:color="auto"/>
              <w:right w:val="single" w:sz="8" w:space="0" w:color="auto"/>
            </w:tcBorders>
            <w:shd w:val="clear" w:color="auto" w:fill="FFFFFF" w:themeFill="background1"/>
            <w:vAlign w:val="center"/>
            <w:hideMark/>
          </w:tcPr>
          <w:p w:rsidR="00494288" w:rsidRPr="00494288" w:rsidP="00494288" w14:paraId="68A9678C"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7,221</w:t>
            </w:r>
          </w:p>
        </w:tc>
        <w:tc>
          <w:tcPr>
            <w:tcW w:w="1486" w:type="dxa"/>
            <w:tcBorders>
              <w:top w:val="nil"/>
              <w:left w:val="nil"/>
              <w:bottom w:val="single" w:sz="8" w:space="0" w:color="auto"/>
              <w:right w:val="single" w:sz="8" w:space="0" w:color="auto"/>
            </w:tcBorders>
            <w:shd w:val="clear" w:color="auto" w:fill="FFFFFF" w:themeFill="background1"/>
            <w:vAlign w:val="center"/>
            <w:hideMark/>
          </w:tcPr>
          <w:p w:rsidR="00494288" w:rsidRPr="00494288" w:rsidP="00494288" w14:paraId="45F654E7" w14:textId="77777777">
            <w:pPr>
              <w:widowControl/>
              <w:autoSpaceDE/>
              <w:autoSpaceDN/>
              <w:adjustRightInd/>
              <w:jc w:val="center"/>
              <w:rPr>
                <w:rFonts w:ascii="Times New Roman" w:hAnsi="Times New Roman"/>
                <w:color w:val="000000"/>
                <w:sz w:val="20"/>
                <w:szCs w:val="20"/>
              </w:rPr>
            </w:pPr>
            <w:r w:rsidRPr="00494288">
              <w:rPr>
                <w:rFonts w:ascii="Times New Roman" w:hAnsi="Times New Roman"/>
                <w:color w:val="000000"/>
                <w:sz w:val="20"/>
                <w:szCs w:val="20"/>
              </w:rPr>
              <w:t>16.53</w:t>
            </w:r>
          </w:p>
        </w:tc>
        <w:tc>
          <w:tcPr>
            <w:tcW w:w="1152" w:type="dxa"/>
            <w:tcBorders>
              <w:top w:val="nil"/>
              <w:left w:val="nil"/>
              <w:bottom w:val="single" w:sz="8" w:space="0" w:color="auto"/>
              <w:right w:val="single" w:sz="8" w:space="0" w:color="auto"/>
            </w:tcBorders>
            <w:shd w:val="clear" w:color="auto" w:fill="FFFFFF" w:themeFill="background1"/>
            <w:vAlign w:val="center"/>
            <w:hideMark/>
          </w:tcPr>
          <w:p w:rsidR="00494288" w:rsidRPr="0008147F" w:rsidP="00494288" w14:paraId="16240E91" w14:textId="77777777">
            <w:pPr>
              <w:widowControl/>
              <w:autoSpaceDE/>
              <w:autoSpaceDN/>
              <w:adjustRightInd/>
              <w:jc w:val="center"/>
              <w:rPr>
                <w:rFonts w:ascii="Times New Roman" w:hAnsi="Times New Roman"/>
                <w:color w:val="000000"/>
                <w:sz w:val="20"/>
                <w:szCs w:val="20"/>
              </w:rPr>
            </w:pPr>
            <w:r w:rsidRPr="0008147F">
              <w:rPr>
                <w:rFonts w:ascii="Times New Roman" w:hAnsi="Times New Roman"/>
                <w:color w:val="000000"/>
                <w:sz w:val="20"/>
                <w:szCs w:val="20"/>
              </w:rPr>
              <w:t>119,376</w:t>
            </w:r>
          </w:p>
        </w:tc>
        <w:tc>
          <w:tcPr>
            <w:tcW w:w="1008" w:type="dxa"/>
            <w:tcBorders>
              <w:top w:val="nil"/>
              <w:left w:val="nil"/>
              <w:bottom w:val="single" w:sz="8" w:space="0" w:color="auto"/>
              <w:right w:val="single" w:sz="8" w:space="0" w:color="auto"/>
            </w:tcBorders>
            <w:shd w:val="clear" w:color="auto" w:fill="000000" w:themeFill="text1"/>
            <w:vAlign w:val="center"/>
            <w:hideMark/>
          </w:tcPr>
          <w:p w:rsidR="00494288" w:rsidRPr="0008147F" w:rsidP="00494288" w14:paraId="004F92B1" w14:textId="77777777">
            <w:pPr>
              <w:widowControl/>
              <w:autoSpaceDE/>
              <w:autoSpaceDN/>
              <w:adjustRightInd/>
              <w:jc w:val="center"/>
              <w:rPr>
                <w:rFonts w:ascii="Times New Roman" w:hAnsi="Times New Roman"/>
                <w:color w:val="000000"/>
                <w:sz w:val="20"/>
                <w:szCs w:val="20"/>
              </w:rPr>
            </w:pPr>
            <w:r w:rsidRPr="0008147F">
              <w:rPr>
                <w:rFonts w:ascii="Times New Roman" w:hAnsi="Times New Roman"/>
                <w:color w:val="000000"/>
                <w:sz w:val="20"/>
                <w:szCs w:val="20"/>
              </w:rPr>
              <w:t> </w:t>
            </w:r>
          </w:p>
        </w:tc>
        <w:tc>
          <w:tcPr>
            <w:tcW w:w="1008" w:type="dxa"/>
            <w:tcBorders>
              <w:top w:val="nil"/>
              <w:left w:val="nil"/>
              <w:bottom w:val="single" w:sz="8" w:space="0" w:color="auto"/>
              <w:right w:val="single" w:sz="8" w:space="0" w:color="auto"/>
            </w:tcBorders>
            <w:shd w:val="clear" w:color="auto" w:fill="FFFFFF" w:themeFill="background1"/>
            <w:vAlign w:val="center"/>
            <w:hideMark/>
          </w:tcPr>
          <w:p w:rsidR="00494288" w:rsidRPr="0008147F" w:rsidP="00494288" w14:paraId="07BB44C1" w14:textId="77777777">
            <w:pPr>
              <w:widowControl/>
              <w:autoSpaceDE/>
              <w:autoSpaceDN/>
              <w:adjustRightInd/>
              <w:jc w:val="center"/>
              <w:rPr>
                <w:rFonts w:ascii="Times New Roman" w:hAnsi="Times New Roman"/>
                <w:color w:val="000000"/>
                <w:sz w:val="20"/>
                <w:szCs w:val="20"/>
              </w:rPr>
            </w:pPr>
            <w:r w:rsidRPr="0008147F">
              <w:rPr>
                <w:rFonts w:ascii="Times New Roman" w:hAnsi="Times New Roman"/>
                <w:color w:val="000000"/>
                <w:sz w:val="20"/>
                <w:szCs w:val="20"/>
              </w:rPr>
              <w:t>123,726</w:t>
            </w:r>
          </w:p>
        </w:tc>
        <w:tc>
          <w:tcPr>
            <w:tcW w:w="1008" w:type="dxa"/>
            <w:tcBorders>
              <w:top w:val="nil"/>
              <w:left w:val="nil"/>
              <w:bottom w:val="single" w:sz="8" w:space="0" w:color="auto"/>
              <w:right w:val="single" w:sz="8" w:space="0" w:color="auto"/>
            </w:tcBorders>
            <w:shd w:val="clear" w:color="auto" w:fill="000000" w:themeFill="text1"/>
            <w:vAlign w:val="center"/>
            <w:hideMark/>
          </w:tcPr>
          <w:p w:rsidR="00494288" w:rsidRPr="0008147F" w:rsidP="00494288" w14:paraId="36495949" w14:textId="77777777">
            <w:pPr>
              <w:widowControl/>
              <w:autoSpaceDE/>
              <w:autoSpaceDN/>
              <w:adjustRightInd/>
              <w:jc w:val="center"/>
              <w:rPr>
                <w:rFonts w:ascii="Times New Roman" w:hAnsi="Times New Roman"/>
                <w:color w:val="000000"/>
                <w:sz w:val="20"/>
                <w:szCs w:val="20"/>
              </w:rPr>
            </w:pPr>
            <w:r w:rsidRPr="0008147F">
              <w:rPr>
                <w:rFonts w:ascii="Times New Roman" w:hAnsi="Times New Roman"/>
                <w:color w:val="000000"/>
                <w:sz w:val="20"/>
                <w:szCs w:val="20"/>
              </w:rPr>
              <w:t> </w:t>
            </w:r>
          </w:p>
        </w:tc>
        <w:tc>
          <w:tcPr>
            <w:tcW w:w="1440" w:type="dxa"/>
            <w:tcBorders>
              <w:top w:val="nil"/>
              <w:left w:val="nil"/>
              <w:bottom w:val="single" w:sz="8" w:space="0" w:color="auto"/>
              <w:right w:val="single" w:sz="8" w:space="0" w:color="auto"/>
            </w:tcBorders>
            <w:shd w:val="clear" w:color="auto" w:fill="FFFFFF" w:themeFill="background1"/>
            <w:vAlign w:val="center"/>
            <w:hideMark/>
          </w:tcPr>
          <w:p w:rsidR="00494288" w:rsidRPr="0008147F" w:rsidP="00494288" w14:paraId="36F31E14" w14:textId="77777777">
            <w:pPr>
              <w:widowControl/>
              <w:autoSpaceDE/>
              <w:autoSpaceDN/>
              <w:adjustRightInd/>
              <w:jc w:val="center"/>
              <w:rPr>
                <w:rFonts w:ascii="Times New Roman" w:hAnsi="Times New Roman"/>
                <w:color w:val="000000"/>
                <w:sz w:val="20"/>
                <w:szCs w:val="20"/>
              </w:rPr>
            </w:pPr>
            <w:r w:rsidRPr="0008147F">
              <w:rPr>
                <w:rFonts w:ascii="Times New Roman" w:hAnsi="Times New Roman"/>
                <w:color w:val="000000"/>
                <w:sz w:val="20"/>
                <w:szCs w:val="20"/>
              </w:rPr>
              <w:t xml:space="preserve">$19,448,986 </w:t>
            </w:r>
          </w:p>
        </w:tc>
        <w:tc>
          <w:tcPr>
            <w:tcW w:w="236" w:type="dxa"/>
            <w:vAlign w:val="center"/>
            <w:hideMark/>
          </w:tcPr>
          <w:p w:rsidR="00494288" w:rsidRPr="00494288" w:rsidP="00494288" w14:paraId="27D5A448" w14:textId="77777777">
            <w:pPr>
              <w:widowControl/>
              <w:autoSpaceDE/>
              <w:autoSpaceDN/>
              <w:adjustRightInd/>
              <w:rPr>
                <w:rFonts w:ascii="Times New Roman" w:hAnsi="Times New Roman"/>
                <w:sz w:val="20"/>
                <w:szCs w:val="20"/>
              </w:rPr>
            </w:pPr>
          </w:p>
        </w:tc>
      </w:tr>
    </w:tbl>
    <w:p w:rsidR="00D45EDA" w:rsidP="00F01849" w14:paraId="07941D59" w14:textId="77777777">
      <w:pPr>
        <w:widowControl/>
        <w:autoSpaceDE/>
        <w:adjustRightInd/>
        <w:rPr>
          <w:rFonts w:ascii="Times New Roman" w:hAnsi="Times New Roman"/>
          <w:iCs/>
          <w:sz w:val="22"/>
          <w:szCs w:val="22"/>
        </w:rPr>
      </w:pPr>
      <w:r w:rsidRPr="00675971">
        <w:rPr>
          <w:rFonts w:ascii="Times New Roman" w:hAnsi="Times New Roman"/>
          <w:iCs/>
          <w:sz w:val="22"/>
          <w:szCs w:val="22"/>
        </w:rPr>
        <w:t xml:space="preserve">Note: </w:t>
      </w:r>
    </w:p>
    <w:p w:rsidR="004F28E1" w:rsidP="00F01849" w14:paraId="4E349521" w14:textId="58368385">
      <w:pPr>
        <w:widowControl/>
        <w:autoSpaceDE/>
        <w:adjustRightInd/>
        <w:rPr>
          <w:rFonts w:ascii="Times New Roman" w:hAnsi="Times New Roman"/>
          <w:iCs/>
          <w:sz w:val="22"/>
          <w:szCs w:val="22"/>
        </w:rPr>
      </w:pPr>
      <w:r>
        <w:rPr>
          <w:rFonts w:ascii="Times New Roman" w:hAnsi="Times New Roman"/>
          <w:iCs/>
          <w:sz w:val="22"/>
          <w:szCs w:val="22"/>
        </w:rPr>
        <w:t>*</w:t>
      </w:r>
      <w:r w:rsidRPr="00675971">
        <w:rPr>
          <w:rFonts w:ascii="Times New Roman" w:hAnsi="Times New Roman"/>
          <w:iCs/>
          <w:sz w:val="22"/>
          <w:szCs w:val="22"/>
        </w:rPr>
        <w:t xml:space="preserve">The total number of respondents is calculated in the following manner: 3,006 (existing requirements of PTE 84-24) + 4,215 (Amendments to PTE 84-24) = 7,221. </w:t>
      </w:r>
    </w:p>
    <w:p w:rsidR="00D45EDA" w:rsidP="00F01849" w14:paraId="166542B5" w14:textId="1E81D052">
      <w:pPr>
        <w:widowControl/>
        <w:autoSpaceDE/>
        <w:adjustRightInd/>
        <w:rPr>
          <w:rFonts w:ascii="Times New Roman" w:hAnsi="Times New Roman"/>
          <w:iCs/>
          <w:sz w:val="22"/>
          <w:szCs w:val="22"/>
        </w:rPr>
      </w:pPr>
      <w:r>
        <w:rPr>
          <w:rFonts w:ascii="Times New Roman" w:hAnsi="Times New Roman"/>
          <w:iCs/>
          <w:sz w:val="22"/>
          <w:szCs w:val="22"/>
        </w:rPr>
        <w:t>*</w:t>
      </w:r>
      <w:r w:rsidR="001C3664">
        <w:rPr>
          <w:rFonts w:ascii="Times New Roman" w:hAnsi="Times New Roman"/>
          <w:iCs/>
          <w:sz w:val="22"/>
          <w:szCs w:val="22"/>
        </w:rPr>
        <w:t>*</w:t>
      </w:r>
      <w:r w:rsidRPr="00290773" w:rsidR="00290773">
        <w:rPr>
          <w:rFonts w:ascii="Times New Roman" w:hAnsi="Times New Roman"/>
          <w:iCs/>
        </w:rPr>
        <w:t xml:space="preserve"> </w:t>
      </w:r>
      <w:r w:rsidRPr="00290773" w:rsidR="00290773">
        <w:rPr>
          <w:rFonts w:ascii="Times New Roman" w:hAnsi="Times New Roman"/>
          <w:iCs/>
          <w:sz w:val="22"/>
          <w:szCs w:val="22"/>
        </w:rPr>
        <w:t>The number of responses per respondent has been rounded to the hundredth digit.</w:t>
      </w:r>
    </w:p>
    <w:p w:rsidR="004F28E1" w:rsidP="00F10869" w14:paraId="01DEA9FC" w14:textId="17BEF2DA">
      <w:pPr>
        <w:widowControl/>
        <w:autoSpaceDE/>
        <w:adjustRightInd/>
        <w:rPr>
          <w:rFonts w:ascii="Times New Roman" w:hAnsi="Times New Roman"/>
          <w:iCs/>
          <w:sz w:val="22"/>
          <w:szCs w:val="22"/>
        </w:rPr>
      </w:pPr>
      <w:r>
        <w:rPr>
          <w:rFonts w:ascii="Times New Roman" w:hAnsi="Times New Roman"/>
          <w:iCs/>
          <w:sz w:val="22"/>
          <w:szCs w:val="22"/>
        </w:rPr>
        <w:t>***</w:t>
      </w:r>
      <w:r w:rsidRPr="004539A1" w:rsidR="004539A1">
        <w:rPr>
          <w:rFonts w:ascii="Times New Roman" w:hAnsi="Times New Roman"/>
          <w:iCs/>
          <w:sz w:val="22"/>
          <w:szCs w:val="22"/>
        </w:rPr>
        <w:t xml:space="preserve">The three-year average burden has been reported. </w:t>
      </w:r>
      <w:r w:rsidR="00F10869">
        <w:rPr>
          <w:rFonts w:ascii="Times New Roman" w:hAnsi="Times New Roman"/>
          <w:iCs/>
          <w:sz w:val="22"/>
          <w:szCs w:val="22"/>
        </w:rPr>
        <w:t>T</w:t>
      </w:r>
      <w:r w:rsidR="002B6EA3">
        <w:rPr>
          <w:rFonts w:ascii="Times New Roman" w:hAnsi="Times New Roman"/>
          <w:iCs/>
          <w:sz w:val="22"/>
          <w:szCs w:val="22"/>
        </w:rPr>
        <w:t xml:space="preserve">here </w:t>
      </w:r>
      <w:r w:rsidRPr="001015E2" w:rsidR="001015E2">
        <w:rPr>
          <w:rFonts w:ascii="Times New Roman" w:hAnsi="Times New Roman"/>
          <w:iCs/>
          <w:sz w:val="22"/>
          <w:szCs w:val="22"/>
        </w:rPr>
        <w:t>are some activities which are incurred only in the first year.</w:t>
      </w:r>
    </w:p>
    <w:p w:rsidR="00F10869" w:rsidP="00F10869" w14:paraId="5A12482C" w14:textId="77777777">
      <w:pPr>
        <w:widowControl/>
        <w:autoSpaceDE/>
        <w:adjustRightInd/>
        <w:rPr>
          <w:rFonts w:ascii="Times New Roman" w:hAnsi="Times New Roman"/>
          <w:iCs/>
        </w:rPr>
      </w:pPr>
    </w:p>
    <w:p w:rsidR="00A36FAF" w:rsidRPr="00945117" w:rsidP="00FD2810" w14:paraId="4BD8896D" w14:textId="34126630">
      <w:pPr>
        <w:pStyle w:val="Style1"/>
      </w:pPr>
      <w:r w:rsidRPr="00945117">
        <w:t>Provide an estimate of the total annual cost burden to respondents or recordkeepers resulting from the collection of information.</w:t>
      </w:r>
      <w:r w:rsidR="002024E6">
        <w:t xml:space="preserve"> </w:t>
      </w:r>
      <w:r w:rsidRPr="00945117">
        <w:t>(Do not include the cost of any hour burden shown in Items 12 or 14).</w:t>
      </w:r>
    </w:p>
    <w:p w:rsidR="0065485A" w:rsidRPr="00530597" w:rsidP="00945117" w14:paraId="01888FFF" w14:textId="50B54531">
      <w:pPr>
        <w:contextualSpacing/>
        <w:rPr>
          <w:rFonts w:ascii="Times New Roman" w:hAnsi="Times New Roman"/>
        </w:rPr>
      </w:pPr>
    </w:p>
    <w:p w:rsidR="002431C0" w:rsidRPr="00530597" w:rsidP="006627A7" w14:paraId="2412D7CC" w14:textId="7888BB17">
      <w:pPr>
        <w:ind w:left="720"/>
        <w:contextualSpacing/>
        <w:rPr>
          <w:rFonts w:ascii="Times New Roman" w:hAnsi="Times New Roman"/>
        </w:rPr>
      </w:pPr>
      <w:r w:rsidRPr="00530597">
        <w:rPr>
          <w:rFonts w:ascii="Times New Roman" w:hAnsi="Times New Roman"/>
        </w:rPr>
        <w:t>The cost burden that is associated with complying with these ICRs is discussed below.</w:t>
      </w:r>
      <w:r w:rsidR="002024E6">
        <w:rPr>
          <w:rFonts w:ascii="Times New Roman" w:hAnsi="Times New Roman"/>
        </w:rPr>
        <w:t xml:space="preserve"> </w:t>
      </w:r>
      <w:r w:rsidRPr="00530597">
        <w:rPr>
          <w:rFonts w:ascii="Times New Roman" w:hAnsi="Times New Roman"/>
        </w:rPr>
        <w:t>These estimates are in addition to the hour burden estimates discussed in item 12.</w:t>
      </w:r>
    </w:p>
    <w:p w:rsidR="00363259" w:rsidP="00363259" w14:paraId="05C9ACD2" w14:textId="77777777">
      <w:pPr>
        <w:ind w:left="720"/>
        <w:rPr>
          <w:rFonts w:ascii="Times New Roman" w:hAnsi="Times New Roman"/>
        </w:rPr>
      </w:pPr>
    </w:p>
    <w:p w:rsidR="00363259" w:rsidRPr="000F3DEF" w:rsidP="00363259" w14:paraId="6DA783BB" w14:textId="680403B8">
      <w:pPr>
        <w:ind w:left="720"/>
        <w:rPr>
          <w:rFonts w:ascii="Times New Roman" w:hAnsi="Times New Roman"/>
        </w:rPr>
      </w:pPr>
      <w:bookmarkStart w:id="3" w:name="_Hlk105677289"/>
      <w:r w:rsidRPr="000F3DEF">
        <w:rPr>
          <w:rFonts w:ascii="Times New Roman" w:hAnsi="Times New Roman"/>
        </w:rPr>
        <w:t>The Department does not have information on how many Retirement Investors, including plan beneficiaries and participants and IRA owners, receive disclosures electronically from investment advice fiduciaries.</w:t>
      </w:r>
      <w:r w:rsidR="002024E6">
        <w:rPr>
          <w:rFonts w:ascii="Times New Roman" w:hAnsi="Times New Roman"/>
        </w:rPr>
        <w:t xml:space="preserve"> </w:t>
      </w:r>
      <w:r w:rsidRPr="000F3DEF">
        <w:rPr>
          <w:rFonts w:ascii="Times New Roman" w:hAnsi="Times New Roman"/>
        </w:rPr>
        <w:t>For the purposes of this analysis, the Department assumes that the percent receiving disclosures electronically would be similar to the percent receiving electronically under the Department’s 2002 electronic disclosure safe harbor.</w:t>
      </w:r>
      <w:r>
        <w:rPr>
          <w:rStyle w:val="FootnoteReference"/>
          <w:rFonts w:ascii="Times New Roman" w:hAnsi="Times New Roman"/>
          <w:vertAlign w:val="superscript"/>
        </w:rPr>
        <w:footnoteReference w:id="59"/>
      </w:r>
      <w:r w:rsidR="002024E6">
        <w:rPr>
          <w:rFonts w:ascii="Times New Roman" w:hAnsi="Times New Roman"/>
        </w:rPr>
        <w:t xml:space="preserve"> </w:t>
      </w:r>
      <w:r w:rsidRPr="000F3DEF">
        <w:rPr>
          <w:rFonts w:ascii="Times New Roman" w:hAnsi="Times New Roman"/>
        </w:rPr>
        <w:t xml:space="preserve">Accordingly, the Department estimates that </w:t>
      </w:r>
      <w:r w:rsidR="00C06E60">
        <w:rPr>
          <w:rFonts w:ascii="Times New Roman" w:hAnsi="Times New Roman"/>
        </w:rPr>
        <w:t>94.2</w:t>
      </w:r>
      <w:r w:rsidRPr="000F3DEF">
        <w:rPr>
          <w:rFonts w:ascii="Times New Roman" w:hAnsi="Times New Roman"/>
        </w:rPr>
        <w:t xml:space="preserve"> percent of the disclosures sent to Retirement Investors would be sent electronically.</w:t>
      </w:r>
      <w:r>
        <w:rPr>
          <w:rStyle w:val="FootnoteReference"/>
          <w:rFonts w:ascii="Times New Roman" w:hAnsi="Times New Roman"/>
          <w:vertAlign w:val="superscript"/>
        </w:rPr>
        <w:footnoteReference w:id="60"/>
      </w:r>
      <w:r w:rsidR="002024E6">
        <w:rPr>
          <w:rFonts w:ascii="Times New Roman" w:hAnsi="Times New Roman"/>
        </w:rPr>
        <w:t xml:space="preserve"> </w:t>
      </w:r>
      <w:r w:rsidRPr="00530597" w:rsidR="002431C0">
        <w:rPr>
          <w:rFonts w:ascii="Times New Roman" w:hAnsi="Times New Roman"/>
        </w:rPr>
        <w:t xml:space="preserve">For the required information not sent electronically, the Department estimates that a cost of 5 cents per page for paper and </w:t>
      </w:r>
      <w:r w:rsidRPr="00530597" w:rsidR="002431C0">
        <w:rPr>
          <w:rFonts w:ascii="Times New Roman" w:hAnsi="Times New Roman"/>
        </w:rPr>
        <w:t xml:space="preserve">printing costs and </w:t>
      </w:r>
      <w:r w:rsidR="00494288">
        <w:rPr>
          <w:rFonts w:ascii="Times New Roman" w:hAnsi="Times New Roman"/>
        </w:rPr>
        <w:t>$0.66</w:t>
      </w:r>
      <w:r w:rsidRPr="00530597" w:rsidR="002431C0">
        <w:rPr>
          <w:rFonts w:ascii="Times New Roman" w:hAnsi="Times New Roman"/>
        </w:rPr>
        <w:t xml:space="preserve"> cents of postage cost per mailing will be incurred</w:t>
      </w:r>
      <w:r w:rsidRPr="000F3DEF">
        <w:rPr>
          <w:rFonts w:ascii="Times New Roman" w:hAnsi="Times New Roman"/>
        </w:rPr>
        <w:t>.</w:t>
      </w:r>
      <w:r>
        <w:rPr>
          <w:rStyle w:val="FootnoteReference"/>
          <w:rFonts w:ascii="Times New Roman" w:hAnsi="Times New Roman"/>
          <w:vertAlign w:val="superscript"/>
        </w:rPr>
        <w:footnoteReference w:id="61"/>
      </w:r>
    </w:p>
    <w:bookmarkEnd w:id="3"/>
    <w:p w:rsidR="002431C0" w:rsidRPr="00530597" w:rsidP="00945117" w14:paraId="7E76FDC6" w14:textId="77777777">
      <w:pPr>
        <w:widowControl/>
        <w:autoSpaceDE/>
        <w:autoSpaceDN/>
        <w:adjustRightInd/>
        <w:ind w:left="720"/>
        <w:rPr>
          <w:rFonts w:ascii="Times New Roman" w:hAnsi="Times New Roman"/>
        </w:rPr>
      </w:pPr>
    </w:p>
    <w:p w:rsidR="002431C0" w:rsidRPr="00530597" w:rsidP="006627A7" w14:paraId="7E931BBC" w14:textId="404F9B2B">
      <w:pPr>
        <w:ind w:left="720"/>
        <w:contextualSpacing/>
        <w:rPr>
          <w:rFonts w:ascii="Times New Roman" w:hAnsi="Times New Roman"/>
        </w:rPr>
      </w:pPr>
      <w:r w:rsidRPr="00530597">
        <w:rPr>
          <w:rFonts w:ascii="Times New Roman" w:hAnsi="Times New Roman"/>
        </w:rPr>
        <w:t>The annual cost burden is calculated as follows:</w:t>
      </w:r>
    </w:p>
    <w:p w:rsidR="00A36FAF" w:rsidP="00A36FAF" w14:paraId="6B0B41A5" w14:textId="77777777">
      <w:pPr>
        <w:ind w:left="720"/>
        <w:contextualSpacing/>
        <w:rPr>
          <w:rFonts w:ascii="Times New Roman" w:hAnsi="Times New Roman"/>
        </w:rPr>
      </w:pPr>
    </w:p>
    <w:p w:rsidR="00494288" w:rsidRPr="00494288" w:rsidP="00675971" w14:paraId="1FD8CDB5" w14:textId="77777777">
      <w:pPr>
        <w:pStyle w:val="Quick1"/>
        <w:numPr>
          <w:ilvl w:val="1"/>
          <w:numId w:val="29"/>
        </w:numPr>
        <w:tabs>
          <w:tab w:val="left" w:pos="-1440"/>
        </w:tabs>
        <w:ind w:left="1152"/>
        <w:contextualSpacing/>
        <w:rPr>
          <w:rFonts w:ascii="Times New Roman" w:hAnsi="Times New Roman"/>
          <w:i/>
          <w:iCs/>
        </w:rPr>
      </w:pPr>
      <w:r>
        <w:rPr>
          <w:rFonts w:ascii="Times New Roman" w:hAnsi="Times New Roman"/>
          <w:i/>
        </w:rPr>
        <w:t>Cost</w:t>
      </w:r>
      <w:r w:rsidRPr="00530597" w:rsidR="00A36FAF">
        <w:rPr>
          <w:rFonts w:ascii="Times New Roman" w:hAnsi="Times New Roman"/>
          <w:i/>
        </w:rPr>
        <w:t xml:space="preserve"> Burden Associated with Satisfying Conditions for Transactions Described in </w:t>
      </w:r>
    </w:p>
    <w:p w:rsidR="00A36FAF" w:rsidRPr="009631CC" w:rsidP="00675971" w14:paraId="29E2490F" w14:textId="37DC2120">
      <w:pPr>
        <w:pStyle w:val="Quick1"/>
        <w:numPr>
          <w:ilvl w:val="0"/>
          <w:numId w:val="0"/>
        </w:numPr>
        <w:tabs>
          <w:tab w:val="left" w:pos="-1440"/>
        </w:tabs>
        <w:ind w:left="1152"/>
        <w:contextualSpacing/>
        <w:rPr>
          <w:rFonts w:ascii="Times New Roman" w:hAnsi="Times New Roman"/>
          <w:i/>
          <w:iCs/>
        </w:rPr>
      </w:pPr>
      <w:r>
        <w:rPr>
          <w:rFonts w:ascii="Times New Roman" w:hAnsi="Times New Roman"/>
          <w:i/>
        </w:rPr>
        <w:tab/>
      </w:r>
      <w:r w:rsidRPr="00530597">
        <w:rPr>
          <w:rFonts w:ascii="Times New Roman" w:hAnsi="Times New Roman"/>
          <w:i/>
        </w:rPr>
        <w:t>Section III(a)-(f)</w:t>
      </w:r>
    </w:p>
    <w:p w:rsidR="00A36FAF" w:rsidRPr="009631CC" w:rsidP="00945117" w14:paraId="0C2A2F79" w14:textId="77777777">
      <w:pPr>
        <w:pStyle w:val="Quick1"/>
        <w:numPr>
          <w:ilvl w:val="0"/>
          <w:numId w:val="0"/>
        </w:numPr>
        <w:tabs>
          <w:tab w:val="left" w:pos="-1440"/>
        </w:tabs>
        <w:ind w:left="792"/>
        <w:contextualSpacing/>
        <w:rPr>
          <w:rFonts w:ascii="Times New Roman" w:hAnsi="Times New Roman"/>
          <w:i/>
          <w:iCs/>
        </w:rPr>
      </w:pPr>
    </w:p>
    <w:p w:rsidR="00A36FAF" w:rsidRPr="0013547C" w:rsidP="00675971" w14:paraId="4A3B9C7F" w14:textId="5C575BDE">
      <w:pPr>
        <w:pStyle w:val="Quick1"/>
        <w:numPr>
          <w:ilvl w:val="2"/>
          <w:numId w:val="29"/>
        </w:numPr>
        <w:tabs>
          <w:tab w:val="left" w:pos="-1440"/>
        </w:tabs>
        <w:ind w:left="1440" w:hanging="360"/>
        <w:contextualSpacing/>
        <w:rPr>
          <w:rFonts w:ascii="Times New Roman" w:hAnsi="Times New Roman"/>
          <w:i/>
          <w:iCs/>
        </w:rPr>
      </w:pPr>
      <w:r w:rsidRPr="00530597">
        <w:rPr>
          <w:rFonts w:ascii="Times New Roman" w:hAnsi="Times New Roman"/>
          <w:i/>
        </w:rPr>
        <w:t>Written Authorization from the Independent Plan Fiduciary</w:t>
      </w:r>
    </w:p>
    <w:p w:rsidR="003F3851" w:rsidRPr="00530597" w:rsidP="002C20C8" w14:paraId="173E2E75" w14:textId="77777777">
      <w:pPr>
        <w:rPr>
          <w:rFonts w:ascii="Times New Roman" w:hAnsi="Times New Roman"/>
        </w:rPr>
      </w:pPr>
    </w:p>
    <w:p w:rsidR="00494288" w:rsidRPr="00494288" w:rsidP="00675971" w14:paraId="728127C6" w14:textId="77777777">
      <w:pPr>
        <w:ind w:left="720"/>
        <w:rPr>
          <w:rFonts w:ascii="Times New Roman" w:hAnsi="Times New Roman"/>
        </w:rPr>
      </w:pPr>
      <w:r w:rsidRPr="00494288">
        <w:rPr>
          <w:rFonts w:ascii="Times New Roman" w:hAnsi="Times New Roman"/>
        </w:rPr>
        <w:t>Based on the estimates discussed above, the Department estimates that</w:t>
      </w:r>
      <w:r w:rsidRPr="00494288">
        <w:rPr>
          <w:rFonts w:ascii="Times New Roman" w:hAnsi="Times New Roman"/>
        </w:rPr>
        <w:t xml:space="preserve"> </w:t>
      </w:r>
      <w:r w:rsidRPr="00494288">
        <w:rPr>
          <w:rFonts w:ascii="Times New Roman" w:hAnsi="Times New Roman"/>
        </w:rPr>
        <w:t>authorizing fiduciaries for 1,722 plans and authorizing fiduciaries for 52,449 IRA holders would be required to send an advance written authorization to the 2,996 financial institutions for IRAs</w:t>
      </w:r>
      <w:r>
        <w:rPr>
          <w:rFonts w:ascii="Times New Roman" w:hAnsi="Times New Roman"/>
          <w:vertAlign w:val="superscript"/>
        </w:rPr>
        <w:footnoteReference w:id="62"/>
      </w:r>
      <w:r w:rsidRPr="00494288">
        <w:rPr>
          <w:rFonts w:ascii="Times New Roman" w:hAnsi="Times New Roman"/>
        </w:rPr>
        <w:t xml:space="preserve"> for exemptive relief for the transactions described in Section III(a)-(f).</w:t>
      </w:r>
      <w:r w:rsidRPr="00494288">
        <w:rPr>
          <w:rFonts w:ascii="Times New Roman" w:hAnsi="Times New Roman"/>
        </w:rPr>
        <w:t xml:space="preserve"> </w:t>
      </w:r>
    </w:p>
    <w:p w:rsidR="00A27E36" w:rsidRPr="007F3B6C" w:rsidP="002C20C8" w14:paraId="3FD93D10" w14:textId="5DC43417">
      <w:pPr>
        <w:ind w:left="720"/>
        <w:contextualSpacing/>
        <w:rPr>
          <w:rFonts w:ascii="Times New Roman" w:hAnsi="Times New Roman"/>
        </w:rPr>
      </w:pPr>
    </w:p>
    <w:p w:rsidR="00494288" w:rsidRPr="00494288" w:rsidP="00494288" w14:paraId="7A260EA9" w14:textId="77777777">
      <w:pPr>
        <w:ind w:left="720"/>
        <w:contextualSpacing/>
        <w:rPr>
          <w:rFonts w:ascii="Times New Roman" w:hAnsi="Times New Roman"/>
        </w:rPr>
      </w:pPr>
      <w:r w:rsidRPr="00494288">
        <w:rPr>
          <w:rFonts w:ascii="Times New Roman" w:hAnsi="Times New Roman"/>
        </w:rPr>
        <w:t>The Department assumes 5.8 percent of authorizations for IRAs would be distributed by mail and that the authorization will include two pages.</w:t>
      </w:r>
      <w:r w:rsidRPr="00494288">
        <w:rPr>
          <w:rFonts w:ascii="Times New Roman" w:hAnsi="Times New Roman"/>
        </w:rPr>
        <w:t xml:space="preserve"> </w:t>
      </w:r>
      <w:r w:rsidRPr="00494288">
        <w:rPr>
          <w:rFonts w:ascii="Times New Roman" w:hAnsi="Times New Roman"/>
        </w:rPr>
        <w:t>Accordingly, the Department estimates an annual cost burden of approximately $2,312.</w:t>
      </w:r>
      <w:r>
        <w:rPr>
          <w:rFonts w:ascii="Times New Roman" w:hAnsi="Times New Roman"/>
          <w:vertAlign w:val="superscript"/>
        </w:rPr>
        <w:footnoteReference w:id="63"/>
      </w:r>
    </w:p>
    <w:p w:rsidR="00A27E36" w:rsidRPr="00530597" w:rsidP="002C20C8" w14:paraId="19D7AB00" w14:textId="77777777">
      <w:pPr>
        <w:ind w:left="720"/>
        <w:contextualSpacing/>
        <w:rPr>
          <w:rFonts w:ascii="Times New Roman" w:hAnsi="Times New Roman"/>
        </w:rPr>
      </w:pP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679"/>
        <w:gridCol w:w="1679"/>
        <w:gridCol w:w="1679"/>
        <w:gridCol w:w="1983"/>
      </w:tblGrid>
      <w:tr w14:paraId="65DB02FF" w14:textId="77777777" w:rsidTr="008C647A">
        <w:tblPrEx>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9090" w:type="dxa"/>
            <w:gridSpan w:val="5"/>
            <w:shd w:val="clear" w:color="auto" w:fill="auto"/>
          </w:tcPr>
          <w:p w:rsidR="008C647A" w:rsidRPr="008C647A" w:rsidP="008C647A" w14:paraId="1442E86B" w14:textId="55CF0EF5">
            <w:pPr>
              <w:widowControl/>
              <w:autoSpaceDE/>
              <w:autoSpaceDN/>
              <w:adjustRightInd/>
              <w:ind w:firstLine="720"/>
              <w:contextualSpacing/>
              <w:jc w:val="center"/>
              <w:rPr>
                <w:rFonts w:ascii="Times New Roman" w:eastAsia="Yu Mincho" w:hAnsi="Times New Roman"/>
                <w:b/>
                <w:szCs w:val="32"/>
              </w:rPr>
            </w:pPr>
            <w:r w:rsidRPr="008C647A">
              <w:rPr>
                <w:rFonts w:ascii="Times New Roman" w:eastAsia="Yu Mincho" w:hAnsi="Times New Roman"/>
                <w:b/>
                <w:szCs w:val="32"/>
              </w:rPr>
              <w:t xml:space="preserve">Table </w:t>
            </w:r>
            <w:r>
              <w:rPr>
                <w:rFonts w:ascii="Times New Roman" w:eastAsia="Yu Mincho" w:hAnsi="Times New Roman"/>
                <w:b/>
                <w:szCs w:val="32"/>
              </w:rPr>
              <w:t>18</w:t>
            </w:r>
            <w:r w:rsidRPr="008C647A">
              <w:rPr>
                <w:rFonts w:ascii="Times New Roman" w:eastAsia="Yu Mincho" w:hAnsi="Times New Roman"/>
                <w:b/>
                <w:szCs w:val="32"/>
              </w:rPr>
              <w:t>:</w:t>
            </w:r>
            <w:r w:rsidRPr="008C647A">
              <w:rPr>
                <w:rFonts w:ascii="Times New Roman" w:eastAsia="Yu Mincho" w:hAnsi="Times New Roman"/>
                <w:b/>
                <w:szCs w:val="32"/>
              </w:rPr>
              <w:t xml:space="preserve"> </w:t>
            </w:r>
            <w:r w:rsidRPr="008C647A">
              <w:rPr>
                <w:rFonts w:ascii="Times New Roman" w:eastAsia="Yu Mincho" w:hAnsi="Times New Roman"/>
                <w:b/>
                <w:szCs w:val="32"/>
              </w:rPr>
              <w:t>Material and Postage Cost Associated with the Written Authorization</w:t>
            </w:r>
          </w:p>
        </w:tc>
      </w:tr>
      <w:tr w14:paraId="7F3385B6" w14:textId="77777777" w:rsidTr="008C647A">
        <w:tblPrEx>
          <w:tblW w:w="9090" w:type="dxa"/>
          <w:tblInd w:w="355" w:type="dxa"/>
          <w:tblLayout w:type="fixed"/>
          <w:tblLook w:val="04A0"/>
        </w:tblPrEx>
        <w:trPr>
          <w:trHeight w:val="242"/>
        </w:trPr>
        <w:tc>
          <w:tcPr>
            <w:tcW w:w="2070" w:type="dxa"/>
            <w:shd w:val="clear" w:color="auto" w:fill="auto"/>
          </w:tcPr>
          <w:p w:rsidR="008C647A" w:rsidRPr="008C647A" w:rsidP="008C647A" w14:paraId="1E0EDE56" w14:textId="77777777">
            <w:pPr>
              <w:widowControl/>
              <w:autoSpaceDE/>
              <w:autoSpaceDN/>
              <w:adjustRightInd/>
              <w:ind w:firstLine="720"/>
              <w:contextualSpacing/>
              <w:jc w:val="center"/>
              <w:rPr>
                <w:rFonts w:ascii="Times New Roman" w:eastAsia="Yu Mincho" w:hAnsi="Times New Roman"/>
                <w:b/>
                <w:szCs w:val="32"/>
              </w:rPr>
            </w:pPr>
          </w:p>
        </w:tc>
        <w:tc>
          <w:tcPr>
            <w:tcW w:w="3358" w:type="dxa"/>
            <w:gridSpan w:val="2"/>
            <w:shd w:val="clear" w:color="auto" w:fill="auto"/>
          </w:tcPr>
          <w:p w:rsidR="008C647A" w:rsidRPr="008C647A" w:rsidP="008C647A" w14:paraId="3B7439B9" w14:textId="77777777">
            <w:pPr>
              <w:widowControl/>
              <w:autoSpaceDE/>
              <w:autoSpaceDN/>
              <w:adjustRightInd/>
              <w:ind w:firstLine="720"/>
              <w:contextualSpacing/>
              <w:jc w:val="center"/>
              <w:rPr>
                <w:rFonts w:ascii="Times New Roman" w:eastAsia="Yu Mincho" w:hAnsi="Times New Roman"/>
                <w:b/>
                <w:szCs w:val="32"/>
              </w:rPr>
            </w:pPr>
            <w:r w:rsidRPr="008C647A">
              <w:rPr>
                <w:rFonts w:ascii="Times New Roman" w:eastAsia="Yu Mincho" w:hAnsi="Times New Roman"/>
                <w:b/>
                <w:szCs w:val="32"/>
              </w:rPr>
              <w:t>Year 1</w:t>
            </w:r>
          </w:p>
        </w:tc>
        <w:tc>
          <w:tcPr>
            <w:tcW w:w="3662" w:type="dxa"/>
            <w:gridSpan w:val="2"/>
          </w:tcPr>
          <w:p w:rsidR="008C647A" w:rsidRPr="008C647A" w:rsidP="008C647A" w14:paraId="74D735B0" w14:textId="77777777">
            <w:pPr>
              <w:widowControl/>
              <w:autoSpaceDE/>
              <w:autoSpaceDN/>
              <w:adjustRightInd/>
              <w:ind w:firstLine="1"/>
              <w:contextualSpacing/>
              <w:jc w:val="center"/>
              <w:rPr>
                <w:rFonts w:ascii="Times New Roman" w:eastAsia="Yu Mincho" w:hAnsi="Times New Roman"/>
                <w:b/>
                <w:szCs w:val="32"/>
              </w:rPr>
            </w:pPr>
            <w:r w:rsidRPr="008C647A">
              <w:rPr>
                <w:rFonts w:ascii="Times New Roman" w:eastAsia="Yu Mincho" w:hAnsi="Times New Roman"/>
                <w:b/>
                <w:szCs w:val="32"/>
              </w:rPr>
              <w:t>Subsequent Years</w:t>
            </w:r>
          </w:p>
        </w:tc>
      </w:tr>
      <w:tr w14:paraId="4D27B6B5" w14:textId="77777777" w:rsidTr="008C647A">
        <w:tblPrEx>
          <w:tblW w:w="9090" w:type="dxa"/>
          <w:tblInd w:w="355" w:type="dxa"/>
          <w:tblLayout w:type="fixed"/>
          <w:tblLook w:val="04A0"/>
        </w:tblPrEx>
        <w:tc>
          <w:tcPr>
            <w:tcW w:w="2070" w:type="dxa"/>
            <w:shd w:val="clear" w:color="auto" w:fill="auto"/>
          </w:tcPr>
          <w:p w:rsidR="008C647A" w:rsidRPr="008C647A" w:rsidP="008C647A" w14:paraId="769DA328" w14:textId="77777777">
            <w:pPr>
              <w:widowControl/>
              <w:autoSpaceDE/>
              <w:autoSpaceDN/>
              <w:adjustRightInd/>
              <w:ind w:firstLine="720"/>
              <w:contextualSpacing/>
              <w:jc w:val="center"/>
              <w:rPr>
                <w:rFonts w:ascii="Times New Roman" w:eastAsia="Yu Mincho" w:hAnsi="Times New Roman"/>
                <w:b/>
                <w:szCs w:val="32"/>
              </w:rPr>
            </w:pPr>
            <w:r w:rsidRPr="008C647A">
              <w:rPr>
                <w:rFonts w:ascii="Times New Roman" w:eastAsia="Yu Mincho" w:hAnsi="Times New Roman"/>
                <w:b/>
                <w:szCs w:val="32"/>
              </w:rPr>
              <w:t>Activity</w:t>
            </w:r>
          </w:p>
        </w:tc>
        <w:tc>
          <w:tcPr>
            <w:tcW w:w="1679" w:type="dxa"/>
            <w:shd w:val="clear" w:color="auto" w:fill="auto"/>
          </w:tcPr>
          <w:p w:rsidR="008C647A" w:rsidRPr="008C647A" w:rsidP="008C647A" w14:paraId="1889221B" w14:textId="77777777">
            <w:pPr>
              <w:widowControl/>
              <w:autoSpaceDE/>
              <w:autoSpaceDN/>
              <w:adjustRightInd/>
              <w:ind w:hanging="14"/>
              <w:contextualSpacing/>
              <w:jc w:val="center"/>
              <w:rPr>
                <w:rFonts w:ascii="Times New Roman" w:eastAsia="Yu Mincho" w:hAnsi="Times New Roman"/>
                <w:b/>
                <w:szCs w:val="32"/>
              </w:rPr>
            </w:pPr>
            <w:r w:rsidRPr="008C647A">
              <w:rPr>
                <w:rFonts w:ascii="Times New Roman" w:eastAsia="Yu Mincho" w:hAnsi="Times New Roman"/>
                <w:b/>
                <w:szCs w:val="32"/>
              </w:rPr>
              <w:t>Pages</w:t>
            </w:r>
          </w:p>
        </w:tc>
        <w:tc>
          <w:tcPr>
            <w:tcW w:w="1679" w:type="dxa"/>
            <w:shd w:val="clear" w:color="auto" w:fill="auto"/>
          </w:tcPr>
          <w:p w:rsidR="008C647A" w:rsidRPr="008C647A" w:rsidP="008C647A" w14:paraId="5FEE20ED" w14:textId="77777777">
            <w:pPr>
              <w:widowControl/>
              <w:autoSpaceDE/>
              <w:autoSpaceDN/>
              <w:adjustRightInd/>
              <w:ind w:firstLine="720"/>
              <w:contextualSpacing/>
              <w:jc w:val="center"/>
              <w:rPr>
                <w:rFonts w:ascii="Times New Roman" w:eastAsia="Yu Mincho" w:hAnsi="Times New Roman"/>
                <w:b/>
                <w:szCs w:val="32"/>
              </w:rPr>
            </w:pPr>
            <w:r w:rsidRPr="008C647A">
              <w:rPr>
                <w:rFonts w:ascii="Times New Roman" w:eastAsia="Yu Mincho" w:hAnsi="Times New Roman"/>
                <w:b/>
                <w:szCs w:val="32"/>
              </w:rPr>
              <w:t>Cost</w:t>
            </w:r>
          </w:p>
        </w:tc>
        <w:tc>
          <w:tcPr>
            <w:tcW w:w="1679" w:type="dxa"/>
          </w:tcPr>
          <w:p w:rsidR="008C647A" w:rsidRPr="008C647A" w:rsidP="008C647A" w14:paraId="4D720A00" w14:textId="77777777">
            <w:pPr>
              <w:widowControl/>
              <w:autoSpaceDE/>
              <w:autoSpaceDN/>
              <w:adjustRightInd/>
              <w:ind w:firstLine="720"/>
              <w:contextualSpacing/>
              <w:jc w:val="center"/>
              <w:rPr>
                <w:rFonts w:ascii="Times New Roman" w:eastAsia="Yu Mincho" w:hAnsi="Times New Roman"/>
                <w:b/>
                <w:szCs w:val="32"/>
              </w:rPr>
            </w:pPr>
            <w:r w:rsidRPr="008C647A">
              <w:rPr>
                <w:rFonts w:ascii="Times New Roman" w:eastAsia="Yu Mincho" w:hAnsi="Times New Roman"/>
                <w:b/>
                <w:szCs w:val="32"/>
              </w:rPr>
              <w:t>Pages</w:t>
            </w:r>
          </w:p>
        </w:tc>
        <w:tc>
          <w:tcPr>
            <w:tcW w:w="1983" w:type="dxa"/>
          </w:tcPr>
          <w:p w:rsidR="008C647A" w:rsidRPr="008C647A" w:rsidP="008C647A" w14:paraId="2AF67D0A" w14:textId="77777777">
            <w:pPr>
              <w:widowControl/>
              <w:autoSpaceDE/>
              <w:autoSpaceDN/>
              <w:adjustRightInd/>
              <w:ind w:firstLine="720"/>
              <w:contextualSpacing/>
              <w:jc w:val="center"/>
              <w:rPr>
                <w:rFonts w:ascii="Times New Roman" w:eastAsia="Yu Mincho" w:hAnsi="Times New Roman"/>
                <w:b/>
                <w:szCs w:val="32"/>
              </w:rPr>
            </w:pPr>
            <w:r w:rsidRPr="008C647A">
              <w:rPr>
                <w:rFonts w:ascii="Times New Roman" w:eastAsia="Yu Mincho" w:hAnsi="Times New Roman"/>
                <w:b/>
                <w:szCs w:val="32"/>
              </w:rPr>
              <w:t>Cost</w:t>
            </w:r>
          </w:p>
        </w:tc>
      </w:tr>
      <w:tr w14:paraId="7BDA7DE2" w14:textId="77777777" w:rsidTr="008C647A">
        <w:tblPrEx>
          <w:tblW w:w="9090" w:type="dxa"/>
          <w:tblInd w:w="355" w:type="dxa"/>
          <w:tblLayout w:type="fixed"/>
          <w:tblLook w:val="04A0"/>
        </w:tblPrEx>
        <w:tc>
          <w:tcPr>
            <w:tcW w:w="2070" w:type="dxa"/>
            <w:shd w:val="clear" w:color="auto" w:fill="auto"/>
          </w:tcPr>
          <w:p w:rsidR="008C647A" w:rsidRPr="008C647A" w:rsidP="008C647A" w14:paraId="079921F0" w14:textId="77777777">
            <w:pPr>
              <w:widowControl/>
              <w:autoSpaceDE/>
              <w:autoSpaceDN/>
              <w:adjustRightInd/>
              <w:contextualSpacing/>
              <w:rPr>
                <w:rFonts w:ascii="Times New Roman" w:eastAsia="Yu Mincho" w:hAnsi="Times New Roman"/>
                <w:szCs w:val="32"/>
              </w:rPr>
            </w:pPr>
            <w:r w:rsidRPr="008C647A">
              <w:rPr>
                <w:rFonts w:ascii="Times New Roman" w:eastAsia="Yu Mincho" w:hAnsi="Times New Roman"/>
                <w:szCs w:val="32"/>
              </w:rPr>
              <w:t>Material and Postage Cost</w:t>
            </w:r>
          </w:p>
        </w:tc>
        <w:tc>
          <w:tcPr>
            <w:tcW w:w="1679" w:type="dxa"/>
            <w:shd w:val="clear" w:color="auto" w:fill="auto"/>
          </w:tcPr>
          <w:p w:rsidR="008C647A" w:rsidRPr="008C647A" w:rsidP="008C647A" w14:paraId="18B7A20C" w14:textId="77777777">
            <w:pPr>
              <w:widowControl/>
              <w:autoSpaceDE/>
              <w:autoSpaceDN/>
              <w:adjustRightInd/>
              <w:ind w:hanging="14"/>
              <w:contextualSpacing/>
              <w:jc w:val="right"/>
              <w:rPr>
                <w:rFonts w:ascii="Times New Roman" w:eastAsia="Yu Mincho" w:hAnsi="Times New Roman"/>
                <w:szCs w:val="32"/>
              </w:rPr>
            </w:pPr>
            <w:r w:rsidRPr="008C647A">
              <w:rPr>
                <w:rFonts w:ascii="Times New Roman" w:eastAsia="Yu Mincho" w:hAnsi="Times New Roman"/>
                <w:szCs w:val="32"/>
              </w:rPr>
              <w:t>2</w:t>
            </w:r>
          </w:p>
        </w:tc>
        <w:tc>
          <w:tcPr>
            <w:tcW w:w="1679" w:type="dxa"/>
            <w:shd w:val="clear" w:color="auto" w:fill="auto"/>
          </w:tcPr>
          <w:p w:rsidR="008C647A" w:rsidRPr="008C647A" w:rsidP="008C647A" w14:paraId="57D06021" w14:textId="77777777">
            <w:pPr>
              <w:widowControl/>
              <w:autoSpaceDE/>
              <w:autoSpaceDN/>
              <w:adjustRightInd/>
              <w:ind w:firstLine="720"/>
              <w:contextualSpacing/>
              <w:jc w:val="right"/>
              <w:rPr>
                <w:rFonts w:ascii="Times New Roman" w:eastAsia="Yu Mincho" w:hAnsi="Times New Roman"/>
                <w:szCs w:val="32"/>
              </w:rPr>
            </w:pPr>
            <w:r w:rsidRPr="008C647A">
              <w:rPr>
                <w:rFonts w:ascii="Times New Roman" w:eastAsia="Yu Mincho" w:hAnsi="Times New Roman"/>
                <w:szCs w:val="32"/>
              </w:rPr>
              <w:t>$</w:t>
            </w:r>
            <w:r w:rsidRPr="008C647A">
              <w:rPr>
                <w:rFonts w:ascii="Times New Roman" w:eastAsia="Yu Mincho" w:hAnsi="Times New Roman"/>
                <w:szCs w:val="32"/>
                <w:lang w:val="en"/>
              </w:rPr>
              <w:t>2,312</w:t>
            </w:r>
          </w:p>
        </w:tc>
        <w:tc>
          <w:tcPr>
            <w:tcW w:w="1679" w:type="dxa"/>
          </w:tcPr>
          <w:p w:rsidR="008C647A" w:rsidRPr="008C647A" w:rsidP="008C647A" w14:paraId="7004AD8C" w14:textId="77777777">
            <w:pPr>
              <w:widowControl/>
              <w:autoSpaceDE/>
              <w:autoSpaceDN/>
              <w:adjustRightInd/>
              <w:ind w:firstLine="720"/>
              <w:contextualSpacing/>
              <w:jc w:val="right"/>
              <w:rPr>
                <w:rFonts w:ascii="Times New Roman" w:eastAsia="Yu Mincho" w:hAnsi="Times New Roman"/>
                <w:szCs w:val="32"/>
              </w:rPr>
            </w:pPr>
            <w:r w:rsidRPr="008C647A">
              <w:rPr>
                <w:rFonts w:ascii="Times New Roman" w:eastAsia="Yu Mincho" w:hAnsi="Times New Roman"/>
                <w:szCs w:val="32"/>
              </w:rPr>
              <w:t>2</w:t>
            </w:r>
          </w:p>
        </w:tc>
        <w:tc>
          <w:tcPr>
            <w:tcW w:w="1983" w:type="dxa"/>
          </w:tcPr>
          <w:p w:rsidR="008C647A" w:rsidRPr="008C647A" w:rsidP="008C647A" w14:paraId="7E82D2B6" w14:textId="77777777">
            <w:pPr>
              <w:widowControl/>
              <w:autoSpaceDE/>
              <w:autoSpaceDN/>
              <w:adjustRightInd/>
              <w:ind w:firstLine="720"/>
              <w:contextualSpacing/>
              <w:jc w:val="right"/>
              <w:rPr>
                <w:rFonts w:ascii="Times New Roman" w:eastAsia="Yu Mincho" w:hAnsi="Times New Roman"/>
                <w:szCs w:val="32"/>
              </w:rPr>
            </w:pPr>
            <w:r w:rsidRPr="008C647A">
              <w:rPr>
                <w:rFonts w:ascii="Times New Roman" w:eastAsia="Yu Mincho" w:hAnsi="Times New Roman"/>
                <w:szCs w:val="32"/>
              </w:rPr>
              <w:t>$</w:t>
            </w:r>
            <w:r w:rsidRPr="008C647A">
              <w:rPr>
                <w:rFonts w:ascii="Times New Roman" w:eastAsia="Yu Mincho" w:hAnsi="Times New Roman"/>
                <w:szCs w:val="32"/>
                <w:lang w:val="en"/>
              </w:rPr>
              <w:t>2,312</w:t>
            </w:r>
          </w:p>
        </w:tc>
      </w:tr>
      <w:tr w14:paraId="351E3489" w14:textId="77777777" w:rsidTr="008C647A">
        <w:tblPrEx>
          <w:tblW w:w="9090" w:type="dxa"/>
          <w:tblInd w:w="355" w:type="dxa"/>
          <w:tblLayout w:type="fixed"/>
          <w:tblLook w:val="04A0"/>
        </w:tblPrEx>
        <w:tc>
          <w:tcPr>
            <w:tcW w:w="2070" w:type="dxa"/>
            <w:shd w:val="clear" w:color="auto" w:fill="auto"/>
          </w:tcPr>
          <w:p w:rsidR="008C647A" w:rsidRPr="008C647A" w:rsidP="008C647A" w14:paraId="081C4B5B" w14:textId="77777777">
            <w:pPr>
              <w:widowControl/>
              <w:autoSpaceDE/>
              <w:autoSpaceDN/>
              <w:adjustRightInd/>
              <w:ind w:firstLine="720"/>
              <w:contextualSpacing/>
              <w:rPr>
                <w:rFonts w:ascii="Times New Roman" w:eastAsia="Yu Mincho" w:hAnsi="Times New Roman"/>
                <w:b/>
                <w:szCs w:val="32"/>
              </w:rPr>
            </w:pPr>
            <w:r w:rsidRPr="008C647A">
              <w:rPr>
                <w:rFonts w:ascii="Times New Roman" w:eastAsia="Yu Mincho" w:hAnsi="Times New Roman"/>
                <w:b/>
                <w:szCs w:val="32"/>
              </w:rPr>
              <w:t>Total</w:t>
            </w:r>
          </w:p>
        </w:tc>
        <w:tc>
          <w:tcPr>
            <w:tcW w:w="1679" w:type="dxa"/>
            <w:shd w:val="clear" w:color="auto" w:fill="auto"/>
          </w:tcPr>
          <w:p w:rsidR="008C647A" w:rsidRPr="008C647A" w:rsidP="008C647A" w14:paraId="40838619" w14:textId="77777777">
            <w:pPr>
              <w:widowControl/>
              <w:autoSpaceDE/>
              <w:autoSpaceDN/>
              <w:adjustRightInd/>
              <w:ind w:hanging="14"/>
              <w:contextualSpacing/>
              <w:jc w:val="right"/>
              <w:rPr>
                <w:rFonts w:ascii="Times New Roman" w:eastAsia="Yu Mincho" w:hAnsi="Times New Roman"/>
                <w:b/>
                <w:szCs w:val="32"/>
              </w:rPr>
            </w:pPr>
            <w:r w:rsidRPr="008C647A">
              <w:rPr>
                <w:rFonts w:ascii="Times New Roman" w:eastAsia="Yu Mincho" w:hAnsi="Times New Roman"/>
                <w:b/>
                <w:szCs w:val="32"/>
              </w:rPr>
              <w:t>2</w:t>
            </w:r>
          </w:p>
        </w:tc>
        <w:tc>
          <w:tcPr>
            <w:tcW w:w="1679" w:type="dxa"/>
            <w:shd w:val="clear" w:color="auto" w:fill="auto"/>
          </w:tcPr>
          <w:p w:rsidR="008C647A" w:rsidRPr="008C647A" w:rsidP="008C647A" w14:paraId="10BC5516" w14:textId="77777777">
            <w:pPr>
              <w:widowControl/>
              <w:autoSpaceDE/>
              <w:autoSpaceDN/>
              <w:adjustRightInd/>
              <w:ind w:firstLine="720"/>
              <w:contextualSpacing/>
              <w:jc w:val="right"/>
              <w:rPr>
                <w:rFonts w:ascii="Times New Roman" w:eastAsia="Yu Mincho" w:hAnsi="Times New Roman"/>
                <w:b/>
                <w:szCs w:val="32"/>
              </w:rPr>
            </w:pPr>
            <w:r w:rsidRPr="008C647A">
              <w:rPr>
                <w:rFonts w:ascii="Times New Roman" w:eastAsia="Yu Mincho" w:hAnsi="Times New Roman"/>
                <w:b/>
                <w:szCs w:val="32"/>
              </w:rPr>
              <w:t>$2,312</w:t>
            </w:r>
          </w:p>
        </w:tc>
        <w:tc>
          <w:tcPr>
            <w:tcW w:w="1679" w:type="dxa"/>
          </w:tcPr>
          <w:p w:rsidR="008C647A" w:rsidRPr="008C647A" w:rsidP="008C647A" w14:paraId="2418E4F7" w14:textId="77777777">
            <w:pPr>
              <w:widowControl/>
              <w:autoSpaceDE/>
              <w:autoSpaceDN/>
              <w:adjustRightInd/>
              <w:ind w:firstLine="720"/>
              <w:contextualSpacing/>
              <w:jc w:val="right"/>
              <w:rPr>
                <w:rFonts w:ascii="Times New Roman" w:eastAsia="Yu Mincho" w:hAnsi="Times New Roman"/>
                <w:b/>
                <w:szCs w:val="32"/>
              </w:rPr>
            </w:pPr>
            <w:r w:rsidRPr="008C647A">
              <w:rPr>
                <w:rFonts w:ascii="Times New Roman" w:eastAsia="Yu Mincho" w:hAnsi="Times New Roman"/>
                <w:b/>
                <w:szCs w:val="32"/>
              </w:rPr>
              <w:t>2</w:t>
            </w:r>
          </w:p>
        </w:tc>
        <w:tc>
          <w:tcPr>
            <w:tcW w:w="1983" w:type="dxa"/>
          </w:tcPr>
          <w:p w:rsidR="008C647A" w:rsidRPr="008C647A" w:rsidP="008C647A" w14:paraId="6A14A581" w14:textId="77777777">
            <w:pPr>
              <w:widowControl/>
              <w:autoSpaceDE/>
              <w:autoSpaceDN/>
              <w:adjustRightInd/>
              <w:ind w:firstLine="720"/>
              <w:contextualSpacing/>
              <w:jc w:val="right"/>
              <w:rPr>
                <w:rFonts w:ascii="Times New Roman" w:eastAsia="Yu Mincho" w:hAnsi="Times New Roman"/>
                <w:b/>
                <w:szCs w:val="32"/>
              </w:rPr>
            </w:pPr>
            <w:r w:rsidRPr="008C647A">
              <w:rPr>
                <w:rFonts w:ascii="Times New Roman" w:eastAsia="Yu Mincho" w:hAnsi="Times New Roman"/>
                <w:b/>
                <w:szCs w:val="32"/>
              </w:rPr>
              <w:t>$2,312</w:t>
            </w:r>
          </w:p>
        </w:tc>
      </w:tr>
    </w:tbl>
    <w:p w:rsidR="00A36FAF" w:rsidRPr="0013547C" w:rsidP="00A36FAF" w14:paraId="074D6B52" w14:textId="77777777">
      <w:pPr>
        <w:pStyle w:val="Quick1"/>
        <w:numPr>
          <w:ilvl w:val="0"/>
          <w:numId w:val="0"/>
        </w:numPr>
        <w:tabs>
          <w:tab w:val="left" w:pos="-1440"/>
        </w:tabs>
        <w:ind w:left="792"/>
        <w:contextualSpacing/>
        <w:rPr>
          <w:rFonts w:ascii="Times New Roman" w:hAnsi="Times New Roman"/>
          <w:i/>
          <w:iCs/>
        </w:rPr>
      </w:pPr>
    </w:p>
    <w:p w:rsidR="00A36FAF" w:rsidRPr="0013547C" w:rsidP="00675971" w14:paraId="401AE0D6" w14:textId="49386658">
      <w:pPr>
        <w:pStyle w:val="Quick1"/>
        <w:numPr>
          <w:ilvl w:val="2"/>
          <w:numId w:val="29"/>
        </w:numPr>
        <w:tabs>
          <w:tab w:val="left" w:pos="-1440"/>
        </w:tabs>
        <w:ind w:left="1440" w:hanging="360"/>
        <w:contextualSpacing/>
        <w:rPr>
          <w:rFonts w:ascii="Times New Roman" w:hAnsi="Times New Roman"/>
          <w:i/>
          <w:iCs/>
        </w:rPr>
      </w:pPr>
      <w:r>
        <w:rPr>
          <w:rFonts w:ascii="Times New Roman" w:hAnsi="Times New Roman"/>
          <w:i/>
        </w:rPr>
        <w:t>Provision of Disclosure Materials</w:t>
      </w:r>
    </w:p>
    <w:p w:rsidR="003F3851" w:rsidRPr="00530597" w:rsidP="00945117" w14:paraId="4EE1F5D4" w14:textId="6341710A">
      <w:pPr>
        <w:contextualSpacing/>
        <w:rPr>
          <w:rFonts w:ascii="Times New Roman" w:hAnsi="Times New Roman"/>
          <w:i/>
        </w:rPr>
      </w:pPr>
    </w:p>
    <w:p w:rsidR="00494288" w:rsidP="00F01849" w14:paraId="5D450523" w14:textId="77777777">
      <w:pPr>
        <w:ind w:left="720"/>
        <w:contextualSpacing/>
        <w:rPr>
          <w:rFonts w:ascii="Times New Roman" w:hAnsi="Times New Roman"/>
        </w:rPr>
      </w:pPr>
      <w:r w:rsidRPr="00494288">
        <w:rPr>
          <w:rFonts w:ascii="Times New Roman" w:hAnsi="Times New Roman"/>
        </w:rPr>
        <w:t>Based on the estimates discussed above, the Department estimates that approximately 3,006 financial institutions</w:t>
      </w:r>
      <w:r>
        <w:rPr>
          <w:rFonts w:ascii="Times New Roman" w:hAnsi="Times New Roman"/>
          <w:vertAlign w:val="superscript"/>
        </w:rPr>
        <w:footnoteReference w:id="64"/>
      </w:r>
      <w:r w:rsidRPr="00494288">
        <w:rPr>
          <w:rFonts w:ascii="Times New Roman" w:hAnsi="Times New Roman"/>
        </w:rPr>
        <w:t xml:space="preserve"> would continue to utilize the exemption for exemptive relief for the transactions described in Section III(a)-(f) for each plan and IRA. In total, the Department estimates that 2,996 entities would prepare disclosures for plans and 2,996</w:t>
      </w:r>
      <w:r w:rsidRPr="00494288">
        <w:rPr>
          <w:rFonts w:ascii="Times New Roman" w:hAnsi="Times New Roman"/>
        </w:rPr>
        <w:t xml:space="preserve"> </w:t>
      </w:r>
      <w:r w:rsidRPr="00494288">
        <w:rPr>
          <w:rFonts w:ascii="Times New Roman" w:hAnsi="Times New Roman"/>
        </w:rPr>
        <w:t>entities would prepare disclosures for IRAs.</w:t>
      </w:r>
      <w:r w:rsidRPr="00494288">
        <w:rPr>
          <w:rFonts w:ascii="Times New Roman" w:hAnsi="Times New Roman"/>
        </w:rPr>
        <w:t xml:space="preserve"> </w:t>
      </w:r>
      <w:r w:rsidRPr="00494288">
        <w:rPr>
          <w:rFonts w:ascii="Times New Roman" w:hAnsi="Times New Roman"/>
        </w:rPr>
        <w:t>The Department assumes that an in-house attorney will spend one hour of legal staff time drafting the disclosure for plans and one hour of legal staff time drafting the disclosure for IRAs.</w:t>
      </w:r>
      <w:r w:rsidRPr="00494288">
        <w:rPr>
          <w:rFonts w:ascii="Times New Roman" w:hAnsi="Times New Roman"/>
        </w:rPr>
        <w:t xml:space="preserve"> </w:t>
      </w:r>
      <w:r w:rsidRPr="00494288">
        <w:rPr>
          <w:rFonts w:ascii="Times New Roman" w:hAnsi="Times New Roman"/>
        </w:rPr>
        <w:t>This results in an hour burden of 5,992 hours with an equivalent cost of $</w:t>
      </w:r>
      <w:r w:rsidRPr="00494288">
        <w:rPr>
          <w:rFonts w:ascii="Times New Roman" w:hAnsi="Times New Roman"/>
          <w:lang w:val="en"/>
        </w:rPr>
        <w:t>954,765</w:t>
      </w:r>
      <w:r w:rsidRPr="00494288">
        <w:rPr>
          <w:rFonts w:ascii="Times New Roman" w:hAnsi="Times New Roman"/>
        </w:rPr>
        <w:t>.</w:t>
      </w:r>
      <w:r>
        <w:rPr>
          <w:rFonts w:ascii="Times New Roman" w:hAnsi="Times New Roman"/>
          <w:vertAlign w:val="superscript"/>
        </w:rPr>
        <w:footnoteReference w:id="65"/>
      </w:r>
    </w:p>
    <w:p w:rsidR="00494288" w:rsidP="00F01849" w14:paraId="5525C156" w14:textId="77777777">
      <w:pPr>
        <w:ind w:left="720"/>
        <w:contextualSpacing/>
        <w:rPr>
          <w:rFonts w:ascii="Times New Roman" w:hAnsi="Times New Roman"/>
        </w:rPr>
      </w:pPr>
    </w:p>
    <w:p w:rsidR="00494288" w:rsidRPr="00494288" w:rsidP="00675971" w14:paraId="7A58D8A8" w14:textId="385C523F">
      <w:pPr>
        <w:ind w:left="720"/>
        <w:contextualSpacing/>
        <w:rPr>
          <w:rFonts w:ascii="Times New Roman" w:hAnsi="Times New Roman"/>
        </w:rPr>
      </w:pPr>
      <w:r w:rsidRPr="00675971">
        <w:rPr>
          <w:rFonts w:ascii="Times New Roman" w:hAnsi="Times New Roman"/>
        </w:rPr>
        <w:t>The Department assumes that this information will include seven pages with 94.2 percent of disclosures distributed electronically through traditional electronic methods at no additional burden, and the remaining 5.8 percent of disclosures will be mailed.</w:t>
      </w:r>
      <w:r w:rsidRPr="00675971">
        <w:rPr>
          <w:rFonts w:ascii="Times New Roman" w:hAnsi="Times New Roman"/>
        </w:rPr>
        <w:t xml:space="preserve"> </w:t>
      </w:r>
      <w:r w:rsidRPr="00675971">
        <w:rPr>
          <w:rFonts w:ascii="Times New Roman" w:hAnsi="Times New Roman"/>
        </w:rPr>
        <w:t>Accordingly, the Department estimates an annual cost burden of approximately $2,313.</w:t>
      </w:r>
      <w:r>
        <w:rPr>
          <w:rStyle w:val="FootnoteReference"/>
          <w:rFonts w:ascii="Times New Roman" w:hAnsi="Times New Roman" w:eastAsiaTheme="majorEastAsia"/>
          <w:vertAlign w:val="superscript"/>
        </w:rPr>
        <w:footnoteReference w:id="66"/>
      </w:r>
    </w:p>
    <w:p w:rsidR="002C20C8" w:rsidRPr="00530597" w:rsidP="002C20C8" w14:paraId="71811450" w14:textId="1D384BDD">
      <w:pPr>
        <w:ind w:left="72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701"/>
        <w:gridCol w:w="1702"/>
        <w:gridCol w:w="1701"/>
        <w:gridCol w:w="1702"/>
      </w:tblGrid>
      <w:tr w14:paraId="543C51D3"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313" w:type="dxa"/>
            <w:gridSpan w:val="5"/>
            <w:shd w:val="clear" w:color="auto" w:fill="auto"/>
          </w:tcPr>
          <w:p w:rsidR="00F26366" w:rsidRPr="00F26366" w:rsidP="00F26366" w14:paraId="3E656E11" w14:textId="7A9AA384">
            <w:pPr>
              <w:widowControl/>
              <w:autoSpaceDE/>
              <w:autoSpaceDN/>
              <w:adjustRightInd/>
              <w:ind w:firstLine="720"/>
              <w:contextualSpacing/>
              <w:jc w:val="center"/>
              <w:rPr>
                <w:rFonts w:ascii="Times New Roman" w:eastAsia="Yu Mincho" w:hAnsi="Times New Roman"/>
                <w:b/>
                <w:szCs w:val="32"/>
              </w:rPr>
            </w:pPr>
            <w:r w:rsidRPr="00F26366">
              <w:rPr>
                <w:rFonts w:ascii="Times New Roman" w:eastAsia="Yu Mincho" w:hAnsi="Times New Roman"/>
                <w:b/>
                <w:szCs w:val="32"/>
              </w:rPr>
              <w:t xml:space="preserve">Table </w:t>
            </w:r>
            <w:r>
              <w:rPr>
                <w:rFonts w:ascii="Times New Roman" w:eastAsia="Yu Mincho" w:hAnsi="Times New Roman"/>
                <w:b/>
                <w:szCs w:val="32"/>
              </w:rPr>
              <w:t>19</w:t>
            </w:r>
            <w:r w:rsidRPr="00F26366">
              <w:rPr>
                <w:rFonts w:ascii="Times New Roman" w:eastAsia="Yu Mincho" w:hAnsi="Times New Roman"/>
                <w:b/>
                <w:szCs w:val="32"/>
              </w:rPr>
              <w:t>:</w:t>
            </w:r>
            <w:r w:rsidRPr="00F26366">
              <w:rPr>
                <w:rFonts w:ascii="Times New Roman" w:eastAsia="Yu Mincho" w:hAnsi="Times New Roman"/>
                <w:b/>
                <w:szCs w:val="32"/>
              </w:rPr>
              <w:t xml:space="preserve"> </w:t>
            </w:r>
            <w:r w:rsidRPr="00F26366">
              <w:rPr>
                <w:rFonts w:ascii="Times New Roman" w:eastAsia="Yu Mincho" w:hAnsi="Times New Roman"/>
                <w:b/>
                <w:szCs w:val="32"/>
              </w:rPr>
              <w:t>Material and Postage Cost Associated with the Disclosure</w:t>
            </w:r>
          </w:p>
        </w:tc>
      </w:tr>
      <w:tr w14:paraId="0BAE9FC9" w14:textId="77777777">
        <w:tblPrEx>
          <w:tblW w:w="0" w:type="auto"/>
          <w:tblInd w:w="828" w:type="dxa"/>
          <w:tblLayout w:type="fixed"/>
          <w:tblLook w:val="04A0"/>
        </w:tblPrEx>
        <w:tc>
          <w:tcPr>
            <w:tcW w:w="1507" w:type="dxa"/>
            <w:shd w:val="clear" w:color="auto" w:fill="auto"/>
          </w:tcPr>
          <w:p w:rsidR="00F26366" w:rsidRPr="00F26366" w:rsidP="00F26366" w14:paraId="291BE8B7" w14:textId="77777777">
            <w:pPr>
              <w:widowControl/>
              <w:autoSpaceDE/>
              <w:autoSpaceDN/>
              <w:adjustRightInd/>
              <w:ind w:firstLine="720"/>
              <w:contextualSpacing/>
              <w:jc w:val="center"/>
              <w:rPr>
                <w:rFonts w:ascii="Times New Roman" w:eastAsia="Yu Mincho" w:hAnsi="Times New Roman"/>
                <w:b/>
                <w:szCs w:val="32"/>
              </w:rPr>
            </w:pPr>
            <w:bookmarkStart w:id="4" w:name="OLE_LINK1"/>
            <w:bookmarkStart w:id="5" w:name="OLE_LINK2"/>
          </w:p>
        </w:tc>
        <w:tc>
          <w:tcPr>
            <w:tcW w:w="3403" w:type="dxa"/>
            <w:gridSpan w:val="2"/>
            <w:shd w:val="clear" w:color="auto" w:fill="auto"/>
          </w:tcPr>
          <w:p w:rsidR="00F26366" w:rsidRPr="00F26366" w:rsidP="00F26366" w14:paraId="2EBB7EE3" w14:textId="77777777">
            <w:pPr>
              <w:widowControl/>
              <w:autoSpaceDE/>
              <w:autoSpaceDN/>
              <w:adjustRightInd/>
              <w:ind w:hanging="14"/>
              <w:contextualSpacing/>
              <w:jc w:val="center"/>
              <w:rPr>
                <w:rFonts w:ascii="Times New Roman" w:eastAsia="Yu Mincho" w:hAnsi="Times New Roman"/>
                <w:b/>
                <w:szCs w:val="32"/>
              </w:rPr>
            </w:pPr>
            <w:r w:rsidRPr="00F26366">
              <w:rPr>
                <w:rFonts w:ascii="Times New Roman" w:eastAsia="Yu Mincho" w:hAnsi="Times New Roman"/>
                <w:b/>
                <w:szCs w:val="32"/>
              </w:rPr>
              <w:t>Year 1</w:t>
            </w:r>
          </w:p>
        </w:tc>
        <w:tc>
          <w:tcPr>
            <w:tcW w:w="3403" w:type="dxa"/>
            <w:gridSpan w:val="2"/>
          </w:tcPr>
          <w:p w:rsidR="00F26366" w:rsidRPr="00F26366" w:rsidP="00F26366" w14:paraId="69FF8C1A" w14:textId="77777777">
            <w:pPr>
              <w:widowControl/>
              <w:autoSpaceDE/>
              <w:autoSpaceDN/>
              <w:adjustRightInd/>
              <w:ind w:firstLine="720"/>
              <w:contextualSpacing/>
              <w:jc w:val="center"/>
              <w:rPr>
                <w:rFonts w:ascii="Times New Roman" w:eastAsia="Yu Mincho" w:hAnsi="Times New Roman"/>
                <w:b/>
                <w:szCs w:val="32"/>
              </w:rPr>
            </w:pPr>
            <w:r w:rsidRPr="00F26366">
              <w:rPr>
                <w:rFonts w:ascii="Times New Roman" w:eastAsia="Yu Mincho" w:hAnsi="Times New Roman"/>
                <w:b/>
                <w:szCs w:val="32"/>
              </w:rPr>
              <w:t>Subsequent Years</w:t>
            </w:r>
          </w:p>
        </w:tc>
      </w:tr>
      <w:tr w14:paraId="5FD58BA4" w14:textId="77777777">
        <w:tblPrEx>
          <w:tblW w:w="0" w:type="auto"/>
          <w:tblInd w:w="828" w:type="dxa"/>
          <w:tblLayout w:type="fixed"/>
          <w:tblLook w:val="04A0"/>
        </w:tblPrEx>
        <w:tc>
          <w:tcPr>
            <w:tcW w:w="1507" w:type="dxa"/>
            <w:shd w:val="clear" w:color="auto" w:fill="auto"/>
          </w:tcPr>
          <w:p w:rsidR="00F26366" w:rsidRPr="00F26366" w:rsidP="00F26366" w14:paraId="4534896F" w14:textId="77777777">
            <w:pPr>
              <w:widowControl/>
              <w:autoSpaceDE/>
              <w:autoSpaceDN/>
              <w:adjustRightInd/>
              <w:ind w:firstLine="720"/>
              <w:contextualSpacing/>
              <w:jc w:val="center"/>
              <w:rPr>
                <w:rFonts w:ascii="Times New Roman" w:eastAsia="Yu Mincho" w:hAnsi="Times New Roman"/>
                <w:b/>
                <w:szCs w:val="32"/>
              </w:rPr>
            </w:pPr>
          </w:p>
        </w:tc>
        <w:tc>
          <w:tcPr>
            <w:tcW w:w="1701" w:type="dxa"/>
            <w:shd w:val="clear" w:color="auto" w:fill="auto"/>
          </w:tcPr>
          <w:p w:rsidR="00F26366" w:rsidRPr="00F26366" w:rsidP="00F26366" w14:paraId="0B892FA2" w14:textId="77777777">
            <w:pPr>
              <w:widowControl/>
              <w:autoSpaceDE/>
              <w:autoSpaceDN/>
              <w:adjustRightInd/>
              <w:ind w:firstLine="720"/>
              <w:contextualSpacing/>
              <w:jc w:val="center"/>
              <w:rPr>
                <w:rFonts w:ascii="Times New Roman" w:eastAsia="Yu Mincho" w:hAnsi="Times New Roman"/>
                <w:b/>
                <w:szCs w:val="32"/>
              </w:rPr>
            </w:pPr>
            <w:r w:rsidRPr="00F26366">
              <w:rPr>
                <w:rFonts w:ascii="Times New Roman" w:eastAsia="Yu Mincho" w:hAnsi="Times New Roman"/>
                <w:b/>
                <w:szCs w:val="32"/>
              </w:rPr>
              <w:t>Pages</w:t>
            </w:r>
          </w:p>
        </w:tc>
        <w:tc>
          <w:tcPr>
            <w:tcW w:w="1702" w:type="dxa"/>
            <w:shd w:val="clear" w:color="auto" w:fill="auto"/>
          </w:tcPr>
          <w:p w:rsidR="00F26366" w:rsidRPr="00F26366" w:rsidP="00F26366" w14:paraId="28F51832" w14:textId="77777777">
            <w:pPr>
              <w:widowControl/>
              <w:autoSpaceDE/>
              <w:autoSpaceDN/>
              <w:adjustRightInd/>
              <w:ind w:hanging="14"/>
              <w:contextualSpacing/>
              <w:jc w:val="center"/>
              <w:rPr>
                <w:rFonts w:ascii="Times New Roman" w:eastAsia="Yu Mincho" w:hAnsi="Times New Roman"/>
                <w:b/>
                <w:szCs w:val="32"/>
              </w:rPr>
            </w:pPr>
            <w:r w:rsidRPr="00F26366">
              <w:rPr>
                <w:rFonts w:ascii="Times New Roman" w:eastAsia="Yu Mincho" w:hAnsi="Times New Roman"/>
                <w:b/>
                <w:szCs w:val="32"/>
              </w:rPr>
              <w:t>Equivalent Burden Cost</w:t>
            </w:r>
          </w:p>
        </w:tc>
        <w:tc>
          <w:tcPr>
            <w:tcW w:w="1701" w:type="dxa"/>
          </w:tcPr>
          <w:p w:rsidR="00F26366" w:rsidRPr="00F26366" w:rsidP="00F26366" w14:paraId="5DADEE6F" w14:textId="77777777">
            <w:pPr>
              <w:widowControl/>
              <w:autoSpaceDE/>
              <w:autoSpaceDN/>
              <w:adjustRightInd/>
              <w:ind w:firstLine="720"/>
              <w:contextualSpacing/>
              <w:jc w:val="center"/>
              <w:rPr>
                <w:rFonts w:ascii="Times New Roman" w:eastAsia="Yu Mincho" w:hAnsi="Times New Roman"/>
                <w:b/>
                <w:szCs w:val="32"/>
              </w:rPr>
            </w:pPr>
            <w:r w:rsidRPr="00F26366">
              <w:rPr>
                <w:rFonts w:ascii="Times New Roman" w:eastAsia="Yu Mincho" w:hAnsi="Times New Roman"/>
                <w:b/>
                <w:szCs w:val="32"/>
              </w:rPr>
              <w:t>Pages</w:t>
            </w:r>
          </w:p>
        </w:tc>
        <w:tc>
          <w:tcPr>
            <w:tcW w:w="1702" w:type="dxa"/>
          </w:tcPr>
          <w:p w:rsidR="00F26366" w:rsidRPr="00F26366" w:rsidP="00F26366" w14:paraId="74A101F8" w14:textId="77777777">
            <w:pPr>
              <w:widowControl/>
              <w:autoSpaceDE/>
              <w:autoSpaceDN/>
              <w:adjustRightInd/>
              <w:ind w:firstLine="720"/>
              <w:contextualSpacing/>
              <w:jc w:val="center"/>
              <w:rPr>
                <w:rFonts w:ascii="Times New Roman" w:eastAsia="Yu Mincho" w:hAnsi="Times New Roman"/>
                <w:b/>
                <w:szCs w:val="32"/>
              </w:rPr>
            </w:pPr>
            <w:r w:rsidRPr="00F26366">
              <w:rPr>
                <w:rFonts w:ascii="Times New Roman" w:eastAsia="Yu Mincho" w:hAnsi="Times New Roman"/>
                <w:b/>
                <w:szCs w:val="32"/>
              </w:rPr>
              <w:t>Equivalent Burden Cost</w:t>
            </w:r>
          </w:p>
        </w:tc>
      </w:tr>
      <w:tr w14:paraId="0B30CA9C" w14:textId="77777777">
        <w:tblPrEx>
          <w:tblW w:w="0" w:type="auto"/>
          <w:tblInd w:w="828" w:type="dxa"/>
          <w:tblLayout w:type="fixed"/>
          <w:tblLook w:val="04A0"/>
        </w:tblPrEx>
        <w:tc>
          <w:tcPr>
            <w:tcW w:w="1507" w:type="dxa"/>
            <w:shd w:val="clear" w:color="auto" w:fill="auto"/>
          </w:tcPr>
          <w:p w:rsidR="00F26366" w:rsidRPr="00F26366" w:rsidP="00F26366" w14:paraId="1E5AF8DC" w14:textId="77777777">
            <w:pPr>
              <w:widowControl/>
              <w:autoSpaceDE/>
              <w:autoSpaceDN/>
              <w:adjustRightInd/>
              <w:contextualSpacing/>
              <w:rPr>
                <w:rFonts w:ascii="Times New Roman" w:eastAsia="Yu Mincho" w:hAnsi="Times New Roman"/>
                <w:szCs w:val="32"/>
              </w:rPr>
            </w:pPr>
            <w:r w:rsidRPr="00F26366">
              <w:rPr>
                <w:rFonts w:ascii="Times New Roman" w:eastAsia="Yu Mincho" w:hAnsi="Times New Roman"/>
                <w:szCs w:val="32"/>
              </w:rPr>
              <w:t>Material and Postage Cost</w:t>
            </w:r>
          </w:p>
        </w:tc>
        <w:tc>
          <w:tcPr>
            <w:tcW w:w="1701" w:type="dxa"/>
            <w:shd w:val="clear" w:color="auto" w:fill="auto"/>
          </w:tcPr>
          <w:p w:rsidR="00F26366" w:rsidRPr="00F26366" w:rsidP="00F26366" w14:paraId="2309C114" w14:textId="77777777">
            <w:pPr>
              <w:widowControl/>
              <w:autoSpaceDE/>
              <w:autoSpaceDN/>
              <w:adjustRightInd/>
              <w:ind w:firstLine="720"/>
              <w:contextualSpacing/>
              <w:jc w:val="right"/>
              <w:rPr>
                <w:rFonts w:ascii="Times New Roman" w:eastAsia="Yu Mincho" w:hAnsi="Times New Roman"/>
                <w:szCs w:val="32"/>
              </w:rPr>
            </w:pPr>
            <w:r w:rsidRPr="00F26366">
              <w:rPr>
                <w:rFonts w:ascii="Times New Roman" w:eastAsia="Yu Mincho" w:hAnsi="Times New Roman"/>
                <w:szCs w:val="32"/>
              </w:rPr>
              <w:t>7</w:t>
            </w:r>
          </w:p>
        </w:tc>
        <w:tc>
          <w:tcPr>
            <w:tcW w:w="1702" w:type="dxa"/>
            <w:shd w:val="clear" w:color="auto" w:fill="auto"/>
          </w:tcPr>
          <w:p w:rsidR="00F26366" w:rsidRPr="00F26366" w:rsidP="00F26366" w14:paraId="4840D5BC" w14:textId="77777777">
            <w:pPr>
              <w:widowControl/>
              <w:autoSpaceDE/>
              <w:autoSpaceDN/>
              <w:adjustRightInd/>
              <w:ind w:hanging="14"/>
              <w:contextualSpacing/>
              <w:jc w:val="right"/>
              <w:rPr>
                <w:rFonts w:ascii="Times New Roman" w:eastAsia="Yu Mincho" w:hAnsi="Times New Roman"/>
                <w:szCs w:val="32"/>
              </w:rPr>
            </w:pPr>
            <w:r w:rsidRPr="00F26366">
              <w:rPr>
                <w:rFonts w:ascii="Times New Roman" w:eastAsia="Yu Mincho" w:hAnsi="Times New Roman"/>
                <w:szCs w:val="32"/>
              </w:rPr>
              <w:t>$</w:t>
            </w:r>
            <w:r w:rsidRPr="00F26366">
              <w:rPr>
                <w:rFonts w:ascii="Times New Roman" w:eastAsia="Yu Mincho" w:hAnsi="Times New Roman"/>
                <w:szCs w:val="32"/>
                <w:lang w:val="en"/>
              </w:rPr>
              <w:t>2,313</w:t>
            </w:r>
          </w:p>
        </w:tc>
        <w:tc>
          <w:tcPr>
            <w:tcW w:w="1701" w:type="dxa"/>
          </w:tcPr>
          <w:p w:rsidR="00F26366" w:rsidRPr="00F26366" w:rsidP="00F26366" w14:paraId="7A547359" w14:textId="77777777">
            <w:pPr>
              <w:widowControl/>
              <w:autoSpaceDE/>
              <w:autoSpaceDN/>
              <w:adjustRightInd/>
              <w:ind w:firstLine="720"/>
              <w:contextualSpacing/>
              <w:jc w:val="right"/>
              <w:rPr>
                <w:rFonts w:ascii="Times New Roman" w:eastAsia="Yu Mincho" w:hAnsi="Times New Roman"/>
                <w:szCs w:val="32"/>
              </w:rPr>
            </w:pPr>
            <w:r w:rsidRPr="00F26366">
              <w:rPr>
                <w:rFonts w:ascii="Times New Roman" w:eastAsia="Yu Mincho" w:hAnsi="Times New Roman"/>
                <w:szCs w:val="32"/>
              </w:rPr>
              <w:t>7</w:t>
            </w:r>
          </w:p>
        </w:tc>
        <w:tc>
          <w:tcPr>
            <w:tcW w:w="1702" w:type="dxa"/>
          </w:tcPr>
          <w:p w:rsidR="00F26366" w:rsidRPr="00F26366" w:rsidP="00F26366" w14:paraId="14DA064F" w14:textId="77777777">
            <w:pPr>
              <w:widowControl/>
              <w:autoSpaceDE/>
              <w:autoSpaceDN/>
              <w:adjustRightInd/>
              <w:ind w:firstLine="720"/>
              <w:contextualSpacing/>
              <w:jc w:val="right"/>
              <w:rPr>
                <w:rFonts w:ascii="Times New Roman" w:eastAsia="Yu Mincho" w:hAnsi="Times New Roman"/>
                <w:szCs w:val="32"/>
              </w:rPr>
            </w:pPr>
            <w:r w:rsidRPr="00F26366">
              <w:rPr>
                <w:rFonts w:ascii="Times New Roman" w:eastAsia="Yu Mincho" w:hAnsi="Times New Roman"/>
                <w:szCs w:val="32"/>
              </w:rPr>
              <w:t>$</w:t>
            </w:r>
            <w:r w:rsidRPr="00F26366">
              <w:rPr>
                <w:rFonts w:ascii="Times New Roman" w:eastAsia="Yu Mincho" w:hAnsi="Times New Roman"/>
                <w:szCs w:val="32"/>
                <w:lang w:val="en"/>
              </w:rPr>
              <w:t>2,313</w:t>
            </w:r>
          </w:p>
        </w:tc>
      </w:tr>
      <w:tr w14:paraId="2A8B3AA3" w14:textId="77777777">
        <w:tblPrEx>
          <w:tblW w:w="0" w:type="auto"/>
          <w:tblInd w:w="828" w:type="dxa"/>
          <w:tblLayout w:type="fixed"/>
          <w:tblLook w:val="04A0"/>
        </w:tblPrEx>
        <w:tc>
          <w:tcPr>
            <w:tcW w:w="1507" w:type="dxa"/>
            <w:shd w:val="clear" w:color="auto" w:fill="auto"/>
          </w:tcPr>
          <w:p w:rsidR="00F26366" w:rsidRPr="00F26366" w:rsidP="00F26366" w14:paraId="69D98834" w14:textId="77777777">
            <w:pPr>
              <w:widowControl/>
              <w:autoSpaceDE/>
              <w:autoSpaceDN/>
              <w:adjustRightInd/>
              <w:ind w:firstLine="720"/>
              <w:contextualSpacing/>
              <w:rPr>
                <w:rFonts w:ascii="Times New Roman" w:eastAsia="Yu Mincho" w:hAnsi="Times New Roman"/>
                <w:b/>
                <w:szCs w:val="32"/>
              </w:rPr>
            </w:pPr>
            <w:r w:rsidRPr="00F26366">
              <w:rPr>
                <w:rFonts w:ascii="Times New Roman" w:eastAsia="Yu Mincho" w:hAnsi="Times New Roman"/>
                <w:b/>
                <w:szCs w:val="32"/>
              </w:rPr>
              <w:t>Total</w:t>
            </w:r>
          </w:p>
        </w:tc>
        <w:tc>
          <w:tcPr>
            <w:tcW w:w="1701" w:type="dxa"/>
            <w:shd w:val="clear" w:color="auto" w:fill="auto"/>
          </w:tcPr>
          <w:p w:rsidR="00F26366" w:rsidRPr="00F26366" w:rsidP="00F26366" w14:paraId="594B224F" w14:textId="77777777">
            <w:pPr>
              <w:widowControl/>
              <w:autoSpaceDE/>
              <w:autoSpaceDN/>
              <w:adjustRightInd/>
              <w:ind w:firstLine="720"/>
              <w:contextualSpacing/>
              <w:jc w:val="right"/>
              <w:rPr>
                <w:rFonts w:ascii="Times New Roman" w:eastAsia="Yu Mincho" w:hAnsi="Times New Roman"/>
                <w:b/>
                <w:szCs w:val="32"/>
              </w:rPr>
            </w:pPr>
            <w:r w:rsidRPr="00F26366">
              <w:rPr>
                <w:rFonts w:ascii="Times New Roman" w:eastAsia="Yu Mincho" w:hAnsi="Times New Roman"/>
                <w:b/>
                <w:szCs w:val="32"/>
              </w:rPr>
              <w:t>7</w:t>
            </w:r>
          </w:p>
        </w:tc>
        <w:tc>
          <w:tcPr>
            <w:tcW w:w="1702" w:type="dxa"/>
            <w:shd w:val="clear" w:color="auto" w:fill="auto"/>
          </w:tcPr>
          <w:p w:rsidR="00F26366" w:rsidRPr="00F26366" w:rsidP="00F26366" w14:paraId="32700E5C" w14:textId="77777777">
            <w:pPr>
              <w:widowControl/>
              <w:autoSpaceDE/>
              <w:autoSpaceDN/>
              <w:adjustRightInd/>
              <w:ind w:hanging="14"/>
              <w:contextualSpacing/>
              <w:jc w:val="right"/>
              <w:rPr>
                <w:rFonts w:ascii="Times New Roman" w:eastAsia="Yu Mincho" w:hAnsi="Times New Roman"/>
                <w:b/>
                <w:szCs w:val="32"/>
              </w:rPr>
            </w:pPr>
            <w:r w:rsidRPr="00F26366">
              <w:rPr>
                <w:rFonts w:ascii="Times New Roman" w:eastAsia="Yu Mincho" w:hAnsi="Times New Roman"/>
                <w:b/>
                <w:szCs w:val="32"/>
              </w:rPr>
              <w:t>$2,313</w:t>
            </w:r>
          </w:p>
        </w:tc>
        <w:tc>
          <w:tcPr>
            <w:tcW w:w="1701" w:type="dxa"/>
          </w:tcPr>
          <w:p w:rsidR="00F26366" w:rsidRPr="00F26366" w:rsidP="00F26366" w14:paraId="0FE3BB36" w14:textId="77777777">
            <w:pPr>
              <w:widowControl/>
              <w:autoSpaceDE/>
              <w:autoSpaceDN/>
              <w:adjustRightInd/>
              <w:ind w:firstLine="720"/>
              <w:contextualSpacing/>
              <w:jc w:val="right"/>
              <w:rPr>
                <w:rFonts w:ascii="Times New Roman" w:eastAsia="Yu Mincho" w:hAnsi="Times New Roman"/>
                <w:b/>
                <w:szCs w:val="32"/>
              </w:rPr>
            </w:pPr>
            <w:r w:rsidRPr="00F26366">
              <w:rPr>
                <w:rFonts w:ascii="Times New Roman" w:eastAsia="Yu Mincho" w:hAnsi="Times New Roman"/>
                <w:b/>
                <w:szCs w:val="32"/>
              </w:rPr>
              <w:t>7</w:t>
            </w:r>
          </w:p>
        </w:tc>
        <w:tc>
          <w:tcPr>
            <w:tcW w:w="1702" w:type="dxa"/>
          </w:tcPr>
          <w:p w:rsidR="00F26366" w:rsidRPr="00F26366" w:rsidP="00F26366" w14:paraId="2E91CDA7" w14:textId="77777777">
            <w:pPr>
              <w:widowControl/>
              <w:autoSpaceDE/>
              <w:autoSpaceDN/>
              <w:adjustRightInd/>
              <w:ind w:firstLine="720"/>
              <w:contextualSpacing/>
              <w:jc w:val="right"/>
              <w:rPr>
                <w:rFonts w:ascii="Times New Roman" w:eastAsia="Yu Mincho" w:hAnsi="Times New Roman"/>
                <w:b/>
                <w:szCs w:val="32"/>
              </w:rPr>
            </w:pPr>
            <w:r w:rsidRPr="00F26366">
              <w:rPr>
                <w:rFonts w:ascii="Times New Roman" w:eastAsia="Yu Mincho" w:hAnsi="Times New Roman"/>
                <w:b/>
                <w:szCs w:val="32"/>
              </w:rPr>
              <w:t>$2,313</w:t>
            </w:r>
          </w:p>
        </w:tc>
      </w:tr>
      <w:bookmarkEnd w:id="4"/>
      <w:bookmarkEnd w:id="5"/>
    </w:tbl>
    <w:p w:rsidR="00A36FAF" w:rsidP="00675971" w14:paraId="0B695E07" w14:textId="77777777">
      <w:pPr>
        <w:contextualSpacing/>
        <w:rPr>
          <w:rFonts w:ascii="Times New Roman" w:hAnsi="Times New Roman"/>
        </w:rPr>
      </w:pPr>
    </w:p>
    <w:p w:rsidR="00D26146" w:rsidRPr="00D26146" w:rsidP="00675971" w14:paraId="77F9EC05" w14:textId="77777777">
      <w:pPr>
        <w:pStyle w:val="Quick1"/>
        <w:numPr>
          <w:ilvl w:val="1"/>
          <w:numId w:val="29"/>
        </w:numPr>
        <w:tabs>
          <w:tab w:val="left" w:pos="-1440"/>
        </w:tabs>
        <w:ind w:left="720" w:firstLine="0"/>
        <w:contextualSpacing/>
        <w:rPr>
          <w:rFonts w:ascii="Times New Roman" w:hAnsi="Times New Roman"/>
          <w:i/>
          <w:iCs/>
        </w:rPr>
      </w:pPr>
      <w:r>
        <w:rPr>
          <w:rFonts w:ascii="Times New Roman" w:hAnsi="Times New Roman"/>
          <w:i/>
        </w:rPr>
        <w:t>Cost</w:t>
      </w:r>
      <w:r w:rsidRPr="00530597" w:rsidR="00A36FAF">
        <w:rPr>
          <w:rFonts w:ascii="Times New Roman" w:hAnsi="Times New Roman"/>
          <w:i/>
        </w:rPr>
        <w:t xml:space="preserve"> Burden Associated with Satisfying Conditions for Transactions Desc</w:t>
      </w:r>
      <w:r>
        <w:rPr>
          <w:rFonts w:ascii="Times New Roman" w:hAnsi="Times New Roman"/>
          <w:i/>
        </w:rPr>
        <w:t xml:space="preserve">ribed in </w:t>
      </w:r>
    </w:p>
    <w:p w:rsidR="00A36FAF" w:rsidRPr="009631CC" w:rsidP="00675971" w14:paraId="6448FB72" w14:textId="2A28FB0E">
      <w:pPr>
        <w:pStyle w:val="Quick1"/>
        <w:numPr>
          <w:ilvl w:val="0"/>
          <w:numId w:val="0"/>
        </w:numPr>
        <w:tabs>
          <w:tab w:val="left" w:pos="-1440"/>
        </w:tabs>
        <w:ind w:left="720" w:firstLine="90"/>
        <w:contextualSpacing/>
        <w:rPr>
          <w:rFonts w:ascii="Times New Roman" w:hAnsi="Times New Roman"/>
          <w:i/>
          <w:iCs/>
        </w:rPr>
      </w:pPr>
      <w:r>
        <w:rPr>
          <w:rFonts w:ascii="Times New Roman" w:hAnsi="Times New Roman"/>
          <w:i/>
        </w:rPr>
        <w:tab/>
      </w:r>
      <w:r w:rsidR="00EC2494">
        <w:rPr>
          <w:rFonts w:ascii="Times New Roman" w:hAnsi="Times New Roman"/>
          <w:i/>
        </w:rPr>
        <w:t>Section III(g</w:t>
      </w:r>
      <w:r w:rsidRPr="00530597">
        <w:rPr>
          <w:rFonts w:ascii="Times New Roman" w:hAnsi="Times New Roman"/>
          <w:i/>
        </w:rPr>
        <w:t>)</w:t>
      </w:r>
    </w:p>
    <w:p w:rsidR="00EC2494" w:rsidRPr="009631CC" w:rsidP="00945117" w14:paraId="271FF21E" w14:textId="77777777">
      <w:pPr>
        <w:pStyle w:val="Quick1"/>
        <w:numPr>
          <w:ilvl w:val="0"/>
          <w:numId w:val="0"/>
        </w:numPr>
        <w:tabs>
          <w:tab w:val="left" w:pos="-1440"/>
        </w:tabs>
        <w:ind w:left="792"/>
        <w:contextualSpacing/>
        <w:rPr>
          <w:rFonts w:ascii="Times New Roman" w:hAnsi="Times New Roman"/>
          <w:i/>
          <w:iCs/>
        </w:rPr>
      </w:pPr>
    </w:p>
    <w:p w:rsidR="00675971" w:rsidP="00675971" w14:paraId="33C0D2A9" w14:textId="77777777">
      <w:pPr>
        <w:pStyle w:val="Quick1"/>
        <w:numPr>
          <w:ilvl w:val="2"/>
          <w:numId w:val="29"/>
        </w:numPr>
        <w:tabs>
          <w:tab w:val="left" w:pos="-1440"/>
        </w:tabs>
        <w:ind w:left="1440" w:hanging="360"/>
        <w:contextualSpacing/>
        <w:rPr>
          <w:rFonts w:ascii="Times New Roman" w:hAnsi="Times New Roman"/>
          <w:i/>
          <w:iCs/>
        </w:rPr>
      </w:pPr>
      <w:r w:rsidRPr="00D26146">
        <w:rPr>
          <w:rFonts w:ascii="Times New Roman" w:hAnsi="Times New Roman"/>
          <w:i/>
          <w:iCs/>
        </w:rPr>
        <w:t xml:space="preserve">Mailing Cost for Disclosures Sent from Independent Producers to </w:t>
      </w:r>
    </w:p>
    <w:p w:rsidR="00EC2494" w:rsidRPr="0013547C" w:rsidP="00675971" w14:paraId="419D7B3C" w14:textId="341B8B7F">
      <w:pPr>
        <w:pStyle w:val="Quick1"/>
        <w:numPr>
          <w:ilvl w:val="0"/>
          <w:numId w:val="0"/>
        </w:numPr>
        <w:tabs>
          <w:tab w:val="left" w:pos="-1440"/>
        </w:tabs>
        <w:ind w:left="1440"/>
        <w:contextualSpacing/>
        <w:rPr>
          <w:rFonts w:ascii="Times New Roman" w:hAnsi="Times New Roman"/>
          <w:i/>
          <w:iCs/>
        </w:rPr>
      </w:pPr>
      <w:r>
        <w:rPr>
          <w:rFonts w:ascii="Times New Roman" w:hAnsi="Times New Roman"/>
          <w:i/>
          <w:iCs/>
        </w:rPr>
        <w:tab/>
      </w:r>
      <w:r w:rsidRPr="00D26146" w:rsidR="00D26146">
        <w:rPr>
          <w:rFonts w:ascii="Times New Roman" w:hAnsi="Times New Roman"/>
          <w:i/>
          <w:iCs/>
        </w:rPr>
        <w:t>Retirement Investors</w:t>
      </w:r>
    </w:p>
    <w:p w:rsidR="002C20C8" w:rsidRPr="00530597" w:rsidP="00945117" w14:paraId="73B5CDC8" w14:textId="6235EB0B">
      <w:pPr>
        <w:ind w:left="720"/>
        <w:contextualSpacing/>
        <w:rPr>
          <w:rFonts w:ascii="Times New Roman" w:hAnsi="Times New Roman"/>
          <w:i/>
        </w:rPr>
      </w:pPr>
    </w:p>
    <w:p w:rsidR="00D26146" w:rsidRPr="00D26146" w:rsidP="00D26146" w14:paraId="35978F3B" w14:textId="771449A7">
      <w:pPr>
        <w:ind w:left="720"/>
        <w:contextualSpacing/>
        <w:rPr>
          <w:rFonts w:ascii="Times New Roman" w:hAnsi="Times New Roman"/>
        </w:rPr>
      </w:pPr>
      <w:r w:rsidRPr="00D26146">
        <w:rPr>
          <w:rFonts w:ascii="Times New Roman" w:hAnsi="Times New Roman"/>
        </w:rPr>
        <w:t>As discussed</w:t>
      </w:r>
      <w:r w:rsidR="00352337">
        <w:rPr>
          <w:rFonts w:ascii="Times New Roman" w:hAnsi="Times New Roman"/>
        </w:rPr>
        <w:t xml:space="preserve"> above</w:t>
      </w:r>
      <w:r w:rsidRPr="00D26146">
        <w:rPr>
          <w:rFonts w:ascii="Times New Roman" w:hAnsi="Times New Roman"/>
        </w:rPr>
        <w:t xml:space="preserve">, </w:t>
      </w:r>
      <w:r w:rsidR="00352337">
        <w:rPr>
          <w:rFonts w:ascii="Times New Roman" w:hAnsi="Times New Roman"/>
        </w:rPr>
        <w:t>t</w:t>
      </w:r>
      <w:r w:rsidRPr="00D26146">
        <w:rPr>
          <w:rFonts w:ascii="Times New Roman" w:hAnsi="Times New Roman"/>
        </w:rPr>
        <w:t>he Department assumes that 5.8 percent of disclosures would be mailed. Accordingly, of the estimated 52,449 affected retirement investors, 3,042 retirement investors are estimated to receive paper disclosures.</w:t>
      </w:r>
      <w:r>
        <w:rPr>
          <w:rFonts w:ascii="Times New Roman" w:hAnsi="Times New Roman"/>
          <w:vertAlign w:val="superscript"/>
        </w:rPr>
        <w:footnoteReference w:id="67"/>
      </w:r>
      <w:r w:rsidRPr="00D26146">
        <w:rPr>
          <w:rFonts w:ascii="Times New Roman" w:hAnsi="Times New Roman"/>
        </w:rPr>
        <w:t xml:space="preserve"> The Department assumes that this information would include seven pages, resulting in an annual cost burden for material and paper costs of $3,072.</w:t>
      </w:r>
      <w:r>
        <w:rPr>
          <w:rFonts w:ascii="Times New Roman" w:hAnsi="Times New Roman"/>
          <w:vertAlign w:val="superscript"/>
        </w:rPr>
        <w:footnoteReference w:id="68"/>
      </w:r>
    </w:p>
    <w:p w:rsidR="004139C6" w:rsidRPr="007F3B6C" w:rsidP="00D26146" w14:paraId="7F08817B" w14:textId="77777777">
      <w:pPr>
        <w:ind w:left="720"/>
        <w:contextualSpacing/>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701"/>
        <w:gridCol w:w="1702"/>
        <w:gridCol w:w="1701"/>
        <w:gridCol w:w="1702"/>
      </w:tblGrid>
      <w:tr w14:paraId="4C1B23F0" w14:textId="77777777" w:rsidTr="00F81950">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313" w:type="dxa"/>
            <w:gridSpan w:val="5"/>
            <w:shd w:val="clear" w:color="auto" w:fill="auto"/>
          </w:tcPr>
          <w:p w:rsidR="00BC2DDB" w:rsidRPr="00BC2DDB" w:rsidP="00BC2DDB" w14:paraId="5AAA235A" w14:textId="63B19F96">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 xml:space="preserve">Table </w:t>
            </w:r>
            <w:r>
              <w:rPr>
                <w:rFonts w:ascii="Times New Roman" w:eastAsia="Yu Mincho" w:hAnsi="Times New Roman"/>
                <w:b/>
                <w:szCs w:val="32"/>
              </w:rPr>
              <w:t>20</w:t>
            </w:r>
            <w:r w:rsidRPr="00BC2DDB">
              <w:rPr>
                <w:rFonts w:ascii="Times New Roman" w:eastAsia="Yu Mincho" w:hAnsi="Times New Roman"/>
                <w:b/>
                <w:szCs w:val="32"/>
              </w:rPr>
              <w:t>:</w:t>
            </w:r>
            <w:r w:rsidRPr="00BC2DDB">
              <w:rPr>
                <w:rFonts w:ascii="Times New Roman" w:eastAsia="Yu Mincho" w:hAnsi="Times New Roman"/>
                <w:b/>
                <w:szCs w:val="32"/>
              </w:rPr>
              <w:t xml:space="preserve"> </w:t>
            </w:r>
            <w:r w:rsidRPr="00BC2DDB">
              <w:rPr>
                <w:rFonts w:ascii="Times New Roman" w:eastAsia="Yu Mincho" w:hAnsi="Times New Roman"/>
                <w:b/>
                <w:szCs w:val="32"/>
              </w:rPr>
              <w:t>Material Cost Associated with the Disclosures</w:t>
            </w:r>
          </w:p>
        </w:tc>
      </w:tr>
      <w:tr w14:paraId="305805E0" w14:textId="77777777" w:rsidTr="00F81950">
        <w:tblPrEx>
          <w:tblW w:w="0" w:type="auto"/>
          <w:tblInd w:w="828" w:type="dxa"/>
          <w:tblLayout w:type="fixed"/>
          <w:tblLook w:val="04A0"/>
        </w:tblPrEx>
        <w:tc>
          <w:tcPr>
            <w:tcW w:w="1507" w:type="dxa"/>
            <w:shd w:val="clear" w:color="auto" w:fill="auto"/>
          </w:tcPr>
          <w:p w:rsidR="00BC2DDB" w:rsidRPr="00BC2DDB" w:rsidP="00BC2DDB" w14:paraId="483E8BC6" w14:textId="77777777">
            <w:pPr>
              <w:widowControl/>
              <w:autoSpaceDE/>
              <w:autoSpaceDN/>
              <w:adjustRightInd/>
              <w:ind w:firstLine="45"/>
              <w:contextualSpacing/>
              <w:jc w:val="center"/>
              <w:rPr>
                <w:rFonts w:ascii="Times New Roman" w:eastAsia="Yu Mincho" w:hAnsi="Times New Roman"/>
                <w:b/>
                <w:szCs w:val="32"/>
              </w:rPr>
            </w:pPr>
          </w:p>
        </w:tc>
        <w:tc>
          <w:tcPr>
            <w:tcW w:w="3403" w:type="dxa"/>
            <w:gridSpan w:val="2"/>
            <w:shd w:val="clear" w:color="auto" w:fill="auto"/>
          </w:tcPr>
          <w:p w:rsidR="00BC2DDB" w:rsidRPr="00BC2DDB" w:rsidP="00BC2DDB" w14:paraId="2284FFC0"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Year 1</w:t>
            </w:r>
          </w:p>
        </w:tc>
        <w:tc>
          <w:tcPr>
            <w:tcW w:w="3403" w:type="dxa"/>
            <w:gridSpan w:val="2"/>
          </w:tcPr>
          <w:p w:rsidR="00BC2DDB" w:rsidRPr="00BC2DDB" w:rsidP="00BC2DDB" w14:paraId="635433E7"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Subsequent Years</w:t>
            </w:r>
          </w:p>
        </w:tc>
      </w:tr>
      <w:tr w14:paraId="02E5D7DE" w14:textId="77777777" w:rsidTr="00F81950">
        <w:tblPrEx>
          <w:tblW w:w="0" w:type="auto"/>
          <w:tblInd w:w="828" w:type="dxa"/>
          <w:tblLayout w:type="fixed"/>
          <w:tblLook w:val="04A0"/>
        </w:tblPrEx>
        <w:tc>
          <w:tcPr>
            <w:tcW w:w="1507" w:type="dxa"/>
            <w:shd w:val="clear" w:color="auto" w:fill="auto"/>
          </w:tcPr>
          <w:p w:rsidR="00BC2DDB" w:rsidRPr="00BC2DDB" w:rsidP="00BC2DDB" w14:paraId="3BE63DDD"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Activity</w:t>
            </w:r>
          </w:p>
        </w:tc>
        <w:tc>
          <w:tcPr>
            <w:tcW w:w="1701" w:type="dxa"/>
            <w:shd w:val="clear" w:color="auto" w:fill="auto"/>
          </w:tcPr>
          <w:p w:rsidR="00BC2DDB" w:rsidRPr="00BC2DDB" w:rsidP="00BC2DDB" w14:paraId="0AE018D0"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Pages</w:t>
            </w:r>
          </w:p>
        </w:tc>
        <w:tc>
          <w:tcPr>
            <w:tcW w:w="1702" w:type="dxa"/>
            <w:shd w:val="clear" w:color="auto" w:fill="auto"/>
          </w:tcPr>
          <w:p w:rsidR="00BC2DDB" w:rsidRPr="00BC2DDB" w:rsidP="00BC2DDB" w14:paraId="522488A7"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Equivalent Burden Cost</w:t>
            </w:r>
          </w:p>
        </w:tc>
        <w:tc>
          <w:tcPr>
            <w:tcW w:w="1701" w:type="dxa"/>
          </w:tcPr>
          <w:p w:rsidR="00BC2DDB" w:rsidRPr="00BC2DDB" w:rsidP="00BC2DDB" w14:paraId="5E9B4522"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Pages</w:t>
            </w:r>
          </w:p>
        </w:tc>
        <w:tc>
          <w:tcPr>
            <w:tcW w:w="1702" w:type="dxa"/>
          </w:tcPr>
          <w:p w:rsidR="00BC2DDB" w:rsidRPr="00BC2DDB" w:rsidP="00BC2DDB" w14:paraId="05B81AB9" w14:textId="77777777">
            <w:pPr>
              <w:widowControl/>
              <w:autoSpaceDE/>
              <w:autoSpaceDN/>
              <w:adjustRightInd/>
              <w:ind w:firstLine="45"/>
              <w:contextualSpacing/>
              <w:jc w:val="center"/>
              <w:rPr>
                <w:rFonts w:ascii="Times New Roman" w:eastAsia="Yu Mincho" w:hAnsi="Times New Roman"/>
                <w:b/>
                <w:szCs w:val="32"/>
              </w:rPr>
            </w:pPr>
            <w:r w:rsidRPr="00BC2DDB">
              <w:rPr>
                <w:rFonts w:ascii="Times New Roman" w:eastAsia="Yu Mincho" w:hAnsi="Times New Roman"/>
                <w:b/>
                <w:szCs w:val="32"/>
              </w:rPr>
              <w:t>Equivalent Burden Cost</w:t>
            </w:r>
          </w:p>
        </w:tc>
      </w:tr>
      <w:tr w14:paraId="1242D788" w14:textId="77777777" w:rsidTr="00F81950">
        <w:tblPrEx>
          <w:tblW w:w="0" w:type="auto"/>
          <w:tblInd w:w="828" w:type="dxa"/>
          <w:tblLayout w:type="fixed"/>
          <w:tblLook w:val="04A0"/>
        </w:tblPrEx>
        <w:tc>
          <w:tcPr>
            <w:tcW w:w="1507" w:type="dxa"/>
            <w:shd w:val="clear" w:color="auto" w:fill="auto"/>
          </w:tcPr>
          <w:p w:rsidR="00BC2DDB" w:rsidRPr="00BC2DDB" w:rsidP="00BC2DDB" w14:paraId="46971D04" w14:textId="77777777">
            <w:pPr>
              <w:widowControl/>
              <w:autoSpaceDE/>
              <w:autoSpaceDN/>
              <w:adjustRightInd/>
              <w:ind w:firstLine="45"/>
              <w:contextualSpacing/>
              <w:rPr>
                <w:rFonts w:ascii="Times New Roman" w:eastAsia="Yu Mincho" w:hAnsi="Times New Roman"/>
                <w:szCs w:val="32"/>
              </w:rPr>
            </w:pPr>
            <w:r w:rsidRPr="00BC2DDB">
              <w:rPr>
                <w:rFonts w:ascii="Times New Roman" w:eastAsia="Yu Mincho" w:hAnsi="Times New Roman"/>
                <w:szCs w:val="32"/>
              </w:rPr>
              <w:t xml:space="preserve">Cost </w:t>
            </w:r>
          </w:p>
        </w:tc>
        <w:tc>
          <w:tcPr>
            <w:tcW w:w="1701" w:type="dxa"/>
            <w:shd w:val="clear" w:color="auto" w:fill="auto"/>
          </w:tcPr>
          <w:p w:rsidR="00BC2DDB" w:rsidRPr="00BC2DDB" w:rsidP="00BC2DDB" w14:paraId="2E40F33B" w14:textId="77777777">
            <w:pPr>
              <w:widowControl/>
              <w:autoSpaceDE/>
              <w:autoSpaceDN/>
              <w:adjustRightInd/>
              <w:ind w:firstLine="45"/>
              <w:contextualSpacing/>
              <w:jc w:val="right"/>
              <w:rPr>
                <w:rFonts w:ascii="Times New Roman" w:eastAsia="Yu Mincho" w:hAnsi="Times New Roman"/>
                <w:szCs w:val="32"/>
              </w:rPr>
            </w:pPr>
            <w:r w:rsidRPr="00BC2DDB">
              <w:rPr>
                <w:rFonts w:ascii="Times New Roman" w:eastAsia="Yu Mincho" w:hAnsi="Times New Roman"/>
                <w:szCs w:val="32"/>
              </w:rPr>
              <w:t>7</w:t>
            </w:r>
          </w:p>
        </w:tc>
        <w:tc>
          <w:tcPr>
            <w:tcW w:w="1702" w:type="dxa"/>
            <w:shd w:val="clear" w:color="auto" w:fill="auto"/>
          </w:tcPr>
          <w:p w:rsidR="00BC2DDB" w:rsidRPr="00BC2DDB" w:rsidP="00BC2DDB" w14:paraId="0CBFE193" w14:textId="77777777">
            <w:pPr>
              <w:widowControl/>
              <w:autoSpaceDE/>
              <w:autoSpaceDN/>
              <w:adjustRightInd/>
              <w:ind w:firstLine="45"/>
              <w:contextualSpacing/>
              <w:jc w:val="right"/>
              <w:rPr>
                <w:rFonts w:ascii="Times New Roman" w:eastAsia="Yu Mincho" w:hAnsi="Times New Roman"/>
                <w:szCs w:val="32"/>
              </w:rPr>
            </w:pPr>
            <w:r w:rsidRPr="00BC2DDB">
              <w:rPr>
                <w:rFonts w:ascii="Times New Roman" w:eastAsia="Yu Mincho" w:hAnsi="Times New Roman"/>
                <w:szCs w:val="32"/>
              </w:rPr>
              <w:t>$</w:t>
            </w:r>
            <w:r w:rsidRPr="00BC2DDB">
              <w:rPr>
                <w:rFonts w:ascii="Times New Roman" w:eastAsia="Yu Mincho" w:hAnsi="Times New Roman"/>
                <w:szCs w:val="32"/>
                <w:lang w:val="en"/>
              </w:rPr>
              <w:t>3,072</w:t>
            </w:r>
          </w:p>
        </w:tc>
        <w:tc>
          <w:tcPr>
            <w:tcW w:w="1701" w:type="dxa"/>
          </w:tcPr>
          <w:p w:rsidR="00BC2DDB" w:rsidRPr="00BC2DDB" w:rsidP="00BC2DDB" w14:paraId="383D6E4A" w14:textId="77777777">
            <w:pPr>
              <w:widowControl/>
              <w:autoSpaceDE/>
              <w:autoSpaceDN/>
              <w:adjustRightInd/>
              <w:ind w:firstLine="45"/>
              <w:contextualSpacing/>
              <w:jc w:val="right"/>
              <w:rPr>
                <w:rFonts w:ascii="Times New Roman" w:eastAsia="Yu Mincho" w:hAnsi="Times New Roman"/>
                <w:szCs w:val="32"/>
              </w:rPr>
            </w:pPr>
            <w:r w:rsidRPr="00BC2DDB">
              <w:rPr>
                <w:rFonts w:ascii="Times New Roman" w:eastAsia="Yu Mincho" w:hAnsi="Times New Roman"/>
                <w:szCs w:val="32"/>
              </w:rPr>
              <w:t>7</w:t>
            </w:r>
          </w:p>
        </w:tc>
        <w:tc>
          <w:tcPr>
            <w:tcW w:w="1702" w:type="dxa"/>
          </w:tcPr>
          <w:p w:rsidR="00BC2DDB" w:rsidRPr="00BC2DDB" w:rsidP="00BC2DDB" w14:paraId="27BCD4F7" w14:textId="77777777">
            <w:pPr>
              <w:widowControl/>
              <w:autoSpaceDE/>
              <w:autoSpaceDN/>
              <w:adjustRightInd/>
              <w:ind w:firstLine="45"/>
              <w:contextualSpacing/>
              <w:jc w:val="right"/>
              <w:rPr>
                <w:rFonts w:ascii="Times New Roman" w:eastAsia="Yu Mincho" w:hAnsi="Times New Roman"/>
                <w:szCs w:val="32"/>
              </w:rPr>
            </w:pPr>
            <w:r w:rsidRPr="00BC2DDB">
              <w:rPr>
                <w:rFonts w:ascii="Times New Roman" w:eastAsia="Yu Mincho" w:hAnsi="Times New Roman"/>
                <w:szCs w:val="32"/>
              </w:rPr>
              <w:t>$</w:t>
            </w:r>
            <w:r w:rsidRPr="00BC2DDB">
              <w:rPr>
                <w:rFonts w:ascii="Times New Roman" w:eastAsia="Yu Mincho" w:hAnsi="Times New Roman"/>
                <w:szCs w:val="32"/>
                <w:lang w:val="en"/>
              </w:rPr>
              <w:t>3,072</w:t>
            </w:r>
          </w:p>
        </w:tc>
      </w:tr>
      <w:tr w14:paraId="442ECE75" w14:textId="77777777" w:rsidTr="00F81950">
        <w:tblPrEx>
          <w:tblW w:w="0" w:type="auto"/>
          <w:tblInd w:w="828" w:type="dxa"/>
          <w:tblLayout w:type="fixed"/>
          <w:tblLook w:val="04A0"/>
        </w:tblPrEx>
        <w:tc>
          <w:tcPr>
            <w:tcW w:w="1507" w:type="dxa"/>
            <w:shd w:val="clear" w:color="auto" w:fill="auto"/>
          </w:tcPr>
          <w:p w:rsidR="00BC2DDB" w:rsidRPr="00BC2DDB" w:rsidP="00BC2DDB" w14:paraId="2953410B" w14:textId="77777777">
            <w:pPr>
              <w:widowControl/>
              <w:autoSpaceDE/>
              <w:autoSpaceDN/>
              <w:adjustRightInd/>
              <w:ind w:firstLine="45"/>
              <w:contextualSpacing/>
              <w:rPr>
                <w:rFonts w:ascii="Times New Roman" w:eastAsia="Yu Mincho" w:hAnsi="Times New Roman"/>
                <w:b/>
                <w:szCs w:val="32"/>
              </w:rPr>
            </w:pPr>
            <w:r w:rsidRPr="00BC2DDB">
              <w:rPr>
                <w:rFonts w:ascii="Times New Roman" w:eastAsia="Yu Mincho" w:hAnsi="Times New Roman"/>
                <w:b/>
                <w:szCs w:val="32"/>
              </w:rPr>
              <w:t>Total</w:t>
            </w:r>
          </w:p>
        </w:tc>
        <w:tc>
          <w:tcPr>
            <w:tcW w:w="1701" w:type="dxa"/>
            <w:shd w:val="clear" w:color="auto" w:fill="auto"/>
          </w:tcPr>
          <w:p w:rsidR="00BC2DDB" w:rsidRPr="00BC2DDB" w:rsidP="00BC2DDB" w14:paraId="79F30528" w14:textId="77777777">
            <w:pPr>
              <w:widowControl/>
              <w:autoSpaceDE/>
              <w:autoSpaceDN/>
              <w:adjustRightInd/>
              <w:ind w:firstLine="45"/>
              <w:contextualSpacing/>
              <w:jc w:val="right"/>
              <w:rPr>
                <w:rFonts w:ascii="Times New Roman" w:eastAsia="Yu Mincho" w:hAnsi="Times New Roman"/>
                <w:b/>
                <w:szCs w:val="32"/>
              </w:rPr>
            </w:pPr>
            <w:r w:rsidRPr="00BC2DDB">
              <w:rPr>
                <w:rFonts w:ascii="Times New Roman" w:eastAsia="Yu Mincho" w:hAnsi="Times New Roman"/>
                <w:b/>
                <w:szCs w:val="32"/>
              </w:rPr>
              <w:t>7</w:t>
            </w:r>
          </w:p>
        </w:tc>
        <w:tc>
          <w:tcPr>
            <w:tcW w:w="1702" w:type="dxa"/>
            <w:shd w:val="clear" w:color="auto" w:fill="auto"/>
          </w:tcPr>
          <w:p w:rsidR="00BC2DDB" w:rsidRPr="00BC2DDB" w:rsidP="00BC2DDB" w14:paraId="7B19B847" w14:textId="77777777">
            <w:pPr>
              <w:widowControl/>
              <w:autoSpaceDE/>
              <w:autoSpaceDN/>
              <w:adjustRightInd/>
              <w:ind w:firstLine="45"/>
              <w:contextualSpacing/>
              <w:jc w:val="right"/>
              <w:rPr>
                <w:rFonts w:ascii="Times New Roman" w:eastAsia="Yu Mincho" w:hAnsi="Times New Roman"/>
                <w:b/>
                <w:szCs w:val="32"/>
              </w:rPr>
            </w:pPr>
            <w:r w:rsidRPr="00BC2DDB">
              <w:rPr>
                <w:rFonts w:ascii="Times New Roman" w:eastAsia="Yu Mincho" w:hAnsi="Times New Roman"/>
                <w:b/>
                <w:szCs w:val="32"/>
              </w:rPr>
              <w:t>$3,072</w:t>
            </w:r>
          </w:p>
        </w:tc>
        <w:tc>
          <w:tcPr>
            <w:tcW w:w="1701" w:type="dxa"/>
          </w:tcPr>
          <w:p w:rsidR="00BC2DDB" w:rsidRPr="00BC2DDB" w:rsidP="00BC2DDB" w14:paraId="24BF7999" w14:textId="77777777">
            <w:pPr>
              <w:widowControl/>
              <w:autoSpaceDE/>
              <w:autoSpaceDN/>
              <w:adjustRightInd/>
              <w:ind w:firstLine="45"/>
              <w:contextualSpacing/>
              <w:jc w:val="right"/>
              <w:rPr>
                <w:rFonts w:ascii="Times New Roman" w:eastAsia="Yu Mincho" w:hAnsi="Times New Roman"/>
                <w:b/>
                <w:szCs w:val="32"/>
              </w:rPr>
            </w:pPr>
            <w:r w:rsidRPr="00BC2DDB">
              <w:rPr>
                <w:rFonts w:ascii="Times New Roman" w:eastAsia="Yu Mincho" w:hAnsi="Times New Roman"/>
                <w:b/>
                <w:szCs w:val="32"/>
              </w:rPr>
              <w:t>7</w:t>
            </w:r>
          </w:p>
        </w:tc>
        <w:tc>
          <w:tcPr>
            <w:tcW w:w="1702" w:type="dxa"/>
          </w:tcPr>
          <w:p w:rsidR="00BC2DDB" w:rsidRPr="00BC2DDB" w:rsidP="00BC2DDB" w14:paraId="60A8BB85" w14:textId="77777777">
            <w:pPr>
              <w:widowControl/>
              <w:autoSpaceDE/>
              <w:autoSpaceDN/>
              <w:adjustRightInd/>
              <w:ind w:firstLine="45"/>
              <w:contextualSpacing/>
              <w:jc w:val="right"/>
              <w:rPr>
                <w:rFonts w:ascii="Times New Roman" w:eastAsia="Yu Mincho" w:hAnsi="Times New Roman"/>
                <w:b/>
                <w:szCs w:val="32"/>
              </w:rPr>
            </w:pPr>
            <w:r w:rsidRPr="00BC2DDB">
              <w:rPr>
                <w:rFonts w:ascii="Times New Roman" w:eastAsia="Yu Mincho" w:hAnsi="Times New Roman"/>
                <w:b/>
                <w:szCs w:val="32"/>
              </w:rPr>
              <w:t>$3,072</w:t>
            </w:r>
          </w:p>
        </w:tc>
      </w:tr>
    </w:tbl>
    <w:p w:rsidR="00675971" w:rsidP="00675971" w14:paraId="25576014" w14:textId="77777777">
      <w:pPr>
        <w:contextualSpacing/>
        <w:rPr>
          <w:rFonts w:ascii="Times New Roman" w:hAnsi="Times New Roman"/>
        </w:rPr>
      </w:pPr>
    </w:p>
    <w:p w:rsidR="00675971" w:rsidP="00675971" w14:paraId="0A34B1D5" w14:textId="66187087">
      <w:pPr>
        <w:ind w:left="720"/>
        <w:contextualSpacing/>
        <w:rPr>
          <w:rFonts w:ascii="Times New Roman" w:hAnsi="Times New Roman"/>
          <w:i/>
          <w:iCs/>
        </w:rPr>
      </w:pPr>
      <w:r w:rsidRPr="00675971">
        <w:rPr>
          <w:rFonts w:ascii="Times New Roman" w:hAnsi="Times New Roman"/>
          <w:i/>
          <w:iCs/>
        </w:rPr>
        <w:t xml:space="preserve">13.3. Summary </w:t>
      </w:r>
    </w:p>
    <w:p w:rsidR="00675971" w:rsidP="00675971" w14:paraId="2E46A36B" w14:textId="77777777">
      <w:pPr>
        <w:ind w:firstLine="720"/>
        <w:contextualSpacing/>
        <w:rPr>
          <w:rFonts w:ascii="Times New Roman" w:hAnsi="Times New Roman"/>
          <w:i/>
          <w:iCs/>
        </w:rPr>
      </w:pPr>
    </w:p>
    <w:p w:rsidR="00675971" w:rsidP="00070ED5" w14:paraId="52B23E52" w14:textId="093007FA">
      <w:pPr>
        <w:ind w:left="720"/>
        <w:contextualSpacing/>
        <w:rPr>
          <w:rFonts w:ascii="Times New Roman" w:hAnsi="Times New Roman"/>
        </w:rPr>
      </w:pPr>
      <w:r>
        <w:rPr>
          <w:rFonts w:ascii="Times New Roman" w:hAnsi="Times New Roman"/>
        </w:rPr>
        <w:t>In summary, the total</w:t>
      </w:r>
      <w:r w:rsidR="00070ED5">
        <w:rPr>
          <w:rFonts w:ascii="Times New Roman" w:hAnsi="Times New Roman"/>
        </w:rPr>
        <w:t xml:space="preserve"> annual</w:t>
      </w:r>
      <w:r>
        <w:rPr>
          <w:rFonts w:ascii="Times New Roman" w:hAnsi="Times New Roman"/>
        </w:rPr>
        <w:t xml:space="preserve"> cost burden associated with this information collection is </w:t>
      </w:r>
      <w:r w:rsidRPr="00675971">
        <w:rPr>
          <w:rFonts w:ascii="Times New Roman" w:hAnsi="Times New Roman"/>
        </w:rPr>
        <w:t>$8,457</w:t>
      </w:r>
      <w:r>
        <w:rPr>
          <w:rFonts w:ascii="Times New Roman" w:hAnsi="Times New Roman"/>
        </w:rPr>
        <w:t xml:space="preserve">. </w:t>
      </w:r>
    </w:p>
    <w:p w:rsidR="00675971" w:rsidRPr="00675971" w:rsidP="00675971" w14:paraId="69D64512" w14:textId="77777777">
      <w:pPr>
        <w:ind w:firstLine="720"/>
        <w:contextualSpacing/>
        <w:rPr>
          <w:rFonts w:ascii="Times New Roman" w:hAnsi="Times New Roman"/>
        </w:rPr>
      </w:pPr>
    </w:p>
    <w:p w:rsidR="0065485A" w:rsidRPr="00945117" w:rsidP="00D14A13" w14:paraId="2E9E66C6" w14:textId="756366C7">
      <w:pPr>
        <w:pStyle w:val="Style1"/>
        <w:rPr>
          <w:b w:val="0"/>
        </w:rPr>
      </w:pPr>
      <w:r w:rsidRPr="00945117">
        <w:t>Provide estimates of annualized cost to the Federal government.</w:t>
      </w:r>
      <w:r w:rsidR="002024E6">
        <w:t xml:space="preserve"> </w:t>
      </w:r>
      <w:r w:rsidRPr="00945117">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024E6">
        <w:t xml:space="preserve"> </w:t>
      </w:r>
      <w:r w:rsidRPr="00945117">
        <w:t>Agencies also may aggregate cost estimates from Items 12, 13, and 14 in a single table.</w:t>
      </w:r>
    </w:p>
    <w:p w:rsidR="0065485A" w:rsidRPr="00530597" w:rsidP="006627A7" w14:paraId="0DD972E1" w14:textId="77777777">
      <w:pPr>
        <w:ind w:left="720"/>
        <w:contextualSpacing/>
        <w:rPr>
          <w:rFonts w:ascii="Times New Roman" w:hAnsi="Times New Roman"/>
        </w:rPr>
      </w:pPr>
    </w:p>
    <w:p w:rsidR="0065485A" w:rsidRPr="00530597" w:rsidP="006627A7" w14:paraId="6A18D703" w14:textId="77777777">
      <w:pPr>
        <w:ind w:left="720"/>
        <w:contextualSpacing/>
        <w:rPr>
          <w:rFonts w:ascii="Times New Roman" w:hAnsi="Times New Roman"/>
        </w:rPr>
      </w:pPr>
      <w:r w:rsidRPr="00530597">
        <w:rPr>
          <w:rFonts w:ascii="Times New Roman" w:hAnsi="Times New Roman"/>
        </w:rPr>
        <w:t>There are no ongoing costs to the Federal government.</w:t>
      </w:r>
    </w:p>
    <w:p w:rsidR="0065485A" w:rsidRPr="00530597" w:rsidP="006627A7" w14:paraId="55FD6D8C" w14:textId="77777777">
      <w:pPr>
        <w:ind w:left="720"/>
        <w:contextualSpacing/>
        <w:rPr>
          <w:rFonts w:ascii="Times New Roman" w:hAnsi="Times New Roman"/>
        </w:rPr>
      </w:pPr>
    </w:p>
    <w:p w:rsidR="0065485A" w:rsidRPr="00945117" w:rsidP="00D14A13" w14:paraId="76607D6E" w14:textId="4B54A07D">
      <w:pPr>
        <w:pStyle w:val="Style1"/>
        <w:rPr>
          <w:b w:val="0"/>
        </w:rPr>
      </w:pPr>
      <w:r w:rsidRPr="00945117">
        <w:t>Explain the reasons for any program changes or adjustments reported in Items 13 or 14.</w:t>
      </w:r>
    </w:p>
    <w:p w:rsidR="0065485A" w:rsidRPr="00530597" w:rsidP="006627A7" w14:paraId="6EB8E28A" w14:textId="77777777">
      <w:pPr>
        <w:ind w:left="720"/>
        <w:contextualSpacing/>
        <w:rPr>
          <w:rFonts w:ascii="Times New Roman" w:hAnsi="Times New Roman"/>
          <w:i/>
          <w:iCs/>
        </w:rPr>
      </w:pPr>
    </w:p>
    <w:p w:rsidR="006352BD" w:rsidRPr="00530597" w:rsidP="006627A7" w14:paraId="07FAA658" w14:textId="48779995">
      <w:pPr>
        <w:ind w:left="720"/>
        <w:contextualSpacing/>
        <w:rPr>
          <w:rFonts w:ascii="Times New Roman" w:hAnsi="Times New Roman"/>
        </w:rPr>
      </w:pPr>
      <w:r w:rsidRPr="00530597">
        <w:rPr>
          <w:rFonts w:ascii="Times New Roman" w:hAnsi="Times New Roman"/>
        </w:rPr>
        <w:t xml:space="preserve">The Department is proposing </w:t>
      </w:r>
      <w:r w:rsidRPr="00530597" w:rsidR="008D7014">
        <w:rPr>
          <w:rFonts w:ascii="Times New Roman" w:hAnsi="Times New Roman"/>
        </w:rPr>
        <w:t xml:space="preserve">an </w:t>
      </w:r>
      <w:r w:rsidRPr="00530597">
        <w:rPr>
          <w:rFonts w:ascii="Times New Roman" w:hAnsi="Times New Roman"/>
        </w:rPr>
        <w:t>amendment to PTE 84-24 that would exclude investment advice fiduciaries from the existing relief.</w:t>
      </w:r>
      <w:r w:rsidR="002024E6">
        <w:rPr>
          <w:rFonts w:ascii="Times New Roman" w:hAnsi="Times New Roman"/>
        </w:rPr>
        <w:t xml:space="preserve"> </w:t>
      </w:r>
      <w:r w:rsidRPr="00530597">
        <w:rPr>
          <w:rFonts w:ascii="Times New Roman" w:hAnsi="Times New Roman"/>
        </w:rPr>
        <w:t xml:space="preserve">The proposed amendment would also provide exemptive relief to fiduciaries who are </w:t>
      </w:r>
      <w:r w:rsidR="006A2650">
        <w:rPr>
          <w:rFonts w:ascii="Times New Roman" w:hAnsi="Times New Roman"/>
        </w:rPr>
        <w:t>I</w:t>
      </w:r>
      <w:r w:rsidRPr="00530597" w:rsidR="00CB73EC">
        <w:rPr>
          <w:rFonts w:ascii="Times New Roman" w:hAnsi="Times New Roman"/>
        </w:rPr>
        <w:t xml:space="preserve">ndependent </w:t>
      </w:r>
      <w:r w:rsidR="006A2650">
        <w:rPr>
          <w:rFonts w:ascii="Times New Roman" w:hAnsi="Times New Roman"/>
        </w:rPr>
        <w:t>I</w:t>
      </w:r>
      <w:r w:rsidRPr="00530597" w:rsidR="00CB73EC">
        <w:rPr>
          <w:rFonts w:ascii="Times New Roman" w:hAnsi="Times New Roman"/>
        </w:rPr>
        <w:t xml:space="preserve">nsurance </w:t>
      </w:r>
      <w:r w:rsidR="006A2650">
        <w:rPr>
          <w:rFonts w:ascii="Times New Roman" w:hAnsi="Times New Roman"/>
        </w:rPr>
        <w:t>P</w:t>
      </w:r>
      <w:r w:rsidRPr="00530597">
        <w:rPr>
          <w:rFonts w:ascii="Times New Roman" w:hAnsi="Times New Roman"/>
        </w:rPr>
        <w:t xml:space="preserve">roducers that recommend annuities from an unaffiliated Financial Institution to </w:t>
      </w:r>
      <w:r w:rsidR="00E65328">
        <w:rPr>
          <w:rFonts w:ascii="Times New Roman" w:hAnsi="Times New Roman"/>
        </w:rPr>
        <w:t>r</w:t>
      </w:r>
      <w:r w:rsidRPr="00530597">
        <w:rPr>
          <w:rFonts w:ascii="Times New Roman" w:hAnsi="Times New Roman"/>
        </w:rPr>
        <w:t xml:space="preserve">etirement </w:t>
      </w:r>
      <w:r w:rsidR="00E65328">
        <w:rPr>
          <w:rFonts w:ascii="Times New Roman" w:hAnsi="Times New Roman"/>
        </w:rPr>
        <w:t>i</w:t>
      </w:r>
      <w:r w:rsidRPr="00530597">
        <w:rPr>
          <w:rFonts w:ascii="Times New Roman" w:hAnsi="Times New Roman"/>
        </w:rPr>
        <w:t>nvestors if certain protective conditions are met.</w:t>
      </w:r>
      <w:r w:rsidR="002024E6">
        <w:rPr>
          <w:rFonts w:ascii="Times New Roman" w:hAnsi="Times New Roman"/>
        </w:rPr>
        <w:t xml:space="preserve"> </w:t>
      </w:r>
      <w:r w:rsidRPr="00530597">
        <w:rPr>
          <w:rFonts w:ascii="Times New Roman" w:hAnsi="Times New Roman"/>
        </w:rPr>
        <w:t>The Department expects that excluding investment advice fiduciaries would affect the number of affected entities under the current provisions.</w:t>
      </w:r>
      <w:r w:rsidR="002024E6">
        <w:rPr>
          <w:rFonts w:ascii="Times New Roman" w:hAnsi="Times New Roman"/>
        </w:rPr>
        <w:t xml:space="preserve"> </w:t>
      </w:r>
      <w:r w:rsidRPr="00530597">
        <w:rPr>
          <w:rFonts w:ascii="Times New Roman" w:hAnsi="Times New Roman"/>
        </w:rPr>
        <w:t xml:space="preserve">Additionally, the conditions proposed for </w:t>
      </w:r>
      <w:r w:rsidR="00193CDB">
        <w:rPr>
          <w:rFonts w:ascii="Times New Roman" w:hAnsi="Times New Roman"/>
        </w:rPr>
        <w:t>i</w:t>
      </w:r>
      <w:r w:rsidRPr="00530597">
        <w:rPr>
          <w:rFonts w:ascii="Times New Roman" w:hAnsi="Times New Roman"/>
        </w:rPr>
        <w:t xml:space="preserve">ndependent </w:t>
      </w:r>
      <w:r w:rsidR="00193CDB">
        <w:rPr>
          <w:rFonts w:ascii="Times New Roman" w:hAnsi="Times New Roman"/>
        </w:rPr>
        <w:t>i</w:t>
      </w:r>
      <w:r w:rsidRPr="00530597">
        <w:rPr>
          <w:rFonts w:ascii="Times New Roman" w:hAnsi="Times New Roman"/>
        </w:rPr>
        <w:t xml:space="preserve">nsurance </w:t>
      </w:r>
      <w:r w:rsidR="00193CDB">
        <w:rPr>
          <w:rFonts w:ascii="Times New Roman" w:hAnsi="Times New Roman"/>
        </w:rPr>
        <w:t>p</w:t>
      </w:r>
      <w:r w:rsidRPr="00530597">
        <w:rPr>
          <w:rFonts w:ascii="Times New Roman" w:hAnsi="Times New Roman"/>
        </w:rPr>
        <w:t>roducers to qualify for relief would add additional information collections for these entities.</w:t>
      </w:r>
    </w:p>
    <w:p w:rsidR="009806A4" w:rsidRPr="00530597" w:rsidP="006627A7" w14:paraId="1C478789" w14:textId="3662FA7B">
      <w:pPr>
        <w:ind w:left="720"/>
        <w:contextualSpacing/>
        <w:rPr>
          <w:rFonts w:ascii="Times New Roman" w:hAnsi="Times New Roman"/>
        </w:rPr>
      </w:pPr>
    </w:p>
    <w:p w:rsidR="00863A4B" w:rsidRPr="00863A4B" w:rsidP="00675971" w14:paraId="5003EAC9" w14:textId="527F7BFD">
      <w:pPr>
        <w:ind w:left="720"/>
        <w:contextualSpacing/>
        <w:rPr>
          <w:rFonts w:ascii="Times New Roman" w:hAnsi="Times New Roman"/>
        </w:rPr>
      </w:pPr>
      <w:r w:rsidRPr="00530597">
        <w:rPr>
          <w:rFonts w:ascii="Times New Roman" w:hAnsi="Times New Roman"/>
        </w:rPr>
        <w:t>The analysis uses updated labor cost estimates.</w:t>
      </w:r>
      <w:r w:rsidR="002024E6">
        <w:rPr>
          <w:rFonts w:ascii="Times New Roman" w:hAnsi="Times New Roman"/>
        </w:rPr>
        <w:t xml:space="preserve"> </w:t>
      </w:r>
      <w:r w:rsidRPr="00530597">
        <w:rPr>
          <w:rFonts w:ascii="Times New Roman" w:hAnsi="Times New Roman"/>
        </w:rPr>
        <w:t>Costs of postage have been updated.</w:t>
      </w:r>
      <w:r w:rsidR="002024E6">
        <w:rPr>
          <w:rFonts w:ascii="Times New Roman" w:hAnsi="Times New Roman"/>
        </w:rPr>
        <w:t xml:space="preserve"> </w:t>
      </w:r>
      <w:r w:rsidRPr="00530597">
        <w:rPr>
          <w:rFonts w:ascii="Times New Roman" w:hAnsi="Times New Roman"/>
        </w:rPr>
        <w:t xml:space="preserve">Additionally, the number of plans </w:t>
      </w:r>
      <w:r w:rsidRPr="00530597">
        <w:rPr>
          <w:rFonts w:ascii="Times New Roman" w:hAnsi="Times New Roman"/>
        </w:rPr>
        <w:t>have</w:t>
      </w:r>
      <w:r w:rsidRPr="00530597">
        <w:rPr>
          <w:rFonts w:ascii="Times New Roman" w:hAnsi="Times New Roman"/>
        </w:rPr>
        <w:t xml:space="preserve"> been updated to reflect updated Form 5500 data</w:t>
      </w:r>
      <w:r w:rsidRPr="1A957CAF" w:rsidR="130C067B">
        <w:rPr>
          <w:rFonts w:ascii="Times New Roman" w:hAnsi="Times New Roman"/>
        </w:rPr>
        <w:t>, and the number of IRAs have been updated to reflect new data from</w:t>
      </w:r>
      <w:r w:rsidRPr="1A957CAF" w:rsidR="2913CB2C">
        <w:rPr>
          <w:rFonts w:ascii="Times New Roman" w:hAnsi="Times New Roman"/>
        </w:rPr>
        <w:t xml:space="preserve"> </w:t>
      </w:r>
      <w:r w:rsidRPr="1A957CAF" w:rsidR="34746B8D">
        <w:rPr>
          <w:rFonts w:ascii="Times New Roman" w:hAnsi="Times New Roman"/>
        </w:rPr>
        <w:t>Cerulli and the Employee Benefit Research Institute.</w:t>
      </w:r>
      <w:r w:rsidR="002024E6">
        <w:rPr>
          <w:rFonts w:ascii="Times New Roman" w:hAnsi="Times New Roman"/>
        </w:rPr>
        <w:t xml:space="preserve"> </w:t>
      </w:r>
      <w:r w:rsidRPr="00530597">
        <w:rPr>
          <w:rFonts w:ascii="Times New Roman" w:hAnsi="Times New Roman"/>
        </w:rPr>
        <w:t>The estimated number of new plans has also been updated to reflect Form 5500 data.</w:t>
      </w:r>
      <w:r w:rsidR="002024E6">
        <w:rPr>
          <w:rFonts w:ascii="Times New Roman" w:hAnsi="Times New Roman"/>
        </w:rPr>
        <w:t xml:space="preserve"> </w:t>
      </w:r>
      <w:r w:rsidRPr="00530597">
        <w:rPr>
          <w:rFonts w:ascii="Times New Roman" w:hAnsi="Times New Roman"/>
        </w:rPr>
        <w:t>The estimated number of insurance agents has been updated to reflect the most current data.</w:t>
      </w:r>
      <w:r>
        <w:rPr>
          <w:rFonts w:ascii="Times New Roman" w:hAnsi="Times New Roman"/>
        </w:rPr>
        <w:t xml:space="preserve"> </w:t>
      </w:r>
      <w:r w:rsidRPr="00863A4B">
        <w:rPr>
          <w:rFonts w:ascii="Times New Roman" w:hAnsi="Times New Roman"/>
        </w:rPr>
        <w:t xml:space="preserve">As a result, the number of responses has </w:t>
      </w:r>
      <w:r w:rsidR="00F47160">
        <w:rPr>
          <w:rFonts w:ascii="Times New Roman" w:hAnsi="Times New Roman"/>
        </w:rPr>
        <w:t>de</w:t>
      </w:r>
      <w:r w:rsidRPr="00863A4B">
        <w:rPr>
          <w:rFonts w:ascii="Times New Roman" w:hAnsi="Times New Roman"/>
        </w:rPr>
        <w:t xml:space="preserve">creased by </w:t>
      </w:r>
      <w:r w:rsidR="00247DB8">
        <w:rPr>
          <w:rFonts w:ascii="Times New Roman" w:hAnsi="Times New Roman"/>
        </w:rPr>
        <w:t>1</w:t>
      </w:r>
      <w:r w:rsidRPr="00247DB8" w:rsidR="00247DB8">
        <w:rPr>
          <w:rFonts w:ascii="Times New Roman" w:hAnsi="Times New Roman"/>
        </w:rPr>
        <w:t>38,665</w:t>
      </w:r>
      <w:r w:rsidRPr="00863A4B">
        <w:rPr>
          <w:rFonts w:ascii="Times New Roman" w:hAnsi="Times New Roman"/>
        </w:rPr>
        <w:t xml:space="preserve"> responses, the hour burden has increased by </w:t>
      </w:r>
      <w:r w:rsidRPr="00F47160" w:rsidR="00F47160">
        <w:rPr>
          <w:rFonts w:ascii="Times New Roman" w:hAnsi="Times New Roman"/>
        </w:rPr>
        <w:t>78,449</w:t>
      </w:r>
      <w:r w:rsidRPr="00863A4B">
        <w:rPr>
          <w:rFonts w:ascii="Times New Roman" w:hAnsi="Times New Roman"/>
        </w:rPr>
        <w:t xml:space="preserve"> hours, and the </w:t>
      </w:r>
      <w:r w:rsidRPr="00863A4B">
        <w:rPr>
          <w:rFonts w:ascii="Times New Roman" w:hAnsi="Times New Roman"/>
        </w:rPr>
        <w:t xml:space="preserve">cost burden </w:t>
      </w:r>
      <w:r w:rsidR="00B16D2F">
        <w:rPr>
          <w:rFonts w:ascii="Times New Roman" w:hAnsi="Times New Roman"/>
        </w:rPr>
        <w:t>h</w:t>
      </w:r>
      <w:r w:rsidRPr="00863A4B">
        <w:rPr>
          <w:rFonts w:ascii="Times New Roman" w:hAnsi="Times New Roman"/>
        </w:rPr>
        <w:t xml:space="preserve">as </w:t>
      </w:r>
      <w:r w:rsidR="00B16D2F">
        <w:rPr>
          <w:rFonts w:ascii="Times New Roman" w:hAnsi="Times New Roman"/>
        </w:rPr>
        <w:t>de</w:t>
      </w:r>
      <w:r w:rsidRPr="00863A4B">
        <w:rPr>
          <w:rFonts w:ascii="Times New Roman" w:hAnsi="Times New Roman"/>
        </w:rPr>
        <w:t>creased by $</w:t>
      </w:r>
      <w:r w:rsidRPr="00B16D2F" w:rsidR="00B16D2F">
        <w:rPr>
          <w:rFonts w:ascii="Times New Roman" w:hAnsi="Times New Roman"/>
        </w:rPr>
        <w:t>3,286</w:t>
      </w:r>
      <w:r w:rsidRPr="00863A4B">
        <w:rPr>
          <w:rFonts w:ascii="Times New Roman" w:hAnsi="Times New Roman"/>
        </w:rPr>
        <w:t xml:space="preserve">. </w:t>
      </w:r>
    </w:p>
    <w:p w:rsidR="0065485A" w:rsidRPr="00530597" w:rsidP="006627A7" w14:paraId="7EE602C0" w14:textId="77777777">
      <w:pPr>
        <w:tabs>
          <w:tab w:val="left" w:pos="-1440"/>
        </w:tabs>
        <w:ind w:left="720"/>
        <w:contextualSpacing/>
        <w:rPr>
          <w:rFonts w:ascii="Times New Roman" w:hAnsi="Times New Roman"/>
        </w:rPr>
      </w:pPr>
    </w:p>
    <w:p w:rsidR="0065485A" w:rsidRPr="00945117" w:rsidP="006627A7" w14:paraId="59046E31" w14:textId="69B15E88">
      <w:pPr>
        <w:tabs>
          <w:tab w:val="left" w:pos="-1440"/>
        </w:tabs>
        <w:ind w:left="720" w:hanging="720"/>
        <w:contextualSpacing/>
        <w:rPr>
          <w:rFonts w:ascii="Times New Roman" w:hAnsi="Times New Roman"/>
          <w:b/>
          <w:iCs/>
        </w:rPr>
      </w:pPr>
      <w:r w:rsidRPr="00945117">
        <w:rPr>
          <w:rFonts w:ascii="Times New Roman" w:hAnsi="Times New Roman"/>
          <w:b/>
        </w:rPr>
        <w:t>16.</w:t>
      </w:r>
      <w:r w:rsidRPr="00945117">
        <w:rPr>
          <w:rFonts w:ascii="Times New Roman" w:hAnsi="Times New Roman"/>
          <w:b/>
        </w:rPr>
        <w:tab/>
      </w:r>
      <w:r w:rsidRPr="00945117">
        <w:rPr>
          <w:rFonts w:ascii="Times New Roman" w:hAnsi="Times New Roman"/>
          <w:b/>
          <w:iCs/>
        </w:rPr>
        <w:t>For collections of information whose results will be published, outline plans for tabulation, and publication.</w:t>
      </w:r>
      <w:r w:rsidR="002024E6">
        <w:rPr>
          <w:rFonts w:ascii="Times New Roman" w:hAnsi="Times New Roman"/>
          <w:b/>
          <w:iCs/>
        </w:rPr>
        <w:t xml:space="preserve"> </w:t>
      </w:r>
      <w:r w:rsidRPr="00945117">
        <w:rPr>
          <w:rFonts w:ascii="Times New Roman" w:hAnsi="Times New Roman"/>
          <w:b/>
          <w:iCs/>
        </w:rPr>
        <w:t>Address any complex analytical techniques that will be used.</w:t>
      </w:r>
      <w:r w:rsidR="002024E6">
        <w:rPr>
          <w:rFonts w:ascii="Times New Roman" w:hAnsi="Times New Roman"/>
          <w:b/>
          <w:iCs/>
        </w:rPr>
        <w:t xml:space="preserve"> </w:t>
      </w:r>
      <w:r w:rsidRPr="00945117">
        <w:rPr>
          <w:rFonts w:ascii="Times New Roman" w:hAnsi="Times New Roman"/>
          <w:b/>
          <w:iCs/>
        </w:rPr>
        <w:t>Provide the time schedule for the entire project, including beginning and ending dates of the collection of information, completion of report, publication dates, and other actions.</w:t>
      </w:r>
    </w:p>
    <w:p w:rsidR="0065485A" w:rsidRPr="00530597" w:rsidP="006627A7" w14:paraId="1A04441D" w14:textId="77777777">
      <w:pPr>
        <w:ind w:left="720"/>
        <w:contextualSpacing/>
        <w:rPr>
          <w:rFonts w:ascii="Times New Roman" w:hAnsi="Times New Roman"/>
        </w:rPr>
      </w:pPr>
    </w:p>
    <w:p w:rsidR="0065485A" w:rsidRPr="00530597" w:rsidP="006627A7" w14:paraId="30B5DF1B" w14:textId="77777777">
      <w:pPr>
        <w:ind w:left="720"/>
        <w:contextualSpacing/>
        <w:rPr>
          <w:rFonts w:ascii="Times New Roman" w:hAnsi="Times New Roman"/>
        </w:rPr>
      </w:pPr>
      <w:r w:rsidRPr="00530597">
        <w:rPr>
          <w:rFonts w:ascii="Times New Roman" w:hAnsi="Times New Roman"/>
        </w:rPr>
        <w:t>This is not a collection of information for statistical use.</w:t>
      </w:r>
    </w:p>
    <w:p w:rsidR="0065485A" w:rsidRPr="00530597" w:rsidP="006627A7" w14:paraId="4C3CEF17" w14:textId="77777777">
      <w:pPr>
        <w:ind w:left="720"/>
        <w:contextualSpacing/>
        <w:rPr>
          <w:rFonts w:ascii="Times New Roman" w:hAnsi="Times New Roman"/>
        </w:rPr>
      </w:pPr>
    </w:p>
    <w:p w:rsidR="0065485A" w:rsidRPr="00945117" w:rsidP="006627A7" w14:paraId="58AD2EDA" w14:textId="77777777">
      <w:pPr>
        <w:tabs>
          <w:tab w:val="left" w:pos="-1440"/>
        </w:tabs>
        <w:ind w:left="720" w:hanging="720"/>
        <w:contextualSpacing/>
        <w:rPr>
          <w:rFonts w:ascii="Times New Roman" w:hAnsi="Times New Roman"/>
          <w:b/>
          <w:iCs/>
        </w:rPr>
      </w:pPr>
      <w:r w:rsidRPr="00945117">
        <w:rPr>
          <w:rFonts w:ascii="Times New Roman" w:hAnsi="Times New Roman"/>
          <w:b/>
        </w:rPr>
        <w:t>17.</w:t>
      </w:r>
      <w:r w:rsidRPr="00945117">
        <w:rPr>
          <w:rFonts w:ascii="Times New Roman" w:hAnsi="Times New Roman"/>
          <w:b/>
        </w:rPr>
        <w:tab/>
      </w:r>
      <w:r w:rsidRPr="00945117">
        <w:rPr>
          <w:rFonts w:ascii="Times New Roman" w:hAnsi="Times New Roman"/>
          <w:b/>
          <w:iCs/>
        </w:rPr>
        <w:t>If seeking approval to not display the expiration date for OMB approval of the information collection, explain the reasons that display would be inappropriate.</w:t>
      </w:r>
    </w:p>
    <w:p w:rsidR="0065485A" w:rsidRPr="00530597" w:rsidP="006627A7" w14:paraId="06EB57D0" w14:textId="77777777">
      <w:pPr>
        <w:ind w:left="720"/>
        <w:contextualSpacing/>
        <w:rPr>
          <w:rFonts w:ascii="Times New Roman" w:hAnsi="Times New Roman"/>
        </w:rPr>
      </w:pPr>
    </w:p>
    <w:p w:rsidR="0065485A" w:rsidRPr="00530597" w:rsidP="006627A7" w14:paraId="0D946849" w14:textId="77777777">
      <w:pPr>
        <w:ind w:left="720"/>
        <w:contextualSpacing/>
        <w:rPr>
          <w:rFonts w:ascii="Times New Roman" w:hAnsi="Times New Roman"/>
        </w:rPr>
      </w:pPr>
      <w:r w:rsidRPr="00530597">
        <w:rPr>
          <w:rFonts w:ascii="Times New Roman" w:hAnsi="Times New Roman"/>
        </w:rPr>
        <w:t>The collection of information will display a currently valid OMB control number.</w:t>
      </w:r>
    </w:p>
    <w:p w:rsidR="0065485A" w:rsidRPr="00530597" w:rsidP="006627A7" w14:paraId="117161F5" w14:textId="77777777">
      <w:pPr>
        <w:ind w:left="720"/>
        <w:contextualSpacing/>
        <w:rPr>
          <w:rFonts w:ascii="Times New Roman" w:hAnsi="Times New Roman"/>
        </w:rPr>
      </w:pPr>
    </w:p>
    <w:p w:rsidR="0065485A" w:rsidRPr="00530597" w:rsidP="006627A7" w14:paraId="45C7B8A3" w14:textId="7427A839">
      <w:pPr>
        <w:tabs>
          <w:tab w:val="left" w:pos="-1440"/>
        </w:tabs>
        <w:ind w:left="720" w:hanging="720"/>
        <w:contextualSpacing/>
        <w:rPr>
          <w:rFonts w:ascii="Times New Roman" w:hAnsi="Times New Roman"/>
          <w:i/>
          <w:iCs/>
        </w:rPr>
      </w:pPr>
      <w:r w:rsidRPr="00945117">
        <w:rPr>
          <w:rFonts w:ascii="Times New Roman" w:hAnsi="Times New Roman"/>
          <w:b/>
        </w:rPr>
        <w:t>18.</w:t>
      </w:r>
      <w:r w:rsidRPr="00945117">
        <w:rPr>
          <w:rFonts w:ascii="Times New Roman" w:hAnsi="Times New Roman"/>
          <w:b/>
        </w:rPr>
        <w:tab/>
      </w:r>
      <w:r w:rsidRPr="00945117">
        <w:rPr>
          <w:rFonts w:ascii="Times New Roman" w:hAnsi="Times New Roman"/>
          <w:b/>
          <w:iCs/>
        </w:rPr>
        <w:t>Explain each exception to the certification statement identified in Item 19</w:t>
      </w:r>
      <w:r w:rsidR="003D7456">
        <w:rPr>
          <w:rFonts w:ascii="Times New Roman" w:hAnsi="Times New Roman"/>
          <w:b/>
          <w:iCs/>
        </w:rPr>
        <w:t>.</w:t>
      </w:r>
    </w:p>
    <w:p w:rsidR="0065485A" w:rsidRPr="00530597" w:rsidP="006627A7" w14:paraId="1A032DBE" w14:textId="77777777">
      <w:pPr>
        <w:ind w:left="720"/>
        <w:contextualSpacing/>
        <w:rPr>
          <w:rFonts w:ascii="Times New Roman" w:hAnsi="Times New Roman"/>
        </w:rPr>
      </w:pPr>
    </w:p>
    <w:p w:rsidR="0065485A" w:rsidRPr="00530597" w:rsidP="006627A7" w14:paraId="54DD36A1" w14:textId="75B12CD2">
      <w:pPr>
        <w:ind w:left="720"/>
        <w:contextualSpacing/>
        <w:rPr>
          <w:rFonts w:ascii="Times New Roman" w:hAnsi="Times New Roman"/>
        </w:rPr>
      </w:pPr>
      <w:r w:rsidRPr="00530597">
        <w:rPr>
          <w:rFonts w:ascii="Times New Roman" w:hAnsi="Times New Roman"/>
        </w:rPr>
        <w:t>There are</w:t>
      </w:r>
      <w:r w:rsidRPr="00530597">
        <w:rPr>
          <w:rFonts w:ascii="Times New Roman" w:hAnsi="Times New Roman"/>
        </w:rPr>
        <w:t xml:space="preserve"> no exceptions to the certification statement.</w:t>
      </w:r>
    </w:p>
    <w:p w:rsidR="002D7DA6" w:rsidRPr="00530597" w:rsidP="006627A7" w14:paraId="29116369" w14:textId="0E684DA4">
      <w:pPr>
        <w:ind w:left="720"/>
        <w:contextualSpacing/>
        <w:rPr>
          <w:rFonts w:ascii="Times New Roman" w:hAnsi="Times New Roman"/>
        </w:rPr>
      </w:pPr>
    </w:p>
    <w:p w:rsidR="002D7DA6" w:rsidRPr="00530597" w:rsidP="007A7215" w14:paraId="4C918636" w14:textId="15B749E3">
      <w:pPr>
        <w:pStyle w:val="Heading1"/>
        <w:ind w:hanging="720"/>
      </w:pPr>
      <w:r w:rsidRPr="00530597">
        <w:t>COLLECTIONS OF INFORMATION EMPLOYING STATISTICAL METHODS</w:t>
      </w:r>
    </w:p>
    <w:p w:rsidR="008D761D" w:rsidP="006627A7" w14:paraId="3E803AAE" w14:textId="77777777">
      <w:pPr>
        <w:ind w:left="720"/>
        <w:contextualSpacing/>
        <w:rPr>
          <w:rFonts w:ascii="Times New Roman" w:hAnsi="Times New Roman"/>
        </w:rPr>
      </w:pPr>
    </w:p>
    <w:p w:rsidR="002D7DA6" w:rsidRPr="00530597" w:rsidP="006627A7" w14:paraId="145FCC4F" w14:textId="0F800D05">
      <w:pPr>
        <w:ind w:left="720"/>
        <w:contextualSpacing/>
        <w:rPr>
          <w:rFonts w:ascii="Times New Roman" w:hAnsi="Times New Roman"/>
        </w:rPr>
      </w:pPr>
      <w:r w:rsidRPr="00530597">
        <w:rPr>
          <w:rFonts w:ascii="Times New Roman" w:hAnsi="Times New Roman"/>
        </w:rPr>
        <w:t>The use of statistical methods is not relevant to this collection of information.</w:t>
      </w:r>
    </w:p>
    <w:p w:rsidR="002D7DA6" w:rsidRPr="00530597" w:rsidP="006627A7" w14:paraId="5277356A" w14:textId="77777777">
      <w:pPr>
        <w:ind w:left="720"/>
        <w:contextualSpacing/>
        <w:rPr>
          <w:rFonts w:ascii="Times New Roman" w:hAnsi="Times New Roman"/>
        </w:rPr>
      </w:pPr>
    </w:p>
    <w:sectPr>
      <w:headerReference w:type="even" r:id="rId9"/>
      <w:headerReference w:type="default" r:id="rId10"/>
      <w:footerReference w:type="even" r:id="rId11"/>
      <w:footerReference w:type="default" r:id="rId12"/>
      <w:endnotePr>
        <w:numFmt w:val="decimal"/>
      </w:endnotePr>
      <w:type w:val="continuous"/>
      <w:pgSz w:w="12240" w:h="15840" w:code="1"/>
      <w:pgMar w:top="1354" w:right="1440" w:bottom="1152" w:left="1440" w:header="1354"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089" w14:paraId="0FCAB08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7089" w14:paraId="6DE2A1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61D" w14:paraId="3B1EEC8B" w14:textId="77777777">
    <w:pPr>
      <w:pStyle w:val="Footer"/>
      <w:framePr w:wrap="around" w:vAnchor="text" w:hAnchor="margin" w:xAlign="center" w:y="1"/>
      <w:rPr>
        <w:rStyle w:val="PageNumber"/>
        <w:rFonts w:ascii="Times New Roman" w:hAnsi="Times New Roman"/>
      </w:rPr>
    </w:pPr>
  </w:p>
  <w:p w:rsidR="003F7089" w:rsidRPr="008D761D" w14:paraId="71A6284A" w14:textId="2C656BAF">
    <w:pPr>
      <w:pStyle w:val="Footer"/>
      <w:framePr w:wrap="around" w:vAnchor="text" w:hAnchor="margin" w:xAlign="center" w:y="1"/>
      <w:rPr>
        <w:rStyle w:val="PageNumber"/>
        <w:rFonts w:ascii="Times New Roman" w:hAnsi="Times New Roman"/>
      </w:rPr>
    </w:pPr>
    <w:r>
      <w:rPr>
        <w:rStyle w:val="PageNumber"/>
        <w:rFonts w:ascii="Times New Roman" w:hAnsi="Times New Roman"/>
      </w:rPr>
      <w:tab/>
    </w:r>
    <w:r w:rsidRPr="008D761D">
      <w:rPr>
        <w:rStyle w:val="PageNumber"/>
        <w:rFonts w:ascii="Times New Roman" w:hAnsi="Times New Roman"/>
      </w:rPr>
      <w:fldChar w:fldCharType="begin"/>
    </w:r>
    <w:r w:rsidRPr="008D761D">
      <w:rPr>
        <w:rStyle w:val="PageNumber"/>
        <w:rFonts w:ascii="Times New Roman" w:hAnsi="Times New Roman"/>
      </w:rPr>
      <w:instrText xml:space="preserve">PAGE  </w:instrText>
    </w:r>
    <w:r w:rsidRPr="008D761D">
      <w:rPr>
        <w:rStyle w:val="PageNumber"/>
        <w:rFonts w:ascii="Times New Roman" w:hAnsi="Times New Roman"/>
      </w:rPr>
      <w:fldChar w:fldCharType="separate"/>
    </w:r>
    <w:r w:rsidRPr="008D761D" w:rsidR="003603D1">
      <w:rPr>
        <w:rStyle w:val="PageNumber"/>
        <w:rFonts w:ascii="Times New Roman" w:hAnsi="Times New Roman"/>
        <w:noProof/>
      </w:rPr>
      <w:t>1</w:t>
    </w:r>
    <w:r w:rsidRPr="008D761D">
      <w:rPr>
        <w:rStyle w:val="PageNumber"/>
        <w:rFonts w:ascii="Times New Roman" w:hAnsi="Times New Roman"/>
      </w:rPr>
      <w:fldChar w:fldCharType="end"/>
    </w:r>
  </w:p>
  <w:p w:rsidR="003F7089" w14:paraId="0E64A2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2A3C" w14:paraId="2049E601" w14:textId="77777777">
      <w:r>
        <w:separator/>
      </w:r>
    </w:p>
  </w:footnote>
  <w:footnote w:type="continuationSeparator" w:id="1">
    <w:p w:rsidR="00ED2A3C" w14:paraId="5B73E2AC" w14:textId="77777777">
      <w:r>
        <w:continuationSeparator/>
      </w:r>
    </w:p>
  </w:footnote>
  <w:footnote w:type="continuationNotice" w:id="2">
    <w:p w:rsidR="00ED2A3C" w14:paraId="2D6D1730" w14:textId="77777777"/>
  </w:footnote>
  <w:footnote w:id="3">
    <w:p w:rsidR="003F7089" w:rsidRPr="007F3B6C" w:rsidP="006627A7" w14:paraId="4BEDD388" w14:textId="7FBFEE36">
      <w:pPr>
        <w:pStyle w:val="FootnoteText"/>
        <w:contextualSpacing/>
        <w:rPr>
          <w:rFonts w:ascii="Times New Roman" w:hAnsi="Times New Roman"/>
        </w:rPr>
      </w:pPr>
      <w:r w:rsidRPr="007F3B6C">
        <w:rPr>
          <w:rStyle w:val="FootnoteReference"/>
          <w:rFonts w:ascii="Times New Roman" w:hAnsi="Times New Roman" w:eastAsiaTheme="majorEastAsia"/>
          <w:vertAlign w:val="superscript"/>
        </w:rPr>
        <w:footnoteRef/>
      </w:r>
      <w:r w:rsidRPr="007F3B6C">
        <w:rPr>
          <w:rFonts w:ascii="Times New Roman" w:hAnsi="Times New Roman"/>
        </w:rPr>
        <w:t xml:space="preserve"> Regulations at 29 CFR section 2570.30 to 2570.52 describe the procedures for applying for an administrative exemption under ERISA.</w:t>
      </w:r>
      <w:r w:rsidR="002024E6">
        <w:rPr>
          <w:rFonts w:ascii="Times New Roman" w:hAnsi="Times New Roman"/>
        </w:rPr>
        <w:t xml:space="preserve"> </w:t>
      </w:r>
      <w:r w:rsidRPr="007F3B6C">
        <w:rPr>
          <w:rFonts w:ascii="Times New Roman" w:hAnsi="Times New Roman"/>
        </w:rPr>
        <w:t>Code section 4975(c)(2) authorizes the Secretary of the Treasury to grant exemptions from the parallel prohibited transaction provisions of the Code.</w:t>
      </w:r>
      <w:r w:rsidR="002024E6">
        <w:rPr>
          <w:rFonts w:ascii="Times New Roman" w:hAnsi="Times New Roman"/>
        </w:rPr>
        <w:t xml:space="preserve"> </w:t>
      </w:r>
      <w:r w:rsidRPr="007F3B6C">
        <w:rPr>
          <w:rFonts w:ascii="Times New Roman" w:hAnsi="Times New Roman" w:eastAsiaTheme="minorHAnsi"/>
        </w:rPr>
        <w:t>Reorganization Plan No. 4 of 1978 (5 U.S.C. app. at 214 (2000)) generally transferred the authority of the Secretary of the Treasury to issue administrative exemptions under Code section 4975 to the Secretary of Labor.</w:t>
      </w:r>
    </w:p>
  </w:footnote>
  <w:footnote w:id="4">
    <w:p w:rsidR="003F7089" w:rsidRPr="007F3B6C" w:rsidP="006627A7" w14:paraId="041FBB2D" w14:textId="24F82B00">
      <w:pPr>
        <w:pStyle w:val="FootnoteText"/>
        <w:contextualSpacing/>
        <w:rPr>
          <w:rFonts w:ascii="Times New Roman" w:hAnsi="Times New Roman"/>
        </w:rPr>
      </w:pPr>
      <w:r w:rsidRPr="007F3B6C">
        <w:rPr>
          <w:rStyle w:val="FootnoteReference"/>
          <w:rFonts w:ascii="Times New Roman" w:hAnsi="Times New Roman"/>
          <w:vertAlign w:val="superscript"/>
        </w:rPr>
        <w:footnoteRef/>
      </w:r>
      <w:r w:rsidRPr="007F3B6C">
        <w:rPr>
          <w:rFonts w:ascii="Times New Roman" w:hAnsi="Times New Roman"/>
        </w:rPr>
        <w:t xml:space="preserve"> The burden estimates contained in the responses to questions 12 and 13 are calculated </w:t>
      </w:r>
      <w:r w:rsidRPr="007F3B6C">
        <w:rPr>
          <w:rFonts w:ascii="Times New Roman" w:hAnsi="Times New Roman"/>
        </w:rPr>
        <w:t>off of</w:t>
      </w:r>
      <w:r w:rsidRPr="007F3B6C">
        <w:rPr>
          <w:rFonts w:ascii="Times New Roman" w:hAnsi="Times New Roman"/>
        </w:rPr>
        <w:t xml:space="preserve"> unrounded figures, while in many cases the numbers presented in the text are rounded.</w:t>
      </w:r>
      <w:r w:rsidR="002024E6">
        <w:rPr>
          <w:rFonts w:ascii="Times New Roman" w:hAnsi="Times New Roman"/>
        </w:rPr>
        <w:t xml:space="preserve"> </w:t>
      </w:r>
      <w:r w:rsidRPr="007F3B6C">
        <w:rPr>
          <w:rFonts w:ascii="Times New Roman" w:hAnsi="Times New Roman"/>
        </w:rPr>
        <w:t>Any discrepancies in the burden estimates are attributable to rounding.</w:t>
      </w:r>
    </w:p>
  </w:footnote>
  <w:footnote w:id="5">
    <w:p w:rsidR="004F4CE1" w:rsidRPr="00675971" w:rsidP="004F4CE1" w14:paraId="6161B4FD" w14:textId="67CEDDA4">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Internal </w:t>
      </w:r>
      <w:r w:rsidR="002C0134">
        <w:rPr>
          <w:rFonts w:ascii="Times New Roman" w:hAnsi="Times New Roman"/>
        </w:rPr>
        <w:t>Department</w:t>
      </w:r>
      <w:r w:rsidRPr="00675971">
        <w:rPr>
          <w:rFonts w:ascii="Times New Roman" w:hAnsi="Times New Roman"/>
        </w:rPr>
        <w:t xml:space="preserve"> calculation based on 202</w:t>
      </w:r>
      <w:r w:rsidR="00ED6DCD">
        <w:rPr>
          <w:rFonts w:ascii="Times New Roman" w:hAnsi="Times New Roman"/>
        </w:rPr>
        <w:t>3</w:t>
      </w:r>
      <w:r w:rsidRPr="00675971">
        <w:rPr>
          <w:rFonts w:ascii="Times New Roman" w:hAnsi="Times New Roman"/>
        </w:rPr>
        <w:t xml:space="preserve"> labor cost data. For a description of the Department’s methodology for calculating wage rates, see </w:t>
      </w:r>
      <w:hyperlink r:id="rId1" w:history="1">
        <w:r w:rsidRPr="00675971">
          <w:rPr>
            <w:rStyle w:val="Hyperlink"/>
            <w:rFonts w:ascii="Times New Roman" w:hAnsi="Times New Roman"/>
          </w:rPr>
          <w:t>https://www.dol.gov/sites/dolgov/files/EBSA/laws-and-regulations/rules-and-regulations/technical-appendices/labor-cost-inputs-used-in-ebsa-opr-ria-and-pra-burden-calculations-june-2019.pdf</w:t>
        </w:r>
      </w:hyperlink>
      <w:r w:rsidRPr="00675971">
        <w:rPr>
          <w:rFonts w:ascii="Times New Roman" w:hAnsi="Times New Roman"/>
        </w:rPr>
        <w:t xml:space="preserve">. </w:t>
      </w:r>
    </w:p>
  </w:footnote>
  <w:footnote w:id="6">
    <w:p w:rsidR="004F4CE1" w:rsidRPr="00675971" w:rsidP="004F4CE1" w14:paraId="2B946951" w14:textId="121CF0C0">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67 FR 17263</w:t>
      </w:r>
      <w:r w:rsidRPr="00392DA8" w:rsidR="00392DA8">
        <w:rPr>
          <w:rFonts w:ascii="Times New Roman" w:hAnsi="Times New Roman"/>
        </w:rPr>
        <w:t xml:space="preserve"> (Apr. 9, 2002).</w:t>
      </w:r>
    </w:p>
  </w:footnote>
  <w:footnote w:id="7">
    <w:p w:rsidR="004F4CE1" w:rsidP="004F4CE1" w14:paraId="77991AC5" w14:textId="77777777">
      <w:pPr>
        <w:pStyle w:val="FootnoteText"/>
        <w:contextualSpacing/>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The Department estimates approximately 94.2% of retirement investors receive disclosures electronically, which is the sum of the estimated share of retirement investors receiving electronic disclosures under the 2002 electronic disclosure safe harbor (58.2%) and the estimated share of retirement investors receiving electronic disclosures under the 2020 electronic disclosure safe harbor (36.0%).</w:t>
      </w:r>
      <w:r w:rsidRPr="00ED0A30">
        <w:t xml:space="preserve"> </w:t>
      </w:r>
    </w:p>
  </w:footnote>
  <w:footnote w:id="8">
    <w:p w:rsidR="004F4CE1" w:rsidRPr="00675971" w:rsidP="004F4CE1" w14:paraId="47335957" w14:textId="77777777">
      <w:pPr>
        <w:pStyle w:val="FootnoteText"/>
        <w:contextualSpacing/>
        <w:rPr>
          <w:rFonts w:ascii="Times New Roman" w:hAnsi="Times New Roman"/>
          <w:b/>
          <w:bCs/>
        </w:rPr>
      </w:pPr>
      <w:r w:rsidRPr="00675971">
        <w:rPr>
          <w:rStyle w:val="FootnoteReference"/>
          <w:rFonts w:ascii="Times New Roman" w:hAnsi="Times New Roman"/>
          <w:vertAlign w:val="superscript"/>
        </w:rPr>
        <w:footnoteRef/>
      </w:r>
      <w:r w:rsidRPr="00675971">
        <w:rPr>
          <w:rFonts w:ascii="Times New Roman" w:hAnsi="Times New Roman"/>
        </w:rPr>
        <w:t xml:space="preserve"> Insurance Information Institute, </w:t>
      </w:r>
      <w:r w:rsidRPr="00675971">
        <w:rPr>
          <w:rFonts w:ascii="Times New Roman" w:hAnsi="Times New Roman"/>
          <w:i/>
        </w:rPr>
        <w:t xml:space="preserve">A Firm Foundation: How Insurance Supports the Economy - Captives by State, </w:t>
      </w:r>
      <w:r w:rsidRPr="00675971">
        <w:rPr>
          <w:rFonts w:ascii="Times New Roman" w:hAnsi="Times New Roman"/>
          <w:bCs/>
          <w:i/>
          <w:iCs/>
        </w:rPr>
        <w:t>2021</w:t>
      </w:r>
      <w:r w:rsidRPr="00675971">
        <w:rPr>
          <w:rFonts w:ascii="Times New Roman" w:hAnsi="Times New Roman"/>
          <w:i/>
        </w:rPr>
        <w:t>-2022</w:t>
      </w:r>
      <w:r w:rsidRPr="00675971">
        <w:rPr>
          <w:rFonts w:ascii="Times New Roman" w:hAnsi="Times New Roman"/>
        </w:rPr>
        <w:t>,</w:t>
      </w:r>
      <w:r w:rsidRPr="00675971">
        <w:rPr>
          <w:rFonts w:ascii="Times New Roman" w:hAnsi="Times New Roman"/>
          <w:bCs/>
        </w:rPr>
        <w:t xml:space="preserve"> </w:t>
      </w:r>
      <w:hyperlink r:id="rId2" w:history="1">
        <w:r w:rsidRPr="00675971">
          <w:rPr>
            <w:rStyle w:val="Hyperlink"/>
            <w:rFonts w:ascii="Times New Roman" w:hAnsi="Times New Roman"/>
            <w:bCs/>
          </w:rPr>
          <w:t>https://www.iii.org/publications/a-firm-foundation-how-insurance-supports-the-economy/a-50-state-commitment/captives-by-state</w:t>
        </w:r>
      </w:hyperlink>
      <w:r w:rsidRPr="00675971">
        <w:rPr>
          <w:rFonts w:ascii="Times New Roman" w:hAnsi="Times New Roman"/>
          <w:bCs/>
        </w:rPr>
        <w:t xml:space="preserve"> (last visited August 25, 2023).</w:t>
      </w:r>
    </w:p>
  </w:footnote>
  <w:footnote w:id="9">
    <w:p w:rsidR="004F4CE1" w:rsidRPr="00675971" w:rsidP="004F4CE1" w14:paraId="17F7360D"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Insurance Information Institute, </w:t>
      </w:r>
      <w:r w:rsidRPr="00675971">
        <w:rPr>
          <w:rFonts w:ascii="Times New Roman" w:hAnsi="Times New Roman"/>
          <w:i/>
        </w:rPr>
        <w:t>Facts + Statistics: Industry Overview- Insurance Industry at-a-Glance</w:t>
      </w:r>
      <w:r w:rsidRPr="00675971">
        <w:rPr>
          <w:rFonts w:ascii="Times New Roman" w:hAnsi="Times New Roman"/>
        </w:rPr>
        <w:t xml:space="preserve">, </w:t>
      </w:r>
      <w:hyperlink r:id="rId3" w:history="1">
        <w:r w:rsidRPr="00675971">
          <w:rPr>
            <w:rStyle w:val="Hyperlink"/>
            <w:rFonts w:ascii="Times New Roman" w:hAnsi="Times New Roman"/>
          </w:rPr>
          <w:t>https://www.iii.org/fact-statistic/facts-statistics-industry-overview</w:t>
        </w:r>
      </w:hyperlink>
      <w:r w:rsidRPr="00675971">
        <w:rPr>
          <w:rFonts w:ascii="Times New Roman" w:hAnsi="Times New Roman"/>
          <w:bCs/>
        </w:rPr>
        <w:t>.</w:t>
      </w:r>
    </w:p>
  </w:footnote>
  <w:footnote w:id="10">
    <w:p w:rsidR="004F4CE1" w:rsidRPr="00675971" w:rsidP="004F4CE1" w14:paraId="01E1433A"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The number of captive insurance agents is estimated as: (3,328 captive agents x 47.4%) = 1,577 captive insurance agents serving the annuity market.</w:t>
      </w:r>
    </w:p>
  </w:footnote>
  <w:footnote w:id="11">
    <w:p w:rsidR="004F4CE1" w:rsidRPr="00675971" w:rsidP="004F4CE1" w14:paraId="39DCCBE2"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Internal Department of Labor calculations based on t</w:t>
      </w:r>
      <w:r w:rsidRPr="005F3B17">
        <w:rPr>
          <w:rFonts w:ascii="Times New Roman" w:hAnsi="Times New Roman"/>
        </w:rPr>
        <w:t>he number of unique service providers listed as pension consultants on</w:t>
      </w:r>
      <w:r w:rsidRPr="00675971">
        <w:rPr>
          <w:rFonts w:ascii="Times New Roman" w:hAnsi="Times New Roman"/>
        </w:rPr>
        <w:t xml:space="preserve"> the 2021 Form 5500 Schedule C.</w:t>
      </w:r>
    </w:p>
  </w:footnote>
  <w:footnote w:id="12">
    <w:p w:rsidR="004F4CE1" w:rsidRPr="00675971" w:rsidP="004F4CE1" w14:paraId="66865F57"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This estimate is based on 2014 data from SNL Financial on life insurance companies that reported receiving either individual or group annuity considerations. (</w:t>
      </w:r>
      <w:r w:rsidRPr="00675971">
        <w:rPr>
          <w:rFonts w:ascii="Times New Roman" w:hAnsi="Times New Roman"/>
          <w:i/>
          <w:iCs/>
        </w:rPr>
        <w:t>See</w:t>
      </w:r>
      <w:r w:rsidRPr="00675971">
        <w:rPr>
          <w:rFonts w:ascii="Times New Roman" w:hAnsi="Times New Roman"/>
        </w:rPr>
        <w:t xml:space="preserve"> Employee Benefits Security Administration, </w:t>
      </w:r>
      <w:r w:rsidRPr="00675971">
        <w:rPr>
          <w:rFonts w:ascii="Times New Roman" w:hAnsi="Times New Roman"/>
          <w:i/>
          <w:iCs/>
        </w:rPr>
        <w:t>Regulating Advice Markets Definition of the Term “Fiduciary” Conflicts of Interest - Retirement Investment Advice Regulatory Impact Analysis for Final Rule and Exemptions</w:t>
      </w:r>
      <w:r w:rsidRPr="00675971">
        <w:rPr>
          <w:rFonts w:ascii="Times New Roman" w:hAnsi="Times New Roman"/>
        </w:rPr>
        <w:t xml:space="preserve">, (April 2016), </w:t>
      </w:r>
      <w:hyperlink r:id="rId4" w:tgtFrame="_blank" w:tooltip="https://www.dol.gov/sites/dolgov/files/ebsa/laws-and-regulations/rules-and-regulations/completed-rulemaking/1210-ab32-2/ria.pdf." w:history="1">
        <w:r w:rsidRPr="00675971">
          <w:rPr>
            <w:rStyle w:val="Hyperlink"/>
            <w:rFonts w:ascii="Times New Roman" w:hAnsi="Times New Roman"/>
          </w:rPr>
          <w:t>https://www.dol.gov/sites/dolgov/files/EBSA/laws-and-regulations/rules-and-regulations/completed-rulemaking/1210-AB32-2/ria.pdf.</w:t>
        </w:r>
      </w:hyperlink>
      <w:r w:rsidRPr="00675971">
        <w:rPr>
          <w:rFonts w:ascii="Times New Roman" w:hAnsi="Times New Roman"/>
        </w:rPr>
        <w:t>)</w:t>
      </w:r>
    </w:p>
  </w:footnote>
  <w:footnote w:id="13">
    <w:p w:rsidR="004F4CE1" w:rsidRPr="00675971" w:rsidP="004F4CE1" w14:paraId="4C046CF6"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Employee Benefits Security Administration, United States Department of Labor, </w:t>
      </w:r>
      <w:r w:rsidRPr="00675971">
        <w:rPr>
          <w:rFonts w:ascii="Times New Roman" w:hAnsi="Times New Roman"/>
          <w:i/>
        </w:rPr>
        <w:t>Private Pension Plan Bulletin: Abstract of 2021 Form 5500 Annual Reports</w:t>
      </w:r>
      <w:r w:rsidRPr="00675971">
        <w:rPr>
          <w:rFonts w:ascii="Times New Roman" w:hAnsi="Times New Roman"/>
        </w:rPr>
        <w:t>, Table A1 (2023; forthcoming).</w:t>
      </w:r>
    </w:p>
  </w:footnote>
  <w:footnote w:id="14">
    <w:p w:rsidR="004F4CE1" w:rsidRPr="00675971" w:rsidP="004F4CE1" w14:paraId="60D509D5"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Cerulli Associates, </w:t>
      </w:r>
      <w:r w:rsidRPr="00675971">
        <w:rPr>
          <w:rFonts w:ascii="Times New Roman" w:hAnsi="Times New Roman"/>
          <w:i/>
        </w:rPr>
        <w:t>2023 Retirement-End Investor</w:t>
      </w:r>
      <w:r w:rsidRPr="00675971">
        <w:rPr>
          <w:rFonts w:ascii="Times New Roman" w:hAnsi="Times New Roman"/>
        </w:rPr>
        <w:t>, Exhibit 5.12. The Cerulli Report, (2023).</w:t>
      </w:r>
    </w:p>
  </w:footnote>
  <w:footnote w:id="15">
    <w:p w:rsidR="004F4CE1" w:rsidRPr="00675971" w:rsidP="004F4CE1" w14:paraId="67E722DE" w14:textId="77777777">
      <w:pPr>
        <w:pStyle w:val="FootnoteText"/>
        <w:rPr>
          <w:rFonts w:ascii="Times New Roman" w:hAnsi="Times New Roman"/>
          <w:color w:val="000000" w:themeColor="text1"/>
        </w:rPr>
      </w:pPr>
      <w:r w:rsidRPr="00675971">
        <w:rPr>
          <w:rStyle w:val="FootnoteReference"/>
          <w:rFonts w:ascii="Times New Roman" w:hAnsi="Times New Roman" w:eastAsiaTheme="majorEastAsia"/>
          <w:color w:val="000000" w:themeColor="text1"/>
          <w:vertAlign w:val="superscript"/>
        </w:rPr>
        <w:footnoteRef/>
      </w:r>
      <w:r w:rsidRPr="00675971">
        <w:rPr>
          <w:rFonts w:ascii="Times New Roman" w:hAnsi="Times New Roman"/>
          <w:color w:val="000000" w:themeColor="text1"/>
        </w:rPr>
        <w:t xml:space="preserve"> EBSA identified 57,575 new plans in its 2021 Form 5500 filings, or 7.5 percent of all Form 5500 pension plan filings.</w:t>
      </w:r>
    </w:p>
  </w:footnote>
  <w:footnote w:id="16">
    <w:p w:rsidR="004F4CE1" w:rsidRPr="00482034" w:rsidP="004F4CE1" w14:paraId="29318D78" w14:textId="77777777">
      <w:pPr>
        <w:pStyle w:val="FootnoteText"/>
        <w:rPr>
          <w:color w:val="000000" w:themeColor="text1"/>
        </w:rPr>
      </w:pPr>
      <w:r w:rsidRPr="00675971">
        <w:rPr>
          <w:rStyle w:val="FootnoteReference"/>
          <w:rFonts w:ascii="Times New Roman" w:hAnsi="Times New Roman" w:eastAsiaTheme="majorEastAsia"/>
          <w:color w:val="000000" w:themeColor="text1"/>
          <w:vertAlign w:val="superscript"/>
        </w:rPr>
        <w:footnoteRef/>
      </w:r>
      <w:r w:rsidRPr="00675971">
        <w:rPr>
          <w:rFonts w:ascii="Times New Roman" w:hAnsi="Times New Roman"/>
          <w:color w:val="000000" w:themeColor="text1"/>
          <w:vertAlign w:val="superscript"/>
        </w:rPr>
        <w:t xml:space="preserve"> </w:t>
      </w:r>
      <w:r w:rsidRPr="00675971">
        <w:rPr>
          <w:rFonts w:ascii="Times New Roman" w:hAnsi="Times New Roman"/>
          <w:color w:val="000000" w:themeColor="text1"/>
        </w:rPr>
        <w:t>In 2020, 7 percent of traditional IRAs were held by insurance companies. (</w:t>
      </w:r>
      <w:r w:rsidRPr="00675971">
        <w:rPr>
          <w:rFonts w:ascii="Times New Roman" w:hAnsi="Times New Roman"/>
          <w:i/>
          <w:color w:val="000000" w:themeColor="text1"/>
        </w:rPr>
        <w:t xml:space="preserve">See </w:t>
      </w:r>
      <w:r w:rsidRPr="00675971">
        <w:rPr>
          <w:rFonts w:ascii="Times New Roman" w:hAnsi="Times New Roman"/>
          <w:color w:val="000000" w:themeColor="text1"/>
        </w:rPr>
        <w:t xml:space="preserve">Investment Company Institute, </w:t>
      </w:r>
      <w:r w:rsidRPr="00675971">
        <w:rPr>
          <w:rFonts w:ascii="Times New Roman" w:hAnsi="Times New Roman"/>
          <w:i/>
          <w:iCs/>
          <w:color w:val="000000" w:themeColor="text1"/>
        </w:rPr>
        <w:t>The Role of IRAs in US Households’ Saving for Retirement, 2020</w:t>
      </w:r>
      <w:r w:rsidRPr="00675971">
        <w:rPr>
          <w:rFonts w:ascii="Times New Roman" w:hAnsi="Times New Roman"/>
          <w:color w:val="000000" w:themeColor="text1"/>
        </w:rPr>
        <w:t xml:space="preserve">, 27(1) </w:t>
      </w:r>
      <w:r w:rsidRPr="00675971">
        <w:rPr>
          <w:rFonts w:ascii="Times New Roman" w:hAnsi="Times New Roman"/>
          <w:iCs/>
          <w:color w:val="000000" w:themeColor="text1"/>
        </w:rPr>
        <w:t>ICI Research Perspective</w:t>
      </w:r>
      <w:r w:rsidRPr="00675971">
        <w:rPr>
          <w:rFonts w:ascii="Times New Roman" w:hAnsi="Times New Roman"/>
          <w:color w:val="000000" w:themeColor="text1"/>
        </w:rPr>
        <w:t xml:space="preserve"> (2021), </w:t>
      </w:r>
      <w:hyperlink r:id="rId5" w:history="1">
        <w:r w:rsidRPr="00675971">
          <w:rPr>
            <w:rStyle w:val="Hyperlink"/>
            <w:rFonts w:ascii="Times New Roman" w:hAnsi="Times New Roman"/>
          </w:rPr>
          <w:t>https://www.ici.org/system/files/attachments/pdf/per27-01.pdf</w:t>
        </w:r>
      </w:hyperlink>
      <w:r w:rsidRPr="00675971">
        <w:rPr>
          <w:rFonts w:ascii="Times New Roman" w:hAnsi="Times New Roman"/>
          <w:color w:val="000000" w:themeColor="text1"/>
        </w:rPr>
        <w:t>.) This number has been adjusted downward to 3 percent to account for the fact that some transactions are not covered by this exemption.</w:t>
      </w:r>
    </w:p>
  </w:footnote>
  <w:footnote w:id="17">
    <w:p w:rsidR="004F4CE1" w:rsidRPr="00675971" w:rsidP="004F4CE1" w14:paraId="6D0D00DE" w14:textId="77777777">
      <w:pPr>
        <w:pStyle w:val="FootnoteText"/>
        <w:rPr>
          <w:rFonts w:ascii="Times New Roman" w:hAnsi="Times New Roman"/>
          <w:color w:val="000000" w:themeColor="text1"/>
        </w:rPr>
      </w:pPr>
      <w:r w:rsidRPr="00675971">
        <w:rPr>
          <w:rStyle w:val="FootnoteReference"/>
          <w:rFonts w:ascii="Times New Roman" w:hAnsi="Times New Roman"/>
          <w:color w:val="000000" w:themeColor="text1"/>
          <w:vertAlign w:val="superscript"/>
        </w:rPr>
        <w:footnoteRef/>
      </w:r>
      <w:r w:rsidRPr="00675971">
        <w:rPr>
          <w:rFonts w:ascii="Times New Roman" w:hAnsi="Times New Roman"/>
          <w:color w:val="000000" w:themeColor="text1"/>
          <w:vertAlign w:val="superscript"/>
        </w:rPr>
        <w:t xml:space="preserve"> </w:t>
      </w:r>
      <w:r w:rsidRPr="00675971">
        <w:rPr>
          <w:rFonts w:ascii="Times New Roman" w:hAnsi="Times New Roman"/>
          <w:color w:val="000000" w:themeColor="text1"/>
        </w:rPr>
        <w:t>765,124 plans x 7.5 percent of plans are new x 3 percent of plans with relationships with insurance agents or pension consultants = 1,722 plans.</w:t>
      </w:r>
    </w:p>
  </w:footnote>
  <w:footnote w:id="18">
    <w:p w:rsidR="004F4CE1" w:rsidRPr="00675971" w:rsidP="004F4CE1" w14:paraId="26E74168" w14:textId="77777777">
      <w:pPr>
        <w:pStyle w:val="FootnoteText"/>
        <w:rPr>
          <w:rFonts w:ascii="Times New Roman" w:hAnsi="Times New Roman"/>
          <w:color w:val="000000" w:themeColor="text1"/>
        </w:rPr>
      </w:pPr>
      <w:r w:rsidRPr="00675971">
        <w:rPr>
          <w:rStyle w:val="FootnoteReference"/>
          <w:rFonts w:ascii="Times New Roman" w:hAnsi="Times New Roman"/>
          <w:color w:val="000000" w:themeColor="text1"/>
          <w:vertAlign w:val="superscript"/>
        </w:rPr>
        <w:footnoteRef/>
      </w:r>
      <w:r w:rsidRPr="00675971">
        <w:rPr>
          <w:rFonts w:ascii="Times New Roman" w:hAnsi="Times New Roman"/>
          <w:color w:val="000000" w:themeColor="text1"/>
        </w:rPr>
        <w:t xml:space="preserve"> Cerulli Associates, </w:t>
      </w:r>
      <w:r w:rsidRPr="00675971">
        <w:rPr>
          <w:rFonts w:ascii="Times New Roman" w:hAnsi="Times New Roman"/>
          <w:i/>
          <w:iCs/>
          <w:color w:val="000000" w:themeColor="text1"/>
        </w:rPr>
        <w:t>U.S. Retirement End-Investor 2023: Fostering Comprehensive Relationships</w:t>
      </w:r>
      <w:r w:rsidRPr="00675971">
        <w:rPr>
          <w:rFonts w:ascii="Times New Roman" w:hAnsi="Times New Roman"/>
          <w:color w:val="000000" w:themeColor="text1"/>
        </w:rPr>
        <w:t>, The Cerulli Report.</w:t>
      </w:r>
    </w:p>
  </w:footnote>
  <w:footnote w:id="19">
    <w:p w:rsidR="004F4CE1" w:rsidRPr="00675971" w:rsidP="004F4CE1" w14:paraId="10C4F6E5" w14:textId="77777777">
      <w:pPr>
        <w:pStyle w:val="FootnoteText"/>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The Department lacks data on the number of IRA owners that own multiple IRAs. To provide scope of magnitude, one source reported that in 2019, 19 percent of IRA owners contributed to both a traditional IRA and Roth IRA. (</w:t>
      </w:r>
      <w:r w:rsidRPr="00675971">
        <w:rPr>
          <w:rFonts w:ascii="Times New Roman" w:hAnsi="Times New Roman"/>
          <w:i/>
          <w:iCs/>
        </w:rPr>
        <w:t>See</w:t>
      </w:r>
      <w:r w:rsidRPr="00675971">
        <w:rPr>
          <w:rFonts w:ascii="Times New Roman" w:hAnsi="Times New Roman"/>
        </w:rPr>
        <w:t xml:space="preserve"> Investment Company Institute, </w:t>
      </w:r>
      <w:r w:rsidRPr="00675971">
        <w:rPr>
          <w:rFonts w:ascii="Times New Roman" w:hAnsi="Times New Roman"/>
          <w:i/>
          <w:iCs/>
        </w:rPr>
        <w:t>The Role of IRAs in US Households’ Saving for Retirement, 2020</w:t>
      </w:r>
      <w:r w:rsidRPr="00675971">
        <w:rPr>
          <w:rFonts w:ascii="Times New Roman" w:hAnsi="Times New Roman"/>
        </w:rPr>
        <w:t xml:space="preserve">, 27(1) </w:t>
      </w:r>
      <w:r w:rsidRPr="00675971">
        <w:rPr>
          <w:rFonts w:ascii="Times New Roman" w:hAnsi="Times New Roman"/>
          <w:iCs/>
          <w:color w:val="000000" w:themeColor="text1"/>
        </w:rPr>
        <w:t>ICI Research Perspective</w:t>
      </w:r>
      <w:r w:rsidRPr="00675971">
        <w:rPr>
          <w:rFonts w:ascii="Times New Roman" w:hAnsi="Times New Roman"/>
          <w:color w:val="000000" w:themeColor="text1"/>
        </w:rPr>
        <w:t xml:space="preserve"> (2021), </w:t>
      </w:r>
      <w:hyperlink r:id="rId5" w:history="1">
        <w:r w:rsidRPr="00675971">
          <w:rPr>
            <w:rStyle w:val="Hyperlink"/>
            <w:rFonts w:ascii="Times New Roman" w:hAnsi="Times New Roman"/>
          </w:rPr>
          <w:t>https://www.ici.org/system/files/attachments/pdf/per27-01.pdf</w:t>
        </w:r>
      </w:hyperlink>
      <w:r w:rsidRPr="00675971">
        <w:rPr>
          <w:rFonts w:ascii="Times New Roman" w:hAnsi="Times New Roman"/>
          <w:color w:val="000000" w:themeColor="text1"/>
        </w:rPr>
        <w:t>.</w:t>
      </w:r>
      <w:r w:rsidRPr="00675971">
        <w:rPr>
          <w:rFonts w:ascii="Times New Roman" w:hAnsi="Times New Roman"/>
        </w:rPr>
        <w:t>) This statistic does not account for individuals who own multiple of each type of IRA or those who did not contribute in 2019, but it provides a lower bound.</w:t>
      </w:r>
    </w:p>
  </w:footnote>
  <w:footnote w:id="20">
    <w:p w:rsidR="004F4CE1" w:rsidRPr="00675971" w:rsidP="004F4CE1" w14:paraId="6F4066EF" w14:textId="77777777">
      <w:pPr>
        <w:pStyle w:val="FootnoteText"/>
        <w:rPr>
          <w:rFonts w:ascii="Times New Roman" w:hAnsi="Times New Roman"/>
          <w:color w:val="000000" w:themeColor="text1"/>
        </w:rPr>
      </w:pPr>
      <w:r w:rsidRPr="00675971">
        <w:rPr>
          <w:rStyle w:val="FootnoteReference"/>
          <w:rFonts w:ascii="Times New Roman" w:hAnsi="Times New Roman" w:eastAsiaTheme="majorEastAsia"/>
          <w:color w:val="000000" w:themeColor="text1"/>
          <w:vertAlign w:val="superscript"/>
        </w:rPr>
        <w:footnoteRef/>
      </w:r>
      <w:r w:rsidRPr="00675971">
        <w:rPr>
          <w:rFonts w:ascii="Times New Roman" w:hAnsi="Times New Roman"/>
          <w:color w:val="000000" w:themeColor="text1"/>
          <w:vertAlign w:val="superscript"/>
        </w:rPr>
        <w:t xml:space="preserve"> </w:t>
      </w:r>
      <w:r w:rsidRPr="00675971">
        <w:rPr>
          <w:rFonts w:ascii="Times New Roman" w:hAnsi="Times New Roman"/>
          <w:color w:val="000000" w:themeColor="text1"/>
        </w:rPr>
        <w:t>In 2020, 7 percent of traditional IRAs were held by insurance companies. (</w:t>
      </w:r>
      <w:r w:rsidRPr="00675971">
        <w:rPr>
          <w:rFonts w:ascii="Times New Roman" w:hAnsi="Times New Roman"/>
          <w:i/>
          <w:color w:val="000000" w:themeColor="text1"/>
        </w:rPr>
        <w:t>See</w:t>
      </w:r>
      <w:r w:rsidRPr="00675971">
        <w:rPr>
          <w:rFonts w:ascii="Times New Roman" w:hAnsi="Times New Roman"/>
          <w:sz w:val="24"/>
          <w:szCs w:val="24"/>
        </w:rPr>
        <w:t xml:space="preserve"> </w:t>
      </w:r>
      <w:r w:rsidRPr="00675971">
        <w:rPr>
          <w:rFonts w:ascii="Times New Roman" w:hAnsi="Times New Roman"/>
          <w:color w:val="000000" w:themeColor="text1"/>
        </w:rPr>
        <w:t xml:space="preserve">Investment Company Institute, </w:t>
      </w:r>
      <w:r w:rsidRPr="00675971">
        <w:rPr>
          <w:rFonts w:ascii="Times New Roman" w:hAnsi="Times New Roman"/>
          <w:i/>
          <w:iCs/>
          <w:color w:val="000000" w:themeColor="text1"/>
        </w:rPr>
        <w:t>The Role of IRAs in US Households’ Saving for Retirement, 2020</w:t>
      </w:r>
      <w:r w:rsidRPr="00675971">
        <w:rPr>
          <w:rFonts w:ascii="Times New Roman" w:hAnsi="Times New Roman"/>
          <w:color w:val="000000" w:themeColor="text1"/>
        </w:rPr>
        <w:t xml:space="preserve">, 27(1) </w:t>
      </w:r>
      <w:r w:rsidRPr="00675971">
        <w:rPr>
          <w:rFonts w:ascii="Times New Roman" w:hAnsi="Times New Roman"/>
          <w:iCs/>
          <w:color w:val="000000" w:themeColor="text1"/>
        </w:rPr>
        <w:t>ICI Research Perspective</w:t>
      </w:r>
      <w:r w:rsidRPr="00675971">
        <w:rPr>
          <w:rFonts w:ascii="Times New Roman" w:hAnsi="Times New Roman"/>
          <w:color w:val="000000" w:themeColor="text1"/>
        </w:rPr>
        <w:t xml:space="preserve"> (2021), </w:t>
      </w:r>
      <w:hyperlink r:id="rId5" w:history="1">
        <w:r w:rsidRPr="00675971">
          <w:rPr>
            <w:rStyle w:val="Hyperlink"/>
            <w:rFonts w:ascii="Times New Roman" w:hAnsi="Times New Roman"/>
          </w:rPr>
          <w:t>https://www.ici.org/system/files/attachments/pdf/per27-01.pdf</w:t>
        </w:r>
      </w:hyperlink>
      <w:r w:rsidRPr="00675971">
        <w:rPr>
          <w:rFonts w:ascii="Times New Roman" w:hAnsi="Times New Roman"/>
          <w:color w:val="000000" w:themeColor="text1"/>
        </w:rPr>
        <w:t>.) This number has been adjusted downward to 3 percent to reflect the removal of transactions not covered by this exemption.). The number of IRAs affected is estimated as: (83,252,750 IRAs x 2.1% IRAs assumed to be new IRAs x 3% of IRAs held by insurance companies) = 52,449 IRAs</w:t>
      </w:r>
    </w:p>
  </w:footnote>
  <w:footnote w:id="21">
    <w:p w:rsidR="005F3B17" w:rsidRPr="00675971" w:rsidP="005F3B17" w14:paraId="33AA7103" w14:textId="77777777">
      <w:pPr>
        <w:pStyle w:val="FootnoteText"/>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This includes 2,986 insurance agents and brokers, pension consultants, and insurance companies and 10 investment company underwriters servicing IRAs.</w:t>
      </w:r>
    </w:p>
  </w:footnote>
  <w:footnote w:id="22">
    <w:p w:rsidR="005F3B17" w:rsidRPr="00675971" w:rsidP="005F3B17" w14:paraId="2CBE56DC"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The burden is estimated as: (1,722 plans x 5 hours) + (2,996 financial institutions x 3 hours) = 17,598 hours. A labor rate of approximately $159.34 is used for a legal professional. The labor rate is applied in the following calculation: [(1,722 plans x 5 hours) + (2,996 financial institutions x 3 hours)] x $159.34 per hour = $</w:t>
      </w:r>
      <w:r w:rsidRPr="00675971">
        <w:rPr>
          <w:rFonts w:ascii="Times New Roman" w:hAnsi="Times New Roman"/>
          <w:lang w:val="en"/>
        </w:rPr>
        <w:t>2,804,065.</w:t>
      </w:r>
    </w:p>
  </w:footnote>
  <w:footnote w:id="23">
    <w:p w:rsidR="005F3B17" w:rsidRPr="00675971" w:rsidP="005F3B17" w14:paraId="1D16F670"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rPr>
        <w:t xml:space="preserve"> The burden is estimated as: ((52,449 IRAs x 5.8 percent paper x 2 minutes per plan) ÷ 60 minutes) = 101 hours. A labor rate of $63.45 is used for a clerical worker. The labor rate is applied in the following calculation:</w:t>
      </w:r>
    </w:p>
    <w:p w:rsidR="005F3B17" w:rsidRPr="00675971" w:rsidP="005F3B17" w14:paraId="14F8E93A" w14:textId="77777777">
      <w:pPr>
        <w:pStyle w:val="FootnoteText"/>
        <w:contextualSpacing/>
        <w:rPr>
          <w:rFonts w:ascii="Times New Roman" w:hAnsi="Times New Roman"/>
        </w:rPr>
      </w:pPr>
      <w:r w:rsidRPr="00675971">
        <w:rPr>
          <w:rFonts w:ascii="Times New Roman" w:hAnsi="Times New Roman"/>
        </w:rPr>
        <w:t>((52,449 IRAs x 5.8 percent paper x 2 minutes per plan) ÷ 60 minutes) x $63.45 per hour = $6,434</w:t>
      </w:r>
      <w:r w:rsidRPr="00675971">
        <w:rPr>
          <w:rFonts w:ascii="Times New Roman" w:hAnsi="Times New Roman"/>
          <w:lang w:val="en"/>
        </w:rPr>
        <w:t>.</w:t>
      </w:r>
    </w:p>
  </w:footnote>
  <w:footnote w:id="24">
    <w:p w:rsidR="005F3B17" w:rsidP="005F3B17" w14:paraId="564536CE" w14:textId="77777777">
      <w:pPr>
        <w:pStyle w:val="FootnoteText"/>
      </w:pPr>
      <w:r w:rsidRPr="005F3B17">
        <w:rPr>
          <w:rStyle w:val="FootnoteReference"/>
          <w:rFonts w:ascii="Times New Roman" w:hAnsi="Times New Roman"/>
          <w:vertAlign w:val="superscript"/>
        </w:rPr>
        <w:footnoteRef/>
      </w:r>
      <w:r w:rsidRPr="005F3B17">
        <w:rPr>
          <w:rFonts w:ascii="Times New Roman" w:hAnsi="Times New Roman"/>
        </w:rPr>
        <w:t xml:space="preserve"> This includes 2,986 insurance agents and brokers, pension consultants, and insurance companies and 20 investment company underwriters servicing plans and IRAs.</w:t>
      </w:r>
    </w:p>
  </w:footnote>
  <w:footnote w:id="25">
    <w:p w:rsidR="005F3B17" w:rsidRPr="005F3B17" w:rsidP="005F3B17" w14:paraId="385465F6" w14:textId="77777777">
      <w:pPr>
        <w:pStyle w:val="FootnoteText"/>
        <w:contextualSpacing/>
        <w:rPr>
          <w:rFonts w:ascii="Times New Roman" w:hAnsi="Times New Roman"/>
        </w:rPr>
      </w:pPr>
      <w:r w:rsidRPr="005F3B17">
        <w:rPr>
          <w:rStyle w:val="FootnoteReference"/>
          <w:rFonts w:ascii="Times New Roman" w:hAnsi="Times New Roman" w:eastAsiaTheme="majorEastAsia"/>
          <w:vertAlign w:val="superscript"/>
        </w:rPr>
        <w:footnoteRef/>
      </w:r>
      <w:r w:rsidRPr="005F3B17">
        <w:rPr>
          <w:rFonts w:ascii="Times New Roman" w:hAnsi="Times New Roman"/>
          <w:vertAlign w:val="superscript"/>
        </w:rPr>
        <w:t xml:space="preserve"> </w:t>
      </w:r>
      <w:r w:rsidRPr="005F3B17">
        <w:rPr>
          <w:rFonts w:ascii="Times New Roman" w:hAnsi="Times New Roman"/>
        </w:rPr>
        <w:t>The burden is estimated as: [2,996 financial institutions x (1 hour for plans + 1 hour for IRAs)] = 5,992 hours. A labor rate of approximately $159.34 is used for a legal professional. The labor rate is applied in the following calculation: [2,996 financial institutions x (1 hour for plans + 1 hour for IRAs)]</w:t>
      </w:r>
      <w:r w:rsidRPr="005F3B17">
        <w:rPr>
          <w:rFonts w:ascii="Times New Roman" w:hAnsi="Times New Roman"/>
        </w:rPr>
        <w:t xml:space="preserve"> </w:t>
      </w:r>
      <w:r w:rsidRPr="005F3B17">
        <w:rPr>
          <w:rFonts w:ascii="Times New Roman" w:hAnsi="Times New Roman"/>
        </w:rPr>
        <w:t>x $159.34 per hour = $</w:t>
      </w:r>
      <w:r w:rsidRPr="005F3B17">
        <w:rPr>
          <w:rFonts w:ascii="Times New Roman" w:hAnsi="Times New Roman"/>
          <w:lang w:val="en"/>
        </w:rPr>
        <w:t>954,765.</w:t>
      </w:r>
    </w:p>
  </w:footnote>
  <w:footnote w:id="26">
    <w:p w:rsidR="005F3B17" w:rsidRPr="00275259" w:rsidP="005F3B17" w14:paraId="18D86224" w14:textId="77777777">
      <w:pPr>
        <w:pStyle w:val="FootnoteText"/>
        <w:contextualSpacing/>
      </w:pPr>
      <w:r w:rsidRPr="005F3B17">
        <w:rPr>
          <w:rStyle w:val="FootnoteReference"/>
          <w:rFonts w:ascii="Times New Roman" w:hAnsi="Times New Roman" w:eastAsiaTheme="majorEastAsia"/>
          <w:vertAlign w:val="superscript"/>
        </w:rPr>
        <w:footnoteRef/>
      </w:r>
      <w:r w:rsidRPr="005F3B17">
        <w:rPr>
          <w:rFonts w:ascii="Times New Roman" w:hAnsi="Times New Roman"/>
        </w:rPr>
        <w:t xml:space="preserve"> The burden is estimated as:</w:t>
      </w:r>
      <w:r w:rsidRPr="005F3B17">
        <w:rPr>
          <w:rFonts w:ascii="Times New Roman" w:hAnsi="Times New Roman"/>
          <w:sz w:val="24"/>
          <w:szCs w:val="24"/>
        </w:rPr>
        <w:t xml:space="preserve"> </w:t>
      </w:r>
      <w:r w:rsidRPr="005F3B17">
        <w:rPr>
          <w:rFonts w:ascii="Times New Roman" w:hAnsi="Times New Roman"/>
        </w:rPr>
        <w:t>{[(52,449 IRAs + 10 investment company principal underwriters for IRAs) x 5.8 percent paper x 2 minutes] ÷ 60 minutes = 101 hours.</w:t>
      </w:r>
      <w:r w:rsidRPr="005F3B17">
        <w:rPr>
          <w:rFonts w:ascii="Times New Roman" w:hAnsi="Times New Roman"/>
        </w:rPr>
        <w:t xml:space="preserve"> </w:t>
      </w:r>
      <w:r w:rsidRPr="005F3B17">
        <w:rPr>
          <w:rFonts w:ascii="Times New Roman" w:hAnsi="Times New Roman"/>
        </w:rPr>
        <w:t>A labor rate of $63.45 is used for a clerical worker. The labor rate is applied in the following calculation: {[(52,449 IRAs + 10 investment company principal underwriters for IRAs) x 5.8 percent paper x 2 minutes] ÷ 60 minutes} x $63.45 = $6,435.</w:t>
      </w:r>
    </w:p>
  </w:footnote>
  <w:footnote w:id="27">
    <w:p w:rsidR="005F3B17" w:rsidRPr="005F3B17" w:rsidP="005F3B17" w14:paraId="5B2458AD" w14:textId="77777777">
      <w:pPr>
        <w:pStyle w:val="FootnoteText"/>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vertAlign w:val="superscript"/>
        </w:rPr>
        <w:t xml:space="preserve"> </w:t>
      </w:r>
      <w:r w:rsidRPr="005F3B17">
        <w:rPr>
          <w:rFonts w:ascii="Times New Roman" w:hAnsi="Times New Roman"/>
        </w:rPr>
        <w:t xml:space="preserve">Annemarie McPherson Spears, </w:t>
      </w:r>
      <w:r w:rsidRPr="005F3B17">
        <w:rPr>
          <w:rFonts w:ascii="Times New Roman" w:hAnsi="Times New Roman"/>
          <w:i/>
        </w:rPr>
        <w:t>7 Findings From the 2022 Agency Universe Study</w:t>
      </w:r>
      <w:r w:rsidRPr="005F3B17">
        <w:rPr>
          <w:rFonts w:ascii="Times New Roman" w:hAnsi="Times New Roman"/>
        </w:rPr>
        <w:t xml:space="preserve">, (October 13, 2022), </w:t>
      </w:r>
      <w:hyperlink r:id="rId6" w:history="1">
        <w:r w:rsidRPr="005F3B17">
          <w:rPr>
            <w:rStyle w:val="Hyperlink"/>
            <w:rFonts w:ascii="Times New Roman" w:hAnsi="Times New Roman"/>
          </w:rPr>
          <w:t>https://www.iamagazine.com/news/7-findings-from-the-2022-agency-universe-study?__hstc=79369803.5fd6a87d75ca95f942e9dc33fed281b9.1691447156981.1691447156981.1691447156981.1&amp;__hssc=79369803.3.1691447156981&amp;__hsfp=2180945085</w:t>
        </w:r>
      </w:hyperlink>
      <w:r w:rsidRPr="005F3B17">
        <w:rPr>
          <w:rFonts w:ascii="Times New Roman" w:hAnsi="Times New Roman"/>
        </w:rPr>
        <w:t xml:space="preserve">. </w:t>
      </w:r>
    </w:p>
  </w:footnote>
  <w:footnote w:id="28">
    <w:p w:rsidR="005F3B17" w:rsidRPr="005F3B17" w:rsidP="005F3B17" w14:paraId="1C6AC788"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vertAlign w:val="superscript"/>
        </w:rPr>
        <w:t xml:space="preserve"> </w:t>
      </w:r>
      <w:r w:rsidRPr="005F3B17">
        <w:rPr>
          <w:rFonts w:ascii="Times New Roman" w:hAnsi="Times New Roman"/>
        </w:rPr>
        <w:t>This estimate is based on 2014 data from SNL Financial on life insurance companies reported receiving either individual or group annuity considerations. (</w:t>
      </w:r>
      <w:r w:rsidRPr="005F3B17">
        <w:rPr>
          <w:rFonts w:ascii="Times New Roman" w:hAnsi="Times New Roman"/>
          <w:i/>
          <w:iCs/>
        </w:rPr>
        <w:t>See</w:t>
      </w:r>
      <w:r w:rsidRPr="005F3B17">
        <w:rPr>
          <w:rFonts w:ascii="Times New Roman" w:hAnsi="Times New Roman"/>
        </w:rPr>
        <w:t xml:space="preserve"> Conflict of Interest Final Rule, </w:t>
      </w:r>
      <w:r w:rsidRPr="005F3B17">
        <w:rPr>
          <w:rFonts w:ascii="Times New Roman" w:hAnsi="Times New Roman"/>
          <w:i/>
        </w:rPr>
        <w:t>Regulatory Impact Analysis for Final Rule and Exemptions, U.S. Department of Labor</w:t>
      </w:r>
      <w:r w:rsidRPr="005F3B17">
        <w:rPr>
          <w:rFonts w:ascii="Times New Roman" w:hAnsi="Times New Roman"/>
        </w:rPr>
        <w:t xml:space="preserve"> (April 2016), </w:t>
      </w:r>
      <w:hyperlink r:id="rId7" w:history="1">
        <w:r w:rsidRPr="005F3B17">
          <w:rPr>
            <w:rStyle w:val="Hyperlink"/>
            <w:rFonts w:ascii="Times New Roman" w:hAnsi="Times New Roman"/>
          </w:rPr>
          <w:t>www.dol.gov/sites/dolgov/files/EBSA/laws-and-regulations/rules-and-regulations/completed-rulemaking/1210-AB32-2/ria.pdf</w:t>
        </w:r>
      </w:hyperlink>
      <w:r w:rsidRPr="005F3B17">
        <w:rPr>
          <w:rFonts w:ascii="Times New Roman" w:hAnsi="Times New Roman"/>
        </w:rPr>
        <w:t xml:space="preserve">). </w:t>
      </w:r>
    </w:p>
  </w:footnote>
  <w:footnote w:id="29">
    <w:p w:rsidR="005F3B17" w:rsidRPr="005F3B17" w:rsidP="005F3B17" w14:paraId="47756859"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vertAlign w:val="superscript"/>
        </w:rPr>
        <w:t xml:space="preserve"> </w:t>
      </w:r>
      <w:r w:rsidRPr="005F3B17">
        <w:rPr>
          <w:rFonts w:ascii="Times New Roman" w:hAnsi="Times New Roman"/>
        </w:rPr>
        <w:t xml:space="preserve">Ramnath Balasubramanian, Rajiv Dattani, Asheet Mehta, &amp; Andrew Reich, </w:t>
      </w:r>
      <w:r w:rsidRPr="005F3B17">
        <w:rPr>
          <w:rFonts w:ascii="Times New Roman" w:hAnsi="Times New Roman"/>
          <w:i/>
        </w:rPr>
        <w:t>Unbundling Value: How Leading Insurers Identify Competitive Advantage</w:t>
      </w:r>
      <w:r w:rsidRPr="005F3B17">
        <w:rPr>
          <w:rFonts w:ascii="Times New Roman" w:hAnsi="Times New Roman"/>
        </w:rPr>
        <w:t xml:space="preserve">, McKinsey &amp; Company, (June 2022), </w:t>
      </w:r>
      <w:hyperlink r:id="rId8" w:history="1">
        <w:r w:rsidRPr="005F3B17">
          <w:rPr>
            <w:rStyle w:val="Hyperlink"/>
            <w:rFonts w:ascii="Times New Roman" w:hAnsi="Times New Roman"/>
          </w:rPr>
          <w:t>https://www.mckinsey.com/industries/financial-services/our-insights/unbundling-value-how-leading-insurers-identify-competitive-advantage</w:t>
        </w:r>
      </w:hyperlink>
      <w:r w:rsidRPr="005F3B17">
        <w:rPr>
          <w:rFonts w:ascii="Times New Roman" w:hAnsi="Times New Roman"/>
        </w:rPr>
        <w:t xml:space="preserve">; Sheryl Moore, </w:t>
      </w:r>
      <w:r w:rsidRPr="005F3B17">
        <w:rPr>
          <w:rFonts w:ascii="Times New Roman" w:hAnsi="Times New Roman"/>
          <w:i/>
        </w:rPr>
        <w:t>The Annuity Model Is Broken</w:t>
      </w:r>
      <w:r w:rsidRPr="005F3B17">
        <w:rPr>
          <w:rFonts w:ascii="Times New Roman" w:hAnsi="Times New Roman"/>
        </w:rPr>
        <w:t>, Wink Intel,</w:t>
      </w:r>
      <w:r w:rsidRPr="005F3B17">
        <w:rPr>
          <w:rFonts w:ascii="Times New Roman" w:hAnsi="Times New Roman"/>
          <w:i/>
          <w:iCs/>
        </w:rPr>
        <w:t xml:space="preserve"> </w:t>
      </w:r>
      <w:r w:rsidRPr="005F3B17">
        <w:rPr>
          <w:rFonts w:ascii="Times New Roman" w:hAnsi="Times New Roman"/>
        </w:rPr>
        <w:t xml:space="preserve">(June 2022), </w:t>
      </w:r>
      <w:hyperlink r:id="rId9" w:history="1">
        <w:r w:rsidRPr="005F3B17">
          <w:rPr>
            <w:rStyle w:val="Hyperlink"/>
            <w:rFonts w:ascii="Times New Roman" w:hAnsi="Times New Roman"/>
          </w:rPr>
          <w:t>https://www.winkintel.com/2022/06/the-annuity-model-is-broken-reprint/</w:t>
        </w:r>
      </w:hyperlink>
      <w:r w:rsidRPr="005F3B17">
        <w:rPr>
          <w:rFonts w:ascii="Times New Roman" w:hAnsi="Times New Roman"/>
        </w:rPr>
        <w:t>.</w:t>
      </w:r>
    </w:p>
  </w:footnote>
  <w:footnote w:id="30">
    <w:p w:rsidR="005F3B17" w:rsidRPr="005F3B17" w:rsidP="005F3B17" w14:paraId="7E310428"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rPr>
        <w:t xml:space="preserve"> According to the Insurance Information Institute, in 2022, 20 percent of individual annuities were sold through independent broker-dealers, 18 percent through independent agents, 15 percent through career agents, 24 percent through banks, 17 percent through full-service national broker-dealers, 3 percent through direct-response, and 2 percent through other methods. For the purposes of this analysis, the Department considers those sales made by career agents and full-service national broker-dealers to be “captive,” and those made by independent broker-dealers and independent agents to be “independent.” The Department assumes that 46 percent of sales by banks are captive, while 54 percent of sales by banks are independent. As such, the Department assumes that 46 percent of sales are sold through captive channels {[15% + 17% + (46% x 24%)]/ (100% - 6%)}, while 54 percent of sales are sold through independent channels {[20% + 18% + (54% x 24%)]/ (100% - 6%)}.</w:t>
      </w:r>
    </w:p>
  </w:footnote>
  <w:footnote w:id="31">
    <w:p w:rsidR="005F3B17" w:rsidRPr="005F3B17" w:rsidP="005F3B17" w14:paraId="39796CF7"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rPr>
        <w:t xml:space="preserve"> The number of insurance companies using captive distribution channels is estimated as (398 x 46%) = 183 insurance companies. The number of insurance companies using independent distribution channels is estimated as (398 – 183) = 215 insurance companies.</w:t>
      </w:r>
    </w:p>
  </w:footnote>
  <w:footnote w:id="32">
    <w:p w:rsidR="005F3B17" w:rsidRPr="005F3B17" w:rsidP="005F3B17" w14:paraId="02561215"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rPr>
        <w:t xml:space="preserve"> LIMRA estimates that, in 2016, 70 insurers had more than $38.5 million in sales, which is the Small Business Administration’s threshold for a large entity within the insurance industry. (</w:t>
      </w:r>
      <w:r w:rsidRPr="005F3B17">
        <w:rPr>
          <w:rFonts w:ascii="Times New Roman" w:hAnsi="Times New Roman"/>
          <w:i/>
        </w:rPr>
        <w:t>See</w:t>
      </w:r>
      <w:r w:rsidRPr="005F3B17">
        <w:rPr>
          <w:rFonts w:ascii="Times New Roman" w:hAnsi="Times New Roman"/>
        </w:rPr>
        <w:t xml:space="preserve"> LIMRA</w:t>
      </w:r>
      <w:r w:rsidRPr="005F3B17">
        <w:rPr>
          <w:rFonts w:ascii="Times New Roman" w:hAnsi="Times New Roman"/>
          <w:i/>
          <w:iCs/>
        </w:rPr>
        <w:t>, U.S. Individual Annuity Yearbook: 2016 Data</w:t>
      </w:r>
      <w:r w:rsidRPr="005F3B17">
        <w:rPr>
          <w:rFonts w:ascii="Times New Roman" w:hAnsi="Times New Roman"/>
        </w:rPr>
        <w:t>, LIMRA Secure Retirement Institute (2017)).</w:t>
      </w:r>
    </w:p>
  </w:footnote>
  <w:footnote w:id="33">
    <w:p w:rsidR="005F3B17" w:rsidRPr="005F3B17" w:rsidP="005F3B17" w14:paraId="3B0054A5"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vertAlign w:val="superscript"/>
        </w:rPr>
        <w:t xml:space="preserve"> </w:t>
      </w:r>
      <w:r w:rsidRPr="005F3B17">
        <w:rPr>
          <w:rFonts w:ascii="Times New Roman" w:hAnsi="Times New Roman"/>
        </w:rPr>
        <w:t>The number of large insurance companies using a captive distribution channel is estimate as: (70 large insurance companies x 46%) = 32 insurance companies. The number of small insurance companies using a captive distribution channel is estimated as: (183 insurance companies – 32 large insurance companies) = 151 small insurance companies.</w:t>
      </w:r>
    </w:p>
  </w:footnote>
  <w:footnote w:id="34">
    <w:p w:rsidR="005F3B17" w:rsidRPr="005F3B17" w:rsidP="005F3B17" w14:paraId="16BC0D72" w14:textId="77777777">
      <w:pPr>
        <w:pStyle w:val="FootnoteText"/>
        <w:contextualSpacing/>
        <w:rPr>
          <w:rFonts w:ascii="Times New Roman" w:hAnsi="Times New Roman"/>
        </w:rPr>
      </w:pPr>
      <w:r w:rsidRPr="005F3B17">
        <w:rPr>
          <w:rStyle w:val="FootnoteReference"/>
          <w:rFonts w:ascii="Times New Roman" w:hAnsi="Times New Roman"/>
          <w:vertAlign w:val="superscript"/>
        </w:rPr>
        <w:footnoteRef/>
      </w:r>
      <w:r w:rsidRPr="005F3B17">
        <w:rPr>
          <w:rFonts w:ascii="Times New Roman" w:hAnsi="Times New Roman"/>
          <w:vertAlign w:val="superscript"/>
        </w:rPr>
        <w:t xml:space="preserve"> </w:t>
      </w:r>
      <w:r w:rsidRPr="005F3B17">
        <w:rPr>
          <w:rFonts w:ascii="Times New Roman" w:hAnsi="Times New Roman"/>
        </w:rPr>
        <w:t>The number of large insurance companies using an independent distribution channel is estimated as: (70 large insurance companies x 54%) = 38 insurance companies. The number of small insurance companies using an independent distribution channel is estimated as: (215 insurance companies – 38 large insurance companies) = 177 small insurance companies.</w:t>
      </w:r>
    </w:p>
  </w:footnote>
  <w:footnote w:id="35">
    <w:p w:rsidR="00F91230" w:rsidP="00F91230" w14:paraId="74BA57AF" w14:textId="77777777">
      <w:pPr>
        <w:pStyle w:val="NormalWeb"/>
        <w:contextualSpacing/>
      </w:pPr>
      <w:r w:rsidRPr="00F91230">
        <w:rPr>
          <w:rStyle w:val="FootnoteReference"/>
          <w:rFonts w:eastAsiaTheme="minorEastAsia"/>
          <w:vertAlign w:val="superscript"/>
        </w:rPr>
        <w:footnoteRef/>
      </w:r>
      <w:r>
        <w:t xml:space="preserve"> </w:t>
      </w:r>
      <w:r w:rsidRPr="00F91230">
        <w:rPr>
          <w:sz w:val="20"/>
          <w:szCs w:val="20"/>
        </w:rPr>
        <w:t>85 FR 82798, 82827 (Dec. 18, 2020). The</w:t>
      </w:r>
      <w:r>
        <w:rPr>
          <w:sz w:val="20"/>
          <w:szCs w:val="20"/>
        </w:rPr>
        <w:t xml:space="preserve"> model statement was also included in Frequently Asked Questions in April 2021, New Fiduciary Advice Exemption: PTE 2020-02 </w:t>
      </w:r>
      <w:r>
        <w:rPr>
          <w:i/>
          <w:iCs/>
          <w:sz w:val="20"/>
          <w:szCs w:val="20"/>
        </w:rPr>
        <w:t>Improving Investment Advice for Workers &amp; Retirees</w:t>
      </w:r>
      <w:r>
        <w:rPr>
          <w:sz w:val="20"/>
          <w:szCs w:val="20"/>
        </w:rPr>
        <w:t xml:space="preserve"> Frequently Asked Questions, Q13, (April 2021), </w:t>
      </w:r>
      <w:hyperlink r:id="rId10" w:tgtFrame="_blank" w:tooltip="https://www.dol.gov/sites/dolgov/files/ebsa/about-ebsa/our-activities/resource-center/faqs/new-fiduciary-advice-exemption.pdf" w:history="1">
        <w:r>
          <w:rPr>
            <w:rStyle w:val="Hyperlink"/>
            <w:sz w:val="20"/>
            <w:szCs w:val="20"/>
          </w:rPr>
          <w:t>https://www.dol.gov/sites/dolgov/files/ebsa/about-ebsa/our-activities/resource-center/faqs/new-fiduciary-advice-exemption.pdf</w:t>
        </w:r>
      </w:hyperlink>
      <w:r>
        <w:rPr>
          <w:sz w:val="20"/>
          <w:szCs w:val="20"/>
        </w:rPr>
        <w:t>.</w:t>
      </w:r>
    </w:p>
  </w:footnote>
  <w:footnote w:id="36">
    <w:p w:rsidR="000750B5" w:rsidP="000750B5" w14:paraId="5BCC72A3" w14:textId="2FE89287">
      <w:pPr>
        <w:pStyle w:val="NormalWeb"/>
        <w:contextualSpacing/>
      </w:pPr>
      <w:r w:rsidRPr="00675971">
        <w:rPr>
          <w:rStyle w:val="FootnoteReference"/>
          <w:rFonts w:eastAsiaTheme="minorEastAsia"/>
          <w:vertAlign w:val="superscript"/>
        </w:rPr>
        <w:footnoteRef/>
      </w:r>
      <w:r w:rsidRPr="00675971">
        <w:rPr>
          <w:vertAlign w:val="superscript"/>
        </w:rPr>
        <w:t xml:space="preserve"> </w:t>
      </w:r>
      <w:r>
        <w:rPr>
          <w:sz w:val="20"/>
          <w:szCs w:val="20"/>
        </w:rPr>
        <w:t xml:space="preserve">The burden is estimated as: </w:t>
      </w:r>
      <w:r w:rsidRPr="000851B1">
        <w:rPr>
          <w:sz w:val="20"/>
          <w:szCs w:val="20"/>
        </w:rPr>
        <w:t xml:space="preserve">{[(215 financial institutions + 200 </w:t>
      </w:r>
      <w:r w:rsidR="00ED1A11">
        <w:rPr>
          <w:sz w:val="20"/>
          <w:szCs w:val="20"/>
        </w:rPr>
        <w:t>Independent Producer</w:t>
      </w:r>
      <w:r w:rsidRPr="000851B1">
        <w:rPr>
          <w:sz w:val="20"/>
          <w:szCs w:val="20"/>
        </w:rPr>
        <w:t xml:space="preserve">s) x (10 minutes)] ÷ 60 minutes} </w:t>
      </w:r>
      <w:r>
        <w:rPr>
          <w:sz w:val="20"/>
          <w:szCs w:val="20"/>
        </w:rPr>
        <w:t xml:space="preserve">= 69 hours. A labor rate of approximately $159.34 is used for a legal professional. The labor rate is applied in the following calculation: {[(215 financial institutions + 200 </w:t>
      </w:r>
      <w:r w:rsidR="00ED1A11">
        <w:rPr>
          <w:sz w:val="20"/>
          <w:szCs w:val="20"/>
        </w:rPr>
        <w:t>Independent Producer</w:t>
      </w:r>
      <w:r>
        <w:rPr>
          <w:sz w:val="20"/>
          <w:szCs w:val="20"/>
        </w:rPr>
        <w:t>s) x (10 minutes)] ÷ 60 minutes} x $159.34 = $11,021.</w:t>
      </w:r>
    </w:p>
  </w:footnote>
  <w:footnote w:id="37">
    <w:p w:rsidR="000750B5" w:rsidRPr="00675971" w:rsidP="000750B5" w14:paraId="0B11598A" w14:textId="1EC07394">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The burden is estimated as: {[(215 financial institutions + 200 </w:t>
      </w:r>
      <w:r w:rsidR="00ED1A11">
        <w:rPr>
          <w:rFonts w:ascii="Times New Roman" w:hAnsi="Times New Roman"/>
        </w:rPr>
        <w:t>Independent Producer</w:t>
      </w:r>
      <w:r w:rsidRPr="00675971">
        <w:rPr>
          <w:rFonts w:ascii="Times New Roman" w:hAnsi="Times New Roman"/>
        </w:rPr>
        <w:t xml:space="preserve">s) x (30 minutes)] ÷ 60 minutes} = 208 hours. A labor rate of approximately $159.34 is used for a legal professional. The labor rate is applied in the following calculation: {[(215 financial institutions + 200 </w:t>
      </w:r>
      <w:r w:rsidR="00ED1A11">
        <w:rPr>
          <w:rFonts w:ascii="Times New Roman" w:hAnsi="Times New Roman"/>
        </w:rPr>
        <w:t>Independent Producer</w:t>
      </w:r>
      <w:r w:rsidRPr="00675971">
        <w:rPr>
          <w:rFonts w:ascii="Times New Roman" w:hAnsi="Times New Roman"/>
        </w:rPr>
        <w:t>s) x (30 minutes)] ÷ 60 minutes} x $159.34 = $33,063.</w:t>
      </w:r>
    </w:p>
  </w:footnote>
  <w:footnote w:id="38">
    <w:p w:rsidR="000750B5" w:rsidRPr="00275259" w:rsidP="000750B5" w14:paraId="3827E05B" w14:textId="2C17B976">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The burden is estimated as: (4,000 </w:t>
      </w:r>
      <w:r w:rsidR="00ED1A11">
        <w:rPr>
          <w:rFonts w:ascii="Times New Roman" w:hAnsi="Times New Roman"/>
        </w:rPr>
        <w:t>Independent Producer</w:t>
      </w:r>
      <w:r w:rsidRPr="00675971">
        <w:rPr>
          <w:rFonts w:ascii="Times New Roman" w:hAnsi="Times New Roman"/>
        </w:rPr>
        <w:t xml:space="preserve">s x 0.5 hours) = 2,000 hours. A labor rate of approximately $159.34 is used for a legal professional. The labor rate is applied in the following calculation: (4,000 </w:t>
      </w:r>
      <w:r w:rsidR="00ED1A11">
        <w:rPr>
          <w:rFonts w:ascii="Times New Roman" w:hAnsi="Times New Roman"/>
        </w:rPr>
        <w:t>Independent Producer</w:t>
      </w:r>
      <w:r w:rsidRPr="00675971">
        <w:rPr>
          <w:rFonts w:ascii="Times New Roman" w:hAnsi="Times New Roman"/>
        </w:rPr>
        <w:t>s x 0.5 hours) x $159.34 = $318,680.</w:t>
      </w:r>
    </w:p>
  </w:footnote>
  <w:footnote w:id="39">
    <w:p w:rsidR="000750B5" w:rsidRPr="00275259" w:rsidP="000750B5" w14:paraId="408815EE" w14:textId="2532C07B">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The burden is estimated as: (4,000 </w:t>
      </w:r>
      <w:r w:rsidR="00ED1A11">
        <w:rPr>
          <w:rFonts w:ascii="Times New Roman" w:hAnsi="Times New Roman"/>
        </w:rPr>
        <w:t>Independent Producer</w:t>
      </w:r>
      <w:r w:rsidRPr="00675971">
        <w:rPr>
          <w:rFonts w:ascii="Times New Roman" w:hAnsi="Times New Roman"/>
        </w:rPr>
        <w:t>s x 1 hour) = 4,000 hours. A labor rate of approximately $159.34 is used for a legal professional. The labor rate is applied in the following calculation: (4,000 hours x $159.34) = $637,360.</w:t>
      </w:r>
    </w:p>
  </w:footnote>
  <w:footnote w:id="40">
    <w:p w:rsidR="000750B5" w:rsidRPr="00675971" w:rsidP="000750B5" w14:paraId="3D292393" w14:textId="77777777">
      <w:pPr>
        <w:pStyle w:val="FootnoteText"/>
        <w:spacing w:before="240"/>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In 2020, 7 percent of traditional IRAs were held by insurance companies. (</w:t>
      </w:r>
      <w:r w:rsidRPr="00675971">
        <w:rPr>
          <w:rFonts w:ascii="Times New Roman" w:hAnsi="Times New Roman"/>
          <w:i/>
        </w:rPr>
        <w:t xml:space="preserve">See </w:t>
      </w:r>
      <w:r w:rsidRPr="00675971">
        <w:rPr>
          <w:rFonts w:ascii="Times New Roman" w:hAnsi="Times New Roman"/>
        </w:rPr>
        <w:t xml:space="preserve">Investment Company Institute, </w:t>
      </w:r>
      <w:r w:rsidRPr="00675971">
        <w:rPr>
          <w:rFonts w:ascii="Times New Roman" w:hAnsi="Times New Roman"/>
          <w:i/>
        </w:rPr>
        <w:t>The Role of IRAs in US Households’ Saving for Retirement, 2020</w:t>
      </w:r>
      <w:r w:rsidRPr="00675971">
        <w:rPr>
          <w:rFonts w:ascii="Times New Roman" w:hAnsi="Times New Roman"/>
        </w:rPr>
        <w:t>,</w:t>
      </w:r>
      <w:r w:rsidRPr="00675971">
        <w:rPr>
          <w:rFonts w:ascii="Times New Roman" w:hAnsi="Times New Roman"/>
          <w:i/>
          <w:iCs/>
        </w:rPr>
        <w:t xml:space="preserve"> </w:t>
      </w:r>
      <w:r w:rsidRPr="00675971">
        <w:rPr>
          <w:rFonts w:ascii="Times New Roman" w:hAnsi="Times New Roman"/>
        </w:rPr>
        <w:t xml:space="preserve">27(1) </w:t>
      </w:r>
      <w:r w:rsidRPr="00675971">
        <w:rPr>
          <w:rFonts w:ascii="Times New Roman" w:hAnsi="Times New Roman"/>
          <w:i/>
        </w:rPr>
        <w:t>ICI Research Perspective</w:t>
      </w:r>
      <w:r w:rsidRPr="00675971">
        <w:rPr>
          <w:rFonts w:ascii="Times New Roman" w:hAnsi="Times New Roman"/>
        </w:rPr>
        <w:t xml:space="preserve"> (2021). </w:t>
      </w:r>
      <w:hyperlink r:id="rId5" w:history="1">
        <w:r w:rsidRPr="00675971">
          <w:rPr>
            <w:rStyle w:val="Hyperlink"/>
            <w:rFonts w:ascii="Times New Roman" w:hAnsi="Times New Roman"/>
          </w:rPr>
          <w:t>https://www.ici.org/system/files/attachments/pdf/per27-01.pdf</w:t>
        </w:r>
      </w:hyperlink>
      <w:r w:rsidRPr="00675971">
        <w:rPr>
          <w:rFonts w:ascii="Times New Roman" w:hAnsi="Times New Roman"/>
        </w:rPr>
        <w:t>.) This number has been adjusted downward to 3 percent to reflect the removal of transactions not covered by this exemption.). The number of IRAs affected is estimated as: (83,252,750 IRAs x 2.1% IRAs assumed to be new IRAs x 3% of IRAs held by insurance companies) = 52,449 IRAs.</w:t>
      </w:r>
    </w:p>
  </w:footnote>
  <w:footnote w:id="41">
    <w:p w:rsidR="000750B5" w:rsidRPr="00675971" w:rsidP="000750B5" w14:paraId="6E469265" w14:textId="270EF5A4">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rPr>
        <w:t xml:space="preserve"> The burden is estimated as: </w:t>
      </w:r>
      <w:r w:rsidRPr="00675971">
        <w:rPr>
          <w:rFonts w:ascii="Times New Roman" w:hAnsi="Times New Roman"/>
        </w:rPr>
        <w:t>(</w:t>
      </w:r>
      <w:r w:rsidRPr="00675971">
        <w:rPr>
          <w:rFonts w:ascii="Times New Roman" w:hAnsi="Times New Roman"/>
        </w:rPr>
        <w:t>52,449</w:t>
      </w:r>
      <w:r w:rsidRPr="00675971">
        <w:rPr>
          <w:rFonts w:ascii="Times New Roman" w:hAnsi="Times New Roman"/>
        </w:rPr>
        <w:t xml:space="preserve"> rollovers x 1 hour) = </w:t>
      </w:r>
      <w:r w:rsidRPr="00675971">
        <w:rPr>
          <w:rFonts w:ascii="Times New Roman" w:hAnsi="Times New Roman"/>
        </w:rPr>
        <w:t>52,449</w:t>
      </w:r>
      <w:r w:rsidRPr="00675971">
        <w:rPr>
          <w:rFonts w:ascii="Times New Roman" w:hAnsi="Times New Roman"/>
        </w:rPr>
        <w:t xml:space="preserve"> hours. </w:t>
      </w:r>
      <w:r w:rsidRPr="00675971">
        <w:rPr>
          <w:rFonts w:ascii="Times New Roman" w:hAnsi="Times New Roman"/>
        </w:rPr>
        <w:t xml:space="preserve">A labor rate of approximately $158.94 is used for an </w:t>
      </w:r>
      <w:r w:rsidR="00ED1A11">
        <w:rPr>
          <w:rFonts w:ascii="Times New Roman" w:hAnsi="Times New Roman"/>
        </w:rPr>
        <w:t>Independent Producer</w:t>
      </w:r>
      <w:r w:rsidRPr="00675971">
        <w:rPr>
          <w:rFonts w:ascii="Times New Roman" w:hAnsi="Times New Roman"/>
        </w:rPr>
        <w:t xml:space="preserve">. </w:t>
      </w:r>
      <w:r w:rsidRPr="00675971">
        <w:rPr>
          <w:rFonts w:ascii="Times New Roman" w:hAnsi="Times New Roman"/>
        </w:rPr>
        <w:t>The labor rate is applied in the following calculatio</w:t>
      </w:r>
      <w:r w:rsidRPr="00675971">
        <w:rPr>
          <w:rFonts w:ascii="Times New Roman" w:hAnsi="Times New Roman"/>
        </w:rPr>
        <w:t>n</w:t>
      </w:r>
      <w:r w:rsidRPr="00675971">
        <w:rPr>
          <w:rFonts w:ascii="Times New Roman" w:hAnsi="Times New Roman"/>
        </w:rPr>
        <w:t>:</w:t>
      </w:r>
      <w:r w:rsidRPr="00675971">
        <w:rPr>
          <w:rFonts w:ascii="Times New Roman" w:hAnsi="Times New Roman"/>
        </w:rPr>
        <w:t xml:space="preserve"> (52,449 rollovers x 1 hour) x $158.94 = $8,336,244.</w:t>
      </w:r>
    </w:p>
  </w:footnote>
  <w:footnote w:id="42">
    <w:p w:rsidR="000750B5" w:rsidRPr="00566065" w:rsidP="000750B5" w14:paraId="6298671E" w14:textId="77777777">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This is estimated as: (52,449 retirement investors x 5.8%) = 3,042 paper disclosures.</w:t>
      </w:r>
    </w:p>
  </w:footnote>
  <w:footnote w:id="43">
    <w:p w:rsidR="000750B5" w:rsidRPr="00675971" w:rsidP="000750B5" w14:paraId="0BB8CADC"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This is estimated as: [(3,042 paper disclosures x 5 minutes) ÷ 60 minutes] = 254 hours. A labor rate of $63.45 is used for a clerical worker. </w:t>
      </w:r>
      <w:r w:rsidRPr="00675971">
        <w:rPr>
          <w:rFonts w:ascii="Times New Roman" w:hAnsi="Times New Roman"/>
        </w:rPr>
        <w:t>The labor rate is applied in the following calculation</w:t>
      </w:r>
      <w:r w:rsidRPr="00675971">
        <w:rPr>
          <w:rFonts w:ascii="Times New Roman" w:hAnsi="Times New Roman"/>
        </w:rPr>
        <w:t>: [(3,042 paper disclosures x 5 minutes) ÷ 60 minutes] x $63.45 = $16,085.</w:t>
      </w:r>
    </w:p>
  </w:footnote>
  <w:footnote w:id="44">
    <w:p w:rsidR="000750B5" w:rsidRPr="00675971" w:rsidP="000750B5" w14:paraId="329AEB9E"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The number of large insurance companies using an independent distribution channel is estimated as: (70 large insurance companies x 54%) = 38 insurance companies. The number of small insurance companies using an independent distribution channel is estimated as: (215 insurance companies – 38 large insurance companies) = 177 small insurance companies.</w:t>
      </w:r>
    </w:p>
  </w:footnote>
  <w:footnote w:id="45">
    <w:p w:rsidR="000750B5" w:rsidRPr="00275259" w:rsidP="000750B5" w14:paraId="7C4DEA21" w14:textId="77777777">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This is estimated as: [(177 small insurance companies x 5 hours) + (38 large insurance companies x 10 hours)] = 1,265 hours. A labor rate of $159.34 is used for a legal professional. </w:t>
      </w:r>
      <w:r w:rsidRPr="00675971">
        <w:rPr>
          <w:rFonts w:ascii="Times New Roman" w:hAnsi="Times New Roman"/>
        </w:rPr>
        <w:t>The labor rate is applied in the following calculation</w:t>
      </w:r>
      <w:r w:rsidRPr="00675971">
        <w:rPr>
          <w:rFonts w:ascii="Times New Roman" w:hAnsi="Times New Roman"/>
        </w:rPr>
        <w:t>: [(177 small insurance companies x 5 hours) + (38 large insurance companies x 10 hours)] x $159.34 = $201,565.</w:t>
      </w:r>
    </w:p>
  </w:footnote>
  <w:footnote w:id="46">
    <w:p w:rsidR="000750B5" w:rsidRPr="00675971" w:rsidP="000750B5" w14:paraId="541BFD1B" w14:textId="77777777">
      <w:pPr>
        <w:pStyle w:val="FootnoteText"/>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This is estimated as: (215 insurance companies x 2 hours) = 430 hours. A labor rate of $159.34 is used for a legal professional. </w:t>
      </w:r>
      <w:r w:rsidRPr="00675971">
        <w:rPr>
          <w:rFonts w:ascii="Times New Roman" w:hAnsi="Times New Roman"/>
        </w:rPr>
        <w:t>The labor rate is applied in the following calculation</w:t>
      </w:r>
      <w:r w:rsidRPr="00675971">
        <w:rPr>
          <w:rFonts w:ascii="Times New Roman" w:hAnsi="Times New Roman"/>
        </w:rPr>
        <w:t>: (215 insurance companies x 2 hours) x $159.34 = $68,516.</w:t>
      </w:r>
    </w:p>
  </w:footnote>
  <w:footnote w:id="47">
    <w:p w:rsidR="000750B5" w:rsidRPr="00675971" w:rsidP="000750B5" w14:paraId="50C9DE3B"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The number of requests in the first year is estimated as 215 insurance companies x (165 requests in PTE 2020-02 / 19,290 financial institutions in PTE 2020-02) = 2 requests. The number of requests in subsequent years is estimated as: 215 insurance companies x (50 requests in PTE 2020-02 / 19,290 financial institutions in PTE 2020-02) = 1 request.</w:t>
      </w:r>
    </w:p>
  </w:footnote>
  <w:footnote w:id="48">
    <w:p w:rsidR="000750B5" w:rsidRPr="00675971" w:rsidP="000750B5" w14:paraId="6B5F6D13"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rPr>
        <w:t xml:space="preserve"> The burden is estimated as: [(2 x 15 minutes) ÷ 60 minutes] = 0.5 hours. A labor rate of $63.45 is used for a clerical worker. </w:t>
      </w:r>
      <w:r w:rsidRPr="00675971">
        <w:rPr>
          <w:rFonts w:ascii="Times New Roman" w:hAnsi="Times New Roman"/>
        </w:rPr>
        <w:t xml:space="preserve">The labor rate is applied in the following calculation: </w:t>
      </w:r>
      <w:r w:rsidRPr="00675971">
        <w:rPr>
          <w:rFonts w:ascii="Times New Roman" w:hAnsi="Times New Roman"/>
        </w:rPr>
        <w:t xml:space="preserve">[(2 </w:t>
      </w:r>
      <w:r w:rsidRPr="00675971">
        <w:rPr>
          <w:rFonts w:ascii="Times New Roman" w:hAnsi="Times New Roman"/>
          <w:color w:val="000000"/>
        </w:rPr>
        <w:t>x 15 minutes) ÷ 60 minutes]</w:t>
      </w:r>
      <w:r w:rsidRPr="00675971">
        <w:rPr>
          <w:rFonts w:ascii="Times New Roman" w:hAnsi="Times New Roman"/>
        </w:rPr>
        <w:t xml:space="preserve"> x $63.45 </w:t>
      </w:r>
      <w:r w:rsidRPr="00675971">
        <w:rPr>
          <w:rFonts w:ascii="Times New Roman" w:hAnsi="Times New Roman"/>
          <w:color w:val="000000"/>
        </w:rPr>
        <w:t>=</w:t>
      </w:r>
      <w:r w:rsidRPr="00675971">
        <w:rPr>
          <w:rFonts w:ascii="Times New Roman" w:hAnsi="Times New Roman"/>
        </w:rPr>
        <w:t xml:space="preserve"> </w:t>
      </w:r>
      <w:r w:rsidRPr="00675971">
        <w:rPr>
          <w:rFonts w:ascii="Times New Roman" w:hAnsi="Times New Roman"/>
          <w:color w:val="000000"/>
        </w:rPr>
        <w:t>$31.73.</w:t>
      </w:r>
    </w:p>
  </w:footnote>
  <w:footnote w:id="49">
    <w:p w:rsidR="000750B5" w:rsidRPr="00675971" w:rsidP="000750B5" w14:paraId="46E86478"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The burden is estimated as: [(1 x 15 minutes) ÷ 60 minutes] = 0.25 hours. A labor rate of $63.45 is used for a clerical worker. </w:t>
      </w:r>
      <w:r w:rsidRPr="00675971">
        <w:rPr>
          <w:rFonts w:ascii="Times New Roman" w:hAnsi="Times New Roman"/>
        </w:rPr>
        <w:t>The labor rate is applied in the following calculation:</w:t>
      </w:r>
      <w:r w:rsidRPr="00675971">
        <w:rPr>
          <w:rFonts w:ascii="Times New Roman" w:hAnsi="Times New Roman"/>
        </w:rPr>
        <w:t xml:space="preserve"> [(1 </w:t>
      </w:r>
      <w:r w:rsidRPr="00675971">
        <w:rPr>
          <w:rFonts w:ascii="Times New Roman" w:hAnsi="Times New Roman"/>
          <w:color w:val="000000"/>
        </w:rPr>
        <w:t>x 15 minutes) ÷ 60 minutes]</w:t>
      </w:r>
      <w:r w:rsidRPr="00675971">
        <w:rPr>
          <w:rFonts w:ascii="Times New Roman" w:hAnsi="Times New Roman"/>
        </w:rPr>
        <w:t xml:space="preserve"> x $63.45 </w:t>
      </w:r>
      <w:r w:rsidRPr="00675971">
        <w:rPr>
          <w:rFonts w:ascii="Times New Roman" w:hAnsi="Times New Roman"/>
          <w:color w:val="000000"/>
        </w:rPr>
        <w:t>=</w:t>
      </w:r>
      <w:r w:rsidRPr="00675971">
        <w:rPr>
          <w:rFonts w:ascii="Times New Roman" w:hAnsi="Times New Roman"/>
        </w:rPr>
        <w:t xml:space="preserve"> </w:t>
      </w:r>
      <w:r w:rsidRPr="00675971">
        <w:rPr>
          <w:rFonts w:ascii="Times New Roman" w:hAnsi="Times New Roman"/>
          <w:color w:val="000000"/>
        </w:rPr>
        <w:t>$15.86.</w:t>
      </w:r>
    </w:p>
  </w:footnote>
  <w:footnote w:id="50">
    <w:p w:rsidR="000750B5" w:rsidRPr="00675971" w:rsidP="000750B5" w14:paraId="5C631F17"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NAIC Model Suitability Regulations, § 6(F)(1)(d) (2010), </w:t>
      </w:r>
      <w:hyperlink r:id="rId11" w:history="1">
        <w:r w:rsidRPr="00675971">
          <w:rPr>
            <w:rStyle w:val="Hyperlink"/>
            <w:rFonts w:ascii="Times New Roman" w:hAnsi="Times New Roman"/>
          </w:rPr>
          <w:t>https://naic.soutronglobal.net/Portal/Public/en-GB/RecordView/Index/25201</w:t>
        </w:r>
      </w:hyperlink>
      <w:r w:rsidRPr="00675971">
        <w:rPr>
          <w:rFonts w:ascii="Times New Roman" w:hAnsi="Times New Roman"/>
        </w:rPr>
        <w:t>.</w:t>
      </w:r>
    </w:p>
  </w:footnote>
  <w:footnote w:id="51">
    <w:p w:rsidR="000750B5" w:rsidRPr="00675971" w:rsidP="000750B5" w14:paraId="61ACAAD7"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rPr>
        <w:t xml:space="preserve"> NAIC Model Suitability Regulations, § 6(C)(1)(d) (2020), </w:t>
      </w:r>
      <w:hyperlink r:id="rId12" w:history="1">
        <w:r w:rsidRPr="00675971">
          <w:rPr>
            <w:rStyle w:val="Hyperlink"/>
            <w:rFonts w:ascii="Times New Roman" w:hAnsi="Times New Roman"/>
          </w:rPr>
          <w:t>https://content.naic.org/sites/default/files/inline-files/MDL-275.pdf</w:t>
        </w:r>
      </w:hyperlink>
      <w:r w:rsidRPr="00675971">
        <w:rPr>
          <w:rFonts w:ascii="Times New Roman" w:hAnsi="Times New Roman"/>
        </w:rPr>
        <w:t>.</w:t>
      </w:r>
    </w:p>
  </w:footnote>
  <w:footnote w:id="52">
    <w:p w:rsidR="000750B5" w:rsidRPr="00675971" w:rsidP="000750B5" w14:paraId="3822F31E"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As of October of 2021, only three states had not adopted some form of Model Regulation 275. (</w:t>
      </w:r>
      <w:r w:rsidRPr="00675971">
        <w:rPr>
          <w:rFonts w:ascii="Times New Roman" w:hAnsi="Times New Roman"/>
          <w:i/>
        </w:rPr>
        <w:t xml:space="preserve">See </w:t>
      </w:r>
      <w:r w:rsidRPr="00675971">
        <w:rPr>
          <w:rFonts w:ascii="Times New Roman" w:hAnsi="Times New Roman"/>
        </w:rPr>
        <w:t xml:space="preserve">A.D. Banker &amp; Company, </w:t>
      </w:r>
      <w:r w:rsidRPr="00675971">
        <w:rPr>
          <w:rFonts w:ascii="Times New Roman" w:hAnsi="Times New Roman"/>
          <w:i/>
        </w:rPr>
        <w:t>Annuity Best Interest State Map and FAQs</w:t>
      </w:r>
      <w:r w:rsidRPr="00675971">
        <w:rPr>
          <w:rFonts w:ascii="Times New Roman" w:hAnsi="Times New Roman"/>
        </w:rPr>
        <w:t xml:space="preserve">, (October 2021), </w:t>
      </w:r>
      <w:hyperlink r:id="rId13" w:history="1">
        <w:r w:rsidRPr="00675971">
          <w:rPr>
            <w:rStyle w:val="Hyperlink"/>
            <w:rFonts w:ascii="Times New Roman" w:hAnsi="Times New Roman"/>
          </w:rPr>
          <w:t>https://blog.adbanker.com/annuity-best-interest-state-map-and-faqs</w:t>
        </w:r>
      </w:hyperlink>
      <w:r w:rsidRPr="00675971">
        <w:rPr>
          <w:rFonts w:ascii="Times New Roman" w:hAnsi="Times New Roman"/>
        </w:rPr>
        <w:t>).</w:t>
      </w:r>
    </w:p>
  </w:footnote>
  <w:footnote w:id="53">
    <w:p w:rsidR="004D4500" w:rsidRPr="00566065" w:rsidP="004D4500" w14:paraId="070E4085" w14:textId="03F26EF2">
      <w:pPr>
        <w:pStyle w:val="FootnoteText"/>
        <w:contextualSpacing/>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This is estimated as: (4,000 </w:t>
      </w:r>
      <w:r w:rsidR="00ED1A11">
        <w:rPr>
          <w:rFonts w:ascii="Times New Roman" w:hAnsi="Times New Roman"/>
        </w:rPr>
        <w:t>Independent Producer</w:t>
      </w:r>
      <w:r w:rsidRPr="00675971">
        <w:rPr>
          <w:rFonts w:ascii="Times New Roman" w:hAnsi="Times New Roman"/>
        </w:rPr>
        <w:t>s x 3 insurance companies covered) = 12,000 retrospective reviews.</w:t>
      </w:r>
    </w:p>
  </w:footnote>
  <w:footnote w:id="54">
    <w:p w:rsidR="004D4500" w:rsidRPr="00675971" w:rsidP="004D4500" w14:paraId="48CDD38E" w14:textId="77777777">
      <w:pPr>
        <w:pStyle w:val="FootnoteText"/>
        <w:contextualSpacing/>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This is estimated as: (12,000 / 215) = 55.81 retrospective reviews, on average</w:t>
      </w:r>
    </w:p>
  </w:footnote>
  <w:footnote w:id="55">
    <w:p w:rsidR="004D4500" w:rsidRPr="00675971" w:rsidP="004D4500" w14:paraId="1B39D2FE"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This is estimated as: (12,000 retrospective reviews x 1 hour) = 12,000 hours. A labor rate of $159.34 is used for a legal professional. </w:t>
      </w:r>
      <w:r w:rsidRPr="00675971">
        <w:rPr>
          <w:rFonts w:ascii="Times New Roman" w:hAnsi="Times New Roman"/>
        </w:rPr>
        <w:t>The labor rate is applied in the following calculation</w:t>
      </w:r>
      <w:r w:rsidRPr="00675971">
        <w:rPr>
          <w:rFonts w:ascii="Times New Roman" w:hAnsi="Times New Roman"/>
        </w:rPr>
        <w:t>: (12,000 retrospective reviews x 1 hour) x $159.34 = $1,912,080.</w:t>
      </w:r>
    </w:p>
  </w:footnote>
  <w:footnote w:id="56">
    <w:p w:rsidR="004D4500" w:rsidRPr="00275259" w:rsidP="004D4500" w14:paraId="5BFAB7AB" w14:textId="77777777">
      <w:pPr>
        <w:pStyle w:val="FootnoteText"/>
        <w:contextualSpacing/>
      </w:pPr>
      <w:r w:rsidRPr="00675971">
        <w:rPr>
          <w:rStyle w:val="FootnoteReference"/>
          <w:rFonts w:ascii="Times New Roman" w:hAnsi="Times New Roman" w:eastAsiaTheme="majorEastAsia"/>
        </w:rPr>
        <w:footnoteRef/>
      </w:r>
      <w:r w:rsidRPr="00675971">
        <w:rPr>
          <w:rFonts w:ascii="Times New Roman" w:hAnsi="Times New Roman"/>
        </w:rPr>
        <w:t xml:space="preserve"> This is estimated as: [(12,000 retrospective reviews x 15 minutes) ÷ 60 minutes] = 3,000 hours. A labor rate of $128.11 is used for a Senior Executive Officer. The labor rate is applied in the following calculation:</w:t>
      </w:r>
      <w:r w:rsidRPr="00675971">
        <w:rPr>
          <w:rFonts w:ascii="Times New Roman" w:hAnsi="Times New Roman"/>
        </w:rPr>
        <w:t xml:space="preserve"> </w:t>
      </w:r>
      <w:r w:rsidRPr="00675971">
        <w:rPr>
          <w:rFonts w:ascii="Times New Roman" w:hAnsi="Times New Roman"/>
        </w:rPr>
        <w:t>[(12,000 retrospective reviews x 15 minutes)</w:t>
      </w:r>
      <w:r w:rsidRPr="00675971">
        <w:rPr>
          <w:rFonts w:ascii="Times New Roman" w:hAnsi="Times New Roman"/>
          <w:color w:val="000000"/>
        </w:rPr>
        <w:t xml:space="preserve"> ÷ 60 minutes]</w:t>
      </w:r>
      <w:r w:rsidRPr="00675971">
        <w:rPr>
          <w:rFonts w:ascii="Times New Roman" w:hAnsi="Times New Roman"/>
        </w:rPr>
        <w:t xml:space="preserve"> x $128.11 = $384,330.</w:t>
      </w:r>
    </w:p>
  </w:footnote>
  <w:footnote w:id="57">
    <w:p w:rsidR="004D4500" w:rsidRPr="00675971" w:rsidP="004D4500" w14:paraId="5D82111E"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rPr>
        <w:t xml:space="preserve"> This is estimated as: [(12,000 retrospective reviews x 5 minutes) ÷ 60 minutes] = 1,000 hours. A labor rate of $63.45 is used for a clerical worker. The labor rate is applied in the following calculation: [(12,000 retrospective reviews x 5 minutes)</w:t>
      </w:r>
      <w:r w:rsidRPr="00675971">
        <w:rPr>
          <w:rFonts w:ascii="Times New Roman" w:hAnsi="Times New Roman"/>
          <w:color w:val="000000"/>
        </w:rPr>
        <w:t xml:space="preserve"> ÷ 60 minutes]</w:t>
      </w:r>
      <w:r w:rsidRPr="00675971">
        <w:rPr>
          <w:rFonts w:ascii="Times New Roman" w:hAnsi="Times New Roman"/>
        </w:rPr>
        <w:t xml:space="preserve"> x $63.45 = $63,450.</w:t>
      </w:r>
    </w:p>
  </w:footnote>
  <w:footnote w:id="58">
    <w:p w:rsidR="004D4500" w:rsidRPr="00566065" w:rsidP="004D4500" w14:paraId="2BFFF2F3" w14:textId="6D742D1B">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 xml:space="preserve">This is estimated as: (4,000 </w:t>
      </w:r>
      <w:r w:rsidR="00ED1A11">
        <w:rPr>
          <w:rFonts w:ascii="Times New Roman" w:hAnsi="Times New Roman"/>
        </w:rPr>
        <w:t>Independent Producer</w:t>
      </w:r>
      <w:r w:rsidRPr="00675971">
        <w:rPr>
          <w:rFonts w:ascii="Times New Roman" w:hAnsi="Times New Roman"/>
        </w:rPr>
        <w:t xml:space="preserve">s + 215 insurance companies) x 2 hours = 8,430 hours. A labor rate of $158.94 is used for an </w:t>
      </w:r>
      <w:r w:rsidR="00ED1A11">
        <w:rPr>
          <w:rFonts w:ascii="Times New Roman" w:hAnsi="Times New Roman"/>
        </w:rPr>
        <w:t>Independent Producer</w:t>
      </w:r>
      <w:r w:rsidRPr="00675971">
        <w:rPr>
          <w:rFonts w:ascii="Times New Roman" w:hAnsi="Times New Roman"/>
        </w:rPr>
        <w:t xml:space="preserve"> and a rate of $159.34 for an insurance company legal professional. </w:t>
      </w:r>
      <w:r w:rsidRPr="00675971">
        <w:rPr>
          <w:rFonts w:ascii="Times New Roman" w:hAnsi="Times New Roman"/>
        </w:rPr>
        <w:t>The labor rate is applied in the following calculation</w:t>
      </w:r>
      <w:r w:rsidRPr="00675971">
        <w:rPr>
          <w:rFonts w:ascii="Times New Roman" w:hAnsi="Times New Roman"/>
        </w:rPr>
        <w:t xml:space="preserve">: [(4,000 </w:t>
      </w:r>
      <w:r w:rsidR="00ED1A11">
        <w:rPr>
          <w:rFonts w:ascii="Times New Roman" w:hAnsi="Times New Roman"/>
        </w:rPr>
        <w:t>Independent Producer</w:t>
      </w:r>
      <w:r w:rsidRPr="00675971">
        <w:rPr>
          <w:rFonts w:ascii="Times New Roman" w:hAnsi="Times New Roman"/>
        </w:rPr>
        <w:t>s x 2 hours x $158.94) + (215 insurance companies x 2 hours x $159.34)] = $1,340,036.</w:t>
      </w:r>
    </w:p>
  </w:footnote>
  <w:footnote w:id="59">
    <w:p w:rsidR="003F7089" w:rsidRPr="007F3B6C" w:rsidP="00363259" w14:paraId="43BC3089" w14:textId="77777777">
      <w:pPr>
        <w:pStyle w:val="FootnoteText"/>
        <w:rPr>
          <w:rFonts w:ascii="Times New Roman" w:hAnsi="Times New Roman"/>
        </w:rPr>
      </w:pPr>
      <w:r w:rsidRPr="007F3B6C">
        <w:rPr>
          <w:rStyle w:val="FootnoteReference"/>
          <w:rFonts w:ascii="Times New Roman" w:hAnsi="Times New Roman"/>
          <w:vertAlign w:val="superscript"/>
        </w:rPr>
        <w:footnoteRef/>
      </w:r>
      <w:r w:rsidRPr="007F3B6C">
        <w:rPr>
          <w:rFonts w:ascii="Times New Roman" w:hAnsi="Times New Roman"/>
        </w:rPr>
        <w:t xml:space="preserve"> 67 FR 17263.</w:t>
      </w:r>
    </w:p>
  </w:footnote>
  <w:footnote w:id="60">
    <w:p w:rsidR="003F7089" w:rsidRPr="007F3B6C" w:rsidP="00363259" w14:paraId="259ED355" w14:textId="76E38F90">
      <w:pPr>
        <w:pStyle w:val="FootnoteText"/>
        <w:rPr>
          <w:rFonts w:ascii="Times New Roman" w:hAnsi="Times New Roman"/>
        </w:rPr>
      </w:pPr>
      <w:r w:rsidRPr="007F3B6C">
        <w:rPr>
          <w:rStyle w:val="FootnoteReference"/>
          <w:rFonts w:ascii="Times New Roman" w:hAnsi="Times New Roman"/>
          <w:vertAlign w:val="superscript"/>
        </w:rPr>
        <w:footnoteRef/>
      </w:r>
      <w:r w:rsidR="005537CB">
        <w:rPr>
          <w:rFonts w:ascii="Times New Roman" w:hAnsi="Times New Roman"/>
          <w:sz w:val="24"/>
          <w:szCs w:val="24"/>
        </w:rPr>
        <w:t xml:space="preserve"> </w:t>
      </w:r>
      <w:r w:rsidRPr="005537CB" w:rsidR="005537CB">
        <w:rPr>
          <w:rFonts w:ascii="Times New Roman" w:hAnsi="Times New Roman"/>
        </w:rPr>
        <w:t>The Department estimates approximately 94.2% of retirement investors receive disclosures electronically, which is the sum of the estimated share of retirement investors receiving electronic disclosures under the 2002 electronic disclosure safe harbor (58.2%) and the estimated share of retirement investors receiving electronic disclosures under the 2020 electronic disclosure safe harbor (36.0%).</w:t>
      </w:r>
    </w:p>
  </w:footnote>
  <w:footnote w:id="61">
    <w:p w:rsidR="003F7089" w:rsidRPr="00494288" w:rsidP="00363259" w14:paraId="4E758ADA" w14:textId="24AF7067">
      <w:pPr>
        <w:pStyle w:val="FootnoteText"/>
        <w:rPr>
          <w:rFonts w:ascii="Times New Roman" w:hAnsi="Times New Roman"/>
        </w:rPr>
      </w:pPr>
      <w:r w:rsidRPr="00494288">
        <w:rPr>
          <w:rStyle w:val="FootnoteReference"/>
          <w:rFonts w:ascii="Times New Roman" w:hAnsi="Times New Roman"/>
          <w:vertAlign w:val="superscript"/>
        </w:rPr>
        <w:footnoteRef/>
      </w:r>
      <w:r w:rsidRPr="00494288">
        <w:rPr>
          <w:rFonts w:ascii="Times New Roman" w:hAnsi="Times New Roman"/>
        </w:rPr>
        <w:t xml:space="preserve"> </w:t>
      </w:r>
      <w:r w:rsidRPr="00494288" w:rsidR="00494288">
        <w:rPr>
          <w:rFonts w:ascii="Times New Roman" w:hAnsi="Times New Roman"/>
        </w:rPr>
        <w:t xml:space="preserve">United States Post Service, </w:t>
      </w:r>
      <w:r w:rsidRPr="00494288" w:rsidR="00494288">
        <w:rPr>
          <w:rFonts w:ascii="Times New Roman" w:hAnsi="Times New Roman"/>
          <w:i/>
        </w:rPr>
        <w:t>First-Class Mail</w:t>
      </w:r>
      <w:r w:rsidRPr="00494288" w:rsidR="00494288">
        <w:rPr>
          <w:rFonts w:ascii="Times New Roman" w:hAnsi="Times New Roman"/>
        </w:rPr>
        <w:t xml:space="preserve">, (2023), </w:t>
      </w:r>
      <w:hyperlink r:id="rId14" w:history="1">
        <w:r w:rsidRPr="00494288" w:rsidR="00494288">
          <w:rPr>
            <w:rStyle w:val="Hyperlink"/>
            <w:rFonts w:ascii="Times New Roman" w:hAnsi="Times New Roman"/>
          </w:rPr>
          <w:t>https://www.usps.com/ship/first-class-mail.htm</w:t>
        </w:r>
      </w:hyperlink>
      <w:r w:rsidRPr="00494288" w:rsidR="00494288">
        <w:rPr>
          <w:rFonts w:ascii="Times New Roman" w:hAnsi="Times New Roman"/>
        </w:rPr>
        <w:t>.</w:t>
      </w:r>
    </w:p>
  </w:footnote>
  <w:footnote w:id="62">
    <w:p w:rsidR="00494288" w:rsidRPr="00675971" w:rsidP="00494288" w14:paraId="5FDFBDF4" w14:textId="77777777">
      <w:pPr>
        <w:pStyle w:val="FootnoteText"/>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This includes 2,986 insurance agents and brokers, pension consultants, and insurance companies and 10 investment company underwriters servicing IRAs.</w:t>
      </w:r>
    </w:p>
  </w:footnote>
  <w:footnote w:id="63">
    <w:p w:rsidR="00494288" w:rsidRPr="00275259" w:rsidP="00494288" w14:paraId="210D55F8" w14:textId="77777777">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rPr>
        <w:t xml:space="preserve"> The material cost is estimated as: (52,449 IRA authorizations x 5.8 percent paper) x [$0.66 + ($0.05 x 2)] = $2,312.</w:t>
      </w:r>
    </w:p>
  </w:footnote>
  <w:footnote w:id="64">
    <w:p w:rsidR="00494288" w:rsidRPr="00675971" w:rsidP="00494288" w14:paraId="3BE2FE76" w14:textId="77777777">
      <w:pPr>
        <w:pStyle w:val="FootnoteText"/>
        <w:rPr>
          <w:rFonts w:ascii="Times New Roman" w:hAnsi="Times New Roman"/>
        </w:rPr>
      </w:pPr>
      <w:r w:rsidRPr="00675971">
        <w:rPr>
          <w:rStyle w:val="FootnoteReference"/>
          <w:rFonts w:ascii="Times New Roman" w:hAnsi="Times New Roman"/>
          <w:vertAlign w:val="superscript"/>
        </w:rPr>
        <w:footnoteRef/>
      </w:r>
      <w:r w:rsidRPr="00675971">
        <w:rPr>
          <w:rFonts w:ascii="Times New Roman" w:hAnsi="Times New Roman"/>
          <w:vertAlign w:val="superscript"/>
        </w:rPr>
        <w:t xml:space="preserve"> </w:t>
      </w:r>
      <w:r w:rsidRPr="00675971">
        <w:rPr>
          <w:rFonts w:ascii="Times New Roman" w:hAnsi="Times New Roman"/>
        </w:rPr>
        <w:t>This includes 2,986 insurance agents and brokers, pension consultants, and insurance companies and 20 investment company underwriters servicing plans and IRAs.</w:t>
      </w:r>
    </w:p>
  </w:footnote>
  <w:footnote w:id="65">
    <w:p w:rsidR="00494288" w:rsidRPr="00675971" w:rsidP="00494288" w14:paraId="0E48BA2E"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rPr>
        <w:t xml:space="preserve"> The burden is estimated as: [2,996 financial institutions x (1 hour for plans + 1 hour for IRAs)] = 5,992 hours. A labor rate of approximately $159.34 is used for a legal professional. The labor rate is applied in the following calculation: [2,996 financial institutions x (1 hour for plans + 1 hour for IRAs)]</w:t>
      </w:r>
      <w:r w:rsidRPr="00675971">
        <w:rPr>
          <w:rFonts w:ascii="Times New Roman" w:hAnsi="Times New Roman"/>
        </w:rPr>
        <w:t xml:space="preserve"> </w:t>
      </w:r>
      <w:r w:rsidRPr="00675971">
        <w:rPr>
          <w:rFonts w:ascii="Times New Roman" w:hAnsi="Times New Roman"/>
        </w:rPr>
        <w:t>x $159.34 per hour = $</w:t>
      </w:r>
      <w:r w:rsidRPr="00675971">
        <w:rPr>
          <w:rFonts w:ascii="Times New Roman" w:hAnsi="Times New Roman"/>
          <w:lang w:val="en"/>
        </w:rPr>
        <w:t>954,765.</w:t>
      </w:r>
    </w:p>
  </w:footnote>
  <w:footnote w:id="66">
    <w:p w:rsidR="00494288" w:rsidRPr="00275259" w:rsidP="00494288" w14:paraId="435C02B4" w14:textId="77777777">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The material cost is estimated as: [(52,449 IRA authorizations + 10 investment company principal underwriters for IRAs) x 5.8 percent paper] x [$0.66 + ($0.05 x 7)] = $2,313.</w:t>
      </w:r>
    </w:p>
  </w:footnote>
  <w:footnote w:id="67">
    <w:p w:rsidR="00D26146" w:rsidRPr="00675971" w:rsidP="00D26146" w14:paraId="4AAF8D96" w14:textId="77777777">
      <w:pPr>
        <w:pStyle w:val="FootnoteText"/>
        <w:contextualSpacing/>
        <w:rPr>
          <w:rFonts w:ascii="Times New Roman" w:hAnsi="Times New Roman"/>
        </w:rPr>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This is estimated as: (52,449 retirement investors x 5.8%) = 3,042 paper disclosures.</w:t>
      </w:r>
    </w:p>
  </w:footnote>
  <w:footnote w:id="68">
    <w:p w:rsidR="00D26146" w:rsidRPr="00275259" w:rsidP="00D26146" w14:paraId="125EAA1F" w14:textId="77777777">
      <w:pPr>
        <w:pStyle w:val="FootnoteText"/>
        <w:contextualSpacing/>
      </w:pPr>
      <w:r w:rsidRPr="00675971">
        <w:rPr>
          <w:rStyle w:val="FootnoteReference"/>
          <w:rFonts w:ascii="Times New Roman" w:hAnsi="Times New Roman" w:eastAsiaTheme="majorEastAsia"/>
          <w:vertAlign w:val="superscript"/>
        </w:rPr>
        <w:footnoteRef/>
      </w:r>
      <w:r w:rsidRPr="00675971">
        <w:rPr>
          <w:rFonts w:ascii="Times New Roman" w:hAnsi="Times New Roman"/>
          <w:vertAlign w:val="superscript"/>
        </w:rPr>
        <w:t xml:space="preserve"> </w:t>
      </w:r>
      <w:r w:rsidRPr="00675971">
        <w:rPr>
          <w:rFonts w:ascii="Times New Roman" w:hAnsi="Times New Roman"/>
        </w:rPr>
        <w:t>This is estimated as: 3,042 rollovers resulting in a paper disclosure x [$0.66 postage + ($0.05 per page x 7 pages)] = $3,072.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B6B" w14:paraId="4E0181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089" w:rsidP="00945117" w14:paraId="3F7529E1" w14:textId="77777777">
    <w:pPr>
      <w:rPr>
        <w:rFonts w:ascii="CG Times" w:hAnsi="CG Times"/>
        <w:b/>
        <w:bCs/>
        <w:sz w:val="20"/>
        <w:szCs w:val="20"/>
      </w:rPr>
    </w:pPr>
    <w:r>
      <w:rPr>
        <w:rFonts w:ascii="CG Times" w:hAnsi="CG Times"/>
        <w:b/>
        <w:bCs/>
        <w:sz w:val="20"/>
        <w:szCs w:val="20"/>
      </w:rPr>
      <w:t>Prohibited Transaction Exemption 84-24</w:t>
    </w:r>
  </w:p>
  <w:p w:rsidR="003F7089" w:rsidP="00945117" w14:paraId="0CD460DA" w14:textId="77777777">
    <w:pPr>
      <w:rPr>
        <w:rFonts w:ascii="CG Times" w:hAnsi="CG Times"/>
        <w:b/>
        <w:bCs/>
        <w:sz w:val="20"/>
        <w:szCs w:val="20"/>
      </w:rPr>
    </w:pPr>
    <w:r>
      <w:rPr>
        <w:rFonts w:ascii="CG Times" w:hAnsi="CG Times"/>
        <w:b/>
        <w:bCs/>
        <w:sz w:val="20"/>
        <w:szCs w:val="20"/>
      </w:rPr>
      <w:t>(Insurance and Annuity Contracts and Mutual Fund Principal Underwriters)</w:t>
    </w:r>
  </w:p>
  <w:p w:rsidR="003F7089" w:rsidP="00945117" w14:paraId="4A9442F1" w14:textId="59B70C74">
    <w:pPr>
      <w:rPr>
        <w:rFonts w:ascii="CG Times" w:hAnsi="CG Times"/>
        <w:b/>
        <w:bCs/>
        <w:sz w:val="20"/>
        <w:szCs w:val="20"/>
      </w:rPr>
    </w:pPr>
    <w:r>
      <w:rPr>
        <w:rFonts w:ascii="CG Times" w:hAnsi="CG Times"/>
        <w:b/>
        <w:bCs/>
        <w:sz w:val="20"/>
        <w:szCs w:val="20"/>
      </w:rPr>
      <w:t xml:space="preserve">OMB Control Number 1210-0158 </w:t>
    </w:r>
  </w:p>
  <w:p w:rsidR="00060AD0" w:rsidP="00945117" w14:paraId="5E65A11F" w14:textId="3057620D">
    <w:pPr>
      <w:rPr>
        <w:rFonts w:ascii="Times New Roman" w:hAnsi="Times New Roman"/>
        <w:sz w:val="20"/>
        <w:szCs w:val="20"/>
      </w:rPr>
    </w:pPr>
    <w:r>
      <w:rPr>
        <w:rFonts w:ascii="CG Times" w:hAnsi="CG Times"/>
        <w:b/>
        <w:bCs/>
        <w:sz w:val="20"/>
        <w:szCs w:val="20"/>
      </w:rPr>
      <w:t xml:space="preserve">OMB </w:t>
    </w:r>
    <w:r>
      <w:rPr>
        <w:rFonts w:ascii="CG Times" w:hAnsi="CG Times"/>
        <w:b/>
        <w:bCs/>
        <w:sz w:val="20"/>
        <w:szCs w:val="20"/>
      </w:rPr>
      <w:t xml:space="preserve">Expiration Date: </w:t>
    </w:r>
    <w:r w:rsidRPr="00060AD0">
      <w:rPr>
        <w:rFonts w:ascii="CG Times" w:hAnsi="CG Times"/>
        <w:b/>
        <w:bCs/>
        <w:sz w:val="20"/>
        <w:szCs w:val="20"/>
      </w:rPr>
      <w:t>08/31/2025</w:t>
    </w:r>
  </w:p>
  <w:p w:rsidR="003F7089" w:rsidP="001A1B6B" w14:paraId="34D8F6C9" w14:textId="76DD84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rPr>
        <w:sz w:val="24"/>
        <w:szCs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6E79DD"/>
    <w:multiLevelType w:val="multilevel"/>
    <w:tmpl w:val="1250CD8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852B92"/>
    <w:multiLevelType w:val="hybridMultilevel"/>
    <w:tmpl w:val="8850D3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3BD7B62"/>
    <w:multiLevelType w:val="hybridMultilevel"/>
    <w:tmpl w:val="AB7EB3B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7322B2"/>
    <w:multiLevelType w:val="hybridMultilevel"/>
    <w:tmpl w:val="A86225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75137A"/>
    <w:multiLevelType w:val="multilevel"/>
    <w:tmpl w:val="1250CD8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9563B8"/>
    <w:multiLevelType w:val="hybridMultilevel"/>
    <w:tmpl w:val="2F4E52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AB75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1A69D9"/>
    <w:multiLevelType w:val="hybridMultilevel"/>
    <w:tmpl w:val="10E8061C"/>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0">
    <w:nsid w:val="270076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3E7C8B"/>
    <w:multiLevelType w:val="hybridMultilevel"/>
    <w:tmpl w:val="89808D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3BD0B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155A92"/>
    <w:multiLevelType w:val="hybridMultilevel"/>
    <w:tmpl w:val="4E021308"/>
    <w:lvl w:ilvl="0">
      <w:start w:val="1"/>
      <w:numFmt w:val="decimal"/>
      <w:lvlText w:val="%1)"/>
      <w:lvlJc w:val="left"/>
      <w:pPr>
        <w:ind w:left="2160" w:hanging="14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7767626"/>
    <w:multiLevelType w:val="multilevel"/>
    <w:tmpl w:val="1250CD8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28421B"/>
    <w:multiLevelType w:val="hybridMultilevel"/>
    <w:tmpl w:val="783CFE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401C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3C05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284133"/>
    <w:multiLevelType w:val="hybridMultilevel"/>
    <w:tmpl w:val="783CFE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362BD4"/>
    <w:multiLevelType w:val="hybridMultilevel"/>
    <w:tmpl w:val="29620B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AC4035B"/>
    <w:multiLevelType w:val="hybridMultilevel"/>
    <w:tmpl w:val="9A7C243E"/>
    <w:lvl w:ilvl="0">
      <w:start w:val="1"/>
      <w:numFmt w:val="upperLetter"/>
      <w:pStyle w:val="Heading1"/>
      <w:lvlText w:val="%1."/>
      <w:lvlJc w:val="left"/>
      <w:pPr>
        <w:ind w:left="720" w:hanging="360"/>
      </w:pPr>
      <w:rPr>
        <w:b/>
        <w:bCs/>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F502C7"/>
    <w:multiLevelType w:val="hybridMultilevel"/>
    <w:tmpl w:val="7952B4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A27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FA27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FC00A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F745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2954FF"/>
    <w:multiLevelType w:val="multilevel"/>
    <w:tmpl w:val="1250CD8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832E59"/>
    <w:multiLevelType w:val="hybridMultilevel"/>
    <w:tmpl w:val="729A10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5565829"/>
    <w:multiLevelType w:val="hybridMultilevel"/>
    <w:tmpl w:val="A86225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77828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931A5E"/>
    <w:multiLevelType w:val="hybridMultilevel"/>
    <w:tmpl w:val="8162FA80"/>
    <w:lvl w:ilvl="0">
      <w:start w:val="1"/>
      <w:numFmt w:val="decimal"/>
      <w:lvlText w:val="%1)"/>
      <w:lvlJc w:val="left"/>
      <w:pPr>
        <w:tabs>
          <w:tab w:val="num" w:pos="840"/>
        </w:tabs>
        <w:ind w:left="840" w:hanging="360"/>
      </w:p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1">
    <w:nsid w:val="69720A62"/>
    <w:multiLevelType w:val="multilevel"/>
    <w:tmpl w:val="CA42F02A"/>
    <w:lvl w:ilvl="0">
      <w:start w:val="1"/>
      <w:numFmt w:val="decimal"/>
      <w:pStyle w:val="Style1"/>
      <w:lvlText w:val="%1."/>
      <w:lvlJc w:val="left"/>
      <w:pPr>
        <w:ind w:left="360" w:hanging="360"/>
      </w:pPr>
      <w:rPr>
        <w:b/>
        <w:i w:val="0"/>
      </w:rPr>
    </w:lvl>
    <w:lvl w:ilvl="1">
      <w:start w:val="1"/>
      <w:numFmt w:val="decimal"/>
      <w:lvlText w:val="%1.%2."/>
      <w:lvlJc w:val="left"/>
      <w:pPr>
        <w:ind w:left="792" w:hanging="432"/>
      </w:pPr>
      <w:rPr>
        <w:i/>
      </w:rPr>
    </w:lvl>
    <w:lvl w:ilvl="2">
      <w:start w:val="1"/>
      <w:numFmt w:val="decimal"/>
      <w:lvlText w:val="%1.%2.%3."/>
      <w:lvlJc w:val="left"/>
      <w:pPr>
        <w:ind w:left="1224" w:hanging="504"/>
      </w:pPr>
      <w:rPr>
        <w:i/>
      </w:rPr>
    </w:lvl>
    <w:lvl w:ilvl="3">
      <w:start w:val="1"/>
      <w:numFmt w:val="decimal"/>
      <w:lvlText w:val="%1.%2.%3.%4."/>
      <w:lvlJc w:val="left"/>
      <w:pPr>
        <w:ind w:left="1728" w:hanging="648"/>
      </w:pPr>
      <w:rPr>
        <w:i/>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1807F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BD2516"/>
    <w:multiLevelType w:val="multilevel"/>
    <w:tmpl w:val="1250CD88"/>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966DB3"/>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nsid w:val="79A50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4014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1944782">
    <w:abstractNumId w:val="0"/>
  </w:num>
  <w:num w:numId="2" w16cid:durableId="636492846">
    <w:abstractNumId w:val="0"/>
    <w:lvlOverride w:ilvl="0">
      <w:startOverride w:val="5"/>
      <w:lvl w:ilvl="0">
        <w:start w:val="5"/>
        <w:numFmt w:val="decimal"/>
        <w:pStyle w:val="Quick1"/>
        <w:lvlText w:val="%1."/>
        <w:lvlJc w:val="left"/>
      </w:lvl>
    </w:lvlOverride>
  </w:num>
  <w:num w:numId="3" w16cid:durableId="978222245">
    <w:abstractNumId w:val="0"/>
    <w:lvlOverride w:ilvl="0">
      <w:startOverride w:val="7"/>
      <w:lvl w:ilvl="0">
        <w:start w:val="7"/>
        <w:numFmt w:val="decimal"/>
        <w:pStyle w:val="Quick1"/>
        <w:lvlText w:val="%1."/>
        <w:lvlJc w:val="left"/>
      </w:lvl>
    </w:lvlOverride>
  </w:num>
  <w:num w:numId="4" w16cid:durableId="40062696">
    <w:abstractNumId w:val="0"/>
    <w:lvlOverride w:ilvl="0">
      <w:lvl w:ilvl="0">
        <w:start w:val="1"/>
        <w:numFmt w:val="decimal"/>
        <w:pStyle w:val="Quick1"/>
        <w:lvlText w:val="%1."/>
        <w:lvlJc w:val="left"/>
        <w:pPr>
          <w:ind w:left="360" w:hanging="360"/>
        </w:pPr>
      </w:lvl>
    </w:lvlOverride>
  </w:num>
  <w:num w:numId="5" w16cid:durableId="533418918">
    <w:abstractNumId w:val="0"/>
    <w:lvlOverride w:ilvl="0">
      <w:startOverride w:val="13"/>
      <w:lvl w:ilvl="0">
        <w:start w:val="13"/>
        <w:numFmt w:val="decimal"/>
        <w:pStyle w:val="Quick1"/>
        <w:lvlText w:val="%1."/>
        <w:lvlJc w:val="left"/>
      </w:lvl>
    </w:lvlOverride>
  </w:num>
  <w:num w:numId="6" w16cid:durableId="933905633">
    <w:abstractNumId w:val="4"/>
  </w:num>
  <w:num w:numId="7" w16cid:durableId="331952156">
    <w:abstractNumId w:val="30"/>
  </w:num>
  <w:num w:numId="8" w16cid:durableId="22752779">
    <w:abstractNumId w:val="15"/>
  </w:num>
  <w:num w:numId="9" w16cid:durableId="560017216">
    <w:abstractNumId w:val="28"/>
  </w:num>
  <w:num w:numId="10" w16cid:durableId="800997315">
    <w:abstractNumId w:val="13"/>
  </w:num>
  <w:num w:numId="11" w16cid:durableId="713189820">
    <w:abstractNumId w:val="7"/>
  </w:num>
  <w:num w:numId="12" w16cid:durableId="2008824922">
    <w:abstractNumId w:val="8"/>
  </w:num>
  <w:num w:numId="13" w16cid:durableId="610893779">
    <w:abstractNumId w:val="29"/>
  </w:num>
  <w:num w:numId="14" w16cid:durableId="1590459438">
    <w:abstractNumId w:val="18"/>
  </w:num>
  <w:num w:numId="15" w16cid:durableId="1157306506">
    <w:abstractNumId w:val="5"/>
  </w:num>
  <w:num w:numId="16" w16cid:durableId="1237324449">
    <w:abstractNumId w:val="3"/>
  </w:num>
  <w:num w:numId="17" w16cid:durableId="853887207">
    <w:abstractNumId w:val="0"/>
    <w:lvlOverride w:ilvl="0">
      <w:startOverride w:val="13"/>
      <w:lvl w:ilvl="0">
        <w:start w:val="13"/>
        <w:numFmt w:val="decimal"/>
        <w:pStyle w:val="Quick1"/>
        <w:lvlText w:val="%1."/>
        <w:lvlJc w:val="left"/>
        <w:pPr>
          <w:ind w:left="0" w:firstLine="0"/>
        </w:pPr>
        <w:rPr>
          <w:rFonts w:hint="default"/>
        </w:rPr>
      </w:lvl>
    </w:lvlOverride>
  </w:num>
  <w:num w:numId="18" w16cid:durableId="862935233">
    <w:abstractNumId w:val="11"/>
  </w:num>
  <w:num w:numId="19" w16cid:durableId="1831942783">
    <w:abstractNumId w:val="24"/>
  </w:num>
  <w:num w:numId="20" w16cid:durableId="1133719103">
    <w:abstractNumId w:val="34"/>
  </w:num>
  <w:num w:numId="21" w16cid:durableId="1056661988">
    <w:abstractNumId w:val="25"/>
  </w:num>
  <w:num w:numId="22" w16cid:durableId="1576476042">
    <w:abstractNumId w:val="16"/>
  </w:num>
  <w:num w:numId="23" w16cid:durableId="1488205817">
    <w:abstractNumId w:val="17"/>
  </w:num>
  <w:num w:numId="24" w16cid:durableId="1281454310">
    <w:abstractNumId w:val="10"/>
  </w:num>
  <w:num w:numId="25" w16cid:durableId="352343710">
    <w:abstractNumId w:val="21"/>
  </w:num>
  <w:num w:numId="26" w16cid:durableId="874737499">
    <w:abstractNumId w:val="12"/>
  </w:num>
  <w:num w:numId="27" w16cid:durableId="384137951">
    <w:abstractNumId w:val="22"/>
  </w:num>
  <w:num w:numId="28" w16cid:durableId="1856112442">
    <w:abstractNumId w:val="36"/>
  </w:num>
  <w:num w:numId="29" w16cid:durableId="19865058">
    <w:abstractNumId w:val="31"/>
  </w:num>
  <w:num w:numId="30" w16cid:durableId="42602155">
    <w:abstractNumId w:val="32"/>
  </w:num>
  <w:num w:numId="31" w16cid:durableId="48847904">
    <w:abstractNumId w:val="33"/>
  </w:num>
  <w:num w:numId="32" w16cid:durableId="915359659">
    <w:abstractNumId w:val="14"/>
  </w:num>
  <w:num w:numId="33" w16cid:durableId="537937534">
    <w:abstractNumId w:val="2"/>
  </w:num>
  <w:num w:numId="34" w16cid:durableId="736241626">
    <w:abstractNumId w:val="35"/>
  </w:num>
  <w:num w:numId="35" w16cid:durableId="1988700394">
    <w:abstractNumId w:val="6"/>
  </w:num>
  <w:num w:numId="36" w16cid:durableId="316618623">
    <w:abstractNumId w:val="26"/>
  </w:num>
  <w:num w:numId="37" w16cid:durableId="1998223347">
    <w:abstractNumId w:val="23"/>
  </w:num>
  <w:num w:numId="38" w16cid:durableId="1867056637">
    <w:abstractNumId w:val="19"/>
  </w:num>
  <w:num w:numId="39" w16cid:durableId="903951788">
    <w:abstractNumId w:val="20"/>
  </w:num>
  <w:num w:numId="40" w16cid:durableId="68968643">
    <w:abstractNumId w:val="27"/>
  </w:num>
  <w:num w:numId="41" w16cid:durableId="142355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4C"/>
    <w:rsid w:val="0000185E"/>
    <w:rsid w:val="00002ED1"/>
    <w:rsid w:val="00003D3E"/>
    <w:rsid w:val="000057C8"/>
    <w:rsid w:val="000128D6"/>
    <w:rsid w:val="000144A9"/>
    <w:rsid w:val="00015BD7"/>
    <w:rsid w:val="00015C70"/>
    <w:rsid w:val="000210B4"/>
    <w:rsid w:val="00025CBA"/>
    <w:rsid w:val="0002679B"/>
    <w:rsid w:val="0003055F"/>
    <w:rsid w:val="000328A5"/>
    <w:rsid w:val="00035E50"/>
    <w:rsid w:val="00041430"/>
    <w:rsid w:val="000420FB"/>
    <w:rsid w:val="000469BE"/>
    <w:rsid w:val="00046FBB"/>
    <w:rsid w:val="00050AC6"/>
    <w:rsid w:val="000517B1"/>
    <w:rsid w:val="00051BE3"/>
    <w:rsid w:val="00052937"/>
    <w:rsid w:val="0005348C"/>
    <w:rsid w:val="000559E7"/>
    <w:rsid w:val="00056C79"/>
    <w:rsid w:val="0005751C"/>
    <w:rsid w:val="000576FB"/>
    <w:rsid w:val="00057EFA"/>
    <w:rsid w:val="00060AD0"/>
    <w:rsid w:val="000641A1"/>
    <w:rsid w:val="000650CF"/>
    <w:rsid w:val="000658DA"/>
    <w:rsid w:val="00066E48"/>
    <w:rsid w:val="00070ED5"/>
    <w:rsid w:val="000735F4"/>
    <w:rsid w:val="000750B5"/>
    <w:rsid w:val="00081479"/>
    <w:rsid w:val="0008147F"/>
    <w:rsid w:val="000829C1"/>
    <w:rsid w:val="00084EEC"/>
    <w:rsid w:val="00084F38"/>
    <w:rsid w:val="000851B1"/>
    <w:rsid w:val="00086922"/>
    <w:rsid w:val="000909C7"/>
    <w:rsid w:val="000922CB"/>
    <w:rsid w:val="0009357C"/>
    <w:rsid w:val="000936FE"/>
    <w:rsid w:val="00094627"/>
    <w:rsid w:val="00094856"/>
    <w:rsid w:val="00097548"/>
    <w:rsid w:val="000A0875"/>
    <w:rsid w:val="000A42A7"/>
    <w:rsid w:val="000A4E92"/>
    <w:rsid w:val="000A50EA"/>
    <w:rsid w:val="000A5C85"/>
    <w:rsid w:val="000A5E52"/>
    <w:rsid w:val="000A6CE3"/>
    <w:rsid w:val="000A7ABF"/>
    <w:rsid w:val="000B1032"/>
    <w:rsid w:val="000B3D5E"/>
    <w:rsid w:val="000B4D6B"/>
    <w:rsid w:val="000C154A"/>
    <w:rsid w:val="000C2161"/>
    <w:rsid w:val="000C4AF7"/>
    <w:rsid w:val="000C568C"/>
    <w:rsid w:val="000C56AB"/>
    <w:rsid w:val="000C6BEE"/>
    <w:rsid w:val="000C7E7D"/>
    <w:rsid w:val="000D03A7"/>
    <w:rsid w:val="000D4265"/>
    <w:rsid w:val="000D4976"/>
    <w:rsid w:val="000D5E85"/>
    <w:rsid w:val="000E15DA"/>
    <w:rsid w:val="000E20AD"/>
    <w:rsid w:val="000E20E1"/>
    <w:rsid w:val="000E3DB7"/>
    <w:rsid w:val="000E518D"/>
    <w:rsid w:val="000E6D50"/>
    <w:rsid w:val="000F19A4"/>
    <w:rsid w:val="000F3099"/>
    <w:rsid w:val="000F3AB0"/>
    <w:rsid w:val="000F3DEF"/>
    <w:rsid w:val="000F5EEB"/>
    <w:rsid w:val="000F6196"/>
    <w:rsid w:val="0010017D"/>
    <w:rsid w:val="001010EC"/>
    <w:rsid w:val="001015E2"/>
    <w:rsid w:val="00102853"/>
    <w:rsid w:val="0010546F"/>
    <w:rsid w:val="00106C50"/>
    <w:rsid w:val="00107CE3"/>
    <w:rsid w:val="0011017C"/>
    <w:rsid w:val="0011039C"/>
    <w:rsid w:val="00115229"/>
    <w:rsid w:val="00120E7C"/>
    <w:rsid w:val="001211E8"/>
    <w:rsid w:val="00122A48"/>
    <w:rsid w:val="00123BCA"/>
    <w:rsid w:val="00124721"/>
    <w:rsid w:val="0012486C"/>
    <w:rsid w:val="001255A4"/>
    <w:rsid w:val="00130E40"/>
    <w:rsid w:val="001339FF"/>
    <w:rsid w:val="00134235"/>
    <w:rsid w:val="00134F53"/>
    <w:rsid w:val="0013547C"/>
    <w:rsid w:val="00137109"/>
    <w:rsid w:val="00141B61"/>
    <w:rsid w:val="00143CC2"/>
    <w:rsid w:val="00144E7F"/>
    <w:rsid w:val="00145C6A"/>
    <w:rsid w:val="00147296"/>
    <w:rsid w:val="001505E9"/>
    <w:rsid w:val="00150D6B"/>
    <w:rsid w:val="0015369A"/>
    <w:rsid w:val="0016146D"/>
    <w:rsid w:val="00163B5F"/>
    <w:rsid w:val="00167118"/>
    <w:rsid w:val="00167143"/>
    <w:rsid w:val="0016756D"/>
    <w:rsid w:val="00167EE8"/>
    <w:rsid w:val="00173682"/>
    <w:rsid w:val="00175B1E"/>
    <w:rsid w:val="001764F5"/>
    <w:rsid w:val="001771A6"/>
    <w:rsid w:val="00180D1F"/>
    <w:rsid w:val="00183402"/>
    <w:rsid w:val="00184079"/>
    <w:rsid w:val="00185A52"/>
    <w:rsid w:val="00186D0A"/>
    <w:rsid w:val="00191502"/>
    <w:rsid w:val="00192655"/>
    <w:rsid w:val="001932FF"/>
    <w:rsid w:val="00193CDB"/>
    <w:rsid w:val="00193F39"/>
    <w:rsid w:val="00194D75"/>
    <w:rsid w:val="00197F21"/>
    <w:rsid w:val="001A197F"/>
    <w:rsid w:val="001A1B6B"/>
    <w:rsid w:val="001A4C42"/>
    <w:rsid w:val="001A76C9"/>
    <w:rsid w:val="001B0049"/>
    <w:rsid w:val="001B0CB8"/>
    <w:rsid w:val="001B1DBD"/>
    <w:rsid w:val="001B5151"/>
    <w:rsid w:val="001B747E"/>
    <w:rsid w:val="001C011C"/>
    <w:rsid w:val="001C10B6"/>
    <w:rsid w:val="001C17A3"/>
    <w:rsid w:val="001C3664"/>
    <w:rsid w:val="001D02B9"/>
    <w:rsid w:val="001D0971"/>
    <w:rsid w:val="001D13C9"/>
    <w:rsid w:val="001D1CAE"/>
    <w:rsid w:val="001D3A3A"/>
    <w:rsid w:val="001D501B"/>
    <w:rsid w:val="001D50E5"/>
    <w:rsid w:val="001E2853"/>
    <w:rsid w:val="001E31C3"/>
    <w:rsid w:val="001E7CB7"/>
    <w:rsid w:val="001E7D5D"/>
    <w:rsid w:val="001F04C1"/>
    <w:rsid w:val="001F2309"/>
    <w:rsid w:val="001F50ED"/>
    <w:rsid w:val="001F6551"/>
    <w:rsid w:val="001F6D79"/>
    <w:rsid w:val="001F6F9B"/>
    <w:rsid w:val="00201386"/>
    <w:rsid w:val="002024E6"/>
    <w:rsid w:val="0020393A"/>
    <w:rsid w:val="00204578"/>
    <w:rsid w:val="0020678C"/>
    <w:rsid w:val="00207796"/>
    <w:rsid w:val="002128DC"/>
    <w:rsid w:val="00214404"/>
    <w:rsid w:val="00214EF2"/>
    <w:rsid w:val="002161C5"/>
    <w:rsid w:val="00216F55"/>
    <w:rsid w:val="00225A2D"/>
    <w:rsid w:val="00226A0B"/>
    <w:rsid w:val="00227B57"/>
    <w:rsid w:val="002316AB"/>
    <w:rsid w:val="002320DC"/>
    <w:rsid w:val="002351A3"/>
    <w:rsid w:val="00235620"/>
    <w:rsid w:val="00235C3C"/>
    <w:rsid w:val="00236255"/>
    <w:rsid w:val="002370D1"/>
    <w:rsid w:val="00237901"/>
    <w:rsid w:val="00237E1E"/>
    <w:rsid w:val="00241214"/>
    <w:rsid w:val="002431C0"/>
    <w:rsid w:val="002438AA"/>
    <w:rsid w:val="00244949"/>
    <w:rsid w:val="00247DB8"/>
    <w:rsid w:val="00250631"/>
    <w:rsid w:val="0025627D"/>
    <w:rsid w:val="0026171A"/>
    <w:rsid w:val="00262185"/>
    <w:rsid w:val="00265233"/>
    <w:rsid w:val="00266377"/>
    <w:rsid w:val="00267224"/>
    <w:rsid w:val="0027043B"/>
    <w:rsid w:val="0027174F"/>
    <w:rsid w:val="00273864"/>
    <w:rsid w:val="00275259"/>
    <w:rsid w:val="002756A9"/>
    <w:rsid w:val="002759B7"/>
    <w:rsid w:val="00275D7B"/>
    <w:rsid w:val="00280375"/>
    <w:rsid w:val="00280826"/>
    <w:rsid w:val="00282222"/>
    <w:rsid w:val="00286632"/>
    <w:rsid w:val="0028689B"/>
    <w:rsid w:val="00286C8D"/>
    <w:rsid w:val="00287C4C"/>
    <w:rsid w:val="00290773"/>
    <w:rsid w:val="002909F1"/>
    <w:rsid w:val="00293187"/>
    <w:rsid w:val="002946C6"/>
    <w:rsid w:val="00295756"/>
    <w:rsid w:val="00297F2F"/>
    <w:rsid w:val="002A03FD"/>
    <w:rsid w:val="002A1038"/>
    <w:rsid w:val="002A1996"/>
    <w:rsid w:val="002A2093"/>
    <w:rsid w:val="002A3257"/>
    <w:rsid w:val="002A5F3E"/>
    <w:rsid w:val="002B04DD"/>
    <w:rsid w:val="002B050E"/>
    <w:rsid w:val="002B1102"/>
    <w:rsid w:val="002B229E"/>
    <w:rsid w:val="002B6EA3"/>
    <w:rsid w:val="002B7523"/>
    <w:rsid w:val="002C0134"/>
    <w:rsid w:val="002C20C8"/>
    <w:rsid w:val="002C3B45"/>
    <w:rsid w:val="002D1CFD"/>
    <w:rsid w:val="002D2F6E"/>
    <w:rsid w:val="002D3F9D"/>
    <w:rsid w:val="002D7DA6"/>
    <w:rsid w:val="002E0699"/>
    <w:rsid w:val="002E0BF9"/>
    <w:rsid w:val="002E0FCB"/>
    <w:rsid w:val="002E4DCD"/>
    <w:rsid w:val="002E6779"/>
    <w:rsid w:val="002F08F6"/>
    <w:rsid w:val="002F098C"/>
    <w:rsid w:val="002F1916"/>
    <w:rsid w:val="002F1E24"/>
    <w:rsid w:val="002F1F76"/>
    <w:rsid w:val="002F4B5B"/>
    <w:rsid w:val="002F5013"/>
    <w:rsid w:val="002F5589"/>
    <w:rsid w:val="002F6EDE"/>
    <w:rsid w:val="00300109"/>
    <w:rsid w:val="00300F0C"/>
    <w:rsid w:val="00304C4B"/>
    <w:rsid w:val="003132F2"/>
    <w:rsid w:val="0032216E"/>
    <w:rsid w:val="00324569"/>
    <w:rsid w:val="00330300"/>
    <w:rsid w:val="00330825"/>
    <w:rsid w:val="00330D3C"/>
    <w:rsid w:val="00331E47"/>
    <w:rsid w:val="00333267"/>
    <w:rsid w:val="003348FF"/>
    <w:rsid w:val="00336561"/>
    <w:rsid w:val="00341866"/>
    <w:rsid w:val="0034503E"/>
    <w:rsid w:val="00346BB5"/>
    <w:rsid w:val="00352337"/>
    <w:rsid w:val="00353954"/>
    <w:rsid w:val="00355278"/>
    <w:rsid w:val="00355C8C"/>
    <w:rsid w:val="003603D1"/>
    <w:rsid w:val="00361D3A"/>
    <w:rsid w:val="0036216C"/>
    <w:rsid w:val="00363259"/>
    <w:rsid w:val="0036359D"/>
    <w:rsid w:val="0036376B"/>
    <w:rsid w:val="00363866"/>
    <w:rsid w:val="003644AC"/>
    <w:rsid w:val="00364750"/>
    <w:rsid w:val="00364AD4"/>
    <w:rsid w:val="00365438"/>
    <w:rsid w:val="00366E76"/>
    <w:rsid w:val="0037325F"/>
    <w:rsid w:val="00380202"/>
    <w:rsid w:val="00381783"/>
    <w:rsid w:val="00381A28"/>
    <w:rsid w:val="00383F52"/>
    <w:rsid w:val="0039118B"/>
    <w:rsid w:val="003922E4"/>
    <w:rsid w:val="00392CCE"/>
    <w:rsid w:val="00392DA8"/>
    <w:rsid w:val="00392E44"/>
    <w:rsid w:val="00394EFB"/>
    <w:rsid w:val="003A0CDF"/>
    <w:rsid w:val="003A4B98"/>
    <w:rsid w:val="003A5B52"/>
    <w:rsid w:val="003A5C5D"/>
    <w:rsid w:val="003B0CCA"/>
    <w:rsid w:val="003B2200"/>
    <w:rsid w:val="003B238F"/>
    <w:rsid w:val="003B28FB"/>
    <w:rsid w:val="003B3683"/>
    <w:rsid w:val="003B72EC"/>
    <w:rsid w:val="003B74C8"/>
    <w:rsid w:val="003C0060"/>
    <w:rsid w:val="003C08B5"/>
    <w:rsid w:val="003C19FB"/>
    <w:rsid w:val="003C417C"/>
    <w:rsid w:val="003C604A"/>
    <w:rsid w:val="003C698F"/>
    <w:rsid w:val="003C744D"/>
    <w:rsid w:val="003D1DFC"/>
    <w:rsid w:val="003D3BD5"/>
    <w:rsid w:val="003D4500"/>
    <w:rsid w:val="003D7456"/>
    <w:rsid w:val="003E138A"/>
    <w:rsid w:val="003E2270"/>
    <w:rsid w:val="003E22D5"/>
    <w:rsid w:val="003E314A"/>
    <w:rsid w:val="003E5735"/>
    <w:rsid w:val="003E639C"/>
    <w:rsid w:val="003F372A"/>
    <w:rsid w:val="003F3851"/>
    <w:rsid w:val="003F5835"/>
    <w:rsid w:val="003F7089"/>
    <w:rsid w:val="0040334E"/>
    <w:rsid w:val="0040352A"/>
    <w:rsid w:val="00403757"/>
    <w:rsid w:val="004079E5"/>
    <w:rsid w:val="00411FB5"/>
    <w:rsid w:val="004139C6"/>
    <w:rsid w:val="004159F5"/>
    <w:rsid w:val="004177B1"/>
    <w:rsid w:val="00417F69"/>
    <w:rsid w:val="0042124C"/>
    <w:rsid w:val="00422EE7"/>
    <w:rsid w:val="00423003"/>
    <w:rsid w:val="00423585"/>
    <w:rsid w:val="00431546"/>
    <w:rsid w:val="00435289"/>
    <w:rsid w:val="0044224D"/>
    <w:rsid w:val="00442934"/>
    <w:rsid w:val="00442B53"/>
    <w:rsid w:val="00443EC1"/>
    <w:rsid w:val="0044769F"/>
    <w:rsid w:val="00452C95"/>
    <w:rsid w:val="004539A1"/>
    <w:rsid w:val="00454DF6"/>
    <w:rsid w:val="00457E23"/>
    <w:rsid w:val="00460272"/>
    <w:rsid w:val="00460945"/>
    <w:rsid w:val="00460A97"/>
    <w:rsid w:val="00461569"/>
    <w:rsid w:val="0046413B"/>
    <w:rsid w:val="00464D6D"/>
    <w:rsid w:val="00470C19"/>
    <w:rsid w:val="004715C2"/>
    <w:rsid w:val="004734AC"/>
    <w:rsid w:val="00474E87"/>
    <w:rsid w:val="00476DF6"/>
    <w:rsid w:val="0047784C"/>
    <w:rsid w:val="00482034"/>
    <w:rsid w:val="00484348"/>
    <w:rsid w:val="00484F8E"/>
    <w:rsid w:val="00484F92"/>
    <w:rsid w:val="00486DDB"/>
    <w:rsid w:val="00487BB0"/>
    <w:rsid w:val="00490493"/>
    <w:rsid w:val="004911C0"/>
    <w:rsid w:val="0049142F"/>
    <w:rsid w:val="00492039"/>
    <w:rsid w:val="00494288"/>
    <w:rsid w:val="004955F1"/>
    <w:rsid w:val="004A035E"/>
    <w:rsid w:val="004A2ACE"/>
    <w:rsid w:val="004A2D99"/>
    <w:rsid w:val="004A4B1F"/>
    <w:rsid w:val="004A6529"/>
    <w:rsid w:val="004A7D01"/>
    <w:rsid w:val="004B0369"/>
    <w:rsid w:val="004B06C8"/>
    <w:rsid w:val="004B1BF4"/>
    <w:rsid w:val="004B2B7D"/>
    <w:rsid w:val="004B43E2"/>
    <w:rsid w:val="004B5FCA"/>
    <w:rsid w:val="004B6521"/>
    <w:rsid w:val="004C0938"/>
    <w:rsid w:val="004C0B1C"/>
    <w:rsid w:val="004C1A9E"/>
    <w:rsid w:val="004C2B2F"/>
    <w:rsid w:val="004C395B"/>
    <w:rsid w:val="004C6F26"/>
    <w:rsid w:val="004C75C5"/>
    <w:rsid w:val="004C7F9E"/>
    <w:rsid w:val="004D0228"/>
    <w:rsid w:val="004D22FA"/>
    <w:rsid w:val="004D2654"/>
    <w:rsid w:val="004D2988"/>
    <w:rsid w:val="004D4500"/>
    <w:rsid w:val="004D6695"/>
    <w:rsid w:val="004D7699"/>
    <w:rsid w:val="004D7D8E"/>
    <w:rsid w:val="004E2827"/>
    <w:rsid w:val="004E5578"/>
    <w:rsid w:val="004F146C"/>
    <w:rsid w:val="004F28E1"/>
    <w:rsid w:val="004F3086"/>
    <w:rsid w:val="004F4CE1"/>
    <w:rsid w:val="004F7543"/>
    <w:rsid w:val="004F792C"/>
    <w:rsid w:val="004F7A05"/>
    <w:rsid w:val="00502AA6"/>
    <w:rsid w:val="005053BA"/>
    <w:rsid w:val="0050695A"/>
    <w:rsid w:val="00513677"/>
    <w:rsid w:val="00523AC8"/>
    <w:rsid w:val="00524850"/>
    <w:rsid w:val="00527888"/>
    <w:rsid w:val="00530597"/>
    <w:rsid w:val="005335B6"/>
    <w:rsid w:val="00533FDE"/>
    <w:rsid w:val="005350B6"/>
    <w:rsid w:val="00535228"/>
    <w:rsid w:val="00535990"/>
    <w:rsid w:val="00540611"/>
    <w:rsid w:val="00540E14"/>
    <w:rsid w:val="005439FF"/>
    <w:rsid w:val="0054488E"/>
    <w:rsid w:val="005537CB"/>
    <w:rsid w:val="005538B6"/>
    <w:rsid w:val="005559CC"/>
    <w:rsid w:val="00556B3F"/>
    <w:rsid w:val="00560B7E"/>
    <w:rsid w:val="00561110"/>
    <w:rsid w:val="00561393"/>
    <w:rsid w:val="00562DFF"/>
    <w:rsid w:val="00566065"/>
    <w:rsid w:val="00570EB0"/>
    <w:rsid w:val="00573232"/>
    <w:rsid w:val="00580318"/>
    <w:rsid w:val="00583CA6"/>
    <w:rsid w:val="0058552C"/>
    <w:rsid w:val="0058727D"/>
    <w:rsid w:val="0059250A"/>
    <w:rsid w:val="00593681"/>
    <w:rsid w:val="005936DD"/>
    <w:rsid w:val="00594352"/>
    <w:rsid w:val="00596004"/>
    <w:rsid w:val="005968B2"/>
    <w:rsid w:val="005A1446"/>
    <w:rsid w:val="005A1F78"/>
    <w:rsid w:val="005A2AD3"/>
    <w:rsid w:val="005A2F9D"/>
    <w:rsid w:val="005A3F5D"/>
    <w:rsid w:val="005A75CB"/>
    <w:rsid w:val="005B0346"/>
    <w:rsid w:val="005B05D7"/>
    <w:rsid w:val="005B116E"/>
    <w:rsid w:val="005B1F8A"/>
    <w:rsid w:val="005B2AEF"/>
    <w:rsid w:val="005B4716"/>
    <w:rsid w:val="005B7255"/>
    <w:rsid w:val="005C1515"/>
    <w:rsid w:val="005C5180"/>
    <w:rsid w:val="005D0046"/>
    <w:rsid w:val="005D4C72"/>
    <w:rsid w:val="005D619A"/>
    <w:rsid w:val="005D652C"/>
    <w:rsid w:val="005D66E6"/>
    <w:rsid w:val="005D6ED6"/>
    <w:rsid w:val="005D7375"/>
    <w:rsid w:val="005E24AD"/>
    <w:rsid w:val="005E2D80"/>
    <w:rsid w:val="005E3D14"/>
    <w:rsid w:val="005F3B17"/>
    <w:rsid w:val="005F4310"/>
    <w:rsid w:val="005F68B0"/>
    <w:rsid w:val="005F78C5"/>
    <w:rsid w:val="00601E1C"/>
    <w:rsid w:val="006030A6"/>
    <w:rsid w:val="00604FE5"/>
    <w:rsid w:val="0060739F"/>
    <w:rsid w:val="00607712"/>
    <w:rsid w:val="00607B7B"/>
    <w:rsid w:val="00611185"/>
    <w:rsid w:val="00611776"/>
    <w:rsid w:val="006123AB"/>
    <w:rsid w:val="00614E88"/>
    <w:rsid w:val="006174AF"/>
    <w:rsid w:val="0062010E"/>
    <w:rsid w:val="00620B31"/>
    <w:rsid w:val="00621477"/>
    <w:rsid w:val="00621973"/>
    <w:rsid w:val="00622B4A"/>
    <w:rsid w:val="006230BE"/>
    <w:rsid w:val="00624F4D"/>
    <w:rsid w:val="00625B93"/>
    <w:rsid w:val="00626B4C"/>
    <w:rsid w:val="00627305"/>
    <w:rsid w:val="006352BD"/>
    <w:rsid w:val="006353CD"/>
    <w:rsid w:val="00640081"/>
    <w:rsid w:val="00641121"/>
    <w:rsid w:val="006420C5"/>
    <w:rsid w:val="00642A07"/>
    <w:rsid w:val="0064347C"/>
    <w:rsid w:val="006436BC"/>
    <w:rsid w:val="006438DF"/>
    <w:rsid w:val="0065485A"/>
    <w:rsid w:val="006550E9"/>
    <w:rsid w:val="006552D5"/>
    <w:rsid w:val="006602D0"/>
    <w:rsid w:val="006610A1"/>
    <w:rsid w:val="006621D4"/>
    <w:rsid w:val="006627A7"/>
    <w:rsid w:val="00665B0D"/>
    <w:rsid w:val="00666649"/>
    <w:rsid w:val="00666CF1"/>
    <w:rsid w:val="00670367"/>
    <w:rsid w:val="00671D4B"/>
    <w:rsid w:val="00674A7E"/>
    <w:rsid w:val="00674D25"/>
    <w:rsid w:val="00675971"/>
    <w:rsid w:val="00677681"/>
    <w:rsid w:val="00677994"/>
    <w:rsid w:val="00680390"/>
    <w:rsid w:val="00681049"/>
    <w:rsid w:val="00681B99"/>
    <w:rsid w:val="00682D4B"/>
    <w:rsid w:val="00687A09"/>
    <w:rsid w:val="00691239"/>
    <w:rsid w:val="00691402"/>
    <w:rsid w:val="00692C5D"/>
    <w:rsid w:val="00692EF0"/>
    <w:rsid w:val="00693D36"/>
    <w:rsid w:val="00693F75"/>
    <w:rsid w:val="0069643E"/>
    <w:rsid w:val="006A2650"/>
    <w:rsid w:val="006A33D1"/>
    <w:rsid w:val="006A4A05"/>
    <w:rsid w:val="006A565F"/>
    <w:rsid w:val="006A7DF6"/>
    <w:rsid w:val="006B3A2D"/>
    <w:rsid w:val="006B3D88"/>
    <w:rsid w:val="006B5796"/>
    <w:rsid w:val="006B6DA0"/>
    <w:rsid w:val="006B7245"/>
    <w:rsid w:val="006C0B28"/>
    <w:rsid w:val="006C1BCF"/>
    <w:rsid w:val="006C2562"/>
    <w:rsid w:val="006C33A1"/>
    <w:rsid w:val="006C4769"/>
    <w:rsid w:val="006C66BE"/>
    <w:rsid w:val="006D4217"/>
    <w:rsid w:val="006D73E2"/>
    <w:rsid w:val="006E12D1"/>
    <w:rsid w:val="006E1453"/>
    <w:rsid w:val="006F5847"/>
    <w:rsid w:val="00700EE1"/>
    <w:rsid w:val="00704717"/>
    <w:rsid w:val="007056AE"/>
    <w:rsid w:val="00707A6A"/>
    <w:rsid w:val="007103EC"/>
    <w:rsid w:val="007114E5"/>
    <w:rsid w:val="0071318B"/>
    <w:rsid w:val="007131BB"/>
    <w:rsid w:val="00714EBE"/>
    <w:rsid w:val="0072136A"/>
    <w:rsid w:val="00722F7C"/>
    <w:rsid w:val="0072327A"/>
    <w:rsid w:val="00723A70"/>
    <w:rsid w:val="00724025"/>
    <w:rsid w:val="00725E21"/>
    <w:rsid w:val="007268DA"/>
    <w:rsid w:val="00726B6D"/>
    <w:rsid w:val="007272F5"/>
    <w:rsid w:val="00727D98"/>
    <w:rsid w:val="0073042E"/>
    <w:rsid w:val="00730E22"/>
    <w:rsid w:val="00732D17"/>
    <w:rsid w:val="00733038"/>
    <w:rsid w:val="00733B61"/>
    <w:rsid w:val="00737393"/>
    <w:rsid w:val="00744165"/>
    <w:rsid w:val="00744C88"/>
    <w:rsid w:val="00745B7E"/>
    <w:rsid w:val="0074704E"/>
    <w:rsid w:val="00747052"/>
    <w:rsid w:val="00750412"/>
    <w:rsid w:val="00751129"/>
    <w:rsid w:val="007567EC"/>
    <w:rsid w:val="00760281"/>
    <w:rsid w:val="0076112C"/>
    <w:rsid w:val="00763196"/>
    <w:rsid w:val="00766D30"/>
    <w:rsid w:val="007671B4"/>
    <w:rsid w:val="00771147"/>
    <w:rsid w:val="00774766"/>
    <w:rsid w:val="0077755A"/>
    <w:rsid w:val="00782514"/>
    <w:rsid w:val="00782594"/>
    <w:rsid w:val="00783540"/>
    <w:rsid w:val="00785249"/>
    <w:rsid w:val="0078587D"/>
    <w:rsid w:val="00786E94"/>
    <w:rsid w:val="007877B3"/>
    <w:rsid w:val="00791AB1"/>
    <w:rsid w:val="00791C6A"/>
    <w:rsid w:val="0079471B"/>
    <w:rsid w:val="00795362"/>
    <w:rsid w:val="007A2759"/>
    <w:rsid w:val="007A70B9"/>
    <w:rsid w:val="007A7215"/>
    <w:rsid w:val="007B0E8C"/>
    <w:rsid w:val="007B3775"/>
    <w:rsid w:val="007B3C4A"/>
    <w:rsid w:val="007C0A61"/>
    <w:rsid w:val="007C1DF6"/>
    <w:rsid w:val="007C5711"/>
    <w:rsid w:val="007D0D62"/>
    <w:rsid w:val="007D1EE4"/>
    <w:rsid w:val="007D42CD"/>
    <w:rsid w:val="007D7A8C"/>
    <w:rsid w:val="007E2626"/>
    <w:rsid w:val="007E41BC"/>
    <w:rsid w:val="007E49C1"/>
    <w:rsid w:val="007F1E26"/>
    <w:rsid w:val="007F3052"/>
    <w:rsid w:val="007F3B6C"/>
    <w:rsid w:val="007F3F3C"/>
    <w:rsid w:val="007F4818"/>
    <w:rsid w:val="007F7A75"/>
    <w:rsid w:val="008049F4"/>
    <w:rsid w:val="00805678"/>
    <w:rsid w:val="00806C07"/>
    <w:rsid w:val="00806CF1"/>
    <w:rsid w:val="008102CA"/>
    <w:rsid w:val="00810498"/>
    <w:rsid w:val="008123C6"/>
    <w:rsid w:val="00816EEF"/>
    <w:rsid w:val="00823B62"/>
    <w:rsid w:val="008249B9"/>
    <w:rsid w:val="00831B92"/>
    <w:rsid w:val="0083370E"/>
    <w:rsid w:val="00834538"/>
    <w:rsid w:val="008364C1"/>
    <w:rsid w:val="008401DF"/>
    <w:rsid w:val="0084143A"/>
    <w:rsid w:val="00845D62"/>
    <w:rsid w:val="00850DDB"/>
    <w:rsid w:val="00851A1A"/>
    <w:rsid w:val="00852052"/>
    <w:rsid w:val="00852DDF"/>
    <w:rsid w:val="008555C2"/>
    <w:rsid w:val="008623BA"/>
    <w:rsid w:val="008638FA"/>
    <w:rsid w:val="00863A4B"/>
    <w:rsid w:val="00863B86"/>
    <w:rsid w:val="00865316"/>
    <w:rsid w:val="00865ECC"/>
    <w:rsid w:val="00867D19"/>
    <w:rsid w:val="00870CE2"/>
    <w:rsid w:val="00872A46"/>
    <w:rsid w:val="008749C2"/>
    <w:rsid w:val="00874F86"/>
    <w:rsid w:val="0087589F"/>
    <w:rsid w:val="00877C94"/>
    <w:rsid w:val="00880584"/>
    <w:rsid w:val="008805EB"/>
    <w:rsid w:val="008875D5"/>
    <w:rsid w:val="00890DB3"/>
    <w:rsid w:val="00891DCA"/>
    <w:rsid w:val="00894BE6"/>
    <w:rsid w:val="00896337"/>
    <w:rsid w:val="008A1380"/>
    <w:rsid w:val="008A48FC"/>
    <w:rsid w:val="008A5C23"/>
    <w:rsid w:val="008A5E6D"/>
    <w:rsid w:val="008A6C31"/>
    <w:rsid w:val="008B1E01"/>
    <w:rsid w:val="008B4B2E"/>
    <w:rsid w:val="008B54AC"/>
    <w:rsid w:val="008B54F0"/>
    <w:rsid w:val="008B5B14"/>
    <w:rsid w:val="008B6DA0"/>
    <w:rsid w:val="008C3188"/>
    <w:rsid w:val="008C3B2E"/>
    <w:rsid w:val="008C4076"/>
    <w:rsid w:val="008C5803"/>
    <w:rsid w:val="008C647A"/>
    <w:rsid w:val="008C78B5"/>
    <w:rsid w:val="008C7B85"/>
    <w:rsid w:val="008D15AA"/>
    <w:rsid w:val="008D2129"/>
    <w:rsid w:val="008D2BE4"/>
    <w:rsid w:val="008D7014"/>
    <w:rsid w:val="008D761D"/>
    <w:rsid w:val="008E3A22"/>
    <w:rsid w:val="008E45F7"/>
    <w:rsid w:val="008E56F3"/>
    <w:rsid w:val="008E7D92"/>
    <w:rsid w:val="008E7EB2"/>
    <w:rsid w:val="008F1DC9"/>
    <w:rsid w:val="008F2AD5"/>
    <w:rsid w:val="008F3FD8"/>
    <w:rsid w:val="008F46E2"/>
    <w:rsid w:val="008F6993"/>
    <w:rsid w:val="008F7315"/>
    <w:rsid w:val="009029D2"/>
    <w:rsid w:val="009039B5"/>
    <w:rsid w:val="009045D5"/>
    <w:rsid w:val="00904CB9"/>
    <w:rsid w:val="009125B1"/>
    <w:rsid w:val="009136EF"/>
    <w:rsid w:val="00913DBD"/>
    <w:rsid w:val="009148E2"/>
    <w:rsid w:val="00915B04"/>
    <w:rsid w:val="00917349"/>
    <w:rsid w:val="00920232"/>
    <w:rsid w:val="00920868"/>
    <w:rsid w:val="00920B79"/>
    <w:rsid w:val="00920BCB"/>
    <w:rsid w:val="00924AC3"/>
    <w:rsid w:val="00925531"/>
    <w:rsid w:val="00930379"/>
    <w:rsid w:val="00930B40"/>
    <w:rsid w:val="00930E17"/>
    <w:rsid w:val="009310EF"/>
    <w:rsid w:val="00931F84"/>
    <w:rsid w:val="00933DF4"/>
    <w:rsid w:val="00934961"/>
    <w:rsid w:val="009414BA"/>
    <w:rsid w:val="0094262A"/>
    <w:rsid w:val="00942BFC"/>
    <w:rsid w:val="0094309C"/>
    <w:rsid w:val="00943735"/>
    <w:rsid w:val="00945117"/>
    <w:rsid w:val="009470AC"/>
    <w:rsid w:val="0095129B"/>
    <w:rsid w:val="009514B4"/>
    <w:rsid w:val="009514DE"/>
    <w:rsid w:val="00956D4F"/>
    <w:rsid w:val="0095755B"/>
    <w:rsid w:val="00962E47"/>
    <w:rsid w:val="009631CC"/>
    <w:rsid w:val="00964949"/>
    <w:rsid w:val="00967ED2"/>
    <w:rsid w:val="009731F2"/>
    <w:rsid w:val="009746D1"/>
    <w:rsid w:val="00974708"/>
    <w:rsid w:val="009765BF"/>
    <w:rsid w:val="0098016A"/>
    <w:rsid w:val="009806A4"/>
    <w:rsid w:val="0098241D"/>
    <w:rsid w:val="00984CEA"/>
    <w:rsid w:val="00985E99"/>
    <w:rsid w:val="00985FD1"/>
    <w:rsid w:val="00986A30"/>
    <w:rsid w:val="00986D7E"/>
    <w:rsid w:val="00987F6D"/>
    <w:rsid w:val="00990CF3"/>
    <w:rsid w:val="00993E62"/>
    <w:rsid w:val="009948A8"/>
    <w:rsid w:val="00997589"/>
    <w:rsid w:val="00997C10"/>
    <w:rsid w:val="009A125A"/>
    <w:rsid w:val="009A32EA"/>
    <w:rsid w:val="009A4087"/>
    <w:rsid w:val="009A5BD8"/>
    <w:rsid w:val="009A63C4"/>
    <w:rsid w:val="009A75FD"/>
    <w:rsid w:val="009B111C"/>
    <w:rsid w:val="009B1FD4"/>
    <w:rsid w:val="009B54CB"/>
    <w:rsid w:val="009C1AB6"/>
    <w:rsid w:val="009C1D64"/>
    <w:rsid w:val="009C43A9"/>
    <w:rsid w:val="009C4531"/>
    <w:rsid w:val="009C4A28"/>
    <w:rsid w:val="009C5161"/>
    <w:rsid w:val="009C5304"/>
    <w:rsid w:val="009C5625"/>
    <w:rsid w:val="009C6155"/>
    <w:rsid w:val="009D0136"/>
    <w:rsid w:val="009D113D"/>
    <w:rsid w:val="009D2297"/>
    <w:rsid w:val="009E041E"/>
    <w:rsid w:val="009E1BF1"/>
    <w:rsid w:val="009E2828"/>
    <w:rsid w:val="009E2860"/>
    <w:rsid w:val="009E39FC"/>
    <w:rsid w:val="009E4E0B"/>
    <w:rsid w:val="009E5C5D"/>
    <w:rsid w:val="009F1D69"/>
    <w:rsid w:val="009F4C70"/>
    <w:rsid w:val="009F679E"/>
    <w:rsid w:val="009F76A3"/>
    <w:rsid w:val="00A006E5"/>
    <w:rsid w:val="00A019C7"/>
    <w:rsid w:val="00A01A20"/>
    <w:rsid w:val="00A03AD7"/>
    <w:rsid w:val="00A0572D"/>
    <w:rsid w:val="00A05C79"/>
    <w:rsid w:val="00A06C83"/>
    <w:rsid w:val="00A071E9"/>
    <w:rsid w:val="00A07BA9"/>
    <w:rsid w:val="00A104B6"/>
    <w:rsid w:val="00A12BB9"/>
    <w:rsid w:val="00A146BC"/>
    <w:rsid w:val="00A17C0D"/>
    <w:rsid w:val="00A22577"/>
    <w:rsid w:val="00A22D1E"/>
    <w:rsid w:val="00A23200"/>
    <w:rsid w:val="00A271D3"/>
    <w:rsid w:val="00A274B3"/>
    <w:rsid w:val="00A27E36"/>
    <w:rsid w:val="00A31C59"/>
    <w:rsid w:val="00A31C86"/>
    <w:rsid w:val="00A32FFE"/>
    <w:rsid w:val="00A36FAF"/>
    <w:rsid w:val="00A373A3"/>
    <w:rsid w:val="00A40319"/>
    <w:rsid w:val="00A4064B"/>
    <w:rsid w:val="00A40B1D"/>
    <w:rsid w:val="00A43D0E"/>
    <w:rsid w:val="00A44A89"/>
    <w:rsid w:val="00A5654A"/>
    <w:rsid w:val="00A5714F"/>
    <w:rsid w:val="00A615C3"/>
    <w:rsid w:val="00A62D35"/>
    <w:rsid w:val="00A6314F"/>
    <w:rsid w:val="00A65C8C"/>
    <w:rsid w:val="00A671D6"/>
    <w:rsid w:val="00A671DE"/>
    <w:rsid w:val="00A67C23"/>
    <w:rsid w:val="00A70340"/>
    <w:rsid w:val="00A70650"/>
    <w:rsid w:val="00A71B61"/>
    <w:rsid w:val="00A809D0"/>
    <w:rsid w:val="00A83769"/>
    <w:rsid w:val="00A84C57"/>
    <w:rsid w:val="00A84C8E"/>
    <w:rsid w:val="00A85F40"/>
    <w:rsid w:val="00A925F7"/>
    <w:rsid w:val="00A94E12"/>
    <w:rsid w:val="00A94FB9"/>
    <w:rsid w:val="00A95426"/>
    <w:rsid w:val="00A96CC4"/>
    <w:rsid w:val="00AA55F6"/>
    <w:rsid w:val="00AA5718"/>
    <w:rsid w:val="00AA635D"/>
    <w:rsid w:val="00AA6650"/>
    <w:rsid w:val="00AA6CA9"/>
    <w:rsid w:val="00AB169C"/>
    <w:rsid w:val="00AB6E3F"/>
    <w:rsid w:val="00AB7098"/>
    <w:rsid w:val="00AC23F0"/>
    <w:rsid w:val="00AC41A5"/>
    <w:rsid w:val="00AC4327"/>
    <w:rsid w:val="00AC5AA5"/>
    <w:rsid w:val="00AC6E28"/>
    <w:rsid w:val="00AD2CA9"/>
    <w:rsid w:val="00AD2CEC"/>
    <w:rsid w:val="00AD5CAC"/>
    <w:rsid w:val="00AE40BF"/>
    <w:rsid w:val="00AE5F93"/>
    <w:rsid w:val="00AE666B"/>
    <w:rsid w:val="00AE7D6A"/>
    <w:rsid w:val="00AF329C"/>
    <w:rsid w:val="00AF3DB3"/>
    <w:rsid w:val="00AF595C"/>
    <w:rsid w:val="00AF6A6D"/>
    <w:rsid w:val="00AF6AEC"/>
    <w:rsid w:val="00AF6CCD"/>
    <w:rsid w:val="00B00352"/>
    <w:rsid w:val="00B00998"/>
    <w:rsid w:val="00B02F7C"/>
    <w:rsid w:val="00B06483"/>
    <w:rsid w:val="00B11271"/>
    <w:rsid w:val="00B12D49"/>
    <w:rsid w:val="00B15BD6"/>
    <w:rsid w:val="00B164F7"/>
    <w:rsid w:val="00B16D2F"/>
    <w:rsid w:val="00B20631"/>
    <w:rsid w:val="00B23AEB"/>
    <w:rsid w:val="00B2438A"/>
    <w:rsid w:val="00B250F0"/>
    <w:rsid w:val="00B3171F"/>
    <w:rsid w:val="00B319A5"/>
    <w:rsid w:val="00B360EF"/>
    <w:rsid w:val="00B36880"/>
    <w:rsid w:val="00B440D8"/>
    <w:rsid w:val="00B45314"/>
    <w:rsid w:val="00B4638D"/>
    <w:rsid w:val="00B47B09"/>
    <w:rsid w:val="00B50E4A"/>
    <w:rsid w:val="00B52AF7"/>
    <w:rsid w:val="00B555D7"/>
    <w:rsid w:val="00B55FAD"/>
    <w:rsid w:val="00B57885"/>
    <w:rsid w:val="00B57B40"/>
    <w:rsid w:val="00B61275"/>
    <w:rsid w:val="00B623FC"/>
    <w:rsid w:val="00B63354"/>
    <w:rsid w:val="00B64F80"/>
    <w:rsid w:val="00B6779D"/>
    <w:rsid w:val="00B70DA9"/>
    <w:rsid w:val="00B80056"/>
    <w:rsid w:val="00B8063C"/>
    <w:rsid w:val="00B83D94"/>
    <w:rsid w:val="00B85B5A"/>
    <w:rsid w:val="00B8718B"/>
    <w:rsid w:val="00B87434"/>
    <w:rsid w:val="00B87AAD"/>
    <w:rsid w:val="00B91CB4"/>
    <w:rsid w:val="00B92E79"/>
    <w:rsid w:val="00B933C7"/>
    <w:rsid w:val="00B97238"/>
    <w:rsid w:val="00BA044D"/>
    <w:rsid w:val="00BA1FD7"/>
    <w:rsid w:val="00BA2093"/>
    <w:rsid w:val="00BA229A"/>
    <w:rsid w:val="00BA2A37"/>
    <w:rsid w:val="00BA3D09"/>
    <w:rsid w:val="00BA6828"/>
    <w:rsid w:val="00BA6961"/>
    <w:rsid w:val="00BB0AD0"/>
    <w:rsid w:val="00BB2FE2"/>
    <w:rsid w:val="00BB32BD"/>
    <w:rsid w:val="00BB6860"/>
    <w:rsid w:val="00BC0CB4"/>
    <w:rsid w:val="00BC26BF"/>
    <w:rsid w:val="00BC2DDB"/>
    <w:rsid w:val="00BC5E18"/>
    <w:rsid w:val="00BD0953"/>
    <w:rsid w:val="00BD0EB7"/>
    <w:rsid w:val="00BD15E6"/>
    <w:rsid w:val="00BD20ED"/>
    <w:rsid w:val="00BD2310"/>
    <w:rsid w:val="00BD282D"/>
    <w:rsid w:val="00BD415A"/>
    <w:rsid w:val="00BD4F80"/>
    <w:rsid w:val="00BD5135"/>
    <w:rsid w:val="00BD541A"/>
    <w:rsid w:val="00BD55F7"/>
    <w:rsid w:val="00BD6BCA"/>
    <w:rsid w:val="00BD7246"/>
    <w:rsid w:val="00BD74ED"/>
    <w:rsid w:val="00BD799B"/>
    <w:rsid w:val="00BE2BEC"/>
    <w:rsid w:val="00BE6D2B"/>
    <w:rsid w:val="00BF38E4"/>
    <w:rsid w:val="00BF43F3"/>
    <w:rsid w:val="00C03023"/>
    <w:rsid w:val="00C05AAD"/>
    <w:rsid w:val="00C06878"/>
    <w:rsid w:val="00C06E60"/>
    <w:rsid w:val="00C11B77"/>
    <w:rsid w:val="00C11C98"/>
    <w:rsid w:val="00C124E8"/>
    <w:rsid w:val="00C144EB"/>
    <w:rsid w:val="00C159CB"/>
    <w:rsid w:val="00C1623D"/>
    <w:rsid w:val="00C22ADF"/>
    <w:rsid w:val="00C25FE4"/>
    <w:rsid w:val="00C26B51"/>
    <w:rsid w:val="00C278C1"/>
    <w:rsid w:val="00C27AB5"/>
    <w:rsid w:val="00C30125"/>
    <w:rsid w:val="00C3134B"/>
    <w:rsid w:val="00C32262"/>
    <w:rsid w:val="00C33B78"/>
    <w:rsid w:val="00C33C49"/>
    <w:rsid w:val="00C33E3C"/>
    <w:rsid w:val="00C354C7"/>
    <w:rsid w:val="00C40B89"/>
    <w:rsid w:val="00C44CCF"/>
    <w:rsid w:val="00C4597D"/>
    <w:rsid w:val="00C46A03"/>
    <w:rsid w:val="00C50243"/>
    <w:rsid w:val="00C534B1"/>
    <w:rsid w:val="00C544CB"/>
    <w:rsid w:val="00C54B55"/>
    <w:rsid w:val="00C55888"/>
    <w:rsid w:val="00C57833"/>
    <w:rsid w:val="00C57B86"/>
    <w:rsid w:val="00C671B5"/>
    <w:rsid w:val="00C713F5"/>
    <w:rsid w:val="00C72929"/>
    <w:rsid w:val="00C74419"/>
    <w:rsid w:val="00C7456F"/>
    <w:rsid w:val="00C8075A"/>
    <w:rsid w:val="00C82157"/>
    <w:rsid w:val="00C845A2"/>
    <w:rsid w:val="00C852DB"/>
    <w:rsid w:val="00C90B29"/>
    <w:rsid w:val="00C95329"/>
    <w:rsid w:val="00CA010A"/>
    <w:rsid w:val="00CA1546"/>
    <w:rsid w:val="00CA223A"/>
    <w:rsid w:val="00CA45CD"/>
    <w:rsid w:val="00CA45D8"/>
    <w:rsid w:val="00CA664B"/>
    <w:rsid w:val="00CB2605"/>
    <w:rsid w:val="00CB5B6A"/>
    <w:rsid w:val="00CB73EC"/>
    <w:rsid w:val="00CC08E5"/>
    <w:rsid w:val="00CC1F00"/>
    <w:rsid w:val="00CC1F63"/>
    <w:rsid w:val="00CC27B2"/>
    <w:rsid w:val="00CC3DBD"/>
    <w:rsid w:val="00CC63C1"/>
    <w:rsid w:val="00CC685F"/>
    <w:rsid w:val="00CD2E22"/>
    <w:rsid w:val="00CD5C6E"/>
    <w:rsid w:val="00CD7F4A"/>
    <w:rsid w:val="00CE06EF"/>
    <w:rsid w:val="00CE0A08"/>
    <w:rsid w:val="00CE2AD0"/>
    <w:rsid w:val="00CE2BD3"/>
    <w:rsid w:val="00CE3688"/>
    <w:rsid w:val="00CE37D9"/>
    <w:rsid w:val="00CE5362"/>
    <w:rsid w:val="00CE67E1"/>
    <w:rsid w:val="00CE6A3B"/>
    <w:rsid w:val="00CE6C19"/>
    <w:rsid w:val="00CE7DF1"/>
    <w:rsid w:val="00CF200B"/>
    <w:rsid w:val="00CF4567"/>
    <w:rsid w:val="00CF5DC4"/>
    <w:rsid w:val="00CF7381"/>
    <w:rsid w:val="00D01995"/>
    <w:rsid w:val="00D02D49"/>
    <w:rsid w:val="00D05D69"/>
    <w:rsid w:val="00D05FD8"/>
    <w:rsid w:val="00D076D7"/>
    <w:rsid w:val="00D12B2A"/>
    <w:rsid w:val="00D12DBF"/>
    <w:rsid w:val="00D131BE"/>
    <w:rsid w:val="00D13A05"/>
    <w:rsid w:val="00D14A13"/>
    <w:rsid w:val="00D157A5"/>
    <w:rsid w:val="00D163D7"/>
    <w:rsid w:val="00D20998"/>
    <w:rsid w:val="00D221DE"/>
    <w:rsid w:val="00D22C24"/>
    <w:rsid w:val="00D2452A"/>
    <w:rsid w:val="00D24922"/>
    <w:rsid w:val="00D26146"/>
    <w:rsid w:val="00D277A2"/>
    <w:rsid w:val="00D309EB"/>
    <w:rsid w:val="00D33A1C"/>
    <w:rsid w:val="00D35A92"/>
    <w:rsid w:val="00D36AA2"/>
    <w:rsid w:val="00D36BC1"/>
    <w:rsid w:val="00D41CCD"/>
    <w:rsid w:val="00D42E25"/>
    <w:rsid w:val="00D43263"/>
    <w:rsid w:val="00D43298"/>
    <w:rsid w:val="00D43B88"/>
    <w:rsid w:val="00D4581B"/>
    <w:rsid w:val="00D45EDA"/>
    <w:rsid w:val="00D51378"/>
    <w:rsid w:val="00D534D9"/>
    <w:rsid w:val="00D55744"/>
    <w:rsid w:val="00D57B66"/>
    <w:rsid w:val="00D6267A"/>
    <w:rsid w:val="00D635DB"/>
    <w:rsid w:val="00D63C89"/>
    <w:rsid w:val="00D64A4C"/>
    <w:rsid w:val="00D65F5B"/>
    <w:rsid w:val="00D70D65"/>
    <w:rsid w:val="00D71568"/>
    <w:rsid w:val="00D72B8E"/>
    <w:rsid w:val="00D747AF"/>
    <w:rsid w:val="00D7480B"/>
    <w:rsid w:val="00D74AC0"/>
    <w:rsid w:val="00D76960"/>
    <w:rsid w:val="00D77107"/>
    <w:rsid w:val="00D778DD"/>
    <w:rsid w:val="00D77C90"/>
    <w:rsid w:val="00D80B3F"/>
    <w:rsid w:val="00D811D0"/>
    <w:rsid w:val="00D81555"/>
    <w:rsid w:val="00D816A7"/>
    <w:rsid w:val="00D82BAB"/>
    <w:rsid w:val="00D90017"/>
    <w:rsid w:val="00D90128"/>
    <w:rsid w:val="00D90202"/>
    <w:rsid w:val="00D91ABB"/>
    <w:rsid w:val="00D9297E"/>
    <w:rsid w:val="00D93173"/>
    <w:rsid w:val="00D939FD"/>
    <w:rsid w:val="00D93E39"/>
    <w:rsid w:val="00D93E49"/>
    <w:rsid w:val="00D95D03"/>
    <w:rsid w:val="00D9688A"/>
    <w:rsid w:val="00D9704E"/>
    <w:rsid w:val="00D9734E"/>
    <w:rsid w:val="00DA1664"/>
    <w:rsid w:val="00DA1798"/>
    <w:rsid w:val="00DA29C3"/>
    <w:rsid w:val="00DA2B44"/>
    <w:rsid w:val="00DA4CD6"/>
    <w:rsid w:val="00DB14EF"/>
    <w:rsid w:val="00DB1993"/>
    <w:rsid w:val="00DB1E46"/>
    <w:rsid w:val="00DB35EE"/>
    <w:rsid w:val="00DB559D"/>
    <w:rsid w:val="00DB5F84"/>
    <w:rsid w:val="00DB7AA8"/>
    <w:rsid w:val="00DC08C2"/>
    <w:rsid w:val="00DC11A3"/>
    <w:rsid w:val="00DC210A"/>
    <w:rsid w:val="00DC29BD"/>
    <w:rsid w:val="00DC6E1E"/>
    <w:rsid w:val="00DD200C"/>
    <w:rsid w:val="00DD2948"/>
    <w:rsid w:val="00DD2EED"/>
    <w:rsid w:val="00DD770B"/>
    <w:rsid w:val="00DD7772"/>
    <w:rsid w:val="00DD77AC"/>
    <w:rsid w:val="00DD7AD0"/>
    <w:rsid w:val="00DE1E3D"/>
    <w:rsid w:val="00DE6751"/>
    <w:rsid w:val="00DF22FA"/>
    <w:rsid w:val="00DF2444"/>
    <w:rsid w:val="00DF3544"/>
    <w:rsid w:val="00E01C77"/>
    <w:rsid w:val="00E05443"/>
    <w:rsid w:val="00E05874"/>
    <w:rsid w:val="00E059EE"/>
    <w:rsid w:val="00E06A77"/>
    <w:rsid w:val="00E11B8A"/>
    <w:rsid w:val="00E12424"/>
    <w:rsid w:val="00E141B1"/>
    <w:rsid w:val="00E16D56"/>
    <w:rsid w:val="00E2563F"/>
    <w:rsid w:val="00E257F3"/>
    <w:rsid w:val="00E327A8"/>
    <w:rsid w:val="00E32FF5"/>
    <w:rsid w:val="00E34003"/>
    <w:rsid w:val="00E35C97"/>
    <w:rsid w:val="00E36D20"/>
    <w:rsid w:val="00E41A1C"/>
    <w:rsid w:val="00E452F2"/>
    <w:rsid w:val="00E4696A"/>
    <w:rsid w:val="00E50266"/>
    <w:rsid w:val="00E55BDE"/>
    <w:rsid w:val="00E55F7B"/>
    <w:rsid w:val="00E56B5A"/>
    <w:rsid w:val="00E61432"/>
    <w:rsid w:val="00E62157"/>
    <w:rsid w:val="00E62DBD"/>
    <w:rsid w:val="00E63FD0"/>
    <w:rsid w:val="00E64B05"/>
    <w:rsid w:val="00E65328"/>
    <w:rsid w:val="00E65491"/>
    <w:rsid w:val="00E65BFA"/>
    <w:rsid w:val="00E65E8A"/>
    <w:rsid w:val="00E722F9"/>
    <w:rsid w:val="00E72683"/>
    <w:rsid w:val="00E73801"/>
    <w:rsid w:val="00E7499B"/>
    <w:rsid w:val="00E76372"/>
    <w:rsid w:val="00E801F4"/>
    <w:rsid w:val="00E80ECD"/>
    <w:rsid w:val="00E81A7F"/>
    <w:rsid w:val="00E81E79"/>
    <w:rsid w:val="00E85C06"/>
    <w:rsid w:val="00E87322"/>
    <w:rsid w:val="00E87EC8"/>
    <w:rsid w:val="00E90C53"/>
    <w:rsid w:val="00E90E5C"/>
    <w:rsid w:val="00E95038"/>
    <w:rsid w:val="00E959F2"/>
    <w:rsid w:val="00E9607D"/>
    <w:rsid w:val="00E96D7D"/>
    <w:rsid w:val="00E97C5B"/>
    <w:rsid w:val="00E97DE0"/>
    <w:rsid w:val="00EA00A5"/>
    <w:rsid w:val="00EA1FE5"/>
    <w:rsid w:val="00EA5C6E"/>
    <w:rsid w:val="00EA5EDD"/>
    <w:rsid w:val="00EA6D69"/>
    <w:rsid w:val="00EA7228"/>
    <w:rsid w:val="00EA7712"/>
    <w:rsid w:val="00EB0005"/>
    <w:rsid w:val="00EB038A"/>
    <w:rsid w:val="00EB3504"/>
    <w:rsid w:val="00EB4E0F"/>
    <w:rsid w:val="00EB5CDB"/>
    <w:rsid w:val="00EB76D0"/>
    <w:rsid w:val="00EB76EE"/>
    <w:rsid w:val="00EC2494"/>
    <w:rsid w:val="00EC2F6B"/>
    <w:rsid w:val="00EC538E"/>
    <w:rsid w:val="00EC7BAD"/>
    <w:rsid w:val="00ED0A30"/>
    <w:rsid w:val="00ED1690"/>
    <w:rsid w:val="00ED1A11"/>
    <w:rsid w:val="00ED25A1"/>
    <w:rsid w:val="00ED2688"/>
    <w:rsid w:val="00ED2A3C"/>
    <w:rsid w:val="00ED31A4"/>
    <w:rsid w:val="00ED3F35"/>
    <w:rsid w:val="00ED5757"/>
    <w:rsid w:val="00ED6DCD"/>
    <w:rsid w:val="00ED6E0C"/>
    <w:rsid w:val="00EE091B"/>
    <w:rsid w:val="00EE1B7B"/>
    <w:rsid w:val="00EE5285"/>
    <w:rsid w:val="00EE5BED"/>
    <w:rsid w:val="00EE6FD4"/>
    <w:rsid w:val="00EE73E9"/>
    <w:rsid w:val="00EF0670"/>
    <w:rsid w:val="00F01849"/>
    <w:rsid w:val="00F03192"/>
    <w:rsid w:val="00F05BD4"/>
    <w:rsid w:val="00F073C1"/>
    <w:rsid w:val="00F07462"/>
    <w:rsid w:val="00F10869"/>
    <w:rsid w:val="00F11962"/>
    <w:rsid w:val="00F11A51"/>
    <w:rsid w:val="00F122D8"/>
    <w:rsid w:val="00F14BA5"/>
    <w:rsid w:val="00F14FB2"/>
    <w:rsid w:val="00F166CD"/>
    <w:rsid w:val="00F16A7B"/>
    <w:rsid w:val="00F2153E"/>
    <w:rsid w:val="00F21C81"/>
    <w:rsid w:val="00F256B3"/>
    <w:rsid w:val="00F25950"/>
    <w:rsid w:val="00F26366"/>
    <w:rsid w:val="00F30011"/>
    <w:rsid w:val="00F31AEC"/>
    <w:rsid w:val="00F32936"/>
    <w:rsid w:val="00F36382"/>
    <w:rsid w:val="00F369B6"/>
    <w:rsid w:val="00F411BA"/>
    <w:rsid w:val="00F41E08"/>
    <w:rsid w:val="00F43A8C"/>
    <w:rsid w:val="00F47057"/>
    <w:rsid w:val="00F47160"/>
    <w:rsid w:val="00F4791C"/>
    <w:rsid w:val="00F51BC6"/>
    <w:rsid w:val="00F51F2B"/>
    <w:rsid w:val="00F55FB0"/>
    <w:rsid w:val="00F56164"/>
    <w:rsid w:val="00F56367"/>
    <w:rsid w:val="00F57107"/>
    <w:rsid w:val="00F57316"/>
    <w:rsid w:val="00F57F7E"/>
    <w:rsid w:val="00F638A2"/>
    <w:rsid w:val="00F66129"/>
    <w:rsid w:val="00F66635"/>
    <w:rsid w:val="00F70C94"/>
    <w:rsid w:val="00F7231D"/>
    <w:rsid w:val="00F7310B"/>
    <w:rsid w:val="00F73B21"/>
    <w:rsid w:val="00F743A7"/>
    <w:rsid w:val="00F75612"/>
    <w:rsid w:val="00F76FDE"/>
    <w:rsid w:val="00F8149A"/>
    <w:rsid w:val="00F81950"/>
    <w:rsid w:val="00F829A6"/>
    <w:rsid w:val="00F831C4"/>
    <w:rsid w:val="00F832EE"/>
    <w:rsid w:val="00F8352A"/>
    <w:rsid w:val="00F847B9"/>
    <w:rsid w:val="00F86A2B"/>
    <w:rsid w:val="00F872F3"/>
    <w:rsid w:val="00F879D5"/>
    <w:rsid w:val="00F90CF8"/>
    <w:rsid w:val="00F91230"/>
    <w:rsid w:val="00F95168"/>
    <w:rsid w:val="00F95507"/>
    <w:rsid w:val="00F97E74"/>
    <w:rsid w:val="00FA56D8"/>
    <w:rsid w:val="00FA6142"/>
    <w:rsid w:val="00FB0320"/>
    <w:rsid w:val="00FB1576"/>
    <w:rsid w:val="00FB2C10"/>
    <w:rsid w:val="00FB33C2"/>
    <w:rsid w:val="00FB4006"/>
    <w:rsid w:val="00FB4276"/>
    <w:rsid w:val="00FB4F04"/>
    <w:rsid w:val="00FB5D2C"/>
    <w:rsid w:val="00FB5F2E"/>
    <w:rsid w:val="00FB6686"/>
    <w:rsid w:val="00FB67B6"/>
    <w:rsid w:val="00FB73CD"/>
    <w:rsid w:val="00FC240E"/>
    <w:rsid w:val="00FC31AB"/>
    <w:rsid w:val="00FC3575"/>
    <w:rsid w:val="00FC4365"/>
    <w:rsid w:val="00FC6693"/>
    <w:rsid w:val="00FC7FFA"/>
    <w:rsid w:val="00FD071C"/>
    <w:rsid w:val="00FD1425"/>
    <w:rsid w:val="00FD1537"/>
    <w:rsid w:val="00FD2810"/>
    <w:rsid w:val="00FD5584"/>
    <w:rsid w:val="00FD598B"/>
    <w:rsid w:val="00FD5B39"/>
    <w:rsid w:val="00FD6425"/>
    <w:rsid w:val="00FD7FFB"/>
    <w:rsid w:val="00FE1AC5"/>
    <w:rsid w:val="00FE24D4"/>
    <w:rsid w:val="00FE2523"/>
    <w:rsid w:val="00FE7A24"/>
    <w:rsid w:val="00FE7C2A"/>
    <w:rsid w:val="00FF2E24"/>
    <w:rsid w:val="00FF3B74"/>
    <w:rsid w:val="00FF412F"/>
    <w:rsid w:val="00FF41CB"/>
    <w:rsid w:val="00FF587B"/>
    <w:rsid w:val="12D939C4"/>
    <w:rsid w:val="130C067B"/>
    <w:rsid w:val="1470294D"/>
    <w:rsid w:val="1A957CAF"/>
    <w:rsid w:val="2913CB2C"/>
    <w:rsid w:val="30AC718B"/>
    <w:rsid w:val="34746B8D"/>
    <w:rsid w:val="411722D1"/>
    <w:rsid w:val="439AAE0A"/>
    <w:rsid w:val="4AE4F9B6"/>
    <w:rsid w:val="5AAF0BBF"/>
    <w:rsid w:val="728C4D82"/>
    <w:rsid w:val="7B6BC8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4B474A2"/>
  <w15:docId w15:val="{85C1D641-5C74-4F58-91C0-9C4CF7D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1A1B6B"/>
    <w:pPr>
      <w:keepNext/>
      <w:numPr>
        <w:numId w:val="39"/>
      </w:numPr>
      <w:spacing w:line="235" w:lineRule="exact"/>
      <w:outlineLvl w:val="0"/>
    </w:pPr>
    <w:rPr>
      <w:rFonts w:ascii="Times New Roman" w:hAnsi="Times New Roman"/>
      <w:b/>
      <w:bCs/>
    </w:rPr>
  </w:style>
  <w:style w:type="paragraph" w:styleId="Heading2">
    <w:name w:val="heading 2"/>
    <w:basedOn w:val="Normal"/>
    <w:next w:val="Normal"/>
    <w:link w:val="Heading2Char"/>
    <w:semiHidden/>
    <w:unhideWhenUsed/>
    <w:qFormat/>
    <w:rsid w:val="009349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1"/>
      </w:numPr>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qFormat/>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rsid w:val="00785249"/>
    <w:rPr>
      <w:sz w:val="16"/>
      <w:szCs w:val="16"/>
    </w:rPr>
  </w:style>
  <w:style w:type="paragraph" w:styleId="CommentText">
    <w:name w:val="annotation text"/>
    <w:basedOn w:val="Normal"/>
    <w:link w:val="CommentTextChar"/>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link w:val="FootnoteText"/>
    <w:rsid w:val="005B4716"/>
    <w:rPr>
      <w:rFonts w:ascii="Courier" w:hAnsi="Courier"/>
    </w:rPr>
  </w:style>
  <w:style w:type="paragraph" w:styleId="ListParagraph">
    <w:name w:val="List Paragraph"/>
    <w:basedOn w:val="Normal"/>
    <w:uiPriority w:val="34"/>
    <w:qFormat/>
    <w:rsid w:val="00FB6686"/>
    <w:pPr>
      <w:ind w:left="720"/>
      <w:contextualSpacing/>
    </w:pPr>
  </w:style>
  <w:style w:type="paragraph" w:styleId="Revision">
    <w:name w:val="Revision"/>
    <w:hidden/>
    <w:uiPriority w:val="99"/>
    <w:semiHidden/>
    <w:rsid w:val="00692C5D"/>
    <w:rPr>
      <w:rFonts w:ascii="Courier" w:hAnsi="Courier"/>
      <w:sz w:val="24"/>
      <w:szCs w:val="24"/>
    </w:rPr>
  </w:style>
  <w:style w:type="paragraph" w:styleId="HTMLPreformatted">
    <w:name w:val="HTML Preformatted"/>
    <w:basedOn w:val="Normal"/>
    <w:link w:val="HTMLPreformattedChar"/>
    <w:rsid w:val="00AE666B"/>
    <w:rPr>
      <w:rFonts w:ascii="Consolas" w:hAnsi="Consolas" w:cs="Consolas"/>
      <w:sz w:val="20"/>
      <w:szCs w:val="20"/>
    </w:rPr>
  </w:style>
  <w:style w:type="character" w:customStyle="1" w:styleId="HTMLPreformattedChar">
    <w:name w:val="HTML Preformatted Char"/>
    <w:basedOn w:val="DefaultParagraphFont"/>
    <w:link w:val="HTMLPreformatted"/>
    <w:rsid w:val="00AE666B"/>
    <w:rPr>
      <w:rFonts w:ascii="Consolas" w:hAnsi="Consolas" w:cs="Consolas"/>
    </w:rPr>
  </w:style>
  <w:style w:type="character" w:styleId="Hyperlink">
    <w:name w:val="Hyperlink"/>
    <w:basedOn w:val="DefaultParagraphFont"/>
    <w:uiPriority w:val="99"/>
    <w:unhideWhenUsed/>
    <w:rsid w:val="004734AC"/>
    <w:rPr>
      <w:color w:val="0000FF" w:themeColor="hyperlink"/>
      <w:u w:val="single"/>
    </w:rPr>
  </w:style>
  <w:style w:type="character" w:customStyle="1" w:styleId="CommentTextChar">
    <w:name w:val="Comment Text Char"/>
    <w:basedOn w:val="DefaultParagraphFont"/>
    <w:link w:val="CommentText"/>
    <w:uiPriority w:val="99"/>
    <w:rsid w:val="009A5BD8"/>
  </w:style>
  <w:style w:type="character" w:styleId="Mention">
    <w:name w:val="Mention"/>
    <w:basedOn w:val="DefaultParagraphFont"/>
    <w:uiPriority w:val="99"/>
    <w:unhideWhenUsed/>
    <w:rsid w:val="00863A4B"/>
    <w:rPr>
      <w:color w:val="2B579A"/>
      <w:shd w:val="clear" w:color="auto" w:fill="E1DFDD"/>
    </w:rPr>
  </w:style>
  <w:style w:type="paragraph" w:styleId="NormalWeb">
    <w:name w:val="Normal (Web)"/>
    <w:basedOn w:val="Normal"/>
    <w:semiHidden/>
    <w:unhideWhenUsed/>
    <w:rsid w:val="000750B5"/>
    <w:rPr>
      <w:rFonts w:ascii="Times New Roman" w:hAnsi="Times New Roman"/>
    </w:rPr>
  </w:style>
  <w:style w:type="character" w:styleId="UnresolvedMention">
    <w:name w:val="Unresolved Mention"/>
    <w:basedOn w:val="DefaultParagraphFont"/>
    <w:uiPriority w:val="99"/>
    <w:semiHidden/>
    <w:unhideWhenUsed/>
    <w:rsid w:val="00494288"/>
    <w:rPr>
      <w:color w:val="605E5C"/>
      <w:shd w:val="clear" w:color="auto" w:fill="E1DFDD"/>
    </w:rPr>
  </w:style>
  <w:style w:type="paragraph" w:customStyle="1" w:styleId="Style1">
    <w:name w:val="Style1"/>
    <w:basedOn w:val="Heading2"/>
    <w:qFormat/>
    <w:rsid w:val="00394EFB"/>
    <w:pPr>
      <w:numPr>
        <w:numId w:val="29"/>
      </w:numPr>
      <w:tabs>
        <w:tab w:val="left" w:pos="-1440"/>
      </w:tabs>
      <w:ind w:left="720" w:hanging="720"/>
      <w:contextualSpacing/>
    </w:pPr>
    <w:rPr>
      <w:rFonts w:ascii="Times New Roman" w:hAnsi="Times New Roman"/>
      <w:b/>
      <w:iCs/>
      <w:color w:val="000000" w:themeColor="text1"/>
      <w:sz w:val="24"/>
      <w:szCs w:val="24"/>
    </w:rPr>
  </w:style>
  <w:style w:type="character" w:customStyle="1" w:styleId="Heading2Char">
    <w:name w:val="Heading 2 Char"/>
    <w:basedOn w:val="DefaultParagraphFont"/>
    <w:link w:val="Heading2"/>
    <w:semiHidden/>
    <w:rsid w:val="009349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10" Type="http://schemas.openxmlformats.org/officeDocument/2006/relationships/hyperlink" Target="https://www.dol.gov/sites/dolgov/files/ebsa/about-ebsa/our-activities/resource-center/faqs/new-fiduciary-advice-exemption.pdf" TargetMode="External" /><Relationship Id="rId11" Type="http://schemas.openxmlformats.org/officeDocument/2006/relationships/hyperlink" Target="https://naic.soutronglobal.net/Portal/Public/en-GB/RecordView/Index/25201" TargetMode="External" /><Relationship Id="rId12" Type="http://schemas.openxmlformats.org/officeDocument/2006/relationships/hyperlink" Target="https://content.naic.org/sites/default/files/inline-files/MDL-275.pdf" TargetMode="External" /><Relationship Id="rId13" Type="http://schemas.openxmlformats.org/officeDocument/2006/relationships/hyperlink" Target="https://blog.adbanker.com/annuity-best-interest-state-map-and-faqs" TargetMode="External" /><Relationship Id="rId14" Type="http://schemas.openxmlformats.org/officeDocument/2006/relationships/hyperlink" Target="https://www.usps.com/ship/first-class-mail.htm" TargetMode="External" /><Relationship Id="rId2" Type="http://schemas.openxmlformats.org/officeDocument/2006/relationships/hyperlink" Target="https://www.iii.org/publications/a-firm-foundation-how-insurance-supports-the-economy/a-50-state-commitment/captives-by-state" TargetMode="External" /><Relationship Id="rId3" Type="http://schemas.openxmlformats.org/officeDocument/2006/relationships/hyperlink" Target="https://www.iii.org/fact-statistic/facts-statistics-industry-overview" TargetMode="External" /><Relationship Id="rId4" Type="http://schemas.openxmlformats.org/officeDocument/2006/relationships/hyperlink" Target="https://www.dol.gov/sites/dolgov/files/EBSA/laws-and-regulations/rules-and-regulations/completed-rulemaking/1210-AB32-2/ria.pdf." TargetMode="External" /><Relationship Id="rId5" Type="http://schemas.openxmlformats.org/officeDocument/2006/relationships/hyperlink" Target="https://www.ici.org/system/files/attachments/pdf/per27-01.pdf" TargetMode="External" /><Relationship Id="rId6" Type="http://schemas.openxmlformats.org/officeDocument/2006/relationships/hyperlink" Target="https://www.iamagazine.com/news/7-findings-from-the-2022-agency-universe-study?__hstc=79369803.5fd6a87d75ca95f942e9dc33fed281b9.1691447156981.1691447156981.1691447156981.1&amp;__hssc=79369803.3.1691447156981&amp;__hsfp=2180945085" TargetMode="External" /><Relationship Id="rId7" Type="http://schemas.openxmlformats.org/officeDocument/2006/relationships/hyperlink" Target="http://www.dol.gov/sites/dolgov/files/EBSA/laws-and-regulations/rules-and-regulations/completed-rulemaking/1210-AB32-2/ria.pdf" TargetMode="External" /><Relationship Id="rId8" Type="http://schemas.openxmlformats.org/officeDocument/2006/relationships/hyperlink" Target="https://www.mckinsey.com/industries/financial-services/our-insights/unbundling-value-how-leading-insurers-identify-competitive-advantage" TargetMode="External" /><Relationship Id="rId9" Type="http://schemas.openxmlformats.org/officeDocument/2006/relationships/hyperlink" Target="https://www.winkintel.com/2022/06/the-annuity-model-is-broken-repr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BCE08-4708-4AE6-9E1F-1ED115D749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4E9C5-34C2-45F6-A007-C19BDE9C8812}">
  <ds:schemaRefs>
    <ds:schemaRef ds:uri="http://schemas.microsoft.com/sharepoint/v3/contenttype/forms"/>
  </ds:schemaRefs>
</ds:datastoreItem>
</file>

<file path=customXml/itemProps3.xml><?xml version="1.0" encoding="utf-8"?>
<ds:datastoreItem xmlns:ds="http://schemas.openxmlformats.org/officeDocument/2006/customXml" ds:itemID="{9DBC31E9-BA3F-4446-A0CE-E70405B08B15}">
  <ds:schemaRefs>
    <ds:schemaRef ds:uri="http://schemas.openxmlformats.org/officeDocument/2006/bibliography"/>
  </ds:schemaRefs>
</ds:datastoreItem>
</file>

<file path=customXml/itemProps4.xml><?xml version="1.0" encoding="utf-8"?>
<ds:datastoreItem xmlns:ds="http://schemas.openxmlformats.org/officeDocument/2006/customXml" ds:itemID="{219E60E9-9C3E-4569-A0A9-8F5046B7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9319</Words>
  <Characters>53120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62315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Mariam Khan</cp:lastModifiedBy>
  <cp:revision>2</cp:revision>
  <cp:lastPrinted>2016-03-01T01:42:00Z</cp:lastPrinted>
  <dcterms:created xsi:type="dcterms:W3CDTF">2023-11-02T19:58:00Z</dcterms:created>
  <dcterms:modified xsi:type="dcterms:W3CDTF">2023-11-02T19:58:00Z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_NewReviewCycle">
    <vt:lpwstr/>
  </property>
</Properties>
</file>