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043" w:rsidP="006A5043" w14:paraId="61268D52" w14:textId="6661E0B3">
      <w:pPr>
        <w:jc w:val="center"/>
        <w:rPr>
          <w:rFonts w:ascii="Times New Roman" w:hAnsi="Times New Roman"/>
          <w:b/>
          <w:bCs/>
        </w:rPr>
      </w:pPr>
      <w:bookmarkStart w:id="0" w:name="QuickMark"/>
      <w:bookmarkEnd w:id="0"/>
      <w:r w:rsidRPr="00306C3D">
        <w:rPr>
          <w:rFonts w:ascii="Times New Roman" w:hAnsi="Times New Roman"/>
          <w:b/>
        </w:rPr>
        <w:t xml:space="preserve">SUPPORTING STATEMENT FOR PAPERWORK REDUCTION ACT 1995: </w:t>
      </w:r>
      <w:r w:rsidRPr="00306C3D">
        <w:rPr>
          <w:rFonts w:ascii="Times New Roman" w:hAnsi="Times New Roman"/>
          <w:b/>
          <w:bCs/>
        </w:rPr>
        <w:t>PROHIBITED TRANSACTION EXEMPTION 75-1</w:t>
      </w:r>
      <w:r>
        <w:rPr>
          <w:rFonts w:ascii="Times New Roman" w:hAnsi="Times New Roman"/>
          <w:b/>
          <w:bCs/>
        </w:rPr>
        <w:t xml:space="preserve"> </w:t>
      </w:r>
      <w:r w:rsidRPr="00306C3D">
        <w:rPr>
          <w:rFonts w:ascii="Times New Roman" w:hAnsi="Times New Roman"/>
          <w:b/>
          <w:bCs/>
        </w:rPr>
        <w:t>(SECURITY TRANSACTIONS WITH BROKER-DEALERS, REPORTING DEALERS AND BANKS)</w:t>
      </w:r>
    </w:p>
    <w:p w:rsidR="006A5043" w:rsidP="006A5043" w14:paraId="53F62059" w14:textId="77777777">
      <w:pPr>
        <w:jc w:val="center"/>
        <w:rPr>
          <w:rFonts w:ascii="Times New Roman" w:hAnsi="Times New Roman"/>
          <w:b/>
          <w:bCs/>
        </w:rPr>
      </w:pPr>
    </w:p>
    <w:p w:rsidR="006A5043" w:rsidRPr="007E253F" w:rsidP="360ADCFE" w14:paraId="7A1FFFDD" w14:textId="550B740F">
      <w:pPr>
        <w:rPr>
          <w:rFonts w:ascii="Times New Roman" w:hAnsi="Times New Roman"/>
          <w:b/>
          <w:bCs/>
        </w:rPr>
      </w:pPr>
      <w:r w:rsidRPr="007E253F">
        <w:rPr>
          <w:rFonts w:ascii="Times New Roman" w:hAnsi="Times New Roman"/>
          <w:b/>
          <w:bCs/>
        </w:rPr>
        <w:t>This information collection request (ICR)</w:t>
      </w:r>
      <w:r w:rsidRPr="007E253F" w:rsidR="005606F7">
        <w:rPr>
          <w:rFonts w:ascii="Times New Roman" w:hAnsi="Times New Roman"/>
          <w:b/>
          <w:bCs/>
        </w:rPr>
        <w:t xml:space="preserve"> </w:t>
      </w:r>
      <w:r w:rsidRPr="007E253F">
        <w:rPr>
          <w:rFonts w:ascii="Times New Roman" w:hAnsi="Times New Roman"/>
          <w:b/>
          <w:bCs/>
        </w:rPr>
        <w:t xml:space="preserve">seeks approval for </w:t>
      </w:r>
      <w:r w:rsidRPr="007E253F" w:rsidR="00B926A2">
        <w:rPr>
          <w:rFonts w:ascii="Times New Roman" w:hAnsi="Times New Roman"/>
          <w:b/>
          <w:bCs/>
        </w:rPr>
        <w:t xml:space="preserve">a revision </w:t>
      </w:r>
      <w:r w:rsidRPr="007E253F">
        <w:rPr>
          <w:rFonts w:ascii="Times New Roman" w:hAnsi="Times New Roman"/>
          <w:b/>
          <w:bCs/>
        </w:rPr>
        <w:t>of an existing control number.</w:t>
      </w:r>
    </w:p>
    <w:p w:rsidR="00853C8B" w14:paraId="2CAA791C" w14:textId="37C80C88">
      <w:pPr>
        <w:rPr>
          <w:rFonts w:ascii="Times New Roman" w:hAnsi="Times New Roman"/>
        </w:rPr>
      </w:pPr>
    </w:p>
    <w:p w:rsidR="00853C8B" w:rsidRPr="00FB4CA9" w:rsidP="00FB4CA9" w14:paraId="22F4F39A" w14:textId="4E1F37E9">
      <w:pPr>
        <w:pStyle w:val="ListParagraph"/>
        <w:numPr>
          <w:ilvl w:val="0"/>
          <w:numId w:val="7"/>
        </w:numPr>
        <w:ind w:hanging="720"/>
        <w:rPr>
          <w:rFonts w:ascii="Times New Roman" w:hAnsi="Times New Roman"/>
        </w:rPr>
      </w:pPr>
      <w:r w:rsidRPr="00FB4CA9">
        <w:rPr>
          <w:rFonts w:ascii="Times New Roman" w:hAnsi="Times New Roman"/>
          <w:b/>
          <w:bCs/>
        </w:rPr>
        <w:t>JUSTIFICATION</w:t>
      </w:r>
    </w:p>
    <w:p w:rsidR="00853C8B" w:rsidP="00FB4CA9" w14:paraId="2A3218EA" w14:textId="77777777">
      <w:pPr>
        <w:ind w:left="720"/>
        <w:rPr>
          <w:rFonts w:ascii="Times New Roman" w:hAnsi="Times New Roman"/>
        </w:rPr>
      </w:pPr>
    </w:p>
    <w:p w:rsidR="00853C8B" w:rsidRPr="002B7322" w:rsidP="00FB4CA9" w14:paraId="5EF284CD" w14:textId="77777777">
      <w:pPr>
        <w:pStyle w:val="Quick1"/>
        <w:numPr>
          <w:ilvl w:val="0"/>
          <w:numId w:val="1"/>
        </w:numPr>
        <w:tabs>
          <w:tab w:val="left" w:pos="-1440"/>
          <w:tab w:val="num" w:pos="720"/>
        </w:tabs>
        <w:rPr>
          <w:rFonts w:ascii="Times New Roman" w:hAnsi="Times New Roman"/>
          <w:b/>
        </w:rPr>
      </w:pPr>
      <w:r w:rsidRPr="002B7322">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3C8B" w:rsidP="00FB4CA9" w14:paraId="18DD845E" w14:textId="77777777">
      <w:pPr>
        <w:ind w:left="720"/>
        <w:rPr>
          <w:rFonts w:ascii="Times New Roman" w:hAnsi="Times New Roman"/>
        </w:rPr>
      </w:pPr>
    </w:p>
    <w:p w:rsidR="00C33B02" w:rsidP="00FB4CA9" w14:paraId="052BC01A" w14:textId="2455E4D0">
      <w:pPr>
        <w:ind w:left="720"/>
        <w:rPr>
          <w:rFonts w:ascii="Times New Roman" w:hAnsi="Times New Roman"/>
        </w:rPr>
      </w:pPr>
      <w:r>
        <w:rPr>
          <w:rFonts w:ascii="Times New Roman" w:hAnsi="Times New Roman"/>
        </w:rPr>
        <w:t xml:space="preserve">Employee Retirement Income Security Act </w:t>
      </w:r>
      <w:r>
        <w:rPr>
          <w:rFonts w:ascii="Times New Roman" w:hAnsi="Times New Roman"/>
        </w:rPr>
        <w:t xml:space="preserve">of 1974 </w:t>
      </w:r>
      <w:r>
        <w:rPr>
          <w:rFonts w:ascii="Times New Roman" w:hAnsi="Times New Roman"/>
        </w:rPr>
        <w:t xml:space="preserve">(ERISA) </w:t>
      </w:r>
      <w:r>
        <w:rPr>
          <w:rFonts w:ascii="Times New Roman" w:hAnsi="Times New Roman"/>
        </w:rPr>
        <w:t>s</w:t>
      </w:r>
      <w:r>
        <w:rPr>
          <w:rFonts w:ascii="Times New Roman" w:hAnsi="Times New Roman"/>
        </w:rPr>
        <w:t xml:space="preserve">ection 406(a) </w:t>
      </w:r>
      <w:r>
        <w:rPr>
          <w:rFonts w:ascii="Times New Roman" w:hAnsi="Times New Roman"/>
        </w:rPr>
        <w:t>and Internal Revenue Code (Code) section 4975(c)(1)(A)-(D)</w:t>
      </w:r>
      <w:r>
        <w:rPr>
          <w:rFonts w:ascii="Times New Roman" w:hAnsi="Times New Roman"/>
        </w:rPr>
        <w:t xml:space="preserve"> prohibit specified transactions between plans and </w:t>
      </w:r>
      <w:r>
        <w:rPr>
          <w:rFonts w:ascii="Times New Roman" w:hAnsi="Times New Roman"/>
        </w:rPr>
        <w:t>“</w:t>
      </w:r>
      <w:r>
        <w:rPr>
          <w:rFonts w:ascii="Times New Roman" w:hAnsi="Times New Roman"/>
        </w:rPr>
        <w:t>parties in interest,</w:t>
      </w:r>
      <w:r>
        <w:rPr>
          <w:rFonts w:ascii="Times New Roman" w:hAnsi="Times New Roman"/>
        </w:rPr>
        <w:t>” as defined in ERISA section 3(14) or “disqualified persons” as defined in Code section 4975(e)(2).  Fiduciaries and other service providers are parties in interest and disqualified persons under ERISA and the Code.  As a result, they are prohibited from engaging in</w:t>
      </w:r>
      <w:r>
        <w:rPr>
          <w:rFonts w:ascii="Times New Roman" w:hAnsi="Times New Roman"/>
        </w:rPr>
        <w:t xml:space="preserve"> the sale or exchange of property or services, loans, leases, or extensions of credit,</w:t>
      </w:r>
      <w:r>
        <w:rPr>
          <w:rFonts w:ascii="Times New Roman" w:hAnsi="Times New Roman"/>
        </w:rPr>
        <w:t xml:space="preserve"> with plans and </w:t>
      </w:r>
      <w:r w:rsidR="00F25381">
        <w:rPr>
          <w:rFonts w:ascii="Times New Roman" w:hAnsi="Times New Roman"/>
        </w:rPr>
        <w:t>individual retirement accounts (</w:t>
      </w:r>
      <w:r>
        <w:rPr>
          <w:rFonts w:ascii="Times New Roman" w:hAnsi="Times New Roman"/>
        </w:rPr>
        <w:t>IRAs</w:t>
      </w:r>
      <w:r w:rsidR="00F25381">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 xml:space="preserve"> ERISA</w:t>
      </w:r>
      <w:r>
        <w:rPr>
          <w:rFonts w:ascii="Times New Roman" w:hAnsi="Times New Roman"/>
        </w:rPr>
        <w:t xml:space="preserve"> section 406(b) </w:t>
      </w:r>
      <w:r>
        <w:rPr>
          <w:rFonts w:ascii="Times New Roman" w:hAnsi="Times New Roman"/>
        </w:rPr>
        <w:t xml:space="preserve">and Code section 4975(c)(1)(E)-(F) </w:t>
      </w:r>
      <w:r>
        <w:rPr>
          <w:rFonts w:ascii="Times New Roman" w:hAnsi="Times New Roman"/>
        </w:rPr>
        <w:t xml:space="preserve">further prohibits certain acts by plan fiduciaries that result in benefit to the fiduciary or a party adverse to the plan.  </w:t>
      </w:r>
    </w:p>
    <w:p w:rsidR="002E0271" w:rsidP="00FB4CA9" w14:paraId="0CB28F0F" w14:textId="77777777">
      <w:pPr>
        <w:ind w:left="720"/>
        <w:rPr>
          <w:rFonts w:ascii="Times New Roman" w:hAnsi="Times New Roman"/>
        </w:rPr>
      </w:pPr>
    </w:p>
    <w:p w:rsidR="002E0271" w:rsidP="00EF616C" w14:paraId="2600B473" w14:textId="37D6EFE9">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Pr>
          <w:rFonts w:ascii="Times New Roman" w:hAnsi="Times New Roman"/>
          <w:vertAlign w:val="superscript"/>
        </w:rPr>
        <w:footnoteReference w:id="3"/>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00C33B02" w:rsidP="00FB4CA9" w14:paraId="7A755087" w14:textId="77777777">
      <w:pPr>
        <w:ind w:left="720"/>
        <w:rPr>
          <w:rFonts w:ascii="Times New Roman" w:hAnsi="Times New Roman"/>
        </w:rPr>
      </w:pPr>
    </w:p>
    <w:p w:rsidR="00C33B02" w:rsidRPr="00C33B02" w:rsidP="00C33B02" w14:paraId="019F35E5" w14:textId="701136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hAnsi="Times New Roman"/>
        </w:rPr>
      </w:pPr>
      <w:r w:rsidRPr="00C33B02">
        <w:rPr>
          <w:rFonts w:ascii="Times New Roman" w:hAnsi="Times New Roman"/>
        </w:rPr>
        <w:t>If a broker-dealer advance</w:t>
      </w:r>
      <w:r>
        <w:rPr>
          <w:rFonts w:ascii="Times New Roman" w:hAnsi="Times New Roman"/>
        </w:rPr>
        <w:t>s</w:t>
      </w:r>
      <w:r w:rsidRPr="00C33B02">
        <w:rPr>
          <w:rFonts w:ascii="Times New Roman" w:hAnsi="Times New Roman"/>
        </w:rPr>
        <w:t xml:space="preserve"> funds to settle a trade entered into by a plan or </w:t>
      </w:r>
      <w:r w:rsidRPr="00C33B02" w:rsidR="002E0271">
        <w:rPr>
          <w:rFonts w:ascii="Times New Roman" w:hAnsi="Times New Roman"/>
        </w:rPr>
        <w:t>IRA or</w:t>
      </w:r>
      <w:r w:rsidRPr="00C33B02">
        <w:rPr>
          <w:rFonts w:ascii="Times New Roman" w:hAnsi="Times New Roman"/>
        </w:rPr>
        <w:t xml:space="preserve"> purchase</w:t>
      </w:r>
      <w:r>
        <w:rPr>
          <w:rFonts w:ascii="Times New Roman" w:hAnsi="Times New Roman"/>
        </w:rPr>
        <w:t>s</w:t>
      </w:r>
      <w:r w:rsidRPr="00C33B02">
        <w:rPr>
          <w:rFonts w:ascii="Times New Roman" w:hAnsi="Times New Roman"/>
        </w:rPr>
        <w:t xml:space="preserve"> a security for delivery on behalf of a plan or IRA, the result can potentially be viewed as a loan of money or other extension of credit to the plan or IRA.  Further, in the event a broker-dealer steps into a plan’s or IRA’s shoes in any particular transaction, it </w:t>
      </w:r>
      <w:r w:rsidRPr="00C33B02">
        <w:rPr>
          <w:rFonts w:ascii="Times New Roman" w:hAnsi="Times New Roman"/>
        </w:rPr>
        <w:t>may charge interest or other fees to the plan or IRA.  These transactions potentially violate ERISA section 406(a)(1)(B) and Code section 4975(c)(1)(B) and (D).</w:t>
      </w:r>
    </w:p>
    <w:p w:rsidR="00C33B02" w:rsidP="00FB4CA9" w14:paraId="53E34691" w14:textId="77777777">
      <w:pPr>
        <w:ind w:left="720"/>
        <w:rPr>
          <w:rFonts w:ascii="Times New Roman" w:hAnsi="Times New Roman"/>
        </w:rPr>
      </w:pPr>
    </w:p>
    <w:p w:rsidR="00934B2B" w:rsidP="00FB4CA9" w14:paraId="7A978149" w14:textId="77777777">
      <w:pPr>
        <w:ind w:left="720"/>
        <w:rPr>
          <w:rFonts w:ascii="Times New Roman" w:hAnsi="Times New Roman"/>
        </w:rPr>
      </w:pPr>
    </w:p>
    <w:p w:rsidR="00934B2B" w:rsidP="00FB4CA9" w14:paraId="2147BE97" w14:textId="77777777">
      <w:pPr>
        <w:ind w:left="720"/>
        <w:rPr>
          <w:rFonts w:ascii="Times New Roman" w:hAnsi="Times New Roman"/>
        </w:rPr>
      </w:pPr>
      <w:r>
        <w:rPr>
          <w:rFonts w:ascii="Times New Roman" w:hAnsi="Times New Roman"/>
        </w:rPr>
        <w:t xml:space="preserve">Prohibited Transaction Exemption (PTE) 75-1 was granted on October 24, 1975.  It consists of five parts covering, among other things, securities transactions between plans and broker-dealers, reporting dealers and banks as well as other parties.  PTE 75-1 Part I covers </w:t>
      </w:r>
      <w:r w:rsidR="00606E78">
        <w:rPr>
          <w:rFonts w:ascii="Times New Roman" w:hAnsi="Times New Roman"/>
        </w:rPr>
        <w:t>the effecting of securities transactions</w:t>
      </w:r>
      <w:r>
        <w:rPr>
          <w:rFonts w:ascii="Times New Roman" w:hAnsi="Times New Roman"/>
        </w:rPr>
        <w:t xml:space="preserve"> and related services by persons that are not fiduciaries.  </w:t>
      </w:r>
      <w:r w:rsidR="00263407">
        <w:rPr>
          <w:rFonts w:ascii="Times New Roman" w:hAnsi="Times New Roman"/>
        </w:rPr>
        <w:t xml:space="preserve">Part II(1) allows </w:t>
      </w:r>
      <w:r w:rsidRPr="00263407" w:rsidR="00263407">
        <w:rPr>
          <w:rFonts w:ascii="Times New Roman" w:hAnsi="Times New Roman"/>
        </w:rPr>
        <w:t xml:space="preserve">the purchase or sale of a security between </w:t>
      </w:r>
      <w:r w:rsidR="00263407">
        <w:rPr>
          <w:rFonts w:ascii="Times New Roman" w:hAnsi="Times New Roman"/>
        </w:rPr>
        <w:t xml:space="preserve">plans and IRAs </w:t>
      </w:r>
      <w:r w:rsidRPr="00263407" w:rsidR="00263407">
        <w:rPr>
          <w:rFonts w:ascii="Times New Roman" w:hAnsi="Times New Roman"/>
        </w:rPr>
        <w:t>and:</w:t>
      </w:r>
      <w:r w:rsidR="00017665">
        <w:rPr>
          <w:rFonts w:ascii="Times New Roman" w:hAnsi="Times New Roman"/>
        </w:rPr>
        <w:t xml:space="preserve"> </w:t>
      </w:r>
      <w:r w:rsidRPr="00263407" w:rsidR="00263407">
        <w:rPr>
          <w:rFonts w:ascii="Times New Roman" w:hAnsi="Times New Roman"/>
        </w:rPr>
        <w:t xml:space="preserve"> (1) </w:t>
      </w:r>
      <w:r w:rsidR="0053262B">
        <w:rPr>
          <w:rFonts w:ascii="Times New Roman" w:hAnsi="Times New Roman"/>
        </w:rPr>
        <w:t>a</w:t>
      </w:r>
      <w:r w:rsidRPr="00263407" w:rsidR="00263407">
        <w:rPr>
          <w:rFonts w:ascii="Times New Roman" w:hAnsi="Times New Roman"/>
        </w:rPr>
        <w:t xml:space="preserve"> broker-dealer registered under the Securities Exchange Act of 1934; (2) a reporting dealer who makes primary markets in securities of the U.S. Government or of any agency thereof and reports daily to the Federal Reserve Bank of New York its positions with respect to Government securities and borrowings thereon; or (3) a bank supervised by the United States or a State. </w:t>
      </w:r>
      <w:r w:rsidR="00017665">
        <w:rPr>
          <w:rFonts w:ascii="Times New Roman" w:hAnsi="Times New Roman"/>
        </w:rPr>
        <w:t xml:space="preserve"> </w:t>
      </w:r>
      <w:r>
        <w:rPr>
          <w:rFonts w:ascii="Times New Roman" w:hAnsi="Times New Roman"/>
        </w:rPr>
        <w:t>Part II</w:t>
      </w:r>
      <w:r w:rsidR="00263407">
        <w:rPr>
          <w:rFonts w:ascii="Times New Roman" w:hAnsi="Times New Roman"/>
        </w:rPr>
        <w:t>(2</w:t>
      </w:r>
      <w:r w:rsidR="00313C74">
        <w:rPr>
          <w:rFonts w:ascii="Times New Roman" w:hAnsi="Times New Roman"/>
        </w:rPr>
        <w:t xml:space="preserve">) </w:t>
      </w:r>
      <w:r w:rsidR="00263407">
        <w:rPr>
          <w:rFonts w:ascii="Times New Roman" w:hAnsi="Times New Roman"/>
        </w:rPr>
        <w:t xml:space="preserve">provides an </w:t>
      </w:r>
      <w:r w:rsidRPr="00263407" w:rsidR="00263407">
        <w:rPr>
          <w:rFonts w:ascii="Times New Roman" w:hAnsi="Times New Roman"/>
        </w:rPr>
        <w:t>exemption for certain fiduciaries to act as principals (as opposed to agents for third parties) in selling mutual fund shares to plans and IRAs and to receive commissions for doing so</w:t>
      </w:r>
      <w:r w:rsidR="00263407">
        <w:rPr>
          <w:rFonts w:ascii="Times New Roman" w:hAnsi="Times New Roman"/>
        </w:rPr>
        <w:t>.</w:t>
      </w:r>
      <w:r w:rsidR="00313C74">
        <w:rPr>
          <w:rFonts w:ascii="Times New Roman" w:hAnsi="Times New Roman"/>
        </w:rPr>
        <w:t xml:space="preserve"> </w:t>
      </w:r>
      <w:r>
        <w:rPr>
          <w:rFonts w:ascii="Times New Roman" w:hAnsi="Times New Roman"/>
        </w:rPr>
        <w:t xml:space="preserve"> Part III allows a plan to purchase certain securities from underwriting syndicates of which a plan fiduciary is a member.  Part IV allows a plan to purchase from or sell securities to a market maker </w:t>
      </w:r>
      <w:r w:rsidR="00606E78">
        <w:rPr>
          <w:rFonts w:ascii="Times New Roman" w:hAnsi="Times New Roman"/>
        </w:rPr>
        <w:t>that</w:t>
      </w:r>
      <w:r>
        <w:rPr>
          <w:rFonts w:ascii="Times New Roman" w:hAnsi="Times New Roman"/>
        </w:rPr>
        <w:t xml:space="preserve"> is a fiduciary.  Part V allows a broker-dealer to extend credit to a plan in connection with the purchase or sale of securities.  Each of the five parts of the exemption contains its own conditions and limitations.</w:t>
      </w:r>
    </w:p>
    <w:p w:rsidR="00934B2B" w:rsidP="00FB4CA9" w14:paraId="58675E14" w14:textId="77777777">
      <w:pPr>
        <w:ind w:left="720"/>
        <w:rPr>
          <w:rFonts w:ascii="Times New Roman" w:hAnsi="Times New Roman"/>
        </w:rPr>
      </w:pPr>
    </w:p>
    <w:p w:rsidR="00934B2B" w:rsidP="00FB4CA9" w14:paraId="1090FA16" w14:textId="77777777">
      <w:pPr>
        <w:ind w:left="720"/>
        <w:rPr>
          <w:rFonts w:ascii="Times New Roman" w:hAnsi="Times New Roman"/>
        </w:rPr>
      </w:pPr>
      <w:r>
        <w:rPr>
          <w:rFonts w:ascii="Times New Roman" w:hAnsi="Times New Roman"/>
        </w:rPr>
        <w:t xml:space="preserve">In order to ensure that the exemption is not abused, that the rights of participants and beneficiaries are protected, and that parties comply with the exemption’s conditions, the Department requires limited information collection pertaining to the affected transactions.  The information collection requirements that are conditions to reliance on the class exemption consist only of </w:t>
      </w:r>
      <w:r w:rsidR="00717B07">
        <w:rPr>
          <w:rFonts w:ascii="Times New Roman" w:hAnsi="Times New Roman"/>
        </w:rPr>
        <w:t xml:space="preserve">a </w:t>
      </w:r>
      <w:r>
        <w:rPr>
          <w:rFonts w:ascii="Times New Roman" w:hAnsi="Times New Roman"/>
        </w:rPr>
        <w:t>recordkeeping</w:t>
      </w:r>
      <w:r w:rsidR="00717B07">
        <w:rPr>
          <w:rFonts w:ascii="Times New Roman" w:hAnsi="Times New Roman"/>
        </w:rPr>
        <w:t xml:space="preserve"> requirement in Parts II, III, IV, and V of the exemption. </w:t>
      </w:r>
      <w:r w:rsidR="008B54B0">
        <w:rPr>
          <w:rFonts w:ascii="Times New Roman" w:hAnsi="Times New Roman"/>
        </w:rPr>
        <w:t xml:space="preserve"> </w:t>
      </w:r>
      <w:r w:rsidR="00717B07">
        <w:rPr>
          <w:rFonts w:ascii="Times New Roman" w:hAnsi="Times New Roman"/>
        </w:rPr>
        <w:t xml:space="preserve">Specifically, the plan </w:t>
      </w:r>
      <w:r>
        <w:rPr>
          <w:rFonts w:ascii="Times New Roman" w:hAnsi="Times New Roman"/>
        </w:rPr>
        <w:t xml:space="preserve">must </w:t>
      </w:r>
      <w:r w:rsidR="00717B07">
        <w:rPr>
          <w:rFonts w:ascii="Times New Roman" w:hAnsi="Times New Roman"/>
        </w:rPr>
        <w:t xml:space="preserve">maintain or cause to be maintained for a period of six years </w:t>
      </w:r>
      <w:r w:rsidR="00313C74">
        <w:rPr>
          <w:rFonts w:ascii="Times New Roman" w:hAnsi="Times New Roman"/>
        </w:rPr>
        <w:t>from the date of the transaction</w:t>
      </w:r>
      <w:r>
        <w:rPr>
          <w:rFonts w:ascii="Times New Roman" w:hAnsi="Times New Roman"/>
        </w:rPr>
        <w:t xml:space="preserve"> records </w:t>
      </w:r>
      <w:r w:rsidR="00717B07">
        <w:rPr>
          <w:rFonts w:ascii="Times New Roman" w:hAnsi="Times New Roman"/>
        </w:rPr>
        <w:t>necessary to enable the Department of Labor, the Internal Revenue Service, plan participants and beneficiaries, any employer of plan participants and beneficiaries, and any employee organization any of whose members are covered by plan participating in covered transactions</w:t>
      </w:r>
      <w:r w:rsidR="00313C74">
        <w:rPr>
          <w:rFonts w:ascii="Times New Roman" w:hAnsi="Times New Roman"/>
        </w:rPr>
        <w:t xml:space="preserve"> to determine whether the conditions of the exemption have been met and to make such </w:t>
      </w:r>
      <w:r>
        <w:rPr>
          <w:rFonts w:ascii="Times New Roman" w:hAnsi="Times New Roman"/>
        </w:rPr>
        <w:t>records available</w:t>
      </w:r>
      <w:r>
        <w:rPr>
          <w:rFonts w:ascii="Times New Roman" w:hAnsi="Times New Roman"/>
          <w:i/>
        </w:rPr>
        <w:t xml:space="preserve"> </w:t>
      </w:r>
      <w:r>
        <w:rPr>
          <w:rFonts w:ascii="Times New Roman" w:hAnsi="Times New Roman"/>
        </w:rPr>
        <w:t xml:space="preserve">unconditionally </w:t>
      </w:r>
      <w:r w:rsidR="00313C74">
        <w:rPr>
          <w:rFonts w:ascii="Times New Roman" w:hAnsi="Times New Roman"/>
        </w:rPr>
        <w:t xml:space="preserve">for examination </w:t>
      </w:r>
      <w:r>
        <w:rPr>
          <w:rFonts w:ascii="Times New Roman" w:hAnsi="Times New Roman"/>
        </w:rPr>
        <w:t xml:space="preserve">during normal business hours to </w:t>
      </w:r>
      <w:r w:rsidR="00313C74">
        <w:rPr>
          <w:rFonts w:ascii="Times New Roman" w:hAnsi="Times New Roman"/>
        </w:rPr>
        <w:t xml:space="preserve">their </w:t>
      </w:r>
      <w:r>
        <w:rPr>
          <w:rFonts w:ascii="Times New Roman" w:hAnsi="Times New Roman"/>
        </w:rPr>
        <w:t>duly authorized employees</w:t>
      </w:r>
      <w:r w:rsidR="00313C74">
        <w:rPr>
          <w:rFonts w:ascii="Times New Roman" w:hAnsi="Times New Roman"/>
        </w:rPr>
        <w:t>.</w:t>
      </w:r>
    </w:p>
    <w:p w:rsidR="00934B2B" w:rsidP="00FB4CA9" w14:paraId="24D6E926" w14:textId="77777777">
      <w:pPr>
        <w:ind w:left="720"/>
        <w:rPr>
          <w:rFonts w:ascii="Times New Roman" w:hAnsi="Times New Roman"/>
        </w:rPr>
      </w:pPr>
    </w:p>
    <w:p w:rsidR="00313C74" w:rsidP="001207AB" w14:paraId="1A97518B" w14:textId="266A0CEC">
      <w:pPr>
        <w:ind w:firstLine="720"/>
        <w:rPr>
          <w:rFonts w:ascii="Times New Roman" w:hAnsi="Times New Roman"/>
          <w:u w:val="single"/>
        </w:rPr>
      </w:pPr>
      <w:r w:rsidRPr="001207AB">
        <w:rPr>
          <w:rFonts w:ascii="Times New Roman" w:hAnsi="Times New Roman"/>
          <w:u w:val="single"/>
        </w:rPr>
        <w:t>2023 Proposed Amendments</w:t>
      </w:r>
    </w:p>
    <w:p w:rsidR="001207AB" w:rsidP="003E1F0C" w14:paraId="2746E907" w14:textId="77777777">
      <w:pPr>
        <w:rPr>
          <w:rFonts w:ascii="Times New Roman" w:hAnsi="Times New Roman"/>
        </w:rPr>
      </w:pPr>
    </w:p>
    <w:p w:rsidR="00DE0B25" w:rsidRPr="00DE0B25" w:rsidP="00DE0B25" w14:paraId="10550D69" w14:textId="05B8537D">
      <w:pPr>
        <w:ind w:left="720"/>
        <w:rPr>
          <w:rFonts w:ascii="Times New Roman" w:hAnsi="Times New Roman"/>
        </w:rPr>
      </w:pPr>
      <w:r w:rsidRPr="00DE0B25">
        <w:rPr>
          <w:rFonts w:ascii="Times New Roman" w:hAnsi="Times New Roman"/>
        </w:rPr>
        <w:t xml:space="preserve">The Department is proposing to revoke parts of PTE 75-1, which was granted shortly after ERISA’s passage to provide certainty to the securities industry over the nature and </w:t>
      </w:r>
      <w:r w:rsidRPr="00DE0B25">
        <w:rPr>
          <w:rFonts w:ascii="Times New Roman" w:hAnsi="Times New Roman"/>
        </w:rPr>
        <w:t xml:space="preserve">extent to which ordinary and customary transactions between broker-dealers and plans or IRAs would be subject to ERISA’s prohibited transaction rules. </w:t>
      </w:r>
    </w:p>
    <w:p w:rsidR="00077E4F" w:rsidRPr="00077E4F" w:rsidP="00DE0B25" w14:paraId="2FF42DED" w14:textId="77777777">
      <w:pPr>
        <w:rPr>
          <w:rFonts w:ascii="Times New Roman" w:hAnsi="Times New Roman"/>
        </w:rPr>
      </w:pPr>
    </w:p>
    <w:p w:rsidR="00DE0B25" w:rsidP="00430FEC" w14:paraId="59AD9FCB" w14:textId="5AC6EDFA">
      <w:pPr>
        <w:ind w:left="720"/>
        <w:rPr>
          <w:rFonts w:ascii="Times New Roman" w:hAnsi="Times New Roman"/>
        </w:rPr>
      </w:pPr>
      <w:r w:rsidRPr="00DE0B25">
        <w:rPr>
          <w:rFonts w:ascii="Times New Roman" w:hAnsi="Times New Roman"/>
        </w:rPr>
        <w:t xml:space="preserve">PTE 75-1, Part I, Paragraphs (b) and (c) provide exemptive relief for certain non-fiduciary services provided by broker-dealers in securities transactions. </w:t>
      </w:r>
      <w:r w:rsidR="00430FEC">
        <w:rPr>
          <w:rFonts w:ascii="Times New Roman" w:hAnsi="Times New Roman"/>
        </w:rPr>
        <w:t xml:space="preserve"> </w:t>
      </w:r>
      <w:r w:rsidRPr="00DE0B25">
        <w:rPr>
          <w:rFonts w:ascii="Times New Roman" w:hAnsi="Times New Roman"/>
        </w:rPr>
        <w:t>Code section 4975(d)(2), ERISA section 408(b)(2) and regulations thereunder, have clarified the scope of relief for service providers to plans and IRAs.</w:t>
      </w:r>
      <w:r>
        <w:rPr>
          <w:rFonts w:ascii="Times New Roman" w:hAnsi="Times New Roman"/>
          <w:vertAlign w:val="superscript"/>
        </w:rPr>
        <w:footnoteReference w:id="4"/>
      </w:r>
      <w:r w:rsidRPr="00DE0B25">
        <w:rPr>
          <w:rFonts w:ascii="Times New Roman" w:hAnsi="Times New Roman"/>
        </w:rPr>
        <w:t xml:space="preserve"> </w:t>
      </w:r>
      <w:r w:rsidR="00430FEC">
        <w:rPr>
          <w:rFonts w:ascii="Times New Roman" w:hAnsi="Times New Roman"/>
        </w:rPr>
        <w:t xml:space="preserve"> </w:t>
      </w:r>
      <w:r w:rsidRPr="00DE0B25">
        <w:rPr>
          <w:rFonts w:ascii="Times New Roman" w:hAnsi="Times New Roman"/>
        </w:rPr>
        <w:t xml:space="preserve">The Department believes that the relief provided in Parts I(b) and I(c) of PTE 75-1 duplicates the relief available under the statutory exemptions. </w:t>
      </w:r>
      <w:r w:rsidR="00833C39">
        <w:rPr>
          <w:rFonts w:ascii="Times New Roman" w:hAnsi="Times New Roman"/>
        </w:rPr>
        <w:t xml:space="preserve"> </w:t>
      </w:r>
      <w:r w:rsidRPr="00DE0B25">
        <w:rPr>
          <w:rFonts w:ascii="Times New Roman" w:hAnsi="Times New Roman"/>
        </w:rPr>
        <w:t>Therefore, the Department is proposing to revoke paragraphs (b) and (c) of Part I.</w:t>
      </w:r>
    </w:p>
    <w:p w:rsidR="00833C39" w:rsidP="00430FEC" w14:paraId="3079A94D" w14:textId="5A3A9B44">
      <w:pPr>
        <w:ind w:left="720"/>
        <w:rPr>
          <w:rFonts w:ascii="Times New Roman" w:hAnsi="Times New Roman"/>
        </w:rPr>
      </w:pPr>
    </w:p>
    <w:p w:rsidR="00833C39" w:rsidP="00833C39" w14:paraId="04D7A1A5" w14:textId="6D47812D">
      <w:pPr>
        <w:ind w:left="720"/>
        <w:rPr>
          <w:rFonts w:ascii="Times New Roman" w:hAnsi="Times New Roman"/>
        </w:rPr>
      </w:pPr>
      <w:r w:rsidRPr="00833C39">
        <w:rPr>
          <w:rFonts w:ascii="Times New Roman" w:hAnsi="Times New Roman"/>
        </w:rPr>
        <w:t xml:space="preserve">PTE 75-1, Part II(2), contains a special exemption for mutual fund purchases (the mutual fund exemption) between fiduciaries and plans or IRAs subject to minimal safeguards for retirement investors. </w:t>
      </w:r>
      <w:r>
        <w:rPr>
          <w:rFonts w:ascii="Times New Roman" w:hAnsi="Times New Roman"/>
        </w:rPr>
        <w:t xml:space="preserve"> </w:t>
      </w:r>
      <w:r w:rsidRPr="00833C39">
        <w:rPr>
          <w:rFonts w:ascii="Times New Roman" w:hAnsi="Times New Roman"/>
        </w:rPr>
        <w:t>The conditions of the exemption require a fiduciary to customarily purchase and sell securities for its own account in the ordinary course of its business, the transaction to occur on terms at least as favorable to the plan as an arm's length transaction with an unrelated party, and records to be maintained. The Department is proposing to revoke PTE 75-1, Part</w:t>
      </w:r>
      <w:r w:rsidR="00D61019">
        <w:rPr>
          <w:rFonts w:ascii="Times New Roman" w:hAnsi="Times New Roman"/>
        </w:rPr>
        <w:t xml:space="preserve"> II</w:t>
      </w:r>
      <w:r w:rsidRPr="00833C39">
        <w:rPr>
          <w:rFonts w:ascii="Times New Roman" w:hAnsi="Times New Roman"/>
        </w:rPr>
        <w:t>(2), because it has determined that Part II(2) is not protective of retirement investors and has been broadly interpreted beyond what was intended.</w:t>
      </w:r>
      <w:r>
        <w:rPr>
          <w:rFonts w:ascii="Times New Roman" w:hAnsi="Times New Roman"/>
          <w:vertAlign w:val="superscript"/>
        </w:rPr>
        <w:footnoteReference w:id="5"/>
      </w:r>
      <w:r w:rsidRPr="00833C39">
        <w:rPr>
          <w:rFonts w:ascii="Times New Roman" w:hAnsi="Times New Roman"/>
        </w:rPr>
        <w:t xml:space="preserve"> </w:t>
      </w:r>
      <w:r>
        <w:rPr>
          <w:rFonts w:ascii="Times New Roman" w:hAnsi="Times New Roman"/>
        </w:rPr>
        <w:t xml:space="preserve"> </w:t>
      </w:r>
      <w:r w:rsidRPr="003E1F0C">
        <w:rPr>
          <w:rFonts w:ascii="Times New Roman" w:hAnsi="Times New Roman"/>
        </w:rPr>
        <w:t>The transactions that have been covered by PTE 75-1 Part II(2) are largely now covered by newer, more protective exemptions, and fiduciaries providing investment advice on the purchase or sale of a mutual fund security can rely on PTE 2020-02.</w:t>
      </w:r>
      <w:r w:rsidRPr="00833C39">
        <w:rPr>
          <w:rFonts w:ascii="Times New Roman" w:hAnsi="Times New Roman"/>
        </w:rPr>
        <w:t xml:space="preserve"> Moreover, fiduciaries providing investment management on the purchase or sale of mutual fund security can receive non-commission compensation under PTE 77-4. </w:t>
      </w:r>
    </w:p>
    <w:p w:rsidR="00833C39" w:rsidP="00833C39" w14:paraId="62A9E993" w14:textId="77777777">
      <w:pPr>
        <w:ind w:left="720"/>
        <w:rPr>
          <w:rFonts w:ascii="Times New Roman" w:hAnsi="Times New Roman"/>
        </w:rPr>
      </w:pPr>
    </w:p>
    <w:p w:rsidR="00C67DEA" w:rsidP="00C67DEA" w14:paraId="3AFA0226" w14:textId="1E54C94D">
      <w:pPr>
        <w:ind w:left="720"/>
        <w:rPr>
          <w:rFonts w:ascii="Times New Roman" w:hAnsi="Times New Roman"/>
        </w:rPr>
      </w:pPr>
      <w:r w:rsidRPr="00033163">
        <w:rPr>
          <w:rFonts w:ascii="Times New Roman" w:hAnsi="Times New Roman"/>
        </w:rPr>
        <w:t xml:space="preserve">The Department is </w:t>
      </w:r>
      <w:r>
        <w:rPr>
          <w:rFonts w:ascii="Times New Roman" w:hAnsi="Times New Roman"/>
        </w:rPr>
        <w:t xml:space="preserve">also proposing to amend PTE 75-1 </w:t>
      </w:r>
      <w:r w:rsidRPr="00BA79E0">
        <w:rPr>
          <w:rFonts w:ascii="Times New Roman" w:hAnsi="Times New Roman"/>
        </w:rPr>
        <w:t>Parts III &amp; IV</w:t>
      </w:r>
      <w:r w:rsidRPr="00033163">
        <w:rPr>
          <w:rFonts w:ascii="Times New Roman" w:hAnsi="Times New Roman"/>
        </w:rPr>
        <w:t>, which currently provide</w:t>
      </w:r>
      <w:r>
        <w:rPr>
          <w:rFonts w:ascii="Times New Roman" w:hAnsi="Times New Roman"/>
        </w:rPr>
        <w:t>s</w:t>
      </w:r>
      <w:r w:rsidRPr="00033163">
        <w:rPr>
          <w:rFonts w:ascii="Times New Roman" w:hAnsi="Times New Roman"/>
        </w:rPr>
        <w:t xml:space="preserve"> relief for investment advice fiduciaries, by removing fiduciary investment advice from the covered transactions.  Investment advice providers would instead have to rely on the amended PTE 2020-02 for exemptive relief covering investment advice transactions.</w:t>
      </w:r>
    </w:p>
    <w:p w:rsidR="00C67DEA" w:rsidRPr="00077E4F" w:rsidP="00C67DEA" w14:paraId="35BB6212" w14:textId="77777777">
      <w:pPr>
        <w:ind w:left="720"/>
        <w:rPr>
          <w:rFonts w:ascii="Times New Roman" w:hAnsi="Times New Roman"/>
        </w:rPr>
      </w:pPr>
    </w:p>
    <w:p w:rsidR="00C67DEA" w:rsidP="005A2600" w14:paraId="1538D2D7" w14:textId="0E948264">
      <w:pPr>
        <w:ind w:left="720"/>
        <w:rPr>
          <w:rFonts w:ascii="Times New Roman" w:hAnsi="Times New Roman"/>
        </w:rPr>
      </w:pPr>
      <w:r w:rsidRPr="00077E4F">
        <w:rPr>
          <w:rFonts w:ascii="Times New Roman" w:hAnsi="Times New Roman"/>
        </w:rPr>
        <w:t>The amendment to PTE 75-1, Part V w</w:t>
      </w:r>
      <w:r w:rsidR="00CF279C">
        <w:rPr>
          <w:rFonts w:ascii="Times New Roman" w:hAnsi="Times New Roman"/>
        </w:rPr>
        <w:t>ill</w:t>
      </w:r>
      <w:r w:rsidRPr="00077E4F">
        <w:rPr>
          <w:rFonts w:ascii="Times New Roman" w:hAnsi="Times New Roman"/>
        </w:rPr>
        <w:t xml:space="preserve"> allow broker-dealers that are investment advice fiduciaries to receive compensation when they extend credit to plans and IRAs to avoid failed securities transactions entered into by the plan or IRA.  ERISA and the Code generally prohibit fiduciaries from lending money or otherwise extending credit to plans and IRAs, and from receiving compensation in return.  Therefore, in the absence of an </w:t>
      </w:r>
      <w:r w:rsidRPr="00077E4F">
        <w:rPr>
          <w:rFonts w:ascii="Times New Roman" w:hAnsi="Times New Roman"/>
        </w:rPr>
        <w:t>exemption, these transactions would be prohibited under ERISA and the Code.</w:t>
      </w:r>
    </w:p>
    <w:p w:rsidR="00033163" w:rsidP="00833C39" w14:paraId="308124AD" w14:textId="791B13AB">
      <w:pPr>
        <w:ind w:left="720"/>
        <w:rPr>
          <w:rFonts w:ascii="Times New Roman" w:hAnsi="Times New Roman"/>
        </w:rPr>
      </w:pPr>
    </w:p>
    <w:p w:rsidR="00077E4F" w:rsidRPr="00077E4F" w:rsidP="00077E4F" w14:paraId="41B94CCC" w14:textId="286E9D13">
      <w:pPr>
        <w:ind w:left="720"/>
        <w:rPr>
          <w:rFonts w:ascii="Times New Roman" w:hAnsi="Times New Roman"/>
        </w:rPr>
      </w:pPr>
      <w:r w:rsidRPr="00077E4F">
        <w:rPr>
          <w:rFonts w:ascii="Times New Roman" w:hAnsi="Times New Roman"/>
        </w:rPr>
        <w:t>The amendment to PTE 75-1, Part V requires the plan or IRA to receive written disclosure of certain terms prior to the extension of credit.  The disclosure must include the rate of interest or other fees that will be charged on such extension of credit, and the method of determining the balance upon which interest will be charged.  The plan or IRA must additionally be provided with prior written disclosure of any changes to these terms.</w:t>
      </w:r>
    </w:p>
    <w:p w:rsidR="00077E4F" w:rsidRPr="00077E4F" w:rsidP="00077E4F" w14:paraId="7CC3F9EF" w14:textId="78CB5CBA">
      <w:pPr>
        <w:ind w:left="720"/>
        <w:rPr>
          <w:rFonts w:ascii="Times New Roman" w:hAnsi="Times New Roman"/>
        </w:rPr>
      </w:pPr>
    </w:p>
    <w:p w:rsidR="00077E4F" w:rsidP="00077E4F" w14:paraId="05583F23" w14:textId="04376581">
      <w:pPr>
        <w:ind w:left="720"/>
        <w:rPr>
          <w:rFonts w:ascii="Times New Roman" w:hAnsi="Times New Roman"/>
        </w:rPr>
      </w:pPr>
      <w:r w:rsidRPr="00077E4F">
        <w:rPr>
          <w:rFonts w:ascii="Times New Roman" w:hAnsi="Times New Roman"/>
        </w:rPr>
        <w:t>The required disclosures are intended to be consistent with the requirements of Securities and Exchange Act Rule 10b-16, which governs broker-dealers’ disclosure of credit terms in margin transactions.  The Department understands that many broker-dealers currently provide such disclosures to all customers, regardless of whether the customer is presently opening a margin account.  To the extent such disclosure is provided, the disclosure terms of the exemption would be satisfied.</w:t>
      </w:r>
    </w:p>
    <w:p w:rsidR="00F72CF5" w:rsidP="00077E4F" w14:paraId="5C3DA7CE" w14:textId="42BB2D78">
      <w:pPr>
        <w:ind w:left="720"/>
        <w:rPr>
          <w:rFonts w:ascii="Times New Roman" w:hAnsi="Times New Roman"/>
        </w:rPr>
      </w:pPr>
    </w:p>
    <w:p w:rsidR="00F72CF5" w:rsidP="00F72CF5" w14:paraId="12A6A064" w14:textId="02D174D7">
      <w:pPr>
        <w:ind w:left="720"/>
        <w:rPr>
          <w:rFonts w:ascii="Times New Roman" w:hAnsi="Times New Roman"/>
        </w:rPr>
      </w:pPr>
      <w:r w:rsidRPr="00077E4F">
        <w:rPr>
          <w:rFonts w:ascii="Times New Roman" w:hAnsi="Times New Roman"/>
        </w:rPr>
        <w:t>The amendment to PTE 75-1, Part II(1) and the amendment to PTE 75-1, Part V w</w:t>
      </w:r>
      <w:r>
        <w:rPr>
          <w:rFonts w:ascii="Times New Roman" w:hAnsi="Times New Roman"/>
        </w:rPr>
        <w:t>ill</w:t>
      </w:r>
      <w:r w:rsidRPr="00077E4F">
        <w:rPr>
          <w:rFonts w:ascii="Times New Roman" w:hAnsi="Times New Roman"/>
        </w:rPr>
        <w:t xml:space="preserve"> revise the recordkeeping provisions to require the financial institutions engaging in the exempted transactions (rather than the plans) to maintain or cause to be maintained for six years the records necessary for the Department, Internal Revenue Service, plan fiduciary, contributing employer or employee organization whose members are covered by the plan, participants and beneficiaries and IRA owners to determine whether the conditions of the exemption have been met.</w:t>
      </w:r>
      <w:r w:rsidRPr="00201FCF">
        <w:rPr>
          <w:rFonts w:ascii="Times New Roman" w:hAnsi="Times New Roman"/>
        </w:rPr>
        <w:t xml:space="preserve"> </w:t>
      </w:r>
      <w:r>
        <w:rPr>
          <w:rFonts w:ascii="Times New Roman" w:hAnsi="Times New Roman"/>
        </w:rPr>
        <w:t xml:space="preserve"> As amended, p</w:t>
      </w:r>
      <w:r w:rsidRPr="000C2161">
        <w:rPr>
          <w:rFonts w:ascii="Times New Roman" w:hAnsi="Times New Roman"/>
        </w:rPr>
        <w:t>arties relying on the exemption</w:t>
      </w:r>
      <w:r>
        <w:rPr>
          <w:rFonts w:ascii="Times New Roman" w:hAnsi="Times New Roman"/>
        </w:rPr>
        <w:t>s</w:t>
      </w:r>
      <w:r w:rsidRPr="000C2161">
        <w:rPr>
          <w:rFonts w:ascii="Times New Roman" w:hAnsi="Times New Roman"/>
        </w:rPr>
        <w:t xml:space="preserve"> do not have to disclose trade secrets or other confidential information to members of the public (</w:t>
      </w:r>
      <w:r w:rsidRPr="000C2161">
        <w:rPr>
          <w:rFonts w:ascii="Times New Roman" w:hAnsi="Times New Roman"/>
          <w:i/>
        </w:rPr>
        <w:t>i.e</w:t>
      </w:r>
      <w:r w:rsidRPr="000C2161">
        <w:rPr>
          <w:rFonts w:ascii="Times New Roman" w:hAnsi="Times New Roman"/>
        </w:rPr>
        <w:t>., plan fiduciaries, contributing employers or employee organizations whose members are covered by the plan, participants and beneficiaries and IRA owners), but that in the event a party refuses to disclose information on this basis, it must provide a written notice to the requester advising of the reasons for the refusal and advising that the Department may request such information</w:t>
      </w:r>
      <w:r w:rsidR="00364C64">
        <w:rPr>
          <w:rFonts w:ascii="Times New Roman" w:hAnsi="Times New Roman"/>
        </w:rPr>
        <w:t>.</w:t>
      </w:r>
    </w:p>
    <w:p w:rsidR="00B96047" w:rsidP="001F5AA7" w14:paraId="323AA8F9" w14:textId="77777777">
      <w:pPr>
        <w:rPr>
          <w:rFonts w:ascii="Times New Roman" w:hAnsi="Times New Roman"/>
        </w:rPr>
      </w:pPr>
    </w:p>
    <w:p w:rsidR="00853C8B" w:rsidRPr="000943EF" w:rsidP="00FB4CA9" w14:paraId="0F7135BF" w14:textId="77777777">
      <w:pPr>
        <w:tabs>
          <w:tab w:val="left" w:pos="-1440"/>
        </w:tabs>
        <w:ind w:left="720" w:hanging="720"/>
        <w:rPr>
          <w:rFonts w:ascii="Times New Roman" w:hAnsi="Times New Roman"/>
          <w:b/>
        </w:rPr>
      </w:pPr>
      <w:r w:rsidRPr="000943EF">
        <w:rPr>
          <w:rFonts w:ascii="Times New Roman" w:hAnsi="Times New Roman"/>
          <w:b/>
        </w:rPr>
        <w:t>2.</w:t>
      </w:r>
      <w:r w:rsidRPr="000943EF">
        <w:rPr>
          <w:rFonts w:ascii="Times New Roman" w:hAnsi="Times New Roman"/>
          <w:b/>
        </w:rPr>
        <w:tab/>
      </w:r>
      <w:r w:rsidRPr="000943EF">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00853C8B" w:rsidP="00FB4CA9" w14:paraId="05279956" w14:textId="77777777">
      <w:pPr>
        <w:ind w:left="720"/>
        <w:rPr>
          <w:rFonts w:ascii="Times New Roman" w:hAnsi="Times New Roman"/>
        </w:rPr>
      </w:pPr>
    </w:p>
    <w:p w:rsidR="00105857" w:rsidP="00FB4CA9" w14:paraId="5B322D84" w14:textId="77777777">
      <w:pPr>
        <w:ind w:left="720"/>
        <w:rPr>
          <w:rFonts w:ascii="Times New Roman" w:hAnsi="Times New Roman"/>
        </w:rPr>
      </w:pPr>
      <w:r>
        <w:rPr>
          <w:rFonts w:ascii="Times New Roman" w:hAnsi="Times New Roman"/>
        </w:rPr>
        <w:t xml:space="preserve">The recordkeeping would </w:t>
      </w:r>
      <w:r w:rsidR="00FD2194">
        <w:rPr>
          <w:rFonts w:ascii="Times New Roman" w:hAnsi="Times New Roman"/>
        </w:rPr>
        <w:t xml:space="preserve">be used by </w:t>
      </w:r>
      <w:r>
        <w:rPr>
          <w:rFonts w:ascii="Times New Roman" w:hAnsi="Times New Roman"/>
        </w:rPr>
        <w:t>(1)</w:t>
      </w:r>
      <w:r w:rsidR="00FD2194">
        <w:rPr>
          <w:rFonts w:ascii="Times New Roman" w:hAnsi="Times New Roman"/>
        </w:rPr>
        <w:t xml:space="preserve"> the Department</w:t>
      </w:r>
      <w:r w:rsidRPr="00496544">
        <w:rPr>
          <w:rFonts w:ascii="Times New Roman" w:hAnsi="Times New Roman"/>
        </w:rPr>
        <w:t>, (2) the Internal Revenue Service, (3) plan participants and beneficiaries and IRA owners, (4) any employer of plan participants and beneficiaries, and (5) any employee organization any of whose members are covered by such plan to determine whether the conditions of this exemption have been met</w:t>
      </w:r>
      <w:r>
        <w:rPr>
          <w:rFonts w:ascii="Times New Roman" w:hAnsi="Times New Roman"/>
        </w:rPr>
        <w:t xml:space="preserve">. </w:t>
      </w:r>
      <w:r w:rsidR="000858EF">
        <w:rPr>
          <w:rFonts w:ascii="Times New Roman" w:hAnsi="Times New Roman"/>
        </w:rPr>
        <w:t xml:space="preserve"> </w:t>
      </w:r>
    </w:p>
    <w:p w:rsidR="00496544" w:rsidP="00FB4CA9" w14:paraId="2F09006A" w14:textId="77777777">
      <w:pPr>
        <w:ind w:left="720"/>
        <w:rPr>
          <w:rFonts w:ascii="Times New Roman" w:hAnsi="Times New Roman"/>
        </w:rPr>
      </w:pPr>
    </w:p>
    <w:p w:rsidR="00882635" w:rsidRPr="0069643E" w:rsidP="00882635" w14:paraId="0761A5B9" w14:textId="77777777">
      <w:pPr>
        <w:ind w:left="720"/>
        <w:rPr>
          <w:rFonts w:ascii="Times New Roman" w:hAnsi="Times New Roman"/>
        </w:rPr>
      </w:pPr>
      <w:r>
        <w:rPr>
          <w:rFonts w:ascii="Times New Roman" w:hAnsi="Times New Roman"/>
        </w:rPr>
        <w:t xml:space="preserve">The class exemption allows broker-dealers, reporting dealers and banks </w:t>
      </w:r>
      <w:r w:rsidR="00AA282C">
        <w:rPr>
          <w:rFonts w:ascii="Times New Roman" w:hAnsi="Times New Roman"/>
        </w:rPr>
        <w:t xml:space="preserve">and others </w:t>
      </w:r>
      <w:r>
        <w:rPr>
          <w:rFonts w:ascii="Times New Roman" w:hAnsi="Times New Roman"/>
        </w:rPr>
        <w:t xml:space="preserve">to </w:t>
      </w:r>
      <w:r>
        <w:rPr>
          <w:rFonts w:ascii="Times New Roman" w:hAnsi="Times New Roman"/>
        </w:rPr>
        <w:t xml:space="preserve">engage in securities </w:t>
      </w:r>
      <w:r w:rsidR="00D270D5">
        <w:rPr>
          <w:rFonts w:ascii="Times New Roman" w:hAnsi="Times New Roman"/>
        </w:rPr>
        <w:t xml:space="preserve">and other </w:t>
      </w:r>
      <w:r>
        <w:rPr>
          <w:rFonts w:ascii="Times New Roman" w:hAnsi="Times New Roman"/>
        </w:rPr>
        <w:t xml:space="preserve">transactions with employee benefit plans.  These transactions would otherwise be prohibited under ERISA’s prohibited transaction provisions.  </w:t>
      </w:r>
      <w:r>
        <w:rPr>
          <w:rFonts w:ascii="Times New Roman" w:hAnsi="Times New Roman"/>
        </w:rPr>
        <w:t xml:space="preserve">The </w:t>
      </w:r>
      <w:r w:rsidRPr="0078280B">
        <w:rPr>
          <w:rFonts w:ascii="Times New Roman" w:hAnsi="Times New Roman"/>
        </w:rPr>
        <w:t xml:space="preserve">recordkeeping requirement is </w:t>
      </w:r>
      <w:r>
        <w:rPr>
          <w:rFonts w:ascii="Times New Roman" w:hAnsi="Times New Roman"/>
        </w:rPr>
        <w:t xml:space="preserve">intended to be protective of </w:t>
      </w:r>
      <w:r w:rsidRPr="0078280B">
        <w:rPr>
          <w:rFonts w:ascii="Times New Roman" w:hAnsi="Times New Roman"/>
        </w:rPr>
        <w:t>rights of plan participants and beneficiaries and IRA owners</w:t>
      </w:r>
      <w:r>
        <w:rPr>
          <w:rFonts w:ascii="Times New Roman" w:hAnsi="Times New Roman"/>
        </w:rPr>
        <w:t xml:space="preserve"> by ensuring they and the Department can confirm that the conditions of the exemption has been satisfied.</w:t>
      </w:r>
    </w:p>
    <w:p w:rsidR="00853C8B" w:rsidP="00FB4CA9" w14:paraId="481F5B0F" w14:textId="77777777">
      <w:pPr>
        <w:ind w:left="720"/>
        <w:rPr>
          <w:rFonts w:ascii="Times New Roman" w:hAnsi="Times New Roman"/>
        </w:rPr>
      </w:pPr>
    </w:p>
    <w:p w:rsidR="00B65B70" w:rsidP="00FB4CA9" w14:paraId="75F538C5" w14:textId="77777777">
      <w:pPr>
        <w:ind w:left="720"/>
        <w:rPr>
          <w:rFonts w:ascii="Times New Roman" w:hAnsi="Times New Roman"/>
        </w:rPr>
      </w:pPr>
      <w:r>
        <w:rPr>
          <w:rFonts w:ascii="Times New Roman" w:hAnsi="Times New Roman"/>
        </w:rPr>
        <w:t xml:space="preserve">The Department </w:t>
      </w:r>
      <w:r w:rsidR="00853C8B">
        <w:rPr>
          <w:rFonts w:ascii="Times New Roman" w:hAnsi="Times New Roman"/>
        </w:rPr>
        <w:t xml:space="preserve">is unable to estimate how frequently records supporting the exempt transactions are examined by either </w:t>
      </w:r>
      <w:r>
        <w:rPr>
          <w:rFonts w:ascii="Times New Roman" w:hAnsi="Times New Roman"/>
        </w:rPr>
        <w:t xml:space="preserve">the Department </w:t>
      </w:r>
      <w:r w:rsidR="00853C8B">
        <w:rPr>
          <w:rFonts w:ascii="Times New Roman" w:hAnsi="Times New Roman"/>
        </w:rPr>
        <w:t xml:space="preserve">or </w:t>
      </w:r>
      <w:r w:rsidR="00843A73">
        <w:rPr>
          <w:rFonts w:ascii="Times New Roman" w:hAnsi="Times New Roman"/>
        </w:rPr>
        <w:t>other parties</w:t>
      </w:r>
      <w:r w:rsidR="003472F1">
        <w:rPr>
          <w:rFonts w:ascii="Times New Roman" w:hAnsi="Times New Roman"/>
        </w:rPr>
        <w:t>.  T</w:t>
      </w:r>
      <w:r>
        <w:rPr>
          <w:rFonts w:ascii="Times New Roman" w:hAnsi="Times New Roman"/>
        </w:rPr>
        <w:t xml:space="preserve">he Department </w:t>
      </w:r>
      <w:r w:rsidR="003472F1">
        <w:rPr>
          <w:rFonts w:ascii="Times New Roman" w:hAnsi="Times New Roman"/>
        </w:rPr>
        <w:t xml:space="preserve">has the authority to </w:t>
      </w:r>
      <w:r w:rsidR="00853C8B">
        <w:rPr>
          <w:rFonts w:ascii="Times New Roman" w:hAnsi="Times New Roman"/>
        </w:rPr>
        <w:t xml:space="preserve">request such records </w:t>
      </w:r>
      <w:r w:rsidR="003472F1">
        <w:rPr>
          <w:rFonts w:ascii="Times New Roman" w:hAnsi="Times New Roman"/>
        </w:rPr>
        <w:t xml:space="preserve">and does so </w:t>
      </w:r>
      <w:r w:rsidR="00853C8B">
        <w:rPr>
          <w:rFonts w:ascii="Times New Roman" w:hAnsi="Times New Roman"/>
        </w:rPr>
        <w:t>from time to time</w:t>
      </w:r>
      <w:r w:rsidR="003472F1">
        <w:rPr>
          <w:rFonts w:ascii="Times New Roman" w:hAnsi="Times New Roman"/>
        </w:rPr>
        <w:t xml:space="preserve"> in connection with investigations.</w:t>
      </w:r>
    </w:p>
    <w:p w:rsidR="005944C4" w:rsidP="00FB4CA9" w14:paraId="5B8FD41A" w14:textId="3C487B9E">
      <w:pPr>
        <w:ind w:left="720"/>
        <w:rPr>
          <w:rFonts w:ascii="Times New Roman" w:hAnsi="Times New Roman"/>
        </w:rPr>
      </w:pPr>
    </w:p>
    <w:p w:rsidR="007523C1" w:rsidP="00FB4CA9" w14:paraId="2E098166" w14:textId="67E63E71">
      <w:pPr>
        <w:ind w:left="720"/>
        <w:rPr>
          <w:rFonts w:ascii="Times New Roman" w:hAnsi="Times New Roman"/>
          <w:u w:val="single"/>
        </w:rPr>
      </w:pPr>
      <w:r w:rsidRPr="001207AB">
        <w:rPr>
          <w:rFonts w:ascii="Times New Roman" w:hAnsi="Times New Roman"/>
          <w:u w:val="single"/>
        </w:rPr>
        <w:t>2023 Proposed Amendments</w:t>
      </w:r>
    </w:p>
    <w:p w:rsidR="001207AB" w:rsidP="00FB4CA9" w14:paraId="31CD69DD" w14:textId="77777777">
      <w:pPr>
        <w:ind w:left="720"/>
        <w:rPr>
          <w:rFonts w:ascii="Times New Roman" w:hAnsi="Times New Roman"/>
        </w:rPr>
      </w:pPr>
    </w:p>
    <w:p w:rsidR="00193721" w:rsidP="00FB4CA9" w14:paraId="273BDF1B" w14:textId="77777777">
      <w:pPr>
        <w:ind w:left="720"/>
        <w:rPr>
          <w:rFonts w:ascii="Times New Roman" w:hAnsi="Times New Roman"/>
        </w:rPr>
      </w:pPr>
      <w:r w:rsidRPr="00077E4F">
        <w:rPr>
          <w:rFonts w:ascii="Times New Roman" w:hAnsi="Times New Roman"/>
        </w:rPr>
        <w:t>The amendment to PTE 75-1, Part V requires the plan or IRA to receive written disclosure of certain terms prior to the extension of credit.  The disclosure must include the rate of interest or other fees that will be charged on such extension of credit, and the method of determining the balance upon which interest will be charged.  The plan or IRA must additionally be provided with prior written disclosure of any changes to these terms.</w:t>
      </w:r>
    </w:p>
    <w:p w:rsidR="00972D6B" w:rsidP="00FB4CA9" w14:paraId="05AEB957" w14:textId="336815D7">
      <w:pPr>
        <w:ind w:left="720"/>
        <w:rPr>
          <w:rFonts w:ascii="Times New Roman" w:hAnsi="Times New Roman"/>
        </w:rPr>
      </w:pPr>
    </w:p>
    <w:p w:rsidR="00853C8B" w:rsidRPr="000943EF" w:rsidP="00FB4CA9" w14:paraId="1B08E831" w14:textId="77777777">
      <w:pPr>
        <w:tabs>
          <w:tab w:val="left" w:pos="-1440"/>
        </w:tabs>
        <w:ind w:left="720" w:hanging="720"/>
        <w:rPr>
          <w:rFonts w:ascii="Times New Roman" w:hAnsi="Times New Roman"/>
          <w:b/>
          <w:iCs/>
        </w:rPr>
      </w:pPr>
      <w:r w:rsidRPr="000943EF">
        <w:rPr>
          <w:rFonts w:ascii="Times New Roman" w:hAnsi="Times New Roman"/>
          <w:b/>
        </w:rPr>
        <w:t>3.</w:t>
      </w:r>
      <w:r w:rsidRPr="000943EF">
        <w:rPr>
          <w:rFonts w:ascii="Times New Roman" w:hAnsi="Times New Roman"/>
          <w:b/>
        </w:rPr>
        <w:tab/>
      </w:r>
      <w:r w:rsidRPr="000943EF">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53C8B" w:rsidP="00FB4CA9" w14:paraId="3FC0725F" w14:textId="77777777">
      <w:pPr>
        <w:ind w:left="720"/>
        <w:rPr>
          <w:rFonts w:ascii="Times New Roman" w:hAnsi="Times New Roman"/>
        </w:rPr>
      </w:pPr>
    </w:p>
    <w:p w:rsidR="00882635" w:rsidP="00882635" w14:paraId="54F086CB" w14:textId="77777777">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882635" w:rsidP="00882635" w14:paraId="2A70033F" w14:textId="77777777">
      <w:pPr>
        <w:ind w:left="720"/>
        <w:rPr>
          <w:rFonts w:ascii="Times New Roman" w:hAnsi="Times New Roman"/>
        </w:rPr>
      </w:pPr>
    </w:p>
    <w:p w:rsidR="00882635" w:rsidRPr="00FB4276" w:rsidP="00882635" w14:paraId="26395823" w14:textId="77777777">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rsidR="00853C8B" w:rsidP="00FB4CA9" w14:paraId="00F6FECD" w14:textId="77777777">
      <w:pPr>
        <w:ind w:left="720"/>
        <w:rPr>
          <w:rFonts w:ascii="Times New Roman" w:hAnsi="Times New Roman"/>
        </w:rPr>
      </w:pPr>
    </w:p>
    <w:p w:rsidR="00853C8B" w:rsidRPr="000943EF" w:rsidP="00A53EDD" w14:paraId="1E99A7E9" w14:textId="77777777">
      <w:pPr>
        <w:tabs>
          <w:tab w:val="left" w:pos="-1440"/>
        </w:tabs>
        <w:ind w:left="720" w:hanging="720"/>
        <w:rPr>
          <w:rFonts w:ascii="Times New Roman" w:hAnsi="Times New Roman"/>
          <w:b/>
        </w:rPr>
      </w:pPr>
      <w:r w:rsidRPr="000943EF">
        <w:rPr>
          <w:rFonts w:ascii="Times New Roman" w:hAnsi="Times New Roman"/>
          <w:b/>
        </w:rPr>
        <w:t>4.</w:t>
      </w:r>
      <w:r w:rsidRPr="000943EF">
        <w:rPr>
          <w:rFonts w:ascii="Times New Roman" w:hAnsi="Times New Roman"/>
          <w:b/>
        </w:rPr>
        <w:tab/>
      </w:r>
      <w:r w:rsidRPr="000943EF">
        <w:rPr>
          <w:rFonts w:ascii="Times New Roman" w:hAnsi="Times New Roman"/>
          <w:b/>
          <w:iCs/>
        </w:rPr>
        <w:t xml:space="preserve">Describe efforts to identify duplication.  Show specifically why any similar information already available cannot be used or modified for use for the purposes described in Item 2 above.  </w:t>
      </w:r>
    </w:p>
    <w:p w:rsidR="00853C8B" w:rsidP="00A53EDD" w14:paraId="07CB5A49" w14:textId="77777777">
      <w:pPr>
        <w:ind w:left="720"/>
        <w:rPr>
          <w:rFonts w:ascii="Times New Roman" w:hAnsi="Times New Roman"/>
        </w:rPr>
      </w:pPr>
    </w:p>
    <w:p w:rsidR="00853C8B" w:rsidP="00A53EDD" w14:paraId="1F5349D2" w14:textId="407BF428">
      <w:pPr>
        <w:ind w:left="720"/>
        <w:rPr>
          <w:rFonts w:ascii="Times New Roman" w:hAnsi="Times New Roman"/>
        </w:rPr>
      </w:pPr>
      <w:r>
        <w:rPr>
          <w:rFonts w:ascii="Times New Roman" w:hAnsi="Times New Roman"/>
        </w:rPr>
        <w:t xml:space="preserve">It is likely that duplication of recordkeeping requirements exist with some </w:t>
      </w:r>
      <w:r w:rsidR="00882635">
        <w:rPr>
          <w:rFonts w:ascii="Times New Roman" w:hAnsi="Times New Roman"/>
        </w:rPr>
        <w:t>s</w:t>
      </w:r>
      <w:r>
        <w:rPr>
          <w:rFonts w:ascii="Times New Roman" w:hAnsi="Times New Roman"/>
        </w:rPr>
        <w:t xml:space="preserve">tate and federal banking and securities laws.  However, </w:t>
      </w:r>
      <w:r w:rsidR="00DC2F80">
        <w:rPr>
          <w:rFonts w:ascii="Times New Roman" w:hAnsi="Times New Roman"/>
        </w:rPr>
        <w:t xml:space="preserve">no </w:t>
      </w:r>
      <w:r>
        <w:rPr>
          <w:rFonts w:ascii="Times New Roman" w:hAnsi="Times New Roman"/>
        </w:rPr>
        <w:t xml:space="preserve">duplicate recordkeeping </w:t>
      </w:r>
      <w:r w:rsidR="00DC2F80">
        <w:rPr>
          <w:rFonts w:ascii="Times New Roman" w:hAnsi="Times New Roman"/>
        </w:rPr>
        <w:t>is</w:t>
      </w:r>
      <w:r>
        <w:rPr>
          <w:rFonts w:ascii="Times New Roman" w:hAnsi="Times New Roman"/>
        </w:rPr>
        <w:t xml:space="preserve"> required </w:t>
      </w:r>
      <w:r>
        <w:rPr>
          <w:rFonts w:ascii="Times New Roman" w:hAnsi="Times New Roman"/>
        </w:rPr>
        <w:t xml:space="preserve">because </w:t>
      </w:r>
      <w:r w:rsidR="00DC2F80">
        <w:rPr>
          <w:rFonts w:ascii="Times New Roman" w:hAnsi="Times New Roman"/>
        </w:rPr>
        <w:t xml:space="preserve">entities are able to satisfy </w:t>
      </w:r>
      <w:r>
        <w:rPr>
          <w:rFonts w:ascii="Times New Roman" w:hAnsi="Times New Roman"/>
        </w:rPr>
        <w:t>the requirements of both the exemption and of the other applicable laws</w:t>
      </w:r>
      <w:r w:rsidR="00DC2F80">
        <w:rPr>
          <w:rFonts w:ascii="Times New Roman" w:hAnsi="Times New Roman"/>
        </w:rPr>
        <w:t xml:space="preserve"> through one recordkeeping arrangement</w:t>
      </w:r>
      <w:r>
        <w:rPr>
          <w:rFonts w:ascii="Times New Roman" w:hAnsi="Times New Roman"/>
        </w:rPr>
        <w:t>.</w:t>
      </w:r>
    </w:p>
    <w:p w:rsidR="00154A8F" w:rsidP="00A53EDD" w14:paraId="6E528655" w14:textId="77777777">
      <w:pPr>
        <w:ind w:left="720"/>
        <w:rPr>
          <w:rFonts w:ascii="Times New Roman" w:hAnsi="Times New Roman"/>
        </w:rPr>
      </w:pPr>
    </w:p>
    <w:p w:rsidR="00853C8B" w:rsidP="001207AB" w14:paraId="0B3938AC" w14:textId="7CDE9E2B">
      <w:pPr>
        <w:ind w:firstLine="720"/>
        <w:rPr>
          <w:rFonts w:ascii="Times New Roman" w:hAnsi="Times New Roman"/>
          <w:u w:val="single"/>
        </w:rPr>
      </w:pPr>
      <w:r w:rsidRPr="001207AB">
        <w:rPr>
          <w:rFonts w:ascii="Times New Roman" w:hAnsi="Times New Roman"/>
          <w:u w:val="single"/>
        </w:rPr>
        <w:t>2023 Proposed Amendments</w:t>
      </w:r>
    </w:p>
    <w:p w:rsidR="001207AB" w:rsidRPr="00A90234" w:rsidP="001207AB" w14:paraId="45DDB584" w14:textId="77777777">
      <w:pPr>
        <w:ind w:firstLine="720"/>
        <w:rPr>
          <w:rFonts w:ascii="Times New Roman" w:hAnsi="Times New Roman"/>
        </w:rPr>
      </w:pPr>
    </w:p>
    <w:p w:rsidR="00CA2983" w:rsidP="00867CAD" w14:paraId="053592BB" w14:textId="253C1262">
      <w:pPr>
        <w:ind w:left="720"/>
        <w:rPr>
          <w:rFonts w:ascii="Times New Roman" w:hAnsi="Times New Roman"/>
        </w:rPr>
      </w:pPr>
      <w:r w:rsidRPr="00CA2983">
        <w:rPr>
          <w:rFonts w:ascii="Times New Roman" w:hAnsi="Times New Roman"/>
        </w:rPr>
        <w:t>The Department believes that the additional disclosure requirement in PTE 75-1, Part V is consistent with the disclosure requirement mandated by the Securities and Exchange Commission (SEC) in 17 CFR 240.10b-16(1) for margin transactions.  Therefore, the same disclosure can be used to fulfil</w:t>
      </w:r>
      <w:r>
        <w:rPr>
          <w:rFonts w:ascii="Times New Roman" w:hAnsi="Times New Roman"/>
        </w:rPr>
        <w:t>l</w:t>
      </w:r>
      <w:r w:rsidRPr="00CA2983">
        <w:rPr>
          <w:rFonts w:ascii="Times New Roman" w:hAnsi="Times New Roman"/>
        </w:rPr>
        <w:t xml:space="preserve"> both requirements.</w:t>
      </w:r>
    </w:p>
    <w:p w:rsidR="00536A2B" w:rsidP="00867CAD" w14:paraId="328A09B4" w14:textId="77777777">
      <w:pPr>
        <w:ind w:left="720"/>
        <w:rPr>
          <w:rFonts w:ascii="Times New Roman" w:hAnsi="Times New Roman"/>
        </w:rPr>
      </w:pPr>
    </w:p>
    <w:p w:rsidR="00853C8B" w:rsidRPr="000943EF" w:rsidP="00A53EDD" w14:paraId="734ACD26" w14:textId="77777777">
      <w:pPr>
        <w:tabs>
          <w:tab w:val="left" w:pos="-1440"/>
        </w:tabs>
        <w:ind w:left="720" w:hanging="720"/>
        <w:rPr>
          <w:rFonts w:ascii="Times New Roman" w:hAnsi="Times New Roman"/>
          <w:b/>
          <w:iCs/>
        </w:rPr>
      </w:pPr>
      <w:r w:rsidRPr="000943EF">
        <w:rPr>
          <w:rFonts w:ascii="Times New Roman" w:hAnsi="Times New Roman"/>
          <w:b/>
        </w:rPr>
        <w:t>5.</w:t>
      </w:r>
      <w:r w:rsidRPr="000943EF">
        <w:rPr>
          <w:rFonts w:ascii="Times New Roman" w:hAnsi="Times New Roman"/>
          <w:b/>
        </w:rPr>
        <w:tab/>
      </w:r>
      <w:r w:rsidRPr="000943EF">
        <w:rPr>
          <w:rFonts w:ascii="Times New Roman" w:hAnsi="Times New Roman"/>
          <w:b/>
          <w:iCs/>
        </w:rPr>
        <w:t>If the collection of information impacts small businesses or other small entities, describe any methods used to minimize burden.</w:t>
      </w:r>
    </w:p>
    <w:p w:rsidR="00853C8B" w:rsidP="00A53EDD" w14:paraId="17AD1402" w14:textId="77777777">
      <w:pPr>
        <w:ind w:left="720"/>
        <w:rPr>
          <w:rFonts w:ascii="Times New Roman" w:hAnsi="Times New Roman"/>
        </w:rPr>
      </w:pPr>
    </w:p>
    <w:p w:rsidR="00853C8B" w:rsidP="00A53EDD" w14:paraId="65E54519" w14:textId="77777777">
      <w:pPr>
        <w:ind w:left="720"/>
        <w:rPr>
          <w:rFonts w:ascii="Times New Roman" w:hAnsi="Times New Roman"/>
        </w:rPr>
      </w:pPr>
      <w:r>
        <w:rPr>
          <w:rFonts w:ascii="Times New Roman" w:hAnsi="Times New Roman"/>
        </w:rPr>
        <w:t>L</w:t>
      </w:r>
      <w:r>
        <w:rPr>
          <w:rFonts w:ascii="Times New Roman" w:hAnsi="Times New Roman"/>
        </w:rPr>
        <w:t xml:space="preserve">arge institutional financial service providers </w:t>
      </w:r>
      <w:r>
        <w:rPr>
          <w:rFonts w:ascii="Times New Roman" w:hAnsi="Times New Roman"/>
        </w:rPr>
        <w:t xml:space="preserve">are </w:t>
      </w:r>
      <w:r>
        <w:rPr>
          <w:rFonts w:ascii="Times New Roman" w:hAnsi="Times New Roman"/>
        </w:rPr>
        <w:t xml:space="preserve">most likely to engage in the covered transactions.  However, even if small </w:t>
      </w:r>
      <w:r w:rsidR="0035337B">
        <w:rPr>
          <w:rFonts w:ascii="Times New Roman" w:hAnsi="Times New Roman"/>
        </w:rPr>
        <w:t>entities</w:t>
      </w:r>
      <w:r>
        <w:rPr>
          <w:rFonts w:ascii="Times New Roman" w:hAnsi="Times New Roman"/>
        </w:rPr>
        <w:t xml:space="preserve"> are involved in these transactions, the burden is </w:t>
      </w:r>
      <w:r w:rsidR="0035337B">
        <w:rPr>
          <w:rFonts w:ascii="Times New Roman" w:hAnsi="Times New Roman"/>
        </w:rPr>
        <w:t>believed</w:t>
      </w:r>
      <w:r>
        <w:rPr>
          <w:rFonts w:ascii="Times New Roman" w:hAnsi="Times New Roman"/>
        </w:rPr>
        <w:t xml:space="preserve"> to be minimal because </w:t>
      </w:r>
      <w:r w:rsidR="00DC2F80">
        <w:rPr>
          <w:rFonts w:ascii="Times New Roman" w:hAnsi="Times New Roman"/>
        </w:rPr>
        <w:t xml:space="preserve">most entities maintain the subject records a part of their ordinary and customary business practices or for other reasons, including other </w:t>
      </w:r>
      <w:r>
        <w:rPr>
          <w:rFonts w:ascii="Times New Roman" w:hAnsi="Times New Roman"/>
        </w:rPr>
        <w:t xml:space="preserve">state and </w:t>
      </w:r>
      <w:r w:rsidR="00DC2F80">
        <w:rPr>
          <w:rFonts w:ascii="Times New Roman" w:hAnsi="Times New Roman"/>
        </w:rPr>
        <w:t>F</w:t>
      </w:r>
      <w:r>
        <w:rPr>
          <w:rFonts w:ascii="Times New Roman" w:hAnsi="Times New Roman"/>
        </w:rPr>
        <w:t>ederal securities regulatory requirements</w:t>
      </w:r>
      <w:r w:rsidR="00DC2F80">
        <w:rPr>
          <w:rFonts w:ascii="Times New Roman" w:hAnsi="Times New Roman"/>
        </w:rPr>
        <w:t>.</w:t>
      </w:r>
    </w:p>
    <w:p w:rsidR="00FD2194" w:rsidP="00A53EDD" w14:paraId="2798CF03" w14:textId="77777777">
      <w:pPr>
        <w:ind w:left="720"/>
        <w:rPr>
          <w:rFonts w:ascii="Times New Roman" w:hAnsi="Times New Roman"/>
        </w:rPr>
      </w:pPr>
    </w:p>
    <w:p w:rsidR="00A90234" w:rsidP="00BD25E8" w14:paraId="3F5FF30D" w14:textId="4A1D1FE3">
      <w:pPr>
        <w:ind w:left="720"/>
        <w:rPr>
          <w:rFonts w:ascii="Times New Roman" w:hAnsi="Times New Roman"/>
          <w:u w:val="single"/>
        </w:rPr>
      </w:pPr>
      <w:r w:rsidRPr="001207AB">
        <w:rPr>
          <w:rFonts w:ascii="Times New Roman" w:hAnsi="Times New Roman"/>
          <w:u w:val="single"/>
        </w:rPr>
        <w:t>2023 Proposed Amendments</w:t>
      </w:r>
    </w:p>
    <w:p w:rsidR="001207AB" w:rsidP="00BD25E8" w14:paraId="28532020" w14:textId="77777777">
      <w:pPr>
        <w:ind w:left="720"/>
        <w:rPr>
          <w:rFonts w:ascii="Times New Roman" w:hAnsi="Times New Roman"/>
        </w:rPr>
      </w:pPr>
    </w:p>
    <w:p w:rsidR="00A90234" w:rsidP="00BD25E8" w14:paraId="5EFC0194" w14:textId="58370315">
      <w:pPr>
        <w:ind w:left="720"/>
        <w:rPr>
          <w:rFonts w:ascii="Times New Roman" w:hAnsi="Times New Roman"/>
        </w:rPr>
      </w:pPr>
      <w:r>
        <w:rPr>
          <w:rFonts w:ascii="Times New Roman" w:hAnsi="Times New Roman"/>
        </w:rPr>
        <w:t>A</w:t>
      </w:r>
      <w:r w:rsidRPr="00A90234">
        <w:rPr>
          <w:rFonts w:ascii="Times New Roman" w:hAnsi="Times New Roman"/>
        </w:rPr>
        <w:t>s mentioned in Item 4 above, the Department believes that (i) the recordkeeping requirement is consistent with other applicable laws as well as ordinary and customary business practices, and (ii) the disclosure requirement is consistent with the disclosure requirement mandated by the Securities and Exchange Commission (SEC) in 17 CFR 240.10b-16(1) for margin transactions.  Therefore, the same recordkeeping arrangement and disclosure arrangement can be used to fulfill both requirements, and the impact on small entities would be mi</w:t>
      </w:r>
      <w:r w:rsidR="00D54138">
        <w:rPr>
          <w:rFonts w:ascii="Times New Roman" w:hAnsi="Times New Roman"/>
        </w:rPr>
        <w:t>n</w:t>
      </w:r>
      <w:r w:rsidRPr="00A90234">
        <w:rPr>
          <w:rFonts w:ascii="Times New Roman" w:hAnsi="Times New Roman"/>
        </w:rPr>
        <w:t>imal.</w:t>
      </w:r>
    </w:p>
    <w:p w:rsidR="00853C8B" w:rsidP="000A6413" w14:paraId="04D56C07" w14:textId="77777777">
      <w:pPr>
        <w:rPr>
          <w:rFonts w:ascii="Times New Roman" w:hAnsi="Times New Roman"/>
        </w:rPr>
      </w:pPr>
    </w:p>
    <w:p w:rsidR="00853C8B" w:rsidRPr="000943EF" w:rsidP="00A53EDD" w14:paraId="0A9DF32E" w14:textId="77777777">
      <w:pPr>
        <w:tabs>
          <w:tab w:val="left" w:pos="-1440"/>
        </w:tabs>
        <w:ind w:left="720" w:hanging="720"/>
        <w:rPr>
          <w:rFonts w:ascii="Times New Roman" w:hAnsi="Times New Roman"/>
          <w:b/>
        </w:rPr>
      </w:pPr>
      <w:r w:rsidRPr="000943EF">
        <w:rPr>
          <w:rFonts w:ascii="Times New Roman" w:hAnsi="Times New Roman"/>
          <w:b/>
        </w:rPr>
        <w:t>6.</w:t>
      </w:r>
      <w:r w:rsidRPr="000943EF">
        <w:rPr>
          <w:rFonts w:ascii="Times New Roman" w:hAnsi="Times New Roman"/>
          <w:b/>
        </w:rPr>
        <w:tab/>
      </w:r>
      <w:r w:rsidRPr="000943EF">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853C8B" w:rsidP="00A53EDD" w14:paraId="6886ECBF" w14:textId="77777777">
      <w:pPr>
        <w:ind w:left="720"/>
        <w:rPr>
          <w:rFonts w:ascii="Times New Roman" w:hAnsi="Times New Roman"/>
        </w:rPr>
      </w:pPr>
    </w:p>
    <w:p w:rsidR="00882635" w:rsidP="00882635" w14:paraId="1B354EB4" w14:textId="77777777">
      <w:pPr>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 xml:space="preserve">entities </w:t>
      </w:r>
      <w:r w:rsidRPr="00AB25C5">
        <w:rPr>
          <w:rFonts w:ascii="Times New Roman" w:hAnsi="Times New Roman"/>
        </w:rPr>
        <w:t xml:space="preserve">wish to utilize the class exemption.  The frequency is dependent </w:t>
      </w:r>
      <w:r>
        <w:rPr>
          <w:rFonts w:ascii="Times New Roman" w:hAnsi="Times New Roman"/>
        </w:rPr>
        <w:t>up</w:t>
      </w:r>
      <w:r w:rsidRPr="00AB25C5">
        <w:rPr>
          <w:rFonts w:ascii="Times New Roman" w:hAnsi="Times New Roman"/>
        </w:rPr>
        <w:t xml:space="preserve">on the occurrence of such transactions, not on a predetermined time period.  </w:t>
      </w:r>
    </w:p>
    <w:p w:rsidR="00882635" w:rsidP="00A53EDD" w14:paraId="671917C5" w14:textId="77777777">
      <w:pPr>
        <w:ind w:left="720"/>
        <w:rPr>
          <w:rFonts w:ascii="Times New Roman" w:hAnsi="Times New Roman"/>
        </w:rPr>
      </w:pPr>
    </w:p>
    <w:p w:rsidR="00882635" w:rsidP="00882635" w14:paraId="48B1CC3D" w14:textId="77777777">
      <w:pPr>
        <w:ind w:left="720"/>
        <w:rPr>
          <w:rFonts w:ascii="Times New Roman" w:hAnsi="Times New Roman"/>
        </w:rPr>
      </w:pPr>
      <w:r>
        <w:rPr>
          <w:rFonts w:ascii="Times New Roman" w:hAnsi="Times New Roman"/>
        </w:rPr>
        <w:t>If the disclosure and recordkeeping requirements were not included in PTE 75-1, the Department could not ensure that the exemption is protective of the rights of participants and beneficiaries as required under ERISA section 408(a) and Code section 4975(c)(2).</w:t>
      </w:r>
    </w:p>
    <w:p w:rsidR="00853C8B" w:rsidP="00A53EDD" w14:paraId="67F51AAC" w14:textId="77777777">
      <w:pPr>
        <w:ind w:left="720"/>
        <w:rPr>
          <w:rFonts w:ascii="Times New Roman" w:hAnsi="Times New Roman"/>
        </w:rPr>
      </w:pPr>
    </w:p>
    <w:p w:rsidR="00853C8B" w:rsidRPr="000943EF" w:rsidP="00ED7294" w14:paraId="410D2282" w14:textId="77777777">
      <w:pPr>
        <w:tabs>
          <w:tab w:val="left" w:pos="-1440"/>
        </w:tabs>
        <w:ind w:left="720" w:hanging="720"/>
        <w:rPr>
          <w:rFonts w:ascii="Times New Roman" w:hAnsi="Times New Roman"/>
          <w:b/>
          <w:iCs/>
        </w:rPr>
      </w:pPr>
      <w:r w:rsidRPr="000943EF">
        <w:rPr>
          <w:rFonts w:ascii="Times New Roman" w:hAnsi="Times New Roman"/>
          <w:b/>
        </w:rPr>
        <w:t>7.</w:t>
      </w:r>
      <w:r w:rsidRPr="000943EF">
        <w:rPr>
          <w:rFonts w:ascii="Times New Roman" w:hAnsi="Times New Roman"/>
          <w:b/>
        </w:rPr>
        <w:tab/>
      </w:r>
      <w:r w:rsidRPr="000943EF">
        <w:rPr>
          <w:rFonts w:ascii="Times New Roman" w:hAnsi="Times New Roman"/>
          <w:b/>
          <w:iCs/>
        </w:rPr>
        <w:t>Explain any special circumstances that would cause an information collection to be conducted in a manner:</w:t>
      </w:r>
    </w:p>
    <w:p w:rsidR="00853C8B" w:rsidRPr="000943EF" w:rsidP="00ED7294" w14:paraId="2FF1AFE4"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respondents to report information to the agency more often than quarterly;</w:t>
      </w:r>
    </w:p>
    <w:p w:rsidR="00853C8B" w:rsidRPr="000943EF" w:rsidP="00ED7294" w14:paraId="65F58F6C"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respondents to prepare a written response to a collection of information in fewer than 30 days after receipt of it;</w:t>
      </w:r>
    </w:p>
    <w:p w:rsidR="00853C8B" w:rsidRPr="000943EF" w:rsidP="00ED7294" w14:paraId="188C1B06"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respondents to submit more than an original and two copies of any document;</w:t>
      </w:r>
    </w:p>
    <w:p w:rsidR="00853C8B" w:rsidRPr="000943EF" w:rsidP="00ED7294" w14:paraId="51F56129"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respondents to retain records, other than health, medical, government contract, grant-in-aid, or tax records for more than three years;</w:t>
      </w:r>
    </w:p>
    <w:p w:rsidR="00853C8B" w:rsidRPr="000943EF" w:rsidP="00ED7294" w14:paraId="4D9D53A3"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in connection with a statistical survey, that is not designed to produce valid and reliable results that can be generalized to the universe of study;</w:t>
      </w:r>
    </w:p>
    <w:p w:rsidR="00853C8B" w:rsidRPr="000943EF" w:rsidP="00ED7294" w14:paraId="279E63B7"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the use of a statistical data classification that has not been reviewed and approved by OMB;</w:t>
      </w:r>
    </w:p>
    <w:p w:rsidR="00853C8B" w:rsidRPr="000943EF" w:rsidP="00ED7294" w14:paraId="0264329C"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53C8B" w:rsidRPr="000943EF" w:rsidP="00ED7294" w14:paraId="58F636F4" w14:textId="77777777">
      <w:pPr>
        <w:tabs>
          <w:tab w:val="left" w:pos="-1440"/>
        </w:tabs>
        <w:ind w:left="1440" w:hanging="720"/>
        <w:rPr>
          <w:rFonts w:ascii="Times New Roman" w:hAnsi="Times New Roman"/>
          <w:b/>
          <w:iCs/>
        </w:rPr>
      </w:pPr>
      <w:r w:rsidRPr="000943EF">
        <w:rPr>
          <w:rFonts w:ascii="Times New Roman" w:hAnsi="Times New Roman"/>
          <w:b/>
          <w:iCs/>
        </w:rPr>
        <w:t>•</w:t>
      </w:r>
      <w:r w:rsidRPr="000943EF">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00853C8B" w:rsidP="00ED7294" w14:paraId="78A715E4" w14:textId="77777777">
      <w:pPr>
        <w:ind w:left="720"/>
        <w:rPr>
          <w:rFonts w:ascii="Times New Roman" w:hAnsi="Times New Roman"/>
        </w:rPr>
      </w:pPr>
    </w:p>
    <w:p w:rsidR="00853C8B" w:rsidP="00797B39" w14:paraId="3CFFC836" w14:textId="2CDB9C92">
      <w:pPr>
        <w:ind w:left="720"/>
        <w:rPr>
          <w:rFonts w:ascii="Times New Roman" w:hAnsi="Times New Roman"/>
        </w:rPr>
      </w:pPr>
      <w:r>
        <w:rPr>
          <w:rFonts w:ascii="Times New Roman" w:hAnsi="Times New Roman"/>
        </w:rPr>
        <w:t>Because this exemption is granted under section 408(a) of ERISA and section 4975(c)(2) of the Code, the exclusion from the three</w:t>
      </w:r>
      <w:r w:rsidR="00681BBC">
        <w:rPr>
          <w:rFonts w:ascii="Times New Roman" w:hAnsi="Times New Roman"/>
        </w:rPr>
        <w:t>-</w:t>
      </w:r>
      <w:r>
        <w:rPr>
          <w:rFonts w:ascii="Times New Roman" w:hAnsi="Times New Roman"/>
        </w:rPr>
        <w:t>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r w:rsidRPr="003A41BC">
        <w:rPr>
          <w:rFonts w:ascii="Times New Roman" w:hAnsi="Times New Roman"/>
        </w:rPr>
        <w:t>.</w:t>
      </w:r>
    </w:p>
    <w:p w:rsidR="00882635" w:rsidP="00B955AB" w14:paraId="3BB0872D" w14:textId="77777777">
      <w:pPr>
        <w:ind w:left="720"/>
        <w:rPr>
          <w:rFonts w:ascii="Times New Roman" w:hAnsi="Times New Roman"/>
        </w:rPr>
      </w:pPr>
    </w:p>
    <w:p w:rsidR="00B955AB" w:rsidRPr="00882635" w:rsidP="00B955AB" w14:paraId="5172DBE8" w14:textId="14290B30">
      <w:pPr>
        <w:ind w:left="720"/>
        <w:rPr>
          <w:rFonts w:ascii="Times New Roman" w:hAnsi="Times New Roman"/>
        </w:rPr>
      </w:pPr>
      <w:r w:rsidRPr="00882635">
        <w:rPr>
          <w:rFonts w:ascii="Times New Roman" w:hAnsi="Times New Roman"/>
        </w:rPr>
        <w:t>Under the recor</w:t>
      </w:r>
      <w:r>
        <w:rPr>
          <w:rFonts w:ascii="Times New Roman" w:hAnsi="Times New Roman"/>
        </w:rPr>
        <w:t>dkeeping provisions of the amended</w:t>
      </w:r>
      <w:r w:rsidRPr="00882635">
        <w:rPr>
          <w:rFonts w:ascii="Times New Roman" w:hAnsi="Times New Roman"/>
        </w:rPr>
        <w:t xml:space="preserve"> exemption, fiduciaries are not required to disclose records that are privileged trade secrets or privileged commercial or financial information to plan fiduciaries, participants or beneficiaries, IRA owners, or their representatives. However, if the fiduciary refuses to disclose information on the basis that the information is exempt from disclosure, the fiduciary must, by the close of the thirtieth (30th) day following the request, provide a written notice advising the requestor of the reasons for the refusal and that the Department may request such </w:t>
      </w:r>
      <w:r w:rsidRPr="00882635">
        <w:rPr>
          <w:rFonts w:ascii="Times New Roman" w:hAnsi="Times New Roman"/>
        </w:rPr>
        <w:t>information.</w:t>
      </w:r>
    </w:p>
    <w:p w:rsidR="00853C8B" w:rsidP="00797B39" w14:paraId="40F67D6A" w14:textId="77777777">
      <w:pPr>
        <w:ind w:left="720"/>
        <w:rPr>
          <w:rFonts w:ascii="Times New Roman" w:hAnsi="Times New Roman"/>
        </w:rPr>
      </w:pPr>
    </w:p>
    <w:p w:rsidR="00853C8B" w:rsidRPr="000943EF" w:rsidP="00ED7294" w14:paraId="4B36317C" w14:textId="77777777">
      <w:pPr>
        <w:tabs>
          <w:tab w:val="left" w:pos="-1440"/>
        </w:tabs>
        <w:ind w:left="720" w:hanging="720"/>
        <w:rPr>
          <w:rFonts w:ascii="Times New Roman" w:hAnsi="Times New Roman"/>
          <w:b/>
          <w:iCs/>
        </w:rPr>
      </w:pPr>
      <w:r w:rsidRPr="000943EF">
        <w:rPr>
          <w:rFonts w:ascii="Times New Roman" w:hAnsi="Times New Roman"/>
          <w:b/>
        </w:rPr>
        <w:t>8.</w:t>
      </w:r>
      <w:r w:rsidRPr="000943EF">
        <w:rPr>
          <w:rFonts w:ascii="Times New Roman" w:hAnsi="Times New Roman"/>
          <w:b/>
        </w:rPr>
        <w:tab/>
      </w:r>
      <w:r w:rsidRPr="000943EF">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53C8B" w:rsidRPr="000943EF" w:rsidP="00ED7294" w14:paraId="7915440D" w14:textId="77777777">
      <w:pPr>
        <w:ind w:left="720"/>
        <w:rPr>
          <w:rFonts w:ascii="Times New Roman" w:hAnsi="Times New Roman"/>
          <w:b/>
          <w:iCs/>
        </w:rPr>
      </w:pPr>
    </w:p>
    <w:p w:rsidR="00853C8B" w:rsidRPr="000943EF" w:rsidP="00ED7294" w14:paraId="3FE0970A" w14:textId="77777777">
      <w:pPr>
        <w:ind w:left="720"/>
        <w:rPr>
          <w:rFonts w:ascii="Times New Roman" w:hAnsi="Times New Roman"/>
          <w:b/>
          <w:iCs/>
        </w:rPr>
      </w:pPr>
      <w:r w:rsidRPr="000943EF">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3C8B" w:rsidRPr="000943EF" w:rsidP="00ED7294" w14:paraId="260F3F43" w14:textId="77777777">
      <w:pPr>
        <w:ind w:left="720"/>
        <w:rPr>
          <w:rFonts w:ascii="Times New Roman" w:hAnsi="Times New Roman"/>
          <w:b/>
          <w:iCs/>
        </w:rPr>
      </w:pPr>
    </w:p>
    <w:p w:rsidR="00853C8B" w:rsidRPr="000943EF" w:rsidP="00ED7294" w14:paraId="31FAC502" w14:textId="77777777">
      <w:pPr>
        <w:pStyle w:val="BodyTextIndent"/>
        <w:rPr>
          <w:b/>
          <w:i w:val="0"/>
        </w:rPr>
      </w:pPr>
      <w:r w:rsidRPr="000943EF">
        <w:rPr>
          <w:b/>
          <w:i w:val="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53C8B" w:rsidP="00ED7294" w14:paraId="7C64A521" w14:textId="77777777">
      <w:pPr>
        <w:ind w:left="720"/>
        <w:rPr>
          <w:rFonts w:ascii="Times New Roman" w:hAnsi="Times New Roman"/>
        </w:rPr>
      </w:pPr>
    </w:p>
    <w:p w:rsidR="00492D35" w:rsidP="00ED7294" w14:paraId="191F2169" w14:textId="77777777">
      <w:pPr>
        <w:ind w:left="720"/>
        <w:rPr>
          <w:rFonts w:ascii="Times New Roman" w:hAnsi="Times New Roman"/>
        </w:rPr>
      </w:pPr>
      <w:r w:rsidRPr="00492D35">
        <w:rPr>
          <w:rFonts w:ascii="Times New Roman" w:hAnsi="Times New Roman"/>
        </w:rPr>
        <w:t>In accordance with 5 CFR 1320.11, the proposed exemption provides the public with 30 days to comment on the information collection and burden estimates.</w:t>
      </w:r>
    </w:p>
    <w:p w:rsidR="00853C8B" w:rsidP="00024FF0" w14:paraId="4B331F69" w14:textId="4748BC91">
      <w:pPr>
        <w:ind w:left="720"/>
        <w:rPr>
          <w:rFonts w:ascii="Times New Roman" w:hAnsi="Times New Roman"/>
        </w:rPr>
      </w:pPr>
      <w:r w:rsidRPr="003B5EF3">
        <w:rPr>
          <w:rFonts w:ascii="Times New Roman" w:hAnsi="Times New Roman"/>
        </w:rPr>
        <w:t xml:space="preserve"> </w:t>
      </w:r>
    </w:p>
    <w:p w:rsidR="00853C8B" w:rsidRPr="005A3692" w:rsidP="00ED7294" w14:paraId="0348D039" w14:textId="77777777">
      <w:pPr>
        <w:tabs>
          <w:tab w:val="left" w:pos="-1440"/>
        </w:tabs>
        <w:ind w:left="720" w:hanging="720"/>
        <w:rPr>
          <w:rFonts w:ascii="Times New Roman" w:hAnsi="Times New Roman"/>
          <w:b/>
          <w:iCs/>
        </w:rPr>
      </w:pPr>
      <w:r w:rsidRPr="005A3692">
        <w:rPr>
          <w:rFonts w:ascii="Times New Roman" w:hAnsi="Times New Roman"/>
          <w:b/>
        </w:rPr>
        <w:t>9.</w:t>
      </w:r>
      <w:r w:rsidRPr="005A3692">
        <w:rPr>
          <w:rFonts w:ascii="Times New Roman" w:hAnsi="Times New Roman"/>
          <w:b/>
        </w:rPr>
        <w:tab/>
      </w:r>
      <w:r w:rsidRPr="005A3692">
        <w:rPr>
          <w:rFonts w:ascii="Times New Roman" w:hAnsi="Times New Roman"/>
          <w:b/>
          <w:iCs/>
        </w:rPr>
        <w:t>Explain any decision to provide any payment or gift to respondents, other than remuneration of contractors or grantees.</w:t>
      </w:r>
    </w:p>
    <w:p w:rsidR="00853C8B" w:rsidP="00ED7294" w14:paraId="1B68C7D1" w14:textId="77777777">
      <w:pPr>
        <w:ind w:left="720"/>
        <w:rPr>
          <w:rFonts w:ascii="Times New Roman" w:hAnsi="Times New Roman"/>
        </w:rPr>
      </w:pPr>
    </w:p>
    <w:p w:rsidR="00853C8B" w:rsidP="00ED7294" w14:paraId="5E071112" w14:textId="25F8416B">
      <w:pPr>
        <w:ind w:left="720"/>
        <w:rPr>
          <w:rFonts w:ascii="Times New Roman" w:hAnsi="Times New Roman"/>
        </w:rPr>
      </w:pPr>
      <w:r w:rsidRPr="00236D2F">
        <w:rPr>
          <w:rFonts w:ascii="Times New Roman" w:hAnsi="Times New Roman"/>
        </w:rPr>
        <w:t>No payments or gifts were provided to respondents.</w:t>
      </w:r>
    </w:p>
    <w:p w:rsidR="00236D2F" w:rsidRPr="000943EF" w:rsidP="00ED7294" w14:paraId="53C42A2E" w14:textId="77777777">
      <w:pPr>
        <w:ind w:left="720"/>
        <w:rPr>
          <w:rFonts w:ascii="Times New Roman" w:hAnsi="Times New Roman"/>
          <w:b/>
        </w:rPr>
      </w:pPr>
    </w:p>
    <w:p w:rsidR="00853C8B" w:rsidRPr="000943EF" w:rsidP="00ED7294" w14:paraId="5026D194" w14:textId="77777777">
      <w:pPr>
        <w:tabs>
          <w:tab w:val="left" w:pos="-1440"/>
        </w:tabs>
        <w:ind w:left="720" w:hanging="720"/>
        <w:rPr>
          <w:rFonts w:ascii="Times New Roman" w:hAnsi="Times New Roman"/>
          <w:b/>
          <w:iCs/>
        </w:rPr>
      </w:pPr>
      <w:r w:rsidRPr="000943EF">
        <w:rPr>
          <w:rFonts w:ascii="Times New Roman" w:hAnsi="Times New Roman"/>
          <w:b/>
        </w:rPr>
        <w:t>10.</w:t>
      </w:r>
      <w:r w:rsidRPr="000943EF">
        <w:rPr>
          <w:rFonts w:ascii="Times New Roman" w:hAnsi="Times New Roman"/>
          <w:b/>
        </w:rPr>
        <w:tab/>
      </w:r>
      <w:r w:rsidRPr="000943EF">
        <w:rPr>
          <w:rFonts w:ascii="Times New Roman" w:hAnsi="Times New Roman"/>
          <w:b/>
          <w:iCs/>
        </w:rPr>
        <w:t>Describe any assurance of confidentiality provided to respondents and the basis for the assurance in statute, regulation, or agency policy.</w:t>
      </w:r>
    </w:p>
    <w:p w:rsidR="00853C8B" w:rsidP="00ED7294" w14:paraId="7C430622" w14:textId="77777777">
      <w:pPr>
        <w:ind w:left="720"/>
        <w:rPr>
          <w:rFonts w:ascii="Times New Roman" w:hAnsi="Times New Roman"/>
        </w:rPr>
      </w:pPr>
    </w:p>
    <w:p w:rsidR="00853C8B" w:rsidP="00ED7294" w14:paraId="324F51B8" w14:textId="49C4627B">
      <w:pPr>
        <w:ind w:left="720"/>
        <w:rPr>
          <w:rFonts w:ascii="Times New Roman" w:hAnsi="Times New Roman"/>
        </w:rPr>
      </w:pPr>
      <w:r w:rsidRPr="00F44AE0">
        <w:rPr>
          <w:rFonts w:ascii="Times New Roman" w:hAnsi="Times New Roman"/>
        </w:rPr>
        <w:t>There is no assurance of confidentiality provided to respondents.</w:t>
      </w:r>
    </w:p>
    <w:p w:rsidR="00853C8B" w:rsidP="00ED7294" w14:paraId="27FED3FD" w14:textId="77777777">
      <w:pPr>
        <w:ind w:left="720"/>
        <w:rPr>
          <w:rFonts w:ascii="Times New Roman" w:hAnsi="Times New Roman"/>
        </w:rPr>
      </w:pPr>
    </w:p>
    <w:p w:rsidR="00853C8B" w:rsidRPr="005A3692" w:rsidP="00ED7294" w14:paraId="76176A12" w14:textId="77777777">
      <w:pPr>
        <w:tabs>
          <w:tab w:val="left" w:pos="-1440"/>
        </w:tabs>
        <w:ind w:left="720" w:hanging="720"/>
        <w:rPr>
          <w:rFonts w:ascii="Times New Roman" w:hAnsi="Times New Roman"/>
          <w:b/>
          <w:iCs/>
        </w:rPr>
      </w:pPr>
      <w:r w:rsidRPr="005A3692">
        <w:rPr>
          <w:rFonts w:ascii="Times New Roman" w:hAnsi="Times New Roman"/>
          <w:b/>
        </w:rPr>
        <w:t>11.</w:t>
      </w:r>
      <w:r w:rsidRPr="005A3692">
        <w:rPr>
          <w:rFonts w:ascii="Times New Roman" w:hAnsi="Times New Roman"/>
          <w:b/>
        </w:rPr>
        <w:tab/>
      </w:r>
      <w:r w:rsidRPr="005A3692">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3C8B" w:rsidP="00380809" w14:paraId="7B4D3A95" w14:textId="77777777">
      <w:pPr>
        <w:ind w:left="720"/>
        <w:rPr>
          <w:rFonts w:ascii="Times New Roman" w:hAnsi="Times New Roman"/>
          <w:i/>
          <w:iCs/>
        </w:rPr>
      </w:pPr>
    </w:p>
    <w:p w:rsidR="00853C8B" w:rsidP="00380809" w14:paraId="4E9C5F78" w14:textId="0F78A958">
      <w:pPr>
        <w:ind w:left="720"/>
        <w:rPr>
          <w:rFonts w:ascii="Times New Roman" w:hAnsi="Times New Roman"/>
        </w:rPr>
      </w:pPr>
      <w:r w:rsidRPr="00D72547">
        <w:rPr>
          <w:rFonts w:ascii="Times New Roman" w:hAnsi="Times New Roman"/>
        </w:rPr>
        <w:t>There are no questions of a sensitive nature.</w:t>
      </w:r>
    </w:p>
    <w:p w:rsidR="00D72547" w:rsidP="00380809" w14:paraId="1BA51B81" w14:textId="77777777">
      <w:pPr>
        <w:ind w:left="720"/>
        <w:rPr>
          <w:rFonts w:ascii="Times New Roman" w:hAnsi="Times New Roman"/>
        </w:rPr>
      </w:pPr>
    </w:p>
    <w:p w:rsidR="00F63020" w:rsidRPr="00F63020" w:rsidP="00F63020" w14:paraId="1CAE9545" w14:textId="21968D84">
      <w:pPr>
        <w:pStyle w:val="Quick1"/>
        <w:numPr>
          <w:ilvl w:val="0"/>
          <w:numId w:val="10"/>
        </w:numPr>
        <w:tabs>
          <w:tab w:val="left" w:pos="-1440"/>
        </w:tabs>
        <w:rPr>
          <w:rFonts w:ascii="Times New Roman" w:hAnsi="Times New Roman"/>
          <w:b/>
          <w:iCs/>
        </w:rPr>
      </w:pPr>
      <w:r w:rsidRPr="00F63020">
        <w:rPr>
          <w:rFonts w:ascii="Times New Roman" w:hAnsi="Times New Roman"/>
          <w:b/>
          <w:iCs/>
        </w:rPr>
        <w:t>Provide estimates of the hour burden of the collection of information.  The statement should:</w:t>
      </w:r>
    </w:p>
    <w:p w:rsidR="00F63020" w:rsidRPr="00F63020" w:rsidP="00F63020" w14:paraId="70A136EE" w14:textId="77777777">
      <w:pPr>
        <w:numPr>
          <w:ilvl w:val="1"/>
          <w:numId w:val="9"/>
        </w:numPr>
        <w:tabs>
          <w:tab w:val="left" w:pos="-1440"/>
        </w:tabs>
        <w:rPr>
          <w:rFonts w:ascii="Times New Roman" w:hAnsi="Times New Roman"/>
          <w:b/>
          <w:iCs/>
        </w:rPr>
      </w:pPr>
      <w:r w:rsidRPr="00F63020">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F63020" w:rsidRPr="00F63020" w:rsidP="00F63020" w14:paraId="73C53182" w14:textId="77777777">
      <w:pPr>
        <w:numPr>
          <w:ilvl w:val="1"/>
          <w:numId w:val="9"/>
        </w:numPr>
        <w:tabs>
          <w:tab w:val="left" w:pos="-1440"/>
        </w:tabs>
        <w:rPr>
          <w:rFonts w:ascii="Times New Roman" w:hAnsi="Times New Roman"/>
          <w:b/>
          <w:iCs/>
        </w:rPr>
      </w:pPr>
      <w:r w:rsidRPr="00F63020">
        <w:rPr>
          <w:rFonts w:ascii="Times New Roman" w:hAnsi="Times New Roman"/>
          <w:b/>
          <w:iCs/>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60498B" w:rsidP="008218B0" w14:paraId="6DD9DD5C" w14:textId="77777777">
      <w:pPr>
        <w:ind w:left="720"/>
        <w:rPr>
          <w:rFonts w:ascii="Times New Roman" w:hAnsi="Times New Roman"/>
        </w:rPr>
      </w:pPr>
    </w:p>
    <w:p w:rsidR="008218B0" w:rsidP="008218B0" w14:paraId="17F5D116" w14:textId="5A0DF8D9">
      <w:pPr>
        <w:ind w:left="720"/>
        <w:rPr>
          <w:rFonts w:ascii="Times New Roman" w:hAnsi="Times New Roman"/>
        </w:rPr>
      </w:pPr>
      <w:r w:rsidRPr="0060498B">
        <w:rPr>
          <w:rFonts w:ascii="Times New Roman" w:hAnsi="Times New Roman"/>
        </w:rPr>
        <w:t xml:space="preserve">Broker-dealers registered under the Security Exchange Act of 1934 (15 U.S.C. 78a </w:t>
      </w:r>
      <w:r w:rsidRPr="0060498B">
        <w:rPr>
          <w:rFonts w:ascii="Times New Roman" w:hAnsi="Times New Roman"/>
          <w:i/>
          <w:iCs/>
        </w:rPr>
        <w:t>et seq</w:t>
      </w:r>
      <w:r w:rsidRPr="0060498B">
        <w:rPr>
          <w:rFonts w:ascii="Times New Roman" w:hAnsi="Times New Roman"/>
        </w:rPr>
        <w:t>.), reporting dealers, and banks are eligible to rely on the exemption.  According to the SEC, approximately 3,508 broker-dealers were SEC-registered as of December 2021.</w:t>
      </w:r>
      <w:r>
        <w:rPr>
          <w:rFonts w:ascii="Times New Roman" w:hAnsi="Times New Roman"/>
          <w:vertAlign w:val="superscript"/>
        </w:rPr>
        <w:footnoteReference w:id="6"/>
      </w:r>
      <w:r w:rsidRPr="0060498B">
        <w:rPr>
          <w:rFonts w:ascii="Times New Roman" w:hAnsi="Times New Roman"/>
          <w:vertAlign w:val="superscript"/>
        </w:rPr>
        <w:t xml:space="preserve">  </w:t>
      </w:r>
      <w:r w:rsidRPr="00093948">
        <w:rPr>
          <w:rFonts w:ascii="Times New Roman" w:hAnsi="Times New Roman"/>
        </w:rPr>
        <w:t xml:space="preserve">Not all broker-dealers perform services for employee benefit plans. In 2021, 54 percent of registered investment advisers provided employer-sponsored retirement benefits consulting.   Assuming the percentage of broker-dealers provide advice to retirement plans is the same as the percent of investment advisers providing services to plans, the Department assumes 54 percent, or 1,894 broker-dealers, would be affected by PTE 1975-1. </w:t>
      </w:r>
    </w:p>
    <w:p w:rsidR="008218B0" w:rsidRPr="00093948" w:rsidP="008218B0" w14:paraId="4C630019" w14:textId="77777777">
      <w:pPr>
        <w:ind w:left="720"/>
        <w:rPr>
          <w:rFonts w:ascii="Times New Roman" w:hAnsi="Times New Roman"/>
        </w:rPr>
      </w:pPr>
      <w:r w:rsidRPr="00093948">
        <w:rPr>
          <w:rFonts w:ascii="Times New Roman" w:hAnsi="Times New Roman"/>
        </w:rPr>
        <w:t xml:space="preserve"> </w:t>
      </w:r>
    </w:p>
    <w:p w:rsidR="008218B0" w:rsidP="008218B0" w14:paraId="0D07A763" w14:textId="09EA2F42">
      <w:pPr>
        <w:ind w:left="720"/>
        <w:rPr>
          <w:rFonts w:ascii="Times New Roman" w:hAnsi="Times New Roman"/>
        </w:rPr>
      </w:pPr>
      <w:r w:rsidRPr="00093948">
        <w:rPr>
          <w:rFonts w:ascii="Times New Roman" w:hAnsi="Times New Roman"/>
        </w:rPr>
        <w:t>According to the Federal Deposit Insurance Corporation, there are 4,096 commercial banks as of March 31, 2023.</w:t>
      </w:r>
      <w:r>
        <w:rPr>
          <w:rFonts w:ascii="Times New Roman" w:hAnsi="Times New Roman"/>
          <w:vertAlign w:val="superscript"/>
        </w:rPr>
        <w:footnoteReference w:id="7"/>
      </w:r>
      <w:r w:rsidRPr="00093948">
        <w:rPr>
          <w:rFonts w:ascii="Times New Roman" w:hAnsi="Times New Roman"/>
        </w:rPr>
        <w:t xml:space="preserve">  If one-half of these banks (about 2,048) and 54 percent of broker-dealers (about 1,894 broker-dealers) relied on this exemption, there would be approximately 3,942 respondents.</w:t>
      </w:r>
      <w:r>
        <w:rPr>
          <w:rFonts w:ascii="Times New Roman" w:hAnsi="Times New Roman"/>
          <w:vertAlign w:val="superscript"/>
        </w:rPr>
        <w:footnoteReference w:id="8"/>
      </w:r>
      <w:r w:rsidRPr="00093948">
        <w:rPr>
          <w:rFonts w:ascii="Times New Roman" w:hAnsi="Times New Roman"/>
        </w:rPr>
        <w:t xml:space="preserve">  </w:t>
      </w:r>
    </w:p>
    <w:p w:rsidR="008218B0" w:rsidRPr="00093948" w:rsidP="008218B0" w14:paraId="17BE7867" w14:textId="77777777">
      <w:pPr>
        <w:ind w:left="720"/>
        <w:rPr>
          <w:rFonts w:ascii="Times New Roman" w:hAnsi="Times New Roman"/>
        </w:rPr>
      </w:pPr>
    </w:p>
    <w:p w:rsidR="008218B0" w:rsidP="00380809" w14:paraId="336D5FCE" w14:textId="77777777">
      <w:pPr>
        <w:ind w:left="720"/>
        <w:rPr>
          <w:rFonts w:ascii="Times New Roman" w:hAnsi="Times New Roman"/>
        </w:rPr>
      </w:pPr>
      <w:r>
        <w:rPr>
          <w:rFonts w:ascii="Times New Roman" w:hAnsi="Times New Roman"/>
        </w:rPr>
        <w:t xml:space="preserve">The class exemption requires </w:t>
      </w:r>
      <w:r w:rsidRPr="00BE4F51" w:rsidR="00BE4F51">
        <w:rPr>
          <w:rFonts w:ascii="Times New Roman" w:hAnsi="Times New Roman"/>
        </w:rPr>
        <w:t xml:space="preserve">the financial institutions engaging in the exempted transactions (rather than the plans) to </w:t>
      </w:r>
      <w:r>
        <w:rPr>
          <w:rFonts w:ascii="Times New Roman" w:hAnsi="Times New Roman"/>
        </w:rPr>
        <w:t xml:space="preserve">be maintained all records pertaining to such transactions for six years and provide access to the records upon request to the specified parties.  The Department has assumed that financial service providers that transact with </w:t>
      </w:r>
      <w:r w:rsidR="0035337B">
        <w:rPr>
          <w:rFonts w:ascii="Times New Roman" w:hAnsi="Times New Roman"/>
        </w:rPr>
        <w:t xml:space="preserve">the </w:t>
      </w:r>
      <w:r>
        <w:rPr>
          <w:rFonts w:ascii="Times New Roman" w:hAnsi="Times New Roman"/>
        </w:rPr>
        <w:t>employee benefit plans will maintain these records on behalf of their client plans.</w:t>
      </w:r>
      <w:r w:rsidR="002C346D">
        <w:rPr>
          <w:rFonts w:ascii="Times New Roman" w:hAnsi="Times New Roman"/>
        </w:rPr>
        <w:t xml:space="preserve"> </w:t>
      </w:r>
      <w:r>
        <w:rPr>
          <w:rFonts w:ascii="Times New Roman" w:hAnsi="Times New Roman"/>
        </w:rPr>
        <w:t xml:space="preserve"> Because of the sophisticated nature of financial service providers and the strict regulation of the securities industry by State and federal government, and by self-regulatory organizations, the Department has assumed that the records required by this class exemption are the same records kept in the normal course of business.  </w:t>
      </w:r>
    </w:p>
    <w:p w:rsidR="008218B0" w:rsidP="00380809" w14:paraId="199C4A39" w14:textId="77777777">
      <w:pPr>
        <w:ind w:left="720"/>
        <w:rPr>
          <w:rFonts w:ascii="Times New Roman" w:hAnsi="Times New Roman"/>
        </w:rPr>
      </w:pPr>
    </w:p>
    <w:p w:rsidR="00C138EA" w:rsidP="00380809" w14:paraId="2899B13A" w14:textId="4674E5F3">
      <w:pPr>
        <w:ind w:left="720"/>
        <w:rPr>
          <w:rFonts w:ascii="Times New Roman" w:hAnsi="Times New Roman"/>
        </w:rPr>
      </w:pPr>
      <w:r w:rsidRPr="004431A8">
        <w:rPr>
          <w:rFonts w:ascii="Times New Roman" w:hAnsi="Times New Roman"/>
        </w:rPr>
        <w:t>The Department has estimated that the additional time needed to maintain records for the financial institutions to be consistent with the exemption will be four hours per entity annually at a wage rate of $190.63 per hour.</w:t>
      </w:r>
      <w:r>
        <w:rPr>
          <w:rFonts w:ascii="Times New Roman" w:hAnsi="Times New Roman"/>
          <w:vertAlign w:val="superscript"/>
        </w:rPr>
        <w:footnoteReference w:id="9"/>
      </w:r>
      <w:r w:rsidRPr="004431A8">
        <w:rPr>
          <w:rFonts w:ascii="Times New Roman" w:hAnsi="Times New Roman"/>
        </w:rPr>
        <w:t xml:space="preserve">  </w:t>
      </w:r>
      <w:r w:rsidR="008218B0">
        <w:rPr>
          <w:rFonts w:ascii="Times New Roman" w:hAnsi="Times New Roman"/>
        </w:rPr>
        <w:t>T</w:t>
      </w:r>
      <w:r w:rsidRPr="008218B0" w:rsidR="008218B0">
        <w:rPr>
          <w:rFonts w:ascii="Times New Roman" w:hAnsi="Times New Roman"/>
        </w:rPr>
        <w:t>he Department estimates it would take 15,768 hours at an equivalent cost of $3,005,854 to maintain the records and make the records available for inspection.</w:t>
      </w:r>
      <w:r>
        <w:rPr>
          <w:rFonts w:ascii="Times New Roman" w:hAnsi="Times New Roman"/>
          <w:vertAlign w:val="superscript"/>
        </w:rPr>
        <w:footnoteReference w:id="10"/>
      </w:r>
      <w:r w:rsidRPr="008218B0" w:rsidR="008218B0">
        <w:rPr>
          <w:rFonts w:ascii="Times New Roman" w:hAnsi="Times New Roman"/>
        </w:rPr>
        <w:t xml:space="preserve"> </w:t>
      </w:r>
    </w:p>
    <w:p w:rsidR="00C36B8E" w:rsidP="00544680" w14:paraId="33E39E8B" w14:textId="77777777">
      <w:pPr>
        <w:rPr>
          <w:rFonts w:ascii="Times New Roman" w:hAnsi="Times New Roman"/>
        </w:rPr>
      </w:pPr>
    </w:p>
    <w:p w:rsidR="00853C8B" w:rsidP="00380809" w14:paraId="21059EBC" w14:textId="423A6583">
      <w:pPr>
        <w:ind w:left="720"/>
        <w:rPr>
          <w:rFonts w:ascii="Times New Roman" w:hAnsi="Times New Roman"/>
          <w:u w:val="single"/>
        </w:rPr>
      </w:pPr>
      <w:r w:rsidRPr="001207AB">
        <w:rPr>
          <w:rFonts w:ascii="Times New Roman" w:hAnsi="Times New Roman"/>
          <w:u w:val="single"/>
        </w:rPr>
        <w:t>2023 Proposed Amendments</w:t>
      </w:r>
    </w:p>
    <w:p w:rsidR="001207AB" w:rsidP="00380809" w14:paraId="39B6EB15" w14:textId="77777777">
      <w:pPr>
        <w:ind w:left="720"/>
        <w:rPr>
          <w:rFonts w:ascii="Times New Roman" w:hAnsi="Times New Roman"/>
        </w:rPr>
      </w:pPr>
    </w:p>
    <w:p w:rsidR="005164E8" w:rsidP="00961A13" w14:paraId="2BBFDDD2" w14:textId="59ED1295">
      <w:pPr>
        <w:ind w:left="720"/>
        <w:rPr>
          <w:rFonts w:ascii="Times New Roman" w:hAnsi="Times New Roman"/>
        </w:rPr>
      </w:pPr>
      <w:r w:rsidRPr="00FD79DC">
        <w:rPr>
          <w:rFonts w:ascii="Times New Roman" w:hAnsi="Times New Roman"/>
        </w:rPr>
        <w:t xml:space="preserve">In connection with the </w:t>
      </w:r>
      <w:r w:rsidR="00726D45">
        <w:rPr>
          <w:rFonts w:ascii="Times New Roman" w:hAnsi="Times New Roman"/>
        </w:rPr>
        <w:t>proposal</w:t>
      </w:r>
      <w:r w:rsidR="006A03E2">
        <w:rPr>
          <w:rFonts w:ascii="Times New Roman" w:hAnsi="Times New Roman"/>
        </w:rPr>
        <w:t>,</w:t>
      </w:r>
      <w:r w:rsidRPr="00FD79DC">
        <w:rPr>
          <w:rFonts w:ascii="Times New Roman" w:hAnsi="Times New Roman"/>
        </w:rPr>
        <w:t xml:space="preserve"> the Department </w:t>
      </w:r>
      <w:r>
        <w:rPr>
          <w:rFonts w:ascii="Times New Roman" w:hAnsi="Times New Roman"/>
        </w:rPr>
        <w:t>is amending</w:t>
      </w:r>
      <w:r w:rsidRPr="00FD79DC">
        <w:rPr>
          <w:rFonts w:ascii="Times New Roman" w:hAnsi="Times New Roman"/>
        </w:rPr>
        <w:t xml:space="preserve"> PTE 75-1, </w:t>
      </w:r>
      <w:r w:rsidRPr="00726D45" w:rsidR="00726D45">
        <w:rPr>
          <w:rFonts w:ascii="Times New Roman" w:hAnsi="Times New Roman"/>
        </w:rPr>
        <w:t>Part</w:t>
      </w:r>
      <w:r w:rsidR="00BA29FE">
        <w:rPr>
          <w:rFonts w:ascii="Times New Roman" w:hAnsi="Times New Roman"/>
        </w:rPr>
        <w:t xml:space="preserve"> I,</w:t>
      </w:r>
      <w:r w:rsidRPr="00726D45" w:rsidR="00726D45">
        <w:rPr>
          <w:rFonts w:ascii="Times New Roman" w:hAnsi="Times New Roman"/>
        </w:rPr>
        <w:t xml:space="preserve"> II</w:t>
      </w:r>
      <w:r w:rsidR="00BA29FE">
        <w:rPr>
          <w:rFonts w:ascii="Times New Roman" w:hAnsi="Times New Roman"/>
        </w:rPr>
        <w:t>,</w:t>
      </w:r>
      <w:r w:rsidRPr="00726D45" w:rsidR="00726D45">
        <w:rPr>
          <w:rFonts w:ascii="Times New Roman" w:hAnsi="Times New Roman"/>
        </w:rPr>
        <w:t xml:space="preserve"> and </w:t>
      </w:r>
      <w:r w:rsidRPr="00FD79DC">
        <w:rPr>
          <w:rFonts w:ascii="Times New Roman" w:hAnsi="Times New Roman"/>
        </w:rPr>
        <w:t>Part V</w:t>
      </w:r>
      <w:r w:rsidR="00726D45">
        <w:rPr>
          <w:rFonts w:ascii="Times New Roman" w:hAnsi="Times New Roman"/>
        </w:rPr>
        <w:t xml:space="preserve"> </w:t>
      </w:r>
      <w:r w:rsidRPr="00726D45" w:rsidR="00726D45">
        <w:rPr>
          <w:rFonts w:ascii="Times New Roman" w:hAnsi="Times New Roman"/>
        </w:rPr>
        <w:t xml:space="preserve">to adjust the recordkeeping requirement.  Additionally, the Department proposes to amend PTE 75-1, Part V, to include a new disclosure requirement.  The Department believes that it is a usual and customary business practice to maintain records required to demonstrate </w:t>
      </w:r>
      <w:r w:rsidRPr="00D34D02" w:rsidR="00D34D02">
        <w:rPr>
          <w:rFonts w:ascii="Times New Roman" w:hAnsi="Times New Roman"/>
        </w:rPr>
        <w:t>compliance with disclosure distribution regulations mandated by the Securities and Exchange Commission (SEC).  The Department believes that this new disclosure requirement is consistent with the disclosure requirement mandated by the SEC in 17 CFR 240.10b-16(1) for margin transactions.</w:t>
      </w:r>
      <w:r w:rsidR="00D34D02">
        <w:rPr>
          <w:rFonts w:ascii="Times New Roman" w:hAnsi="Times New Roman"/>
        </w:rPr>
        <w:t xml:space="preserve"> </w:t>
      </w:r>
      <w:r w:rsidRPr="00726D45" w:rsidR="00726D45">
        <w:rPr>
          <w:rFonts w:ascii="Times New Roman" w:hAnsi="Times New Roman"/>
        </w:rPr>
        <w:t>The Department believes that this new disclosure requirement is consistent with the disclosure requirement mandated by the Securities and Exchange Commission in 17 CFR 240.10b-16(1) for margin transactions.  Therefore, the Department concludes that these requirements produce no additional burden to the public</w:t>
      </w:r>
      <w:r w:rsidR="00162E3E">
        <w:rPr>
          <w:rFonts w:ascii="Times New Roman" w:hAnsi="Times New Roman"/>
        </w:rPr>
        <w:t>.</w:t>
      </w:r>
      <w:r w:rsidR="00961A13">
        <w:rPr>
          <w:rFonts w:ascii="Times New Roman" w:hAnsi="Times New Roman"/>
        </w:rPr>
        <w:t xml:space="preserve"> </w:t>
      </w:r>
      <w:r w:rsidR="00726D45">
        <w:rPr>
          <w:rFonts w:ascii="Times New Roman" w:hAnsi="Times New Roman"/>
        </w:rPr>
        <w:t xml:space="preserve"> </w:t>
      </w:r>
      <w:r w:rsidRPr="00FD79DC">
        <w:rPr>
          <w:rFonts w:ascii="Times New Roman" w:hAnsi="Times New Roman"/>
        </w:rPr>
        <w:t xml:space="preserve"> </w:t>
      </w:r>
    </w:p>
    <w:p w:rsidR="005164E8" w:rsidP="00380809" w14:paraId="0856E01B" w14:textId="77777777">
      <w:pPr>
        <w:ind w:left="720"/>
        <w:rPr>
          <w:rFonts w:ascii="Times New Roman" w:hAnsi="Times New Roman"/>
        </w:rPr>
      </w:pPr>
    </w:p>
    <w:p w:rsidR="001207AB" w:rsidP="00380809" w14:paraId="7DD256B3" w14:textId="77777777">
      <w:pPr>
        <w:ind w:left="720"/>
        <w:rPr>
          <w:rFonts w:ascii="Times New Roman" w:hAnsi="Times New Roman"/>
        </w:rPr>
      </w:pPr>
    </w:p>
    <w:p w:rsidR="001207AB" w:rsidP="00380809" w14:paraId="1C2FFC77" w14:textId="77777777">
      <w:pPr>
        <w:ind w:left="720"/>
        <w:rPr>
          <w:rFonts w:ascii="Times New Roman" w:hAnsi="Times New Roman"/>
        </w:rPr>
      </w:pPr>
    </w:p>
    <w:p w:rsidR="001207AB" w:rsidP="00380809" w14:paraId="0FF757A1" w14:textId="77777777">
      <w:pPr>
        <w:ind w:left="720"/>
        <w:rPr>
          <w:rFonts w:ascii="Times New Roman" w:hAnsi="Times New Roman"/>
        </w:rPr>
      </w:pPr>
    </w:p>
    <w:p w:rsidR="00D72547" w:rsidP="6491D00B" w14:paraId="3F164B51" w14:textId="77777777">
      <w:pPr>
        <w:widowControl/>
        <w:autoSpaceDE/>
        <w:autoSpaceDN/>
        <w:adjustRightInd/>
        <w:ind w:left="720"/>
        <w:jc w:val="center"/>
        <w:rPr>
          <w:rFonts w:ascii="Times New Roman" w:hAnsi="Times New Roman"/>
          <w:b/>
          <w:bCs/>
        </w:rPr>
      </w:pPr>
      <w:r w:rsidRPr="6491D00B">
        <w:rPr>
          <w:rFonts w:ascii="Times New Roman" w:hAnsi="Times New Roman"/>
          <w:b/>
          <w:bCs/>
        </w:rPr>
        <w:t xml:space="preserve">Estimated Annualized Respondent </w:t>
      </w:r>
      <w:r w:rsidRPr="6491D00B" w:rsidR="153BDA70">
        <w:rPr>
          <w:rFonts w:ascii="Times New Roman" w:hAnsi="Times New Roman"/>
          <w:b/>
          <w:bCs/>
        </w:rPr>
        <w:t xml:space="preserve">Hour </w:t>
      </w:r>
      <w:r>
        <w:rPr>
          <w:rFonts w:ascii="Times New Roman" w:hAnsi="Times New Roman"/>
          <w:b/>
          <w:bCs/>
        </w:rPr>
        <w:t xml:space="preserve">Burden and Equivalent Cost of </w:t>
      </w:r>
    </w:p>
    <w:p w:rsidR="004F33A4" w:rsidRPr="004F33A4" w:rsidP="6491D00B" w14:paraId="102760BE" w14:textId="50C20A69">
      <w:pPr>
        <w:widowControl/>
        <w:autoSpaceDE/>
        <w:autoSpaceDN/>
        <w:adjustRightInd/>
        <w:ind w:left="720"/>
        <w:jc w:val="center"/>
        <w:rPr>
          <w:rFonts w:ascii="Times New Roman" w:hAnsi="Times New Roman"/>
          <w:i/>
          <w:iCs/>
        </w:rPr>
      </w:pPr>
      <w:r>
        <w:rPr>
          <w:rFonts w:ascii="Times New Roman" w:hAnsi="Times New Roman"/>
          <w:b/>
          <w:bCs/>
        </w:rPr>
        <w:t>Hour Burden</w:t>
      </w:r>
    </w:p>
    <w:p w:rsidR="004F33A4" w:rsidRPr="004F33A4" w:rsidP="004F33A4" w14:paraId="51B71DA8" w14:textId="77777777">
      <w:pPr>
        <w:widowControl/>
        <w:autoSpaceDE/>
        <w:autoSpaceDN/>
        <w:adjustRightInd/>
        <w:ind w:left="720"/>
        <w:rPr>
          <w:rFonts w:ascii="Times New Roman" w:hAnsi="Times New Roman"/>
          <w:iCs/>
        </w:rPr>
      </w:pPr>
    </w:p>
    <w:tbl>
      <w:tblPr>
        <w:tblW w:w="10994"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415"/>
        <w:gridCol w:w="1329"/>
        <w:gridCol w:w="1206"/>
        <w:gridCol w:w="998"/>
        <w:gridCol w:w="1151"/>
        <w:gridCol w:w="1426"/>
        <w:gridCol w:w="1921"/>
      </w:tblGrid>
      <w:tr w14:paraId="26B8BFBC" w14:textId="77777777" w:rsidTr="00E543B4">
        <w:tblPrEx>
          <w:tblW w:w="10994"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F33A4" w:rsidRPr="004F33A4" w:rsidP="004F33A4" w14:paraId="78F99E8E"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1B449657" w14:textId="3DBA50AD">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N</w:t>
            </w:r>
            <w:r w:rsidR="008118D0">
              <w:rPr>
                <w:rFonts w:ascii="Times New Roman" w:hAnsi="Times New Roman"/>
                <w:b/>
                <w:sz w:val="22"/>
                <w:szCs w:val="22"/>
              </w:rPr>
              <w:t xml:space="preserve">umber </w:t>
            </w:r>
          </w:p>
          <w:p w:rsidR="004F33A4" w:rsidRPr="004F33A4" w:rsidP="004F33A4" w14:paraId="314838AF"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3AB36A71" w14:textId="77777777">
            <w:pPr>
              <w:widowControl/>
              <w:autoSpaceDE/>
              <w:autoSpaceDN/>
              <w:adjustRightInd/>
              <w:spacing w:line="276" w:lineRule="auto"/>
              <w:jc w:val="center"/>
              <w:rPr>
                <w:rFonts w:ascii="Times New Roman" w:hAnsi="Times New Roman"/>
                <w:b/>
                <w:sz w:val="22"/>
                <w:szCs w:val="22"/>
              </w:rPr>
            </w:pPr>
          </w:p>
          <w:p w:rsidR="004F33A4" w:rsidRPr="004F33A4" w:rsidP="004F33A4" w14:paraId="100734DD" w14:textId="2BD85C80">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N</w:t>
            </w:r>
            <w:r w:rsidR="008118D0">
              <w:rPr>
                <w:rFonts w:ascii="Times New Roman" w:hAnsi="Times New Roman"/>
                <w:b/>
                <w:sz w:val="22"/>
                <w:szCs w:val="22"/>
              </w:rPr>
              <w:t>umber</w:t>
            </w:r>
            <w:r w:rsidRPr="004F33A4">
              <w:rPr>
                <w:rFonts w:ascii="Times New Roman" w:hAnsi="Times New Roman"/>
                <w:b/>
                <w:sz w:val="22"/>
                <w:szCs w:val="22"/>
              </w:rPr>
              <w:t xml:space="preserve"> of Responses</w:t>
            </w:r>
          </w:p>
          <w:p w:rsidR="004F33A4" w:rsidRPr="004F33A4" w:rsidP="004F33A4" w14:paraId="7F83C485"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per Respondent</w:t>
            </w:r>
          </w:p>
        </w:tc>
        <w:tc>
          <w:tcPr>
            <w:tcW w:w="120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7D171208"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791BB683"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Average Burden (Hours)</w:t>
            </w:r>
          </w:p>
        </w:tc>
        <w:tc>
          <w:tcPr>
            <w:tcW w:w="11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3735B84D"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Burden (Hours)</w:t>
            </w:r>
          </w:p>
        </w:tc>
        <w:tc>
          <w:tcPr>
            <w:tcW w:w="14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22EC2D6D"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Hourly</w:t>
            </w:r>
          </w:p>
          <w:p w:rsidR="004F33A4" w:rsidRPr="004F33A4" w:rsidP="004F33A4" w14:paraId="59978510"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Wage Rate</w:t>
            </w:r>
          </w:p>
        </w:tc>
        <w:tc>
          <w:tcPr>
            <w:tcW w:w="192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33A4" w:rsidRPr="004F33A4" w:rsidP="004F33A4" w14:paraId="24D8A82E" w14:textId="559F7B84">
            <w:pPr>
              <w:widowControl/>
              <w:autoSpaceDE/>
              <w:autoSpaceDN/>
              <w:adjustRightInd/>
              <w:spacing w:line="276" w:lineRule="auto"/>
              <w:jc w:val="center"/>
              <w:rPr>
                <w:rFonts w:ascii="Times New Roman" w:hAnsi="Times New Roman"/>
                <w:sz w:val="22"/>
                <w:szCs w:val="22"/>
              </w:rPr>
            </w:pPr>
            <w:r>
              <w:rPr>
                <w:rFonts w:ascii="Times New Roman" w:hAnsi="Times New Roman"/>
                <w:b/>
                <w:sz w:val="22"/>
                <w:szCs w:val="22"/>
              </w:rPr>
              <w:t>Equivalent Cost of Hour Burden</w:t>
            </w:r>
          </w:p>
        </w:tc>
      </w:tr>
      <w:tr w14:paraId="4075240B" w14:textId="77777777" w:rsidTr="00E543B4">
        <w:tblPrEx>
          <w:tblW w:w="10994" w:type="dxa"/>
          <w:tblInd w:w="-821" w:type="dxa"/>
          <w:tblLook w:val="04A0"/>
        </w:tblPrEx>
        <w:tc>
          <w:tcPr>
            <w:tcW w:w="1548" w:type="dxa"/>
            <w:tcBorders>
              <w:top w:val="single" w:sz="4" w:space="0" w:color="auto"/>
              <w:left w:val="single" w:sz="4" w:space="0" w:color="auto"/>
              <w:bottom w:val="single" w:sz="4" w:space="0" w:color="auto"/>
              <w:right w:val="single" w:sz="4" w:space="0" w:color="auto"/>
            </w:tcBorders>
          </w:tcPr>
          <w:p w:rsidR="004F33A4" w:rsidRPr="004F33A4" w:rsidP="004F33A4" w14:paraId="18A04CAA" w14:textId="507EF18A">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Recordkeeping</w:t>
            </w:r>
          </w:p>
        </w:tc>
        <w:tc>
          <w:tcPr>
            <w:tcW w:w="1415"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58A9E688" w14:textId="4AE6D45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3,942</w:t>
            </w:r>
            <w:r w:rsidRPr="44545971" w:rsidR="3545BFFB">
              <w:rPr>
                <w:rFonts w:ascii="Times New Roman" w:hAnsi="Times New Roman"/>
                <w:sz w:val="22"/>
                <w:szCs w:val="22"/>
              </w:rPr>
              <w:t xml:space="preserve"> </w:t>
            </w:r>
          </w:p>
        </w:tc>
        <w:tc>
          <w:tcPr>
            <w:tcW w:w="1329"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08FDC1E8" w14:textId="6256BB2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06" w:type="dxa"/>
            <w:tcBorders>
              <w:top w:val="single" w:sz="4" w:space="0" w:color="auto"/>
              <w:left w:val="single" w:sz="4" w:space="0" w:color="auto"/>
              <w:bottom w:val="single" w:sz="4" w:space="0" w:color="auto"/>
              <w:right w:val="single" w:sz="4" w:space="0" w:color="auto"/>
            </w:tcBorders>
            <w:vAlign w:val="bottom"/>
          </w:tcPr>
          <w:p w:rsidR="004F33A4" w:rsidRPr="004F33A4" w:rsidP="005266E6" w14:paraId="0A04943C" w14:textId="146BD309">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3,942</w:t>
            </w:r>
            <w:r w:rsidRPr="44545971" w:rsidR="47C72A75">
              <w:rPr>
                <w:rFonts w:ascii="Times New Roman" w:hAnsi="Times New Roman"/>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6CB7890D" w14:textId="078BCF2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4</w:t>
            </w:r>
          </w:p>
        </w:tc>
        <w:tc>
          <w:tcPr>
            <w:tcW w:w="1151"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5811ADF5" w14:textId="656514D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15,768</w:t>
            </w:r>
            <w:r w:rsidRPr="44545971">
              <w:rPr>
                <w:rFonts w:ascii="Times New Roman" w:hAnsi="Times New Roman"/>
                <w:sz w:val="22"/>
                <w:szCs w:val="22"/>
              </w:rPr>
              <w:t xml:space="preserve"> </w:t>
            </w:r>
          </w:p>
        </w:tc>
        <w:tc>
          <w:tcPr>
            <w:tcW w:w="1426"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394B821F" w14:textId="71DCA08A">
            <w:pPr>
              <w:widowControl/>
              <w:autoSpaceDE/>
              <w:autoSpaceDN/>
              <w:adjustRightInd/>
              <w:spacing w:line="276" w:lineRule="auto"/>
              <w:jc w:val="center"/>
              <w:rPr>
                <w:rFonts w:ascii="Times New Roman" w:hAnsi="Times New Roman"/>
                <w:sz w:val="22"/>
                <w:szCs w:val="22"/>
              </w:rPr>
            </w:pPr>
            <w:r w:rsidRPr="44545971">
              <w:rPr>
                <w:rFonts w:ascii="Times New Roman" w:hAnsi="Times New Roman"/>
                <w:sz w:val="22"/>
                <w:szCs w:val="22"/>
              </w:rPr>
              <w:t>$</w:t>
            </w:r>
            <w:r w:rsidRPr="44545971" w:rsidR="2BB969D0">
              <w:rPr>
                <w:rFonts w:ascii="Times New Roman" w:hAnsi="Times New Roman"/>
                <w:sz w:val="22"/>
                <w:szCs w:val="22"/>
              </w:rPr>
              <w:t>1</w:t>
            </w:r>
            <w:r w:rsidR="00FB327D">
              <w:rPr>
                <w:rFonts w:ascii="Times New Roman" w:hAnsi="Times New Roman"/>
                <w:sz w:val="22"/>
                <w:szCs w:val="22"/>
              </w:rPr>
              <w:t>90.63</w:t>
            </w:r>
          </w:p>
        </w:tc>
        <w:tc>
          <w:tcPr>
            <w:tcW w:w="1921" w:type="dxa"/>
            <w:tcBorders>
              <w:top w:val="single" w:sz="4" w:space="0" w:color="auto"/>
              <w:left w:val="single" w:sz="4" w:space="0" w:color="auto"/>
              <w:bottom w:val="single" w:sz="4" w:space="0" w:color="auto"/>
              <w:right w:val="single" w:sz="4" w:space="0" w:color="auto"/>
            </w:tcBorders>
            <w:vAlign w:val="bottom"/>
          </w:tcPr>
          <w:p w:rsidR="004F33A4" w:rsidRPr="004F33A4" w:rsidP="00FB3373" w14:paraId="20CBAB3E" w14:textId="6FA3E9B6">
            <w:pPr>
              <w:widowControl/>
              <w:autoSpaceDE/>
              <w:autoSpaceDN/>
              <w:adjustRightInd/>
              <w:spacing w:line="276" w:lineRule="auto"/>
              <w:jc w:val="center"/>
              <w:rPr>
                <w:rFonts w:ascii="Times New Roman" w:hAnsi="Times New Roman"/>
                <w:sz w:val="22"/>
                <w:szCs w:val="22"/>
              </w:rPr>
            </w:pPr>
            <w:r w:rsidRPr="44545971">
              <w:rPr>
                <w:rFonts w:ascii="Times New Roman" w:hAnsi="Times New Roman"/>
                <w:sz w:val="22"/>
                <w:szCs w:val="22"/>
              </w:rPr>
              <w:t>$</w:t>
            </w:r>
            <w:r w:rsidR="00FB327D">
              <w:rPr>
                <w:rFonts w:ascii="Times New Roman" w:hAnsi="Times New Roman"/>
                <w:sz w:val="22"/>
                <w:szCs w:val="22"/>
              </w:rPr>
              <w:t>3,</w:t>
            </w:r>
            <w:r w:rsidR="00544680">
              <w:rPr>
                <w:rFonts w:ascii="Times New Roman" w:hAnsi="Times New Roman"/>
                <w:sz w:val="22"/>
                <w:szCs w:val="22"/>
              </w:rPr>
              <w:t>005,85</w:t>
            </w:r>
            <w:r w:rsidR="008E506B">
              <w:rPr>
                <w:rFonts w:ascii="Times New Roman" w:hAnsi="Times New Roman"/>
                <w:sz w:val="22"/>
                <w:szCs w:val="22"/>
              </w:rPr>
              <w:t>4</w:t>
            </w:r>
          </w:p>
        </w:tc>
      </w:tr>
      <w:tr w14:paraId="249361D8" w14:textId="77777777" w:rsidTr="00E543B4">
        <w:tblPrEx>
          <w:tblW w:w="10994" w:type="dxa"/>
          <w:tblInd w:w="-821" w:type="dxa"/>
          <w:tblLook w:val="04A0"/>
        </w:tblPrEx>
        <w:tc>
          <w:tcPr>
            <w:tcW w:w="1548" w:type="dxa"/>
            <w:tcBorders>
              <w:top w:val="single" w:sz="4" w:space="0" w:color="auto"/>
              <w:left w:val="single" w:sz="4" w:space="0" w:color="auto"/>
              <w:bottom w:val="single" w:sz="4" w:space="0" w:color="auto"/>
              <w:right w:val="single" w:sz="4" w:space="0" w:color="auto"/>
            </w:tcBorders>
          </w:tcPr>
          <w:p w:rsidR="004F33A4" w:rsidRPr="004F33A4" w:rsidP="004F33A4" w14:paraId="140DDE6B" w14:textId="5647E3CF">
            <w:pPr>
              <w:widowControl/>
              <w:autoSpaceDE/>
              <w:autoSpaceDN/>
              <w:adjustRightInd/>
              <w:spacing w:line="276" w:lineRule="auto"/>
              <w:rPr>
                <w:rFonts w:ascii="Times New Roman" w:hAnsi="Times New Roman"/>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731A602C" w14:textId="002CEB34">
            <w:pPr>
              <w:widowControl/>
              <w:autoSpaceDE/>
              <w:autoSpaceDN/>
              <w:adjustRightInd/>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55E865C1" w14:textId="557B8F15">
            <w:pPr>
              <w:widowControl/>
              <w:autoSpaceDE/>
              <w:autoSpaceDN/>
              <w:adjustRightInd/>
              <w:spacing w:line="276" w:lineRule="auto"/>
              <w:jc w:val="center"/>
              <w:rPr>
                <w:rFonts w:ascii="Times New Roman" w:hAnsi="Times New Roman"/>
                <w:sz w:val="22"/>
                <w:szCs w:val="22"/>
              </w:rPr>
            </w:pPr>
          </w:p>
        </w:tc>
        <w:tc>
          <w:tcPr>
            <w:tcW w:w="1206"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4F947AFF" w14:textId="09DF458B">
            <w:pPr>
              <w:widowControl/>
              <w:autoSpaceDE/>
              <w:autoSpaceDN/>
              <w:adjustRightInd/>
              <w:spacing w:line="276" w:lineRule="auto"/>
              <w:jc w:val="center"/>
              <w:rPr>
                <w:rFonts w:ascii="Times New Roman" w:hAnsi="Times New Roman"/>
                <w:sz w:val="22"/>
                <w:szCs w:val="22"/>
              </w:rPr>
            </w:pPr>
          </w:p>
        </w:tc>
        <w:tc>
          <w:tcPr>
            <w:tcW w:w="998"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0E3F7955" w14:textId="789511F8">
            <w:pPr>
              <w:widowControl/>
              <w:autoSpaceDE/>
              <w:autoSpaceDN/>
              <w:adjustRightInd/>
              <w:spacing w:line="276" w:lineRule="auto"/>
              <w:jc w:val="center"/>
              <w:rPr>
                <w:rFonts w:ascii="Times New Roman" w:hAnsi="Times New Roman"/>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341E6C8C" w14:textId="62BC9B0C">
            <w:pPr>
              <w:widowControl/>
              <w:autoSpaceDE/>
              <w:autoSpaceDN/>
              <w:adjustRightInd/>
              <w:spacing w:line="276" w:lineRule="auto"/>
              <w:jc w:val="center"/>
              <w:rPr>
                <w:rFonts w:ascii="Times New Roman" w:hAnsi="Times New Roman"/>
                <w:sz w:val="22"/>
                <w:szCs w:val="22"/>
              </w:rPr>
            </w:pPr>
          </w:p>
        </w:tc>
        <w:tc>
          <w:tcPr>
            <w:tcW w:w="1426"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0E371952" w14:textId="0B58A4F2">
            <w:pPr>
              <w:widowControl/>
              <w:autoSpaceDE/>
              <w:autoSpaceDN/>
              <w:adjustRightInd/>
              <w:spacing w:line="276" w:lineRule="auto"/>
              <w:jc w:val="center"/>
              <w:rPr>
                <w:rFonts w:ascii="Times New Roman" w:hAnsi="Times New Roman"/>
                <w:sz w:val="22"/>
                <w:szCs w:val="22"/>
              </w:rPr>
            </w:pPr>
          </w:p>
        </w:tc>
        <w:tc>
          <w:tcPr>
            <w:tcW w:w="1921"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72D305D3" w14:textId="04D21ABE">
            <w:pPr>
              <w:widowControl/>
              <w:autoSpaceDE/>
              <w:autoSpaceDN/>
              <w:adjustRightInd/>
              <w:spacing w:line="276" w:lineRule="auto"/>
              <w:jc w:val="center"/>
              <w:rPr>
                <w:rFonts w:ascii="Times New Roman" w:hAnsi="Times New Roman"/>
                <w:sz w:val="22"/>
                <w:szCs w:val="22"/>
              </w:rPr>
            </w:pPr>
          </w:p>
        </w:tc>
      </w:tr>
      <w:tr w14:paraId="58A09DB5" w14:textId="77777777" w:rsidTr="00E543B4">
        <w:tblPrEx>
          <w:tblW w:w="10994" w:type="dxa"/>
          <w:tblInd w:w="-821" w:type="dxa"/>
          <w:tblLook w:val="04A0"/>
        </w:tblPrEx>
        <w:tc>
          <w:tcPr>
            <w:tcW w:w="1548" w:type="dxa"/>
            <w:tcBorders>
              <w:top w:val="single" w:sz="4" w:space="0" w:color="auto"/>
              <w:left w:val="single" w:sz="4" w:space="0" w:color="auto"/>
              <w:bottom w:val="single" w:sz="4" w:space="0" w:color="auto"/>
              <w:right w:val="single" w:sz="4" w:space="0" w:color="auto"/>
            </w:tcBorders>
          </w:tcPr>
          <w:p w:rsidR="004F33A4" w:rsidRPr="00C50B8A" w:rsidP="004F33A4" w14:paraId="451D6E6A" w14:textId="02FEF97B">
            <w:pPr>
              <w:widowControl/>
              <w:autoSpaceDE/>
              <w:autoSpaceDN/>
              <w:adjustRightInd/>
              <w:spacing w:line="276" w:lineRule="auto"/>
              <w:jc w:val="center"/>
              <w:rPr>
                <w:rFonts w:ascii="Times New Roman" w:hAnsi="Times New Roman"/>
                <w:b/>
                <w:bCs/>
                <w:sz w:val="22"/>
                <w:szCs w:val="22"/>
              </w:rPr>
            </w:pPr>
            <w:r w:rsidRPr="00C50B8A">
              <w:rPr>
                <w:rFonts w:ascii="Times New Roman" w:hAnsi="Times New Roman"/>
                <w:b/>
                <w:bCs/>
                <w:sz w:val="22"/>
                <w:szCs w:val="22"/>
              </w:rPr>
              <w:t>Total</w:t>
            </w:r>
          </w:p>
        </w:tc>
        <w:tc>
          <w:tcPr>
            <w:tcW w:w="1415"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1521B546" w14:textId="786B5E4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3,942</w:t>
            </w:r>
            <w:r w:rsidRPr="44545971" w:rsidR="3F5D5859">
              <w:rPr>
                <w:rFonts w:ascii="Times New Roman" w:hAnsi="Times New Roman"/>
                <w:sz w:val="22"/>
                <w:szCs w:val="22"/>
              </w:rPr>
              <w:t xml:space="preserve"> </w:t>
            </w:r>
          </w:p>
        </w:tc>
        <w:tc>
          <w:tcPr>
            <w:tcW w:w="1329"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4933ECF6" w14:textId="424746E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06"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68166B7D" w14:textId="4A0D80D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3,942</w:t>
            </w:r>
            <w:r w:rsidRPr="44545971" w:rsidR="1B0192FD">
              <w:rPr>
                <w:rFonts w:ascii="Times New Roman" w:hAnsi="Times New Roman"/>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4F33A4" w:rsidRPr="004F33A4" w:rsidP="004F33A4" w14:paraId="3F26773F" w14:textId="62525A02">
            <w:pPr>
              <w:widowControl/>
              <w:autoSpaceDE/>
              <w:autoSpaceDN/>
              <w:adjustRightInd/>
              <w:spacing w:line="276" w:lineRule="auto"/>
              <w:jc w:val="center"/>
              <w:rPr>
                <w:rFonts w:ascii="Times New Roman" w:hAnsi="Times New Roman"/>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4F33A4" w:rsidRPr="004F33A4" w:rsidP="004F33A4" w14:paraId="41B987C0" w14:textId="0313D1D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15,768</w:t>
            </w:r>
          </w:p>
        </w:tc>
        <w:tc>
          <w:tcPr>
            <w:tcW w:w="142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4F33A4" w:rsidRPr="004F33A4" w:rsidP="004F33A4" w14:paraId="05999EC1" w14:textId="0C53DD84">
            <w:pPr>
              <w:widowControl/>
              <w:autoSpaceDE/>
              <w:autoSpaceDN/>
              <w:adjustRightInd/>
              <w:spacing w:line="276" w:lineRule="auto"/>
              <w:jc w:val="center"/>
              <w:rPr>
                <w:rFonts w:ascii="Times New Roman" w:hAnsi="Times New Roman"/>
                <w:sz w:val="22"/>
                <w:szCs w:val="22"/>
              </w:rPr>
            </w:pPr>
          </w:p>
        </w:tc>
        <w:tc>
          <w:tcPr>
            <w:tcW w:w="1921" w:type="dxa"/>
            <w:tcBorders>
              <w:top w:val="single" w:sz="4" w:space="0" w:color="auto"/>
              <w:left w:val="single" w:sz="4" w:space="0" w:color="auto"/>
              <w:bottom w:val="single" w:sz="4" w:space="0" w:color="auto"/>
              <w:right w:val="single" w:sz="4" w:space="0" w:color="auto"/>
            </w:tcBorders>
            <w:vAlign w:val="bottom"/>
          </w:tcPr>
          <w:p w:rsidR="004F33A4" w:rsidRPr="004F33A4" w:rsidP="0023049F" w14:paraId="716C08F5" w14:textId="4EA75675">
            <w:pPr>
              <w:widowControl/>
              <w:autoSpaceDE/>
              <w:autoSpaceDN/>
              <w:adjustRightInd/>
              <w:spacing w:line="276" w:lineRule="auto"/>
              <w:jc w:val="center"/>
              <w:rPr>
                <w:rFonts w:ascii="Times New Roman" w:hAnsi="Times New Roman"/>
                <w:sz w:val="22"/>
                <w:szCs w:val="22"/>
              </w:rPr>
            </w:pPr>
            <w:r w:rsidRPr="44545971">
              <w:rPr>
                <w:rFonts w:ascii="Times New Roman" w:hAnsi="Times New Roman"/>
                <w:sz w:val="22"/>
                <w:szCs w:val="22"/>
              </w:rPr>
              <w:t>$</w:t>
            </w:r>
            <w:r w:rsidR="00544680">
              <w:rPr>
                <w:rFonts w:ascii="Times New Roman" w:hAnsi="Times New Roman"/>
                <w:sz w:val="22"/>
                <w:szCs w:val="22"/>
              </w:rPr>
              <w:t>3,005,85</w:t>
            </w:r>
            <w:r w:rsidR="008E506B">
              <w:rPr>
                <w:rFonts w:ascii="Times New Roman" w:hAnsi="Times New Roman"/>
                <w:sz w:val="22"/>
                <w:szCs w:val="22"/>
              </w:rPr>
              <w:t>4</w:t>
            </w:r>
          </w:p>
        </w:tc>
      </w:tr>
    </w:tbl>
    <w:p w:rsidR="00FD79DC" w:rsidP="004F33A4" w14:paraId="03E6B829" w14:textId="610AF0DA">
      <w:pPr>
        <w:ind w:left="720"/>
        <w:rPr>
          <w:rFonts w:ascii="Times New Roman" w:hAnsi="Times New Roman"/>
        </w:rPr>
      </w:pPr>
    </w:p>
    <w:p w:rsidR="003C4D4B" w:rsidP="003C4D4B" w14:paraId="5BB96797" w14:textId="77777777">
      <w:pPr>
        <w:rPr>
          <w:rFonts w:ascii="Times New Roman" w:hAnsi="Times New Roman"/>
          <w:b/>
          <w:iCs/>
        </w:rPr>
      </w:pPr>
      <w:r>
        <w:rPr>
          <w:rFonts w:ascii="Times New Roman" w:hAnsi="Times New Roman"/>
          <w:b/>
          <w:iCs/>
        </w:rPr>
        <w:t xml:space="preserve">13. </w:t>
      </w:r>
      <w:r>
        <w:rPr>
          <w:rFonts w:ascii="Times New Roman" w:hAnsi="Times New Roman"/>
          <w:b/>
          <w:iCs/>
        </w:rPr>
        <w:tab/>
      </w:r>
      <w:r w:rsidRPr="007B78B0" w:rsidR="007B78B0">
        <w:rPr>
          <w:rFonts w:ascii="Times New Roman" w:hAnsi="Times New Roman"/>
          <w:b/>
          <w:iCs/>
        </w:rPr>
        <w:t xml:space="preserve">Provide an estimate of the total annual cost burden to respondents or record </w:t>
      </w:r>
      <w:r>
        <w:rPr>
          <w:rFonts w:ascii="Times New Roman" w:hAnsi="Times New Roman"/>
          <w:b/>
          <w:iCs/>
        </w:rPr>
        <w:t xml:space="preserve"> </w:t>
      </w:r>
    </w:p>
    <w:p w:rsidR="007B78B0" w:rsidRPr="007B78B0" w:rsidP="004F33A4" w14:paraId="38BE7B82" w14:textId="2DD4A03C">
      <w:pPr>
        <w:ind w:left="720"/>
        <w:rPr>
          <w:rFonts w:ascii="Times New Roman" w:hAnsi="Times New Roman"/>
          <w:b/>
          <w:iCs/>
        </w:rPr>
      </w:pPr>
      <w:r w:rsidRPr="007B78B0">
        <w:rPr>
          <w:rFonts w:ascii="Times New Roman" w:hAnsi="Times New Roman"/>
          <w:b/>
          <w:iCs/>
        </w:rPr>
        <w:t>keepers resulting from the collection of information.  (Do not include the cost of any hour burden shown in Items 12 or 14).</w:t>
      </w:r>
    </w:p>
    <w:p w:rsidR="007B78B0" w:rsidRPr="007B78B0" w:rsidP="007B78B0" w14:paraId="7E950722" w14:textId="4F80A287">
      <w:pPr>
        <w:numPr>
          <w:ilvl w:val="0"/>
          <w:numId w:val="8"/>
        </w:numPr>
        <w:rPr>
          <w:rFonts w:ascii="Times New Roman" w:hAnsi="Times New Roman"/>
          <w:b/>
          <w:iCs/>
        </w:rPr>
      </w:pPr>
      <w:r w:rsidRPr="007B78B0">
        <w:rPr>
          <w:rFonts w:ascii="Times New Roman" w:hAnsi="Times New Roman"/>
          <w:b/>
          <w:bCs/>
          <w:iCs/>
        </w:rPr>
        <w:t>The cost estimate should be split into 2 components: (a) a total capital</w:t>
      </w:r>
      <w:r w:rsidRPr="007B78B0">
        <w:rPr>
          <w:rFonts w:ascii="Times New Roman" w:hAnsi="Times New Roman"/>
          <w:b/>
          <w:iCs/>
        </w:rPr>
        <w:t> </w:t>
      </w:r>
      <w:r w:rsidRPr="007B78B0">
        <w:rPr>
          <w:rFonts w:ascii="Times New Roman" w:hAnsi="Times New Roman"/>
          <w:b/>
          <w:bCs/>
          <w:iCs/>
        </w:rPr>
        <w:t>and start up cost component (annualized over its expected useful life); and (b) a</w:t>
      </w:r>
      <w:r w:rsidRPr="007B78B0">
        <w:rPr>
          <w:rFonts w:ascii="Times New Roman" w:hAnsi="Times New Roman"/>
          <w:b/>
          <w:iCs/>
        </w:rPr>
        <w:t> </w:t>
      </w:r>
      <w:r w:rsidRPr="007B78B0">
        <w:rPr>
          <w:rFonts w:ascii="Times New Roman" w:hAnsi="Times New Roman"/>
          <w:b/>
          <w:bCs/>
          <w:i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B78B0">
        <w:rPr>
          <w:rFonts w:ascii="Times New Roman" w:hAnsi="Times New Roman"/>
          <w:b/>
          <w:iCs/>
        </w:rPr>
        <w:t> </w:t>
      </w:r>
    </w:p>
    <w:p w:rsidR="007B78B0" w:rsidRPr="007B78B0" w:rsidP="007B78B0" w14:paraId="363FAC8C" w14:textId="77777777">
      <w:pPr>
        <w:numPr>
          <w:ilvl w:val="0"/>
          <w:numId w:val="8"/>
        </w:numPr>
        <w:rPr>
          <w:rFonts w:ascii="Times New Roman" w:hAnsi="Times New Roman"/>
          <w:b/>
          <w:iCs/>
        </w:rPr>
      </w:pPr>
      <w:r w:rsidRPr="007B78B0">
        <w:rPr>
          <w:rFonts w:ascii="Times New Roman" w:hAnsi="Times New Roman"/>
          <w:b/>
          <w:bCs/>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7B78B0">
        <w:rPr>
          <w:rFonts w:ascii="Times New Roman" w:hAnsi="Times New Roman"/>
          <w:b/>
          <w:iCs/>
        </w:rPr>
        <w:t> </w:t>
      </w:r>
    </w:p>
    <w:p w:rsidR="007B78B0" w:rsidRPr="007B78B0" w:rsidP="007B78B0" w14:paraId="43CB40D0" w14:textId="77777777">
      <w:pPr>
        <w:numPr>
          <w:ilvl w:val="0"/>
          <w:numId w:val="8"/>
        </w:numPr>
        <w:rPr>
          <w:rFonts w:ascii="Times New Roman" w:hAnsi="Times New Roman"/>
          <w:b/>
          <w:iCs/>
        </w:rPr>
      </w:pPr>
      <w:r w:rsidRPr="007B78B0">
        <w:rPr>
          <w:rFonts w:ascii="Times New Roman" w:hAnsi="Times New Roman"/>
          <w:b/>
          <w:bCs/>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7B78B0">
        <w:rPr>
          <w:rFonts w:ascii="Times New Roman" w:hAnsi="Times New Roman"/>
          <w:b/>
          <w:bCs/>
          <w:iCs/>
        </w:rPr>
        <w:t>for the government, or (4) as part of customary and usual business or private practices.</w:t>
      </w:r>
    </w:p>
    <w:p w:rsidR="00853C8B" w:rsidP="00380809" w14:paraId="69A90DB3" w14:textId="77777777">
      <w:pPr>
        <w:ind w:left="720"/>
        <w:rPr>
          <w:rFonts w:ascii="Times New Roman" w:hAnsi="Times New Roman"/>
        </w:rPr>
      </w:pPr>
    </w:p>
    <w:p w:rsidR="00853C8B" w:rsidP="00380809" w14:paraId="157F8796" w14:textId="618094F0">
      <w:pPr>
        <w:ind w:left="720"/>
        <w:rPr>
          <w:rFonts w:ascii="Times New Roman" w:hAnsi="Times New Roman"/>
        </w:rPr>
      </w:pPr>
      <w:r>
        <w:rPr>
          <w:rFonts w:ascii="Times New Roman" w:hAnsi="Times New Roman"/>
        </w:rPr>
        <w:t>It is assumed that required records are maintained by the relevant affected parties, the broker-dealers</w:t>
      </w:r>
      <w:r w:rsidR="0042484A">
        <w:rPr>
          <w:rFonts w:ascii="Times New Roman" w:hAnsi="Times New Roman"/>
        </w:rPr>
        <w:t xml:space="preserve"> and banks</w:t>
      </w:r>
      <w:r>
        <w:rPr>
          <w:rFonts w:ascii="Times New Roman" w:hAnsi="Times New Roman"/>
        </w:rPr>
        <w:t xml:space="preserve">. </w:t>
      </w:r>
      <w:r w:rsidR="006E7DFD">
        <w:rPr>
          <w:rFonts w:ascii="Times New Roman" w:hAnsi="Times New Roman"/>
        </w:rPr>
        <w:t xml:space="preserve"> </w:t>
      </w:r>
      <w:r>
        <w:rPr>
          <w:rFonts w:ascii="Times New Roman" w:hAnsi="Times New Roman"/>
        </w:rPr>
        <w:t>Thus, there are no additional tasks performed outsid</w:t>
      </w:r>
      <w:r w:rsidR="00582C12">
        <w:rPr>
          <w:rFonts w:ascii="Times New Roman" w:hAnsi="Times New Roman"/>
        </w:rPr>
        <w:t>e of the brokerage firms/banks.</w:t>
      </w:r>
    </w:p>
    <w:p w:rsidR="00E20166" w:rsidP="00380809" w14:paraId="58814D1F" w14:textId="77777777">
      <w:pPr>
        <w:ind w:left="720"/>
        <w:rPr>
          <w:rFonts w:ascii="Times New Roman" w:hAnsi="Times New Roman"/>
        </w:rPr>
      </w:pPr>
    </w:p>
    <w:p w:rsidR="001E5EBB" w:rsidP="00380809" w14:paraId="735EA42E" w14:textId="11772617">
      <w:pPr>
        <w:ind w:left="720"/>
        <w:rPr>
          <w:rFonts w:ascii="Times New Roman" w:hAnsi="Times New Roman"/>
          <w:u w:val="single"/>
        </w:rPr>
      </w:pPr>
      <w:r w:rsidRPr="001207AB">
        <w:rPr>
          <w:rFonts w:ascii="Times New Roman" w:hAnsi="Times New Roman"/>
          <w:u w:val="single"/>
        </w:rPr>
        <w:t>2023 Proposed Amendments</w:t>
      </w:r>
    </w:p>
    <w:p w:rsidR="001207AB" w:rsidP="00380809" w14:paraId="05F3EAEF" w14:textId="77777777">
      <w:pPr>
        <w:ind w:left="720"/>
        <w:rPr>
          <w:rFonts w:ascii="Times New Roman" w:hAnsi="Times New Roman"/>
        </w:rPr>
      </w:pPr>
    </w:p>
    <w:p w:rsidR="005A2600" w:rsidRPr="005A2600" w:rsidP="005A2600" w14:paraId="463C6F2C" w14:textId="7D4627B6">
      <w:pPr>
        <w:ind w:left="720"/>
        <w:rPr>
          <w:rFonts w:ascii="Times New Roman" w:hAnsi="Times New Roman"/>
        </w:rPr>
      </w:pPr>
      <w:r w:rsidRPr="005A2600">
        <w:rPr>
          <w:rFonts w:ascii="Times New Roman" w:hAnsi="Times New Roman"/>
        </w:rPr>
        <w:t xml:space="preserve">In connection with the </w:t>
      </w:r>
      <w:r>
        <w:rPr>
          <w:rFonts w:ascii="Times New Roman" w:hAnsi="Times New Roman"/>
        </w:rPr>
        <w:t>proposa</w:t>
      </w:r>
      <w:r w:rsidR="009B0740">
        <w:rPr>
          <w:rFonts w:ascii="Times New Roman" w:hAnsi="Times New Roman"/>
        </w:rPr>
        <w:t>l</w:t>
      </w:r>
      <w:r w:rsidRPr="005A2600">
        <w:rPr>
          <w:rFonts w:ascii="Times New Roman" w:hAnsi="Times New Roman"/>
        </w:rPr>
        <w:t xml:space="preserve">, the Department proposes to amend PTE 75-1, Parts </w:t>
      </w:r>
      <w:r w:rsidR="00DD26A8">
        <w:rPr>
          <w:rFonts w:ascii="Times New Roman" w:hAnsi="Times New Roman"/>
        </w:rPr>
        <w:t xml:space="preserve">I, </w:t>
      </w:r>
      <w:r w:rsidRPr="005A2600">
        <w:rPr>
          <w:rFonts w:ascii="Times New Roman" w:hAnsi="Times New Roman"/>
        </w:rPr>
        <w:t>II</w:t>
      </w:r>
      <w:r w:rsidR="00DD26A8">
        <w:rPr>
          <w:rFonts w:ascii="Times New Roman" w:hAnsi="Times New Roman"/>
        </w:rPr>
        <w:t>,</w:t>
      </w:r>
      <w:r w:rsidRPr="005A2600">
        <w:rPr>
          <w:rFonts w:ascii="Times New Roman" w:hAnsi="Times New Roman"/>
        </w:rPr>
        <w:t xml:space="preserve"> and V, to require the broker dealer or bank (rather than the plan) to comply with the recordkeeping requirement.  Additionally, an amendment is being proposed to PTE 75-1, Part V, to require a new disclosure requirement.  The Department believes that it is a usual and customary business practice for broker dealers to maintain the records required by the proposed amendment.  The Department believes that this new disclosure requirement is consistent with the disclosure requirement mandated by the Securities and Exchange Commission in 17 CFR 240.10b-16(1) for margin transactions; therefore, no additional burden has been added.</w:t>
      </w:r>
    </w:p>
    <w:p w:rsidR="008B2169" w:rsidP="00380809" w14:paraId="31C7A73E" w14:textId="77777777">
      <w:pPr>
        <w:ind w:left="720"/>
        <w:rPr>
          <w:rFonts w:ascii="Times New Roman" w:hAnsi="Times New Roman"/>
        </w:rPr>
      </w:pPr>
    </w:p>
    <w:p w:rsidR="00853C8B" w:rsidRPr="005A3692" w:rsidP="00380809" w14:paraId="5367D415" w14:textId="77777777">
      <w:pPr>
        <w:tabs>
          <w:tab w:val="left" w:pos="-1440"/>
        </w:tabs>
        <w:ind w:left="720" w:hanging="720"/>
        <w:rPr>
          <w:rFonts w:ascii="Times New Roman" w:hAnsi="Times New Roman"/>
          <w:b/>
          <w:iCs/>
        </w:rPr>
      </w:pPr>
      <w:r w:rsidRPr="005A3692">
        <w:rPr>
          <w:rFonts w:ascii="Times New Roman" w:hAnsi="Times New Roman"/>
          <w:b/>
        </w:rPr>
        <w:t>14.</w:t>
      </w:r>
      <w:r w:rsidRPr="005A3692">
        <w:rPr>
          <w:rFonts w:ascii="Times New Roman" w:hAnsi="Times New Roman"/>
          <w:b/>
        </w:rPr>
        <w:tab/>
      </w:r>
      <w:r w:rsidRPr="005A3692">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3C8B" w:rsidP="00380809" w14:paraId="51400C4F" w14:textId="77777777">
      <w:pPr>
        <w:ind w:left="720"/>
        <w:rPr>
          <w:rFonts w:ascii="Times New Roman" w:hAnsi="Times New Roman"/>
        </w:rPr>
      </w:pPr>
    </w:p>
    <w:p w:rsidR="00853C8B" w:rsidP="00380809" w14:paraId="21251502" w14:textId="09289DD3">
      <w:pPr>
        <w:ind w:left="720"/>
        <w:rPr>
          <w:rFonts w:ascii="Times New Roman" w:hAnsi="Times New Roman"/>
        </w:rPr>
      </w:pPr>
      <w:r>
        <w:rPr>
          <w:rFonts w:ascii="Times New Roman" w:hAnsi="Times New Roman"/>
        </w:rPr>
        <w:t>There are no</w:t>
      </w:r>
      <w:r w:rsidR="00552DE6">
        <w:rPr>
          <w:rFonts w:ascii="Times New Roman" w:hAnsi="Times New Roman"/>
        </w:rPr>
        <w:t xml:space="preserve"> ongoing</w:t>
      </w:r>
      <w:r>
        <w:rPr>
          <w:rFonts w:ascii="Times New Roman" w:hAnsi="Times New Roman"/>
        </w:rPr>
        <w:t xml:space="preserve"> costs to the Federal government. </w:t>
      </w:r>
    </w:p>
    <w:p w:rsidR="00853C8B" w:rsidP="00380809" w14:paraId="26A3AD31" w14:textId="77777777">
      <w:pPr>
        <w:ind w:left="720"/>
        <w:rPr>
          <w:rFonts w:ascii="Times New Roman" w:hAnsi="Times New Roman"/>
        </w:rPr>
      </w:pPr>
    </w:p>
    <w:p w:rsidR="00853C8B" w:rsidRPr="005A3692" w:rsidP="00582562" w14:paraId="703804DE" w14:textId="77777777">
      <w:pPr>
        <w:tabs>
          <w:tab w:val="left" w:pos="-1440"/>
        </w:tabs>
        <w:ind w:left="720" w:hanging="720"/>
        <w:rPr>
          <w:rFonts w:ascii="Times New Roman" w:hAnsi="Times New Roman"/>
          <w:b/>
        </w:rPr>
      </w:pPr>
      <w:r w:rsidRPr="005A3692">
        <w:rPr>
          <w:rFonts w:ascii="Times New Roman" w:hAnsi="Times New Roman"/>
          <w:b/>
        </w:rPr>
        <w:t>15.</w:t>
      </w:r>
      <w:r w:rsidRPr="005A3692">
        <w:rPr>
          <w:rFonts w:ascii="Times New Roman" w:hAnsi="Times New Roman"/>
          <w:b/>
        </w:rPr>
        <w:tab/>
      </w:r>
      <w:r w:rsidRPr="005A3692">
        <w:rPr>
          <w:rFonts w:ascii="Times New Roman" w:hAnsi="Times New Roman"/>
          <w:b/>
          <w:iCs/>
        </w:rPr>
        <w:t>Explain the reasons for any program changes or adjustments reporting in Items 13 or 14</w:t>
      </w:r>
    </w:p>
    <w:p w:rsidR="00853C8B" w:rsidP="00582562" w14:paraId="301FB136" w14:textId="23B7ACA3">
      <w:pPr>
        <w:ind w:left="720"/>
        <w:rPr>
          <w:rFonts w:ascii="Times New Roman" w:hAnsi="Times New Roman"/>
        </w:rPr>
      </w:pPr>
    </w:p>
    <w:p w:rsidR="00C138EA" w:rsidP="00A971E7" w14:paraId="46D05110" w14:textId="7C923609">
      <w:pPr>
        <w:ind w:left="720"/>
        <w:rPr>
          <w:rFonts w:ascii="Times New Roman" w:hAnsi="Times New Roman"/>
        </w:rPr>
      </w:pPr>
      <w:r w:rsidRPr="00A971E7">
        <w:rPr>
          <w:rFonts w:ascii="Times New Roman" w:hAnsi="Times New Roman"/>
        </w:rPr>
        <w:t>In connection with the proposal, the Department proposes to amend PTE 75-1, Parts I, II and V, to adjust the recordkeeping requirement.  An amendment is being proposed to PTE 75-1, Part V, to require a new disclosure requirement.  Additionally, the Department has updated the number of commercial banks and broker-dealers, as well as the wage costs due to increased labor costs and inflation. Furthermore, the Department has revised the</w:t>
      </w:r>
      <w:r w:rsidR="00772022">
        <w:rPr>
          <w:rFonts w:ascii="Times New Roman" w:hAnsi="Times New Roman"/>
        </w:rPr>
        <w:t xml:space="preserve"> additional</w:t>
      </w:r>
      <w:r w:rsidRPr="00A971E7">
        <w:rPr>
          <w:rFonts w:ascii="Times New Roman" w:hAnsi="Times New Roman"/>
        </w:rPr>
        <w:t xml:space="preserve"> time needed to maintain records for the financial institutions to be consistent with the exemption. In the previous information collection, the average hour burden was estimated to be 10 minutes per entity annually. In the current information collection, the average hour burden is estimated to be four hours per entity annually. As a </w:t>
      </w:r>
      <w:r w:rsidRPr="00A971E7">
        <w:rPr>
          <w:rFonts w:ascii="Times New Roman" w:hAnsi="Times New Roman"/>
        </w:rPr>
        <w:t>result, the number of responses has decreased by 1,702 responses and the hour burden increased by 14,827 hours.</w:t>
      </w:r>
    </w:p>
    <w:p w:rsidR="00A971E7" w:rsidP="00A971E7" w14:paraId="2F9E8C1C" w14:textId="77777777">
      <w:pPr>
        <w:ind w:left="720"/>
        <w:rPr>
          <w:rFonts w:ascii="Times New Roman" w:hAnsi="Times New Roman"/>
        </w:rPr>
      </w:pPr>
    </w:p>
    <w:p w:rsidR="00853C8B" w:rsidRPr="005A3692" w:rsidP="00582562" w14:paraId="40C29D11" w14:textId="77777777">
      <w:pPr>
        <w:tabs>
          <w:tab w:val="left" w:pos="-1440"/>
        </w:tabs>
        <w:ind w:left="720" w:hanging="720"/>
        <w:rPr>
          <w:rFonts w:ascii="Times New Roman" w:hAnsi="Times New Roman"/>
          <w:b/>
          <w:iCs/>
        </w:rPr>
      </w:pPr>
      <w:r w:rsidRPr="005A3692">
        <w:rPr>
          <w:rFonts w:ascii="Times New Roman" w:hAnsi="Times New Roman"/>
          <w:b/>
        </w:rPr>
        <w:t>16.</w:t>
      </w:r>
      <w:r w:rsidRPr="005A3692">
        <w:rPr>
          <w:rFonts w:ascii="Times New Roman" w:hAnsi="Times New Roman"/>
          <w:b/>
        </w:rPr>
        <w:tab/>
      </w:r>
      <w:r w:rsidRPr="005A3692">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3C8B" w:rsidP="00582562" w14:paraId="05106F3E" w14:textId="77777777">
      <w:pPr>
        <w:ind w:left="720"/>
        <w:rPr>
          <w:rFonts w:ascii="Times New Roman" w:hAnsi="Times New Roman"/>
        </w:rPr>
      </w:pPr>
    </w:p>
    <w:p w:rsidR="00853C8B" w:rsidP="00582562" w14:paraId="62885DBC" w14:textId="77777777">
      <w:pPr>
        <w:ind w:left="720"/>
        <w:rPr>
          <w:rFonts w:ascii="Times New Roman" w:hAnsi="Times New Roman"/>
        </w:rPr>
      </w:pPr>
      <w:r>
        <w:rPr>
          <w:rFonts w:ascii="Times New Roman" w:hAnsi="Times New Roman"/>
        </w:rPr>
        <w:t>The results of the collection of information will not be published.</w:t>
      </w:r>
    </w:p>
    <w:p w:rsidR="00853C8B" w:rsidP="00582562" w14:paraId="2480E8B0" w14:textId="77777777">
      <w:pPr>
        <w:ind w:left="720"/>
        <w:rPr>
          <w:rFonts w:ascii="Times New Roman" w:hAnsi="Times New Roman"/>
        </w:rPr>
      </w:pPr>
    </w:p>
    <w:p w:rsidR="00853C8B" w:rsidRPr="005A3692" w:rsidP="0001701A" w14:paraId="006B774A" w14:textId="77777777">
      <w:pPr>
        <w:tabs>
          <w:tab w:val="left" w:pos="-1440"/>
        </w:tabs>
        <w:ind w:left="720" w:hanging="720"/>
        <w:rPr>
          <w:rFonts w:ascii="Times New Roman" w:hAnsi="Times New Roman"/>
          <w:b/>
          <w:iCs/>
        </w:rPr>
      </w:pPr>
      <w:r w:rsidRPr="005A3692">
        <w:rPr>
          <w:rFonts w:ascii="Times New Roman" w:hAnsi="Times New Roman"/>
          <w:b/>
        </w:rPr>
        <w:t>17.</w:t>
      </w:r>
      <w:r w:rsidRPr="005A3692">
        <w:rPr>
          <w:rFonts w:ascii="Times New Roman" w:hAnsi="Times New Roman"/>
          <w:b/>
        </w:rPr>
        <w:tab/>
      </w:r>
      <w:r w:rsidRPr="005A3692">
        <w:rPr>
          <w:rFonts w:ascii="Times New Roman" w:hAnsi="Times New Roman"/>
          <w:b/>
          <w:iCs/>
        </w:rPr>
        <w:t>If seeking approval to not display the expiration date for OMB approval of the information collection, explain the reasons that display would be inappropriate.</w:t>
      </w:r>
    </w:p>
    <w:p w:rsidR="00853C8B" w:rsidP="0001701A" w14:paraId="35CC1312" w14:textId="77777777">
      <w:pPr>
        <w:ind w:left="720"/>
        <w:rPr>
          <w:rFonts w:ascii="Times New Roman" w:hAnsi="Times New Roman"/>
        </w:rPr>
      </w:pPr>
    </w:p>
    <w:p w:rsidR="00853C8B" w:rsidP="0001701A" w14:paraId="7104746D" w14:textId="77777777">
      <w:pPr>
        <w:ind w:left="720"/>
        <w:rPr>
          <w:rFonts w:ascii="Times New Roman" w:hAnsi="Times New Roman"/>
        </w:rPr>
      </w:pPr>
      <w:r>
        <w:rPr>
          <w:rFonts w:ascii="Times New Roman" w:hAnsi="Times New Roman"/>
        </w:rPr>
        <w:t>The collection of information will display a currently valid OMB control number.</w:t>
      </w:r>
    </w:p>
    <w:p w:rsidR="00853C8B" w:rsidP="0001701A" w14:paraId="52F36B90" w14:textId="77777777">
      <w:pPr>
        <w:ind w:left="720"/>
        <w:rPr>
          <w:rFonts w:ascii="Times New Roman" w:hAnsi="Times New Roman"/>
        </w:rPr>
      </w:pPr>
    </w:p>
    <w:p w:rsidR="00853C8B" w:rsidRPr="005A3692" w:rsidP="0001701A" w14:paraId="5F7257CA" w14:textId="141C3232">
      <w:pPr>
        <w:tabs>
          <w:tab w:val="left" w:pos="-1440"/>
        </w:tabs>
        <w:ind w:left="720" w:hanging="720"/>
        <w:rPr>
          <w:rFonts w:ascii="Times New Roman" w:hAnsi="Times New Roman"/>
          <w:b/>
          <w:iCs/>
        </w:rPr>
      </w:pPr>
      <w:r w:rsidRPr="005A3692">
        <w:rPr>
          <w:rFonts w:ascii="Times New Roman" w:hAnsi="Times New Roman"/>
          <w:b/>
        </w:rPr>
        <w:t>18.</w:t>
      </w:r>
      <w:r w:rsidRPr="005A3692">
        <w:rPr>
          <w:rFonts w:ascii="Times New Roman" w:hAnsi="Times New Roman"/>
          <w:b/>
        </w:rPr>
        <w:tab/>
      </w:r>
      <w:r w:rsidRPr="005A3692">
        <w:rPr>
          <w:rFonts w:ascii="Times New Roman" w:hAnsi="Times New Roman"/>
          <w:b/>
          <w:iCs/>
        </w:rPr>
        <w:t>Explain each exception to the certification s</w:t>
      </w:r>
      <w:r w:rsidR="005A3692">
        <w:rPr>
          <w:rFonts w:ascii="Times New Roman" w:hAnsi="Times New Roman"/>
          <w:b/>
          <w:iCs/>
        </w:rPr>
        <w:t>tatement identified in Item 19.</w:t>
      </w:r>
    </w:p>
    <w:p w:rsidR="00853C8B" w:rsidP="0001701A" w14:paraId="409ED07A" w14:textId="77777777">
      <w:pPr>
        <w:ind w:left="720"/>
        <w:rPr>
          <w:rFonts w:ascii="Times New Roman" w:hAnsi="Times New Roman"/>
        </w:rPr>
      </w:pPr>
    </w:p>
    <w:p w:rsidR="00853C8B" w:rsidP="0001701A" w14:paraId="27B0A7F9" w14:textId="4C256FE5">
      <w:pPr>
        <w:ind w:left="720"/>
        <w:rPr>
          <w:rFonts w:ascii="Times New Roman" w:hAnsi="Times New Roman"/>
        </w:rPr>
      </w:pPr>
      <w:r>
        <w:rPr>
          <w:rFonts w:ascii="Times New Roman" w:hAnsi="Times New Roman"/>
        </w:rPr>
        <w:t xml:space="preserve">There are </w:t>
      </w:r>
      <w:r>
        <w:rPr>
          <w:rFonts w:ascii="Times New Roman" w:hAnsi="Times New Roman"/>
        </w:rPr>
        <w:t>no exceptions to the certification statement.</w:t>
      </w:r>
    </w:p>
    <w:p w:rsidR="00853C8B" w:rsidP="0001701A" w14:paraId="3F28B228" w14:textId="77777777">
      <w:pPr>
        <w:ind w:left="720"/>
        <w:rPr>
          <w:rFonts w:ascii="Times New Roman" w:hAnsi="Times New Roman"/>
        </w:rPr>
      </w:pPr>
    </w:p>
    <w:p w:rsidR="00853C8B" w:rsidP="0001701A" w14:paraId="174772F0" w14:textId="626FD7A1">
      <w:pPr>
        <w:pStyle w:val="Quick1"/>
        <w:numPr>
          <w:ilvl w:val="0"/>
          <w:numId w:val="6"/>
        </w:numPr>
        <w:tabs>
          <w:tab w:val="clear" w:pos="360"/>
        </w:tabs>
        <w:ind w:left="720" w:hanging="720"/>
        <w:rPr>
          <w:rFonts w:ascii="Times New Roman" w:hAnsi="Times New Roman"/>
          <w:i/>
          <w:iCs/>
        </w:rPr>
      </w:pPr>
      <w:r>
        <w:rPr>
          <w:rFonts w:ascii="Times New Roman" w:hAnsi="Times New Roman"/>
          <w:b/>
          <w:bCs/>
        </w:rPr>
        <w:t>COLLECTION OF INFORMATION EMPLOYING STATISTICAL METHODS</w:t>
      </w:r>
    </w:p>
    <w:p w:rsidR="00853C8B" w:rsidP="0001701A" w14:paraId="2B1122D4" w14:textId="77777777">
      <w:pPr>
        <w:pStyle w:val="Header"/>
        <w:tabs>
          <w:tab w:val="clear" w:pos="4320"/>
          <w:tab w:val="clear" w:pos="8640"/>
        </w:tabs>
        <w:ind w:left="720"/>
        <w:rPr>
          <w:rFonts w:ascii="Times New Roman" w:hAnsi="Times New Roman"/>
        </w:rPr>
      </w:pPr>
    </w:p>
    <w:p w:rsidR="00853C8B" w:rsidP="0001701A" w14:paraId="4B71D6FD" w14:textId="53428BAB">
      <w:pPr>
        <w:ind w:left="720"/>
        <w:rPr>
          <w:rFonts w:ascii="Times New Roman" w:hAnsi="Times New Roman"/>
        </w:rPr>
      </w:pPr>
      <w:r>
        <w:rPr>
          <w:rFonts w:ascii="Times New Roman" w:hAnsi="Times New Roman"/>
        </w:rPr>
        <w:t>The use of statistical methods is not relevant to this collection of information.</w:t>
      </w:r>
    </w:p>
    <w:p w:rsidR="00853C8B" w:rsidP="0001701A" w14:paraId="695175AF" w14:textId="77777777">
      <w:pPr>
        <w:ind w:left="720"/>
        <w:rPr>
          <w:rFonts w:ascii="Times New Roman" w:hAnsi="Times New Roman"/>
        </w:rPr>
      </w:pPr>
    </w:p>
    <w:sectPr>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372" w14:paraId="2B928001" w14:textId="77777777">
    <w:pPr>
      <w:pStyle w:val="Footer"/>
      <w:jc w:val="center"/>
    </w:pPr>
  </w:p>
  <w:sdt>
    <w:sdtPr>
      <w:id w:val="-1745715873"/>
      <w:docPartObj>
        <w:docPartGallery w:val="Page Numbers (Bottom of Page)"/>
        <w:docPartUnique/>
      </w:docPartObj>
    </w:sdtPr>
    <w:sdtEndPr>
      <w:rPr>
        <w:rFonts w:ascii="Times New Roman" w:hAnsi="Times New Roman"/>
        <w:noProof/>
      </w:rPr>
    </w:sdtEndPr>
    <w:sdtContent>
      <w:p w:rsidR="00536DF5" w:rsidRPr="00797B39" w14:paraId="733CD3A1" w14:textId="41386549">
        <w:pPr>
          <w:pStyle w:val="Footer"/>
          <w:jc w:val="center"/>
          <w:rPr>
            <w:rFonts w:ascii="Times New Roman" w:hAnsi="Times New Roman"/>
          </w:rPr>
        </w:pPr>
        <w:r w:rsidRPr="00797B39">
          <w:rPr>
            <w:rFonts w:ascii="Times New Roman" w:hAnsi="Times New Roman"/>
          </w:rPr>
          <w:fldChar w:fldCharType="begin"/>
        </w:r>
        <w:r w:rsidRPr="00797B39">
          <w:rPr>
            <w:rFonts w:ascii="Times New Roman" w:hAnsi="Times New Roman"/>
          </w:rPr>
          <w:instrText xml:space="preserve"> PAGE   \* MERGEFORMAT </w:instrText>
        </w:r>
        <w:r w:rsidRPr="00797B39">
          <w:rPr>
            <w:rFonts w:ascii="Times New Roman" w:hAnsi="Times New Roman"/>
          </w:rPr>
          <w:fldChar w:fldCharType="separate"/>
        </w:r>
        <w:r w:rsidR="001564C6">
          <w:rPr>
            <w:rFonts w:ascii="Times New Roman" w:hAnsi="Times New Roman"/>
            <w:noProof/>
          </w:rPr>
          <w:t>10</w:t>
        </w:r>
        <w:r w:rsidRPr="00797B39">
          <w:rPr>
            <w:rFonts w:ascii="Times New Roman" w:hAnsi="Times New Roman"/>
            <w:noProof/>
          </w:rPr>
          <w:fldChar w:fldCharType="end"/>
        </w:r>
      </w:p>
    </w:sdtContent>
  </w:sdt>
  <w:p w:rsidR="00536DF5" w14:paraId="7F8FB6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174C" w14:paraId="63137B3F" w14:textId="77777777">
      <w:r>
        <w:separator/>
      </w:r>
    </w:p>
  </w:footnote>
  <w:footnote w:type="continuationSeparator" w:id="1">
    <w:p w:rsidR="00F8174C" w14:paraId="339A17C2" w14:textId="77777777">
      <w:r>
        <w:continuationSeparator/>
      </w:r>
    </w:p>
  </w:footnote>
  <w:footnote w:type="continuationNotice" w:id="2">
    <w:p w:rsidR="00F8174C" w14:paraId="221942B0" w14:textId="77777777"/>
  </w:footnote>
  <w:footnote w:id="3">
    <w:p w:rsidR="002E0271" w:rsidRPr="008F4879" w:rsidP="002E0271" w14:paraId="25EA06F4" w14:textId="77777777">
      <w:pPr>
        <w:pStyle w:val="FootnoteText"/>
        <w:rPr>
          <w:rFonts w:ascii="Times New Roman" w:hAnsi="Times New Roman"/>
        </w:rPr>
      </w:pPr>
      <w:r w:rsidRPr="006A565F">
        <w:rPr>
          <w:rStyle w:val="FootnoteReference"/>
          <w:rFonts w:ascii="Times New Roman" w:hAnsi="Times New Roman" w:eastAsiaTheme="majorEastAsia"/>
          <w:vertAlign w:val="superscript"/>
        </w:rPr>
        <w:footnoteRef/>
      </w:r>
      <w:r w:rsidRPr="006A565F">
        <w:rPr>
          <w:rFonts w:ascii="Times New Roman" w:hAnsi="Times New Roman"/>
        </w:rPr>
        <w:t xml:space="preserve"> Regulations at 29 CFR section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 xml:space="preserve">Code section 4975(c)(2) authorizes the Secretary of the Treasury to grant exemptions from the parallel prohibited transaction provisions of the Code.  </w:t>
      </w:r>
      <w:r w:rsidRPr="006A565F">
        <w:rPr>
          <w:rFonts w:ascii="Times New Roman" w:hAnsi="Times New Roman" w:eastAsiaTheme="minorHAnsi"/>
        </w:rPr>
        <w:t>Reorganization Plan No. 4 of 1978 (5 U.S.C. app. at 214 (2000)) generally transferred the authority of the Secretary of the Treasury to issue administrative exemptions under Code section 4975 to the Secretary of Labor.</w:t>
      </w:r>
      <w:r w:rsidRPr="0078280B">
        <w:rPr>
          <w:rFonts w:ascii="Times New Roman" w:hAnsi="Times New Roman" w:eastAsiaTheme="minorHAnsi"/>
          <w:sz w:val="24"/>
          <w:szCs w:val="24"/>
        </w:rPr>
        <w:t xml:space="preserve">  </w:t>
      </w:r>
    </w:p>
  </w:footnote>
  <w:footnote w:id="4">
    <w:p w:rsidR="00536DF5" w:rsidRPr="001F5AA7" w:rsidP="00DE0B25" w14:paraId="74D820EF" w14:textId="22D14BA6">
      <w:pPr>
        <w:pStyle w:val="FootnoteText"/>
        <w:rPr>
          <w:rFonts w:ascii="Times New Roman" w:hAnsi="Times New Roman"/>
        </w:rPr>
      </w:pPr>
      <w:r w:rsidRPr="00430FEC">
        <w:rPr>
          <w:rStyle w:val="FootnoteReference"/>
          <w:rFonts w:ascii="Times New Roman" w:hAnsi="Times New Roman"/>
          <w:vertAlign w:val="superscript"/>
        </w:rPr>
        <w:footnoteRef/>
      </w:r>
      <w:r w:rsidR="00895DC9">
        <w:rPr>
          <w:rFonts w:ascii="Times New Roman" w:hAnsi="Times New Roman"/>
        </w:rPr>
        <w:t xml:space="preserve"> </w:t>
      </w:r>
      <w:r w:rsidRPr="00895DC9" w:rsidR="00895DC9">
        <w:rPr>
          <w:rFonts w:ascii="Times New Roman" w:hAnsi="Times New Roman"/>
          <w:i/>
          <w:iCs/>
        </w:rPr>
        <w:t>See</w:t>
      </w:r>
      <w:r w:rsidRPr="00895DC9" w:rsidR="00895DC9">
        <w:rPr>
          <w:rFonts w:ascii="Times New Roman" w:hAnsi="Times New Roman"/>
        </w:rPr>
        <w:t xml:space="preserve"> 29 CFR 2550.408b-2; 42 FR 32390 (June 24, 1977); Reasonable Contract or Arrangement under Section 408(b)(2)—Fee Disclosure, Final Rule, 77 FR 5632 (Feb. 3, 2012).</w:t>
      </w:r>
    </w:p>
  </w:footnote>
  <w:footnote w:id="5">
    <w:p w:rsidR="00536DF5" w:rsidRPr="009F7C22" w:rsidP="00833C39" w14:paraId="4BF4D130" w14:textId="324A53C0">
      <w:pPr>
        <w:pStyle w:val="FootnoteText"/>
      </w:pPr>
      <w:r w:rsidRPr="001F5AA7">
        <w:rPr>
          <w:rStyle w:val="FootnoteReference"/>
          <w:rFonts w:ascii="Times New Roman" w:hAnsi="Times New Roman"/>
          <w:vertAlign w:val="superscript"/>
        </w:rPr>
        <w:footnoteRef/>
      </w:r>
      <w:r w:rsidR="00895DC9">
        <w:rPr>
          <w:rFonts w:ascii="Times New Roman" w:hAnsi="Times New Roman"/>
        </w:rPr>
        <w:t xml:space="preserve"> </w:t>
      </w:r>
      <w:r w:rsidRPr="0071435B" w:rsidR="0071435B">
        <w:rPr>
          <w:rFonts w:ascii="Times New Roman" w:hAnsi="Times New Roman"/>
        </w:rPr>
        <w:t>81 FR 21181, 21199 (Apr. 8, 2016).</w:t>
      </w:r>
    </w:p>
  </w:footnote>
  <w:footnote w:id="6">
    <w:p w:rsidR="0060498B" w:rsidRPr="0060498B" w:rsidP="0060498B" w14:paraId="273A5A69" w14:textId="77777777">
      <w:pPr>
        <w:pStyle w:val="FootnoteText"/>
        <w:contextualSpacing/>
        <w:rPr>
          <w:rFonts w:ascii="Times New Roman" w:hAnsi="Times New Roman"/>
        </w:rPr>
      </w:pPr>
      <w:r w:rsidRPr="0060498B">
        <w:rPr>
          <w:rStyle w:val="FootnoteReference"/>
          <w:rFonts w:ascii="Times New Roman" w:hAnsi="Times New Roman"/>
          <w:vertAlign w:val="superscript"/>
        </w:rPr>
        <w:footnoteRef/>
      </w:r>
      <w:r w:rsidRPr="0060498B">
        <w:rPr>
          <w:rFonts w:ascii="Times New Roman" w:hAnsi="Times New Roman"/>
        </w:rPr>
        <w:t xml:space="preserve"> Estimates based on SEC’s FOCUS filings and SEC’s Form ADV filings.</w:t>
      </w:r>
    </w:p>
  </w:footnote>
  <w:footnote w:id="7">
    <w:p w:rsidR="004814CE" w:rsidRPr="004431A8" w:rsidP="008218B0" w14:paraId="6BE49E69" w14:textId="7E7A8EE0">
      <w:pPr>
        <w:contextualSpacing/>
        <w:rPr>
          <w:rFonts w:ascii="Times New Roman" w:hAnsi="Times New Roman"/>
          <w:sz w:val="20"/>
          <w:szCs w:val="20"/>
        </w:rPr>
      </w:pPr>
      <w:r w:rsidRPr="004431A8">
        <w:rPr>
          <w:rStyle w:val="FootnoteReference"/>
          <w:rFonts w:ascii="Times New Roman" w:hAnsi="Times New Roman"/>
          <w:sz w:val="20"/>
          <w:szCs w:val="20"/>
          <w:vertAlign w:val="superscript"/>
        </w:rPr>
        <w:footnoteRef/>
      </w:r>
      <w:r w:rsidRPr="004431A8">
        <w:rPr>
          <w:rFonts w:ascii="Times New Roman" w:hAnsi="Times New Roman"/>
          <w:sz w:val="20"/>
          <w:szCs w:val="20"/>
        </w:rPr>
        <w:t xml:space="preserve"> Federal Insurance Deposit Corporation</w:t>
      </w:r>
      <w:r>
        <w:rPr>
          <w:rFonts w:ascii="Times New Roman" w:hAnsi="Times New Roman"/>
          <w:sz w:val="20"/>
          <w:szCs w:val="20"/>
        </w:rPr>
        <w:t>,</w:t>
      </w:r>
      <w:r w:rsidRPr="004431A8">
        <w:rPr>
          <w:rFonts w:ascii="Times New Roman" w:hAnsi="Times New Roman"/>
          <w:sz w:val="20"/>
          <w:szCs w:val="20"/>
        </w:rPr>
        <w:t xml:space="preserve"> </w:t>
      </w:r>
      <w:r w:rsidRPr="003E1F0C">
        <w:rPr>
          <w:rFonts w:ascii="Times New Roman" w:hAnsi="Times New Roman"/>
          <w:i/>
          <w:iCs/>
          <w:sz w:val="20"/>
          <w:szCs w:val="20"/>
        </w:rPr>
        <w:t>Quarterly Banking Profile</w:t>
      </w:r>
      <w:r w:rsidR="0073321B">
        <w:rPr>
          <w:rFonts w:ascii="Times New Roman" w:hAnsi="Times New Roman"/>
          <w:sz w:val="20"/>
          <w:szCs w:val="20"/>
        </w:rPr>
        <w:t xml:space="preserve">, </w:t>
      </w:r>
      <w:r w:rsidRPr="003E1F0C">
        <w:rPr>
          <w:rFonts w:ascii="Times New Roman" w:hAnsi="Times New Roman"/>
          <w:i/>
          <w:iCs/>
          <w:sz w:val="20"/>
          <w:szCs w:val="20"/>
        </w:rPr>
        <w:t>Statistics at a Glance- as of March 31, 2023</w:t>
      </w:r>
      <w:r>
        <w:rPr>
          <w:rFonts w:ascii="Times New Roman" w:hAnsi="Times New Roman"/>
          <w:sz w:val="20"/>
          <w:szCs w:val="20"/>
        </w:rPr>
        <w:t>,</w:t>
      </w:r>
      <w:r w:rsidRPr="004431A8">
        <w:rPr>
          <w:rFonts w:ascii="Times New Roman" w:hAnsi="Times New Roman"/>
          <w:sz w:val="19"/>
          <w:szCs w:val="19"/>
        </w:rPr>
        <w:t xml:space="preserve"> </w:t>
      </w:r>
      <w:hyperlink r:id="rId1" w:history="1">
        <w:r w:rsidRPr="00F47168">
          <w:rPr>
            <w:rStyle w:val="Hyperlink"/>
            <w:rFonts w:ascii="Times New Roman" w:hAnsi="Times New Roman"/>
            <w:sz w:val="20"/>
            <w:szCs w:val="20"/>
          </w:rPr>
          <w:t>https://www.fdic.gov/analysis/quarterly-banking-profile/statistics-at-a-glance/2023mar/industry.pdf</w:t>
        </w:r>
      </w:hyperlink>
      <w:r>
        <w:rPr>
          <w:rFonts w:ascii="Times New Roman" w:hAnsi="Times New Roman"/>
          <w:sz w:val="20"/>
          <w:szCs w:val="20"/>
        </w:rPr>
        <w:t>.</w:t>
      </w:r>
    </w:p>
  </w:footnote>
  <w:footnote w:id="8">
    <w:p w:rsidR="008218B0" w:rsidRPr="008F4879" w:rsidP="008218B0" w14:paraId="1DD80F7F" w14:textId="1C8C4228">
      <w:pPr>
        <w:contextualSpacing/>
        <w:rPr>
          <w:sz w:val="20"/>
          <w:szCs w:val="20"/>
        </w:rPr>
      </w:pPr>
      <w:r w:rsidRPr="004431A8">
        <w:rPr>
          <w:rStyle w:val="FootnoteReference"/>
          <w:rFonts w:ascii="Times New Roman" w:hAnsi="Times New Roman"/>
          <w:sz w:val="20"/>
          <w:szCs w:val="20"/>
          <w:vertAlign w:val="superscript"/>
        </w:rPr>
        <w:footnoteRef/>
      </w:r>
      <w:r w:rsidRPr="004431A8">
        <w:rPr>
          <w:rFonts w:ascii="Times New Roman" w:hAnsi="Times New Roman"/>
          <w:sz w:val="20"/>
          <w:szCs w:val="20"/>
        </w:rPr>
        <w:t xml:space="preserve"> Reporting dealers covered by the exemption are not accounted for separately because they are banks and security brokerages that trade in U.S. Government Securities; thus, reporting dealers are already accounted for in the number of broker-dealer firms and banks.  The N</w:t>
      </w:r>
      <w:r w:rsidR="00B45E48">
        <w:rPr>
          <w:rFonts w:ascii="Times New Roman" w:hAnsi="Times New Roman"/>
          <w:sz w:val="20"/>
          <w:szCs w:val="20"/>
        </w:rPr>
        <w:t xml:space="preserve">ew </w:t>
      </w:r>
      <w:r w:rsidRPr="004431A8">
        <w:rPr>
          <w:rFonts w:ascii="Times New Roman" w:hAnsi="Times New Roman"/>
          <w:sz w:val="20"/>
          <w:szCs w:val="20"/>
        </w:rPr>
        <w:t>Y</w:t>
      </w:r>
      <w:r w:rsidR="00B45E48">
        <w:rPr>
          <w:rFonts w:ascii="Times New Roman" w:hAnsi="Times New Roman"/>
          <w:sz w:val="20"/>
          <w:szCs w:val="20"/>
        </w:rPr>
        <w:t>ork</w:t>
      </w:r>
      <w:r w:rsidRPr="004431A8">
        <w:rPr>
          <w:rFonts w:ascii="Times New Roman" w:hAnsi="Times New Roman"/>
          <w:sz w:val="20"/>
          <w:szCs w:val="20"/>
        </w:rPr>
        <w:t xml:space="preserve"> Federal Reserve Bank reported 21 primary dealers on March 21, 2013.  (</w:t>
      </w:r>
      <w:hyperlink r:id="rId2" w:history="1">
        <w:r w:rsidRPr="004431A8">
          <w:rPr>
            <w:rStyle w:val="Hyperlink"/>
            <w:rFonts w:ascii="Times New Roman" w:hAnsi="Times New Roman"/>
            <w:sz w:val="20"/>
            <w:szCs w:val="20"/>
          </w:rPr>
          <w:t>http://www.newyorkfed.org/markets/pridealers_current.html</w:t>
        </w:r>
      </w:hyperlink>
      <w:r w:rsidRPr="004431A8">
        <w:rPr>
          <w:rFonts w:ascii="Times New Roman" w:hAnsi="Times New Roman"/>
          <w:sz w:val="20"/>
          <w:szCs w:val="20"/>
        </w:rPr>
        <w:t>)</w:t>
      </w:r>
      <w:r w:rsidR="00EF6FB5">
        <w:rPr>
          <w:rFonts w:ascii="Times New Roman" w:hAnsi="Times New Roman"/>
          <w:sz w:val="20"/>
          <w:szCs w:val="20"/>
        </w:rPr>
        <w:t>.</w:t>
      </w:r>
    </w:p>
  </w:footnote>
  <w:footnote w:id="9">
    <w:p w:rsidR="004431A8" w:rsidRPr="00544680" w:rsidP="004431A8" w14:paraId="1D96327D" w14:textId="1DA9857F">
      <w:pPr>
        <w:pStyle w:val="FootnoteText"/>
        <w:rPr>
          <w:rFonts w:ascii="Times New Roman" w:hAnsi="Times New Roman"/>
        </w:rPr>
      </w:pPr>
      <w:r w:rsidRPr="00544680">
        <w:rPr>
          <w:rStyle w:val="FootnoteReference"/>
          <w:rFonts w:ascii="Times New Roman" w:hAnsi="Times New Roman"/>
          <w:vertAlign w:val="superscript"/>
        </w:rPr>
        <w:footnoteRef/>
      </w:r>
      <w:r w:rsidRPr="00544680">
        <w:rPr>
          <w:rFonts w:ascii="Times New Roman" w:hAnsi="Times New Roman"/>
          <w:vertAlign w:val="superscript"/>
        </w:rPr>
        <w:t xml:space="preserve"> </w:t>
      </w:r>
      <w:r w:rsidRPr="00544680">
        <w:rPr>
          <w:rFonts w:ascii="Times New Roman" w:hAnsi="Times New Roman"/>
        </w:rPr>
        <w:t xml:space="preserve">Internal </w:t>
      </w:r>
      <w:r w:rsidR="007352A0">
        <w:rPr>
          <w:rFonts w:ascii="Times New Roman" w:hAnsi="Times New Roman"/>
        </w:rPr>
        <w:t>Department</w:t>
      </w:r>
      <w:r w:rsidRPr="00544680">
        <w:rPr>
          <w:rFonts w:ascii="Times New Roman" w:hAnsi="Times New Roman"/>
        </w:rPr>
        <w:t xml:space="preserve"> calculation based on 2023 labor cost data.  For a description of the Department’s methodology for calculating wage rates, see </w:t>
      </w:r>
      <w:hyperlink r:id="rId3" w:history="1">
        <w:r w:rsidRPr="00F47168" w:rsidR="00E25667">
          <w:rPr>
            <w:rStyle w:val="Hyperlink"/>
            <w:rFonts w:ascii="Times New Roman" w:hAnsi="Times New Roman"/>
          </w:rPr>
          <w:t>https://www.dol.gov/sites/dolgov/files/EBSA/laws-and-regulations/rules-and-regulations/technical-appendices/labor-cost-inputs-used-in-ebsa-opr-ria-and-pra-burden-calculations-june-2019.pdf</w:t>
        </w:r>
      </w:hyperlink>
      <w:r w:rsidRPr="00544680">
        <w:rPr>
          <w:rFonts w:ascii="Times New Roman" w:hAnsi="Times New Roman"/>
        </w:rPr>
        <w:t xml:space="preserve">.  </w:t>
      </w:r>
    </w:p>
  </w:footnote>
  <w:footnote w:id="10">
    <w:p w:rsidR="008218B0" w:rsidRPr="00E543B4" w:rsidP="008218B0" w14:paraId="6D030025" w14:textId="77777777">
      <w:pPr>
        <w:pStyle w:val="FootnoteText"/>
        <w:rPr>
          <w:rFonts w:ascii="Times New Roman" w:hAnsi="Times New Roman"/>
        </w:rPr>
      </w:pPr>
      <w:r w:rsidRPr="00544680">
        <w:rPr>
          <w:rStyle w:val="FootnoteReference"/>
          <w:rFonts w:ascii="Times New Roman" w:hAnsi="Times New Roman"/>
          <w:vertAlign w:val="superscript"/>
        </w:rPr>
        <w:footnoteRef/>
      </w:r>
      <w:r w:rsidRPr="00E543B4">
        <w:rPr>
          <w:rFonts w:ascii="Times New Roman" w:hAnsi="Times New Roman"/>
          <w:vertAlign w:val="superscript"/>
        </w:rPr>
        <w:t xml:space="preserve"> </w:t>
      </w:r>
      <w:r w:rsidRPr="00E543B4">
        <w:rPr>
          <w:rFonts w:ascii="Times New Roman" w:hAnsi="Times New Roman"/>
        </w:rPr>
        <w:t>The burden is estimated as follows: 3,983 financial institutions x 4 hours = 15,932 hours.  A labor rate of $190.63 is used for a manager.  The labor rate is applied in the following calculation:  3,983 x 4 hours x $190.63 = $3,037,117.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DF5" w:rsidP="000433BB" w14:paraId="20BC4E7D" w14:textId="77777777">
    <w:pPr>
      <w:rPr>
        <w:rFonts w:ascii="CG Times" w:hAnsi="CG Times"/>
        <w:b/>
        <w:bCs/>
        <w:sz w:val="20"/>
        <w:szCs w:val="20"/>
      </w:rPr>
    </w:pPr>
    <w:r>
      <w:rPr>
        <w:rFonts w:ascii="CG Times" w:hAnsi="CG Times"/>
        <w:b/>
        <w:bCs/>
        <w:sz w:val="20"/>
        <w:szCs w:val="20"/>
      </w:rPr>
      <w:t>Prohibited Transaction Exemption 75-1</w:t>
    </w:r>
  </w:p>
  <w:p w:rsidR="00536DF5" w:rsidP="000433BB" w14:paraId="731BD033" w14:textId="77777777">
    <w:pPr>
      <w:rPr>
        <w:rFonts w:ascii="CG Times" w:hAnsi="CG Times"/>
        <w:b/>
        <w:bCs/>
        <w:sz w:val="20"/>
        <w:szCs w:val="20"/>
      </w:rPr>
    </w:pPr>
    <w:r>
      <w:rPr>
        <w:rFonts w:ascii="CG Times" w:hAnsi="CG Times"/>
        <w:b/>
        <w:bCs/>
        <w:sz w:val="20"/>
        <w:szCs w:val="20"/>
      </w:rPr>
      <w:t>(Security Transactions with Broker-Dealers, Reporting Dealers and Banks)</w:t>
    </w:r>
  </w:p>
  <w:p w:rsidR="00536DF5" w:rsidP="000433BB" w14:paraId="0D0F169D" w14:textId="5FE7385C">
    <w:pPr>
      <w:rPr>
        <w:rFonts w:ascii="CG Times" w:hAnsi="CG Times"/>
        <w:b/>
        <w:bCs/>
        <w:sz w:val="20"/>
        <w:szCs w:val="20"/>
      </w:rPr>
    </w:pPr>
    <w:r>
      <w:rPr>
        <w:rFonts w:ascii="CG Times" w:hAnsi="CG Times"/>
        <w:b/>
        <w:bCs/>
        <w:sz w:val="20"/>
        <w:szCs w:val="20"/>
      </w:rPr>
      <w:t>OMB Control Number 1210-0092</w:t>
    </w:r>
  </w:p>
  <w:p w:rsidR="001E3BDD" w:rsidP="000433BB" w14:paraId="446A0F6B" w14:textId="69B02D33">
    <w:pPr>
      <w:rPr>
        <w:rFonts w:ascii="Times New Roman" w:hAnsi="Times New Roman"/>
        <w:sz w:val="20"/>
        <w:szCs w:val="20"/>
      </w:rPr>
    </w:pPr>
    <w:r>
      <w:rPr>
        <w:rFonts w:ascii="CG Times" w:hAnsi="CG Times"/>
        <w:b/>
        <w:bCs/>
        <w:sz w:val="20"/>
        <w:szCs w:val="20"/>
      </w:rPr>
      <w:t xml:space="preserve">OMB </w:t>
    </w:r>
    <w:r>
      <w:rPr>
        <w:rFonts w:ascii="CG Times" w:hAnsi="CG Times"/>
        <w:b/>
        <w:bCs/>
        <w:sz w:val="20"/>
        <w:szCs w:val="20"/>
      </w:rPr>
      <w:t>Expiration Date: 08/31/2025</w:t>
    </w:r>
  </w:p>
  <w:p w:rsidR="00536DF5" w:rsidP="00F61E16" w14:paraId="16E32FAC" w14:textId="2865D189">
    <w:pPr>
      <w:spacing w:line="235" w:lineRule="exact"/>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15DB2F66"/>
    <w:multiLevelType w:val="hybridMultilevel"/>
    <w:tmpl w:val="4D1C8ED8"/>
    <w:lvl w:ilvl="0">
      <w:start w:val="1"/>
      <w:numFmt w:val="decimal"/>
      <w:lvlText w:val="%1."/>
      <w:lvlJc w:val="left"/>
      <w:pPr>
        <w:tabs>
          <w:tab w:val="num" w:pos="1080"/>
        </w:tabs>
        <w:ind w:left="1080" w:hanging="720"/>
      </w:pPr>
      <w:rPr>
        <w:rFonts w:hint="default"/>
        <w:b/>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696CBA"/>
    <w:multiLevelType w:val="hybridMultilevel"/>
    <w:tmpl w:val="75268FA8"/>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9445A35"/>
    <w:multiLevelType w:val="hybridMultilevel"/>
    <w:tmpl w:val="025AAC9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64C17FD1"/>
    <w:multiLevelType w:val="hybridMultilevel"/>
    <w:tmpl w:val="B4942D7E"/>
    <w:lvl w:ilvl="0">
      <w:start w:val="2"/>
      <w:numFmt w:val="upperLetter"/>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62447339">
    <w:abstractNumId w:val="0"/>
    <w:lvlOverride w:ilvl="0">
      <w:startOverride w:val="1"/>
      <w:lvl w:ilvl="0">
        <w:start w:val="1"/>
        <w:numFmt w:val="decimal"/>
        <w:pStyle w:val="Quick1"/>
        <w:lvlText w:val="%1."/>
        <w:lvlJc w:val="left"/>
      </w:lvl>
    </w:lvlOverride>
  </w:num>
  <w:num w:numId="2" w16cid:durableId="1828397102">
    <w:abstractNumId w:val="0"/>
    <w:lvlOverride w:ilvl="0">
      <w:startOverride w:val="13"/>
      <w:lvl w:ilvl="0">
        <w:start w:val="13"/>
        <w:numFmt w:val="decimal"/>
        <w:pStyle w:val="Quick1"/>
        <w:lvlText w:val="%1."/>
        <w:lvlJc w:val="left"/>
      </w:lvl>
    </w:lvlOverride>
  </w:num>
  <w:num w:numId="3" w16cid:durableId="1536698401">
    <w:abstractNumId w:val="1"/>
    <w:lvlOverride w:ilvl="0">
      <w:startOverride w:val="2"/>
      <w:lvl w:ilvl="0">
        <w:start w:val="2"/>
        <w:numFmt w:val="decimal"/>
        <w:pStyle w:val="QuickA"/>
        <w:lvlText w:val="%1."/>
        <w:lvlJc w:val="left"/>
      </w:lvl>
    </w:lvlOverride>
  </w:num>
  <w:num w:numId="4" w16cid:durableId="1638022378">
    <w:abstractNumId w:val="0"/>
    <w:lvlOverride w:ilvl="0">
      <w:startOverride w:val="19"/>
      <w:lvl w:ilvl="0">
        <w:start w:val="19"/>
        <w:numFmt w:val="decimal"/>
        <w:pStyle w:val="Quick1"/>
        <w:lvlText w:val="%1."/>
        <w:lvlJc w:val="left"/>
      </w:lvl>
    </w:lvlOverride>
  </w:num>
  <w:num w:numId="5" w16cid:durableId="770392425">
    <w:abstractNumId w:val="3"/>
  </w:num>
  <w:num w:numId="6" w16cid:durableId="908881550">
    <w:abstractNumId w:val="6"/>
  </w:num>
  <w:num w:numId="7" w16cid:durableId="1540971805">
    <w:abstractNumId w:val="4"/>
  </w:num>
  <w:num w:numId="8" w16cid:durableId="2004311172">
    <w:abstractNumId w:val="5"/>
  </w:num>
  <w:num w:numId="9" w16cid:durableId="860554706">
    <w:abstractNumId w:val="2"/>
  </w:num>
  <w:num w:numId="10" w16cid:durableId="1605111319">
    <w:abstractNumId w:val="0"/>
    <w:lvlOverride w:ilvl="0">
      <w:startOverride w:val="12"/>
      <w:lvl w:ilvl="0">
        <w:start w:val="1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D7"/>
    <w:rsid w:val="00005C49"/>
    <w:rsid w:val="00007A31"/>
    <w:rsid w:val="0001019C"/>
    <w:rsid w:val="0001701A"/>
    <w:rsid w:val="00017665"/>
    <w:rsid w:val="00020EA9"/>
    <w:rsid w:val="00023387"/>
    <w:rsid w:val="00024FF0"/>
    <w:rsid w:val="00027DEB"/>
    <w:rsid w:val="00033163"/>
    <w:rsid w:val="00034812"/>
    <w:rsid w:val="00041963"/>
    <w:rsid w:val="000433BB"/>
    <w:rsid w:val="00053810"/>
    <w:rsid w:val="00053F88"/>
    <w:rsid w:val="00056AA0"/>
    <w:rsid w:val="00057834"/>
    <w:rsid w:val="00057FCB"/>
    <w:rsid w:val="0006000D"/>
    <w:rsid w:val="00074ED5"/>
    <w:rsid w:val="000753A6"/>
    <w:rsid w:val="00077E4F"/>
    <w:rsid w:val="000858EF"/>
    <w:rsid w:val="00091AFE"/>
    <w:rsid w:val="00093948"/>
    <w:rsid w:val="000943EF"/>
    <w:rsid w:val="000A0ABB"/>
    <w:rsid w:val="000A1DD9"/>
    <w:rsid w:val="000A3F40"/>
    <w:rsid w:val="000A5418"/>
    <w:rsid w:val="000A6413"/>
    <w:rsid w:val="000A6B7D"/>
    <w:rsid w:val="000B3293"/>
    <w:rsid w:val="000C2161"/>
    <w:rsid w:val="000C53AD"/>
    <w:rsid w:val="000D1B60"/>
    <w:rsid w:val="000D25B9"/>
    <w:rsid w:val="000F199D"/>
    <w:rsid w:val="001045BE"/>
    <w:rsid w:val="00104CB8"/>
    <w:rsid w:val="00105857"/>
    <w:rsid w:val="00117C78"/>
    <w:rsid w:val="001207AB"/>
    <w:rsid w:val="00123B7F"/>
    <w:rsid w:val="00134423"/>
    <w:rsid w:val="001409A4"/>
    <w:rsid w:val="00141B1B"/>
    <w:rsid w:val="00154A8F"/>
    <w:rsid w:val="001564C6"/>
    <w:rsid w:val="00157E98"/>
    <w:rsid w:val="00161A21"/>
    <w:rsid w:val="00162E3E"/>
    <w:rsid w:val="00165108"/>
    <w:rsid w:val="00182B71"/>
    <w:rsid w:val="0018347C"/>
    <w:rsid w:val="0019099C"/>
    <w:rsid w:val="00193721"/>
    <w:rsid w:val="00197A73"/>
    <w:rsid w:val="001B0B6C"/>
    <w:rsid w:val="001C02C4"/>
    <w:rsid w:val="001D0079"/>
    <w:rsid w:val="001D16D0"/>
    <w:rsid w:val="001E3A4C"/>
    <w:rsid w:val="001E3BDD"/>
    <w:rsid w:val="001E5EBB"/>
    <w:rsid w:val="001E6800"/>
    <w:rsid w:val="001F5AA7"/>
    <w:rsid w:val="00201971"/>
    <w:rsid w:val="00201FCF"/>
    <w:rsid w:val="00202A34"/>
    <w:rsid w:val="002063F1"/>
    <w:rsid w:val="00213211"/>
    <w:rsid w:val="002134DC"/>
    <w:rsid w:val="00213A15"/>
    <w:rsid w:val="00215585"/>
    <w:rsid w:val="00221A03"/>
    <w:rsid w:val="0022267D"/>
    <w:rsid w:val="002253F6"/>
    <w:rsid w:val="00225491"/>
    <w:rsid w:val="00225864"/>
    <w:rsid w:val="0023049F"/>
    <w:rsid w:val="00236D2F"/>
    <w:rsid w:val="0024107B"/>
    <w:rsid w:val="00242B21"/>
    <w:rsid w:val="0026192C"/>
    <w:rsid w:val="00263407"/>
    <w:rsid w:val="00263AC2"/>
    <w:rsid w:val="002663A6"/>
    <w:rsid w:val="0026787F"/>
    <w:rsid w:val="00286830"/>
    <w:rsid w:val="002A41D4"/>
    <w:rsid w:val="002A72EF"/>
    <w:rsid w:val="002B11A5"/>
    <w:rsid w:val="002B7322"/>
    <w:rsid w:val="002C346D"/>
    <w:rsid w:val="002C6F19"/>
    <w:rsid w:val="002E0271"/>
    <w:rsid w:val="002E20E8"/>
    <w:rsid w:val="002F5067"/>
    <w:rsid w:val="00304765"/>
    <w:rsid w:val="00306C3D"/>
    <w:rsid w:val="003102BF"/>
    <w:rsid w:val="00313C74"/>
    <w:rsid w:val="00314919"/>
    <w:rsid w:val="0031797F"/>
    <w:rsid w:val="00322279"/>
    <w:rsid w:val="00327273"/>
    <w:rsid w:val="00337099"/>
    <w:rsid w:val="00340F08"/>
    <w:rsid w:val="00343063"/>
    <w:rsid w:val="003472F1"/>
    <w:rsid w:val="00351EBC"/>
    <w:rsid w:val="0035337B"/>
    <w:rsid w:val="003560B3"/>
    <w:rsid w:val="00364C64"/>
    <w:rsid w:val="003658B5"/>
    <w:rsid w:val="00367287"/>
    <w:rsid w:val="00374819"/>
    <w:rsid w:val="00380809"/>
    <w:rsid w:val="00386613"/>
    <w:rsid w:val="003A2AC7"/>
    <w:rsid w:val="003A41BC"/>
    <w:rsid w:val="003A4A52"/>
    <w:rsid w:val="003A5055"/>
    <w:rsid w:val="003B2FF9"/>
    <w:rsid w:val="003B3DE9"/>
    <w:rsid w:val="003B5EF3"/>
    <w:rsid w:val="003C4D4B"/>
    <w:rsid w:val="003C4E47"/>
    <w:rsid w:val="003C4F32"/>
    <w:rsid w:val="003C534D"/>
    <w:rsid w:val="003D441C"/>
    <w:rsid w:val="003E0080"/>
    <w:rsid w:val="003E1F0C"/>
    <w:rsid w:val="003E663D"/>
    <w:rsid w:val="003F4AB0"/>
    <w:rsid w:val="003F64D7"/>
    <w:rsid w:val="0040240B"/>
    <w:rsid w:val="0042484A"/>
    <w:rsid w:val="00430FEC"/>
    <w:rsid w:val="004404CF"/>
    <w:rsid w:val="004431A8"/>
    <w:rsid w:val="0046309A"/>
    <w:rsid w:val="00466046"/>
    <w:rsid w:val="004708D7"/>
    <w:rsid w:val="004814CE"/>
    <w:rsid w:val="00482A67"/>
    <w:rsid w:val="00485BFA"/>
    <w:rsid w:val="0048679C"/>
    <w:rsid w:val="00486B5B"/>
    <w:rsid w:val="00492349"/>
    <w:rsid w:val="00492D35"/>
    <w:rsid w:val="00494F82"/>
    <w:rsid w:val="00496544"/>
    <w:rsid w:val="004A769C"/>
    <w:rsid w:val="004C2378"/>
    <w:rsid w:val="004C6ED0"/>
    <w:rsid w:val="004D538E"/>
    <w:rsid w:val="004E121D"/>
    <w:rsid w:val="004F33A4"/>
    <w:rsid w:val="004F4D14"/>
    <w:rsid w:val="004F6C7F"/>
    <w:rsid w:val="00500509"/>
    <w:rsid w:val="00501896"/>
    <w:rsid w:val="00503A55"/>
    <w:rsid w:val="00504333"/>
    <w:rsid w:val="0050B08F"/>
    <w:rsid w:val="005118CA"/>
    <w:rsid w:val="00511B37"/>
    <w:rsid w:val="005127D3"/>
    <w:rsid w:val="00515773"/>
    <w:rsid w:val="005163A1"/>
    <w:rsid w:val="005164E8"/>
    <w:rsid w:val="00517485"/>
    <w:rsid w:val="00522328"/>
    <w:rsid w:val="005266E6"/>
    <w:rsid w:val="0053262B"/>
    <w:rsid w:val="00533C9D"/>
    <w:rsid w:val="00536A2B"/>
    <w:rsid w:val="00536DF5"/>
    <w:rsid w:val="0054112D"/>
    <w:rsid w:val="00543ABD"/>
    <w:rsid w:val="00544680"/>
    <w:rsid w:val="005472E6"/>
    <w:rsid w:val="00552DE6"/>
    <w:rsid w:val="00553557"/>
    <w:rsid w:val="005606F7"/>
    <w:rsid w:val="00565E2F"/>
    <w:rsid w:val="00570833"/>
    <w:rsid w:val="00574D79"/>
    <w:rsid w:val="00582562"/>
    <w:rsid w:val="00582C12"/>
    <w:rsid w:val="00584627"/>
    <w:rsid w:val="00585F3B"/>
    <w:rsid w:val="00586429"/>
    <w:rsid w:val="005944C4"/>
    <w:rsid w:val="005A2600"/>
    <w:rsid w:val="005A2EEE"/>
    <w:rsid w:val="005A3692"/>
    <w:rsid w:val="005A5024"/>
    <w:rsid w:val="005A6DF9"/>
    <w:rsid w:val="005B5F25"/>
    <w:rsid w:val="005B6676"/>
    <w:rsid w:val="005C0005"/>
    <w:rsid w:val="005C5EC3"/>
    <w:rsid w:val="005D3548"/>
    <w:rsid w:val="005E5A11"/>
    <w:rsid w:val="005E767B"/>
    <w:rsid w:val="005F1DB4"/>
    <w:rsid w:val="005F4AC8"/>
    <w:rsid w:val="005F71AA"/>
    <w:rsid w:val="00600F39"/>
    <w:rsid w:val="00604583"/>
    <w:rsid w:val="0060498B"/>
    <w:rsid w:val="00606E78"/>
    <w:rsid w:val="00617763"/>
    <w:rsid w:val="00631E5B"/>
    <w:rsid w:val="00632891"/>
    <w:rsid w:val="00637014"/>
    <w:rsid w:val="00637F89"/>
    <w:rsid w:val="00647636"/>
    <w:rsid w:val="00650F24"/>
    <w:rsid w:val="00654F88"/>
    <w:rsid w:val="00657F8C"/>
    <w:rsid w:val="006611A2"/>
    <w:rsid w:val="00665826"/>
    <w:rsid w:val="0067675C"/>
    <w:rsid w:val="00681BBC"/>
    <w:rsid w:val="00682FD2"/>
    <w:rsid w:val="0069643E"/>
    <w:rsid w:val="006969C3"/>
    <w:rsid w:val="006A03E2"/>
    <w:rsid w:val="006A5043"/>
    <w:rsid w:val="006A565F"/>
    <w:rsid w:val="006B7CDD"/>
    <w:rsid w:val="006C314A"/>
    <w:rsid w:val="006D1FDA"/>
    <w:rsid w:val="006D55A1"/>
    <w:rsid w:val="006D5C2D"/>
    <w:rsid w:val="006E7DFD"/>
    <w:rsid w:val="006F099A"/>
    <w:rsid w:val="007021D1"/>
    <w:rsid w:val="0070253C"/>
    <w:rsid w:val="007043D9"/>
    <w:rsid w:val="00706CCD"/>
    <w:rsid w:val="0071435B"/>
    <w:rsid w:val="00717B07"/>
    <w:rsid w:val="00722202"/>
    <w:rsid w:val="0072348C"/>
    <w:rsid w:val="00725F4F"/>
    <w:rsid w:val="0072688F"/>
    <w:rsid w:val="00726D45"/>
    <w:rsid w:val="00727C26"/>
    <w:rsid w:val="0073220E"/>
    <w:rsid w:val="0073300D"/>
    <w:rsid w:val="0073321B"/>
    <w:rsid w:val="007352A0"/>
    <w:rsid w:val="007362D4"/>
    <w:rsid w:val="00743577"/>
    <w:rsid w:val="00747506"/>
    <w:rsid w:val="0074766C"/>
    <w:rsid w:val="0075028A"/>
    <w:rsid w:val="007523C1"/>
    <w:rsid w:val="007578BE"/>
    <w:rsid w:val="0076357D"/>
    <w:rsid w:val="00770049"/>
    <w:rsid w:val="00772022"/>
    <w:rsid w:val="00776EF8"/>
    <w:rsid w:val="0078239F"/>
    <w:rsid w:val="0078280B"/>
    <w:rsid w:val="007901E0"/>
    <w:rsid w:val="007945C0"/>
    <w:rsid w:val="00797B39"/>
    <w:rsid w:val="007A156B"/>
    <w:rsid w:val="007A2987"/>
    <w:rsid w:val="007B0DE0"/>
    <w:rsid w:val="007B2189"/>
    <w:rsid w:val="007B78B0"/>
    <w:rsid w:val="007B7C87"/>
    <w:rsid w:val="007C14DC"/>
    <w:rsid w:val="007D22D2"/>
    <w:rsid w:val="007E253F"/>
    <w:rsid w:val="007F3A02"/>
    <w:rsid w:val="007F3F3C"/>
    <w:rsid w:val="007F5F7F"/>
    <w:rsid w:val="00804F77"/>
    <w:rsid w:val="00806D65"/>
    <w:rsid w:val="008118D0"/>
    <w:rsid w:val="008218B0"/>
    <w:rsid w:val="00821E1A"/>
    <w:rsid w:val="00826556"/>
    <w:rsid w:val="00833C39"/>
    <w:rsid w:val="008419B4"/>
    <w:rsid w:val="0084243E"/>
    <w:rsid w:val="00843A73"/>
    <w:rsid w:val="00846BB3"/>
    <w:rsid w:val="00853C8B"/>
    <w:rsid w:val="00854770"/>
    <w:rsid w:val="00854D43"/>
    <w:rsid w:val="00855F13"/>
    <w:rsid w:val="00856954"/>
    <w:rsid w:val="00867CAD"/>
    <w:rsid w:val="0087009D"/>
    <w:rsid w:val="008702AC"/>
    <w:rsid w:val="00873884"/>
    <w:rsid w:val="00881F73"/>
    <w:rsid w:val="00882635"/>
    <w:rsid w:val="00895DC9"/>
    <w:rsid w:val="00897522"/>
    <w:rsid w:val="008A0170"/>
    <w:rsid w:val="008A6C3E"/>
    <w:rsid w:val="008B2169"/>
    <w:rsid w:val="008B54B0"/>
    <w:rsid w:val="008B7C23"/>
    <w:rsid w:val="008D2923"/>
    <w:rsid w:val="008E4631"/>
    <w:rsid w:val="008E506B"/>
    <w:rsid w:val="008F09C0"/>
    <w:rsid w:val="008F366E"/>
    <w:rsid w:val="008F4879"/>
    <w:rsid w:val="00903372"/>
    <w:rsid w:val="00912194"/>
    <w:rsid w:val="009176F1"/>
    <w:rsid w:val="0092284F"/>
    <w:rsid w:val="009259B3"/>
    <w:rsid w:val="00926CEC"/>
    <w:rsid w:val="00934B2B"/>
    <w:rsid w:val="009426CA"/>
    <w:rsid w:val="00961A13"/>
    <w:rsid w:val="00972D6B"/>
    <w:rsid w:val="009831CA"/>
    <w:rsid w:val="00997701"/>
    <w:rsid w:val="00997784"/>
    <w:rsid w:val="009B0740"/>
    <w:rsid w:val="009B2E34"/>
    <w:rsid w:val="009D7289"/>
    <w:rsid w:val="009E13AC"/>
    <w:rsid w:val="009E15D2"/>
    <w:rsid w:val="009E1E35"/>
    <w:rsid w:val="009F7C22"/>
    <w:rsid w:val="00A0485B"/>
    <w:rsid w:val="00A05521"/>
    <w:rsid w:val="00A0631C"/>
    <w:rsid w:val="00A11B82"/>
    <w:rsid w:val="00A256BA"/>
    <w:rsid w:val="00A33D2F"/>
    <w:rsid w:val="00A37F46"/>
    <w:rsid w:val="00A46F73"/>
    <w:rsid w:val="00A46FEA"/>
    <w:rsid w:val="00A50CD2"/>
    <w:rsid w:val="00A53E32"/>
    <w:rsid w:val="00A53EDD"/>
    <w:rsid w:val="00A6238B"/>
    <w:rsid w:val="00A67AA3"/>
    <w:rsid w:val="00A7532E"/>
    <w:rsid w:val="00A765FD"/>
    <w:rsid w:val="00A83D09"/>
    <w:rsid w:val="00A90234"/>
    <w:rsid w:val="00A91E25"/>
    <w:rsid w:val="00A9210D"/>
    <w:rsid w:val="00A92C93"/>
    <w:rsid w:val="00A971E7"/>
    <w:rsid w:val="00AA1FF5"/>
    <w:rsid w:val="00AA282C"/>
    <w:rsid w:val="00AA3EB4"/>
    <w:rsid w:val="00AA7567"/>
    <w:rsid w:val="00AB25C5"/>
    <w:rsid w:val="00AB3531"/>
    <w:rsid w:val="00AB39C8"/>
    <w:rsid w:val="00AB63DD"/>
    <w:rsid w:val="00AE1FF2"/>
    <w:rsid w:val="00B06592"/>
    <w:rsid w:val="00B43D58"/>
    <w:rsid w:val="00B45E48"/>
    <w:rsid w:val="00B54F7E"/>
    <w:rsid w:val="00B571C9"/>
    <w:rsid w:val="00B655A4"/>
    <w:rsid w:val="00B65B70"/>
    <w:rsid w:val="00B740FC"/>
    <w:rsid w:val="00B76B82"/>
    <w:rsid w:val="00B926A2"/>
    <w:rsid w:val="00B955AB"/>
    <w:rsid w:val="00B96047"/>
    <w:rsid w:val="00B9649B"/>
    <w:rsid w:val="00B96DE4"/>
    <w:rsid w:val="00BA29FE"/>
    <w:rsid w:val="00BA50B1"/>
    <w:rsid w:val="00BA758B"/>
    <w:rsid w:val="00BA75AF"/>
    <w:rsid w:val="00BA79E0"/>
    <w:rsid w:val="00BC002D"/>
    <w:rsid w:val="00BC087C"/>
    <w:rsid w:val="00BD25E8"/>
    <w:rsid w:val="00BD5F86"/>
    <w:rsid w:val="00BD60AE"/>
    <w:rsid w:val="00BE03D2"/>
    <w:rsid w:val="00BE4F51"/>
    <w:rsid w:val="00C040F9"/>
    <w:rsid w:val="00C10757"/>
    <w:rsid w:val="00C138EA"/>
    <w:rsid w:val="00C14A07"/>
    <w:rsid w:val="00C200C4"/>
    <w:rsid w:val="00C22C80"/>
    <w:rsid w:val="00C27B60"/>
    <w:rsid w:val="00C33B02"/>
    <w:rsid w:val="00C345FE"/>
    <w:rsid w:val="00C35284"/>
    <w:rsid w:val="00C36B8E"/>
    <w:rsid w:val="00C46023"/>
    <w:rsid w:val="00C50B8A"/>
    <w:rsid w:val="00C53E6E"/>
    <w:rsid w:val="00C55636"/>
    <w:rsid w:val="00C63F9A"/>
    <w:rsid w:val="00C66C0F"/>
    <w:rsid w:val="00C67DEA"/>
    <w:rsid w:val="00C73BBA"/>
    <w:rsid w:val="00C91661"/>
    <w:rsid w:val="00C92372"/>
    <w:rsid w:val="00C924D8"/>
    <w:rsid w:val="00C9497D"/>
    <w:rsid w:val="00C952F1"/>
    <w:rsid w:val="00CA2983"/>
    <w:rsid w:val="00CB5094"/>
    <w:rsid w:val="00CC0175"/>
    <w:rsid w:val="00CC2CDD"/>
    <w:rsid w:val="00CC396D"/>
    <w:rsid w:val="00CC6155"/>
    <w:rsid w:val="00CD0031"/>
    <w:rsid w:val="00CD5DF4"/>
    <w:rsid w:val="00CF279C"/>
    <w:rsid w:val="00D0190C"/>
    <w:rsid w:val="00D10175"/>
    <w:rsid w:val="00D16276"/>
    <w:rsid w:val="00D179A4"/>
    <w:rsid w:val="00D270D5"/>
    <w:rsid w:val="00D3053E"/>
    <w:rsid w:val="00D34D02"/>
    <w:rsid w:val="00D3522B"/>
    <w:rsid w:val="00D46CC3"/>
    <w:rsid w:val="00D54138"/>
    <w:rsid w:val="00D61019"/>
    <w:rsid w:val="00D657BC"/>
    <w:rsid w:val="00D712DF"/>
    <w:rsid w:val="00D7201A"/>
    <w:rsid w:val="00D72547"/>
    <w:rsid w:val="00D81A06"/>
    <w:rsid w:val="00D87D3E"/>
    <w:rsid w:val="00D9756E"/>
    <w:rsid w:val="00DC2F80"/>
    <w:rsid w:val="00DC380F"/>
    <w:rsid w:val="00DC5E04"/>
    <w:rsid w:val="00DC5F84"/>
    <w:rsid w:val="00DD26A8"/>
    <w:rsid w:val="00DD7A9F"/>
    <w:rsid w:val="00DE0B25"/>
    <w:rsid w:val="00DF3DBA"/>
    <w:rsid w:val="00DF4F11"/>
    <w:rsid w:val="00E007DB"/>
    <w:rsid w:val="00E01B0D"/>
    <w:rsid w:val="00E20166"/>
    <w:rsid w:val="00E25667"/>
    <w:rsid w:val="00E25AFE"/>
    <w:rsid w:val="00E3295E"/>
    <w:rsid w:val="00E41615"/>
    <w:rsid w:val="00E543B4"/>
    <w:rsid w:val="00E54667"/>
    <w:rsid w:val="00E60FD0"/>
    <w:rsid w:val="00E70E82"/>
    <w:rsid w:val="00E767F1"/>
    <w:rsid w:val="00E80EB3"/>
    <w:rsid w:val="00E914F5"/>
    <w:rsid w:val="00E943B4"/>
    <w:rsid w:val="00EA0A72"/>
    <w:rsid w:val="00EA27AA"/>
    <w:rsid w:val="00EA6395"/>
    <w:rsid w:val="00EB1EBC"/>
    <w:rsid w:val="00EB2F23"/>
    <w:rsid w:val="00EB3926"/>
    <w:rsid w:val="00EB4C0B"/>
    <w:rsid w:val="00ED06BC"/>
    <w:rsid w:val="00ED21CE"/>
    <w:rsid w:val="00ED2CB9"/>
    <w:rsid w:val="00ED4964"/>
    <w:rsid w:val="00ED70E6"/>
    <w:rsid w:val="00ED7294"/>
    <w:rsid w:val="00EE130B"/>
    <w:rsid w:val="00EE61B8"/>
    <w:rsid w:val="00EF0500"/>
    <w:rsid w:val="00EF616C"/>
    <w:rsid w:val="00EF6FB5"/>
    <w:rsid w:val="00F0135C"/>
    <w:rsid w:val="00F02AF5"/>
    <w:rsid w:val="00F10977"/>
    <w:rsid w:val="00F14DEC"/>
    <w:rsid w:val="00F25381"/>
    <w:rsid w:val="00F25FE6"/>
    <w:rsid w:val="00F27CD5"/>
    <w:rsid w:val="00F44AE0"/>
    <w:rsid w:val="00F47168"/>
    <w:rsid w:val="00F529AF"/>
    <w:rsid w:val="00F56E24"/>
    <w:rsid w:val="00F57585"/>
    <w:rsid w:val="00F61E16"/>
    <w:rsid w:val="00F63020"/>
    <w:rsid w:val="00F70748"/>
    <w:rsid w:val="00F72CF5"/>
    <w:rsid w:val="00F733DE"/>
    <w:rsid w:val="00F74664"/>
    <w:rsid w:val="00F80F26"/>
    <w:rsid w:val="00F8174C"/>
    <w:rsid w:val="00FA2C9F"/>
    <w:rsid w:val="00FA3B17"/>
    <w:rsid w:val="00FB2F42"/>
    <w:rsid w:val="00FB327D"/>
    <w:rsid w:val="00FB3373"/>
    <w:rsid w:val="00FB4276"/>
    <w:rsid w:val="00FB4CA9"/>
    <w:rsid w:val="00FC2127"/>
    <w:rsid w:val="00FC26AC"/>
    <w:rsid w:val="00FC7810"/>
    <w:rsid w:val="00FD2194"/>
    <w:rsid w:val="00FD37EB"/>
    <w:rsid w:val="00FD79DC"/>
    <w:rsid w:val="00FE5370"/>
    <w:rsid w:val="02825306"/>
    <w:rsid w:val="0486FFBA"/>
    <w:rsid w:val="049D0364"/>
    <w:rsid w:val="08CFB893"/>
    <w:rsid w:val="09E43959"/>
    <w:rsid w:val="0AA35387"/>
    <w:rsid w:val="0C4B1948"/>
    <w:rsid w:val="0D45D1C2"/>
    <w:rsid w:val="0E5BC13F"/>
    <w:rsid w:val="1076BBD4"/>
    <w:rsid w:val="11F7D06D"/>
    <w:rsid w:val="153BDA70"/>
    <w:rsid w:val="172E9608"/>
    <w:rsid w:val="17DFA3E9"/>
    <w:rsid w:val="17ED5785"/>
    <w:rsid w:val="1ACAE14B"/>
    <w:rsid w:val="1ADF75B5"/>
    <w:rsid w:val="1B0192FD"/>
    <w:rsid w:val="1B10AD78"/>
    <w:rsid w:val="1C5742F2"/>
    <w:rsid w:val="1CDA6C85"/>
    <w:rsid w:val="1D0FFB3E"/>
    <w:rsid w:val="1DB11260"/>
    <w:rsid w:val="1EA5047B"/>
    <w:rsid w:val="20D599F9"/>
    <w:rsid w:val="222E96A5"/>
    <w:rsid w:val="22527017"/>
    <w:rsid w:val="23951588"/>
    <w:rsid w:val="25A097AF"/>
    <w:rsid w:val="25BBC123"/>
    <w:rsid w:val="2BB969D0"/>
    <w:rsid w:val="2FDC7148"/>
    <w:rsid w:val="302E9C8B"/>
    <w:rsid w:val="31CA9983"/>
    <w:rsid w:val="31FB495F"/>
    <w:rsid w:val="32094686"/>
    <w:rsid w:val="32F83709"/>
    <w:rsid w:val="350339F4"/>
    <w:rsid w:val="3508ACF2"/>
    <w:rsid w:val="3534F95E"/>
    <w:rsid w:val="3545BFFB"/>
    <w:rsid w:val="360ADCFE"/>
    <w:rsid w:val="36BD8884"/>
    <w:rsid w:val="371C16F5"/>
    <w:rsid w:val="38B0ED30"/>
    <w:rsid w:val="3A313D3C"/>
    <w:rsid w:val="3ACFF5B2"/>
    <w:rsid w:val="3D5D87EF"/>
    <w:rsid w:val="3EF5EBD7"/>
    <w:rsid w:val="3F3D204F"/>
    <w:rsid w:val="3F5D5859"/>
    <w:rsid w:val="3FC0E70F"/>
    <w:rsid w:val="4434AE28"/>
    <w:rsid w:val="44545971"/>
    <w:rsid w:val="479A67EB"/>
    <w:rsid w:val="47C72A75"/>
    <w:rsid w:val="4993FD89"/>
    <w:rsid w:val="4C982FD2"/>
    <w:rsid w:val="4D7BB312"/>
    <w:rsid w:val="4DB4E4DA"/>
    <w:rsid w:val="4DF8A7AE"/>
    <w:rsid w:val="4E9D7C6F"/>
    <w:rsid w:val="4E9F1664"/>
    <w:rsid w:val="4FF64DC0"/>
    <w:rsid w:val="50C3A2EC"/>
    <w:rsid w:val="50EF89E1"/>
    <w:rsid w:val="54F96188"/>
    <w:rsid w:val="558DCD66"/>
    <w:rsid w:val="57C23F9F"/>
    <w:rsid w:val="597A3B16"/>
    <w:rsid w:val="5A5669B6"/>
    <w:rsid w:val="5AC9F2DF"/>
    <w:rsid w:val="5BA1B320"/>
    <w:rsid w:val="5C039AAF"/>
    <w:rsid w:val="5C0C34C2"/>
    <w:rsid w:val="5C86D2D0"/>
    <w:rsid w:val="5E1E3DFA"/>
    <w:rsid w:val="5F02B9FC"/>
    <w:rsid w:val="61277C1C"/>
    <w:rsid w:val="61DD6A62"/>
    <w:rsid w:val="627E22BD"/>
    <w:rsid w:val="63B285D9"/>
    <w:rsid w:val="6491D00B"/>
    <w:rsid w:val="65171BA9"/>
    <w:rsid w:val="6551E415"/>
    <w:rsid w:val="67093183"/>
    <w:rsid w:val="6727C549"/>
    <w:rsid w:val="67BDC6D5"/>
    <w:rsid w:val="68C66C76"/>
    <w:rsid w:val="6A26EE68"/>
    <w:rsid w:val="6CD0A94D"/>
    <w:rsid w:val="6F354A6D"/>
    <w:rsid w:val="6F8544D3"/>
    <w:rsid w:val="714AACD7"/>
    <w:rsid w:val="71DC033A"/>
    <w:rsid w:val="747E5F04"/>
    <w:rsid w:val="7EB569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44FE92"/>
  <w15:docId w15:val="{73E66366-2296-498C-8075-BA93F13D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00F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alloonText">
    <w:name w:val="Balloon Text"/>
    <w:basedOn w:val="Normal"/>
    <w:semiHidden/>
    <w:rsid w:val="00EE130B"/>
    <w:rPr>
      <w:rFonts w:ascii="Tahoma" w:hAnsi="Tahoma" w:cs="Tahoma"/>
      <w:sz w:val="16"/>
      <w:szCs w:val="16"/>
    </w:rPr>
  </w:style>
  <w:style w:type="character" w:styleId="CommentReference">
    <w:name w:val="annotation reference"/>
    <w:uiPriority w:val="99"/>
    <w:rsid w:val="00074ED5"/>
    <w:rPr>
      <w:sz w:val="16"/>
      <w:szCs w:val="16"/>
    </w:rPr>
  </w:style>
  <w:style w:type="paragraph" w:styleId="CommentText">
    <w:name w:val="annotation text"/>
    <w:basedOn w:val="Normal"/>
    <w:link w:val="CommentTextChar"/>
    <w:semiHidden/>
    <w:rsid w:val="00074ED5"/>
    <w:rPr>
      <w:sz w:val="20"/>
      <w:szCs w:val="20"/>
    </w:rPr>
  </w:style>
  <w:style w:type="paragraph" w:styleId="CommentSubject">
    <w:name w:val="annotation subject"/>
    <w:basedOn w:val="CommentText"/>
    <w:next w:val="CommentText"/>
    <w:semiHidden/>
    <w:rsid w:val="00074ED5"/>
    <w:rPr>
      <w:b/>
      <w:bCs/>
    </w:rPr>
  </w:style>
  <w:style w:type="paragraph" w:styleId="FootnoteText">
    <w:name w:val="footnote text"/>
    <w:basedOn w:val="Normal"/>
    <w:semiHidden/>
    <w:rsid w:val="00F27CD5"/>
    <w:rPr>
      <w:sz w:val="20"/>
      <w:szCs w:val="20"/>
    </w:rPr>
  </w:style>
  <w:style w:type="character" w:styleId="Hyperlink">
    <w:name w:val="Hyperlink"/>
    <w:rsid w:val="00504333"/>
    <w:rPr>
      <w:color w:val="0000FF"/>
      <w:u w:val="single"/>
    </w:rPr>
  </w:style>
  <w:style w:type="character" w:styleId="FollowedHyperlink">
    <w:name w:val="FollowedHyperlink"/>
    <w:rsid w:val="005F71AA"/>
    <w:rPr>
      <w:color w:val="800080"/>
      <w:u w:val="single"/>
    </w:rPr>
  </w:style>
  <w:style w:type="character" w:customStyle="1" w:styleId="FooterChar">
    <w:name w:val="Footer Char"/>
    <w:basedOn w:val="DefaultParagraphFont"/>
    <w:link w:val="Footer"/>
    <w:uiPriority w:val="99"/>
    <w:rsid w:val="00D179A4"/>
    <w:rPr>
      <w:rFonts w:ascii="Courier" w:hAnsi="Courier"/>
      <w:sz w:val="24"/>
      <w:szCs w:val="24"/>
    </w:rPr>
  </w:style>
  <w:style w:type="paragraph" w:styleId="Revision">
    <w:name w:val="Revision"/>
    <w:hidden/>
    <w:uiPriority w:val="99"/>
    <w:semiHidden/>
    <w:rsid w:val="001409A4"/>
    <w:rPr>
      <w:rFonts w:ascii="Courier" w:hAnsi="Courier"/>
      <w:sz w:val="24"/>
      <w:szCs w:val="24"/>
    </w:rPr>
  </w:style>
  <w:style w:type="paragraph" w:styleId="ListParagraph">
    <w:name w:val="List Paragraph"/>
    <w:basedOn w:val="Normal"/>
    <w:uiPriority w:val="34"/>
    <w:qFormat/>
    <w:rsid w:val="00FB4CA9"/>
    <w:pPr>
      <w:ind w:left="720"/>
      <w:contextualSpacing/>
    </w:pPr>
  </w:style>
  <w:style w:type="character" w:customStyle="1" w:styleId="CommentTextChar">
    <w:name w:val="Comment Text Char"/>
    <w:basedOn w:val="DefaultParagraphFont"/>
    <w:link w:val="CommentText"/>
    <w:semiHidden/>
    <w:rsid w:val="00134423"/>
    <w:rPr>
      <w:rFonts w:ascii="Courier" w:hAnsi="Courier"/>
    </w:rPr>
  </w:style>
  <w:style w:type="character" w:customStyle="1" w:styleId="Heading1Char">
    <w:name w:val="Heading 1 Char"/>
    <w:basedOn w:val="DefaultParagraphFont"/>
    <w:link w:val="Heading1"/>
    <w:rsid w:val="00600F3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2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dic.gov/analysis/quarterly-banking-profile/statistics-at-a-glance/2023mar/industry.pdf" TargetMode="External" /><Relationship Id="rId2" Type="http://schemas.openxmlformats.org/officeDocument/2006/relationships/hyperlink" Target="http://www.newyorkfed.org/markets/pridealers_current.html" TargetMode="External" /><Relationship Id="rId3"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7DD9B-CEDA-4EA3-90DC-11521632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D06F0-9893-48D7-9983-108B5A354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1BD87-3B9D-4527-8749-00BF19C85056}">
  <ds:schemaRefs>
    <ds:schemaRef ds:uri="http://schemas.openxmlformats.org/officeDocument/2006/bibliography"/>
  </ds:schemaRefs>
</ds:datastoreItem>
</file>

<file path=customXml/itemProps4.xml><?xml version="1.0" encoding="utf-8"?>
<ds:datastoreItem xmlns:ds="http://schemas.openxmlformats.org/officeDocument/2006/customXml" ds:itemID="{B9EE9BD4-73E7-4BE2-A715-179234771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4442</Words>
  <Characters>25325</Characters>
  <Application>Microsoft Office Word</Application>
  <DocSecurity>0</DocSecurity>
  <Lines>211</Lines>
  <Paragraphs>59</Paragraphs>
  <ScaleCrop>false</ScaleCrop>
  <Company>US Department of Labor</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Ackerman, Rebekah - EBSA</cp:lastModifiedBy>
  <cp:revision>59</cp:revision>
  <cp:lastPrinted>2016-04-04T21:38:00Z</cp:lastPrinted>
  <dcterms:created xsi:type="dcterms:W3CDTF">2023-03-02T14:08:00Z</dcterms:created>
  <dcterms:modified xsi:type="dcterms:W3CDTF">2023-09-28T22:51:00Z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