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CB4" w:rsidP="0084782C" w14:paraId="418DAF63" w14:textId="77777777">
      <w:pPr>
        <w:rPr>
          <w:b/>
        </w:rPr>
      </w:pPr>
    </w:p>
    <w:p w:rsidR="00336CB4" w:rsidP="00336CB4" w14:paraId="0E417B39" w14:textId="77777777">
      <w:pPr>
        <w:jc w:val="center"/>
        <w:rPr>
          <w:b/>
        </w:rPr>
      </w:pPr>
      <w:r>
        <w:rPr>
          <w:b/>
        </w:rPr>
        <w:t xml:space="preserve">Supporting Statement for </w:t>
      </w:r>
    </w:p>
    <w:p w:rsidR="00336CB4" w:rsidP="00336CB4" w14:paraId="0801F40D" w14:textId="79D8D3C7">
      <w:pPr>
        <w:jc w:val="center"/>
        <w:rPr>
          <w:b/>
        </w:rPr>
      </w:pPr>
      <w:r w:rsidRPr="00336CB4">
        <w:rPr>
          <w:b/>
        </w:rPr>
        <w:t>Application for Use of Public Space by Non-DOL Agencies in the Frances Perkins</w:t>
      </w:r>
    </w:p>
    <w:p w:rsidR="00336CB4" w:rsidP="00336CB4" w14:paraId="326698DD" w14:textId="77777777">
      <w:pPr>
        <w:jc w:val="center"/>
        <w:rPr>
          <w:b/>
        </w:rPr>
      </w:pPr>
    </w:p>
    <w:p w:rsidR="00406E36" w:rsidP="0084782C" w14:paraId="3E2A6B7B" w14:textId="2C1546A0">
      <w:r>
        <w:rPr>
          <w:bCs/>
        </w:rPr>
        <w:t>This Information Collection Requests seeks to extend, without change</w:t>
      </w:r>
      <w:r w:rsidR="00547E85">
        <w:rPr>
          <w:bCs/>
        </w:rPr>
        <w:t>,</w:t>
      </w:r>
      <w:r>
        <w:rPr>
          <w:bCs/>
        </w:rPr>
        <w:t xml:space="preserve"> PRA authority for the</w:t>
      </w:r>
      <w:r w:rsidRPr="00406E36">
        <w:rPr>
          <w:bCs/>
        </w:rPr>
        <w:t xml:space="preserve"> </w:t>
      </w:r>
      <w:r w:rsidRPr="00406E36">
        <w:t>Application for Use of Public Space by Non-DOL Agencies in the Frances Perkins Building</w:t>
      </w:r>
      <w:r w:rsidR="00547E85">
        <w:t xml:space="preserve"> information collection</w:t>
      </w:r>
      <w:r w:rsidRPr="00406E36">
        <w:t>.</w:t>
      </w:r>
    </w:p>
    <w:p w:rsidR="00336CB4" w:rsidRPr="00406E36" w:rsidP="0084782C" w14:paraId="770E4A9A" w14:textId="77777777">
      <w:pPr>
        <w:rPr>
          <w:bCs/>
        </w:rPr>
      </w:pPr>
    </w:p>
    <w:p w:rsidR="00336CB4" w:rsidRPr="00336CB4" w:rsidP="00336CB4" w14:paraId="06E288E0" w14:textId="77777777">
      <w:pPr>
        <w:rPr>
          <w:b/>
        </w:rPr>
      </w:pPr>
      <w:r>
        <w:rPr>
          <w:b/>
        </w:rPr>
        <w:t xml:space="preserve">Collection Instrument(s): </w:t>
      </w:r>
      <w:r w:rsidRPr="00336CB4">
        <w:rPr>
          <w:bCs/>
        </w:rPr>
        <w:t>Form DL1-6062B</w:t>
      </w:r>
    </w:p>
    <w:p w:rsidR="00406E36" w:rsidP="0084782C" w14:paraId="7C6A27D2" w14:textId="77777777">
      <w:pPr>
        <w:rPr>
          <w:b/>
          <w:bCs/>
        </w:rPr>
      </w:pPr>
    </w:p>
    <w:p w:rsidR="0084782C" w:rsidRPr="00320084" w:rsidP="002207FB" w14:paraId="0F8690D6" w14:textId="77777777">
      <w:pPr>
        <w:tabs>
          <w:tab w:val="left" w:pos="360"/>
        </w:tabs>
        <w:rPr>
          <w:b/>
          <w:bCs/>
        </w:rPr>
      </w:pPr>
      <w:r w:rsidRPr="00320084">
        <w:rPr>
          <w:b/>
          <w:bCs/>
        </w:rPr>
        <w:t>A</w:t>
      </w:r>
      <w:r w:rsidR="00406E36">
        <w:rPr>
          <w:b/>
          <w:bCs/>
        </w:rPr>
        <w:t>.</w:t>
      </w:r>
      <w:r w:rsidR="002207FB">
        <w:rPr>
          <w:b/>
          <w:bCs/>
        </w:rPr>
        <w:tab/>
      </w:r>
      <w:r w:rsidRPr="00320084">
        <w:rPr>
          <w:b/>
          <w:bCs/>
        </w:rPr>
        <w:t>Justification</w:t>
      </w:r>
    </w:p>
    <w:p w:rsidR="0084782C" w:rsidRPr="00320084" w:rsidP="0084782C" w14:paraId="386F2ACC" w14:textId="77777777">
      <w:pPr>
        <w:rPr>
          <w:b/>
          <w:bCs/>
        </w:rPr>
      </w:pPr>
    </w:p>
    <w:p w:rsidR="0084782C" w:rsidRPr="00630136" w:rsidP="002207FB" w14:paraId="1BC9B1C6" w14:textId="77777777">
      <w:pPr>
        <w:tabs>
          <w:tab w:val="right" w:pos="540"/>
        </w:tabs>
        <w:ind w:left="720" w:hanging="720"/>
        <w:rPr>
          <w:b/>
          <w:bCs/>
        </w:rPr>
      </w:pPr>
      <w:r>
        <w:rPr>
          <w:b/>
          <w:bCs/>
        </w:rPr>
        <w:tab/>
      </w:r>
      <w:r w:rsidRPr="00630136">
        <w:rPr>
          <w:b/>
          <w:bCs/>
        </w:rPr>
        <w:t>1.</w:t>
      </w:r>
      <w:r w:rsidRPr="00630136">
        <w:rPr>
          <w:b/>
          <w:bCs/>
        </w:rPr>
        <w:tab/>
        <w:t>Explain the circumstances that make the collection of information necessary</w:t>
      </w:r>
      <w:r w:rsidR="00406E36">
        <w:rPr>
          <w:b/>
          <w:bCs/>
        </w:rPr>
        <w:t xml:space="preserve">. </w:t>
      </w:r>
      <w:r w:rsidRPr="00630136">
        <w:rPr>
          <w:b/>
          <w:bCs/>
        </w:rPr>
        <w:t>Identify any legal or administrative requirements that necessitate the collection</w:t>
      </w:r>
      <w:r w:rsidR="00406E36">
        <w:rPr>
          <w:b/>
          <w:bCs/>
        </w:rPr>
        <w:t xml:space="preserve">. </w:t>
      </w:r>
      <w:r w:rsidRPr="00630136">
        <w:rPr>
          <w:b/>
          <w:bCs/>
        </w:rPr>
        <w:t>Attach a copy of the appropriate section of each statute and regulation mandating or authorizing the collection of information.</w:t>
      </w:r>
    </w:p>
    <w:p w:rsidR="006938B1" w:rsidRPr="00320084" w:rsidP="0084782C" w14:paraId="23B5AE5B" w14:textId="77777777">
      <w:pPr>
        <w:ind w:left="720" w:hanging="720"/>
        <w:rPr>
          <w:bCs/>
        </w:rPr>
      </w:pPr>
    </w:p>
    <w:p w:rsidR="00714B0C" w:rsidP="00714B0C" w14:paraId="0BEEA018" w14:textId="25DCA0BC">
      <w:pPr>
        <w:ind w:left="720" w:hanging="720"/>
        <w:rPr>
          <w:bCs/>
        </w:rPr>
      </w:pPr>
      <w:r w:rsidRPr="00320084">
        <w:rPr>
          <w:bCs/>
        </w:rPr>
        <w:tab/>
      </w:r>
      <w:r w:rsidRPr="00320084" w:rsidR="006E64B2">
        <w:rPr>
          <w:bCs/>
        </w:rPr>
        <w:t xml:space="preserve">Consistent with 40 U.S.C. § 581(h)(2), Federal Management Regulation (FMR) Part 102, </w:t>
      </w:r>
      <w:r w:rsidR="00313B8B">
        <w:rPr>
          <w:bCs/>
        </w:rPr>
        <w:t xml:space="preserve">Public Law 102-74, Subpart D, </w:t>
      </w:r>
      <w:r w:rsidRPr="00320084" w:rsidR="006E64B2">
        <w:rPr>
          <w:bCs/>
        </w:rPr>
        <w:t>and the GSA Delegation under which t</w:t>
      </w:r>
      <w:r w:rsidRPr="00320084">
        <w:rPr>
          <w:bCs/>
        </w:rPr>
        <w:t xml:space="preserve">he Department of Labor </w:t>
      </w:r>
      <w:r w:rsidRPr="00320084" w:rsidR="00366BFD">
        <w:rPr>
          <w:bCs/>
        </w:rPr>
        <w:t>(DOL)</w:t>
      </w:r>
      <w:r w:rsidRPr="00320084" w:rsidR="006E64B2">
        <w:rPr>
          <w:bCs/>
        </w:rPr>
        <w:t xml:space="preserve"> operates the Frances Perkins Building (FPB), DOL allows the use of public space within the FPB for non-commercial purposes</w:t>
      </w:r>
      <w:r w:rsidR="00406E36">
        <w:rPr>
          <w:bCs/>
        </w:rPr>
        <w:t xml:space="preserve">. </w:t>
      </w:r>
      <w:r w:rsidRPr="00320084" w:rsidR="006E64B2">
        <w:rPr>
          <w:bCs/>
        </w:rPr>
        <w:t xml:space="preserve">As provided by FMR 102-74, Subpart D, </w:t>
      </w:r>
      <w:r w:rsidR="002E6E5A">
        <w:rPr>
          <w:bCs/>
        </w:rPr>
        <w:t xml:space="preserve">(41 CFR </w:t>
      </w:r>
      <w:r w:rsidR="00313B8B">
        <w:rPr>
          <w:bCs/>
        </w:rPr>
        <w:t>102-74-460</w:t>
      </w:r>
      <w:r w:rsidR="00477F80">
        <w:rPr>
          <w:bCs/>
        </w:rPr>
        <w:t xml:space="preserve">) </w:t>
      </w:r>
      <w:r w:rsidRPr="00320084" w:rsidR="006E64B2">
        <w:rPr>
          <w:bCs/>
        </w:rPr>
        <w:t>any person or entity that wishes to use public space in a Federal building is required to submit an application for a permit</w:t>
      </w:r>
      <w:r w:rsidR="00406E36">
        <w:rPr>
          <w:bCs/>
        </w:rPr>
        <w:t xml:space="preserve">. </w:t>
      </w:r>
      <w:r w:rsidRPr="00320084">
        <w:rPr>
          <w:bCs/>
        </w:rPr>
        <w:t>In order to capture the nature of the request, information such as the requester, description of event, date, time, and approvals are collected in order to</w:t>
      </w:r>
      <w:r w:rsidRPr="00320084">
        <w:rPr>
          <w:bCs/>
        </w:rPr>
        <w:t xml:space="preserve"> </w:t>
      </w:r>
      <w:r w:rsidRPr="00320084">
        <w:rPr>
          <w:bCs/>
        </w:rPr>
        <w:t>review the appropriateness of the request and make a determination of the availability of the requested public space.</w:t>
      </w:r>
    </w:p>
    <w:p w:rsidR="002E15D2" w:rsidP="00714B0C" w14:paraId="5C8073B0" w14:textId="77777777">
      <w:pPr>
        <w:ind w:left="720" w:hanging="720"/>
        <w:rPr>
          <w:bCs/>
        </w:rPr>
      </w:pPr>
    </w:p>
    <w:p w:rsidR="002E15D2" w:rsidRPr="00320084" w:rsidP="00FD0619" w14:paraId="46E2FEE7" w14:textId="77777777">
      <w:pPr>
        <w:ind w:left="720"/>
        <w:rPr>
          <w:bCs/>
        </w:rPr>
      </w:pPr>
      <w:r>
        <w:rPr>
          <w:bCs/>
        </w:rPr>
        <w:t xml:space="preserve">DOL experience shows that the agency actually receives fewer than 10 </w:t>
      </w:r>
      <w:r w:rsidR="007336FA">
        <w:rPr>
          <w:bCs/>
        </w:rPr>
        <w:t xml:space="preserve">non-DOL Agency </w:t>
      </w:r>
      <w:r w:rsidR="00286048">
        <w:rPr>
          <w:bCs/>
        </w:rPr>
        <w:t xml:space="preserve">requests </w:t>
      </w:r>
      <w:r w:rsidR="00FD0619">
        <w:rPr>
          <w:bCs/>
        </w:rPr>
        <w:t xml:space="preserve">to use FPB public space </w:t>
      </w:r>
      <w:r>
        <w:rPr>
          <w:bCs/>
        </w:rPr>
        <w:t>in any g</w:t>
      </w:r>
      <w:r w:rsidR="00ED0E38">
        <w:rPr>
          <w:bCs/>
        </w:rPr>
        <w:t>i</w:t>
      </w:r>
      <w:r>
        <w:rPr>
          <w:bCs/>
        </w:rPr>
        <w:t>ven year; however, as the information is contained in a rule of general applicability, the information collection is deemed to involve 10 or more persons</w:t>
      </w:r>
      <w:r w:rsidR="00406E36">
        <w:rPr>
          <w:bCs/>
        </w:rPr>
        <w:t xml:space="preserve">. </w:t>
      </w:r>
      <w:r w:rsidRPr="00547E85">
        <w:rPr>
          <w:bCs/>
          <w:i/>
        </w:rPr>
        <w:t>See</w:t>
      </w:r>
      <w:r>
        <w:rPr>
          <w:bCs/>
        </w:rPr>
        <w:t xml:space="preserve"> 5 CFR 1320.3(c)(4)(ii)</w:t>
      </w:r>
      <w:r w:rsidR="00406E36">
        <w:rPr>
          <w:bCs/>
        </w:rPr>
        <w:t xml:space="preserve">. </w:t>
      </w:r>
      <w:r w:rsidR="00286048">
        <w:rPr>
          <w:bCs/>
        </w:rPr>
        <w:t>D</w:t>
      </w:r>
      <w:r>
        <w:rPr>
          <w:bCs/>
        </w:rPr>
        <w:t>OL</w:t>
      </w:r>
      <w:r w:rsidR="00286048">
        <w:rPr>
          <w:bCs/>
        </w:rPr>
        <w:t>, consequently,</w:t>
      </w:r>
      <w:r>
        <w:rPr>
          <w:bCs/>
        </w:rPr>
        <w:t xml:space="preserve"> </w:t>
      </w:r>
      <w:r w:rsidR="00A66DA0">
        <w:rPr>
          <w:bCs/>
        </w:rPr>
        <w:t xml:space="preserve">must </w:t>
      </w:r>
      <w:r>
        <w:rPr>
          <w:bCs/>
        </w:rPr>
        <w:t>maintain PRA authority to conduct this information collection.</w:t>
      </w:r>
    </w:p>
    <w:p w:rsidR="0084782C" w:rsidRPr="00320084" w:rsidP="0084782C" w14:paraId="0D59C734" w14:textId="77777777"/>
    <w:p w:rsidR="0084782C" w:rsidRPr="007A5755" w:rsidP="002207FB" w14:paraId="483BBCDA" w14:textId="77777777">
      <w:pPr>
        <w:tabs>
          <w:tab w:val="right" w:pos="540"/>
        </w:tabs>
        <w:ind w:left="720" w:hanging="720"/>
        <w:rPr>
          <w:b/>
          <w:bCs/>
        </w:rPr>
      </w:pPr>
      <w:r>
        <w:rPr>
          <w:b/>
          <w:bCs/>
        </w:rPr>
        <w:tab/>
      </w:r>
      <w:r w:rsidRPr="007A5755">
        <w:rPr>
          <w:b/>
          <w:bCs/>
        </w:rPr>
        <w:t>2.</w:t>
      </w:r>
      <w:r w:rsidRPr="007A5755">
        <w:rPr>
          <w:b/>
        </w:rPr>
        <w:tab/>
      </w:r>
      <w:r w:rsidRPr="007A5755">
        <w:rPr>
          <w:b/>
          <w:bCs/>
        </w:rPr>
        <w:t>Indicate how, by whom, and for what purpose the information is to be used</w:t>
      </w:r>
      <w:r w:rsidR="00406E36">
        <w:rPr>
          <w:b/>
          <w:bCs/>
        </w:rPr>
        <w:t xml:space="preserve">. </w:t>
      </w:r>
      <w:r w:rsidRPr="007A5755">
        <w:rPr>
          <w:b/>
          <w:bCs/>
        </w:rPr>
        <w:t>Except for a new collection, indicate the actual use the agency has made of the information received from the current collection.</w:t>
      </w:r>
    </w:p>
    <w:p w:rsidR="00366BFD" w:rsidRPr="00320084" w:rsidP="0084782C" w14:paraId="36C8E26B" w14:textId="77777777">
      <w:pPr>
        <w:ind w:left="720" w:hanging="720"/>
        <w:rPr>
          <w:bCs/>
        </w:rPr>
      </w:pPr>
    </w:p>
    <w:p w:rsidR="00366BFD" w:rsidRPr="00320084" w:rsidP="0084782C" w14:paraId="53A2F9F0" w14:textId="77777777">
      <w:pPr>
        <w:ind w:left="720" w:hanging="720"/>
        <w:rPr>
          <w:bCs/>
        </w:rPr>
      </w:pPr>
      <w:r w:rsidRPr="00320084">
        <w:rPr>
          <w:bCs/>
        </w:rPr>
        <w:tab/>
        <w:t xml:space="preserve">The pertinent information is collected on </w:t>
      </w:r>
      <w:r w:rsidRPr="00320084" w:rsidR="00320084">
        <w:rPr>
          <w:bCs/>
        </w:rPr>
        <w:t xml:space="preserve">Form DL1-6062B, “Application for use of Public </w:t>
      </w:r>
      <w:r w:rsidR="009415F9">
        <w:rPr>
          <w:bCs/>
        </w:rPr>
        <w:t>S</w:t>
      </w:r>
      <w:r w:rsidRPr="00320084" w:rsidR="00320084">
        <w:rPr>
          <w:bCs/>
        </w:rPr>
        <w:t xml:space="preserve">pace by Non-DOL Agencies in the </w:t>
      </w:r>
      <w:smartTag w:uri="urn:schemas-microsoft-com:office:smarttags" w:element="PlaceName">
        <w:r w:rsidRPr="00320084" w:rsidR="00320084">
          <w:rPr>
            <w:bCs/>
          </w:rPr>
          <w:t>Frances</w:t>
        </w:r>
      </w:smartTag>
      <w:r w:rsidRPr="00320084" w:rsidR="00320084">
        <w:rPr>
          <w:bCs/>
        </w:rPr>
        <w:t xml:space="preserve"> </w:t>
      </w:r>
      <w:smartTag w:uri="urn:schemas-microsoft-com:office:smarttags" w:element="PlaceName">
        <w:r w:rsidRPr="00320084" w:rsidR="00320084">
          <w:rPr>
            <w:bCs/>
          </w:rPr>
          <w:t>Perkins</w:t>
        </w:r>
      </w:smartTag>
      <w:r w:rsidRPr="00320084" w:rsidR="00320084">
        <w:rPr>
          <w:bCs/>
        </w:rPr>
        <w:t xml:space="preserve"> </w:t>
      </w:r>
      <w:smartTag w:uri="urn:schemas-microsoft-com:office:smarttags" w:element="PlaceType">
        <w:r w:rsidRPr="00320084" w:rsidR="00320084">
          <w:rPr>
            <w:bCs/>
          </w:rPr>
          <w:t>Building</w:t>
        </w:r>
      </w:smartTag>
      <w:r w:rsidRPr="00320084" w:rsidR="00320084">
        <w:rPr>
          <w:bCs/>
        </w:rPr>
        <w:t xml:space="preserve">,” </w:t>
      </w:r>
      <w:r w:rsidRPr="00320084">
        <w:rPr>
          <w:bCs/>
        </w:rPr>
        <w:t xml:space="preserve">by staff members in the </w:t>
      </w:r>
      <w:smartTag w:uri="urn:schemas-microsoft-com:office:smarttags" w:element="PlaceName">
        <w:r w:rsidRPr="00320084" w:rsidR="00714B0C">
          <w:rPr>
            <w:bCs/>
          </w:rPr>
          <w:t>FPB</w:t>
        </w:r>
      </w:smartTag>
      <w:r w:rsidRPr="00320084" w:rsidR="00714B0C">
        <w:rPr>
          <w:bCs/>
        </w:rPr>
        <w:t xml:space="preserve"> </w:t>
      </w:r>
      <w:smartTag w:uri="urn:schemas-microsoft-com:office:smarttags" w:element="PlaceName">
        <w:r w:rsidRPr="00320084" w:rsidR="00714B0C">
          <w:rPr>
            <w:bCs/>
          </w:rPr>
          <w:t>Conference</w:t>
        </w:r>
      </w:smartTag>
      <w:r w:rsidRPr="00320084" w:rsidR="00714B0C">
        <w:rPr>
          <w:bCs/>
        </w:rPr>
        <w:t xml:space="preserve"> Center</w:t>
      </w:r>
      <w:r w:rsidR="00406E36">
        <w:rPr>
          <w:bCs/>
        </w:rPr>
        <w:t xml:space="preserve">. </w:t>
      </w:r>
      <w:r w:rsidRPr="00320084" w:rsidR="00714B0C">
        <w:rPr>
          <w:bCs/>
        </w:rPr>
        <w:t>This</w:t>
      </w:r>
      <w:r w:rsidRPr="00320084">
        <w:rPr>
          <w:bCs/>
        </w:rPr>
        <w:t xml:space="preserve"> </w:t>
      </w:r>
      <w:r w:rsidRPr="00320084" w:rsidR="00320084">
        <w:rPr>
          <w:bCs/>
        </w:rPr>
        <w:t>form is used by all applicants desiring to use DOL public</w:t>
      </w:r>
      <w:r w:rsidR="009415F9">
        <w:rPr>
          <w:bCs/>
        </w:rPr>
        <w:t>-</w:t>
      </w:r>
      <w:r w:rsidRPr="00320084" w:rsidR="00320084">
        <w:rPr>
          <w:bCs/>
        </w:rPr>
        <w:t>use space</w:t>
      </w:r>
      <w:r w:rsidR="00406E36">
        <w:rPr>
          <w:bCs/>
        </w:rPr>
        <w:t xml:space="preserve">. </w:t>
      </w:r>
      <w:r w:rsidRPr="00320084" w:rsidR="00320084">
        <w:rPr>
          <w:bCs/>
        </w:rPr>
        <w:t>I</w:t>
      </w:r>
      <w:r w:rsidRPr="00320084">
        <w:rPr>
          <w:bCs/>
        </w:rPr>
        <w:t>nformation</w:t>
      </w:r>
      <w:r w:rsidRPr="00320084" w:rsidR="00714B0C">
        <w:rPr>
          <w:bCs/>
        </w:rPr>
        <w:t xml:space="preserve"> is collected in</w:t>
      </w:r>
      <w:r w:rsidRPr="00320084" w:rsidR="00320084">
        <w:rPr>
          <w:bCs/>
        </w:rPr>
        <w:t>-</w:t>
      </w:r>
      <w:r w:rsidRPr="00320084" w:rsidR="00714B0C">
        <w:rPr>
          <w:bCs/>
        </w:rPr>
        <w:t>person on hardcopy, via facsimile, or through emailed scanned PDF</w:t>
      </w:r>
      <w:r w:rsidR="00406E36">
        <w:rPr>
          <w:bCs/>
        </w:rPr>
        <w:t xml:space="preserve">. </w:t>
      </w:r>
      <w:r w:rsidRPr="00320084" w:rsidR="00714B0C">
        <w:rPr>
          <w:bCs/>
        </w:rPr>
        <w:t xml:space="preserve">The information is necessary to determine </w:t>
      </w:r>
      <w:r w:rsidRPr="00320084" w:rsidR="007E4178">
        <w:rPr>
          <w:bCs/>
        </w:rPr>
        <w:t xml:space="preserve">whether </w:t>
      </w:r>
      <w:r w:rsidRPr="00320084" w:rsidR="00714B0C">
        <w:rPr>
          <w:bCs/>
        </w:rPr>
        <w:t xml:space="preserve">approval of the requested </w:t>
      </w:r>
      <w:r w:rsidRPr="00320084" w:rsidR="007E4178">
        <w:rPr>
          <w:bCs/>
        </w:rPr>
        <w:t xml:space="preserve">use is consistent with applicable law and regulations (identified above) and DOL policy, </w:t>
      </w:r>
      <w:r w:rsidRPr="00320084">
        <w:rPr>
          <w:bCs/>
        </w:rPr>
        <w:t xml:space="preserve">to identify </w:t>
      </w:r>
      <w:r w:rsidRPr="00320084">
        <w:rPr>
          <w:bCs/>
        </w:rPr>
        <w:t xml:space="preserve">users and usage, </w:t>
      </w:r>
      <w:r w:rsidRPr="00320084" w:rsidR="007E4178">
        <w:rPr>
          <w:bCs/>
        </w:rPr>
        <w:t xml:space="preserve">to </w:t>
      </w:r>
      <w:r w:rsidRPr="00320084">
        <w:rPr>
          <w:bCs/>
        </w:rPr>
        <w:t>provide logistical support</w:t>
      </w:r>
      <w:r w:rsidRPr="00320084" w:rsidR="007E4178">
        <w:rPr>
          <w:bCs/>
        </w:rPr>
        <w:t xml:space="preserve"> (where permissible)</w:t>
      </w:r>
      <w:r w:rsidRPr="00320084">
        <w:rPr>
          <w:bCs/>
        </w:rPr>
        <w:t xml:space="preserve"> and maintain user reservations.</w:t>
      </w:r>
    </w:p>
    <w:p w:rsidR="0084782C" w:rsidRPr="00320084" w:rsidP="0084782C" w14:paraId="2E5B4893" w14:textId="77777777"/>
    <w:p w:rsidR="0084782C" w:rsidRPr="007A5755" w:rsidP="002207FB" w14:paraId="7EFC07D0" w14:textId="77777777">
      <w:pPr>
        <w:tabs>
          <w:tab w:val="right" w:pos="540"/>
        </w:tabs>
        <w:ind w:left="720" w:hanging="720"/>
        <w:rPr>
          <w:b/>
          <w:bCs/>
        </w:rPr>
      </w:pPr>
      <w:r>
        <w:rPr>
          <w:b/>
          <w:bCs/>
        </w:rPr>
        <w:tab/>
      </w:r>
      <w:r w:rsidRPr="007A5755">
        <w:rPr>
          <w:b/>
          <w:bCs/>
        </w:rPr>
        <w:t>3.</w:t>
      </w:r>
      <w:r w:rsidRPr="007A5755">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06E36">
        <w:rPr>
          <w:b/>
          <w:bCs/>
        </w:rPr>
        <w:t xml:space="preserve">. </w:t>
      </w:r>
      <w:r w:rsidRPr="007A5755">
        <w:rPr>
          <w:b/>
          <w:bCs/>
        </w:rPr>
        <w:t>Also, describe any consideration of using information technology to reduce burdens.</w:t>
      </w:r>
    </w:p>
    <w:p w:rsidR="006F16E6" w:rsidP="0084782C" w14:paraId="25C4C3A8" w14:textId="77777777">
      <w:pPr>
        <w:ind w:left="720" w:hanging="720"/>
        <w:rPr>
          <w:bCs/>
        </w:rPr>
      </w:pPr>
      <w:r w:rsidRPr="00320084">
        <w:rPr>
          <w:bCs/>
        </w:rPr>
        <w:tab/>
      </w:r>
    </w:p>
    <w:p w:rsidR="00366BFD" w:rsidRPr="00320084" w:rsidP="006F16E6" w14:paraId="0892B8B6" w14:textId="77777777">
      <w:pPr>
        <w:ind w:left="720"/>
        <w:rPr>
          <w:bCs/>
        </w:rPr>
      </w:pPr>
      <w:r>
        <w:rPr>
          <w:bCs/>
        </w:rPr>
        <w:t>I</w:t>
      </w:r>
      <w:r w:rsidR="00320084">
        <w:rPr>
          <w:bCs/>
        </w:rPr>
        <w:t xml:space="preserve">n order to comply with the Government </w:t>
      </w:r>
      <w:r w:rsidR="00F13C4B">
        <w:rPr>
          <w:bCs/>
        </w:rPr>
        <w:t>P</w:t>
      </w:r>
      <w:r w:rsidR="00320084">
        <w:rPr>
          <w:bCs/>
        </w:rPr>
        <w:t>aperwork Elimination Act (GPEA) applicants have the option of submitting the form electronically</w:t>
      </w:r>
      <w:r w:rsidR="00406E36">
        <w:rPr>
          <w:bCs/>
        </w:rPr>
        <w:t xml:space="preserve">. </w:t>
      </w:r>
      <w:r w:rsidR="00CD7D90">
        <w:rPr>
          <w:bCs/>
        </w:rPr>
        <w:t>Form DL1-6062B may</w:t>
      </w:r>
      <w:r w:rsidRPr="00320084" w:rsidR="00CD7D90">
        <w:rPr>
          <w:bCs/>
        </w:rPr>
        <w:t xml:space="preserve"> be downloaded from a </w:t>
      </w:r>
      <w:r w:rsidR="00CD7D90">
        <w:rPr>
          <w:bCs/>
        </w:rPr>
        <w:t>W</w:t>
      </w:r>
      <w:r w:rsidRPr="00320084" w:rsidR="00CD7D90">
        <w:rPr>
          <w:bCs/>
        </w:rPr>
        <w:t xml:space="preserve">eb-based database </w:t>
      </w:r>
      <w:r w:rsidR="00CD7D90">
        <w:rPr>
          <w:bCs/>
        </w:rPr>
        <w:t>available</w:t>
      </w:r>
      <w:r w:rsidRPr="00320084" w:rsidR="00CD7D90">
        <w:rPr>
          <w:bCs/>
        </w:rPr>
        <w:t xml:space="preserve"> through DOL’s </w:t>
      </w:r>
      <w:r w:rsidR="00CD7D90">
        <w:rPr>
          <w:bCs/>
        </w:rPr>
        <w:t>I</w:t>
      </w:r>
      <w:r w:rsidRPr="00320084" w:rsidR="00CD7D90">
        <w:rPr>
          <w:bCs/>
        </w:rPr>
        <w:t xml:space="preserve">ntranet and </w:t>
      </w:r>
      <w:r w:rsidR="00CD7D90">
        <w:rPr>
          <w:bCs/>
        </w:rPr>
        <w:t>I</w:t>
      </w:r>
      <w:r w:rsidRPr="00320084" w:rsidR="00CD7D90">
        <w:rPr>
          <w:bCs/>
        </w:rPr>
        <w:t xml:space="preserve">nternet </w:t>
      </w:r>
      <w:r w:rsidR="00CD7D90">
        <w:rPr>
          <w:bCs/>
        </w:rPr>
        <w:t>W</w:t>
      </w:r>
      <w:r w:rsidRPr="00320084" w:rsidR="00CD7D90">
        <w:rPr>
          <w:bCs/>
        </w:rPr>
        <w:t>eb site</w:t>
      </w:r>
      <w:r w:rsidR="00CD7D90">
        <w:rPr>
          <w:bCs/>
        </w:rPr>
        <w:t>s</w:t>
      </w:r>
      <w:r w:rsidRPr="00320084" w:rsidR="00CD7D90">
        <w:rPr>
          <w:bCs/>
        </w:rPr>
        <w:t xml:space="preserve"> and can be fill-out electronically</w:t>
      </w:r>
      <w:r w:rsidR="00406E36">
        <w:rPr>
          <w:bCs/>
        </w:rPr>
        <w:t xml:space="preserve">. </w:t>
      </w:r>
      <w:r w:rsidRPr="00320084" w:rsidR="00107C33">
        <w:rPr>
          <w:bCs/>
        </w:rPr>
        <w:t>A hardcopy with signature is submitted to the scheduling office and the data is transferred to a scheduling database to maintain reservation and contact data.</w:t>
      </w:r>
    </w:p>
    <w:p w:rsidR="0084782C" w:rsidRPr="00320084" w:rsidP="0084782C" w14:paraId="7FC4C5D3" w14:textId="77777777"/>
    <w:p w:rsidR="0084782C" w:rsidRPr="007A5755" w:rsidP="002207FB" w14:paraId="3AE63A32" w14:textId="77777777">
      <w:pPr>
        <w:tabs>
          <w:tab w:val="right" w:pos="540"/>
        </w:tabs>
        <w:ind w:left="720" w:hanging="720"/>
        <w:rPr>
          <w:b/>
          <w:bCs/>
        </w:rPr>
      </w:pPr>
      <w:r>
        <w:rPr>
          <w:b/>
          <w:bCs/>
        </w:rPr>
        <w:tab/>
      </w:r>
      <w:r w:rsidRPr="007A5755">
        <w:rPr>
          <w:b/>
          <w:bCs/>
        </w:rPr>
        <w:t>4.</w:t>
      </w:r>
      <w:r w:rsidRPr="007A5755">
        <w:rPr>
          <w:b/>
          <w:bCs/>
        </w:rPr>
        <w:tab/>
        <w:t>Describe efforts to identify duplication</w:t>
      </w:r>
      <w:r w:rsidR="00406E36">
        <w:rPr>
          <w:b/>
          <w:bCs/>
        </w:rPr>
        <w:t xml:space="preserve">. </w:t>
      </w:r>
      <w:r w:rsidRPr="007A5755">
        <w:rPr>
          <w:b/>
          <w:bCs/>
        </w:rPr>
        <w:t>Show specifically why any similar information already available cannot be used or modified for use for the purposes described in Item A.2 above.</w:t>
      </w:r>
    </w:p>
    <w:p w:rsidR="00107C33" w:rsidRPr="00320084" w:rsidP="0084782C" w14:paraId="2D536476" w14:textId="77777777">
      <w:pPr>
        <w:ind w:left="720" w:hanging="720"/>
        <w:rPr>
          <w:bCs/>
        </w:rPr>
      </w:pPr>
    </w:p>
    <w:p w:rsidR="00107C33" w:rsidRPr="00FB4FC1" w:rsidP="0084782C" w14:paraId="7341C39A" w14:textId="77777777">
      <w:pPr>
        <w:ind w:left="720" w:hanging="720"/>
        <w:rPr>
          <w:bCs/>
        </w:rPr>
      </w:pPr>
      <w:r w:rsidRPr="00320084">
        <w:rPr>
          <w:bCs/>
        </w:rPr>
        <w:tab/>
      </w:r>
      <w:r w:rsidRPr="00FB4FC1">
        <w:rPr>
          <w:bCs/>
        </w:rPr>
        <w:t>A</w:t>
      </w:r>
      <w:r w:rsidR="002207FB">
        <w:rPr>
          <w:bCs/>
        </w:rPr>
        <w:t>n a</w:t>
      </w:r>
      <w:r w:rsidRPr="00FB4FC1" w:rsidR="00C2609F">
        <w:rPr>
          <w:bCs/>
        </w:rPr>
        <w:t xml:space="preserve">gency review of data collections found no </w:t>
      </w:r>
      <w:r w:rsidR="002207FB">
        <w:rPr>
          <w:bCs/>
        </w:rPr>
        <w:t>duplication</w:t>
      </w:r>
      <w:r w:rsidRPr="00FB4FC1">
        <w:rPr>
          <w:bCs/>
        </w:rPr>
        <w:t>.</w:t>
      </w:r>
      <w:r w:rsidRPr="00FB4FC1" w:rsidR="00DC0F00">
        <w:rPr>
          <w:bCs/>
        </w:rPr>
        <w:t xml:space="preserve"> </w:t>
      </w:r>
      <w:r w:rsidR="002207FB">
        <w:rPr>
          <w:bCs/>
        </w:rPr>
        <w:t>This ICR relates to applications to use public space in the Frances Perkins Building.</w:t>
      </w:r>
    </w:p>
    <w:p w:rsidR="0084782C" w:rsidRPr="00320084" w:rsidP="0084782C" w14:paraId="3CF9E8C0" w14:textId="77777777"/>
    <w:p w:rsidR="0084782C" w:rsidRPr="007A5755" w:rsidP="002207FB" w14:paraId="5A62E6B0" w14:textId="77777777">
      <w:pPr>
        <w:tabs>
          <w:tab w:val="right" w:pos="540"/>
        </w:tabs>
        <w:ind w:left="720" w:hanging="720"/>
        <w:rPr>
          <w:b/>
          <w:bCs/>
        </w:rPr>
      </w:pPr>
      <w:r>
        <w:rPr>
          <w:b/>
          <w:bCs/>
        </w:rPr>
        <w:tab/>
      </w:r>
      <w:r w:rsidRPr="007A5755">
        <w:rPr>
          <w:b/>
          <w:bCs/>
        </w:rPr>
        <w:t>5.</w:t>
      </w:r>
      <w:r w:rsidRPr="007A5755">
        <w:rPr>
          <w:b/>
          <w:bCs/>
        </w:rPr>
        <w:tab/>
        <w:t>If the collection of information impacts small businesses or other small entities, describe any methods used to minimize burden.</w:t>
      </w:r>
    </w:p>
    <w:p w:rsidR="00DC0F00" w:rsidRPr="00320084" w:rsidP="0084782C" w14:paraId="1F38DF15" w14:textId="77777777">
      <w:pPr>
        <w:ind w:left="720" w:hanging="720"/>
        <w:rPr>
          <w:bCs/>
        </w:rPr>
      </w:pPr>
    </w:p>
    <w:p w:rsidR="009231E9" w:rsidRPr="00320084" w:rsidP="009231E9" w14:paraId="63D2E6BE" w14:textId="77777777">
      <w:pPr>
        <w:ind w:left="720"/>
        <w:rPr>
          <w:rFonts w:ascii="Shruti" w:hAnsi="Shruti" w:cs="Shruti"/>
        </w:rPr>
      </w:pPr>
      <w:r w:rsidRPr="00320084">
        <w:t xml:space="preserve">Only </w:t>
      </w:r>
      <w:r w:rsidRPr="00320084" w:rsidR="00CD7D90">
        <w:t>non-profits</w:t>
      </w:r>
      <w:r w:rsidRPr="00320084">
        <w:t xml:space="preserve"> may apply to use the FPB for events, therefore the questions in the application relate to </w:t>
      </w:r>
      <w:r w:rsidRPr="00320084" w:rsidR="00452CB5">
        <w:t xml:space="preserve">FMR requirements and/or </w:t>
      </w:r>
      <w:r w:rsidRPr="00320084">
        <w:t xml:space="preserve">aspects of the </w:t>
      </w:r>
      <w:r w:rsidRPr="00320084" w:rsidR="00CD7D90">
        <w:t>event that will occur in the FPB</w:t>
      </w:r>
      <w:r w:rsidRPr="00320084">
        <w:t xml:space="preserve"> that are under the </w:t>
      </w:r>
      <w:r w:rsidRPr="00320084" w:rsidR="00CD7D90">
        <w:t>non-profit’s</w:t>
      </w:r>
      <w:r w:rsidRPr="00320084">
        <w:t xml:space="preserve"> control</w:t>
      </w:r>
      <w:r w:rsidR="00406E36">
        <w:t xml:space="preserve">. </w:t>
      </w:r>
      <w:r w:rsidRPr="00320084">
        <w:t>If a small business is a vendor for a nonprofit’s event</w:t>
      </w:r>
      <w:r w:rsidRPr="00320084" w:rsidR="00452CB5">
        <w:t xml:space="preserve"> (as is permitted under the FMR in limited situations</w:t>
      </w:r>
      <w:r w:rsidR="00547E85">
        <w:t>—</w:t>
      </w:r>
      <w:r w:rsidRPr="00320084" w:rsidR="00452CB5">
        <w:t>e.g. events sponsored by an employee association)</w:t>
      </w:r>
      <w:r w:rsidRPr="00320084">
        <w:t>, the nonprofit is asked to assert that it has seen the valid vendor license of such vendor, a de minim</w:t>
      </w:r>
      <w:r w:rsidR="00547E85">
        <w:t>i</w:t>
      </w:r>
      <w:r w:rsidRPr="00320084">
        <w:t>s</w:t>
      </w:r>
      <w:r w:rsidR="00401591">
        <w:t xml:space="preserve"> </w:t>
      </w:r>
      <w:r w:rsidRPr="00320084">
        <w:t>requirement as any vendor operating in any jurisdiction must have such a license.</w:t>
      </w:r>
    </w:p>
    <w:p w:rsidR="0084782C" w:rsidRPr="00320084" w:rsidP="0084782C" w14:paraId="2CEAF71E" w14:textId="77777777"/>
    <w:p w:rsidR="0084782C" w:rsidRPr="007A5755" w:rsidP="002207FB" w14:paraId="4D17098C" w14:textId="77777777">
      <w:pPr>
        <w:tabs>
          <w:tab w:val="right" w:pos="540"/>
        </w:tabs>
        <w:ind w:left="720" w:hanging="720"/>
        <w:rPr>
          <w:b/>
          <w:bCs/>
        </w:rPr>
      </w:pPr>
      <w:r>
        <w:rPr>
          <w:b/>
          <w:bCs/>
        </w:rPr>
        <w:tab/>
      </w:r>
      <w:r w:rsidRPr="007A5755">
        <w:rPr>
          <w:b/>
          <w:bCs/>
        </w:rPr>
        <w:t>6.</w:t>
      </w:r>
      <w:r w:rsidRPr="007A5755">
        <w:rPr>
          <w:b/>
        </w:rPr>
        <w:tab/>
      </w:r>
      <w:r w:rsidRPr="007A5755">
        <w:rPr>
          <w:b/>
          <w:bCs/>
        </w:rPr>
        <w:t>Describe the consequence to federal program or policy activities if the collection is not conducted or is conducted less frequently, as well as any technical or legal obstacles to reducing burden.</w:t>
      </w:r>
    </w:p>
    <w:p w:rsidR="00DC0F00" w:rsidRPr="00320084" w:rsidP="00D741D9" w14:paraId="07D61CED" w14:textId="77777777">
      <w:pPr>
        <w:ind w:left="720" w:hanging="720"/>
        <w:rPr>
          <w:bCs/>
        </w:rPr>
      </w:pPr>
    </w:p>
    <w:p w:rsidR="00DC0F00" w:rsidP="0084782C" w14:paraId="3C205424" w14:textId="77777777">
      <w:pPr>
        <w:ind w:left="720" w:hanging="720"/>
        <w:rPr>
          <w:bCs/>
        </w:rPr>
      </w:pPr>
      <w:r w:rsidRPr="00320084">
        <w:rPr>
          <w:bCs/>
        </w:rPr>
        <w:tab/>
      </w:r>
      <w:r w:rsidRPr="00320084" w:rsidR="00076AC5">
        <w:rPr>
          <w:bCs/>
        </w:rPr>
        <w:t xml:space="preserve">The information is only collected </w:t>
      </w:r>
      <w:r w:rsidRPr="00320084" w:rsidR="00783D35">
        <w:rPr>
          <w:bCs/>
        </w:rPr>
        <w:t>when an applicant requests to use public space at the FPB</w:t>
      </w:r>
      <w:r w:rsidR="00406E36">
        <w:rPr>
          <w:bCs/>
        </w:rPr>
        <w:t xml:space="preserve">. </w:t>
      </w:r>
      <w:r w:rsidR="006F16E6">
        <w:rPr>
          <w:bCs/>
        </w:rPr>
        <w:t xml:space="preserve">Failure to collect proper information </w:t>
      </w:r>
      <w:r w:rsidR="008D752E">
        <w:rPr>
          <w:bCs/>
        </w:rPr>
        <w:t xml:space="preserve">would result in DOL being unable to evaluate requests </w:t>
      </w:r>
      <w:r w:rsidR="00925F4B">
        <w:rPr>
          <w:bCs/>
        </w:rPr>
        <w:t>from outside requestors</w:t>
      </w:r>
      <w:r w:rsidR="006F16E6">
        <w:rPr>
          <w:bCs/>
        </w:rPr>
        <w:t>.</w:t>
      </w:r>
    </w:p>
    <w:p w:rsidR="00D741D9" w:rsidP="0084782C" w14:paraId="3F48AAB7" w14:textId="77777777">
      <w:pPr>
        <w:ind w:left="720" w:hanging="720"/>
        <w:rPr>
          <w:bCs/>
        </w:rPr>
      </w:pPr>
    </w:p>
    <w:p w:rsidR="0084782C" w:rsidRPr="007A5755" w:rsidP="002207FB" w14:paraId="61CA0CD0" w14:textId="77777777">
      <w:pPr>
        <w:tabs>
          <w:tab w:val="right" w:pos="540"/>
        </w:tabs>
        <w:ind w:left="720" w:hanging="720"/>
        <w:rPr>
          <w:b/>
          <w:bCs/>
          <w:u w:val="single"/>
        </w:rPr>
      </w:pPr>
      <w:r>
        <w:rPr>
          <w:b/>
          <w:bCs/>
        </w:rPr>
        <w:tab/>
      </w:r>
      <w:r w:rsidRPr="007A5755" w:rsidR="00D741D9">
        <w:rPr>
          <w:b/>
          <w:bCs/>
        </w:rPr>
        <w:t>7.</w:t>
      </w:r>
      <w:r w:rsidRPr="007A5755" w:rsidR="00D741D9">
        <w:rPr>
          <w:b/>
          <w:bCs/>
        </w:rPr>
        <w:tab/>
        <w:t>E</w:t>
      </w:r>
      <w:r w:rsidRPr="007A5755">
        <w:rPr>
          <w:b/>
          <w:bCs/>
        </w:rPr>
        <w:t>xplain any special circumstances that would cause an information collection to be conducted in a manner</w:t>
      </w:r>
      <w:r w:rsidRPr="00406E36">
        <w:rPr>
          <w:b/>
          <w:bCs/>
        </w:rPr>
        <w:t>:</w:t>
      </w:r>
      <w:r w:rsidRPr="00406E36" w:rsidR="00406E36">
        <w:rPr>
          <w:b/>
          <w:bCs/>
        </w:rPr>
        <w:t xml:space="preserve"> </w:t>
      </w:r>
      <w:r w:rsidRPr="00406E36" w:rsidR="00564E9A">
        <w:rPr>
          <w:b/>
          <w:bCs/>
        </w:rPr>
        <w:t>a</w:t>
      </w:r>
      <w:r w:rsidRPr="00406E36" w:rsidR="00406E36">
        <w:rPr>
          <w:b/>
          <w:bCs/>
        </w:rPr>
        <w:t xml:space="preserve">. </w:t>
      </w:r>
      <w:r w:rsidRPr="00406E36" w:rsidR="00564E9A">
        <w:rPr>
          <w:b/>
          <w:bCs/>
        </w:rPr>
        <w:t xml:space="preserve">requiring respondents to report information </w:t>
      </w:r>
      <w:r w:rsidRPr="00406E36" w:rsidR="00564E9A">
        <w:rPr>
          <w:b/>
          <w:bCs/>
        </w:rPr>
        <w:t>to the agency more often than quarterly;</w:t>
      </w:r>
      <w:r w:rsidRPr="00406E36" w:rsidR="00406E36">
        <w:rPr>
          <w:b/>
          <w:bCs/>
        </w:rPr>
        <w:t xml:space="preserve"> </w:t>
      </w:r>
      <w:r w:rsidRPr="00406E36" w:rsidR="00D741D9">
        <w:rPr>
          <w:b/>
          <w:bCs/>
        </w:rPr>
        <w:t>b</w:t>
      </w:r>
      <w:r w:rsidRPr="00406E36" w:rsidR="00406E36">
        <w:rPr>
          <w:b/>
          <w:bCs/>
        </w:rPr>
        <w:t xml:space="preserve">. </w:t>
      </w:r>
      <w:r w:rsidRPr="00406E36" w:rsidR="00D741D9">
        <w:rPr>
          <w:b/>
          <w:bCs/>
        </w:rPr>
        <w:t>requiring respondents to prepare a written response</w:t>
      </w:r>
      <w:r w:rsidRPr="00406E36">
        <w:rPr>
          <w:b/>
          <w:bCs/>
        </w:rPr>
        <w:t xml:space="preserve"> to a collection of</w:t>
      </w:r>
      <w:r w:rsidRPr="00406E36" w:rsidR="00D741D9">
        <w:rPr>
          <w:b/>
          <w:bCs/>
        </w:rPr>
        <w:t xml:space="preserve"> i</w:t>
      </w:r>
      <w:r w:rsidRPr="00406E36">
        <w:rPr>
          <w:b/>
          <w:bCs/>
        </w:rPr>
        <w:t>nformation in fewer than 30 days after receipt of it;</w:t>
      </w:r>
      <w:r w:rsidRPr="00406E36" w:rsidR="00406E36">
        <w:rPr>
          <w:b/>
          <w:bCs/>
        </w:rPr>
        <w:t xml:space="preserve"> </w:t>
      </w:r>
      <w:r w:rsidRPr="00406E36" w:rsidR="00D741D9">
        <w:rPr>
          <w:b/>
          <w:bCs/>
        </w:rPr>
        <w:t>c</w:t>
      </w:r>
      <w:r w:rsidRPr="00406E36" w:rsidR="00406E36">
        <w:rPr>
          <w:b/>
          <w:bCs/>
        </w:rPr>
        <w:t xml:space="preserve">. </w:t>
      </w:r>
      <w:r w:rsidRPr="00406E36" w:rsidR="00D741D9">
        <w:rPr>
          <w:b/>
          <w:bCs/>
        </w:rPr>
        <w:t xml:space="preserve">requiring </w:t>
      </w:r>
      <w:r w:rsidRPr="00406E36">
        <w:rPr>
          <w:b/>
          <w:bCs/>
        </w:rPr>
        <w:t>respondents to submit more than an original and two copies of any</w:t>
      </w:r>
      <w:r w:rsidRPr="00406E36" w:rsidR="00D741D9">
        <w:rPr>
          <w:b/>
          <w:bCs/>
        </w:rPr>
        <w:t xml:space="preserve"> </w:t>
      </w:r>
      <w:r w:rsidRPr="00406E36">
        <w:rPr>
          <w:b/>
          <w:bCs/>
        </w:rPr>
        <w:t xml:space="preserve"> </w:t>
      </w:r>
      <w:r w:rsidRPr="00406E36" w:rsidR="00D741D9">
        <w:rPr>
          <w:b/>
          <w:bCs/>
        </w:rPr>
        <w:t>d</w:t>
      </w:r>
      <w:r w:rsidRPr="00406E36">
        <w:rPr>
          <w:b/>
          <w:bCs/>
        </w:rPr>
        <w:t>ocument;</w:t>
      </w:r>
      <w:r w:rsidRPr="00406E36" w:rsidR="00406E36">
        <w:rPr>
          <w:b/>
          <w:bCs/>
        </w:rPr>
        <w:t xml:space="preserve"> </w:t>
      </w:r>
      <w:r w:rsidRPr="00406E36" w:rsidR="00D741D9">
        <w:rPr>
          <w:b/>
          <w:bCs/>
        </w:rPr>
        <w:t>d</w:t>
      </w:r>
      <w:r w:rsidRPr="00406E36" w:rsidR="00406E36">
        <w:rPr>
          <w:b/>
          <w:bCs/>
        </w:rPr>
        <w:t xml:space="preserve">. </w:t>
      </w:r>
      <w:r w:rsidRPr="00406E36" w:rsidR="00D741D9">
        <w:rPr>
          <w:b/>
          <w:bCs/>
        </w:rPr>
        <w:t>requiring</w:t>
      </w:r>
      <w:r w:rsidRPr="00406E36">
        <w:rPr>
          <w:b/>
          <w:bCs/>
        </w:rPr>
        <w:t xml:space="preserve"> respondents to retain records, other than health, medical, government contract, grant-in-aid, or tax records for more than three years;</w:t>
      </w:r>
      <w:r w:rsidRPr="00406E36" w:rsidR="00406E36">
        <w:rPr>
          <w:b/>
          <w:bCs/>
        </w:rPr>
        <w:t xml:space="preserve"> </w:t>
      </w:r>
      <w:r w:rsidRPr="00406E36" w:rsidR="00FA60EC">
        <w:rPr>
          <w:b/>
          <w:bCs/>
        </w:rPr>
        <w:t>e</w:t>
      </w:r>
      <w:r w:rsidRPr="00406E36" w:rsidR="00406E36">
        <w:rPr>
          <w:b/>
          <w:bCs/>
        </w:rPr>
        <w:t xml:space="preserve">. </w:t>
      </w:r>
      <w:r w:rsidRPr="00406E36" w:rsidR="00FA60EC">
        <w:rPr>
          <w:b/>
          <w:bCs/>
        </w:rPr>
        <w:t xml:space="preserve">in </w:t>
      </w:r>
      <w:r w:rsidRPr="00406E36">
        <w:rPr>
          <w:b/>
          <w:bCs/>
        </w:rPr>
        <w:t>connection with a statistical survey, that is not designed to produce valid and reliable results that can be generalized to the universe of study;</w:t>
      </w:r>
      <w:r w:rsidR="00406E36">
        <w:rPr>
          <w:b/>
          <w:bCs/>
        </w:rPr>
        <w:t xml:space="preserve"> </w:t>
      </w:r>
      <w:r w:rsidRPr="007A5755" w:rsidR="00FA60EC">
        <w:rPr>
          <w:b/>
          <w:bCs/>
        </w:rPr>
        <w:t>f</w:t>
      </w:r>
      <w:r w:rsidR="00406E36">
        <w:rPr>
          <w:b/>
          <w:bCs/>
        </w:rPr>
        <w:t xml:space="preserve">. </w:t>
      </w:r>
      <w:r w:rsidRPr="00406E36" w:rsidR="00FA60EC">
        <w:rPr>
          <w:b/>
          <w:bCs/>
        </w:rPr>
        <w:t xml:space="preserve">requiring </w:t>
      </w:r>
      <w:r w:rsidRPr="00406E36">
        <w:rPr>
          <w:b/>
          <w:bCs/>
        </w:rPr>
        <w:t>the use of a statistical data classification that has not been reviewed and approved by OMB;</w:t>
      </w:r>
      <w:r w:rsidRPr="00406E36" w:rsidR="00406E36">
        <w:rPr>
          <w:b/>
          <w:bCs/>
        </w:rPr>
        <w:t xml:space="preserve"> </w:t>
      </w:r>
      <w:r w:rsidRPr="00406E36" w:rsidR="00FA60EC">
        <w:rPr>
          <w:b/>
          <w:bCs/>
        </w:rPr>
        <w:t>g</w:t>
      </w:r>
      <w:r w:rsidRPr="00406E36" w:rsidR="00406E36">
        <w:rPr>
          <w:b/>
          <w:bCs/>
        </w:rPr>
        <w:t xml:space="preserve">. </w:t>
      </w:r>
      <w:r w:rsidRPr="00406E36" w:rsidR="00FA60EC">
        <w:rPr>
          <w:b/>
          <w:bCs/>
        </w:rPr>
        <w:t xml:space="preserve">that </w:t>
      </w:r>
      <w:r w:rsidRPr="00406E36">
        <w:rPr>
          <w:b/>
          <w:bCs/>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406E36" w:rsidR="00406E36">
        <w:rPr>
          <w:b/>
          <w:bCs/>
        </w:rPr>
        <w:t xml:space="preserve"> </w:t>
      </w:r>
      <w:r w:rsidRPr="00406E36" w:rsidR="00FA60EC">
        <w:rPr>
          <w:b/>
          <w:bCs/>
        </w:rPr>
        <w:t>h</w:t>
      </w:r>
      <w:r w:rsidRPr="00406E36" w:rsidR="00406E36">
        <w:rPr>
          <w:b/>
          <w:bCs/>
        </w:rPr>
        <w:t xml:space="preserve">. </w:t>
      </w:r>
      <w:r w:rsidRPr="00406E36" w:rsidR="00FA60EC">
        <w:rPr>
          <w:b/>
          <w:bCs/>
        </w:rPr>
        <w:t xml:space="preserve">requiring </w:t>
      </w:r>
      <w:r w:rsidRPr="00406E36">
        <w:rPr>
          <w:b/>
          <w:bCs/>
        </w:rPr>
        <w:t>respondents to submit proprietary trade secret, or other confidential information unless the agency can demonstrate that it has instituted procedures to protect the information's confidentiality to the extent permitted by law.</w:t>
      </w:r>
    </w:p>
    <w:p w:rsidR="00153E1C" w:rsidRPr="00320084" w:rsidP="00A001F7" w14:paraId="1F5A7BB4" w14:textId="77777777">
      <w:pPr>
        <w:tabs>
          <w:tab w:val="left" w:pos="-1440"/>
        </w:tabs>
        <w:ind w:left="936" w:hanging="216"/>
        <w:rPr>
          <w:bCs/>
        </w:rPr>
      </w:pPr>
    </w:p>
    <w:p w:rsidR="004B62B6" w:rsidP="00444966" w14:paraId="6D4870B2" w14:textId="77777777">
      <w:pPr>
        <w:tabs>
          <w:tab w:val="left" w:pos="-1440"/>
        </w:tabs>
        <w:ind w:left="936" w:hanging="216"/>
        <w:rPr>
          <w:bCs/>
        </w:rPr>
      </w:pPr>
      <w:r w:rsidRPr="00320084">
        <w:rPr>
          <w:bCs/>
        </w:rPr>
        <w:tab/>
      </w:r>
      <w:r w:rsidR="007A5755">
        <w:rPr>
          <w:bCs/>
        </w:rPr>
        <w:t xml:space="preserve">DOL associates </w:t>
      </w:r>
      <w:r w:rsidR="00346A79">
        <w:rPr>
          <w:bCs/>
        </w:rPr>
        <w:t>n</w:t>
      </w:r>
      <w:r w:rsidR="007A5755">
        <w:rPr>
          <w:bCs/>
        </w:rPr>
        <w:t>o special circumstances with this request</w:t>
      </w:r>
      <w:r w:rsidR="00A001F7">
        <w:rPr>
          <w:bCs/>
        </w:rPr>
        <w:t>.</w:t>
      </w:r>
    </w:p>
    <w:p w:rsidR="0084782C" w:rsidRPr="00320084" w:rsidP="004B62B6" w14:paraId="0F18415F" w14:textId="77777777">
      <w:pPr>
        <w:tabs>
          <w:tab w:val="left" w:pos="-1440"/>
        </w:tabs>
        <w:ind w:left="936" w:hanging="216"/>
      </w:pPr>
    </w:p>
    <w:p w:rsidR="0084782C" w:rsidRPr="00C07F2F" w:rsidP="002207FB" w14:paraId="309091C9" w14:textId="77777777">
      <w:pPr>
        <w:tabs>
          <w:tab w:val="right" w:pos="540"/>
        </w:tabs>
        <w:ind w:left="720" w:hanging="720"/>
        <w:rPr>
          <w:b/>
          <w:bCs/>
        </w:rPr>
      </w:pPr>
      <w:r>
        <w:rPr>
          <w:b/>
          <w:bCs/>
        </w:rPr>
        <w:tab/>
        <w:t>8.</w:t>
      </w:r>
      <w:r>
        <w:rPr>
          <w:b/>
          <w:bCs/>
        </w:rPr>
        <w:tab/>
      </w:r>
      <w:r w:rsidRPr="00C07F2F">
        <w:rPr>
          <w:b/>
          <w:bCs/>
        </w:rPr>
        <w:t xml:space="preserve">If applicable, provide a copy and identify the data and page number of publication in the </w:t>
      </w:r>
      <w:r w:rsidRPr="00C07F2F">
        <w:rPr>
          <w:b/>
          <w:bCs/>
          <w:i/>
        </w:rPr>
        <w:t>Federal Register</w:t>
      </w:r>
      <w:r w:rsidRPr="00C07F2F">
        <w:rPr>
          <w:b/>
          <w:bCs/>
        </w:rPr>
        <w:t xml:space="preserve"> of the agency's notice, required by 5 CFR 1320.8(d), soliciting comments on the information collection prior to submission to OMB</w:t>
      </w:r>
      <w:r w:rsidR="00406E36">
        <w:rPr>
          <w:b/>
          <w:bCs/>
        </w:rPr>
        <w:t xml:space="preserve">. </w:t>
      </w:r>
      <w:r w:rsidRPr="00C07F2F">
        <w:rPr>
          <w:b/>
          <w:bCs/>
        </w:rPr>
        <w:t>Summarize public comments received in response to that notice and describe actions taken by the agency in response to these comments</w:t>
      </w:r>
      <w:r w:rsidR="00406E36">
        <w:rPr>
          <w:b/>
          <w:bCs/>
        </w:rPr>
        <w:t xml:space="preserve">. </w:t>
      </w:r>
      <w:r w:rsidRPr="00C07F2F">
        <w:rPr>
          <w:b/>
          <w:bCs/>
        </w:rPr>
        <w:t>Specifically address comments received on cost and hour burden.</w:t>
      </w:r>
    </w:p>
    <w:p w:rsidR="00EB2454" w:rsidP="00EB2454" w14:paraId="35358F4E" w14:textId="77777777">
      <w:pPr>
        <w:rPr>
          <w:bCs/>
        </w:rPr>
      </w:pPr>
    </w:p>
    <w:p w:rsidR="00EB2454" w:rsidRPr="00320084" w:rsidP="00444966" w14:paraId="62C78185" w14:textId="5D2BD40E">
      <w:pPr>
        <w:ind w:left="720"/>
        <w:rPr>
          <w:bCs/>
        </w:rPr>
      </w:pPr>
      <w:r>
        <w:rPr>
          <w:bCs/>
        </w:rPr>
        <w:t xml:space="preserve">As required by the Paperwork Reduction Act of 1995, </w:t>
      </w:r>
      <w:r w:rsidR="00406E36">
        <w:rPr>
          <w:bCs/>
        </w:rPr>
        <w:t xml:space="preserve">the Department published </w:t>
      </w:r>
      <w:r>
        <w:rPr>
          <w:bCs/>
        </w:rPr>
        <w:t xml:space="preserve">a </w:t>
      </w:r>
      <w:r>
        <w:rPr>
          <w:bCs/>
        </w:rPr>
        <w:t xml:space="preserve">notice in the </w:t>
      </w:r>
      <w:r w:rsidRPr="00406E36">
        <w:rPr>
          <w:bCs/>
          <w:i/>
        </w:rPr>
        <w:t>Federal Register</w:t>
      </w:r>
      <w:r>
        <w:rPr>
          <w:bCs/>
        </w:rPr>
        <w:t xml:space="preserve"> </w:t>
      </w:r>
      <w:r w:rsidR="00444966">
        <w:rPr>
          <w:bCs/>
        </w:rPr>
        <w:t xml:space="preserve">soliciting comments </w:t>
      </w:r>
      <w:r>
        <w:rPr>
          <w:bCs/>
        </w:rPr>
        <w:t>on</w:t>
      </w:r>
      <w:r w:rsidR="004C6479">
        <w:rPr>
          <w:bCs/>
        </w:rPr>
        <w:t xml:space="preserve"> </w:t>
      </w:r>
      <w:r w:rsidR="00FD4EEC">
        <w:rPr>
          <w:bCs/>
        </w:rPr>
        <w:t>August 21, 2020</w:t>
      </w:r>
      <w:r w:rsidR="0041474B">
        <w:rPr>
          <w:bCs/>
        </w:rPr>
        <w:t xml:space="preserve"> (</w:t>
      </w:r>
      <w:r w:rsidRPr="00FD4EEC" w:rsidR="00FD4EEC">
        <w:rPr>
          <w:bCs/>
        </w:rPr>
        <w:t>85 FR 51757</w:t>
      </w:r>
      <w:r w:rsidR="0041474B">
        <w:rPr>
          <w:bCs/>
        </w:rPr>
        <w:t>)</w:t>
      </w:r>
      <w:r w:rsidR="00406E36">
        <w:rPr>
          <w:bCs/>
        </w:rPr>
        <w:t xml:space="preserve">. </w:t>
      </w:r>
      <w:r w:rsidR="00346A79">
        <w:rPr>
          <w:bCs/>
        </w:rPr>
        <w:t>No comments were received.</w:t>
      </w:r>
    </w:p>
    <w:p w:rsidR="00153E1C" w:rsidRPr="00320084" w:rsidP="009B7634" w14:paraId="1AC0B185" w14:textId="77777777">
      <w:pPr>
        <w:rPr>
          <w:bCs/>
        </w:rPr>
      </w:pPr>
    </w:p>
    <w:p w:rsidR="0084782C" w:rsidRPr="00C07F2F" w:rsidP="002207FB" w14:paraId="6D670BDD" w14:textId="77777777">
      <w:pPr>
        <w:tabs>
          <w:tab w:val="right" w:pos="540"/>
        </w:tabs>
        <w:ind w:left="720" w:hanging="720"/>
        <w:rPr>
          <w:b/>
          <w:bCs/>
        </w:rPr>
      </w:pPr>
      <w:r>
        <w:rPr>
          <w:b/>
          <w:bCs/>
        </w:rPr>
        <w:tab/>
      </w:r>
      <w:r w:rsidRPr="00C07F2F">
        <w:rPr>
          <w:b/>
          <w:bCs/>
        </w:rPr>
        <w:t>9.</w:t>
      </w:r>
      <w:r w:rsidRPr="00C07F2F">
        <w:rPr>
          <w:b/>
        </w:rPr>
        <w:tab/>
      </w:r>
      <w:r w:rsidRPr="00C07F2F">
        <w:rPr>
          <w:b/>
          <w:bCs/>
        </w:rPr>
        <w:t>Explain any decision to provide any payment or gift to respondents, other than re-numeration of contractors or grantees.</w:t>
      </w:r>
    </w:p>
    <w:p w:rsidR="0084782C" w:rsidRPr="00320084" w:rsidP="0084782C" w14:paraId="253F013E" w14:textId="77777777"/>
    <w:p w:rsidR="00F63B5E" w:rsidRPr="00320084" w:rsidP="00444966" w14:paraId="7D1F66FC" w14:textId="77777777">
      <w:r w:rsidRPr="00320084">
        <w:tab/>
      </w:r>
      <w:r w:rsidR="004B62B6">
        <w:rPr>
          <w:bCs/>
        </w:rPr>
        <w:t>There is not payment or gift to respondents.</w:t>
      </w:r>
    </w:p>
    <w:p w:rsidR="00F63B5E" w:rsidRPr="00320084" w:rsidP="0084782C" w14:paraId="38BECBFB" w14:textId="77777777"/>
    <w:p w:rsidR="0084782C" w:rsidRPr="00C07F2F" w:rsidP="002207FB" w14:paraId="0AA42E89" w14:textId="77777777">
      <w:pPr>
        <w:tabs>
          <w:tab w:val="right" w:pos="540"/>
        </w:tabs>
        <w:ind w:left="720" w:hanging="720"/>
        <w:rPr>
          <w:b/>
          <w:bCs/>
        </w:rPr>
      </w:pPr>
      <w:r>
        <w:rPr>
          <w:b/>
          <w:bCs/>
        </w:rPr>
        <w:tab/>
      </w:r>
      <w:r w:rsidRPr="00C07F2F">
        <w:rPr>
          <w:b/>
          <w:bCs/>
        </w:rPr>
        <w:t>10.</w:t>
      </w:r>
      <w:r w:rsidRPr="00C07F2F">
        <w:rPr>
          <w:b/>
        </w:rPr>
        <w:tab/>
      </w:r>
      <w:r w:rsidRPr="00C07F2F">
        <w:rPr>
          <w:b/>
          <w:bCs/>
        </w:rPr>
        <w:t>Describe any assurance of confidentiality provided to respondents and the basis for the assurance in statute, regulation, or agency policy</w:t>
      </w:r>
      <w:r w:rsidR="00406E36">
        <w:rPr>
          <w:b/>
          <w:bCs/>
        </w:rPr>
        <w:t xml:space="preserve">. </w:t>
      </w:r>
      <w:r w:rsidRPr="00C07F2F">
        <w:rPr>
          <w:b/>
          <w:bCs/>
        </w:rPr>
        <w:t>(Note: If the submission will serve as Joint ICR and Privacy Impact Assessment per OMB Memorandum 03-22, Section II.D, the relevant justification shall be included as part of the agency’s response to this Item)</w:t>
      </w:r>
    </w:p>
    <w:p w:rsidR="0084782C" w:rsidRPr="00320084" w:rsidP="0084782C" w14:paraId="5799E2C8" w14:textId="77777777">
      <w:pPr>
        <w:ind w:left="720" w:hanging="720"/>
      </w:pPr>
    </w:p>
    <w:p w:rsidR="00F63B5E" w:rsidRPr="00320084" w:rsidP="0084782C" w14:paraId="459E0885" w14:textId="77777777">
      <w:pPr>
        <w:ind w:left="720" w:hanging="720"/>
      </w:pPr>
      <w:r w:rsidRPr="00320084">
        <w:tab/>
      </w:r>
      <w:r w:rsidR="00CD7D90">
        <w:rPr>
          <w:bCs/>
        </w:rPr>
        <w:t xml:space="preserve">It is the Agency’s policy </w:t>
      </w:r>
      <w:r w:rsidRPr="0094224D" w:rsidR="00CD7D90">
        <w:rPr>
          <w:bCs/>
        </w:rPr>
        <w:t xml:space="preserve">to </w:t>
      </w:r>
      <w:r w:rsidR="00CD7D90">
        <w:rPr>
          <w:bCs/>
        </w:rPr>
        <w:t xml:space="preserve">release financial and personal information </w:t>
      </w:r>
      <w:r w:rsidRPr="0094224D" w:rsidR="00CD7D90">
        <w:rPr>
          <w:bCs/>
        </w:rPr>
        <w:t xml:space="preserve">only </w:t>
      </w:r>
      <w:r w:rsidR="00CD7D90">
        <w:rPr>
          <w:bCs/>
        </w:rPr>
        <w:t>with the applicant’s written permission</w:t>
      </w:r>
      <w:r w:rsidR="00406E36">
        <w:rPr>
          <w:bCs/>
        </w:rPr>
        <w:t xml:space="preserve">. </w:t>
      </w:r>
      <w:r w:rsidR="004B62B6">
        <w:rPr>
          <w:bCs/>
        </w:rPr>
        <w:t xml:space="preserve">However, there is </w:t>
      </w:r>
      <w:r w:rsidR="00CD7D90">
        <w:rPr>
          <w:bCs/>
        </w:rPr>
        <w:t>no</w:t>
      </w:r>
      <w:r w:rsidR="004B62B6">
        <w:rPr>
          <w:bCs/>
        </w:rPr>
        <w:t xml:space="preserve"> formal assurance of confidentiality provided to respondents.</w:t>
      </w:r>
    </w:p>
    <w:p w:rsidR="00F63B5E" w:rsidRPr="00320084" w:rsidP="0084782C" w14:paraId="5AB9A570" w14:textId="77777777">
      <w:pPr>
        <w:ind w:left="720" w:hanging="720"/>
      </w:pPr>
    </w:p>
    <w:p w:rsidR="0084782C" w:rsidRPr="00C07F2F" w:rsidP="002207FB" w14:paraId="1F0CB2B3" w14:textId="77777777">
      <w:pPr>
        <w:tabs>
          <w:tab w:val="right" w:pos="540"/>
        </w:tabs>
        <w:ind w:left="720" w:hanging="720"/>
        <w:rPr>
          <w:b/>
          <w:bCs/>
        </w:rPr>
      </w:pPr>
      <w:r>
        <w:rPr>
          <w:b/>
          <w:bCs/>
        </w:rPr>
        <w:tab/>
      </w:r>
      <w:r w:rsidRPr="00C07F2F">
        <w:rPr>
          <w:b/>
          <w:bCs/>
        </w:rPr>
        <w:t>11.</w:t>
      </w:r>
      <w:r w:rsidRPr="00C07F2F">
        <w:rPr>
          <w:b/>
          <w:bCs/>
        </w:rPr>
        <w:tab/>
        <w:t>Provide additional justification for any questions of a sensitive nature, such as sexual behavior and attitudes, religious beliefs, and other matters that are commonly considered private</w:t>
      </w:r>
      <w:r w:rsidR="00406E36">
        <w:rPr>
          <w:b/>
          <w:bCs/>
        </w:rPr>
        <w:t xml:space="preserve">. </w:t>
      </w:r>
      <w:r w:rsidRPr="00C07F2F">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782C" w:rsidRPr="00320084" w:rsidP="0084782C" w14:paraId="45303DEA" w14:textId="77777777"/>
    <w:p w:rsidR="00497009" w:rsidRPr="00320084" w:rsidP="00D11E44" w14:paraId="66C41F62" w14:textId="77777777">
      <w:pPr>
        <w:ind w:left="720"/>
      </w:pPr>
      <w:r>
        <w:t>The information collected does not contain any questions of a sensitive nature such as sexual behavior, religious beliefs, or other matters commonly considered private.</w:t>
      </w:r>
    </w:p>
    <w:p w:rsidR="00F63B5E" w:rsidRPr="00320084" w:rsidP="0084782C" w14:paraId="0CF4E997" w14:textId="77777777"/>
    <w:p w:rsidR="0084782C" w:rsidRPr="00C07F2F" w:rsidP="002207FB" w14:paraId="2AB20A6B" w14:textId="77777777">
      <w:pPr>
        <w:tabs>
          <w:tab w:val="right" w:pos="540"/>
        </w:tabs>
        <w:ind w:left="720" w:hanging="720"/>
        <w:rPr>
          <w:b/>
          <w:bCs/>
        </w:rPr>
      </w:pPr>
      <w:r>
        <w:rPr>
          <w:b/>
          <w:bCs/>
        </w:rPr>
        <w:tab/>
      </w:r>
      <w:r w:rsidRPr="00C07F2F">
        <w:rPr>
          <w:b/>
          <w:bCs/>
        </w:rPr>
        <w:t>12.</w:t>
      </w:r>
      <w:r w:rsidRPr="00C07F2F">
        <w:rPr>
          <w:b/>
          <w:bCs/>
        </w:rPr>
        <w:tab/>
        <w:t>Provide estimates of the hour burden of the collection of information</w:t>
      </w:r>
      <w:r w:rsidR="00406E36">
        <w:rPr>
          <w:b/>
          <w:bCs/>
        </w:rPr>
        <w:t xml:space="preserve">. </w:t>
      </w:r>
      <w:r w:rsidRPr="00C07F2F">
        <w:rPr>
          <w:b/>
          <w:bCs/>
        </w:rPr>
        <w:t>The statement should:</w:t>
      </w:r>
    </w:p>
    <w:p w:rsidR="0084782C" w:rsidRPr="00320084" w:rsidP="0084782C" w14:paraId="0B466611" w14:textId="77777777">
      <w:pPr>
        <w:rPr>
          <w:bCs/>
        </w:rPr>
      </w:pPr>
    </w:p>
    <w:p w:rsidR="00A95EC8" w:rsidP="00F76925" w14:paraId="26C660AF" w14:textId="77777777">
      <w:pPr>
        <w:tabs>
          <w:tab w:val="left" w:pos="1440"/>
        </w:tabs>
        <w:ind w:left="720"/>
        <w:rPr>
          <w:bCs/>
        </w:rPr>
      </w:pPr>
      <w:r>
        <w:rPr>
          <w:bCs/>
        </w:rPr>
        <w:t xml:space="preserve">Based on prior experience, the DOL anticipates receiving about </w:t>
      </w:r>
      <w:r w:rsidR="00547E85">
        <w:rPr>
          <w:bCs/>
        </w:rPr>
        <w:t>five</w:t>
      </w:r>
      <w:r w:rsidR="005E04C7">
        <w:rPr>
          <w:bCs/>
        </w:rPr>
        <w:t xml:space="preserve"> non-DOL Agenc</w:t>
      </w:r>
      <w:r>
        <w:rPr>
          <w:bCs/>
        </w:rPr>
        <w:t>y</w:t>
      </w:r>
      <w:r w:rsidR="00CD7D90">
        <w:rPr>
          <w:bCs/>
        </w:rPr>
        <w:t xml:space="preserve"> request</w:t>
      </w:r>
      <w:r>
        <w:rPr>
          <w:bCs/>
        </w:rPr>
        <w:t>s to</w:t>
      </w:r>
      <w:r w:rsidR="0033689A">
        <w:rPr>
          <w:bCs/>
        </w:rPr>
        <w:t xml:space="preserve"> use of the facility</w:t>
      </w:r>
      <w:r w:rsidR="00F401A4">
        <w:rPr>
          <w:bCs/>
        </w:rPr>
        <w:t xml:space="preserve"> each year</w:t>
      </w:r>
      <w:r w:rsidR="00406E36">
        <w:rPr>
          <w:bCs/>
        </w:rPr>
        <w:t xml:space="preserve">. </w:t>
      </w:r>
      <w:r w:rsidR="00F401A4">
        <w:rPr>
          <w:bCs/>
        </w:rPr>
        <w:t>Each F</w:t>
      </w:r>
      <w:r w:rsidR="006A3C6B">
        <w:rPr>
          <w:bCs/>
        </w:rPr>
        <w:t xml:space="preserve">orm </w:t>
      </w:r>
      <w:r w:rsidR="00F401A4">
        <w:rPr>
          <w:bCs/>
        </w:rPr>
        <w:t xml:space="preserve">DL-1-6062B </w:t>
      </w:r>
      <w:r w:rsidR="006A3C6B">
        <w:rPr>
          <w:bCs/>
        </w:rPr>
        <w:t>takes approximately 5 minutes to complete</w:t>
      </w:r>
      <w:r>
        <w:rPr>
          <w:bCs/>
        </w:rPr>
        <w:t>.</w:t>
      </w:r>
      <w:r w:rsidR="00747085">
        <w:rPr>
          <w:bCs/>
        </w:rPr>
        <w:t xml:space="preserve"> As this collection is covered by a rule of General applicability, the PRA implementing regulations deem the collection to have at least 10 respondents</w:t>
      </w:r>
    </w:p>
    <w:p w:rsidR="000C5EE8" w:rsidP="00F76925" w14:paraId="2377F07E" w14:textId="77777777">
      <w:pPr>
        <w:tabs>
          <w:tab w:val="left" w:pos="1440"/>
        </w:tabs>
        <w:ind w:left="720"/>
        <w:rPr>
          <w:bCs/>
        </w:rPr>
      </w:pPr>
    </w:p>
    <w:p w:rsidR="000C5EE8" w:rsidP="00F76925" w14:paraId="4B51E039" w14:textId="005B321D">
      <w:pPr>
        <w:tabs>
          <w:tab w:val="left" w:pos="1440"/>
        </w:tabs>
        <w:ind w:left="720"/>
        <w:rPr>
          <w:bCs/>
        </w:rPr>
      </w:pPr>
      <w:r>
        <w:rPr>
          <w:bCs/>
        </w:rPr>
        <w:t xml:space="preserve">The DOL has estimated the value of respondent time based on the </w:t>
      </w:r>
      <w:r w:rsidR="00F401A4">
        <w:rPr>
          <w:bCs/>
        </w:rPr>
        <w:t xml:space="preserve">March </w:t>
      </w:r>
      <w:r w:rsidR="00244E7A">
        <w:rPr>
          <w:bCs/>
        </w:rPr>
        <w:t>2023</w:t>
      </w:r>
      <w:r w:rsidR="00F401A4">
        <w:rPr>
          <w:bCs/>
        </w:rPr>
        <w:t xml:space="preserve"> average hourly earnings in the Professional and Business Services Industry of $31.57 and inflating that about by 40 percent to account for fringe benefits and overhead—a total rate of $44.20. </w:t>
      </w:r>
      <w:r w:rsidRPr="00F401A4" w:rsidR="00F401A4">
        <w:rPr>
          <w:bCs/>
          <w:i/>
        </w:rPr>
        <w:t xml:space="preserve">See </w:t>
      </w:r>
      <w:hyperlink r:id="rId7" w:history="1">
        <w:r w:rsidR="00244E7A">
          <w:rPr>
            <w:rStyle w:val="Hyperlink"/>
            <w:bCs/>
            <w:i/>
          </w:rPr>
          <w:t>The Employment Situation—2023</w:t>
        </w:r>
      </w:hyperlink>
      <w:r w:rsidR="00F401A4">
        <w:rPr>
          <w:bCs/>
        </w:rPr>
        <w:t xml:space="preserve"> at 33, Table B-3, U.S. Department of Labor, Bureau of Labor Statistics.</w:t>
      </w:r>
    </w:p>
    <w:p w:rsidR="00F401A4" w:rsidP="00F76925" w14:paraId="1F13CB5E" w14:textId="77777777">
      <w:pPr>
        <w:tabs>
          <w:tab w:val="left" w:pos="1440"/>
        </w:tabs>
        <w:ind w:left="720"/>
        <w:rPr>
          <w:bCs/>
        </w:rPr>
      </w:pPr>
    </w:p>
    <w:p w:rsidR="00A95EC8" w:rsidRPr="007273E4" w:rsidP="007273E4" w14:paraId="556D94C3" w14:textId="2BD75F08">
      <w:pPr>
        <w:tabs>
          <w:tab w:val="left" w:pos="1440"/>
        </w:tabs>
        <w:rPr>
          <w:b/>
          <w:bCs/>
        </w:rPr>
      </w:pPr>
      <w:r w:rsidRPr="007273E4">
        <w:rPr>
          <w:b/>
          <w:bCs/>
        </w:rPr>
        <w:t>Table</w:t>
      </w:r>
      <w:r>
        <w:rPr>
          <w:b/>
          <w:bCs/>
        </w:rPr>
        <w:t xml:space="preserve"> 1: </w:t>
      </w:r>
      <w:r w:rsidR="00E229A5">
        <w:rPr>
          <w:b/>
          <w:bCs/>
        </w:rPr>
        <w:t>E</w:t>
      </w:r>
      <w:r w:rsidRPr="00C07F2F" w:rsidR="00614FB3">
        <w:rPr>
          <w:b/>
          <w:bCs/>
        </w:rPr>
        <w:t xml:space="preserve">stimates of </w:t>
      </w:r>
      <w:r w:rsidR="00E229A5">
        <w:rPr>
          <w:b/>
          <w:bCs/>
        </w:rPr>
        <w:t>Annual</w:t>
      </w:r>
      <w:r w:rsidRPr="00C07F2F" w:rsidR="00614FB3">
        <w:rPr>
          <w:b/>
          <w:bCs/>
        </w:rPr>
        <w:t xml:space="preserve"> </w:t>
      </w:r>
      <w:r w:rsidR="00E229A5">
        <w:rPr>
          <w:b/>
          <w:bCs/>
        </w:rPr>
        <w:t>B</w:t>
      </w:r>
      <w:r w:rsidRPr="00C07F2F" w:rsidR="00614FB3">
        <w:rPr>
          <w:b/>
          <w:bCs/>
        </w:rPr>
        <w:t>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211"/>
        <w:gridCol w:w="1048"/>
        <w:gridCol w:w="1019"/>
        <w:gridCol w:w="951"/>
        <w:gridCol w:w="985"/>
        <w:gridCol w:w="837"/>
        <w:gridCol w:w="1140"/>
      </w:tblGrid>
      <w:tr w14:paraId="15B06FD2" w14:textId="77777777" w:rsidTr="002D57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shd w:val="clear" w:color="auto" w:fill="8DB3E2"/>
          </w:tcPr>
          <w:p w:rsidR="00F401A4" w:rsidRPr="00614FB3" w:rsidP="002D57B0" w14:paraId="67F0DED8" w14:textId="77777777">
            <w:pPr>
              <w:rPr>
                <w:rFonts w:eastAsia="Calibri"/>
                <w:b/>
                <w:sz w:val="18"/>
                <w:szCs w:val="18"/>
              </w:rPr>
            </w:pPr>
            <w:r w:rsidRPr="00614FB3">
              <w:rPr>
                <w:rFonts w:eastAsia="Calibri"/>
                <w:b/>
                <w:sz w:val="18"/>
                <w:szCs w:val="18"/>
              </w:rPr>
              <w:t>Activity</w:t>
            </w:r>
          </w:p>
        </w:tc>
        <w:tc>
          <w:tcPr>
            <w:tcW w:w="1247" w:type="dxa"/>
            <w:shd w:val="clear" w:color="auto" w:fill="8DB3E2"/>
          </w:tcPr>
          <w:p w:rsidR="00F401A4" w:rsidRPr="00614FB3" w:rsidP="002D57B0" w14:paraId="1EA1F4CA" w14:textId="77777777">
            <w:pPr>
              <w:rPr>
                <w:rFonts w:eastAsia="Calibri"/>
                <w:b/>
                <w:sz w:val="18"/>
                <w:szCs w:val="18"/>
              </w:rPr>
            </w:pPr>
            <w:r w:rsidRPr="00614FB3">
              <w:rPr>
                <w:rFonts w:eastAsia="Calibri"/>
                <w:b/>
                <w:sz w:val="18"/>
                <w:szCs w:val="18"/>
              </w:rPr>
              <w:t>Number of Respondents</w:t>
            </w:r>
          </w:p>
        </w:tc>
        <w:tc>
          <w:tcPr>
            <w:tcW w:w="1078" w:type="dxa"/>
            <w:shd w:val="clear" w:color="auto" w:fill="8DB3E2"/>
          </w:tcPr>
          <w:p w:rsidR="00F401A4" w:rsidRPr="00614FB3" w:rsidP="002D57B0" w14:paraId="4638A793" w14:textId="77777777">
            <w:pPr>
              <w:rPr>
                <w:rFonts w:eastAsia="Calibri"/>
                <w:b/>
                <w:sz w:val="18"/>
                <w:szCs w:val="18"/>
              </w:rPr>
            </w:pPr>
            <w:r w:rsidRPr="00614FB3">
              <w:rPr>
                <w:rFonts w:eastAsia="Calibri"/>
                <w:b/>
                <w:sz w:val="18"/>
                <w:szCs w:val="18"/>
              </w:rPr>
              <w:t>Frequency</w:t>
            </w:r>
          </w:p>
        </w:tc>
        <w:tc>
          <w:tcPr>
            <w:tcW w:w="1049" w:type="dxa"/>
            <w:shd w:val="clear" w:color="auto" w:fill="8DB3E2"/>
          </w:tcPr>
          <w:p w:rsidR="00F401A4" w:rsidRPr="00614FB3" w:rsidP="002D57B0" w14:paraId="0681831B" w14:textId="77777777">
            <w:pPr>
              <w:rPr>
                <w:rFonts w:eastAsia="Calibri"/>
                <w:b/>
                <w:sz w:val="18"/>
                <w:szCs w:val="18"/>
              </w:rPr>
            </w:pPr>
            <w:r w:rsidRPr="00614FB3">
              <w:rPr>
                <w:rFonts w:eastAsia="Calibri"/>
                <w:b/>
                <w:sz w:val="18"/>
                <w:szCs w:val="18"/>
              </w:rPr>
              <w:t>Total Annual Responses</w:t>
            </w:r>
          </w:p>
        </w:tc>
        <w:tc>
          <w:tcPr>
            <w:tcW w:w="987" w:type="dxa"/>
            <w:shd w:val="clear" w:color="auto" w:fill="8DB3E2"/>
          </w:tcPr>
          <w:p w:rsidR="00F401A4" w:rsidRPr="00614FB3" w:rsidP="002D57B0" w14:paraId="318F47F9" w14:textId="77777777">
            <w:pPr>
              <w:rPr>
                <w:rFonts w:eastAsia="Calibri"/>
                <w:b/>
                <w:sz w:val="18"/>
                <w:szCs w:val="18"/>
              </w:rPr>
            </w:pPr>
            <w:r w:rsidRPr="00614FB3">
              <w:rPr>
                <w:rFonts w:eastAsia="Calibri"/>
                <w:b/>
                <w:sz w:val="18"/>
                <w:szCs w:val="18"/>
              </w:rPr>
              <w:t>Time Per Response</w:t>
            </w:r>
          </w:p>
        </w:tc>
        <w:tc>
          <w:tcPr>
            <w:tcW w:w="1004" w:type="dxa"/>
            <w:shd w:val="clear" w:color="auto" w:fill="8DB3E2"/>
          </w:tcPr>
          <w:p w:rsidR="00F401A4" w:rsidRPr="00614FB3" w:rsidP="002D57B0" w14:paraId="60C8F8E4" w14:textId="77777777">
            <w:pPr>
              <w:rPr>
                <w:rFonts w:eastAsia="Calibri"/>
                <w:b/>
                <w:sz w:val="18"/>
                <w:szCs w:val="18"/>
              </w:rPr>
            </w:pPr>
            <w:r w:rsidRPr="00614FB3">
              <w:rPr>
                <w:rFonts w:eastAsia="Calibri"/>
                <w:b/>
                <w:sz w:val="18"/>
                <w:szCs w:val="18"/>
              </w:rPr>
              <w:t>Total Annual Burden (</w:t>
            </w:r>
            <w:r w:rsidRPr="00614FB3" w:rsidR="007273E4">
              <w:rPr>
                <w:rFonts w:eastAsia="Calibri"/>
                <w:b/>
                <w:sz w:val="18"/>
                <w:szCs w:val="18"/>
              </w:rPr>
              <w:t xml:space="preserve">Rounded </w:t>
            </w:r>
            <w:r w:rsidRPr="00614FB3">
              <w:rPr>
                <w:rFonts w:eastAsia="Calibri"/>
                <w:b/>
                <w:sz w:val="18"/>
                <w:szCs w:val="18"/>
              </w:rPr>
              <w:t>Hours)</w:t>
            </w:r>
          </w:p>
        </w:tc>
        <w:tc>
          <w:tcPr>
            <w:tcW w:w="878" w:type="dxa"/>
            <w:shd w:val="clear" w:color="auto" w:fill="8DB3E2"/>
          </w:tcPr>
          <w:p w:rsidR="00F401A4" w:rsidRPr="00614FB3" w:rsidP="002D57B0" w14:paraId="19013014" w14:textId="77777777">
            <w:pPr>
              <w:rPr>
                <w:rFonts w:eastAsia="Calibri"/>
                <w:b/>
                <w:sz w:val="18"/>
                <w:szCs w:val="18"/>
              </w:rPr>
            </w:pPr>
            <w:r w:rsidRPr="00614FB3">
              <w:rPr>
                <w:rFonts w:eastAsia="Calibri"/>
                <w:b/>
                <w:sz w:val="18"/>
                <w:szCs w:val="18"/>
              </w:rPr>
              <w:t>Hourly Rate*</w:t>
            </w:r>
          </w:p>
        </w:tc>
        <w:tc>
          <w:tcPr>
            <w:tcW w:w="1173" w:type="dxa"/>
            <w:shd w:val="clear" w:color="auto" w:fill="8DB3E2"/>
          </w:tcPr>
          <w:p w:rsidR="00F401A4" w:rsidRPr="00614FB3" w:rsidP="002D57B0" w14:paraId="5D9E1C4C" w14:textId="77777777">
            <w:pPr>
              <w:rPr>
                <w:rFonts w:eastAsia="Calibri"/>
                <w:b/>
                <w:sz w:val="18"/>
                <w:szCs w:val="18"/>
              </w:rPr>
            </w:pPr>
            <w:r w:rsidRPr="00614FB3">
              <w:rPr>
                <w:rFonts w:eastAsia="Calibri"/>
                <w:b/>
                <w:sz w:val="18"/>
                <w:szCs w:val="18"/>
              </w:rPr>
              <w:t>Monetized Value of Respondent Time</w:t>
            </w:r>
          </w:p>
        </w:tc>
      </w:tr>
      <w:tr w14:paraId="2509FE3D" w14:textId="77777777" w:rsidTr="002D57B0">
        <w:tblPrEx>
          <w:tblW w:w="0" w:type="auto"/>
          <w:tblLook w:val="04A0"/>
        </w:tblPrEx>
        <w:tc>
          <w:tcPr>
            <w:tcW w:w="1440" w:type="dxa"/>
            <w:shd w:val="clear" w:color="auto" w:fill="auto"/>
            <w:vAlign w:val="bottom"/>
          </w:tcPr>
          <w:p w:rsidR="00F401A4" w:rsidRPr="00614FB3" w:rsidP="00F401A4" w14:paraId="2CBE8775" w14:textId="77777777">
            <w:pPr>
              <w:rPr>
                <w:rFonts w:eastAsia="Calibri"/>
                <w:sz w:val="22"/>
                <w:szCs w:val="22"/>
              </w:rPr>
            </w:pPr>
            <w:r w:rsidRPr="00614FB3">
              <w:rPr>
                <w:rFonts w:eastAsia="Calibri"/>
                <w:bCs/>
                <w:sz w:val="22"/>
                <w:szCs w:val="22"/>
              </w:rPr>
              <w:t>Form DL-1-6062B Completion (Reporting)</w:t>
            </w:r>
          </w:p>
        </w:tc>
        <w:tc>
          <w:tcPr>
            <w:tcW w:w="1247" w:type="dxa"/>
            <w:shd w:val="clear" w:color="auto" w:fill="auto"/>
            <w:vAlign w:val="bottom"/>
          </w:tcPr>
          <w:p w:rsidR="00F401A4" w:rsidRPr="00614FB3" w:rsidP="002D57B0" w14:paraId="245F67E0" w14:textId="77777777">
            <w:pPr>
              <w:jc w:val="right"/>
              <w:rPr>
                <w:rFonts w:eastAsia="Calibri"/>
                <w:sz w:val="22"/>
                <w:szCs w:val="22"/>
              </w:rPr>
            </w:pPr>
            <w:r w:rsidRPr="00614FB3">
              <w:rPr>
                <w:rFonts w:eastAsia="Calibri"/>
                <w:sz w:val="22"/>
                <w:szCs w:val="22"/>
              </w:rPr>
              <w:t>10</w:t>
            </w:r>
          </w:p>
        </w:tc>
        <w:tc>
          <w:tcPr>
            <w:tcW w:w="1078" w:type="dxa"/>
            <w:shd w:val="clear" w:color="auto" w:fill="auto"/>
            <w:vAlign w:val="bottom"/>
          </w:tcPr>
          <w:p w:rsidR="00F401A4" w:rsidRPr="00614FB3" w:rsidP="002D57B0" w14:paraId="7B20C414" w14:textId="77777777">
            <w:pPr>
              <w:jc w:val="right"/>
              <w:rPr>
                <w:rFonts w:eastAsia="Calibri"/>
                <w:sz w:val="22"/>
                <w:szCs w:val="22"/>
              </w:rPr>
            </w:pPr>
            <w:r w:rsidRPr="00614FB3">
              <w:rPr>
                <w:rFonts w:eastAsia="Calibri"/>
                <w:sz w:val="22"/>
                <w:szCs w:val="22"/>
              </w:rPr>
              <w:t>1</w:t>
            </w:r>
          </w:p>
        </w:tc>
        <w:tc>
          <w:tcPr>
            <w:tcW w:w="1049" w:type="dxa"/>
            <w:shd w:val="clear" w:color="auto" w:fill="auto"/>
            <w:vAlign w:val="bottom"/>
          </w:tcPr>
          <w:p w:rsidR="00F401A4" w:rsidRPr="00614FB3" w:rsidP="002D57B0" w14:paraId="330F2CF3" w14:textId="77777777">
            <w:pPr>
              <w:jc w:val="right"/>
              <w:rPr>
                <w:rFonts w:eastAsia="Calibri"/>
                <w:sz w:val="22"/>
                <w:szCs w:val="22"/>
              </w:rPr>
            </w:pPr>
            <w:r w:rsidRPr="00614FB3">
              <w:rPr>
                <w:rFonts w:eastAsia="Calibri"/>
                <w:sz w:val="22"/>
                <w:szCs w:val="22"/>
              </w:rPr>
              <w:t>10</w:t>
            </w:r>
          </w:p>
        </w:tc>
        <w:tc>
          <w:tcPr>
            <w:tcW w:w="987" w:type="dxa"/>
            <w:shd w:val="clear" w:color="auto" w:fill="auto"/>
            <w:vAlign w:val="bottom"/>
          </w:tcPr>
          <w:p w:rsidR="00F3103C" w:rsidRPr="00614FB3" w:rsidP="002D57B0" w14:paraId="6D448DB5" w14:textId="77777777">
            <w:pPr>
              <w:jc w:val="right"/>
              <w:rPr>
                <w:rFonts w:eastAsia="Calibri"/>
                <w:sz w:val="22"/>
                <w:szCs w:val="22"/>
              </w:rPr>
            </w:pPr>
            <w:r w:rsidRPr="00614FB3">
              <w:rPr>
                <w:rFonts w:eastAsia="Calibri"/>
                <w:sz w:val="22"/>
                <w:szCs w:val="22"/>
              </w:rPr>
              <w:t>.083</w:t>
            </w:r>
          </w:p>
          <w:p w:rsidR="00F401A4" w:rsidRPr="00614FB3" w:rsidP="002D57B0" w14:paraId="683C3F84" w14:textId="041FE539">
            <w:pPr>
              <w:jc w:val="right"/>
              <w:rPr>
                <w:rFonts w:eastAsia="Calibri"/>
                <w:sz w:val="22"/>
                <w:szCs w:val="22"/>
              </w:rPr>
            </w:pPr>
            <w:r w:rsidRPr="00614FB3">
              <w:rPr>
                <w:rFonts w:eastAsia="Calibri"/>
                <w:i/>
                <w:sz w:val="22"/>
                <w:szCs w:val="22"/>
              </w:rPr>
              <w:t>(</w:t>
            </w:r>
            <w:r w:rsidRPr="00614FB3">
              <w:rPr>
                <w:rFonts w:eastAsia="Calibri"/>
                <w:i/>
                <w:sz w:val="22"/>
                <w:szCs w:val="22"/>
              </w:rPr>
              <w:t>5 min.</w:t>
            </w:r>
            <w:r w:rsidRPr="00614FB3">
              <w:rPr>
                <w:rFonts w:eastAsia="Calibri"/>
                <w:i/>
                <w:sz w:val="22"/>
                <w:szCs w:val="22"/>
              </w:rPr>
              <w:t>)</w:t>
            </w:r>
          </w:p>
        </w:tc>
        <w:tc>
          <w:tcPr>
            <w:tcW w:w="1004" w:type="dxa"/>
            <w:shd w:val="clear" w:color="auto" w:fill="auto"/>
            <w:vAlign w:val="bottom"/>
          </w:tcPr>
          <w:p w:rsidR="00F401A4" w:rsidRPr="00614FB3" w:rsidP="002D57B0" w14:paraId="6A5D919A" w14:textId="77777777">
            <w:pPr>
              <w:jc w:val="right"/>
              <w:rPr>
                <w:rFonts w:eastAsia="Calibri"/>
                <w:sz w:val="22"/>
                <w:szCs w:val="22"/>
              </w:rPr>
            </w:pPr>
            <w:r w:rsidRPr="00614FB3">
              <w:rPr>
                <w:rFonts w:eastAsia="Calibri"/>
                <w:sz w:val="22"/>
                <w:szCs w:val="22"/>
              </w:rPr>
              <w:t>1</w:t>
            </w:r>
          </w:p>
        </w:tc>
        <w:tc>
          <w:tcPr>
            <w:tcW w:w="878" w:type="dxa"/>
            <w:shd w:val="clear" w:color="auto" w:fill="auto"/>
            <w:vAlign w:val="bottom"/>
          </w:tcPr>
          <w:p w:rsidR="00F401A4" w:rsidRPr="00614FB3" w:rsidP="002D57B0" w14:paraId="22A7BB4E" w14:textId="77777777">
            <w:pPr>
              <w:jc w:val="right"/>
              <w:rPr>
                <w:rFonts w:eastAsia="Calibri"/>
                <w:sz w:val="22"/>
                <w:szCs w:val="22"/>
              </w:rPr>
            </w:pPr>
            <w:r w:rsidRPr="00614FB3">
              <w:rPr>
                <w:rFonts w:eastAsia="Calibri"/>
                <w:sz w:val="22"/>
                <w:szCs w:val="22"/>
              </w:rPr>
              <w:t>$44.20</w:t>
            </w:r>
          </w:p>
        </w:tc>
        <w:tc>
          <w:tcPr>
            <w:tcW w:w="1173" w:type="dxa"/>
            <w:shd w:val="clear" w:color="auto" w:fill="auto"/>
            <w:vAlign w:val="bottom"/>
          </w:tcPr>
          <w:p w:rsidR="00F401A4" w:rsidRPr="00614FB3" w:rsidP="002D57B0" w14:paraId="17C96A91" w14:textId="77777777">
            <w:pPr>
              <w:jc w:val="right"/>
              <w:rPr>
                <w:rFonts w:eastAsia="Calibri"/>
                <w:sz w:val="22"/>
                <w:szCs w:val="22"/>
              </w:rPr>
            </w:pPr>
            <w:r w:rsidRPr="00614FB3">
              <w:rPr>
                <w:rFonts w:eastAsia="Calibri"/>
                <w:sz w:val="22"/>
                <w:szCs w:val="22"/>
              </w:rPr>
              <w:t>$44.20</w:t>
            </w:r>
          </w:p>
        </w:tc>
      </w:tr>
      <w:tr w14:paraId="15B7678D" w14:textId="77777777" w:rsidTr="00614FB3">
        <w:tblPrEx>
          <w:tblW w:w="0" w:type="auto"/>
          <w:tblLook w:val="04A0"/>
        </w:tblPrEx>
        <w:tc>
          <w:tcPr>
            <w:tcW w:w="1440" w:type="dxa"/>
            <w:shd w:val="clear" w:color="auto" w:fill="auto"/>
          </w:tcPr>
          <w:p w:rsidR="00F401A4" w:rsidRPr="00614FB3" w:rsidP="002D57B0" w14:paraId="0B6B4188" w14:textId="77777777">
            <w:pPr>
              <w:rPr>
                <w:rFonts w:eastAsia="Calibri"/>
                <w:b/>
                <w:i/>
                <w:sz w:val="22"/>
                <w:szCs w:val="22"/>
              </w:rPr>
            </w:pPr>
            <w:r w:rsidRPr="00614FB3">
              <w:rPr>
                <w:rFonts w:eastAsia="Calibri"/>
                <w:b/>
                <w:i/>
                <w:sz w:val="22"/>
                <w:szCs w:val="22"/>
              </w:rPr>
              <w:t>Unduplicated Totals</w:t>
            </w:r>
          </w:p>
        </w:tc>
        <w:tc>
          <w:tcPr>
            <w:tcW w:w="1247" w:type="dxa"/>
            <w:shd w:val="clear" w:color="auto" w:fill="auto"/>
            <w:vAlign w:val="bottom"/>
          </w:tcPr>
          <w:p w:rsidR="00F401A4" w:rsidRPr="00614FB3" w:rsidP="002D57B0" w14:paraId="2CBDA9F1" w14:textId="77777777">
            <w:pPr>
              <w:jc w:val="right"/>
              <w:rPr>
                <w:rFonts w:eastAsia="Calibri"/>
                <w:b/>
                <w:i/>
                <w:sz w:val="22"/>
                <w:szCs w:val="22"/>
              </w:rPr>
            </w:pPr>
            <w:r w:rsidRPr="00614FB3">
              <w:rPr>
                <w:rFonts w:eastAsia="Calibri"/>
                <w:b/>
                <w:i/>
                <w:sz w:val="22"/>
                <w:szCs w:val="22"/>
              </w:rPr>
              <w:t>10</w:t>
            </w:r>
          </w:p>
        </w:tc>
        <w:tc>
          <w:tcPr>
            <w:tcW w:w="1078" w:type="dxa"/>
            <w:shd w:val="clear" w:color="auto" w:fill="000000" w:themeFill="text1"/>
            <w:vAlign w:val="bottom"/>
          </w:tcPr>
          <w:p w:rsidR="00F401A4" w:rsidRPr="00614FB3" w:rsidP="002D57B0" w14:paraId="032D4A7C" w14:textId="3A80CC83">
            <w:pPr>
              <w:jc w:val="right"/>
              <w:rPr>
                <w:rFonts w:eastAsia="Calibri"/>
                <w:b/>
                <w:i/>
                <w:sz w:val="22"/>
                <w:szCs w:val="22"/>
              </w:rPr>
            </w:pPr>
          </w:p>
        </w:tc>
        <w:tc>
          <w:tcPr>
            <w:tcW w:w="1049" w:type="dxa"/>
            <w:shd w:val="clear" w:color="auto" w:fill="auto"/>
            <w:vAlign w:val="bottom"/>
          </w:tcPr>
          <w:p w:rsidR="00F401A4" w:rsidRPr="00614FB3" w:rsidP="002D57B0" w14:paraId="7B8F38E8" w14:textId="77777777">
            <w:pPr>
              <w:jc w:val="right"/>
              <w:rPr>
                <w:rFonts w:eastAsia="Calibri"/>
                <w:b/>
                <w:i/>
                <w:sz w:val="22"/>
                <w:szCs w:val="22"/>
              </w:rPr>
            </w:pPr>
            <w:r w:rsidRPr="00614FB3">
              <w:rPr>
                <w:rFonts w:eastAsia="Calibri"/>
                <w:b/>
                <w:i/>
                <w:sz w:val="22"/>
                <w:szCs w:val="22"/>
              </w:rPr>
              <w:t>10</w:t>
            </w:r>
          </w:p>
        </w:tc>
        <w:tc>
          <w:tcPr>
            <w:tcW w:w="987" w:type="dxa"/>
            <w:shd w:val="clear" w:color="auto" w:fill="000000" w:themeFill="text1"/>
            <w:vAlign w:val="bottom"/>
          </w:tcPr>
          <w:p w:rsidR="00F401A4" w:rsidRPr="00614FB3" w:rsidP="002D57B0" w14:paraId="40870F86" w14:textId="552255C3">
            <w:pPr>
              <w:jc w:val="right"/>
              <w:rPr>
                <w:rFonts w:eastAsia="Calibri"/>
                <w:b/>
                <w:i/>
                <w:sz w:val="22"/>
                <w:szCs w:val="22"/>
              </w:rPr>
            </w:pPr>
          </w:p>
        </w:tc>
        <w:tc>
          <w:tcPr>
            <w:tcW w:w="1004" w:type="dxa"/>
            <w:shd w:val="clear" w:color="auto" w:fill="auto"/>
            <w:vAlign w:val="bottom"/>
          </w:tcPr>
          <w:p w:rsidR="00F401A4" w:rsidRPr="00614FB3" w:rsidP="002D57B0" w14:paraId="186B602C" w14:textId="77777777">
            <w:pPr>
              <w:jc w:val="right"/>
              <w:rPr>
                <w:rFonts w:eastAsia="Calibri"/>
                <w:b/>
                <w:i/>
                <w:sz w:val="22"/>
                <w:szCs w:val="22"/>
              </w:rPr>
            </w:pPr>
            <w:r w:rsidRPr="00614FB3">
              <w:rPr>
                <w:rFonts w:eastAsia="Calibri"/>
                <w:b/>
                <w:i/>
                <w:sz w:val="22"/>
                <w:szCs w:val="22"/>
              </w:rPr>
              <w:t>1</w:t>
            </w:r>
          </w:p>
        </w:tc>
        <w:tc>
          <w:tcPr>
            <w:tcW w:w="878" w:type="dxa"/>
            <w:shd w:val="clear" w:color="auto" w:fill="000000" w:themeFill="text1"/>
            <w:vAlign w:val="bottom"/>
          </w:tcPr>
          <w:p w:rsidR="00F401A4" w:rsidRPr="00614FB3" w:rsidP="002D57B0" w14:paraId="6A553F50" w14:textId="43F9B0D1">
            <w:pPr>
              <w:jc w:val="right"/>
              <w:rPr>
                <w:rFonts w:eastAsia="Calibri"/>
                <w:b/>
                <w:i/>
                <w:sz w:val="22"/>
                <w:szCs w:val="22"/>
              </w:rPr>
            </w:pPr>
          </w:p>
        </w:tc>
        <w:tc>
          <w:tcPr>
            <w:tcW w:w="1173" w:type="dxa"/>
            <w:shd w:val="clear" w:color="auto" w:fill="auto"/>
            <w:vAlign w:val="bottom"/>
          </w:tcPr>
          <w:p w:rsidR="00F401A4" w:rsidRPr="00614FB3" w:rsidP="002D57B0" w14:paraId="636ADD44" w14:textId="77777777">
            <w:pPr>
              <w:jc w:val="right"/>
              <w:rPr>
                <w:rFonts w:eastAsia="Calibri"/>
                <w:b/>
                <w:i/>
                <w:sz w:val="22"/>
                <w:szCs w:val="22"/>
              </w:rPr>
            </w:pPr>
            <w:r w:rsidRPr="00614FB3">
              <w:rPr>
                <w:rFonts w:eastAsia="Calibri"/>
                <w:b/>
                <w:i/>
                <w:sz w:val="22"/>
                <w:szCs w:val="22"/>
              </w:rPr>
              <w:t>$44.20</w:t>
            </w:r>
          </w:p>
        </w:tc>
      </w:tr>
    </w:tbl>
    <w:p w:rsidR="001A1554" w:rsidRPr="00A67E54" w:rsidP="0084782C" w14:paraId="380C4AA4" w14:textId="77777777"/>
    <w:p w:rsidR="0084782C" w:rsidRPr="00C07F2F" w:rsidP="002207FB" w14:paraId="4A9834D1" w14:textId="77777777">
      <w:pPr>
        <w:tabs>
          <w:tab w:val="right" w:pos="540"/>
        </w:tabs>
        <w:ind w:left="720" w:hanging="720"/>
        <w:rPr>
          <w:b/>
          <w:bCs/>
        </w:rPr>
      </w:pPr>
      <w:r>
        <w:rPr>
          <w:b/>
        </w:rPr>
        <w:tab/>
      </w:r>
      <w:r w:rsidRPr="00C07F2F">
        <w:rPr>
          <w:b/>
        </w:rPr>
        <w:t>13.</w:t>
      </w:r>
      <w:r w:rsidRPr="00C07F2F">
        <w:rPr>
          <w:b/>
        </w:rPr>
        <w:tab/>
      </w:r>
      <w:r w:rsidRPr="00C07F2F">
        <w:rPr>
          <w:b/>
          <w:bCs/>
        </w:rPr>
        <w:t>Provide an estimate of the total annual cost burden to respondents or record-keepers resulting from the collection of information</w:t>
      </w:r>
      <w:r w:rsidR="00406E36">
        <w:rPr>
          <w:b/>
          <w:bCs/>
        </w:rPr>
        <w:t xml:space="preserve">. </w:t>
      </w:r>
    </w:p>
    <w:p w:rsidR="0084782C" w:rsidRPr="00320084" w:rsidP="008B09BA" w14:paraId="4C2F1B74" w14:textId="77777777"/>
    <w:p w:rsidR="00FD4EEC" w:rsidP="00627780" w14:paraId="6D625F45" w14:textId="77777777">
      <w:pPr>
        <w:ind w:left="720"/>
      </w:pPr>
      <w:r>
        <w:rPr>
          <w:bCs/>
        </w:rPr>
        <w:t xml:space="preserve">The DOL associates to </w:t>
      </w:r>
      <w:r w:rsidR="00BD53F6">
        <w:rPr>
          <w:bCs/>
        </w:rPr>
        <w:t xml:space="preserve">no capital/start-up costs </w:t>
      </w:r>
      <w:r w:rsidR="00280B59">
        <w:rPr>
          <w:bCs/>
        </w:rPr>
        <w:t>with this information collection</w:t>
      </w:r>
      <w:r>
        <w:rPr>
          <w:bCs/>
        </w:rPr>
        <w:t>, beyond the value of respondent time</w:t>
      </w:r>
      <w:r w:rsidR="00BD53F6">
        <w:rPr>
          <w:bCs/>
        </w:rPr>
        <w:t>.</w:t>
      </w:r>
      <w:r w:rsidR="00280B59">
        <w:rPr>
          <w:bCs/>
        </w:rPr>
        <w:t xml:space="preserve"> </w:t>
      </w:r>
      <w:r w:rsidR="00280B59">
        <w:t xml:space="preserve">The DOL associates $0.64 paper and mailing costs with each </w:t>
      </w:r>
      <w:r>
        <w:t>submission. $0.55</w:t>
      </w:r>
      <w:r w:rsidR="00280B59">
        <w:t xml:space="preserve"> postage + $0.1</w:t>
      </w:r>
      <w:r>
        <w:t xml:space="preserve">0 paper + $0.05 envelope = $.7. </w:t>
      </w:r>
    </w:p>
    <w:p w:rsidR="0084782C" w:rsidP="00627780" w14:paraId="463D0FB3" w14:textId="54521E54">
      <w:pPr>
        <w:ind w:left="720"/>
        <w:rPr>
          <w:bCs/>
        </w:rPr>
      </w:pPr>
      <w:r>
        <w:t>$.7 x 10 responses = $7</w:t>
      </w:r>
      <w:r w:rsidR="00280B59">
        <w:t>.</w:t>
      </w:r>
    </w:p>
    <w:p w:rsidR="00346A79" w:rsidP="0084782C" w14:paraId="2F9028B6" w14:textId="77777777">
      <w:pPr>
        <w:rPr>
          <w:bCs/>
        </w:rPr>
      </w:pPr>
    </w:p>
    <w:p w:rsidR="0084782C" w:rsidRPr="00C07F2F" w:rsidP="002207FB" w14:paraId="48768A0F" w14:textId="77777777">
      <w:pPr>
        <w:tabs>
          <w:tab w:val="right" w:pos="540"/>
        </w:tabs>
        <w:rPr>
          <w:b/>
          <w:bCs/>
        </w:rPr>
      </w:pPr>
      <w:r>
        <w:rPr>
          <w:b/>
          <w:bCs/>
        </w:rPr>
        <w:tab/>
      </w:r>
      <w:r w:rsidRPr="00C07F2F" w:rsidR="008B09BA">
        <w:rPr>
          <w:b/>
          <w:bCs/>
        </w:rPr>
        <w:t>14.</w:t>
      </w:r>
      <w:r w:rsidRPr="00C07F2F" w:rsidR="008B09BA">
        <w:rPr>
          <w:b/>
          <w:bCs/>
        </w:rPr>
        <w:tab/>
        <w:t xml:space="preserve">Provide </w:t>
      </w:r>
      <w:r w:rsidRPr="00C07F2F">
        <w:rPr>
          <w:b/>
          <w:bCs/>
        </w:rPr>
        <w:t>estimates of annualized cost to the Federal Government</w:t>
      </w:r>
      <w:r w:rsidR="00406E36">
        <w:rPr>
          <w:b/>
          <w:bCs/>
        </w:rPr>
        <w:t xml:space="preserve">. </w:t>
      </w:r>
    </w:p>
    <w:p w:rsidR="008B09BA" w:rsidP="008B09BA" w14:paraId="069B4748" w14:textId="77777777">
      <w:pPr>
        <w:rPr>
          <w:bCs/>
        </w:rPr>
      </w:pPr>
    </w:p>
    <w:p w:rsidR="00336CB4" w:rsidP="0084782C" w14:paraId="12808D4E" w14:textId="77777777">
      <w:pPr>
        <w:ind w:left="720" w:hanging="720"/>
        <w:rPr>
          <w:bCs/>
        </w:rPr>
      </w:pPr>
      <w:r w:rsidRPr="00320084">
        <w:rPr>
          <w:bCs/>
        </w:rPr>
        <w:tab/>
      </w:r>
      <w:r w:rsidR="00747085">
        <w:rPr>
          <w:bCs/>
        </w:rPr>
        <w:t>Basic Federal costs for this information collection are</w:t>
      </w:r>
      <w:r w:rsidR="00FE2025">
        <w:rPr>
          <w:bCs/>
        </w:rPr>
        <w:t xml:space="preserve"> based on a </w:t>
      </w:r>
      <w:r w:rsidR="00C20E4F">
        <w:rPr>
          <w:bCs/>
        </w:rPr>
        <w:t>5-minute</w:t>
      </w:r>
      <w:r w:rsidR="00FE2025">
        <w:rPr>
          <w:bCs/>
        </w:rPr>
        <w:t xml:space="preserve"> review by a </w:t>
      </w:r>
      <w:r w:rsidR="00280B59">
        <w:rPr>
          <w:bCs/>
        </w:rPr>
        <w:t>support staff</w:t>
      </w:r>
      <w:r w:rsidR="00FE2025">
        <w:rPr>
          <w:bCs/>
        </w:rPr>
        <w:t xml:space="preserve"> employee</w:t>
      </w:r>
      <w:r w:rsidR="00730770">
        <w:rPr>
          <w:bCs/>
        </w:rPr>
        <w:t xml:space="preserve"> in order to transfer data into the scheduling database</w:t>
      </w:r>
      <w:r w:rsidR="00747085">
        <w:rPr>
          <w:bCs/>
        </w:rPr>
        <w:t xml:space="preserve"> and 15 minutes for </w:t>
      </w:r>
      <w:r w:rsidR="001A1554">
        <w:rPr>
          <w:bCs/>
        </w:rPr>
        <w:t xml:space="preserve">legal review </w:t>
      </w:r>
      <w:r w:rsidR="00280B59">
        <w:rPr>
          <w:bCs/>
        </w:rPr>
        <w:t>for requests involving</w:t>
      </w:r>
      <w:r w:rsidR="001A1554">
        <w:rPr>
          <w:bCs/>
        </w:rPr>
        <w:t xml:space="preserve"> </w:t>
      </w:r>
      <w:r w:rsidRPr="00825BD1" w:rsidR="00280B59">
        <w:t>fund raising or commercial activities</w:t>
      </w:r>
      <w:r w:rsidR="00406E36">
        <w:rPr>
          <w:bCs/>
        </w:rPr>
        <w:t xml:space="preserve">. </w:t>
      </w:r>
      <w:r w:rsidR="007273E4">
        <w:rPr>
          <w:bCs/>
        </w:rPr>
        <w:t xml:space="preserve">For purposes of estimating Federal costs, the DOL has used the </w:t>
      </w:r>
      <w:hyperlink r:id="rId8" w:history="1">
        <w:r w:rsidRPr="00747085" w:rsidR="007273E4">
          <w:rPr>
            <w:rStyle w:val="Hyperlink"/>
            <w:bCs/>
          </w:rPr>
          <w:t>Washingto</w:t>
        </w:r>
        <w:r w:rsidRPr="00747085" w:rsidR="007273E4">
          <w:rPr>
            <w:rStyle w:val="Hyperlink"/>
            <w:bCs/>
          </w:rPr>
          <w:t>n</w:t>
        </w:r>
        <w:r w:rsidRPr="00747085" w:rsidR="007273E4">
          <w:rPr>
            <w:rStyle w:val="Hyperlink"/>
            <w:bCs/>
          </w:rPr>
          <w:t>, DC rate</w:t>
        </w:r>
      </w:hyperlink>
      <w:r w:rsidRPr="00747085" w:rsidR="007273E4">
        <w:rPr>
          <w:bCs/>
        </w:rPr>
        <w:t xml:space="preserve"> for a GS-6, step 4</w:t>
      </w:r>
      <w:r w:rsidR="00747085">
        <w:rPr>
          <w:bCs/>
        </w:rPr>
        <w:t xml:space="preserve"> clerical employee of $</w:t>
      </w:r>
      <w:r>
        <w:rPr>
          <w:bCs/>
        </w:rPr>
        <w:t>22</w:t>
      </w:r>
      <w:r w:rsidR="00747085">
        <w:rPr>
          <w:bCs/>
        </w:rPr>
        <w:t>.</w:t>
      </w:r>
      <w:r>
        <w:rPr>
          <w:bCs/>
        </w:rPr>
        <w:t>51</w:t>
      </w:r>
      <w:r w:rsidR="00747085">
        <w:rPr>
          <w:bCs/>
        </w:rPr>
        <w:t xml:space="preserve"> and </w:t>
      </w:r>
      <w:r w:rsidR="001A1554">
        <w:rPr>
          <w:bCs/>
        </w:rPr>
        <w:t>GS-14, step 4 of $</w:t>
      </w:r>
      <w:r>
        <w:rPr>
          <w:bCs/>
        </w:rPr>
        <w:t>62</w:t>
      </w:r>
      <w:r w:rsidR="001A1554">
        <w:rPr>
          <w:bCs/>
        </w:rPr>
        <w:t>.</w:t>
      </w:r>
      <w:r>
        <w:rPr>
          <w:bCs/>
        </w:rPr>
        <w:t>35</w:t>
      </w:r>
      <w:r w:rsidR="002207FB">
        <w:rPr>
          <w:bCs/>
        </w:rPr>
        <w:t xml:space="preserve"> ATTORNEY</w:t>
      </w:r>
      <w:r w:rsidR="00747085">
        <w:rPr>
          <w:bCs/>
        </w:rPr>
        <w:t xml:space="preserve">, </w:t>
      </w:r>
      <w:r w:rsidR="001A1554">
        <w:rPr>
          <w:bCs/>
        </w:rPr>
        <w:t>as</w:t>
      </w:r>
      <w:r w:rsidR="00747085">
        <w:rPr>
          <w:bCs/>
        </w:rPr>
        <w:t xml:space="preserve"> calculated by the </w:t>
      </w:r>
      <w:r w:rsidR="002207FB">
        <w:rPr>
          <w:bCs/>
        </w:rPr>
        <w:t xml:space="preserve">U.S. </w:t>
      </w:r>
      <w:r w:rsidR="00747085">
        <w:rPr>
          <w:bCs/>
        </w:rPr>
        <w:t>Office of Personnel Management</w:t>
      </w:r>
      <w:r w:rsidR="007273E4">
        <w:rPr>
          <w:bCs/>
        </w:rPr>
        <w:t xml:space="preserve">. </w:t>
      </w:r>
    </w:p>
    <w:p w:rsidR="00336CB4" w:rsidP="0084782C" w14:paraId="3393AB4E" w14:textId="77777777">
      <w:pPr>
        <w:ind w:left="720" w:hanging="720"/>
        <w:rPr>
          <w:bCs/>
        </w:rPr>
      </w:pPr>
    </w:p>
    <w:p w:rsidR="00336CB4" w:rsidP="0084782C" w14:paraId="2EFAC86B" w14:textId="77777777">
      <w:pPr>
        <w:ind w:left="720" w:hanging="720"/>
        <w:rPr>
          <w:bCs/>
        </w:rPr>
      </w:pPr>
      <w:r>
        <w:rPr>
          <w:bCs/>
        </w:rPr>
        <w:t xml:space="preserve">10 responses x </w:t>
      </w:r>
      <w:r w:rsidR="000A7F2F">
        <w:rPr>
          <w:bCs/>
        </w:rPr>
        <w:t>5</w:t>
      </w:r>
      <w:r>
        <w:rPr>
          <w:bCs/>
        </w:rPr>
        <w:t xml:space="preserve"> minutes </w:t>
      </w:r>
      <w:r w:rsidR="00747085">
        <w:rPr>
          <w:bCs/>
        </w:rPr>
        <w:t xml:space="preserve">= 1 hour. </w:t>
      </w:r>
    </w:p>
    <w:p w:rsidR="00336CB4" w:rsidP="0084782C" w14:paraId="7F56B30F" w14:textId="1C9546DA">
      <w:pPr>
        <w:ind w:left="720" w:hanging="720"/>
        <w:rPr>
          <w:bCs/>
        </w:rPr>
      </w:pPr>
      <w:r>
        <w:rPr>
          <w:bCs/>
        </w:rPr>
        <w:t xml:space="preserve">1 hour </w:t>
      </w:r>
      <w:r w:rsidR="00204F85">
        <w:rPr>
          <w:bCs/>
        </w:rPr>
        <w:t>x $22.</w:t>
      </w:r>
      <w:r>
        <w:rPr>
          <w:bCs/>
        </w:rPr>
        <w:t>51</w:t>
      </w:r>
      <w:r w:rsidR="00204F85">
        <w:rPr>
          <w:bCs/>
        </w:rPr>
        <w:t xml:space="preserve"> per hour = $</w:t>
      </w:r>
      <w:r>
        <w:rPr>
          <w:bCs/>
        </w:rPr>
        <w:t>22.</w:t>
      </w:r>
      <w:r>
        <w:rPr>
          <w:bCs/>
        </w:rPr>
        <w:t>51</w:t>
      </w:r>
      <w:r w:rsidR="002707AD">
        <w:rPr>
          <w:bCs/>
        </w:rPr>
        <w:t>.</w:t>
      </w:r>
      <w:r w:rsidR="001A1554">
        <w:rPr>
          <w:bCs/>
        </w:rPr>
        <w:t xml:space="preserve"> </w:t>
      </w:r>
    </w:p>
    <w:p w:rsidR="00336CB4" w:rsidP="0084782C" w14:paraId="3F936BC6" w14:textId="77777777">
      <w:pPr>
        <w:ind w:left="720" w:hanging="720"/>
        <w:rPr>
          <w:bCs/>
        </w:rPr>
      </w:pPr>
      <w:r>
        <w:rPr>
          <w:bCs/>
        </w:rPr>
        <w:t xml:space="preserve">10 responses x 15 minutes = 3 hours. </w:t>
      </w:r>
    </w:p>
    <w:p w:rsidR="007240D9" w:rsidP="0084782C" w14:paraId="5DB46A92" w14:textId="0DCF0E16">
      <w:pPr>
        <w:ind w:left="720" w:hanging="720"/>
        <w:rPr>
          <w:bCs/>
        </w:rPr>
      </w:pPr>
      <w:r>
        <w:rPr>
          <w:bCs/>
        </w:rPr>
        <w:t>3 hours x $</w:t>
      </w:r>
      <w:r w:rsidR="00336CB4">
        <w:rPr>
          <w:bCs/>
        </w:rPr>
        <w:t>62</w:t>
      </w:r>
      <w:r>
        <w:rPr>
          <w:bCs/>
        </w:rPr>
        <w:t>.</w:t>
      </w:r>
      <w:r w:rsidR="00336CB4">
        <w:rPr>
          <w:bCs/>
        </w:rPr>
        <w:t>35</w:t>
      </w:r>
      <w:r>
        <w:rPr>
          <w:bCs/>
        </w:rPr>
        <w:t xml:space="preserve"> = $1</w:t>
      </w:r>
      <w:r>
        <w:rPr>
          <w:bCs/>
        </w:rPr>
        <w:t>87</w:t>
      </w:r>
      <w:r>
        <w:rPr>
          <w:bCs/>
        </w:rPr>
        <w:t>.</w:t>
      </w:r>
      <w:r>
        <w:rPr>
          <w:bCs/>
        </w:rPr>
        <w:t>05</w:t>
      </w:r>
      <w:r>
        <w:rPr>
          <w:bCs/>
        </w:rPr>
        <w:t xml:space="preserve">. </w:t>
      </w:r>
    </w:p>
    <w:p w:rsidR="00BB4123" w:rsidP="0084782C" w14:paraId="3AB3EA7B" w14:textId="77777777">
      <w:pPr>
        <w:ind w:left="720" w:hanging="720"/>
        <w:rPr>
          <w:bCs/>
        </w:rPr>
      </w:pPr>
    </w:p>
    <w:tbl>
      <w:tblPr>
        <w:tblW w:w="2980" w:type="dxa"/>
        <w:tblLook w:val="04A0"/>
      </w:tblPr>
      <w:tblGrid>
        <w:gridCol w:w="2980"/>
      </w:tblGrid>
      <w:tr w14:paraId="17F4BE53" w14:textId="77777777" w:rsidTr="007240D9">
        <w:tblPrEx>
          <w:tblW w:w="2980" w:type="dxa"/>
          <w:tblLook w:val="04A0"/>
        </w:tblPrEx>
        <w:trPr>
          <w:trHeight w:val="310"/>
        </w:trPr>
        <w:tc>
          <w:tcPr>
            <w:tcW w:w="2980" w:type="dxa"/>
            <w:tcBorders>
              <w:top w:val="nil"/>
              <w:left w:val="nil"/>
              <w:bottom w:val="nil"/>
              <w:right w:val="nil"/>
            </w:tcBorders>
            <w:shd w:val="clear" w:color="auto" w:fill="auto"/>
            <w:noWrap/>
            <w:vAlign w:val="center"/>
            <w:hideMark/>
          </w:tcPr>
          <w:p w:rsidR="007240D9" w:rsidRPr="007240D9" w14:paraId="5CB7F311" w14:textId="77777777">
            <w:pPr>
              <w:ind w:firstLine="960" w:firstLineChars="400"/>
              <w:rPr>
                <w:color w:val="000000"/>
                <w:u w:val="single"/>
              </w:rPr>
            </w:pPr>
            <w:r w:rsidRPr="007240D9">
              <w:rPr>
                <w:bCs/>
                <w:color w:val="000000"/>
                <w:u w:val="single"/>
              </w:rPr>
              <w:t xml:space="preserve">$22.51 </w:t>
            </w:r>
          </w:p>
        </w:tc>
      </w:tr>
      <w:tr w14:paraId="7431E5C1" w14:textId="77777777" w:rsidTr="007240D9">
        <w:tblPrEx>
          <w:tblW w:w="2980" w:type="dxa"/>
          <w:tblLook w:val="04A0"/>
        </w:tblPrEx>
        <w:trPr>
          <w:trHeight w:val="310"/>
        </w:trPr>
        <w:tc>
          <w:tcPr>
            <w:tcW w:w="2980" w:type="dxa"/>
            <w:tcBorders>
              <w:top w:val="nil"/>
              <w:left w:val="nil"/>
              <w:bottom w:val="nil"/>
              <w:right w:val="nil"/>
            </w:tcBorders>
            <w:shd w:val="clear" w:color="auto" w:fill="auto"/>
            <w:noWrap/>
            <w:vAlign w:val="center"/>
            <w:hideMark/>
          </w:tcPr>
          <w:p w:rsidR="007240D9" w:rsidRPr="007240D9" w14:paraId="23364641" w14:textId="77777777">
            <w:pPr>
              <w:ind w:firstLine="960" w:firstLineChars="400"/>
              <w:rPr>
                <w:color w:val="000000"/>
                <w:u w:val="single"/>
              </w:rPr>
            </w:pPr>
            <w:r w:rsidRPr="007240D9">
              <w:rPr>
                <w:bCs/>
                <w:color w:val="000000"/>
                <w:u w:val="single"/>
              </w:rPr>
              <w:t xml:space="preserve">$160.71 </w:t>
            </w:r>
          </w:p>
        </w:tc>
      </w:tr>
      <w:tr w14:paraId="1E548147" w14:textId="77777777" w:rsidTr="007240D9">
        <w:tblPrEx>
          <w:tblW w:w="2980" w:type="dxa"/>
          <w:tblLook w:val="04A0"/>
        </w:tblPrEx>
        <w:trPr>
          <w:trHeight w:val="310"/>
        </w:trPr>
        <w:tc>
          <w:tcPr>
            <w:tcW w:w="2980" w:type="dxa"/>
            <w:tcBorders>
              <w:top w:val="nil"/>
              <w:left w:val="nil"/>
              <w:bottom w:val="nil"/>
              <w:right w:val="nil"/>
            </w:tcBorders>
            <w:shd w:val="clear" w:color="auto" w:fill="auto"/>
            <w:noWrap/>
            <w:vAlign w:val="center"/>
            <w:hideMark/>
          </w:tcPr>
          <w:p w:rsidR="007240D9" w14:paraId="39481B85" w14:textId="5B5C2D98">
            <w:pPr>
              <w:ind w:firstLine="960" w:firstLineChars="400"/>
              <w:rPr>
                <w:color w:val="000000"/>
              </w:rPr>
            </w:pPr>
            <w:r>
              <w:rPr>
                <w:color w:val="000000"/>
              </w:rPr>
              <w:t xml:space="preserve">$183.22 </w:t>
            </w:r>
            <w:r>
              <w:rPr>
                <w:bCs/>
              </w:rPr>
              <w:t>TOTAL</w:t>
            </w:r>
          </w:p>
        </w:tc>
      </w:tr>
    </w:tbl>
    <w:p w:rsidR="007240D9" w:rsidRPr="00320084" w:rsidP="0084782C" w14:paraId="4C4BA34C" w14:textId="77777777">
      <w:pPr>
        <w:ind w:left="720" w:hanging="720"/>
        <w:rPr>
          <w:bCs/>
        </w:rPr>
      </w:pPr>
    </w:p>
    <w:p w:rsidR="0084782C" w:rsidRPr="00C07F2F" w:rsidP="002207FB" w14:paraId="2337547D" w14:textId="77777777">
      <w:pPr>
        <w:tabs>
          <w:tab w:val="right" w:pos="540"/>
        </w:tabs>
        <w:ind w:left="720" w:hanging="720"/>
        <w:rPr>
          <w:b/>
          <w:bCs/>
        </w:rPr>
      </w:pPr>
      <w:r>
        <w:rPr>
          <w:b/>
          <w:bCs/>
        </w:rPr>
        <w:tab/>
      </w:r>
      <w:r w:rsidRPr="00C07F2F">
        <w:rPr>
          <w:b/>
          <w:bCs/>
        </w:rPr>
        <w:t>15.</w:t>
      </w:r>
      <w:r w:rsidRPr="00C07F2F">
        <w:rPr>
          <w:b/>
          <w:bCs/>
        </w:rPr>
        <w:tab/>
        <w:t>Explain the reasons for any program changes or adjustments</w:t>
      </w:r>
      <w:r w:rsidRPr="00C07F2F" w:rsidR="008B09BA">
        <w:rPr>
          <w:b/>
          <w:bCs/>
        </w:rPr>
        <w:t xml:space="preserve"> reported in items 1</w:t>
      </w:r>
      <w:r w:rsidR="007273E4">
        <w:rPr>
          <w:b/>
          <w:bCs/>
        </w:rPr>
        <w:t>2 or 1</w:t>
      </w:r>
      <w:r w:rsidRPr="00C07F2F" w:rsidR="008B09BA">
        <w:rPr>
          <w:b/>
          <w:bCs/>
        </w:rPr>
        <w:t>3</w:t>
      </w:r>
      <w:r w:rsidRPr="00C07F2F">
        <w:rPr>
          <w:b/>
          <w:bCs/>
        </w:rPr>
        <w:t>.</w:t>
      </w:r>
    </w:p>
    <w:p w:rsidR="0084782C" w:rsidRPr="00320084" w:rsidP="0084782C" w14:paraId="1CB11727" w14:textId="77777777">
      <w:pPr>
        <w:ind w:left="720" w:hanging="720"/>
      </w:pPr>
    </w:p>
    <w:p w:rsidR="007927A1" w:rsidRPr="00825BD1" w:rsidP="007240D9" w14:paraId="54019B89" w14:textId="2D21C88C">
      <w:pPr>
        <w:ind w:left="720" w:hanging="720"/>
      </w:pPr>
      <w:r w:rsidRPr="00320084">
        <w:tab/>
      </w:r>
      <w:r w:rsidR="007240D9">
        <w:t>There are no changes to</w:t>
      </w:r>
      <w:r w:rsidRPr="007240D9" w:rsidR="007240D9">
        <w:t xml:space="preserve"> the OMB inventory for this collection</w:t>
      </w:r>
      <w:r w:rsidR="007240D9">
        <w:t>.</w:t>
      </w:r>
    </w:p>
    <w:p w:rsidR="00014350" w:rsidRPr="00320084" w:rsidP="0084782C" w14:paraId="23920B30" w14:textId="77777777">
      <w:pPr>
        <w:ind w:left="720" w:hanging="720"/>
      </w:pPr>
    </w:p>
    <w:p w:rsidR="0084782C" w:rsidRPr="00C07F2F" w:rsidP="002207FB" w14:paraId="34C3F42C" w14:textId="77777777">
      <w:pPr>
        <w:tabs>
          <w:tab w:val="right" w:pos="540"/>
        </w:tabs>
        <w:ind w:left="720" w:hanging="720"/>
        <w:rPr>
          <w:b/>
          <w:bCs/>
        </w:rPr>
      </w:pPr>
      <w:r>
        <w:rPr>
          <w:b/>
          <w:bCs/>
        </w:rPr>
        <w:tab/>
      </w:r>
      <w:r w:rsidRPr="00C07F2F">
        <w:rPr>
          <w:b/>
          <w:bCs/>
        </w:rPr>
        <w:t>16.</w:t>
      </w:r>
      <w:r w:rsidRPr="00C07F2F">
        <w:rPr>
          <w:b/>
        </w:rPr>
        <w:tab/>
      </w:r>
      <w:r w:rsidRPr="00C07F2F">
        <w:rPr>
          <w:b/>
          <w:bCs/>
        </w:rPr>
        <w:t>For collections of information whose results will be published, outline plans for tabulation and pub</w:t>
      </w:r>
      <w:r w:rsidR="00C07F2F">
        <w:rPr>
          <w:b/>
          <w:bCs/>
        </w:rPr>
        <w:t>lication.</w:t>
      </w:r>
    </w:p>
    <w:p w:rsidR="0084782C" w:rsidRPr="00320084" w:rsidP="0084782C" w14:paraId="5C7B1D9D" w14:textId="77777777"/>
    <w:p w:rsidR="00BB4123" w:rsidRPr="00320084" w:rsidP="00742F31" w14:paraId="7A2C03DF" w14:textId="77777777">
      <w:pPr>
        <w:ind w:left="720" w:hanging="720"/>
      </w:pPr>
      <w:r w:rsidRPr="00320084">
        <w:tab/>
      </w:r>
      <w:r w:rsidR="00C22960">
        <w:rPr>
          <w:bCs/>
        </w:rPr>
        <w:t>DOL will not publish this information collection.</w:t>
      </w:r>
    </w:p>
    <w:p w:rsidR="00BB4123" w:rsidRPr="00320084" w:rsidP="0084782C" w14:paraId="059D7B2D" w14:textId="77777777"/>
    <w:p w:rsidR="004319B0" w:rsidRPr="00C07F2F" w:rsidP="002207FB" w14:paraId="058B15E3" w14:textId="77777777">
      <w:pPr>
        <w:tabs>
          <w:tab w:val="right" w:pos="540"/>
        </w:tabs>
        <w:ind w:left="720" w:hanging="720"/>
        <w:rPr>
          <w:b/>
          <w:bCs/>
        </w:rPr>
      </w:pPr>
      <w:r>
        <w:rPr>
          <w:b/>
          <w:bCs/>
        </w:rPr>
        <w:tab/>
        <w:t>17.</w:t>
      </w:r>
      <w:r>
        <w:rPr>
          <w:b/>
          <w:bCs/>
        </w:rPr>
        <w:tab/>
      </w:r>
      <w:r w:rsidRPr="00C07F2F" w:rsidR="00CD7D90">
        <w:rPr>
          <w:b/>
          <w:bCs/>
        </w:rPr>
        <w:t xml:space="preserve">If seeking approval not </w:t>
      </w:r>
      <w:r w:rsidRPr="0094224D" w:rsidR="00CD7D90">
        <w:rPr>
          <w:b/>
          <w:bCs/>
        </w:rPr>
        <w:t xml:space="preserve">to </w:t>
      </w:r>
      <w:r w:rsidRPr="00C07F2F" w:rsidR="00CD7D90">
        <w:rPr>
          <w:b/>
          <w:bCs/>
        </w:rPr>
        <w:t>display the expiration date for OMB approval of the information collection, explain the reasons that display would be inappropriate.</w:t>
      </w:r>
    </w:p>
    <w:p w:rsidR="004319B0" w:rsidRPr="00320084" w:rsidP="004319B0" w14:paraId="43D36335" w14:textId="77777777">
      <w:pPr>
        <w:rPr>
          <w:bCs/>
        </w:rPr>
      </w:pPr>
    </w:p>
    <w:p w:rsidR="00BB4123" w:rsidRPr="00320084" w:rsidP="00BB4123" w14:paraId="1F91B582" w14:textId="77777777">
      <w:pPr>
        <w:ind w:left="720"/>
        <w:rPr>
          <w:bCs/>
        </w:rPr>
      </w:pPr>
      <w:r>
        <w:rPr>
          <w:bCs/>
        </w:rPr>
        <w:t xml:space="preserve">The agency plans to display the </w:t>
      </w:r>
      <w:r w:rsidR="00280B59">
        <w:rPr>
          <w:bCs/>
        </w:rPr>
        <w:t xml:space="preserve">expiration date </w:t>
      </w:r>
      <w:r>
        <w:rPr>
          <w:bCs/>
        </w:rPr>
        <w:t>on the form.</w:t>
      </w:r>
    </w:p>
    <w:p w:rsidR="00BB4123" w:rsidRPr="00320084" w:rsidP="004319B0" w14:paraId="33ECFA1E" w14:textId="77777777">
      <w:pPr>
        <w:rPr>
          <w:bCs/>
        </w:rPr>
      </w:pPr>
    </w:p>
    <w:p w:rsidR="0084782C" w:rsidRPr="00C07F2F" w:rsidP="002207FB" w14:paraId="25442C17" w14:textId="77777777">
      <w:pPr>
        <w:tabs>
          <w:tab w:val="right" w:pos="540"/>
        </w:tabs>
        <w:ind w:left="720" w:hanging="720"/>
        <w:rPr>
          <w:b/>
          <w:bCs/>
        </w:rPr>
      </w:pPr>
      <w:r>
        <w:rPr>
          <w:b/>
          <w:bCs/>
        </w:rPr>
        <w:tab/>
        <w:t>18.</w:t>
      </w:r>
      <w:r>
        <w:rPr>
          <w:b/>
          <w:bCs/>
        </w:rPr>
        <w:tab/>
      </w:r>
      <w:r w:rsidRPr="00C07F2F">
        <w:rPr>
          <w:b/>
          <w:bCs/>
        </w:rPr>
        <w:t>Explain each exception to the certification statement in ROCIS.</w:t>
      </w:r>
    </w:p>
    <w:p w:rsidR="004319B0" w:rsidRPr="00320084" w:rsidP="004319B0" w14:paraId="435C2401" w14:textId="77777777">
      <w:pPr>
        <w:rPr>
          <w:bCs/>
        </w:rPr>
      </w:pPr>
    </w:p>
    <w:p w:rsidR="004319B0" w:rsidP="00742F31" w14:paraId="40DE164D" w14:textId="77777777">
      <w:pPr>
        <w:ind w:left="720"/>
        <w:rPr>
          <w:bCs/>
        </w:rPr>
      </w:pPr>
      <w:r>
        <w:rPr>
          <w:bCs/>
        </w:rPr>
        <w:t>There are no exceptions requested.</w:t>
      </w:r>
    </w:p>
    <w:p w:rsidR="008B09BA" w:rsidP="00BB4123" w14:paraId="230A5CF2" w14:textId="77777777">
      <w:pPr>
        <w:ind w:left="720"/>
        <w:rPr>
          <w:bCs/>
        </w:rPr>
      </w:pPr>
    </w:p>
    <w:p w:rsidR="004319B0" w:rsidRPr="00320084" w:rsidP="002207FB" w14:paraId="5F9C62A4" w14:textId="77777777">
      <w:pPr>
        <w:tabs>
          <w:tab w:val="left" w:pos="540"/>
        </w:tabs>
        <w:ind w:left="720" w:hanging="720"/>
        <w:rPr>
          <w:b/>
          <w:bCs/>
        </w:rPr>
      </w:pPr>
      <w:r w:rsidRPr="00320084">
        <w:rPr>
          <w:b/>
          <w:bCs/>
        </w:rPr>
        <w:t>B.</w:t>
      </w:r>
      <w:r w:rsidR="002207FB">
        <w:rPr>
          <w:b/>
          <w:bCs/>
        </w:rPr>
        <w:tab/>
      </w:r>
      <w:r w:rsidRPr="00320084">
        <w:rPr>
          <w:b/>
          <w:bCs/>
        </w:rPr>
        <w:t>Collections of Information Employing Statistical Methods</w:t>
      </w:r>
    </w:p>
    <w:p w:rsidR="004319B0" w:rsidRPr="00320084" w:rsidP="004319B0" w14:paraId="0D81064C" w14:textId="77777777">
      <w:pPr>
        <w:rPr>
          <w:bCs/>
        </w:rPr>
      </w:pPr>
    </w:p>
    <w:p w:rsidR="0084782C" w:rsidRPr="00320084" w:rsidP="0084782C" w14:paraId="29DB477C" w14:textId="77777777">
      <w:pPr>
        <w:rPr>
          <w:bCs/>
        </w:rPr>
      </w:pPr>
      <w:r w:rsidRPr="00320084">
        <w:rPr>
          <w:bCs/>
        </w:rPr>
        <w:tab/>
      </w:r>
      <w:r w:rsidR="005D0F4C">
        <w:rPr>
          <w:bCs/>
        </w:rPr>
        <w:t>This information collection does not employ statistical methods</w:t>
      </w:r>
      <w:r w:rsidRPr="00320084">
        <w:rPr>
          <w:bCs/>
        </w:rPr>
        <w:t>.</w:t>
      </w:r>
    </w:p>
    <w:sectPr>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E36" w14:paraId="6A57744C" w14:textId="5DB889BA">
    <w:pPr>
      <w:pStyle w:val="Footer"/>
      <w:jc w:val="center"/>
    </w:pPr>
    <w:r>
      <w:t xml:space="preserve">- </w:t>
    </w:r>
    <w:r>
      <w:fldChar w:fldCharType="begin"/>
    </w:r>
    <w:r>
      <w:instrText xml:space="preserve"> PAGE   \* MERGEFORMAT </w:instrText>
    </w:r>
    <w:r>
      <w:fldChar w:fldCharType="separate"/>
    </w:r>
    <w:r w:rsidR="00C03B9D">
      <w:rPr>
        <w:noProof/>
      </w:rPr>
      <w:t>1</w:t>
    </w:r>
    <w:r>
      <w:rPr>
        <w:noProof/>
      </w:rPr>
      <w:fldChar w:fldCharType="end"/>
    </w:r>
    <w:r>
      <w:rPr>
        <w:noProof/>
      </w:rPr>
      <w:t xml:space="preserve"> -</w:t>
    </w:r>
  </w:p>
  <w:p w:rsidR="00406E36" w14:paraId="381583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6E36" w14:paraId="791FAFA1" w14:textId="77777777">
    <w:pPr>
      <w:pStyle w:val="Header"/>
      <w:rPr>
        <w:b/>
        <w:sz w:val="18"/>
        <w:szCs w:val="18"/>
      </w:rPr>
    </w:pPr>
    <w:r w:rsidRPr="00406E36">
      <w:rPr>
        <w:b/>
        <w:sz w:val="18"/>
        <w:szCs w:val="18"/>
      </w:rPr>
      <w:t>Application for Use of Public Space by Non-DOL Agencies in the Frances Perkins Building (Form DL1-6062B)</w:t>
    </w:r>
  </w:p>
  <w:p w:rsidR="00406E36" w14:paraId="4FA1A335" w14:textId="227B8F13">
    <w:pPr>
      <w:pStyle w:val="Header"/>
      <w:rPr>
        <w:b/>
        <w:sz w:val="18"/>
        <w:szCs w:val="18"/>
      </w:rPr>
    </w:pPr>
    <w:r>
      <w:rPr>
        <w:b/>
        <w:sz w:val="18"/>
        <w:szCs w:val="18"/>
      </w:rPr>
      <w:t>OMB Control Number: 1225</w:t>
    </w:r>
    <w:r>
      <w:rPr>
        <w:b/>
        <w:sz w:val="18"/>
        <w:szCs w:val="18"/>
      </w:rPr>
      <w:t>-0087</w:t>
    </w:r>
  </w:p>
  <w:p w:rsidR="00406E36" w14:paraId="06FEFB81" w14:textId="13F2FCE1">
    <w:pPr>
      <w:pStyle w:val="Header"/>
      <w:rPr>
        <w:b/>
        <w:sz w:val="18"/>
        <w:szCs w:val="18"/>
      </w:rPr>
    </w:pPr>
    <w:r>
      <w:rPr>
        <w:b/>
        <w:sz w:val="18"/>
        <w:szCs w:val="18"/>
      </w:rPr>
      <w:t>OMB Expiration Date: 10/31/23</w:t>
    </w:r>
  </w:p>
  <w:p w:rsidR="00406E36" w:rsidRPr="00406E36" w14:paraId="7F032FC5" w14:textId="77777777">
    <w:pPr>
      <w:pStyle w:val="Head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066FA"/>
    <w:multiLevelType w:val="singleLevel"/>
    <w:tmpl w:val="D48A4BCA"/>
    <w:lvl w:ilvl="0">
      <w:start w:val="1"/>
      <w:numFmt w:val="decimal"/>
      <w:lvlText w:val="%1."/>
      <w:lvlJc w:val="left"/>
      <w:pPr>
        <w:tabs>
          <w:tab w:val="num" w:pos="360"/>
        </w:tabs>
        <w:ind w:left="360" w:hanging="360"/>
      </w:pPr>
    </w:lvl>
  </w:abstractNum>
  <w:abstractNum w:abstractNumId="1">
    <w:nsid w:val="16237A29"/>
    <w:multiLevelType w:val="hybridMultilevel"/>
    <w:tmpl w:val="43B27B1E"/>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B87422"/>
    <w:multiLevelType w:val="hybridMultilevel"/>
    <w:tmpl w:val="A78666B4"/>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4">
    <w:nsid w:val="320D6539"/>
    <w:multiLevelType w:val="hybridMultilevel"/>
    <w:tmpl w:val="ED80DB0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5762110"/>
    <w:multiLevelType w:val="hybridMultilevel"/>
    <w:tmpl w:val="297E4CB8"/>
    <w:lvl w:ilvl="0">
      <w:start w:val="1"/>
      <w:numFmt w:val="decimal"/>
      <w:lvlText w:val="%1."/>
      <w:lvlJc w:val="left"/>
      <w:pPr>
        <w:tabs>
          <w:tab w:val="num" w:pos="1800"/>
        </w:tabs>
        <w:ind w:left="1800" w:hanging="360"/>
      </w:pPr>
      <w:rPr>
        <w:rFonts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3AAE738B"/>
    <w:multiLevelType w:val="hybridMultilevel"/>
    <w:tmpl w:val="6C30E88E"/>
    <w:lvl w:ilvl="0">
      <w:start w:val="1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4F5BB1"/>
    <w:multiLevelType w:val="hybridMultilevel"/>
    <w:tmpl w:val="A3102F3E"/>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F865A1"/>
    <w:multiLevelType w:val="hybridMultilevel"/>
    <w:tmpl w:val="B84CBE68"/>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623F58D6"/>
    <w:multiLevelType w:val="hybridMultilevel"/>
    <w:tmpl w:val="E79A87F4"/>
    <w:lvl w:ilvl="0">
      <w:start w:val="1"/>
      <w:numFmt w:val="bullet"/>
      <w:lvlText w:val=""/>
      <w:lvlJc w:val="left"/>
      <w:pPr>
        <w:tabs>
          <w:tab w:val="num" w:pos="1800"/>
        </w:tabs>
        <w:ind w:left="1800" w:hanging="360"/>
      </w:pPr>
      <w:rPr>
        <w:rFonts w:ascii="Symbol" w:hAnsi="Symbol" w:hint="default"/>
        <w:sz w:val="18"/>
        <w:szCs w:val="18"/>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628A1512"/>
    <w:multiLevelType w:val="hybridMultilevel"/>
    <w:tmpl w:val="F018553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1">
    <w:nsid w:val="64A15055"/>
    <w:multiLevelType w:val="hybridMultilevel"/>
    <w:tmpl w:val="19948216"/>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6BDA4981"/>
    <w:multiLevelType w:val="hybridMultilevel"/>
    <w:tmpl w:val="B2BA0F1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DE94993"/>
    <w:multiLevelType w:val="hybridMultilevel"/>
    <w:tmpl w:val="B518CE3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71C619EA"/>
    <w:multiLevelType w:val="hybridMultilevel"/>
    <w:tmpl w:val="C7F806D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C4B20CE"/>
    <w:multiLevelType w:val="hybridMultilevel"/>
    <w:tmpl w:val="AA8C6C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88113272">
    <w:abstractNumId w:val="9"/>
  </w:num>
  <w:num w:numId="2" w16cid:durableId="68816278">
    <w:abstractNumId w:val="3"/>
  </w:num>
  <w:num w:numId="3" w16cid:durableId="1758407531">
    <w:abstractNumId w:val="6"/>
  </w:num>
  <w:num w:numId="4" w16cid:durableId="1938906935">
    <w:abstractNumId w:val="2"/>
  </w:num>
  <w:num w:numId="5" w16cid:durableId="125512997">
    <w:abstractNumId w:val="14"/>
  </w:num>
  <w:num w:numId="6" w16cid:durableId="1423448736">
    <w:abstractNumId w:val="12"/>
  </w:num>
  <w:num w:numId="7" w16cid:durableId="1985548687">
    <w:abstractNumId w:val="0"/>
  </w:num>
  <w:num w:numId="8" w16cid:durableId="1551111960">
    <w:abstractNumId w:val="13"/>
  </w:num>
  <w:num w:numId="9" w16cid:durableId="372735135">
    <w:abstractNumId w:val="10"/>
  </w:num>
  <w:num w:numId="10" w16cid:durableId="259946131">
    <w:abstractNumId w:val="5"/>
  </w:num>
  <w:num w:numId="11" w16cid:durableId="5400182">
    <w:abstractNumId w:val="8"/>
  </w:num>
  <w:num w:numId="12" w16cid:durableId="135534872">
    <w:abstractNumId w:val="11"/>
  </w:num>
  <w:num w:numId="13" w16cid:durableId="703677902">
    <w:abstractNumId w:val="15"/>
  </w:num>
  <w:num w:numId="14" w16cid:durableId="1273442271">
    <w:abstractNumId w:val="4"/>
  </w:num>
  <w:num w:numId="15" w16cid:durableId="881791846">
    <w:abstractNumId w:val="7"/>
  </w:num>
  <w:num w:numId="16" w16cid:durableId="165872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82C"/>
    <w:rsid w:val="00000289"/>
    <w:rsid w:val="00010481"/>
    <w:rsid w:val="00014350"/>
    <w:rsid w:val="00017449"/>
    <w:rsid w:val="0002504F"/>
    <w:rsid w:val="000269B7"/>
    <w:rsid w:val="00033007"/>
    <w:rsid w:val="00042D33"/>
    <w:rsid w:val="0004600A"/>
    <w:rsid w:val="00074959"/>
    <w:rsid w:val="00076AC5"/>
    <w:rsid w:val="000A2795"/>
    <w:rsid w:val="000A7F2F"/>
    <w:rsid w:val="000C5A06"/>
    <w:rsid w:val="000C5EE8"/>
    <w:rsid w:val="000E03FC"/>
    <w:rsid w:val="000E1242"/>
    <w:rsid w:val="000E282D"/>
    <w:rsid w:val="000F2E54"/>
    <w:rsid w:val="00107111"/>
    <w:rsid w:val="00107C33"/>
    <w:rsid w:val="00121322"/>
    <w:rsid w:val="001305E3"/>
    <w:rsid w:val="00133F74"/>
    <w:rsid w:val="00142D52"/>
    <w:rsid w:val="001516DB"/>
    <w:rsid w:val="00153E1C"/>
    <w:rsid w:val="00185396"/>
    <w:rsid w:val="001904BF"/>
    <w:rsid w:val="001A1554"/>
    <w:rsid w:val="001A2844"/>
    <w:rsid w:val="001B6CCB"/>
    <w:rsid w:val="001C2A5A"/>
    <w:rsid w:val="001C3EA2"/>
    <w:rsid w:val="001D237E"/>
    <w:rsid w:val="001E52B0"/>
    <w:rsid w:val="001F0697"/>
    <w:rsid w:val="001F4D8D"/>
    <w:rsid w:val="00204F85"/>
    <w:rsid w:val="002207FB"/>
    <w:rsid w:val="002366DA"/>
    <w:rsid w:val="00244E7A"/>
    <w:rsid w:val="00261CA5"/>
    <w:rsid w:val="00264762"/>
    <w:rsid w:val="002707AD"/>
    <w:rsid w:val="002715E6"/>
    <w:rsid w:val="00280B59"/>
    <w:rsid w:val="00284FD5"/>
    <w:rsid w:val="00285960"/>
    <w:rsid w:val="00286048"/>
    <w:rsid w:val="00287B6C"/>
    <w:rsid w:val="002B776C"/>
    <w:rsid w:val="002D57B0"/>
    <w:rsid w:val="002E15D2"/>
    <w:rsid w:val="002E4606"/>
    <w:rsid w:val="002E6E5A"/>
    <w:rsid w:val="00313B8B"/>
    <w:rsid w:val="00320084"/>
    <w:rsid w:val="00320FB6"/>
    <w:rsid w:val="0033689A"/>
    <w:rsid w:val="00336CB4"/>
    <w:rsid w:val="003415A8"/>
    <w:rsid w:val="003421EA"/>
    <w:rsid w:val="00346A79"/>
    <w:rsid w:val="00366BFD"/>
    <w:rsid w:val="00387D96"/>
    <w:rsid w:val="00392706"/>
    <w:rsid w:val="003A34C5"/>
    <w:rsid w:val="003B30C8"/>
    <w:rsid w:val="003B5397"/>
    <w:rsid w:val="003C487B"/>
    <w:rsid w:val="003C607B"/>
    <w:rsid w:val="003D6880"/>
    <w:rsid w:val="003E30C5"/>
    <w:rsid w:val="00401591"/>
    <w:rsid w:val="00401B49"/>
    <w:rsid w:val="00406E36"/>
    <w:rsid w:val="0041474B"/>
    <w:rsid w:val="00423FA0"/>
    <w:rsid w:val="00426D3B"/>
    <w:rsid w:val="004319B0"/>
    <w:rsid w:val="00444966"/>
    <w:rsid w:val="00452CB5"/>
    <w:rsid w:val="00453535"/>
    <w:rsid w:val="00461E00"/>
    <w:rsid w:val="00474D0E"/>
    <w:rsid w:val="004752EE"/>
    <w:rsid w:val="00477F80"/>
    <w:rsid w:val="00497009"/>
    <w:rsid w:val="004B0D48"/>
    <w:rsid w:val="004B62B6"/>
    <w:rsid w:val="004C2C5B"/>
    <w:rsid w:val="004C6241"/>
    <w:rsid w:val="004C6479"/>
    <w:rsid w:val="004D0B8D"/>
    <w:rsid w:val="00506396"/>
    <w:rsid w:val="00511F13"/>
    <w:rsid w:val="00544812"/>
    <w:rsid w:val="00547E85"/>
    <w:rsid w:val="005525D9"/>
    <w:rsid w:val="00561ACD"/>
    <w:rsid w:val="00564E9A"/>
    <w:rsid w:val="00566196"/>
    <w:rsid w:val="005A50DF"/>
    <w:rsid w:val="005A5B1B"/>
    <w:rsid w:val="005C120D"/>
    <w:rsid w:val="005D0F4C"/>
    <w:rsid w:val="005E04C7"/>
    <w:rsid w:val="005F4571"/>
    <w:rsid w:val="005F5B98"/>
    <w:rsid w:val="0060113F"/>
    <w:rsid w:val="00604FB3"/>
    <w:rsid w:val="00614FB3"/>
    <w:rsid w:val="00627780"/>
    <w:rsid w:val="00630136"/>
    <w:rsid w:val="00641B32"/>
    <w:rsid w:val="006569B7"/>
    <w:rsid w:val="006571FD"/>
    <w:rsid w:val="00681D63"/>
    <w:rsid w:val="006938B1"/>
    <w:rsid w:val="006A3C6B"/>
    <w:rsid w:val="006B0143"/>
    <w:rsid w:val="006B5FA4"/>
    <w:rsid w:val="006D0FB1"/>
    <w:rsid w:val="006D2153"/>
    <w:rsid w:val="006D2C23"/>
    <w:rsid w:val="006E2AFD"/>
    <w:rsid w:val="006E4C7E"/>
    <w:rsid w:val="006E64B2"/>
    <w:rsid w:val="006F16E6"/>
    <w:rsid w:val="007018B5"/>
    <w:rsid w:val="00707E01"/>
    <w:rsid w:val="00714B0C"/>
    <w:rsid w:val="007240D9"/>
    <w:rsid w:val="007273E4"/>
    <w:rsid w:val="00730770"/>
    <w:rsid w:val="00732CE6"/>
    <w:rsid w:val="007336FA"/>
    <w:rsid w:val="00742F31"/>
    <w:rsid w:val="007431C2"/>
    <w:rsid w:val="00745F48"/>
    <w:rsid w:val="00747085"/>
    <w:rsid w:val="00754B95"/>
    <w:rsid w:val="00762870"/>
    <w:rsid w:val="00766BA1"/>
    <w:rsid w:val="0077688C"/>
    <w:rsid w:val="00783D35"/>
    <w:rsid w:val="007927A1"/>
    <w:rsid w:val="007A124A"/>
    <w:rsid w:val="007A5755"/>
    <w:rsid w:val="007C22CC"/>
    <w:rsid w:val="007C2CCB"/>
    <w:rsid w:val="007C4F9D"/>
    <w:rsid w:val="007E4178"/>
    <w:rsid w:val="007E4517"/>
    <w:rsid w:val="007E4705"/>
    <w:rsid w:val="007F5245"/>
    <w:rsid w:val="00814379"/>
    <w:rsid w:val="00825BD1"/>
    <w:rsid w:val="00842E49"/>
    <w:rsid w:val="0084782C"/>
    <w:rsid w:val="008645FA"/>
    <w:rsid w:val="00874C00"/>
    <w:rsid w:val="008A117A"/>
    <w:rsid w:val="008B09BA"/>
    <w:rsid w:val="008B5FD2"/>
    <w:rsid w:val="008D752E"/>
    <w:rsid w:val="008E2FCC"/>
    <w:rsid w:val="008F0752"/>
    <w:rsid w:val="0091088E"/>
    <w:rsid w:val="009231E9"/>
    <w:rsid w:val="00925F4B"/>
    <w:rsid w:val="00933E4A"/>
    <w:rsid w:val="009415F9"/>
    <w:rsid w:val="0094224D"/>
    <w:rsid w:val="0095790C"/>
    <w:rsid w:val="00964201"/>
    <w:rsid w:val="009659F9"/>
    <w:rsid w:val="00967E72"/>
    <w:rsid w:val="00983E76"/>
    <w:rsid w:val="009875CA"/>
    <w:rsid w:val="00996338"/>
    <w:rsid w:val="009A6772"/>
    <w:rsid w:val="009A7886"/>
    <w:rsid w:val="009B15B9"/>
    <w:rsid w:val="009B6A20"/>
    <w:rsid w:val="009B7634"/>
    <w:rsid w:val="009E5A0C"/>
    <w:rsid w:val="00A001F7"/>
    <w:rsid w:val="00A33048"/>
    <w:rsid w:val="00A471DF"/>
    <w:rsid w:val="00A47DB4"/>
    <w:rsid w:val="00A545A2"/>
    <w:rsid w:val="00A66DA0"/>
    <w:rsid w:val="00A67E54"/>
    <w:rsid w:val="00A74DC5"/>
    <w:rsid w:val="00A91CE2"/>
    <w:rsid w:val="00A95EC8"/>
    <w:rsid w:val="00AA4F18"/>
    <w:rsid w:val="00AA77E1"/>
    <w:rsid w:val="00AC12BB"/>
    <w:rsid w:val="00AC47E5"/>
    <w:rsid w:val="00AD1574"/>
    <w:rsid w:val="00B0797E"/>
    <w:rsid w:val="00B20362"/>
    <w:rsid w:val="00B2660F"/>
    <w:rsid w:val="00B34F71"/>
    <w:rsid w:val="00B61B75"/>
    <w:rsid w:val="00B622E9"/>
    <w:rsid w:val="00B704BA"/>
    <w:rsid w:val="00B70712"/>
    <w:rsid w:val="00B93CA0"/>
    <w:rsid w:val="00BB4123"/>
    <w:rsid w:val="00BC0AFE"/>
    <w:rsid w:val="00BD53F6"/>
    <w:rsid w:val="00C03B9D"/>
    <w:rsid w:val="00C04554"/>
    <w:rsid w:val="00C07F2F"/>
    <w:rsid w:val="00C20E4F"/>
    <w:rsid w:val="00C22960"/>
    <w:rsid w:val="00C2609F"/>
    <w:rsid w:val="00C672FF"/>
    <w:rsid w:val="00C71839"/>
    <w:rsid w:val="00C8502B"/>
    <w:rsid w:val="00CC536E"/>
    <w:rsid w:val="00CD7D90"/>
    <w:rsid w:val="00CE4CFB"/>
    <w:rsid w:val="00CE6889"/>
    <w:rsid w:val="00CF3426"/>
    <w:rsid w:val="00CF39B2"/>
    <w:rsid w:val="00D05FEC"/>
    <w:rsid w:val="00D11E44"/>
    <w:rsid w:val="00D353BD"/>
    <w:rsid w:val="00D4613F"/>
    <w:rsid w:val="00D541FD"/>
    <w:rsid w:val="00D6494B"/>
    <w:rsid w:val="00D741D9"/>
    <w:rsid w:val="00D77A90"/>
    <w:rsid w:val="00D84208"/>
    <w:rsid w:val="00DA4808"/>
    <w:rsid w:val="00DC0F00"/>
    <w:rsid w:val="00E01EFF"/>
    <w:rsid w:val="00E0751E"/>
    <w:rsid w:val="00E17F97"/>
    <w:rsid w:val="00E229A5"/>
    <w:rsid w:val="00E25486"/>
    <w:rsid w:val="00E376A3"/>
    <w:rsid w:val="00E458DE"/>
    <w:rsid w:val="00E6388C"/>
    <w:rsid w:val="00E84622"/>
    <w:rsid w:val="00E86E3A"/>
    <w:rsid w:val="00E9091C"/>
    <w:rsid w:val="00E94CDB"/>
    <w:rsid w:val="00EB2454"/>
    <w:rsid w:val="00EC0E56"/>
    <w:rsid w:val="00EC12B3"/>
    <w:rsid w:val="00ED0E38"/>
    <w:rsid w:val="00ED1FB5"/>
    <w:rsid w:val="00EE211F"/>
    <w:rsid w:val="00F10B3F"/>
    <w:rsid w:val="00F13C4B"/>
    <w:rsid w:val="00F208CD"/>
    <w:rsid w:val="00F30797"/>
    <w:rsid w:val="00F3103C"/>
    <w:rsid w:val="00F401A4"/>
    <w:rsid w:val="00F50446"/>
    <w:rsid w:val="00F510DA"/>
    <w:rsid w:val="00F54254"/>
    <w:rsid w:val="00F5698E"/>
    <w:rsid w:val="00F6385F"/>
    <w:rsid w:val="00F63B5E"/>
    <w:rsid w:val="00F64860"/>
    <w:rsid w:val="00F67E7F"/>
    <w:rsid w:val="00F76925"/>
    <w:rsid w:val="00F84CF6"/>
    <w:rsid w:val="00FA60EC"/>
    <w:rsid w:val="00FB4FC1"/>
    <w:rsid w:val="00FB548C"/>
    <w:rsid w:val="00FD031C"/>
    <w:rsid w:val="00FD0619"/>
    <w:rsid w:val="00FD4EEC"/>
    <w:rsid w:val="00FE2025"/>
    <w:rsid w:val="00FF55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FE9A4B"/>
  <w15:chartTrackingRefBased/>
  <w15:docId w15:val="{E4ABCBF5-679E-4EE8-B143-1A0CFB06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82C"/>
    <w:rPr>
      <w:sz w:val="24"/>
      <w:szCs w:val="24"/>
    </w:rPr>
  </w:style>
  <w:style w:type="paragraph" w:styleId="Heading1">
    <w:name w:val="heading 1"/>
    <w:basedOn w:val="Normal"/>
    <w:next w:val="Normal"/>
    <w:qFormat/>
    <w:rsid w:val="0084782C"/>
    <w:pPr>
      <w:keepNext/>
      <w:pageBreakBefore/>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napToGrid w:val="0"/>
      <w:sz w:val="36"/>
      <w:szCs w:val="20"/>
    </w:rPr>
  </w:style>
  <w:style w:type="paragraph" w:styleId="Heading2">
    <w:name w:val="heading 2"/>
    <w:basedOn w:val="Normal"/>
    <w:next w:val="Normal"/>
    <w:qFormat/>
    <w:rsid w:val="0084782C"/>
    <w:pPr>
      <w:keepNext/>
      <w:pageBreakBefore/>
      <w:widowControl w:val="0"/>
      <w:numPr>
        <w:ilvl w:val="1"/>
        <w:numId w:val="2"/>
      </w:numPr>
      <w:outlineLvl w:val="1"/>
    </w:pPr>
    <w:rPr>
      <w:b/>
      <w:snapToGrid w:val="0"/>
      <w:color w:val="000000"/>
      <w:sz w:val="32"/>
      <w:szCs w:val="20"/>
    </w:rPr>
  </w:style>
  <w:style w:type="paragraph" w:styleId="Heading3">
    <w:name w:val="heading 3"/>
    <w:basedOn w:val="Normal"/>
    <w:next w:val="Normal"/>
    <w:qFormat/>
    <w:rsid w:val="0084782C"/>
    <w:pPr>
      <w:keepNext/>
      <w:pageBreakBefore/>
      <w:widowControl w:val="0"/>
      <w:numPr>
        <w:ilvl w:val="2"/>
        <w:numId w:val="2"/>
      </w:numPr>
      <w:outlineLvl w:val="2"/>
    </w:pPr>
    <w:rPr>
      <w:b/>
      <w:snapToGrid w:val="0"/>
      <w:color w:val="000000"/>
      <w:sz w:val="28"/>
      <w:szCs w:val="20"/>
    </w:rPr>
  </w:style>
  <w:style w:type="paragraph" w:styleId="Heading4">
    <w:name w:val="heading 4"/>
    <w:basedOn w:val="Normal"/>
    <w:next w:val="Normal"/>
    <w:qFormat/>
    <w:rsid w:val="0084782C"/>
    <w:pPr>
      <w:numPr>
        <w:ilvl w:val="3"/>
        <w:numId w:val="2"/>
      </w:numPr>
      <w:outlineLvl w:val="3"/>
    </w:pPr>
    <w:rPr>
      <w:b/>
    </w:rPr>
  </w:style>
  <w:style w:type="paragraph" w:styleId="Heading5">
    <w:name w:val="heading 5"/>
    <w:aliases w:val="4,5 sub-bullet,sb"/>
    <w:basedOn w:val="Normal"/>
    <w:next w:val="Normal"/>
    <w:qFormat/>
    <w:rsid w:val="0084782C"/>
    <w:pPr>
      <w:numPr>
        <w:ilvl w:val="4"/>
        <w:numId w:val="2"/>
      </w:numPr>
      <w:spacing w:before="240" w:after="60"/>
      <w:outlineLvl w:val="4"/>
    </w:pPr>
    <w:rPr>
      <w:b/>
      <w:bCs/>
      <w:i/>
      <w:iCs/>
      <w:sz w:val="26"/>
      <w:szCs w:val="26"/>
    </w:rPr>
  </w:style>
  <w:style w:type="paragraph" w:styleId="Heading6">
    <w:name w:val="heading 6"/>
    <w:aliases w:val="5,sd,sub-dash"/>
    <w:basedOn w:val="Normal"/>
    <w:next w:val="Normal"/>
    <w:qFormat/>
    <w:rsid w:val="0084782C"/>
    <w:pPr>
      <w:numPr>
        <w:ilvl w:val="5"/>
        <w:numId w:val="2"/>
      </w:numPr>
      <w:spacing w:before="240" w:after="60"/>
      <w:outlineLvl w:val="5"/>
    </w:pPr>
    <w:rPr>
      <w:b/>
      <w:bCs/>
      <w:sz w:val="22"/>
      <w:szCs w:val="22"/>
    </w:rPr>
  </w:style>
  <w:style w:type="paragraph" w:styleId="Heading7">
    <w:name w:val="heading 7"/>
    <w:basedOn w:val="Normal"/>
    <w:next w:val="Normal"/>
    <w:qFormat/>
    <w:rsid w:val="0084782C"/>
    <w:pPr>
      <w:numPr>
        <w:ilvl w:val="6"/>
        <w:numId w:val="2"/>
      </w:numPr>
      <w:spacing w:before="240" w:after="60"/>
      <w:outlineLvl w:val="6"/>
    </w:pPr>
  </w:style>
  <w:style w:type="paragraph" w:styleId="Heading8">
    <w:name w:val="heading 8"/>
    <w:basedOn w:val="Normal"/>
    <w:next w:val="Normal"/>
    <w:qFormat/>
    <w:rsid w:val="0084782C"/>
    <w:pPr>
      <w:numPr>
        <w:ilvl w:val="7"/>
        <w:numId w:val="2"/>
      </w:numPr>
      <w:spacing w:before="240" w:after="60"/>
      <w:outlineLvl w:val="7"/>
    </w:pPr>
    <w:rPr>
      <w:i/>
      <w:iCs/>
    </w:rPr>
  </w:style>
  <w:style w:type="paragraph" w:styleId="Heading9">
    <w:name w:val="heading 9"/>
    <w:basedOn w:val="Normal"/>
    <w:next w:val="Normal"/>
    <w:qFormat/>
    <w:rsid w:val="0084782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64B2"/>
    <w:rPr>
      <w:rFonts w:ascii="Tahoma" w:hAnsi="Tahoma" w:cs="Tahoma"/>
      <w:sz w:val="16"/>
      <w:szCs w:val="16"/>
    </w:rPr>
  </w:style>
  <w:style w:type="character" w:styleId="CommentReference">
    <w:name w:val="annotation reference"/>
    <w:semiHidden/>
    <w:rsid w:val="00A545A2"/>
    <w:rPr>
      <w:sz w:val="16"/>
      <w:szCs w:val="16"/>
    </w:rPr>
  </w:style>
  <w:style w:type="paragraph" w:styleId="CommentText">
    <w:name w:val="annotation text"/>
    <w:basedOn w:val="Normal"/>
    <w:semiHidden/>
    <w:rsid w:val="00A545A2"/>
    <w:rPr>
      <w:sz w:val="20"/>
      <w:szCs w:val="20"/>
    </w:rPr>
  </w:style>
  <w:style w:type="paragraph" w:styleId="CommentSubject">
    <w:name w:val="annotation subject"/>
    <w:basedOn w:val="CommentText"/>
    <w:next w:val="CommentText"/>
    <w:semiHidden/>
    <w:rsid w:val="00A545A2"/>
    <w:rPr>
      <w:b/>
      <w:bCs/>
    </w:rPr>
  </w:style>
  <w:style w:type="character" w:customStyle="1" w:styleId="BodyTextChar">
    <w:name w:val="Body Text Char"/>
    <w:link w:val="BodyText"/>
    <w:locked/>
    <w:rsid w:val="003C607B"/>
    <w:rPr>
      <w:rFonts w:ascii="Calibri" w:eastAsia="Calibri" w:hAnsi="Calibri"/>
      <w:sz w:val="22"/>
      <w:lang w:val="en-US" w:eastAsia="en-US" w:bidi="ar-SA"/>
    </w:rPr>
  </w:style>
  <w:style w:type="paragraph" w:styleId="BodyText">
    <w:name w:val="Body Text"/>
    <w:basedOn w:val="Normal"/>
    <w:link w:val="BodyTextChar"/>
    <w:rsid w:val="003C607B"/>
    <w:pPr>
      <w:widowControl w:val="0"/>
    </w:pPr>
    <w:rPr>
      <w:rFonts w:ascii="Calibri" w:eastAsia="Calibri" w:hAnsi="Calibri"/>
      <w:sz w:val="22"/>
      <w:szCs w:val="20"/>
    </w:rPr>
  </w:style>
  <w:style w:type="paragraph" w:styleId="Header">
    <w:name w:val="header"/>
    <w:basedOn w:val="Normal"/>
    <w:link w:val="HeaderChar"/>
    <w:uiPriority w:val="99"/>
    <w:rsid w:val="00406E36"/>
    <w:pPr>
      <w:tabs>
        <w:tab w:val="center" w:pos="4680"/>
        <w:tab w:val="right" w:pos="9360"/>
      </w:tabs>
    </w:pPr>
  </w:style>
  <w:style w:type="character" w:customStyle="1" w:styleId="HeaderChar">
    <w:name w:val="Header Char"/>
    <w:link w:val="Header"/>
    <w:uiPriority w:val="99"/>
    <w:rsid w:val="00406E36"/>
    <w:rPr>
      <w:sz w:val="24"/>
      <w:szCs w:val="24"/>
    </w:rPr>
  </w:style>
  <w:style w:type="paragraph" w:styleId="Footer">
    <w:name w:val="footer"/>
    <w:basedOn w:val="Normal"/>
    <w:link w:val="FooterChar"/>
    <w:uiPriority w:val="99"/>
    <w:rsid w:val="00406E36"/>
    <w:pPr>
      <w:tabs>
        <w:tab w:val="center" w:pos="4680"/>
        <w:tab w:val="right" w:pos="9360"/>
      </w:tabs>
    </w:pPr>
  </w:style>
  <w:style w:type="character" w:customStyle="1" w:styleId="FooterChar">
    <w:name w:val="Footer Char"/>
    <w:link w:val="Footer"/>
    <w:uiPriority w:val="99"/>
    <w:rsid w:val="00406E36"/>
    <w:rPr>
      <w:sz w:val="24"/>
      <w:szCs w:val="24"/>
    </w:rPr>
  </w:style>
  <w:style w:type="character" w:styleId="Hyperlink">
    <w:name w:val="Hyperlink"/>
    <w:rsid w:val="00F401A4"/>
    <w:rPr>
      <w:color w:val="0000FF"/>
      <w:u w:val="single"/>
    </w:rPr>
  </w:style>
  <w:style w:type="table" w:styleId="TableGrid">
    <w:name w:val="Table Grid"/>
    <w:basedOn w:val="TableNormal"/>
    <w:uiPriority w:val="59"/>
    <w:rsid w:val="00F401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70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pdf/2023/TU_h.pdf" TargetMode="External" /><Relationship Id="rId8" Type="http://schemas.openxmlformats.org/officeDocument/2006/relationships/hyperlink" Target="https://www.opm.gov/policy-data-oversight/pay-leave/salaries-wages/salary-tables/pdf/2017/TU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AEDC1-C490-434E-83F5-684F6470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11D04-BECF-4245-A16F-73B3970BDA2F}">
  <ds:schemaRefs>
    <ds:schemaRef ds:uri="http://schemas.microsoft.com/sharepoint/v3/contenttype/forms"/>
  </ds:schemaRefs>
</ds:datastoreItem>
</file>

<file path=customXml/itemProps3.xml><?xml version="1.0" encoding="utf-8"?>
<ds:datastoreItem xmlns:ds="http://schemas.openxmlformats.org/officeDocument/2006/customXml" ds:itemID="{E8BD2BC9-7E58-40F0-9549-1689C81E2C61}">
  <ds:schemaRefs>
    <ds:schemaRef ds:uri="http://schemas.microsoft.com/office/2006/metadata/properties"/>
    <ds:schemaRef ds:uri="b31e9ac3-e9ea-478f-867b-1d49b715581c"/>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1773</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Instructions for Completing the Supporting Statement for the Paperwork Reduction Act Submissions</vt:lpstr>
    </vt:vector>
  </TitlesOfParts>
  <Company>U.S. Department of Labor</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Supporting Statement for the Paperwork Reduction Act Submissions</dc:title>
  <dc:creator>ECN USER</dc:creator>
  <cp:lastModifiedBy>Bouchet, Nicole - OASAM OCIO</cp:lastModifiedBy>
  <cp:revision>6</cp:revision>
  <cp:lastPrinted>2010-06-25T13:43:00Z</cp:lastPrinted>
  <dcterms:created xsi:type="dcterms:W3CDTF">2023-08-14T12:54:00Z</dcterms:created>
  <dcterms:modified xsi:type="dcterms:W3CDTF">2023-08-14T12:58:00Z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