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B754D2" w14:paraId="7E97B93F" w14:textId="6C921978">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F3606F" w:rsidRPr="00871CA6" w:rsidP="00B754D2" w14:paraId="63F12C76" w14:textId="5F0A527B">
      <w:pPr>
        <w:jc w:val="center"/>
        <w:rPr>
          <w:rFonts w:ascii="Times New Roman" w:hAnsi="Times New Roman"/>
          <w:b/>
          <w:bCs/>
        </w:rPr>
      </w:pPr>
      <w:r w:rsidRPr="00706F69">
        <w:rPr>
          <w:rFonts w:ascii="Times New Roman" w:hAnsi="Times New Roman"/>
          <w:b/>
          <w:bCs/>
        </w:rPr>
        <w:t>REGISTRATION FOR PUBLIC DATA SERVICE</w:t>
      </w:r>
    </w:p>
    <w:p w:rsidR="00A10441" w:rsidP="00B754D2" w14:paraId="1DAA9F6C" w14:textId="36439711">
      <w:pPr>
        <w:widowControl/>
        <w:jc w:val="center"/>
        <w:rPr>
          <w:rFonts w:ascii="Times New Roman" w:hAnsi="Times New Roman"/>
          <w:b/>
          <w:bCs/>
        </w:rPr>
      </w:pPr>
      <w:r w:rsidRPr="00871CA6">
        <w:rPr>
          <w:rFonts w:ascii="Times New Roman" w:hAnsi="Times New Roman"/>
          <w:b/>
          <w:bCs/>
        </w:rPr>
        <w:t>OMB</w:t>
      </w:r>
      <w:r>
        <w:rPr>
          <w:rFonts w:ascii="Times New Roman" w:hAnsi="Times New Roman"/>
          <w:b/>
          <w:bCs/>
        </w:rPr>
        <w:t xml:space="preserve"> </w:t>
      </w:r>
      <w:r w:rsidRPr="00871CA6">
        <w:rPr>
          <w:rFonts w:ascii="Times New Roman" w:hAnsi="Times New Roman"/>
          <w:b/>
          <w:bCs/>
        </w:rPr>
        <w:t xml:space="preserve">CONTROL NO. </w:t>
      </w:r>
      <w:r>
        <w:rPr>
          <w:rFonts w:ascii="Times New Roman" w:hAnsi="Times New Roman"/>
          <w:b/>
          <w:bCs/>
        </w:rPr>
        <w:t>1219</w:t>
      </w:r>
      <w:r w:rsidRPr="00871CA6">
        <w:rPr>
          <w:rFonts w:ascii="Times New Roman" w:hAnsi="Times New Roman"/>
          <w:b/>
          <w:bCs/>
        </w:rPr>
        <w:t>-</w:t>
      </w:r>
      <w:r>
        <w:rPr>
          <w:rFonts w:ascii="Times New Roman" w:hAnsi="Times New Roman"/>
          <w:b/>
          <w:bCs/>
        </w:rPr>
        <w:t>0NEW</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4FC50EB2">
      <w:pPr>
        <w:widowControl/>
        <w:jc w:val="center"/>
        <w:rPr>
          <w:rFonts w:ascii="Times New Roman" w:hAnsi="Times New Roman"/>
          <w:b/>
          <w:bCs/>
        </w:rPr>
      </w:pPr>
      <w:r w:rsidRPr="00871CA6">
        <w:rPr>
          <w:rFonts w:ascii="Times New Roman" w:hAnsi="Times New Roman"/>
          <w:b/>
          <w:bCs/>
        </w:rPr>
        <w:t>OMB</w:t>
      </w:r>
      <w:r w:rsidR="00CC5157">
        <w:rPr>
          <w:rFonts w:ascii="Times New Roman" w:hAnsi="Times New Roman"/>
          <w:b/>
          <w:bCs/>
        </w:rPr>
        <w:t xml:space="preserve"> </w:t>
      </w:r>
      <w:r w:rsidRPr="00871CA6">
        <w:rPr>
          <w:rFonts w:ascii="Times New Roman" w:hAnsi="Times New Roman"/>
          <w:b/>
          <w:bCs/>
        </w:rPr>
        <w:t xml:space="preserve">CONTROL NO. </w:t>
      </w:r>
      <w:r w:rsidRPr="00F3606F" w:rsidR="00F3606F">
        <w:rPr>
          <w:rFonts w:ascii="Times New Roman" w:hAnsi="Times New Roman"/>
          <w:b/>
          <w:bCs/>
        </w:rPr>
        <w:t xml:space="preserve">1290-0NEW   </w:t>
      </w:r>
    </w:p>
    <w:p w:rsidR="00530EBD" w:rsidRPr="00D53DEB" w:rsidP="00116CD5" w14:paraId="3086E90B" w14:textId="77777777">
      <w:pPr>
        <w:widowControl/>
        <w:jc w:val="center"/>
        <w:rPr>
          <w:rFonts w:ascii="Times New Roman" w:hAnsi="Times New Roman"/>
          <w:bCs/>
        </w:rPr>
      </w:pPr>
    </w:p>
    <w:p w:rsidR="00A72882" w:rsidP="00A72882" w14:paraId="41A3C360" w14:textId="77777777">
      <w:pPr>
        <w:widowControl/>
        <w:rPr>
          <w:rFonts w:ascii="Times New Roman" w:hAnsi="Times New Roman"/>
          <w:bCs/>
        </w:rPr>
      </w:pPr>
      <w:r>
        <w:rPr>
          <w:rFonts w:ascii="Times New Roman" w:hAnsi="Times New Roman"/>
          <w:bCs/>
        </w:rPr>
        <w:t>This is a new information collection request.</w:t>
      </w:r>
    </w:p>
    <w:p w:rsidR="004F27A9" w:rsidP="00D53DEB" w14:paraId="389C00F4" w14:textId="3C91D4F6">
      <w:pPr>
        <w:widowControl/>
        <w:rPr>
          <w:rFonts w:ascii="Times New Roman" w:hAnsi="Times New Roman"/>
          <w:bCs/>
        </w:rPr>
      </w:pPr>
    </w:p>
    <w:p w:rsidR="004F27A9" w:rsidRPr="00D53DEB" w:rsidP="00D53DEB" w14:paraId="1FFA7D5D" w14:textId="77777777">
      <w:pPr>
        <w:widowControl/>
        <w:rPr>
          <w:rFonts w:ascii="Times New Roman" w:hAnsi="Times New Roman"/>
          <w:bCs/>
        </w:rPr>
      </w:pP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77777777">
      <w:pPr>
        <w:widowControl/>
        <w:rPr>
          <w:rFonts w:ascii="Times New Roman" w:hAnsi="Times New Roman"/>
        </w:rPr>
      </w:pPr>
    </w:p>
    <w:p w:rsidR="00F3606F" w:rsidRPr="00632E23" w:rsidP="00F3606F" w14:paraId="45B14E4C" w14:textId="77777777">
      <w:pPr>
        <w:rPr>
          <w:rFonts w:ascii="Times New Roman" w:hAnsi="Times New Roman"/>
          <w:b/>
          <w:bCs/>
        </w:rPr>
      </w:pPr>
      <w:r w:rsidRPr="00632E23">
        <w:rPr>
          <w:rFonts w:ascii="Times New Roman" w:hAnsi="Times New Roman"/>
          <w:b/>
          <w:bCs/>
        </w:rPr>
        <w:t>Summary</w:t>
      </w:r>
    </w:p>
    <w:p w:rsidR="00F3606F" w:rsidP="00F3606F" w14:paraId="3E1599BE" w14:textId="77777777">
      <w:pPr>
        <w:rPr>
          <w:rFonts w:ascii="Times New Roman" w:hAnsi="Times New Roman"/>
        </w:rPr>
      </w:pPr>
    </w:p>
    <w:p w:rsidR="00F3606F" w:rsidRPr="00D026BC" w:rsidP="00F3606F" w14:paraId="5DB7E996" w14:textId="77777777">
      <w:pPr>
        <w:rPr>
          <w:rFonts w:ascii="Times New Roman" w:hAnsi="Times New Roman"/>
        </w:rPr>
      </w:pPr>
      <w:r>
        <w:rPr>
          <w:rFonts w:ascii="Times New Roman" w:hAnsi="Times New Roman"/>
        </w:rPr>
        <w:t>The US Department of Labor (DOL)</w:t>
      </w:r>
      <w:r w:rsidRPr="00D026BC">
        <w:t xml:space="preserve"> </w:t>
      </w:r>
      <w:r w:rsidRPr="00D026BC">
        <w:rPr>
          <w:rFonts w:ascii="Times New Roman" w:hAnsi="Times New Roman"/>
        </w:rPr>
        <w:t>is developing a new public facing data service consistent with the requirements of Title II of the Foundations for Evidence-Based Policymaking Act of 2018</w:t>
      </w:r>
      <w:r>
        <w:rPr>
          <w:rStyle w:val="FootnoteReference"/>
        </w:rPr>
        <w:footnoteReference w:id="2"/>
      </w:r>
      <w:r w:rsidRPr="00D026BC">
        <w:rPr>
          <w:rFonts w:ascii="Times New Roman" w:hAnsi="Times New Roman"/>
        </w:rPr>
        <w:t>, the goals described in DOL’s Enterprise Data Strategy</w:t>
      </w:r>
      <w:r>
        <w:rPr>
          <w:rStyle w:val="FootnoteReference"/>
        </w:rPr>
        <w:footnoteReference w:id="3"/>
      </w:r>
      <w:r>
        <w:rPr>
          <w:rFonts w:ascii="Times New Roman" w:hAnsi="Times New Roman"/>
        </w:rPr>
        <w:t xml:space="preserve"> and the Federal Data Strategy</w:t>
      </w:r>
      <w:r>
        <w:rPr>
          <w:rStyle w:val="FootnoteReference"/>
        </w:rPr>
        <w:footnoteReference w:id="4"/>
      </w:r>
      <w:r w:rsidRPr="00D026BC">
        <w:rPr>
          <w:rFonts w:ascii="Times New Roman" w:hAnsi="Times New Roman"/>
        </w:rPr>
        <w:t xml:space="preserve">, and feedback from a public </w:t>
      </w:r>
      <w:r>
        <w:rPr>
          <w:rFonts w:ascii="Times New Roman" w:hAnsi="Times New Roman"/>
        </w:rPr>
        <w:t>R</w:t>
      </w:r>
      <w:r w:rsidRPr="00D026BC">
        <w:rPr>
          <w:rFonts w:ascii="Times New Roman" w:hAnsi="Times New Roman"/>
        </w:rPr>
        <w:t xml:space="preserve">equest </w:t>
      </w:r>
      <w:r>
        <w:rPr>
          <w:rFonts w:ascii="Times New Roman" w:hAnsi="Times New Roman"/>
        </w:rPr>
        <w:t>F</w:t>
      </w:r>
      <w:r w:rsidRPr="00D026BC">
        <w:rPr>
          <w:rFonts w:ascii="Times New Roman" w:hAnsi="Times New Roman"/>
        </w:rPr>
        <w:t xml:space="preserve">or </w:t>
      </w:r>
      <w:r>
        <w:rPr>
          <w:rFonts w:ascii="Times New Roman" w:hAnsi="Times New Roman"/>
        </w:rPr>
        <w:t>I</w:t>
      </w:r>
      <w:r w:rsidRPr="00D026BC">
        <w:rPr>
          <w:rFonts w:ascii="Times New Roman" w:hAnsi="Times New Roman"/>
        </w:rPr>
        <w:t xml:space="preserve">nformation </w:t>
      </w:r>
      <w:r>
        <w:rPr>
          <w:rFonts w:ascii="Times New Roman" w:hAnsi="Times New Roman"/>
        </w:rPr>
        <w:t xml:space="preserve">(RFI) </w:t>
      </w:r>
      <w:r w:rsidRPr="00D026BC">
        <w:rPr>
          <w:rFonts w:ascii="Times New Roman" w:hAnsi="Times New Roman"/>
        </w:rPr>
        <w:t xml:space="preserve">on how DOL can optimally structure its public data offerings available through Docket No. DOL-2021-0005 at </w:t>
      </w:r>
      <w:hyperlink r:id="rId6" w:history="1">
        <w:r w:rsidRPr="003F0F68">
          <w:rPr>
            <w:rStyle w:val="Hyperlink"/>
            <w:rFonts w:ascii="Times New Roman" w:hAnsi="Times New Roman"/>
          </w:rPr>
          <w:t>www.regulations.gov</w:t>
        </w:r>
      </w:hyperlink>
      <w:r>
        <w:rPr>
          <w:rStyle w:val="FootnoteReference"/>
        </w:rPr>
        <w:footnoteReference w:id="5"/>
      </w:r>
      <w:r w:rsidRPr="00D026BC">
        <w:rPr>
          <w:rFonts w:ascii="Times New Roman" w:hAnsi="Times New Roman"/>
        </w:rPr>
        <w:t xml:space="preserve">.  </w:t>
      </w:r>
    </w:p>
    <w:p w:rsidR="00F3606F" w:rsidP="00F3606F" w14:paraId="7388F7FB" w14:textId="77777777">
      <w:pPr>
        <w:rPr>
          <w:rFonts w:ascii="Times New Roman" w:hAnsi="Times New Roman"/>
        </w:rPr>
      </w:pPr>
      <w:r w:rsidRPr="00D026BC">
        <w:rPr>
          <w:rFonts w:ascii="Times New Roman" w:hAnsi="Times New Roman"/>
        </w:rPr>
        <w:t>To best ensure that this service will optimally meet current, evolving, and long</w:t>
      </w:r>
      <w:r>
        <w:rPr>
          <w:rFonts w:ascii="Times New Roman" w:hAnsi="Times New Roman"/>
        </w:rPr>
        <w:t>-</w:t>
      </w:r>
      <w:r w:rsidRPr="00D026BC">
        <w:rPr>
          <w:rFonts w:ascii="Times New Roman" w:hAnsi="Times New Roman"/>
        </w:rPr>
        <w:t>range needs among public, private, and Federal data users, specifically with respect to the kinds of data offered, the formats of machine</w:t>
      </w:r>
      <w:r>
        <w:rPr>
          <w:rFonts w:ascii="Times New Roman" w:hAnsi="Times New Roman"/>
        </w:rPr>
        <w:t>-</w:t>
      </w:r>
      <w:r w:rsidRPr="00D026BC">
        <w:rPr>
          <w:rFonts w:ascii="Times New Roman" w:hAnsi="Times New Roman"/>
        </w:rPr>
        <w:t xml:space="preserve">readable data </w:t>
      </w:r>
      <w:r>
        <w:rPr>
          <w:rFonts w:ascii="Times New Roman" w:hAnsi="Times New Roman"/>
        </w:rPr>
        <w:t>provided</w:t>
      </w:r>
      <w:r w:rsidRPr="00D026BC">
        <w:rPr>
          <w:rFonts w:ascii="Times New Roman" w:hAnsi="Times New Roman"/>
        </w:rPr>
        <w:t xml:space="preserve">, the kinds of services that can connect to the </w:t>
      </w:r>
      <w:r>
        <w:rPr>
          <w:rFonts w:ascii="Times New Roman" w:hAnsi="Times New Roman"/>
        </w:rPr>
        <w:t>Application Programming Interface (</w:t>
      </w:r>
      <w:r w:rsidRPr="00D026BC">
        <w:rPr>
          <w:rFonts w:ascii="Times New Roman" w:hAnsi="Times New Roman"/>
        </w:rPr>
        <w:t>API</w:t>
      </w:r>
      <w:r>
        <w:rPr>
          <w:rFonts w:ascii="Times New Roman" w:hAnsi="Times New Roman"/>
        </w:rPr>
        <w:t>)</w:t>
      </w:r>
      <w:r w:rsidRPr="00D026BC">
        <w:rPr>
          <w:rFonts w:ascii="Times New Roman" w:hAnsi="Times New Roman"/>
        </w:rPr>
        <w:t xml:space="preserve">, and the kinds of documentation provided, DOL anticipates collecting a limited number of characteristic data elements from prospective users.  </w:t>
      </w:r>
    </w:p>
    <w:p w:rsidR="00F3606F" w:rsidP="00F3606F" w14:paraId="689E45E0" w14:textId="77777777">
      <w:pPr>
        <w:rPr>
          <w:rFonts w:ascii="Times New Roman" w:hAnsi="Times New Roman"/>
        </w:rPr>
      </w:pPr>
      <w:r w:rsidRPr="00D026BC">
        <w:rPr>
          <w:rFonts w:ascii="Times New Roman" w:hAnsi="Times New Roman"/>
        </w:rPr>
        <w:t xml:space="preserve">These data elements will guide DOL efforts to </w:t>
      </w:r>
      <w:r>
        <w:rPr>
          <w:rFonts w:ascii="Times New Roman" w:hAnsi="Times New Roman"/>
        </w:rPr>
        <w:t xml:space="preserve">ensure that the service, documentation, training, tutorial, and outreach services are customer focused, by informing us about potential use cases, as well as user preferences for tools, data, and services.  The questions will also provide valuable information about user </w:t>
      </w:r>
      <w:r w:rsidRPr="00D026BC">
        <w:rPr>
          <w:rFonts w:ascii="Times New Roman" w:hAnsi="Times New Roman"/>
        </w:rPr>
        <w:t>familiarity with API usage, software</w:t>
      </w:r>
      <w:r>
        <w:rPr>
          <w:rFonts w:ascii="Times New Roman" w:hAnsi="Times New Roman"/>
        </w:rPr>
        <w:t xml:space="preserve"> for making connections and calls to APIs</w:t>
      </w:r>
      <w:r w:rsidRPr="00D026BC">
        <w:rPr>
          <w:rFonts w:ascii="Times New Roman" w:hAnsi="Times New Roman"/>
        </w:rPr>
        <w:t xml:space="preserve">, questions about topics of analysis to ensure that our creation of tutorials, code examples, documentation, and data schema best reflect the collective needs of </w:t>
      </w:r>
      <w:r>
        <w:rPr>
          <w:rFonts w:ascii="Times New Roman" w:hAnsi="Times New Roman"/>
        </w:rPr>
        <w:t xml:space="preserve">the services </w:t>
      </w:r>
      <w:r w:rsidRPr="00D026BC">
        <w:rPr>
          <w:rFonts w:ascii="Times New Roman" w:hAnsi="Times New Roman"/>
        </w:rPr>
        <w:t xml:space="preserve">users.  The information will also be used to identify patterns and trends among users to inform proper administration of the service.  </w:t>
      </w:r>
    </w:p>
    <w:p w:rsidR="00F3606F" w:rsidP="00F3606F" w14:paraId="37924D03" w14:textId="77777777">
      <w:pPr>
        <w:tabs>
          <w:tab w:val="left" w:pos="0"/>
          <w:tab w:val="left" w:pos="360"/>
        </w:tabs>
        <w:rPr>
          <w:rFonts w:ascii="Times New Roman" w:eastAsia="Malgun Gothic" w:hAnsi="Times New Roman"/>
          <w:color w:val="000000"/>
        </w:rPr>
      </w:pPr>
    </w:p>
    <w:p w:rsidR="00F3606F" w:rsidRPr="005E0137" w:rsidP="00F3606F" w14:paraId="17300140" w14:textId="1CDCB6E8">
      <w:pPr>
        <w:tabs>
          <w:tab w:val="left" w:pos="0"/>
          <w:tab w:val="left" w:pos="360"/>
        </w:tabs>
        <w:rPr>
          <w:rFonts w:ascii="Times New Roman" w:hAnsi="Times New Roman"/>
          <w:szCs w:val="20"/>
        </w:rPr>
      </w:pPr>
      <w:r>
        <w:rPr>
          <w:rFonts w:ascii="Times New Roman" w:eastAsia="Malgun Gothic" w:hAnsi="Times New Roman"/>
          <w:color w:val="000000"/>
        </w:rPr>
        <w:t>As cited above, there are laws and policies</w:t>
      </w:r>
      <w:r w:rsidR="00A72882">
        <w:rPr>
          <w:rFonts w:ascii="Times New Roman" w:eastAsia="Malgun Gothic" w:hAnsi="Times New Roman"/>
          <w:color w:val="000000"/>
        </w:rPr>
        <w:t xml:space="preserve"> (</w:t>
      </w:r>
      <w:r w:rsidRPr="00A72882" w:rsidR="00A72882">
        <w:rPr>
          <w:rFonts w:ascii="Times New Roman" w:eastAsia="Malgun Gothic" w:hAnsi="Times New Roman"/>
          <w:color w:val="000000"/>
        </w:rPr>
        <w:t>Pub.L</w:t>
      </w:r>
      <w:r w:rsidRPr="00A72882" w:rsidR="00A72882">
        <w:rPr>
          <w:rFonts w:ascii="Times New Roman" w:eastAsia="Malgun Gothic" w:hAnsi="Times New Roman"/>
          <w:color w:val="000000"/>
        </w:rPr>
        <w:t>.</w:t>
      </w:r>
      <w:r w:rsidR="00A72882">
        <w:rPr>
          <w:rFonts w:ascii="Times New Roman" w:eastAsia="Malgun Gothic" w:hAnsi="Times New Roman"/>
          <w:color w:val="000000"/>
        </w:rPr>
        <w:t xml:space="preserve"> </w:t>
      </w:r>
      <w:r w:rsidRPr="00A72882" w:rsidR="00A72882">
        <w:rPr>
          <w:rFonts w:ascii="Times New Roman" w:eastAsia="Malgun Gothic" w:hAnsi="Times New Roman"/>
          <w:color w:val="000000"/>
        </w:rPr>
        <w:t>115-435</w:t>
      </w:r>
      <w:r w:rsidR="00A72882">
        <w:rPr>
          <w:rFonts w:ascii="Times New Roman" w:eastAsia="Malgun Gothic" w:hAnsi="Times New Roman"/>
          <w:color w:val="000000"/>
        </w:rPr>
        <w:t>)</w:t>
      </w:r>
      <w:r>
        <w:rPr>
          <w:rStyle w:val="FootnoteReference"/>
          <w:rFonts w:ascii="Times New Roman" w:eastAsia="Malgun Gothic" w:hAnsi="Times New Roman"/>
          <w:color w:val="000000"/>
        </w:rPr>
        <w:footnoteReference w:id="6"/>
      </w:r>
      <w:r>
        <w:rPr>
          <w:rFonts w:ascii="Times New Roman" w:eastAsia="Malgun Gothic" w:hAnsi="Times New Roman"/>
          <w:color w:val="000000"/>
        </w:rPr>
        <w:t xml:space="preserve"> compelling agencies to make the data they collect into public data assets, and to do so in a manner that minimizes the challenges for the public in finding, accessing, and reusing that data.  These mandates are echoed in the goals of the Federal Data Strategy and DOL’s own Enterprise Data Strategy.  For the strategic value in Federal data to be realized, it must be made available to people who can explore and analyze it, identify promising trends and patterns, and suggest innovative use cases.  DOL is moving to come into compliance with these mandates and meet the goals articulated in the data strategy documents that guide us.  </w:t>
      </w:r>
    </w:p>
    <w:p w:rsidR="00690F56" w:rsidRPr="00D53DEB" w:rsidP="00690F56" w14:paraId="74744673" w14:textId="77777777">
      <w:pPr>
        <w:widowControl/>
        <w:rPr>
          <w:rFonts w:ascii="Times New Roman" w:hAnsi="Times New Roman"/>
        </w:rPr>
      </w:pPr>
    </w:p>
    <w:p w:rsidR="00690F56" w:rsidRPr="00D53DEB" w:rsidP="00690F56" w14:paraId="2BBF8E2F" w14:textId="45F1CE36">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P="00690F56" w14:paraId="6EBE63D5" w14:textId="77777777">
      <w:pPr>
        <w:widowControl/>
        <w:rPr>
          <w:rFonts w:ascii="Times New Roman" w:hAnsi="Times New Roman"/>
          <w:u w:val="single"/>
        </w:rPr>
      </w:pPr>
    </w:p>
    <w:p w:rsidR="00F3606F" w:rsidP="00F3606F" w14:paraId="69802C88" w14:textId="77777777">
      <w:pPr>
        <w:rPr>
          <w:rFonts w:ascii="Times New Roman" w:hAnsi="Times New Roman"/>
        </w:rPr>
      </w:pPr>
      <w:r>
        <w:rPr>
          <w:rFonts w:ascii="Times New Roman" w:hAnsi="Times New Roman"/>
        </w:rPr>
        <w:t xml:space="preserve">The data collected will primarily be used to ensure that the needs of the users shape the supporting materials, services, data, and relating training materials DOL provides to support users.  Effective services for providing access to machine readable data require much more than data, and interfaces: documentation, code examples, tutorials, and use cases often have a tremendous impact on the degree to which a data service is seen as useful and can grow into something that can help to transform data-as-a-service within an agency.  Given the central goal of serving data to the public, their use cases and needs are a particularly critical input to shaping the resources DOL makes available to promote effective and efficient use of the platform.  </w:t>
      </w:r>
    </w:p>
    <w:p w:rsidR="00F3606F" w:rsidP="00F3606F" w14:paraId="1C35A7EC" w14:textId="75395CDB">
      <w:pPr>
        <w:widowControl/>
        <w:rPr>
          <w:rFonts w:ascii="Times New Roman" w:hAnsi="Times New Roman"/>
        </w:rPr>
      </w:pPr>
      <w:r w:rsidRPr="00D026BC">
        <w:rPr>
          <w:rFonts w:ascii="Times New Roman" w:hAnsi="Times New Roman"/>
        </w:rPr>
        <w:t xml:space="preserve">DOL </w:t>
      </w:r>
      <w:r>
        <w:rPr>
          <w:rFonts w:ascii="Times New Roman" w:hAnsi="Times New Roman"/>
        </w:rPr>
        <w:t xml:space="preserve">staff from the Office of Data Governance </w:t>
      </w:r>
      <w:r w:rsidRPr="00D026BC">
        <w:rPr>
          <w:rFonts w:ascii="Times New Roman" w:hAnsi="Times New Roman"/>
        </w:rPr>
        <w:t xml:space="preserve">will </w:t>
      </w:r>
      <w:r>
        <w:rPr>
          <w:rFonts w:ascii="Times New Roman" w:hAnsi="Times New Roman"/>
        </w:rPr>
        <w:t xml:space="preserve">use this information internally for planning, optimizing user experience, and making the administration of the service as efficient and effective as possible for users.  DOL will not </w:t>
      </w:r>
      <w:r w:rsidRPr="00D026BC">
        <w:rPr>
          <w:rFonts w:ascii="Times New Roman" w:hAnsi="Times New Roman"/>
        </w:rPr>
        <w:t xml:space="preserve">disclose any </w:t>
      </w:r>
      <w:r>
        <w:rPr>
          <w:rFonts w:ascii="Times New Roman" w:hAnsi="Times New Roman"/>
        </w:rPr>
        <w:t xml:space="preserve">individual </w:t>
      </w:r>
      <w:r w:rsidRPr="00D026BC">
        <w:rPr>
          <w:rFonts w:ascii="Times New Roman" w:hAnsi="Times New Roman"/>
        </w:rPr>
        <w:t>information being collected to the public.</w:t>
      </w:r>
      <w:r>
        <w:rPr>
          <w:rFonts w:ascii="Times New Roman" w:hAnsi="Times New Roman"/>
        </w:rPr>
        <w:t xml:space="preserve">  </w:t>
      </w:r>
      <w:r w:rsidRPr="005E0137">
        <w:rPr>
          <w:rFonts w:ascii="Times New Roman" w:hAnsi="Times New Roman"/>
        </w:rPr>
        <w:t xml:space="preserve">DOL will </w:t>
      </w:r>
      <w:r>
        <w:rPr>
          <w:rFonts w:ascii="Times New Roman" w:hAnsi="Times New Roman"/>
        </w:rPr>
        <w:t xml:space="preserve">not use this information for </w:t>
      </w:r>
      <w:r>
        <w:rPr>
          <w:rFonts w:ascii="Times New Roman" w:hAnsi="Times New Roman"/>
        </w:rPr>
        <w:t>outreach, and</w:t>
      </w:r>
      <w:r>
        <w:rPr>
          <w:rFonts w:ascii="Times New Roman" w:hAnsi="Times New Roman"/>
        </w:rPr>
        <w:t xml:space="preserve"> will </w:t>
      </w:r>
      <w:r w:rsidRPr="005E0137">
        <w:rPr>
          <w:rFonts w:ascii="Times New Roman" w:hAnsi="Times New Roman"/>
        </w:rPr>
        <w:t xml:space="preserve">submit additional </w:t>
      </w:r>
      <w:r>
        <w:rPr>
          <w:rFonts w:ascii="Times New Roman" w:hAnsi="Times New Roman"/>
        </w:rPr>
        <w:t>requests</w:t>
      </w:r>
      <w:r w:rsidRPr="005E0137">
        <w:rPr>
          <w:rFonts w:ascii="Times New Roman" w:hAnsi="Times New Roman"/>
        </w:rPr>
        <w:t xml:space="preserve"> for future data collection </w:t>
      </w:r>
      <w:r>
        <w:rPr>
          <w:rFonts w:ascii="Times New Roman" w:hAnsi="Times New Roman"/>
        </w:rPr>
        <w:t xml:space="preserve">for conducting surveys of users and assessing utility and benefit from the services provided.  </w:t>
      </w:r>
    </w:p>
    <w:p w:rsidR="00F3606F" w:rsidRPr="00A47DA7" w:rsidP="00F3606F" w14:paraId="55C84EED"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2719C" w:rsidP="0022719C" w14:paraId="45905279" w14:textId="216772FD">
      <w:pPr>
        <w:rPr>
          <w:rFonts w:ascii="Times New Roman" w:hAnsi="Times New Roman"/>
        </w:rPr>
      </w:pPr>
      <w:r>
        <w:rPr>
          <w:rFonts w:ascii="Times New Roman" w:hAnsi="Times New Roman"/>
        </w:rPr>
        <w:t>The information is collected through an electronic and automated web interface</w:t>
      </w:r>
      <w:r w:rsidR="00A72882">
        <w:rPr>
          <w:rFonts w:ascii="Times New Roman" w:hAnsi="Times New Roman"/>
        </w:rPr>
        <w:t xml:space="preserve"> (</w:t>
      </w:r>
      <w:r w:rsidRPr="00A72882" w:rsidR="00A72882">
        <w:rPr>
          <w:rFonts w:ascii="Times New Roman" w:hAnsi="Times New Roman"/>
        </w:rPr>
        <w:t>https://dataportal.dol.gov/sign-up</w:t>
      </w:r>
      <w:r w:rsidR="00A72882">
        <w:rPr>
          <w:rFonts w:ascii="Times New Roman" w:hAnsi="Times New Roman"/>
        </w:rPr>
        <w:t>)</w:t>
      </w:r>
      <w:r>
        <w:rPr>
          <w:rFonts w:ascii="Times New Roman" w:hAnsi="Times New Roman"/>
        </w:rPr>
        <w:t xml:space="preserve"> at the point of user registration.  Each potential user registering to use the system will see an identical questionnaire, with consistent questions and response categories.  Free text entry is limited, so the information collected will provide DOL with data that are fit for purpose, and suitable for administering the program.  DOL has invested considerable effort in having user interface and customer experience experts review this interface so that the questions are readily understandable, context specific assistance can be provided, and </w:t>
      </w:r>
      <w:r>
        <w:rPr>
          <w:rFonts w:ascii="Times New Roman" w:hAnsi="Times New Roman"/>
        </w:rPr>
        <w:t xml:space="preserve">the response categories are clearly understood by potential users.  </w:t>
      </w:r>
    </w:p>
    <w:p w:rsidR="0022719C" w:rsidRPr="00A47DA7" w:rsidP="00690F56" w14:paraId="331E499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C27A844" w14:textId="3C5C088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DOL has done due diligence in seeking to understand if there are proxy values that could be used and has not found anything available.  There is no way to access, obtain, or gather this information beyond asking the users to provide it.  Though DOL has created two prior public-facing APIs, no such information was or is collected as part of the user registration for those services.  DOL also conducted extensive conversations with other Federal agencies that offer APIs to understand whether they had data that could serve this purpose and did not identify anything responsive, or meaningfully useful.</w:t>
      </w:r>
    </w:p>
    <w:p w:rsidR="0046367D" w:rsidRPr="00A973AA" w:rsidP="00690F56" w14:paraId="5197EA4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6367D" w:rsidP="0046367D" w14:paraId="05AA3634" w14:textId="77777777">
      <w:pPr>
        <w:rPr>
          <w:rFonts w:ascii="Times New Roman" w:hAnsi="Times New Roman"/>
        </w:rPr>
      </w:pPr>
      <w:r w:rsidRPr="006167F4">
        <w:rPr>
          <w:rFonts w:ascii="Times New Roman" w:hAnsi="Times New Roman"/>
        </w:rPr>
        <w:t>The information collection does not target small businesses or entities</w:t>
      </w:r>
      <w:r>
        <w:rPr>
          <w:rFonts w:ascii="Times New Roman" w:hAnsi="Times New Roman"/>
        </w:rPr>
        <w:t>, and there is no requirement to provide information.  The burden associated with this collection is very small when compared with the benefit that accrues to system users from ensuring that the service best reflects their needs.</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6367D" w:rsidP="00690F56" w14:paraId="70A2B2B4" w14:textId="5A0104A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6367D">
        <w:rPr>
          <w:rFonts w:ascii="Times New Roman" w:hAnsi="Times New Roman"/>
        </w:rPr>
        <w:t xml:space="preserve">Failure to collect this information would significantly reduce DOL’s ability to </w:t>
      </w:r>
      <w:r w:rsidRPr="0046367D">
        <w:rPr>
          <w:rFonts w:ascii="Times New Roman" w:hAnsi="Times New Roman"/>
        </w:rPr>
        <w:t>have an understanding of</w:t>
      </w:r>
      <w:r w:rsidRPr="0046367D">
        <w:rPr>
          <w:rFonts w:ascii="Times New Roman" w:hAnsi="Times New Roman"/>
        </w:rPr>
        <w:t xml:space="preserve"> our customers and stakeholders and would increase the risk that the service did not meet current and evolving needs of users, risk of increased attrition among current users, diminished adoption of the service, and a less effective open data program.  DOL has consistently demonstrated a commitment, through </w:t>
      </w:r>
      <w:r w:rsidRPr="0046367D">
        <w:rPr>
          <w:rFonts w:ascii="Times New Roman" w:hAnsi="Times New Roman"/>
        </w:rPr>
        <w:t>it’s</w:t>
      </w:r>
      <w:r w:rsidRPr="0046367D">
        <w:rPr>
          <w:rFonts w:ascii="Times New Roman" w:hAnsi="Times New Roman"/>
        </w:rPr>
        <w:t xml:space="preserve"> RFI on open data, Enterprise Data Strategy, investment in the design and development of APIs and open data services, work towards establishing metadata standards, and building a consolidated data portal to create the best possible customer experience and the greatest utility for members of the public who wish to have convenient and analytically useful access to data.  </w:t>
      </w:r>
    </w:p>
    <w:p w:rsidR="0046367D" w:rsidRPr="00A47DA7" w:rsidP="00690F56" w14:paraId="306EF69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DB513E" w14:paraId="75D8936B" w14:textId="0EA7205B">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 xml:space="preserve">hat includes a pledge of </w:t>
      </w:r>
      <w:r w:rsidR="00DB513E">
        <w:rPr>
          <w:b/>
          <w:bCs/>
        </w:rPr>
        <w:t>c</w:t>
      </w:r>
      <w:r w:rsidRPr="00DB513E" w:rsidR="00DB513E">
        <w:rPr>
          <w:b/>
          <w:bCs/>
        </w:rPr>
        <w:t xml:space="preserve">onfidentiality </w:t>
      </w:r>
      <w:r w:rsidRPr="00D53DEB">
        <w:rPr>
          <w:b/>
          <w:bCs/>
        </w:rPr>
        <w:t>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52E0D9A3">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w:t>
      </w:r>
      <w:r w:rsidR="00DB513E">
        <w:rPr>
          <w:b/>
          <w:bCs/>
        </w:rPr>
        <w:t>confidentiality</w:t>
      </w:r>
      <w:r w:rsidRPr="00D53DEB" w:rsidR="00DB513E">
        <w:rPr>
          <w:b/>
          <w:bCs/>
        </w:rPr>
        <w:t xml:space="preserve"> </w:t>
      </w:r>
      <w:r w:rsidRPr="00D53DEB">
        <w:rPr>
          <w:b/>
          <w:bCs/>
        </w:rPr>
        <w:t>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6367D" w:rsidRPr="00977E47" w:rsidP="0046367D" w14:paraId="198FCFD1" w14:textId="77777777">
      <w:pPr>
        <w:rPr>
          <w:rFonts w:ascii="Times New Roman" w:hAnsi="Times New Roman"/>
        </w:rPr>
      </w:pPr>
      <w:r w:rsidRPr="00977E47">
        <w:rPr>
          <w:rFonts w:ascii="Times New Roman" w:hAnsi="Times New Roman"/>
        </w:rPr>
        <w:t>There are no special circumstances for the proposed data collection.</w:t>
      </w:r>
    </w:p>
    <w:p w:rsidR="0046367D" w:rsidRPr="003A1E5A" w:rsidP="0046367D" w14:paraId="3D2442E4" w14:textId="77777777"/>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6367D"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6367D">
        <w:rPr>
          <w:rFonts w:ascii="Times New Roman" w:hAnsi="Times New Roman"/>
          <w:b/>
          <w:bCs/>
        </w:rPr>
        <w:t xml:space="preserve"> 8.  If applicable, provide a copy and identify the date and page number of </w:t>
      </w:r>
      <w:r w:rsidRPr="0046367D">
        <w:rPr>
          <w:rFonts w:ascii="Times New Roman" w:hAnsi="Times New Roman"/>
          <w:b/>
          <w:bCs/>
        </w:rPr>
        <w:t>publication</w:t>
      </w:r>
      <w:r w:rsidRPr="0046367D">
        <w:rPr>
          <w:rFonts w:ascii="Times New Roman" w:hAnsi="Times New Roman"/>
          <w:b/>
          <w:bCs/>
        </w:rPr>
        <w:t xml:space="preserve"> in the </w:t>
      </w:r>
      <w:r w:rsidRPr="0046367D">
        <w:rPr>
          <w:rStyle w:val="Heading2Char"/>
          <w:rFonts w:ascii="Times New Roman" w:hAnsi="Times New Roman" w:cs="Times New Roman"/>
          <w:bCs w:val="0"/>
          <w:sz w:val="24"/>
          <w:szCs w:val="24"/>
        </w:rPr>
        <w:t>Federal Register</w:t>
      </w:r>
      <w:r w:rsidRPr="0046367D">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46367D" w:rsidR="00E46EE5">
        <w:rPr>
          <w:rFonts w:ascii="Times New Roman" w:hAnsi="Times New Roman"/>
          <w:b/>
          <w:bCs/>
        </w:rPr>
        <w:t xml:space="preserve"> </w:t>
      </w:r>
      <w:r w:rsidRPr="0046367D">
        <w:rPr>
          <w:rFonts w:ascii="Times New Roman" w:hAnsi="Times New Roman"/>
          <w:b/>
          <w:bCs/>
        </w:rPr>
        <w:t>Specifically address comments received on cost and hour burden.</w:t>
      </w:r>
    </w:p>
    <w:p w:rsidR="00690F56" w:rsidRPr="0046367D"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6367D"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6367D">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46367D"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46367D"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6367D">
        <w:rPr>
          <w:rFonts w:ascii="Times New Roman" w:hAnsi="Times New Roman"/>
          <w:b/>
          <w:bCs/>
        </w:rPr>
        <w:t>Consultation with representatives of those from whom information is to be obtained or those who must compile records should occur at least once every 3 years</w:t>
      </w:r>
      <w:r w:rsidRPr="0046367D" w:rsidR="00901EF6">
        <w:rPr>
          <w:rFonts w:ascii="Times New Roman" w:hAnsi="Times New Roman"/>
          <w:b/>
          <w:bCs/>
        </w:rPr>
        <w:t xml:space="preserve"> --</w:t>
      </w:r>
      <w:r w:rsidRPr="0046367D">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796685" w:rsidP="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color w:val="AEAAAA" w:themeColor="background2" w:themeShade="BF"/>
        </w:rPr>
      </w:pPr>
    </w:p>
    <w:p w:rsidR="0060114B" w:rsidP="0060114B" w14:paraId="425C0DB9" w14:textId="21DA234F">
      <w:pPr>
        <w:widowControl/>
        <w:autoSpaceDE/>
        <w:autoSpaceDN/>
        <w:adjustRightInd/>
        <w:rPr>
          <w:rFonts w:ascii="Times New Roman" w:eastAsia="Calibri" w:hAnsi="Times New Roman"/>
        </w:rPr>
      </w:pPr>
      <w:r w:rsidRPr="00121DCB">
        <w:rPr>
          <w:rFonts w:ascii="Times New Roman" w:hAnsi="Times New Roman"/>
        </w:rPr>
        <w:t xml:space="preserve">The 60-day notice to solicit public comments was published in the Federal Register on </w:t>
      </w:r>
      <w:r>
        <w:rPr>
          <w:rFonts w:ascii="Times New Roman" w:hAnsi="Times New Roman"/>
        </w:rPr>
        <w:t>June 20, 2023, (88 FR 39868)</w:t>
      </w:r>
      <w:r w:rsidRPr="00121DCB">
        <w:rPr>
          <w:rFonts w:ascii="Times New Roman" w:hAnsi="Times New Roman"/>
        </w:rPr>
        <w:t xml:space="preserve">. </w:t>
      </w:r>
      <w:r>
        <w:rPr>
          <w:rFonts w:ascii="Times New Roman" w:hAnsi="Times New Roman"/>
        </w:rPr>
        <w:t xml:space="preserve"> No comments were received in response to the 60-day notice.</w:t>
      </w:r>
    </w:p>
    <w:p w:rsidR="0046367D" w:rsidRPr="00A47DA7" w:rsidP="0060114B" w14:paraId="048E7BEB"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6367D" w:rsidRPr="00B61EED" w:rsidP="0046367D" w14:paraId="713BCDA9" w14:textId="77777777">
      <w:pPr>
        <w:pStyle w:val="NormalSS"/>
        <w:spacing w:after="0"/>
        <w:ind w:firstLine="0"/>
      </w:pPr>
      <w:r>
        <w:t xml:space="preserve">DOL will not provide any payments or gifts to respondents to this proposed information collection.  </w:t>
      </w:r>
    </w:p>
    <w:p w:rsidR="0046367D" w:rsidRPr="00A47DA7" w:rsidP="00690F56" w14:paraId="6B6FA1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6367D">
        <w:rPr>
          <w:rFonts w:ascii="Times New Roman" w:hAnsi="Times New Roman"/>
          <w:b/>
          <w:bCs/>
        </w:rPr>
        <w:t xml:space="preserve">10.  </w:t>
      </w:r>
      <w:r w:rsidRPr="0046367D">
        <w:rPr>
          <w:rFonts w:ascii="Times New Roman" w:hAnsi="Times New Roman"/>
          <w:b/>
          <w:bCs/>
        </w:rPr>
        <w:t>Describe any assurance of confidentiality provided to respondents and the basis for the assurance in statute, regulation, or agency policy.</w:t>
      </w:r>
    </w:p>
    <w:p w:rsidR="0046367D" w:rsidP="00690F56" w14:paraId="0209CB9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6367D" w:rsidRPr="0046367D" w:rsidP="00690F56" w14:paraId="1895D0F9" w14:textId="1633A95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505DC">
        <w:rPr>
          <w:rFonts w:ascii="Times New Roman" w:hAnsi="Times New Roman"/>
        </w:rPr>
        <w:t>Respondents are given no assurances of confidentiality</w:t>
      </w:r>
      <w:r>
        <w:rPr>
          <w:rFonts w:ascii="Times New Roman" w:hAnsi="Times New Roman"/>
        </w:rPr>
        <w:t xml:space="preserve">. </w:t>
      </w:r>
      <w:r w:rsidRPr="1674CC30">
        <w:rPr>
          <w:rFonts w:ascii="Times New Roman" w:hAnsi="Times New Roman"/>
        </w:rPr>
        <w:t xml:space="preserve">In each data collection activity, respondents will be informed that all data will be used for </w:t>
      </w:r>
      <w:r>
        <w:rPr>
          <w:rFonts w:ascii="Times New Roman" w:hAnsi="Times New Roman"/>
        </w:rPr>
        <w:t>internal administration purposes, performance metrics, and to guide enhancements to services, data offerings, documentation, and code examples.</w:t>
      </w:r>
    </w:p>
    <w:p w:rsidR="00690F56" w:rsidRPr="00796685"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color w:val="AEAAAA" w:themeColor="background2" w:themeShade="BF"/>
        </w:rPr>
      </w:pPr>
    </w:p>
    <w:p w:rsidR="00690F56" w:rsidRPr="00796685"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AEAAAA" w:themeColor="background2" w:themeShade="BF"/>
        </w:rPr>
      </w:pPr>
    </w:p>
    <w:p w:rsidR="00690F56" w:rsidRPr="00B92CB0"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92CB0">
        <w:rPr>
          <w:rFonts w:ascii="Times New Roman" w:hAnsi="Times New Roman"/>
          <w:b/>
          <w:bCs/>
        </w:rPr>
        <w:t xml:space="preserve">11. </w:t>
      </w:r>
      <w:r w:rsidRPr="00B92CB0">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B92CB0" w:rsidR="00C667F3">
        <w:rPr>
          <w:rFonts w:ascii="Times New Roman" w:hAnsi="Times New Roman"/>
          <w:b/>
          <w:bCs/>
        </w:rPr>
        <w:t>a</w:t>
      </w:r>
      <w:r w:rsidRPr="00B92CB0">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92CB0" w:rsidP="00B92CB0" w14:paraId="07E13BAC" w14:textId="77777777">
      <w:r w:rsidRPr="006E72DC">
        <w:rPr>
          <w:rFonts w:ascii="Times New Roman" w:hAnsi="Times New Roman"/>
        </w:rPr>
        <w:t xml:space="preserve">This </w:t>
      </w:r>
      <w:r>
        <w:rPr>
          <w:rFonts w:ascii="Times New Roman" w:hAnsi="Times New Roman"/>
        </w:rPr>
        <w:t xml:space="preserve">collection </w:t>
      </w:r>
      <w:r w:rsidRPr="006E72DC">
        <w:rPr>
          <w:rFonts w:ascii="Times New Roman" w:hAnsi="Times New Roman"/>
        </w:rPr>
        <w:t xml:space="preserve">does not include any questions of a sensitive nature. </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A72882" w14:paraId="163C0E79" w14:textId="2E09841F">
      <w:pPr>
        <w:pStyle w:val="NormalWeb"/>
        <w:numPr>
          <w:ilvl w:val="0"/>
          <w:numId w:val="4"/>
        </w:numPr>
        <w:rPr>
          <w:b/>
          <w:bCs/>
        </w:rPr>
      </w:pPr>
      <w:r w:rsidRPr="00D53DEB">
        <w:rPr>
          <w:b/>
          <w:bCs/>
        </w:rPr>
        <w:t xml:space="preserve">Provide estimates of annualized cost to respondents for the hour burdens for collections of information, identifying and using appropriate wage rate </w:t>
      </w:r>
      <w:r w:rsidRPr="00D53DEB">
        <w:rPr>
          <w:b/>
          <w:bCs/>
        </w:rPr>
        <w:t xml:space="preserve">categories.  The cost of contracting out or paying outside parties for information collection activities should not be included here.  Instead, </w:t>
      </w:r>
      <w:r w:rsidRPr="00D53DEB" w:rsidR="00312124">
        <w:rPr>
          <w:b/>
          <w:bCs/>
        </w:rPr>
        <w:t>this cost</w:t>
      </w:r>
      <w:r w:rsidRPr="00D53DEB" w:rsidR="00C667F3">
        <w:rPr>
          <w:b/>
          <w:bCs/>
        </w:rPr>
        <w:t xml:space="preserve"> should be included in Item </w:t>
      </w:r>
      <w:r w:rsidRPr="00D53DEB" w:rsidR="00B35E59">
        <w:rPr>
          <w:b/>
          <w:bCs/>
        </w:rPr>
        <w:t>1</w:t>
      </w:r>
      <w:r w:rsidR="00B35E59">
        <w:rPr>
          <w:b/>
          <w:bCs/>
        </w:rPr>
        <w:t>3</w:t>
      </w:r>
      <w:r w:rsidRPr="00D53DEB">
        <w:rPr>
          <w:b/>
          <w:bCs/>
        </w:rPr>
        <w:t>.</w:t>
      </w:r>
    </w:p>
    <w:p w:rsidR="00B92CB0" w:rsidP="00B92CB0" w14:paraId="24D408CC" w14:textId="77777777">
      <w:pPr>
        <w:rPr>
          <w:rFonts w:ascii="Times New Roman" w:hAnsi="Times New Roman"/>
          <w:iCs/>
        </w:rPr>
      </w:pPr>
      <w:r>
        <w:rPr>
          <w:rFonts w:ascii="Times New Roman" w:hAnsi="Times New Roman"/>
          <w:iCs/>
        </w:rPr>
        <w:t xml:space="preserve">The data collection for these activities will be ongoing, as new users learn of the API and seek to gain access and use the service.  DOL estimates that the service will add 200 new users each year, and the burden estimates below reflect the specific burden of individuals who are providing data as part of registering to use the service.  Users are authenticated at registration through login.gov, so the burden estimates reflect a slight difference among users who already have login.gov account and those who don’t.  Since user authentication is a pre-requisite to registering for the service, we add the minor estimated time burden for doing so to this collection.  We were unable to find a PRA package for login.gov to identify specific estimates, so we are presenting accurate burden estimates based on extensive customer feedback and beta user testing from API Communities of Practice for Federal workers within DOL.  </w:t>
      </w:r>
    </w:p>
    <w:p w:rsidR="007C3659" w:rsidP="002E2A9D" w14:paraId="57F3FF09" w14:textId="431598F6">
      <w:pPr>
        <w:jc w:val="both"/>
        <w:rPr>
          <w:rFonts w:ascii="Times New Roman" w:hAnsi="Times New Roman"/>
          <w:b/>
          <w:bCs/>
        </w:rPr>
      </w:pPr>
    </w:p>
    <w:tbl>
      <w:tblPr>
        <w:tblStyle w:val="TableGrid"/>
        <w:tblW w:w="9501" w:type="dxa"/>
        <w:tblLayout w:type="fixed"/>
        <w:tblLook w:val="04A0"/>
      </w:tblPr>
      <w:tblGrid>
        <w:gridCol w:w="1266"/>
        <w:gridCol w:w="1266"/>
        <w:gridCol w:w="963"/>
        <w:gridCol w:w="1027"/>
        <w:gridCol w:w="1091"/>
        <w:gridCol w:w="1018"/>
        <w:gridCol w:w="1018"/>
        <w:gridCol w:w="813"/>
        <w:gridCol w:w="1039"/>
      </w:tblGrid>
      <w:tr w14:paraId="41DC3936" w14:textId="77777777" w:rsidTr="006505DC">
        <w:tblPrEx>
          <w:tblW w:w="9501" w:type="dxa"/>
          <w:tblLayout w:type="fixed"/>
          <w:tblLook w:val="04A0"/>
        </w:tblPrEx>
        <w:trPr>
          <w:trHeight w:val="1484"/>
        </w:trPr>
        <w:tc>
          <w:tcPr>
            <w:tcW w:w="1266" w:type="dxa"/>
            <w:tcBorders>
              <w:top w:val="nil"/>
              <w:left w:val="nil"/>
              <w:bottom w:val="single" w:sz="4" w:space="0" w:color="auto"/>
              <w:right w:val="nil"/>
            </w:tcBorders>
          </w:tcPr>
          <w:p w:rsidR="002E2A9D" w:rsidRPr="00283AD1" w:rsidP="008C7FF8" w14:paraId="335ADA93" w14:textId="77777777">
            <w:pPr>
              <w:rPr>
                <w:rFonts w:ascii="Arial" w:hAnsi="Arial" w:cs="Arial"/>
                <w:b/>
                <w:bCs/>
                <w:sz w:val="18"/>
                <w:szCs w:val="18"/>
              </w:rPr>
            </w:pPr>
            <w:bookmarkStart w:id="0" w:name="_Hlk135892641"/>
            <w:r>
              <w:rPr>
                <w:rFonts w:ascii="Arial" w:hAnsi="Arial" w:cs="Arial"/>
                <w:b/>
                <w:bCs/>
                <w:sz w:val="18"/>
                <w:szCs w:val="18"/>
              </w:rPr>
              <w:t>Type of Respondent</w:t>
            </w:r>
          </w:p>
        </w:tc>
        <w:tc>
          <w:tcPr>
            <w:tcW w:w="1266" w:type="dxa"/>
            <w:tcBorders>
              <w:top w:val="nil"/>
              <w:left w:val="nil"/>
              <w:bottom w:val="single" w:sz="4" w:space="0" w:color="auto"/>
              <w:right w:val="nil"/>
            </w:tcBorders>
          </w:tcPr>
          <w:p w:rsidR="002E2A9D" w:rsidP="008C7FF8" w14:paraId="3F801A96" w14:textId="77777777">
            <w:pPr>
              <w:jc w:val="center"/>
              <w:rPr>
                <w:rFonts w:ascii="Arial" w:hAnsi="Arial" w:cs="Arial"/>
                <w:b/>
                <w:bCs/>
                <w:sz w:val="18"/>
                <w:szCs w:val="18"/>
              </w:rPr>
            </w:pPr>
            <w:r>
              <w:rPr>
                <w:rFonts w:ascii="Arial" w:hAnsi="Arial" w:cs="Arial"/>
                <w:b/>
                <w:bCs/>
                <w:sz w:val="18"/>
                <w:szCs w:val="18"/>
              </w:rPr>
              <w:t>Activity/ Date Collection Instrument</w:t>
            </w:r>
          </w:p>
        </w:tc>
        <w:tc>
          <w:tcPr>
            <w:tcW w:w="963" w:type="dxa"/>
            <w:tcBorders>
              <w:top w:val="nil"/>
              <w:left w:val="nil"/>
              <w:bottom w:val="single" w:sz="4" w:space="0" w:color="auto"/>
              <w:right w:val="nil"/>
            </w:tcBorders>
          </w:tcPr>
          <w:p w:rsidR="002E2A9D" w:rsidP="008C7FF8" w14:paraId="3088B686" w14:textId="77777777">
            <w:pPr>
              <w:jc w:val="center"/>
              <w:rPr>
                <w:rFonts w:ascii="Arial" w:hAnsi="Arial" w:cs="Arial"/>
                <w:b/>
                <w:bCs/>
                <w:sz w:val="18"/>
                <w:szCs w:val="18"/>
              </w:rPr>
            </w:pPr>
            <w:r>
              <w:rPr>
                <w:rFonts w:ascii="Arial" w:hAnsi="Arial" w:cs="Arial"/>
                <w:b/>
                <w:bCs/>
                <w:sz w:val="18"/>
                <w:szCs w:val="18"/>
              </w:rPr>
              <w:t>Estimated Average</w:t>
            </w:r>
          </w:p>
          <w:p w:rsidR="002E2A9D" w:rsidP="008C7FF8" w14:paraId="07CEF7D8" w14:textId="77777777">
            <w:pPr>
              <w:jc w:val="center"/>
              <w:rPr>
                <w:rFonts w:ascii="Arial" w:hAnsi="Arial" w:cs="Arial"/>
                <w:b/>
                <w:bCs/>
                <w:sz w:val="18"/>
                <w:szCs w:val="18"/>
              </w:rPr>
            </w:pPr>
            <w:r>
              <w:rPr>
                <w:rFonts w:ascii="Arial" w:hAnsi="Arial" w:cs="Arial"/>
                <w:b/>
                <w:bCs/>
                <w:sz w:val="18"/>
                <w:szCs w:val="18"/>
              </w:rPr>
              <w:t xml:space="preserve">Annual </w:t>
            </w:r>
          </w:p>
          <w:p w:rsidR="002E2A9D" w:rsidRPr="00283AD1" w:rsidP="008C7FF8" w14:paraId="2A06BFAF" w14:textId="77777777">
            <w:pPr>
              <w:ind w:left="-2" w:right="74" w:firstLine="2"/>
              <w:jc w:val="center"/>
              <w:rPr>
                <w:rFonts w:ascii="Arial" w:hAnsi="Arial" w:cs="Arial"/>
                <w:b/>
                <w:bCs/>
                <w:sz w:val="18"/>
                <w:szCs w:val="18"/>
              </w:rPr>
            </w:pPr>
            <w:r>
              <w:rPr>
                <w:rFonts w:ascii="Arial" w:hAnsi="Arial" w:cs="Arial"/>
                <w:b/>
                <w:bCs/>
                <w:sz w:val="18"/>
                <w:szCs w:val="18"/>
              </w:rPr>
              <w:t>Respon</w:t>
            </w:r>
            <w:r>
              <w:rPr>
                <w:rFonts w:ascii="Arial" w:hAnsi="Arial" w:cs="Arial"/>
                <w:b/>
                <w:bCs/>
                <w:sz w:val="18"/>
                <w:szCs w:val="18"/>
              </w:rPr>
              <w:t>-dents</w:t>
            </w:r>
          </w:p>
        </w:tc>
        <w:tc>
          <w:tcPr>
            <w:tcW w:w="1027" w:type="dxa"/>
            <w:tcBorders>
              <w:top w:val="nil"/>
              <w:left w:val="nil"/>
              <w:bottom w:val="single" w:sz="4" w:space="0" w:color="auto"/>
              <w:right w:val="nil"/>
            </w:tcBorders>
          </w:tcPr>
          <w:p w:rsidR="002E2A9D" w:rsidP="008C7FF8" w14:paraId="5FF4687A" w14:textId="77777777">
            <w:pPr>
              <w:jc w:val="center"/>
              <w:rPr>
                <w:rFonts w:ascii="Arial" w:hAnsi="Arial" w:cs="Arial"/>
                <w:b/>
                <w:bCs/>
                <w:sz w:val="18"/>
                <w:szCs w:val="18"/>
              </w:rPr>
            </w:pPr>
            <w:r>
              <w:rPr>
                <w:rFonts w:ascii="Arial" w:hAnsi="Arial" w:cs="Arial"/>
                <w:b/>
                <w:bCs/>
                <w:sz w:val="18"/>
                <w:szCs w:val="18"/>
              </w:rPr>
              <w:t>Estimated Average</w:t>
            </w:r>
          </w:p>
          <w:p w:rsidR="002E2A9D" w:rsidP="008C7FF8" w14:paraId="3E58EA3C" w14:textId="77777777">
            <w:pPr>
              <w:jc w:val="center"/>
              <w:rPr>
                <w:rFonts w:ascii="Arial" w:hAnsi="Arial" w:cs="Arial"/>
                <w:b/>
                <w:bCs/>
                <w:sz w:val="18"/>
                <w:szCs w:val="18"/>
              </w:rPr>
            </w:pPr>
            <w:r>
              <w:rPr>
                <w:rFonts w:ascii="Arial" w:hAnsi="Arial" w:cs="Arial"/>
                <w:b/>
                <w:bCs/>
                <w:sz w:val="18"/>
                <w:szCs w:val="18"/>
              </w:rPr>
              <w:t xml:space="preserve">Annual </w:t>
            </w:r>
          </w:p>
          <w:p w:rsidR="002E2A9D" w:rsidRPr="00283AD1" w:rsidP="008C7FF8" w14:paraId="741ED86F" w14:textId="77777777">
            <w:pPr>
              <w:ind w:right="-20"/>
              <w:jc w:val="center"/>
              <w:rPr>
                <w:rFonts w:ascii="Arial" w:hAnsi="Arial" w:cs="Arial"/>
                <w:b/>
                <w:bCs/>
                <w:sz w:val="18"/>
                <w:szCs w:val="18"/>
              </w:rPr>
            </w:pPr>
            <w:r>
              <w:rPr>
                <w:rFonts w:ascii="Arial" w:hAnsi="Arial" w:cs="Arial"/>
                <w:b/>
                <w:bCs/>
                <w:sz w:val="18"/>
                <w:szCs w:val="18"/>
              </w:rPr>
              <w:t xml:space="preserve">Responses Per </w:t>
            </w:r>
            <w:r>
              <w:rPr>
                <w:rFonts w:ascii="Arial" w:hAnsi="Arial" w:cs="Arial"/>
                <w:b/>
                <w:bCs/>
                <w:sz w:val="18"/>
                <w:szCs w:val="18"/>
              </w:rPr>
              <w:t>Respon</w:t>
            </w:r>
            <w:r>
              <w:rPr>
                <w:rFonts w:ascii="Arial" w:hAnsi="Arial" w:cs="Arial"/>
                <w:b/>
                <w:bCs/>
                <w:sz w:val="18"/>
                <w:szCs w:val="18"/>
              </w:rPr>
              <w:t>-dent</w:t>
            </w:r>
          </w:p>
        </w:tc>
        <w:tc>
          <w:tcPr>
            <w:tcW w:w="1091" w:type="dxa"/>
            <w:tcBorders>
              <w:top w:val="nil"/>
              <w:left w:val="nil"/>
              <w:bottom w:val="single" w:sz="4" w:space="0" w:color="auto"/>
              <w:right w:val="nil"/>
            </w:tcBorders>
          </w:tcPr>
          <w:p w:rsidR="002E2A9D" w:rsidRPr="00283AD1" w:rsidP="008C7FF8" w14:paraId="5E6215F4" w14:textId="77777777">
            <w:pPr>
              <w:jc w:val="center"/>
              <w:rPr>
                <w:rFonts w:ascii="Arial" w:hAnsi="Arial" w:cs="Arial"/>
                <w:b/>
                <w:bCs/>
                <w:sz w:val="18"/>
                <w:szCs w:val="18"/>
              </w:rPr>
            </w:pPr>
            <w:r>
              <w:rPr>
                <w:rFonts w:ascii="Arial" w:hAnsi="Arial" w:cs="Arial"/>
                <w:b/>
                <w:bCs/>
                <w:sz w:val="18"/>
                <w:szCs w:val="18"/>
              </w:rPr>
              <w:t>Estimated Annual Total Number of Responses</w:t>
            </w:r>
          </w:p>
        </w:tc>
        <w:tc>
          <w:tcPr>
            <w:tcW w:w="1018" w:type="dxa"/>
            <w:tcBorders>
              <w:top w:val="nil"/>
              <w:left w:val="nil"/>
              <w:bottom w:val="single" w:sz="4" w:space="0" w:color="auto"/>
              <w:right w:val="nil"/>
            </w:tcBorders>
          </w:tcPr>
          <w:p w:rsidR="002E2A9D" w:rsidRPr="00283AD1" w:rsidP="008C7FF8" w14:paraId="73F126C0" w14:textId="77777777">
            <w:pPr>
              <w:jc w:val="center"/>
              <w:rPr>
                <w:rFonts w:ascii="Arial" w:hAnsi="Arial" w:cs="Arial"/>
                <w:b/>
                <w:bCs/>
                <w:sz w:val="18"/>
                <w:szCs w:val="18"/>
              </w:rPr>
            </w:pPr>
            <w:r>
              <w:rPr>
                <w:rFonts w:ascii="Arial" w:hAnsi="Arial" w:cs="Arial"/>
                <w:b/>
                <w:bCs/>
                <w:sz w:val="18"/>
                <w:szCs w:val="18"/>
              </w:rPr>
              <w:t>Average Burden Per Response (minutes)</w:t>
            </w:r>
          </w:p>
        </w:tc>
        <w:tc>
          <w:tcPr>
            <w:tcW w:w="1018" w:type="dxa"/>
            <w:tcBorders>
              <w:top w:val="nil"/>
              <w:left w:val="nil"/>
              <w:bottom w:val="single" w:sz="4" w:space="0" w:color="auto"/>
              <w:right w:val="nil"/>
            </w:tcBorders>
          </w:tcPr>
          <w:p w:rsidR="002E2A9D" w:rsidRPr="00065586" w:rsidP="008C7FF8" w14:paraId="05689049" w14:textId="77777777">
            <w:pPr>
              <w:jc w:val="center"/>
              <w:rPr>
                <w:rFonts w:ascii="Arial" w:hAnsi="Arial" w:cs="Arial"/>
                <w:b/>
                <w:bCs/>
                <w:sz w:val="18"/>
                <w:szCs w:val="18"/>
              </w:rPr>
            </w:pPr>
            <w:r>
              <w:rPr>
                <w:rFonts w:ascii="Arial" w:hAnsi="Arial" w:cs="Arial"/>
                <w:b/>
                <w:bCs/>
                <w:sz w:val="18"/>
                <w:szCs w:val="18"/>
              </w:rPr>
              <w:t>Estimated burden hours</w:t>
            </w:r>
          </w:p>
        </w:tc>
        <w:tc>
          <w:tcPr>
            <w:tcW w:w="813" w:type="dxa"/>
            <w:tcBorders>
              <w:top w:val="nil"/>
              <w:left w:val="nil"/>
              <w:bottom w:val="nil"/>
              <w:right w:val="nil"/>
            </w:tcBorders>
            <w:shd w:val="clear" w:color="auto" w:fill="auto"/>
          </w:tcPr>
          <w:p w:rsidR="002E2A9D" w:rsidP="008C7FF8" w14:paraId="1773EFCD" w14:textId="77777777">
            <w:pPr>
              <w:jc w:val="center"/>
              <w:rPr>
                <w:rFonts w:ascii="Arial" w:hAnsi="Arial" w:cs="Arial"/>
                <w:b/>
                <w:bCs/>
                <w:sz w:val="18"/>
                <w:szCs w:val="18"/>
              </w:rPr>
            </w:pPr>
            <w:r w:rsidRPr="00D530AF">
              <w:rPr>
                <w:rFonts w:ascii="Arial" w:hAnsi="Arial"/>
                <w:b/>
                <w:sz w:val="18"/>
                <w:szCs w:val="18"/>
              </w:rPr>
              <w:t>Average Hourly Wage</w:t>
            </w:r>
            <w:r>
              <w:rPr>
                <w:rFonts w:ascii="Arial" w:hAnsi="Arial"/>
                <w:b/>
                <w:sz w:val="18"/>
                <w:szCs w:val="18"/>
              </w:rPr>
              <w:t xml:space="preserve"> ($)</w:t>
            </w:r>
            <w:r w:rsidRPr="00D530AF">
              <w:rPr>
                <w:rFonts w:ascii="Arial" w:hAnsi="Arial"/>
                <w:b/>
                <w:sz w:val="18"/>
                <w:szCs w:val="18"/>
                <w:vertAlign w:val="superscript"/>
              </w:rPr>
              <w:t>1</w:t>
            </w:r>
          </w:p>
        </w:tc>
        <w:tc>
          <w:tcPr>
            <w:tcW w:w="1039" w:type="dxa"/>
            <w:tcBorders>
              <w:top w:val="nil"/>
              <w:left w:val="nil"/>
              <w:bottom w:val="single" w:sz="4" w:space="0" w:color="auto"/>
              <w:right w:val="nil"/>
            </w:tcBorders>
            <w:shd w:val="clear" w:color="auto" w:fill="auto"/>
          </w:tcPr>
          <w:p w:rsidR="002E2A9D" w:rsidP="008C7FF8" w14:paraId="55C3568D" w14:textId="77777777">
            <w:pPr>
              <w:jc w:val="center"/>
              <w:rPr>
                <w:rFonts w:ascii="Arial" w:hAnsi="Arial" w:cs="Arial"/>
                <w:b/>
                <w:bCs/>
                <w:sz w:val="18"/>
                <w:szCs w:val="18"/>
              </w:rPr>
            </w:pPr>
            <w:r>
              <w:rPr>
                <w:rFonts w:ascii="Arial" w:hAnsi="Arial"/>
                <w:b/>
                <w:sz w:val="18"/>
                <w:szCs w:val="18"/>
              </w:rPr>
              <w:t>Monetized Value of Time</w:t>
            </w:r>
          </w:p>
        </w:tc>
      </w:tr>
      <w:tr w14:paraId="63ABA39D" w14:textId="77777777" w:rsidTr="006505DC">
        <w:tblPrEx>
          <w:tblW w:w="9501" w:type="dxa"/>
          <w:tblLayout w:type="fixed"/>
          <w:tblLook w:val="04A0"/>
        </w:tblPrEx>
        <w:trPr>
          <w:trHeight w:val="1040"/>
        </w:trPr>
        <w:tc>
          <w:tcPr>
            <w:tcW w:w="1266" w:type="dxa"/>
            <w:tcBorders>
              <w:top w:val="single" w:sz="4" w:space="0" w:color="auto"/>
              <w:left w:val="nil"/>
              <w:right w:val="nil"/>
            </w:tcBorders>
          </w:tcPr>
          <w:p w:rsidR="002E2A9D" w:rsidP="008C7FF8" w14:paraId="388BAC3A" w14:textId="77777777">
            <w:pPr>
              <w:rPr>
                <w:rFonts w:ascii="Arial" w:hAnsi="Arial" w:cs="Arial"/>
                <w:sz w:val="18"/>
                <w:szCs w:val="18"/>
              </w:rPr>
            </w:pPr>
            <w:r>
              <w:rPr>
                <w:rFonts w:ascii="Arial" w:hAnsi="Arial" w:cs="Arial"/>
                <w:sz w:val="18"/>
                <w:szCs w:val="18"/>
              </w:rPr>
              <w:t xml:space="preserve">With Login.Gov Account </w:t>
            </w:r>
          </w:p>
          <w:p w:rsidR="002E2A9D" w:rsidRPr="00065586" w:rsidP="008C7FF8" w14:paraId="615AFE37" w14:textId="77777777">
            <w:pPr>
              <w:rPr>
                <w:rFonts w:ascii="Arial" w:hAnsi="Arial" w:cs="Arial"/>
                <w:sz w:val="18"/>
                <w:szCs w:val="18"/>
              </w:rPr>
            </w:pPr>
            <w:r>
              <w:rPr>
                <w:rFonts w:ascii="Arial" w:hAnsi="Arial" w:cs="Arial"/>
                <w:sz w:val="18"/>
                <w:szCs w:val="18"/>
              </w:rPr>
              <w:t>(Individuals or Households)</w:t>
            </w:r>
          </w:p>
        </w:tc>
        <w:tc>
          <w:tcPr>
            <w:tcW w:w="1266" w:type="dxa"/>
            <w:tcBorders>
              <w:top w:val="single" w:sz="4" w:space="0" w:color="auto"/>
              <w:left w:val="nil"/>
              <w:right w:val="nil"/>
            </w:tcBorders>
          </w:tcPr>
          <w:p w:rsidR="002E2A9D" w:rsidP="008C7FF8" w14:paraId="7AD77951" w14:textId="77777777">
            <w:pPr>
              <w:ind w:right="60"/>
              <w:jc w:val="center"/>
              <w:rPr>
                <w:rFonts w:ascii="Arial" w:hAnsi="Arial" w:cs="Arial"/>
                <w:sz w:val="18"/>
                <w:szCs w:val="18"/>
              </w:rPr>
            </w:pPr>
            <w:r>
              <w:rPr>
                <w:rFonts w:ascii="Arial" w:hAnsi="Arial" w:cs="Arial"/>
                <w:sz w:val="18"/>
                <w:szCs w:val="18"/>
              </w:rPr>
              <w:t>API R</w:t>
            </w:r>
            <w:r w:rsidRPr="002B1E61">
              <w:rPr>
                <w:rFonts w:ascii="Arial" w:hAnsi="Arial" w:cs="Arial"/>
                <w:sz w:val="18"/>
                <w:szCs w:val="18"/>
              </w:rPr>
              <w:t>egist</w:t>
            </w:r>
            <w:r>
              <w:rPr>
                <w:rFonts w:ascii="Arial" w:hAnsi="Arial" w:cs="Arial"/>
                <w:sz w:val="18"/>
                <w:szCs w:val="18"/>
              </w:rPr>
              <w:t>ration</w:t>
            </w:r>
          </w:p>
        </w:tc>
        <w:tc>
          <w:tcPr>
            <w:tcW w:w="963" w:type="dxa"/>
            <w:tcBorders>
              <w:top w:val="single" w:sz="4" w:space="0" w:color="auto"/>
              <w:left w:val="nil"/>
              <w:right w:val="nil"/>
            </w:tcBorders>
          </w:tcPr>
          <w:p w:rsidR="002E2A9D" w:rsidRPr="0037041F" w:rsidP="008C7FF8" w14:paraId="37560380" w14:textId="77777777">
            <w:pPr>
              <w:ind w:right="60"/>
              <w:jc w:val="center"/>
              <w:rPr>
                <w:rFonts w:ascii="Arial" w:hAnsi="Arial" w:cs="Arial"/>
                <w:sz w:val="18"/>
                <w:szCs w:val="18"/>
              </w:rPr>
            </w:pPr>
            <w:r>
              <w:rPr>
                <w:rFonts w:ascii="Arial" w:hAnsi="Arial" w:cs="Arial"/>
                <w:sz w:val="18"/>
                <w:szCs w:val="18"/>
              </w:rPr>
              <w:t>40</w:t>
            </w:r>
          </w:p>
        </w:tc>
        <w:tc>
          <w:tcPr>
            <w:tcW w:w="1027" w:type="dxa"/>
            <w:tcBorders>
              <w:top w:val="single" w:sz="4" w:space="0" w:color="auto"/>
              <w:left w:val="nil"/>
              <w:right w:val="nil"/>
            </w:tcBorders>
          </w:tcPr>
          <w:p w:rsidR="002E2A9D" w:rsidRPr="00065586" w:rsidP="008C7FF8" w14:paraId="79D10EB4" w14:textId="77777777">
            <w:pPr>
              <w:jc w:val="center"/>
              <w:rPr>
                <w:rFonts w:ascii="Arial" w:hAnsi="Arial" w:cs="Arial"/>
                <w:sz w:val="18"/>
                <w:szCs w:val="18"/>
              </w:rPr>
            </w:pPr>
            <w:r>
              <w:rPr>
                <w:rFonts w:ascii="Arial" w:hAnsi="Arial" w:cs="Arial"/>
                <w:sz w:val="18"/>
                <w:szCs w:val="18"/>
              </w:rPr>
              <w:t>1</w:t>
            </w:r>
          </w:p>
        </w:tc>
        <w:tc>
          <w:tcPr>
            <w:tcW w:w="1091" w:type="dxa"/>
            <w:tcBorders>
              <w:top w:val="single" w:sz="4" w:space="0" w:color="auto"/>
              <w:left w:val="nil"/>
              <w:right w:val="nil"/>
            </w:tcBorders>
          </w:tcPr>
          <w:p w:rsidR="002E2A9D" w:rsidRPr="00065586" w:rsidP="008C7FF8" w14:paraId="642DFAFC" w14:textId="77777777">
            <w:pPr>
              <w:jc w:val="center"/>
              <w:rPr>
                <w:rFonts w:ascii="Arial" w:hAnsi="Arial" w:cs="Arial"/>
                <w:sz w:val="18"/>
                <w:szCs w:val="18"/>
              </w:rPr>
            </w:pPr>
            <w:r>
              <w:rPr>
                <w:rFonts w:ascii="Arial" w:hAnsi="Arial" w:cs="Arial"/>
                <w:sz w:val="18"/>
                <w:szCs w:val="18"/>
              </w:rPr>
              <w:t>40</w:t>
            </w:r>
          </w:p>
        </w:tc>
        <w:tc>
          <w:tcPr>
            <w:tcW w:w="1018" w:type="dxa"/>
            <w:tcBorders>
              <w:top w:val="single" w:sz="4" w:space="0" w:color="auto"/>
              <w:left w:val="nil"/>
              <w:right w:val="nil"/>
            </w:tcBorders>
          </w:tcPr>
          <w:p w:rsidR="002E2A9D" w:rsidRPr="00065586" w:rsidP="008C7FF8" w14:paraId="53028F74" w14:textId="77777777">
            <w:pPr>
              <w:jc w:val="center"/>
              <w:rPr>
                <w:rFonts w:ascii="Arial" w:hAnsi="Arial" w:cs="Arial"/>
                <w:sz w:val="18"/>
                <w:szCs w:val="18"/>
              </w:rPr>
            </w:pPr>
            <w:r>
              <w:rPr>
                <w:rFonts w:ascii="Arial" w:hAnsi="Arial" w:cs="Arial"/>
                <w:sz w:val="18"/>
                <w:szCs w:val="18"/>
              </w:rPr>
              <w:t>5</w:t>
            </w:r>
          </w:p>
        </w:tc>
        <w:tc>
          <w:tcPr>
            <w:tcW w:w="1018" w:type="dxa"/>
            <w:tcBorders>
              <w:top w:val="single" w:sz="4" w:space="0" w:color="auto"/>
              <w:left w:val="nil"/>
              <w:right w:val="nil"/>
            </w:tcBorders>
          </w:tcPr>
          <w:p w:rsidR="002E2A9D" w:rsidRPr="00065586" w:rsidP="008C7FF8" w14:paraId="2446434A" w14:textId="77777777">
            <w:pPr>
              <w:jc w:val="center"/>
              <w:rPr>
                <w:rFonts w:ascii="Arial" w:hAnsi="Arial" w:cs="Arial"/>
                <w:sz w:val="18"/>
                <w:szCs w:val="18"/>
              </w:rPr>
            </w:pPr>
            <w:r>
              <w:rPr>
                <w:rFonts w:ascii="Arial" w:hAnsi="Arial" w:cs="Arial"/>
                <w:sz w:val="18"/>
                <w:szCs w:val="18"/>
              </w:rPr>
              <w:t>3.33</w:t>
            </w:r>
          </w:p>
        </w:tc>
        <w:tc>
          <w:tcPr>
            <w:tcW w:w="813" w:type="dxa"/>
            <w:tcBorders>
              <w:top w:val="single" w:sz="4" w:space="0" w:color="auto"/>
              <w:left w:val="nil"/>
              <w:right w:val="nil"/>
            </w:tcBorders>
          </w:tcPr>
          <w:p w:rsidR="002E2A9D" w:rsidP="008C7FF8" w14:paraId="369021CF" w14:textId="77777777">
            <w:pPr>
              <w:jc w:val="center"/>
              <w:rPr>
                <w:rFonts w:ascii="Arial" w:hAnsi="Arial" w:cs="Arial"/>
                <w:sz w:val="18"/>
                <w:szCs w:val="18"/>
              </w:rPr>
            </w:pPr>
            <w:r>
              <w:rPr>
                <w:rFonts w:ascii="Arial" w:hAnsi="Arial" w:cs="Arial"/>
                <w:sz w:val="18"/>
                <w:szCs w:val="18"/>
              </w:rPr>
              <w:t>$49.76</w:t>
            </w:r>
          </w:p>
        </w:tc>
        <w:tc>
          <w:tcPr>
            <w:tcW w:w="1039" w:type="dxa"/>
            <w:tcBorders>
              <w:top w:val="single" w:sz="4" w:space="0" w:color="auto"/>
              <w:left w:val="nil"/>
              <w:right w:val="nil"/>
            </w:tcBorders>
          </w:tcPr>
          <w:p w:rsidR="002E2A9D" w:rsidP="008C7FF8" w14:paraId="526DD751" w14:textId="77777777">
            <w:pPr>
              <w:jc w:val="center"/>
              <w:rPr>
                <w:rFonts w:ascii="Arial" w:hAnsi="Arial" w:cs="Arial"/>
                <w:sz w:val="18"/>
                <w:szCs w:val="18"/>
              </w:rPr>
            </w:pPr>
            <w:r>
              <w:rPr>
                <w:rFonts w:ascii="Arial" w:hAnsi="Arial" w:cs="Arial"/>
                <w:sz w:val="18"/>
                <w:szCs w:val="18"/>
              </w:rPr>
              <w:t xml:space="preserve">  $165.70</w:t>
            </w:r>
          </w:p>
          <w:p w:rsidR="002E2A9D" w:rsidP="008C7FF8" w14:paraId="5AEA2573" w14:textId="77777777">
            <w:pPr>
              <w:jc w:val="center"/>
              <w:rPr>
                <w:rFonts w:ascii="Arial" w:hAnsi="Arial" w:cs="Arial"/>
                <w:sz w:val="18"/>
                <w:szCs w:val="18"/>
              </w:rPr>
            </w:pPr>
          </w:p>
        </w:tc>
      </w:tr>
      <w:tr w14:paraId="398B77E9" w14:textId="77777777" w:rsidTr="006505DC">
        <w:tblPrEx>
          <w:tblW w:w="9501" w:type="dxa"/>
          <w:tblLayout w:type="fixed"/>
          <w:tblLook w:val="04A0"/>
        </w:tblPrEx>
        <w:trPr>
          <w:trHeight w:val="1055"/>
        </w:trPr>
        <w:tc>
          <w:tcPr>
            <w:tcW w:w="1266" w:type="dxa"/>
            <w:tcBorders>
              <w:left w:val="nil"/>
              <w:right w:val="nil"/>
            </w:tcBorders>
          </w:tcPr>
          <w:p w:rsidR="002E2A9D" w:rsidP="008C7FF8" w14:paraId="4AB09B05" w14:textId="77777777">
            <w:pPr>
              <w:rPr>
                <w:rFonts w:ascii="Arial" w:hAnsi="Arial" w:cs="Arial"/>
                <w:sz w:val="18"/>
                <w:szCs w:val="18"/>
              </w:rPr>
            </w:pPr>
            <w:r>
              <w:rPr>
                <w:rFonts w:ascii="Arial" w:hAnsi="Arial" w:cs="Arial"/>
                <w:sz w:val="18"/>
                <w:szCs w:val="18"/>
              </w:rPr>
              <w:t xml:space="preserve">Without Login.gov Account </w:t>
            </w:r>
            <w:r w:rsidRPr="00C15724">
              <w:rPr>
                <w:rFonts w:ascii="Arial" w:hAnsi="Arial" w:cs="Arial"/>
                <w:sz w:val="18"/>
                <w:szCs w:val="18"/>
              </w:rPr>
              <w:t>(Individuals or Households)</w:t>
            </w:r>
          </w:p>
        </w:tc>
        <w:tc>
          <w:tcPr>
            <w:tcW w:w="1266" w:type="dxa"/>
            <w:tcBorders>
              <w:left w:val="nil"/>
              <w:right w:val="nil"/>
            </w:tcBorders>
          </w:tcPr>
          <w:p w:rsidR="002E2A9D" w:rsidP="008C7FF8" w14:paraId="7437F89D" w14:textId="77777777">
            <w:pPr>
              <w:jc w:val="center"/>
              <w:rPr>
                <w:rFonts w:ascii="Arial" w:hAnsi="Arial" w:cs="Arial"/>
                <w:sz w:val="18"/>
                <w:szCs w:val="18"/>
              </w:rPr>
            </w:pPr>
            <w:r>
              <w:rPr>
                <w:rFonts w:ascii="Arial" w:hAnsi="Arial" w:cs="Arial"/>
                <w:sz w:val="18"/>
                <w:szCs w:val="18"/>
              </w:rPr>
              <w:t xml:space="preserve">API </w:t>
            </w:r>
            <w:r w:rsidRPr="00AB3782">
              <w:rPr>
                <w:rFonts w:ascii="Arial" w:hAnsi="Arial" w:cs="Arial"/>
                <w:sz w:val="18"/>
                <w:szCs w:val="18"/>
              </w:rPr>
              <w:t>Registration</w:t>
            </w:r>
          </w:p>
        </w:tc>
        <w:tc>
          <w:tcPr>
            <w:tcW w:w="963" w:type="dxa"/>
            <w:tcBorders>
              <w:left w:val="nil"/>
              <w:right w:val="nil"/>
            </w:tcBorders>
          </w:tcPr>
          <w:p w:rsidR="002E2A9D" w:rsidRPr="0037041F" w:rsidP="008C7FF8" w14:paraId="22498B29" w14:textId="77777777">
            <w:pPr>
              <w:jc w:val="center"/>
              <w:rPr>
                <w:rFonts w:ascii="Arial" w:hAnsi="Arial" w:cs="Arial"/>
                <w:sz w:val="18"/>
                <w:szCs w:val="18"/>
              </w:rPr>
            </w:pPr>
            <w:r>
              <w:rPr>
                <w:rFonts w:ascii="Arial" w:hAnsi="Arial" w:cs="Arial"/>
                <w:sz w:val="18"/>
                <w:szCs w:val="18"/>
              </w:rPr>
              <w:t>160</w:t>
            </w:r>
          </w:p>
        </w:tc>
        <w:tc>
          <w:tcPr>
            <w:tcW w:w="1027" w:type="dxa"/>
            <w:tcBorders>
              <w:left w:val="nil"/>
              <w:right w:val="nil"/>
            </w:tcBorders>
          </w:tcPr>
          <w:p w:rsidR="002E2A9D" w:rsidRPr="00065586" w:rsidP="008C7FF8" w14:paraId="7A6C5B90" w14:textId="77777777">
            <w:pPr>
              <w:jc w:val="center"/>
              <w:rPr>
                <w:rFonts w:ascii="Arial" w:hAnsi="Arial" w:cs="Arial"/>
                <w:sz w:val="18"/>
                <w:szCs w:val="18"/>
              </w:rPr>
            </w:pPr>
            <w:r>
              <w:rPr>
                <w:rFonts w:ascii="Arial" w:hAnsi="Arial" w:cs="Arial"/>
                <w:sz w:val="18"/>
                <w:szCs w:val="18"/>
              </w:rPr>
              <w:t xml:space="preserve"> 1</w:t>
            </w:r>
          </w:p>
        </w:tc>
        <w:tc>
          <w:tcPr>
            <w:tcW w:w="1091" w:type="dxa"/>
            <w:tcBorders>
              <w:left w:val="nil"/>
              <w:right w:val="nil"/>
            </w:tcBorders>
          </w:tcPr>
          <w:p w:rsidR="002E2A9D" w:rsidRPr="00065586" w:rsidP="008C7FF8" w14:paraId="2A01A1F1" w14:textId="77777777">
            <w:pPr>
              <w:jc w:val="center"/>
              <w:rPr>
                <w:rFonts w:ascii="Arial" w:hAnsi="Arial" w:cs="Arial"/>
                <w:sz w:val="18"/>
                <w:szCs w:val="18"/>
              </w:rPr>
            </w:pPr>
            <w:r>
              <w:rPr>
                <w:rFonts w:ascii="Arial" w:hAnsi="Arial" w:cs="Arial"/>
                <w:sz w:val="18"/>
                <w:szCs w:val="18"/>
              </w:rPr>
              <w:t>160</w:t>
            </w:r>
          </w:p>
        </w:tc>
        <w:tc>
          <w:tcPr>
            <w:tcW w:w="1018" w:type="dxa"/>
            <w:tcBorders>
              <w:left w:val="nil"/>
              <w:right w:val="nil"/>
            </w:tcBorders>
          </w:tcPr>
          <w:p w:rsidR="002E2A9D" w:rsidRPr="00065586" w:rsidP="008C7FF8" w14:paraId="1BAE737E" w14:textId="77777777">
            <w:pPr>
              <w:jc w:val="center"/>
              <w:rPr>
                <w:rFonts w:ascii="Arial" w:hAnsi="Arial" w:cs="Arial"/>
                <w:sz w:val="18"/>
                <w:szCs w:val="18"/>
              </w:rPr>
            </w:pPr>
            <w:r>
              <w:rPr>
                <w:rFonts w:ascii="Arial" w:hAnsi="Arial" w:cs="Arial"/>
                <w:sz w:val="18"/>
                <w:szCs w:val="18"/>
              </w:rPr>
              <w:t>10</w:t>
            </w:r>
          </w:p>
        </w:tc>
        <w:tc>
          <w:tcPr>
            <w:tcW w:w="1018" w:type="dxa"/>
            <w:tcBorders>
              <w:left w:val="nil"/>
              <w:right w:val="nil"/>
            </w:tcBorders>
          </w:tcPr>
          <w:p w:rsidR="002E2A9D" w:rsidRPr="00065586" w:rsidP="008C7FF8" w14:paraId="0E91738E" w14:textId="77777777">
            <w:pPr>
              <w:jc w:val="center"/>
              <w:rPr>
                <w:rFonts w:ascii="Arial" w:hAnsi="Arial" w:cs="Arial"/>
                <w:sz w:val="18"/>
                <w:szCs w:val="18"/>
              </w:rPr>
            </w:pPr>
            <w:r>
              <w:rPr>
                <w:rFonts w:ascii="Arial" w:hAnsi="Arial" w:cs="Arial"/>
                <w:sz w:val="18"/>
                <w:szCs w:val="18"/>
              </w:rPr>
              <w:t>26.67</w:t>
            </w:r>
          </w:p>
        </w:tc>
        <w:tc>
          <w:tcPr>
            <w:tcW w:w="813" w:type="dxa"/>
            <w:tcBorders>
              <w:left w:val="nil"/>
              <w:right w:val="nil"/>
            </w:tcBorders>
          </w:tcPr>
          <w:p w:rsidR="002E2A9D" w:rsidP="008C7FF8" w14:paraId="7D0ACCB3" w14:textId="77777777">
            <w:pPr>
              <w:jc w:val="center"/>
              <w:rPr>
                <w:rFonts w:ascii="Arial" w:hAnsi="Arial" w:cs="Arial"/>
                <w:sz w:val="18"/>
                <w:szCs w:val="18"/>
              </w:rPr>
            </w:pPr>
            <w:r>
              <w:rPr>
                <w:rFonts w:ascii="Arial" w:hAnsi="Arial" w:cs="Arial"/>
                <w:sz w:val="18"/>
                <w:szCs w:val="18"/>
              </w:rPr>
              <w:t>$49.76</w:t>
            </w:r>
          </w:p>
        </w:tc>
        <w:tc>
          <w:tcPr>
            <w:tcW w:w="1039" w:type="dxa"/>
            <w:tcBorders>
              <w:left w:val="nil"/>
              <w:right w:val="nil"/>
            </w:tcBorders>
          </w:tcPr>
          <w:p w:rsidR="002E2A9D" w:rsidP="008C7FF8" w14:paraId="225BDF1F" w14:textId="77777777">
            <w:pPr>
              <w:jc w:val="center"/>
              <w:rPr>
                <w:rFonts w:ascii="Arial" w:hAnsi="Arial" w:cs="Arial"/>
                <w:sz w:val="18"/>
                <w:szCs w:val="18"/>
              </w:rPr>
            </w:pPr>
            <w:r>
              <w:rPr>
                <w:rFonts w:ascii="Arial" w:hAnsi="Arial" w:cs="Arial"/>
                <w:sz w:val="18"/>
                <w:szCs w:val="18"/>
              </w:rPr>
              <w:t>$1,327.10</w:t>
            </w:r>
          </w:p>
        </w:tc>
      </w:tr>
      <w:tr w14:paraId="5224967D" w14:textId="77777777" w:rsidTr="006505DC">
        <w:tblPrEx>
          <w:tblW w:w="9501" w:type="dxa"/>
          <w:tblLayout w:type="fixed"/>
          <w:tblLook w:val="04A0"/>
        </w:tblPrEx>
        <w:trPr>
          <w:trHeight w:val="246"/>
        </w:trPr>
        <w:tc>
          <w:tcPr>
            <w:tcW w:w="1266" w:type="dxa"/>
            <w:tcBorders>
              <w:left w:val="nil"/>
              <w:right w:val="nil"/>
            </w:tcBorders>
          </w:tcPr>
          <w:p w:rsidR="002E2A9D" w:rsidRPr="00F73850" w:rsidP="008C7FF8" w14:paraId="368402B5" w14:textId="77777777">
            <w:pPr>
              <w:rPr>
                <w:rFonts w:ascii="Arial" w:hAnsi="Arial" w:cs="Arial"/>
                <w:b/>
                <w:bCs/>
                <w:sz w:val="18"/>
                <w:szCs w:val="18"/>
              </w:rPr>
            </w:pPr>
            <w:r>
              <w:rPr>
                <w:rFonts w:ascii="Arial" w:hAnsi="Arial" w:cs="Arial"/>
                <w:b/>
                <w:bCs/>
                <w:sz w:val="18"/>
                <w:szCs w:val="18"/>
              </w:rPr>
              <w:t xml:space="preserve">Total </w:t>
            </w:r>
          </w:p>
        </w:tc>
        <w:tc>
          <w:tcPr>
            <w:tcW w:w="1266" w:type="dxa"/>
            <w:tcBorders>
              <w:left w:val="nil"/>
              <w:right w:val="nil"/>
            </w:tcBorders>
          </w:tcPr>
          <w:p w:rsidR="002E2A9D" w:rsidP="008C7FF8" w14:paraId="0168A429" w14:textId="77777777">
            <w:pPr>
              <w:jc w:val="center"/>
              <w:rPr>
                <w:rFonts w:ascii="Arial" w:hAnsi="Arial" w:cs="Arial"/>
                <w:b/>
                <w:bCs/>
                <w:sz w:val="18"/>
                <w:szCs w:val="18"/>
              </w:rPr>
            </w:pPr>
          </w:p>
        </w:tc>
        <w:tc>
          <w:tcPr>
            <w:tcW w:w="963" w:type="dxa"/>
            <w:tcBorders>
              <w:left w:val="nil"/>
              <w:right w:val="nil"/>
            </w:tcBorders>
          </w:tcPr>
          <w:p w:rsidR="002E2A9D" w:rsidRPr="00F73850" w:rsidP="008C7FF8" w14:paraId="266E7A89" w14:textId="77777777">
            <w:pPr>
              <w:jc w:val="center"/>
              <w:rPr>
                <w:rFonts w:ascii="Arial" w:hAnsi="Arial" w:cs="Arial"/>
                <w:b/>
                <w:bCs/>
                <w:sz w:val="18"/>
                <w:szCs w:val="18"/>
              </w:rPr>
            </w:pPr>
            <w:r>
              <w:rPr>
                <w:rFonts w:ascii="Arial" w:hAnsi="Arial" w:cs="Arial"/>
                <w:b/>
                <w:bCs/>
                <w:sz w:val="18"/>
                <w:szCs w:val="18"/>
              </w:rPr>
              <w:t>200</w:t>
            </w:r>
          </w:p>
        </w:tc>
        <w:tc>
          <w:tcPr>
            <w:tcW w:w="1027" w:type="dxa"/>
            <w:tcBorders>
              <w:left w:val="nil"/>
              <w:right w:val="nil"/>
            </w:tcBorders>
          </w:tcPr>
          <w:p w:rsidR="002E2A9D" w:rsidRPr="00F73850" w:rsidP="008C7FF8" w14:paraId="775F91BD" w14:textId="77777777">
            <w:pPr>
              <w:jc w:val="center"/>
              <w:rPr>
                <w:rFonts w:ascii="Arial" w:hAnsi="Arial" w:cs="Arial"/>
                <w:b/>
                <w:bCs/>
                <w:sz w:val="18"/>
                <w:szCs w:val="18"/>
              </w:rPr>
            </w:pPr>
          </w:p>
        </w:tc>
        <w:tc>
          <w:tcPr>
            <w:tcW w:w="1091" w:type="dxa"/>
            <w:tcBorders>
              <w:left w:val="nil"/>
              <w:right w:val="nil"/>
            </w:tcBorders>
          </w:tcPr>
          <w:p w:rsidR="002E2A9D" w:rsidRPr="00F73850" w:rsidP="008C7FF8" w14:paraId="2866FF4D" w14:textId="77777777">
            <w:pPr>
              <w:tabs>
                <w:tab w:val="left" w:pos="320"/>
                <w:tab w:val="center" w:pos="513"/>
              </w:tabs>
              <w:rPr>
                <w:rFonts w:ascii="Arial" w:hAnsi="Arial" w:cs="Arial"/>
                <w:b/>
                <w:bCs/>
                <w:sz w:val="18"/>
                <w:szCs w:val="18"/>
              </w:rPr>
            </w:pPr>
            <w:r>
              <w:rPr>
                <w:rFonts w:ascii="Arial" w:hAnsi="Arial" w:cs="Arial"/>
                <w:b/>
                <w:bCs/>
                <w:sz w:val="18"/>
                <w:szCs w:val="18"/>
              </w:rPr>
              <w:t xml:space="preserve">       200</w:t>
            </w:r>
          </w:p>
        </w:tc>
        <w:tc>
          <w:tcPr>
            <w:tcW w:w="1018" w:type="dxa"/>
            <w:tcBorders>
              <w:left w:val="nil"/>
              <w:right w:val="nil"/>
            </w:tcBorders>
          </w:tcPr>
          <w:p w:rsidR="002E2A9D" w:rsidRPr="00F73850" w:rsidP="008C7FF8" w14:paraId="125D03F8" w14:textId="77777777">
            <w:pPr>
              <w:jc w:val="center"/>
              <w:rPr>
                <w:rFonts w:ascii="Arial" w:hAnsi="Arial" w:cs="Arial"/>
                <w:b/>
                <w:bCs/>
                <w:sz w:val="18"/>
                <w:szCs w:val="18"/>
              </w:rPr>
            </w:pPr>
            <w:r>
              <w:rPr>
                <w:rFonts w:ascii="Arial" w:hAnsi="Arial" w:cs="Arial"/>
                <w:b/>
                <w:bCs/>
                <w:sz w:val="18"/>
                <w:szCs w:val="18"/>
              </w:rPr>
              <w:t>9</w:t>
            </w:r>
            <w:r w:rsidRPr="00A15A41">
              <w:rPr>
                <w:rFonts w:ascii="Arial" w:hAnsi="Arial" w:cs="Arial"/>
                <w:b/>
                <w:bCs/>
                <w:sz w:val="18"/>
                <w:szCs w:val="18"/>
                <w:vertAlign w:val="superscript"/>
              </w:rPr>
              <w:t>2</w:t>
            </w:r>
          </w:p>
        </w:tc>
        <w:tc>
          <w:tcPr>
            <w:tcW w:w="1018" w:type="dxa"/>
            <w:tcBorders>
              <w:left w:val="nil"/>
              <w:right w:val="nil"/>
            </w:tcBorders>
          </w:tcPr>
          <w:p w:rsidR="002E2A9D" w:rsidRPr="00F73850" w:rsidP="008C7FF8" w14:paraId="156DF027" w14:textId="77777777">
            <w:pPr>
              <w:jc w:val="center"/>
              <w:rPr>
                <w:rFonts w:ascii="Arial" w:hAnsi="Arial" w:cs="Arial"/>
                <w:b/>
                <w:bCs/>
                <w:sz w:val="18"/>
                <w:szCs w:val="18"/>
              </w:rPr>
            </w:pPr>
            <w:r>
              <w:rPr>
                <w:rFonts w:ascii="Arial" w:hAnsi="Arial" w:cs="Arial"/>
                <w:b/>
                <w:bCs/>
                <w:sz w:val="18"/>
                <w:szCs w:val="18"/>
              </w:rPr>
              <w:t>30</w:t>
            </w:r>
          </w:p>
        </w:tc>
        <w:tc>
          <w:tcPr>
            <w:tcW w:w="813" w:type="dxa"/>
            <w:tcBorders>
              <w:left w:val="nil"/>
              <w:right w:val="nil"/>
            </w:tcBorders>
          </w:tcPr>
          <w:p w:rsidR="002E2A9D" w:rsidP="008C7FF8" w14:paraId="35A2BE58" w14:textId="77777777">
            <w:pPr>
              <w:jc w:val="center"/>
              <w:rPr>
                <w:rFonts w:ascii="Arial" w:hAnsi="Arial" w:cs="Arial"/>
                <w:b/>
                <w:bCs/>
                <w:sz w:val="18"/>
                <w:szCs w:val="18"/>
              </w:rPr>
            </w:pPr>
          </w:p>
        </w:tc>
        <w:tc>
          <w:tcPr>
            <w:tcW w:w="1039" w:type="dxa"/>
            <w:tcBorders>
              <w:left w:val="nil"/>
              <w:right w:val="nil"/>
            </w:tcBorders>
          </w:tcPr>
          <w:p w:rsidR="002E2A9D" w:rsidP="008C7FF8" w14:paraId="3F6CF5F5" w14:textId="77777777">
            <w:pPr>
              <w:jc w:val="center"/>
              <w:rPr>
                <w:rFonts w:ascii="Arial" w:hAnsi="Arial" w:cs="Arial"/>
                <w:b/>
                <w:bCs/>
                <w:sz w:val="18"/>
                <w:szCs w:val="18"/>
              </w:rPr>
            </w:pPr>
            <w:r>
              <w:rPr>
                <w:rFonts w:ascii="Arial" w:hAnsi="Arial" w:cs="Arial"/>
                <w:b/>
                <w:bCs/>
                <w:sz w:val="18"/>
                <w:szCs w:val="18"/>
              </w:rPr>
              <w:t>$1,492.80</w:t>
            </w:r>
          </w:p>
        </w:tc>
      </w:tr>
    </w:tbl>
    <w:bookmarkEnd w:id="0"/>
    <w:p w:rsidR="002E2A9D" w:rsidRPr="00CD61C8" w:rsidP="002E2A9D" w14:paraId="033AF0AD" w14:textId="77777777">
      <w:pPr>
        <w:rPr>
          <w:rFonts w:ascii="Arial" w:hAnsi="Arial" w:cs="Arial"/>
          <w:sz w:val="18"/>
          <w:szCs w:val="18"/>
        </w:rPr>
      </w:pPr>
      <w:r w:rsidRPr="00CD61C8">
        <w:rPr>
          <w:rFonts w:ascii="Arial" w:hAnsi="Arial" w:cs="Arial"/>
          <w:sz w:val="18"/>
          <w:szCs w:val="18"/>
          <w:vertAlign w:val="superscript"/>
        </w:rPr>
        <w:t xml:space="preserve">1 </w:t>
      </w:r>
      <w:r w:rsidRPr="00CD61C8">
        <w:rPr>
          <w:rFonts w:ascii="Arial" w:hAnsi="Arial" w:cs="Arial"/>
          <w:sz w:val="18"/>
          <w:szCs w:val="18"/>
        </w:rPr>
        <w:t>Hourly wage for program staff and partners reflects the May 20</w:t>
      </w:r>
      <w:r>
        <w:rPr>
          <w:rFonts w:ascii="Arial" w:hAnsi="Arial" w:cs="Arial"/>
          <w:sz w:val="18"/>
          <w:szCs w:val="18"/>
        </w:rPr>
        <w:t xml:space="preserve">22 </w:t>
      </w:r>
      <w:r w:rsidRPr="00CD61C8">
        <w:rPr>
          <w:rFonts w:ascii="Arial" w:hAnsi="Arial" w:cs="Arial"/>
          <w:sz w:val="18"/>
          <w:szCs w:val="18"/>
        </w:rPr>
        <w:t>mean hourly wage estimate for “</w:t>
      </w:r>
      <w:r>
        <w:rPr>
          <w:rFonts w:ascii="Arial" w:hAnsi="Arial" w:cs="Arial"/>
          <w:sz w:val="18"/>
          <w:szCs w:val="18"/>
        </w:rPr>
        <w:t>data scientists</w:t>
      </w:r>
      <w:r w:rsidRPr="00CD61C8">
        <w:rPr>
          <w:rFonts w:ascii="Arial" w:hAnsi="Arial" w:cs="Arial"/>
          <w:sz w:val="18"/>
          <w:szCs w:val="18"/>
        </w:rPr>
        <w:t>” as reported by the U.S. Department of Labor, Bureau of Labor Statistics, Occupational Employment and Wage Estimates, 20</w:t>
      </w:r>
      <w:r>
        <w:rPr>
          <w:rFonts w:ascii="Arial" w:hAnsi="Arial" w:cs="Arial"/>
          <w:sz w:val="18"/>
          <w:szCs w:val="18"/>
        </w:rPr>
        <w:t>22</w:t>
      </w:r>
      <w:r w:rsidRPr="00CD61C8">
        <w:rPr>
          <w:rFonts w:ascii="Arial" w:hAnsi="Arial" w:cs="Arial"/>
          <w:sz w:val="18"/>
          <w:szCs w:val="18"/>
        </w:rPr>
        <w:t>, “May 20</w:t>
      </w:r>
      <w:r>
        <w:rPr>
          <w:rFonts w:ascii="Arial" w:hAnsi="Arial" w:cs="Arial"/>
          <w:sz w:val="18"/>
          <w:szCs w:val="18"/>
        </w:rPr>
        <w:t>21</w:t>
      </w:r>
      <w:r w:rsidRPr="00CD61C8">
        <w:rPr>
          <w:rFonts w:ascii="Arial" w:hAnsi="Arial" w:cs="Arial"/>
          <w:sz w:val="18"/>
          <w:szCs w:val="18"/>
        </w:rPr>
        <w:t xml:space="preserve"> National Occupational Employment and Wage Estimates United States,” (accessed from the following web site as of </w:t>
      </w:r>
      <w:r>
        <w:rPr>
          <w:rFonts w:ascii="Arial" w:hAnsi="Arial" w:cs="Arial"/>
          <w:sz w:val="18"/>
          <w:szCs w:val="18"/>
        </w:rPr>
        <w:t>June 10, 2023</w:t>
      </w:r>
      <w:r w:rsidRPr="00CD61C8">
        <w:rPr>
          <w:rFonts w:ascii="Arial" w:hAnsi="Arial" w:cs="Arial"/>
          <w:sz w:val="18"/>
          <w:szCs w:val="18"/>
        </w:rPr>
        <w:t xml:space="preserve">: </w:t>
      </w:r>
      <w:r>
        <w:fldChar w:fldCharType="begin"/>
      </w:r>
      <w:r w:rsidRPr="00CD61C8">
        <w:rPr>
          <w:rStyle w:val="Hyperlink"/>
          <w:rFonts w:ascii="Arial" w:hAnsi="Arial" w:cs="Arial"/>
          <w:sz w:val="18"/>
          <w:szCs w:val="18"/>
        </w:rPr>
        <w:instrText xml:space="preserve"> HYPERLINK "https://www.bls.gov/oes/current/oes_nat.htm" </w:instrText>
      </w:r>
      <w:r>
        <w:fldChar w:fldCharType="separate"/>
      </w:r>
      <w:r w:rsidRPr="00CD61C8">
        <w:rPr>
          <w:rStyle w:val="Hyperlink"/>
          <w:rFonts w:ascii="Arial" w:hAnsi="Arial" w:cs="Arial"/>
          <w:sz w:val="18"/>
          <w:szCs w:val="18"/>
        </w:rPr>
        <w:t>https://www.bls.gov/oes/current/oes_nat.htm</w:t>
      </w:r>
      <w:r>
        <w:fldChar w:fldCharType="end"/>
      </w:r>
      <w:r>
        <w:rPr>
          <w:rFonts w:ascii="Arial" w:hAnsi="Arial" w:cs="Arial"/>
          <w:sz w:val="18"/>
          <w:szCs w:val="18"/>
        </w:rPr>
        <w:t>.</w:t>
      </w:r>
      <w:r w:rsidRPr="00CD61C8">
        <w:rPr>
          <w:rFonts w:ascii="Arial" w:hAnsi="Arial" w:cs="Arial"/>
          <w:sz w:val="18"/>
          <w:szCs w:val="18"/>
        </w:rPr>
        <w:t xml:space="preserve"> </w:t>
      </w:r>
      <w:r>
        <w:rPr>
          <w:rFonts w:ascii="Arial" w:hAnsi="Arial" w:cs="Arial"/>
          <w:sz w:val="18"/>
          <w:szCs w:val="18"/>
        </w:rPr>
        <w:t xml:space="preserve"> While the likely users of this service will come from a much more diverse population such as journalists, academics, public health professionals, state regulators, and social science researchers, this estimate is conservative and likely to produce an upper bound on burden costs.  </w:t>
      </w:r>
    </w:p>
    <w:p w:rsidR="002E2A9D" w:rsidP="002E2A9D" w14:paraId="072FBCFF" w14:textId="77777777">
      <w:pPr>
        <w:rPr>
          <w:rFonts w:ascii="Arial" w:hAnsi="Arial" w:cs="Arial"/>
          <w:sz w:val="18"/>
          <w:szCs w:val="18"/>
        </w:rPr>
      </w:pPr>
      <w:r w:rsidRPr="00CD61C8">
        <w:rPr>
          <w:rFonts w:ascii="Arial" w:hAnsi="Arial" w:cs="Arial"/>
          <w:sz w:val="18"/>
          <w:szCs w:val="18"/>
          <w:vertAlign w:val="superscript"/>
        </w:rPr>
        <w:t>2</w:t>
      </w:r>
      <w:r w:rsidRPr="00CD61C8">
        <w:rPr>
          <w:rFonts w:ascii="Arial" w:hAnsi="Arial" w:cs="Arial"/>
          <w:sz w:val="18"/>
          <w:szCs w:val="18"/>
        </w:rPr>
        <w:t xml:space="preserve"> </w:t>
      </w:r>
      <w:r>
        <w:rPr>
          <w:rFonts w:ascii="Arial" w:hAnsi="Arial" w:cs="Arial"/>
          <w:sz w:val="18"/>
          <w:szCs w:val="18"/>
        </w:rPr>
        <w:t xml:space="preserve">Average burden per response is the weighted average of the individual response </w:t>
      </w:r>
      <w:r>
        <w:rPr>
          <w:rFonts w:ascii="Arial" w:hAnsi="Arial" w:cs="Arial"/>
          <w:sz w:val="18"/>
          <w:szCs w:val="18"/>
        </w:rPr>
        <w:t>times</w:t>
      </w:r>
    </w:p>
    <w:p w:rsidR="000524FA" w:rsidP="00CD215D" w14:paraId="62B86C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CD215D" w:rsidRPr="00D53DEB" w:rsidP="00CD215D" w14:paraId="4F65FC61" w14:textId="1A69AA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P="00CD215D" w14:paraId="32127F6A" w14:textId="6C4B8B24">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C3659" w:rsidP="007C3659" w14:paraId="2ADC30B3" w14:textId="77777777">
      <w:pPr>
        <w:pStyle w:val="ListParagraph"/>
        <w:rPr>
          <w:rFonts w:ascii="Times New Roman" w:hAnsi="Times New Roman"/>
          <w:b/>
        </w:rPr>
      </w:pPr>
    </w:p>
    <w:p w:rsidR="002E2A9D" w:rsidP="002E2A9D" w14:paraId="7B66B8FC" w14:textId="77777777">
      <w:pPr>
        <w:rPr>
          <w:rFonts w:ascii="Times New Roman" w:hAnsi="Times New Roman"/>
        </w:rPr>
      </w:pPr>
      <w:r>
        <w:rPr>
          <w:rFonts w:ascii="Times New Roman" w:hAnsi="Times New Roman"/>
        </w:rPr>
        <w:t>There are no direct costs to respondents and no recordkeeping requirement imposed by API usage, or to be a respondent.  The only burden on respondents is the time burden described in section 12.</w:t>
      </w:r>
    </w:p>
    <w:p w:rsidR="002E2A9D" w:rsidP="00690F56" w14:paraId="6E84F3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697B43F9" w14:textId="05216DF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C5345E" w:rsidP="00690F56" w14:paraId="4477F4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E2A9D" w:rsidP="002E2A9D" w14:paraId="3E9195EB" w14:textId="77777777">
      <w:pPr>
        <w:pStyle w:val="NormalSS"/>
        <w:spacing w:after="0"/>
        <w:ind w:firstLine="0"/>
        <w:rPr>
          <w:szCs w:val="24"/>
        </w:rPr>
      </w:pPr>
      <w:r w:rsidRPr="005C45D4">
        <w:rPr>
          <w:szCs w:val="24"/>
        </w:rPr>
        <w:t xml:space="preserve">The </w:t>
      </w:r>
      <w:r>
        <w:rPr>
          <w:szCs w:val="24"/>
        </w:rPr>
        <w:t xml:space="preserve">average, annualized cost to the Federal government over three years of managing API user information is estimated to be $10,000 in staffing costs and $2,500 in operations and maintenance.  This estimate was provided by the system developers who are managing this system and accounts for the architecture of the system, costs of the storage solution, and costs of managing the software that includes the user interface and point of collection.  The capability and requirement to collect this data already exists in a prior version of this service that is only available internally to DOL users, so there </w:t>
      </w:r>
      <w:r>
        <w:rPr>
          <w:szCs w:val="24"/>
        </w:rPr>
        <w:t>are</w:t>
      </w:r>
      <w:r>
        <w:rPr>
          <w:szCs w:val="24"/>
        </w:rPr>
        <w:t xml:space="preserve"> no new development, testing or evaluation costs, and no costs associated with defining or creating a storage solution.  The only costs DOL will incur are for storing, managing, and accessing new information once this service becomes available to the public.  </w:t>
      </w:r>
    </w:p>
    <w:p w:rsidR="005B7D0F" w:rsidRPr="00D53DEB" w:rsidP="00690F56" w14:paraId="58D310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Style w:val="TableGrid"/>
        <w:tblW w:w="0" w:type="auto"/>
        <w:tblLook w:val="04A0"/>
      </w:tblPr>
      <w:tblGrid>
        <w:gridCol w:w="4675"/>
        <w:gridCol w:w="4675"/>
      </w:tblGrid>
      <w:tr w14:paraId="390DE99A" w14:textId="77777777" w:rsidTr="00BF06D1">
        <w:tblPrEx>
          <w:tblW w:w="0" w:type="auto"/>
          <w:tblLook w:val="04A0"/>
        </w:tblPrEx>
        <w:tc>
          <w:tcPr>
            <w:tcW w:w="4675" w:type="dxa"/>
          </w:tcPr>
          <w:p w:rsidR="00E9538E" w:rsidRPr="002E2A9D" w:rsidP="00BF06D1" w14:paraId="137B99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2E2A9D">
              <w:rPr>
                <w:rFonts w:ascii="Times New Roman" w:hAnsi="Times New Roman"/>
                <w:b/>
                <w:bCs/>
              </w:rPr>
              <w:t>Description</w:t>
            </w:r>
          </w:p>
        </w:tc>
        <w:tc>
          <w:tcPr>
            <w:tcW w:w="4675" w:type="dxa"/>
          </w:tcPr>
          <w:p w:rsidR="00E9538E" w:rsidRPr="002E2A9D" w:rsidP="00BF06D1" w14:paraId="07CF5C2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2E2A9D">
              <w:rPr>
                <w:rFonts w:ascii="Times New Roman" w:hAnsi="Times New Roman"/>
                <w:b/>
                <w:bCs/>
              </w:rPr>
              <w:t>Cost</w:t>
            </w:r>
          </w:p>
        </w:tc>
      </w:tr>
      <w:tr w14:paraId="0F96DF0E" w14:textId="77777777" w:rsidTr="00BF06D1">
        <w:tblPrEx>
          <w:tblW w:w="0" w:type="auto"/>
          <w:tblLook w:val="04A0"/>
        </w:tblPrEx>
        <w:tc>
          <w:tcPr>
            <w:tcW w:w="4675" w:type="dxa"/>
          </w:tcPr>
          <w:p w:rsidR="002E2A9D" w:rsidRPr="002E2A9D" w:rsidP="002E2A9D" w14:paraId="65C798B4" w14:textId="12EB69A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E2A9D">
              <w:rPr>
                <w:rFonts w:ascii="Times New Roman" w:hAnsi="Times New Roman"/>
              </w:rPr>
              <w:t>Managing API user information staffing costs</w:t>
            </w:r>
          </w:p>
        </w:tc>
        <w:tc>
          <w:tcPr>
            <w:tcW w:w="4675" w:type="dxa"/>
          </w:tcPr>
          <w:p w:rsidR="002E2A9D" w:rsidRPr="002E2A9D" w:rsidP="002E2A9D" w14:paraId="6C40452A" w14:textId="77777777">
            <w:pPr>
              <w:pStyle w:val="NormalSS"/>
              <w:spacing w:after="0"/>
              <w:ind w:firstLine="0"/>
              <w:rPr>
                <w:szCs w:val="24"/>
              </w:rPr>
            </w:pPr>
            <w:r w:rsidRPr="002E2A9D">
              <w:rPr>
                <w:szCs w:val="24"/>
              </w:rPr>
              <w:t>$10,000</w:t>
            </w:r>
          </w:p>
          <w:p w:rsidR="002E2A9D" w:rsidRPr="002E2A9D" w:rsidP="002E2A9D" w14:paraId="353A107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c>
      </w:tr>
      <w:tr w14:paraId="4C171AB2" w14:textId="77777777" w:rsidTr="00BF06D1">
        <w:tblPrEx>
          <w:tblW w:w="0" w:type="auto"/>
          <w:tblLook w:val="04A0"/>
        </w:tblPrEx>
        <w:tc>
          <w:tcPr>
            <w:tcW w:w="4675" w:type="dxa"/>
          </w:tcPr>
          <w:p w:rsidR="002E2A9D" w:rsidRPr="002E2A9D" w:rsidP="002E2A9D" w14:paraId="29F7E18C" w14:textId="78AA49E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E2A9D">
              <w:rPr>
                <w:rFonts w:ascii="Times New Roman" w:hAnsi="Times New Roman"/>
              </w:rPr>
              <w:t>Operations and maintenance</w:t>
            </w:r>
          </w:p>
        </w:tc>
        <w:tc>
          <w:tcPr>
            <w:tcW w:w="4675" w:type="dxa"/>
          </w:tcPr>
          <w:p w:rsidR="002E2A9D" w:rsidRPr="002E2A9D" w:rsidP="002E2A9D" w14:paraId="259479F3" w14:textId="37E10CB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E2A9D">
              <w:rPr>
                <w:rFonts w:ascii="Times New Roman" w:hAnsi="Times New Roman"/>
                <w:u w:val="single"/>
              </w:rPr>
              <w:t>$2,500</w:t>
            </w:r>
          </w:p>
        </w:tc>
      </w:tr>
      <w:tr w14:paraId="37F396DD" w14:textId="77777777" w:rsidTr="00BF06D1">
        <w:tblPrEx>
          <w:tblW w:w="0" w:type="auto"/>
          <w:tblLook w:val="04A0"/>
        </w:tblPrEx>
        <w:tc>
          <w:tcPr>
            <w:tcW w:w="4675" w:type="dxa"/>
          </w:tcPr>
          <w:p w:rsidR="002E2A9D" w:rsidRPr="002E2A9D" w:rsidP="002E2A9D" w14:paraId="2D67FA14" w14:textId="34FE5CA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E2A9D">
              <w:rPr>
                <w:rFonts w:ascii="Times New Roman" w:hAnsi="Times New Roman"/>
                <w:b/>
                <w:bCs/>
              </w:rPr>
              <w:t>Total</w:t>
            </w:r>
          </w:p>
        </w:tc>
        <w:tc>
          <w:tcPr>
            <w:tcW w:w="4675" w:type="dxa"/>
          </w:tcPr>
          <w:p w:rsidR="002E2A9D" w:rsidRPr="002E2A9D" w:rsidP="002E2A9D" w14:paraId="1D35F0E7" w14:textId="77777777">
            <w:pPr>
              <w:pStyle w:val="NormalSS"/>
              <w:spacing w:after="0"/>
              <w:ind w:firstLine="0"/>
              <w:rPr>
                <w:szCs w:val="24"/>
              </w:rPr>
            </w:pPr>
            <w:r w:rsidRPr="002E2A9D">
              <w:rPr>
                <w:szCs w:val="24"/>
              </w:rPr>
              <w:t>$12,250</w:t>
            </w:r>
          </w:p>
          <w:p w:rsidR="002E2A9D" w:rsidRPr="002E2A9D" w:rsidP="002E2A9D" w14:paraId="08F19B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c>
      </w:tr>
    </w:tbl>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E2A9D" w:rsidRPr="00AC11C2" w:rsidP="002E2A9D" w14:paraId="2319E66F" w14:textId="77777777">
      <w:pPr>
        <w:pStyle w:val="H3Alpha"/>
        <w:spacing w:after="0"/>
        <w:rPr>
          <w:rFonts w:ascii="Times New Roman" w:hAnsi="Times New Roman"/>
          <w:color w:val="auto"/>
          <w:sz w:val="24"/>
          <w:szCs w:val="24"/>
        </w:rPr>
      </w:pPr>
      <w:r w:rsidRPr="00AC11C2">
        <w:rPr>
          <w:rFonts w:ascii="Times New Roman" w:hAnsi="Times New Roman"/>
          <w:color w:val="auto"/>
          <w:sz w:val="24"/>
          <w:szCs w:val="24"/>
        </w:rPr>
        <w:t>This is a new information collection</w:t>
      </w:r>
      <w:r>
        <w:rPr>
          <w:rFonts w:ascii="Times New Roman" w:hAnsi="Times New Roman"/>
          <w:color w:val="auto"/>
          <w:sz w:val="24"/>
          <w:szCs w:val="24"/>
        </w:rPr>
        <w:t>; there are no changes</w:t>
      </w:r>
      <w:r w:rsidRPr="00AC11C2">
        <w:rPr>
          <w:rFonts w:ascii="Times New Roman" w:hAnsi="Times New Roman"/>
          <w:color w:val="auto"/>
          <w:sz w:val="24"/>
          <w:szCs w:val="24"/>
        </w:rPr>
        <w:t xml:space="preserve">. </w:t>
      </w:r>
    </w:p>
    <w:p w:rsidR="00690F56"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E2A9D" w:rsidRPr="00F4518C" w:rsidP="00690F56" w14:paraId="2AE80BD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E2A9D" w:rsidP="002E2A9D" w14:paraId="6824931F" w14:textId="77777777">
      <w:pPr>
        <w:pStyle w:val="NormalSS"/>
        <w:spacing w:after="0"/>
        <w:ind w:firstLine="0"/>
      </w:pPr>
      <w:r>
        <w:t>This collection will generate universe administrative data (</w:t>
      </w:r>
      <w:r>
        <w:t>i.e.</w:t>
      </w:r>
      <w:r>
        <w:t xml:space="preserve"> one record for each user, with complete data for all users) and will only be used for the purposes described.  As noted throughout this form, the primary purpose of this collection is to ensure that the services, available data, and resources best reflect the needs of users.  Some limited descriptive analysis may be generated to track user adoption, characterize </w:t>
      </w:r>
      <w:r>
        <w:t>users</w:t>
      </w:r>
      <w:r>
        <w:t xml:space="preserve"> and use cases including measures of system use and describing people who are active, periodic, and inactive users, and to determine if and when it may be appropriate to conduct a user satisfaction survey.  This collection does not include the burden associated with periodic surveys of users of the service and DOL will either submit a modification to this collection or a separate collection to enable authorization to conduct such surveys.  </w:t>
      </w:r>
    </w:p>
    <w:p w:rsidR="002E2A9D" w:rsidRPr="00A47DA7" w:rsidP="00690F56" w14:paraId="6E69B3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96685"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AEAAAA" w:themeColor="background2" w:themeShade="BF"/>
        </w:rPr>
      </w:pPr>
    </w:p>
    <w:p w:rsidR="00690F56" w:rsidRPr="002E2A9D"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2E2A9D">
        <w:rPr>
          <w:rFonts w:ascii="Times New Roman" w:hAnsi="Times New Roman"/>
          <w:b/>
          <w:bCs/>
        </w:rPr>
        <w:t>17.  If seeking approval to not display the expiration date for OMB approval of the information collection, explain the reasons that display would be inappropriate.</w:t>
      </w:r>
    </w:p>
    <w:p w:rsidR="00690F56" w:rsidRPr="002E2A9D"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E2A9D" w:rsidP="002E2A9D" w14:paraId="4C5D90C6" w14:textId="488E6AB9">
      <w:pPr>
        <w:rPr>
          <w:rFonts w:ascii="Times New Roman" w:hAnsi="Times New Roman"/>
        </w:rPr>
      </w:pPr>
      <w:r w:rsidRPr="002E2A9D">
        <w:rPr>
          <w:rFonts w:ascii="Times New Roman" w:hAnsi="Times New Roman"/>
        </w:rPr>
        <w:t>ASP is not seeking approval to not display the expiration date for OMB approval of the information collection.</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E2A9D" w:rsidRPr="00A75916" w:rsidP="002E2A9D" w14:paraId="10AD8792" w14:textId="77777777">
      <w:pPr>
        <w:pStyle w:val="NormalSS"/>
        <w:spacing w:after="0"/>
        <w:ind w:firstLine="0"/>
        <w:rPr>
          <w:i/>
          <w:iCs/>
        </w:rPr>
      </w:pPr>
      <w:r>
        <w:t xml:space="preserve">No exceptions are necessary for this information collection. </w:t>
      </w:r>
    </w:p>
    <w:p w:rsidR="00332F98" w:rsidRPr="00D53DEB" w14:paraId="3E8CBCDA" w14:textId="77777777">
      <w:pPr>
        <w:rPr>
          <w:rFonts w:ascii="Times New Roman" w:hAnsi="Times New Roman"/>
        </w:rPr>
      </w:pPr>
    </w:p>
    <w:sectPr w:rsidSect="00C07F7F">
      <w:headerReference w:type="default" r:id="rId7"/>
      <w:footerReference w:type="even" r:id="rId8"/>
      <w:footerReference w:type="default" r:id="rId9"/>
      <w:headerReference w:type="first" r:id="rId10"/>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342297EC">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B67D5C">
      <w:rPr>
        <w:rStyle w:val="PageNumber"/>
        <w:rFonts w:ascii="Times New Roman" w:hAnsi="Times New Roman"/>
        <w:noProof/>
      </w:rPr>
      <w:t>6</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7821" w14:paraId="4A25ABD0" w14:textId="77777777">
      <w:r>
        <w:separator/>
      </w:r>
    </w:p>
  </w:footnote>
  <w:footnote w:type="continuationSeparator" w:id="1">
    <w:p w:rsidR="00837821" w14:paraId="1D0C67B7" w14:textId="77777777">
      <w:r>
        <w:continuationSeparator/>
      </w:r>
    </w:p>
  </w:footnote>
  <w:footnote w:id="2">
    <w:p w:rsidR="00F3606F" w:rsidP="00F3606F" w14:paraId="1AEB9F95" w14:textId="77777777">
      <w:pPr>
        <w:pStyle w:val="FootnoteText"/>
      </w:pPr>
      <w:r>
        <w:rPr>
          <w:rStyle w:val="FootnoteReference"/>
        </w:rPr>
        <w:footnoteRef/>
      </w:r>
      <w:r>
        <w:t xml:space="preserve"> </w:t>
      </w:r>
      <w:hyperlink r:id="rId1" w:history="1">
        <w:r w:rsidRPr="00EB7364">
          <w:rPr>
            <w:rStyle w:val="Hyperlink"/>
          </w:rPr>
          <w:t>https://www.congress.gov/bill/115th-congress/house-bill/4174/text</w:t>
        </w:r>
      </w:hyperlink>
    </w:p>
  </w:footnote>
  <w:footnote w:id="3">
    <w:p w:rsidR="00F3606F" w:rsidP="00F3606F" w14:paraId="5C55DE9C" w14:textId="77777777">
      <w:pPr>
        <w:pStyle w:val="FootnoteText"/>
      </w:pPr>
      <w:r>
        <w:rPr>
          <w:rStyle w:val="FootnoteReference"/>
        </w:rPr>
        <w:footnoteRef/>
      </w:r>
      <w:r>
        <w:t xml:space="preserve"> </w:t>
      </w:r>
      <w:hyperlink r:id="rId2" w:history="1">
        <w:r w:rsidRPr="00EB7364">
          <w:rPr>
            <w:rStyle w:val="Hyperlink"/>
          </w:rPr>
          <w:t>https://www.dol.gov/sites/dolgov/files/Data-Governance/DOL-Enterprise-Data-Strategy-2022.pdf</w:t>
        </w:r>
      </w:hyperlink>
    </w:p>
  </w:footnote>
  <w:footnote w:id="4">
    <w:p w:rsidR="00F3606F" w:rsidP="00F3606F" w14:paraId="6549EB73" w14:textId="77777777">
      <w:pPr>
        <w:pStyle w:val="FootnoteText"/>
      </w:pPr>
      <w:r>
        <w:rPr>
          <w:rStyle w:val="FootnoteReference"/>
        </w:rPr>
        <w:footnoteRef/>
      </w:r>
      <w:r>
        <w:t xml:space="preserve"> </w:t>
      </w:r>
      <w:hyperlink r:id="rId3" w:history="1">
        <w:r w:rsidRPr="00EB7364">
          <w:rPr>
            <w:rStyle w:val="Hyperlink"/>
          </w:rPr>
          <w:t>https://strategy.data.gov/2021/action-plan/</w:t>
        </w:r>
      </w:hyperlink>
    </w:p>
  </w:footnote>
  <w:footnote w:id="5">
    <w:p w:rsidR="00F3606F" w:rsidP="00F3606F" w14:paraId="5FDA8061" w14:textId="77777777">
      <w:pPr>
        <w:pStyle w:val="FootnoteText"/>
      </w:pPr>
      <w:r>
        <w:rPr>
          <w:rStyle w:val="FootnoteReference"/>
        </w:rPr>
        <w:footnoteRef/>
      </w:r>
      <w:r>
        <w:t xml:space="preserve"> </w:t>
      </w:r>
      <w:hyperlink r:id="rId4" w:history="1">
        <w:r w:rsidRPr="00EB7364">
          <w:rPr>
            <w:rStyle w:val="Hyperlink"/>
          </w:rPr>
          <w:t>https://www.regulations.gov/document/DOL-2022-0003-0001</w:t>
        </w:r>
      </w:hyperlink>
    </w:p>
  </w:footnote>
  <w:footnote w:id="6">
    <w:p w:rsidR="00A72882" w14:paraId="5A61AABC" w14:textId="41014B9F">
      <w:pPr>
        <w:pStyle w:val="FootnoteText"/>
      </w:pPr>
      <w:r>
        <w:rPr>
          <w:rStyle w:val="FootnoteReference"/>
        </w:rPr>
        <w:footnoteRef/>
      </w:r>
      <w:r>
        <w:t xml:space="preserve"> </w:t>
      </w:r>
      <w:r w:rsidRPr="00A72882">
        <w:t>Title II of the Foundations for Evidence-Based Policymaking Act of 2018</w:t>
      </w:r>
      <w:r>
        <w:t xml:space="preserve"> </w:t>
      </w:r>
      <w:r w:rsidRPr="00A72882">
        <w:t>https://www.congress.gov/bill/115th-congress/house-bill/4174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1AFE820D">
    <w:pPr>
      <w:pStyle w:val="Header"/>
      <w:rPr>
        <w:rFonts w:ascii="Times New Roman" w:hAnsi="Times New Roman"/>
        <w:bCs/>
        <w:sz w:val="20"/>
        <w:szCs w:val="20"/>
      </w:rPr>
    </w:pPr>
    <w:r w:rsidRPr="00F3606F">
      <w:rPr>
        <w:rFonts w:ascii="Times New Roman" w:hAnsi="Times New Roman"/>
        <w:bCs/>
        <w:sz w:val="20"/>
        <w:szCs w:val="20"/>
      </w:rPr>
      <w:t xml:space="preserve">Supporting Statement </w:t>
    </w:r>
    <w:r w:rsidRPr="00F3606F">
      <w:rPr>
        <w:rFonts w:ascii="Times New Roman" w:hAnsi="Times New Roman"/>
        <w:bCs/>
        <w:sz w:val="20"/>
        <w:szCs w:val="20"/>
      </w:rPr>
      <w:t>Part</w:t>
    </w:r>
    <w:r w:rsidRPr="00F3606F">
      <w:rPr>
        <w:rFonts w:ascii="Times New Roman" w:hAnsi="Times New Roman"/>
        <w:bCs/>
        <w:sz w:val="20"/>
        <w:szCs w:val="20"/>
      </w:rPr>
      <w:t xml:space="preserve"> A: Registration for Public Data Service</w:t>
    </w:r>
  </w:p>
  <w:p w:rsidR="00EC0B43" w14:paraId="52F50703" w14:textId="4FA2DCA8">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Pr="00F3606F" w:rsidR="00F3606F">
      <w:rPr>
        <w:rFonts w:ascii="Times New Roman" w:hAnsi="Times New Roman"/>
        <w:sz w:val="20"/>
        <w:szCs w:val="20"/>
      </w:rPr>
      <w:t xml:space="preserve">1290-0NEW   </w:t>
    </w:r>
  </w:p>
  <w:p w:rsidR="00E60FB0" w:rsidRPr="00F8164B" w14:paraId="1D1AD862" w14:textId="4BC2D505">
    <w:pPr>
      <w:pStyle w:val="Header"/>
      <w:rPr>
        <w:rFonts w:ascii="Times New Roman" w:hAnsi="Times New Roman"/>
        <w:sz w:val="20"/>
        <w:szCs w:val="20"/>
      </w:rPr>
    </w:pPr>
    <w:r>
      <w:rPr>
        <w:rFonts w:ascii="Times New Roman" w:hAnsi="Times New Roman"/>
        <w:sz w:val="20"/>
        <w:szCs w:val="20"/>
      </w:rPr>
      <w:t xml:space="preserve">OMB Expiration Date: </w:t>
    </w:r>
    <w:r w:rsidR="00F3606F">
      <w:rPr>
        <w:rFonts w:ascii="Times New Roman" w:hAnsi="Times New Roman"/>
        <w:sz w:val="20"/>
        <w:szCs w:val="20"/>
      </w:rPr>
      <w:t>TBD</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187853"/>
    <w:multiLevelType w:val="hybridMultilevel"/>
    <w:tmpl w:val="99B068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408485D"/>
    <w:multiLevelType w:val="hybridMultilevel"/>
    <w:tmpl w:val="9814DA4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40541EB1"/>
    <w:multiLevelType w:val="hybridMultilevel"/>
    <w:tmpl w:val="35008E6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FC66CD3"/>
    <w:multiLevelType w:val="hybridMultilevel"/>
    <w:tmpl w:val="1FBA6A0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614C721D"/>
    <w:multiLevelType w:val="hybridMultilevel"/>
    <w:tmpl w:val="04C2C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4">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087138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467745097">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53701091">
    <w:abstractNumId w:val="3"/>
  </w:num>
  <w:num w:numId="4" w16cid:durableId="532160047">
    <w:abstractNumId w:val="11"/>
  </w:num>
  <w:num w:numId="5" w16cid:durableId="1289387269">
    <w:abstractNumId w:val="2"/>
  </w:num>
  <w:num w:numId="6" w16cid:durableId="1876497900">
    <w:abstractNumId w:val="4"/>
  </w:num>
  <w:num w:numId="7" w16cid:durableId="1905288642">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03895508">
    <w:abstractNumId w:val="14"/>
  </w:num>
  <w:num w:numId="9" w16cid:durableId="449277450">
    <w:abstractNumId w:val="1"/>
  </w:num>
  <w:num w:numId="10" w16cid:durableId="428818063">
    <w:abstractNumId w:val="13"/>
  </w:num>
  <w:num w:numId="11" w16cid:durableId="1608200794">
    <w:abstractNumId w:val="7"/>
  </w:num>
  <w:num w:numId="12" w16cid:durableId="269512158">
    <w:abstractNumId w:val="10"/>
  </w:num>
  <w:num w:numId="13" w16cid:durableId="818183202">
    <w:abstractNumId w:val="6"/>
  </w:num>
  <w:num w:numId="14" w16cid:durableId="1451776255">
    <w:abstractNumId w:val="9"/>
  </w:num>
  <w:num w:numId="15" w16cid:durableId="2067145638">
    <w:abstractNumId w:val="8"/>
  </w:num>
  <w:num w:numId="16" w16cid:durableId="326640497">
    <w:abstractNumId w:val="12"/>
  </w:num>
  <w:num w:numId="17" w16cid:durableId="360980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26698"/>
    <w:rsid w:val="0004107F"/>
    <w:rsid w:val="00042CBD"/>
    <w:rsid w:val="00052174"/>
    <w:rsid w:val="000524FA"/>
    <w:rsid w:val="00052A0D"/>
    <w:rsid w:val="00061F6C"/>
    <w:rsid w:val="00064A84"/>
    <w:rsid w:val="00064E28"/>
    <w:rsid w:val="00065586"/>
    <w:rsid w:val="0007383F"/>
    <w:rsid w:val="00094A5E"/>
    <w:rsid w:val="00095C30"/>
    <w:rsid w:val="000A7853"/>
    <w:rsid w:val="000B0391"/>
    <w:rsid w:val="000B4875"/>
    <w:rsid w:val="000B6FB6"/>
    <w:rsid w:val="000C257C"/>
    <w:rsid w:val="000C3A92"/>
    <w:rsid w:val="000C74FB"/>
    <w:rsid w:val="000D7F95"/>
    <w:rsid w:val="000E1C64"/>
    <w:rsid w:val="000F6836"/>
    <w:rsid w:val="001040D4"/>
    <w:rsid w:val="00105955"/>
    <w:rsid w:val="001078BB"/>
    <w:rsid w:val="00107E9C"/>
    <w:rsid w:val="00115FEA"/>
    <w:rsid w:val="00116CD5"/>
    <w:rsid w:val="00121DCB"/>
    <w:rsid w:val="00133C47"/>
    <w:rsid w:val="0014556E"/>
    <w:rsid w:val="0015322B"/>
    <w:rsid w:val="0015365E"/>
    <w:rsid w:val="00157A90"/>
    <w:rsid w:val="00180E5A"/>
    <w:rsid w:val="001A47D9"/>
    <w:rsid w:val="001D10ED"/>
    <w:rsid w:val="001D2B2E"/>
    <w:rsid w:val="001D2D09"/>
    <w:rsid w:val="001D67BB"/>
    <w:rsid w:val="001E0E7F"/>
    <w:rsid w:val="001E2932"/>
    <w:rsid w:val="001E3596"/>
    <w:rsid w:val="001E5213"/>
    <w:rsid w:val="001F2E8E"/>
    <w:rsid w:val="002036A1"/>
    <w:rsid w:val="0020741E"/>
    <w:rsid w:val="002134B4"/>
    <w:rsid w:val="002203C9"/>
    <w:rsid w:val="00224186"/>
    <w:rsid w:val="0022719C"/>
    <w:rsid w:val="00237691"/>
    <w:rsid w:val="00242CA0"/>
    <w:rsid w:val="00243432"/>
    <w:rsid w:val="00247146"/>
    <w:rsid w:val="002538AF"/>
    <w:rsid w:val="00273D58"/>
    <w:rsid w:val="00276176"/>
    <w:rsid w:val="00277C1F"/>
    <w:rsid w:val="00283AD1"/>
    <w:rsid w:val="002860B5"/>
    <w:rsid w:val="002866AD"/>
    <w:rsid w:val="00286BE3"/>
    <w:rsid w:val="0029135D"/>
    <w:rsid w:val="00292951"/>
    <w:rsid w:val="00293CD1"/>
    <w:rsid w:val="002A2EF9"/>
    <w:rsid w:val="002A3962"/>
    <w:rsid w:val="002A5972"/>
    <w:rsid w:val="002B1E61"/>
    <w:rsid w:val="002B3CAD"/>
    <w:rsid w:val="002E238B"/>
    <w:rsid w:val="002E2A9D"/>
    <w:rsid w:val="002E3006"/>
    <w:rsid w:val="002E4200"/>
    <w:rsid w:val="002F3CBC"/>
    <w:rsid w:val="00304132"/>
    <w:rsid w:val="00312124"/>
    <w:rsid w:val="00313820"/>
    <w:rsid w:val="0032649A"/>
    <w:rsid w:val="00332F98"/>
    <w:rsid w:val="003430A6"/>
    <w:rsid w:val="003448FC"/>
    <w:rsid w:val="003548D8"/>
    <w:rsid w:val="003619D5"/>
    <w:rsid w:val="00363CC2"/>
    <w:rsid w:val="0037041F"/>
    <w:rsid w:val="00371EEC"/>
    <w:rsid w:val="003876F3"/>
    <w:rsid w:val="00390426"/>
    <w:rsid w:val="00394AEB"/>
    <w:rsid w:val="003A1E5A"/>
    <w:rsid w:val="003A6353"/>
    <w:rsid w:val="003B5F0C"/>
    <w:rsid w:val="003B7D87"/>
    <w:rsid w:val="003C13C6"/>
    <w:rsid w:val="003D5958"/>
    <w:rsid w:val="003D6AC7"/>
    <w:rsid w:val="003E49A6"/>
    <w:rsid w:val="003E5E34"/>
    <w:rsid w:val="003F0F68"/>
    <w:rsid w:val="003F53FB"/>
    <w:rsid w:val="00400B4D"/>
    <w:rsid w:val="00401F18"/>
    <w:rsid w:val="004056B7"/>
    <w:rsid w:val="00410AC8"/>
    <w:rsid w:val="00414664"/>
    <w:rsid w:val="004375EE"/>
    <w:rsid w:val="004433C9"/>
    <w:rsid w:val="00443460"/>
    <w:rsid w:val="0044773C"/>
    <w:rsid w:val="0046367D"/>
    <w:rsid w:val="004672B5"/>
    <w:rsid w:val="004844D1"/>
    <w:rsid w:val="0048559D"/>
    <w:rsid w:val="00494A93"/>
    <w:rsid w:val="00494D75"/>
    <w:rsid w:val="0049698C"/>
    <w:rsid w:val="004A1763"/>
    <w:rsid w:val="004B1E83"/>
    <w:rsid w:val="004D1C78"/>
    <w:rsid w:val="004D441E"/>
    <w:rsid w:val="004D46D1"/>
    <w:rsid w:val="004E1D9E"/>
    <w:rsid w:val="004F27A9"/>
    <w:rsid w:val="005164DC"/>
    <w:rsid w:val="00530EBD"/>
    <w:rsid w:val="00567912"/>
    <w:rsid w:val="00570098"/>
    <w:rsid w:val="005805E7"/>
    <w:rsid w:val="005814A8"/>
    <w:rsid w:val="00583F5D"/>
    <w:rsid w:val="0058424C"/>
    <w:rsid w:val="00584F8D"/>
    <w:rsid w:val="005A0350"/>
    <w:rsid w:val="005B5990"/>
    <w:rsid w:val="005B7D0F"/>
    <w:rsid w:val="005C45D4"/>
    <w:rsid w:val="005C6147"/>
    <w:rsid w:val="005D5F8C"/>
    <w:rsid w:val="005E0137"/>
    <w:rsid w:val="005E1098"/>
    <w:rsid w:val="005E356B"/>
    <w:rsid w:val="005E5148"/>
    <w:rsid w:val="0060114B"/>
    <w:rsid w:val="00611DE2"/>
    <w:rsid w:val="006167F4"/>
    <w:rsid w:val="006227B3"/>
    <w:rsid w:val="00632840"/>
    <w:rsid w:val="00632E23"/>
    <w:rsid w:val="00634F50"/>
    <w:rsid w:val="00642220"/>
    <w:rsid w:val="006505DC"/>
    <w:rsid w:val="00652ED1"/>
    <w:rsid w:val="00660F60"/>
    <w:rsid w:val="006626FF"/>
    <w:rsid w:val="006650A8"/>
    <w:rsid w:val="006661D5"/>
    <w:rsid w:val="0067772C"/>
    <w:rsid w:val="00685435"/>
    <w:rsid w:val="00690F56"/>
    <w:rsid w:val="006A4637"/>
    <w:rsid w:val="006B7057"/>
    <w:rsid w:val="006C39F8"/>
    <w:rsid w:val="006E1A08"/>
    <w:rsid w:val="006E72DC"/>
    <w:rsid w:val="006F2141"/>
    <w:rsid w:val="006F66F9"/>
    <w:rsid w:val="006F6E13"/>
    <w:rsid w:val="007010C5"/>
    <w:rsid w:val="007011F1"/>
    <w:rsid w:val="00706F69"/>
    <w:rsid w:val="007127A1"/>
    <w:rsid w:val="00713ACE"/>
    <w:rsid w:val="00715F82"/>
    <w:rsid w:val="0071749C"/>
    <w:rsid w:val="007412B6"/>
    <w:rsid w:val="007636EC"/>
    <w:rsid w:val="00767D37"/>
    <w:rsid w:val="00774503"/>
    <w:rsid w:val="00777CD2"/>
    <w:rsid w:val="0078038F"/>
    <w:rsid w:val="007853D0"/>
    <w:rsid w:val="00785FE9"/>
    <w:rsid w:val="00786E04"/>
    <w:rsid w:val="00796685"/>
    <w:rsid w:val="007A38F6"/>
    <w:rsid w:val="007A7F79"/>
    <w:rsid w:val="007C3659"/>
    <w:rsid w:val="007D46C2"/>
    <w:rsid w:val="008043E5"/>
    <w:rsid w:val="00804A1A"/>
    <w:rsid w:val="0081073D"/>
    <w:rsid w:val="008323ED"/>
    <w:rsid w:val="00835955"/>
    <w:rsid w:val="00837821"/>
    <w:rsid w:val="00846701"/>
    <w:rsid w:val="00853F60"/>
    <w:rsid w:val="008624D5"/>
    <w:rsid w:val="00871CA6"/>
    <w:rsid w:val="00876919"/>
    <w:rsid w:val="00882AB5"/>
    <w:rsid w:val="00882B1D"/>
    <w:rsid w:val="0088672C"/>
    <w:rsid w:val="008A1F0C"/>
    <w:rsid w:val="008A40D1"/>
    <w:rsid w:val="008B541B"/>
    <w:rsid w:val="008C77B0"/>
    <w:rsid w:val="008C7FF8"/>
    <w:rsid w:val="008E5998"/>
    <w:rsid w:val="00901003"/>
    <w:rsid w:val="0090158E"/>
    <w:rsid w:val="00901EF6"/>
    <w:rsid w:val="0090413E"/>
    <w:rsid w:val="0092245F"/>
    <w:rsid w:val="009271B1"/>
    <w:rsid w:val="009441E2"/>
    <w:rsid w:val="00963680"/>
    <w:rsid w:val="00964D3F"/>
    <w:rsid w:val="009700D9"/>
    <w:rsid w:val="00977E47"/>
    <w:rsid w:val="00985C15"/>
    <w:rsid w:val="00986D73"/>
    <w:rsid w:val="009A6DCA"/>
    <w:rsid w:val="009B00FD"/>
    <w:rsid w:val="009B11C7"/>
    <w:rsid w:val="009B38D1"/>
    <w:rsid w:val="009B4116"/>
    <w:rsid w:val="009C2A10"/>
    <w:rsid w:val="009D0905"/>
    <w:rsid w:val="009D1EA2"/>
    <w:rsid w:val="009E0141"/>
    <w:rsid w:val="009E234B"/>
    <w:rsid w:val="009F52F3"/>
    <w:rsid w:val="00A06FF6"/>
    <w:rsid w:val="00A10441"/>
    <w:rsid w:val="00A11B49"/>
    <w:rsid w:val="00A15094"/>
    <w:rsid w:val="00A15A41"/>
    <w:rsid w:val="00A21F98"/>
    <w:rsid w:val="00A3367A"/>
    <w:rsid w:val="00A35146"/>
    <w:rsid w:val="00A36550"/>
    <w:rsid w:val="00A41C21"/>
    <w:rsid w:val="00A47DA7"/>
    <w:rsid w:val="00A52DE7"/>
    <w:rsid w:val="00A55023"/>
    <w:rsid w:val="00A56B86"/>
    <w:rsid w:val="00A632EF"/>
    <w:rsid w:val="00A677E9"/>
    <w:rsid w:val="00A72882"/>
    <w:rsid w:val="00A740AB"/>
    <w:rsid w:val="00A75916"/>
    <w:rsid w:val="00A834BF"/>
    <w:rsid w:val="00A90769"/>
    <w:rsid w:val="00A92784"/>
    <w:rsid w:val="00A973AA"/>
    <w:rsid w:val="00AA177A"/>
    <w:rsid w:val="00AB3782"/>
    <w:rsid w:val="00AB4DC3"/>
    <w:rsid w:val="00AC11C2"/>
    <w:rsid w:val="00AC775D"/>
    <w:rsid w:val="00AD022F"/>
    <w:rsid w:val="00AD113F"/>
    <w:rsid w:val="00AD75AC"/>
    <w:rsid w:val="00AF2C11"/>
    <w:rsid w:val="00AF3788"/>
    <w:rsid w:val="00AF5262"/>
    <w:rsid w:val="00AF7928"/>
    <w:rsid w:val="00B23BEC"/>
    <w:rsid w:val="00B26E3E"/>
    <w:rsid w:val="00B35DAD"/>
    <w:rsid w:val="00B35E59"/>
    <w:rsid w:val="00B372EE"/>
    <w:rsid w:val="00B47443"/>
    <w:rsid w:val="00B5377A"/>
    <w:rsid w:val="00B546E8"/>
    <w:rsid w:val="00B6181C"/>
    <w:rsid w:val="00B61EED"/>
    <w:rsid w:val="00B66231"/>
    <w:rsid w:val="00B67D5C"/>
    <w:rsid w:val="00B754D2"/>
    <w:rsid w:val="00B92CB0"/>
    <w:rsid w:val="00BA6C9C"/>
    <w:rsid w:val="00BB020E"/>
    <w:rsid w:val="00BB3BEF"/>
    <w:rsid w:val="00BD34F2"/>
    <w:rsid w:val="00BD4B8F"/>
    <w:rsid w:val="00BE28CA"/>
    <w:rsid w:val="00BE518A"/>
    <w:rsid w:val="00BF06D1"/>
    <w:rsid w:val="00C02E4A"/>
    <w:rsid w:val="00C05B88"/>
    <w:rsid w:val="00C07F7F"/>
    <w:rsid w:val="00C12530"/>
    <w:rsid w:val="00C14429"/>
    <w:rsid w:val="00C15724"/>
    <w:rsid w:val="00C247D8"/>
    <w:rsid w:val="00C34009"/>
    <w:rsid w:val="00C3670F"/>
    <w:rsid w:val="00C4763A"/>
    <w:rsid w:val="00C5345E"/>
    <w:rsid w:val="00C63D1E"/>
    <w:rsid w:val="00C667F3"/>
    <w:rsid w:val="00C67298"/>
    <w:rsid w:val="00C712D2"/>
    <w:rsid w:val="00C77B5C"/>
    <w:rsid w:val="00C824C6"/>
    <w:rsid w:val="00C8275F"/>
    <w:rsid w:val="00C87068"/>
    <w:rsid w:val="00C9162F"/>
    <w:rsid w:val="00CA2F0A"/>
    <w:rsid w:val="00CB3579"/>
    <w:rsid w:val="00CC0731"/>
    <w:rsid w:val="00CC5157"/>
    <w:rsid w:val="00CC770C"/>
    <w:rsid w:val="00CD20BC"/>
    <w:rsid w:val="00CD215D"/>
    <w:rsid w:val="00CD61C8"/>
    <w:rsid w:val="00CD6628"/>
    <w:rsid w:val="00D026BC"/>
    <w:rsid w:val="00D2331B"/>
    <w:rsid w:val="00D36BB6"/>
    <w:rsid w:val="00D4452F"/>
    <w:rsid w:val="00D530AF"/>
    <w:rsid w:val="00D53DEB"/>
    <w:rsid w:val="00D57DE8"/>
    <w:rsid w:val="00D62D77"/>
    <w:rsid w:val="00D73AAD"/>
    <w:rsid w:val="00D75842"/>
    <w:rsid w:val="00D86FF7"/>
    <w:rsid w:val="00DB513E"/>
    <w:rsid w:val="00DB6A01"/>
    <w:rsid w:val="00DB7B7C"/>
    <w:rsid w:val="00DD432F"/>
    <w:rsid w:val="00DD6DF0"/>
    <w:rsid w:val="00E0031C"/>
    <w:rsid w:val="00E0138A"/>
    <w:rsid w:val="00E06430"/>
    <w:rsid w:val="00E22463"/>
    <w:rsid w:val="00E23871"/>
    <w:rsid w:val="00E322E9"/>
    <w:rsid w:val="00E400EA"/>
    <w:rsid w:val="00E46EE5"/>
    <w:rsid w:val="00E5623C"/>
    <w:rsid w:val="00E57F5E"/>
    <w:rsid w:val="00E60FB0"/>
    <w:rsid w:val="00E614A1"/>
    <w:rsid w:val="00E700AD"/>
    <w:rsid w:val="00E74ABD"/>
    <w:rsid w:val="00E83023"/>
    <w:rsid w:val="00E833E4"/>
    <w:rsid w:val="00E92EED"/>
    <w:rsid w:val="00E93A0F"/>
    <w:rsid w:val="00E9538E"/>
    <w:rsid w:val="00EA3E66"/>
    <w:rsid w:val="00EB7364"/>
    <w:rsid w:val="00EC0B43"/>
    <w:rsid w:val="00F11AA8"/>
    <w:rsid w:val="00F24787"/>
    <w:rsid w:val="00F27223"/>
    <w:rsid w:val="00F3606F"/>
    <w:rsid w:val="00F3623C"/>
    <w:rsid w:val="00F41116"/>
    <w:rsid w:val="00F4146D"/>
    <w:rsid w:val="00F44D20"/>
    <w:rsid w:val="00F4518C"/>
    <w:rsid w:val="00F4529D"/>
    <w:rsid w:val="00F463E3"/>
    <w:rsid w:val="00F53F09"/>
    <w:rsid w:val="00F56B20"/>
    <w:rsid w:val="00F6219B"/>
    <w:rsid w:val="00F64E0B"/>
    <w:rsid w:val="00F72D66"/>
    <w:rsid w:val="00F73850"/>
    <w:rsid w:val="00F8164B"/>
    <w:rsid w:val="00F935EE"/>
    <w:rsid w:val="00FA3D8C"/>
    <w:rsid w:val="00FA454E"/>
    <w:rsid w:val="00FB587F"/>
    <w:rsid w:val="00FF42E2"/>
    <w:rsid w:val="00FF4C58"/>
    <w:rsid w:val="00FF61D3"/>
    <w:rsid w:val="00FF6C7B"/>
    <w:rsid w:val="1674CC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538E"/>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qFormat/>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customStyle="1" w:styleId="Default">
    <w:name w:val="Default"/>
    <w:rsid w:val="007853D0"/>
    <w:pPr>
      <w:widowControl w:val="0"/>
      <w:autoSpaceDE w:val="0"/>
      <w:autoSpaceDN w:val="0"/>
      <w:adjustRightInd w:val="0"/>
    </w:pPr>
    <w:rPr>
      <w:rFonts w:ascii="Courier New" w:hAnsi="Courier New" w:cs="Courier New"/>
      <w:color w:val="000000"/>
      <w:sz w:val="24"/>
      <w:szCs w:val="24"/>
    </w:rPr>
  </w:style>
  <w:style w:type="character" w:styleId="Hyperlink">
    <w:name w:val="Hyperlink"/>
    <w:basedOn w:val="DefaultParagraphFont"/>
    <w:rsid w:val="002860B5"/>
    <w:rPr>
      <w:color w:val="0563C1" w:themeColor="hyperlink"/>
      <w:u w:val="single"/>
    </w:rPr>
  </w:style>
  <w:style w:type="table" w:styleId="TableGrid">
    <w:name w:val="Table Grid"/>
    <w:basedOn w:val="TableNormal"/>
    <w:uiPriority w:val="39"/>
    <w:rsid w:val="00E95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qFormat/>
    <w:rsid w:val="00F3606F"/>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F3606F"/>
    <w:rPr>
      <w:rFonts w:asciiTheme="minorHAnsi" w:eastAsiaTheme="minorHAnsi" w:hAnsiTheme="minorHAnsi" w:cstheme="minorBidi"/>
    </w:rPr>
  </w:style>
  <w:style w:type="paragraph" w:customStyle="1" w:styleId="NormalSS">
    <w:name w:val="NormalSS"/>
    <w:basedOn w:val="Normal"/>
    <w:link w:val="NormalSSChar"/>
    <w:qFormat/>
    <w:rsid w:val="0046367D"/>
    <w:pPr>
      <w:widowControl/>
      <w:autoSpaceDE/>
      <w:autoSpaceDN/>
      <w:adjustRightInd/>
      <w:spacing w:after="240"/>
      <w:ind w:firstLine="432"/>
    </w:pPr>
    <w:rPr>
      <w:rFonts w:ascii="Times New Roman" w:hAnsi="Times New Roman"/>
      <w:szCs w:val="20"/>
    </w:rPr>
  </w:style>
  <w:style w:type="character" w:customStyle="1" w:styleId="NormalSSChar">
    <w:name w:val="NormalSS Char"/>
    <w:basedOn w:val="DefaultParagraphFont"/>
    <w:link w:val="NormalSS"/>
    <w:rsid w:val="0046367D"/>
    <w:rPr>
      <w:sz w:val="24"/>
    </w:rPr>
  </w:style>
  <w:style w:type="paragraph" w:customStyle="1" w:styleId="H3Alpha">
    <w:name w:val="H3_Alpha"/>
    <w:basedOn w:val="Heading2"/>
    <w:next w:val="Normal"/>
    <w:link w:val="H3AlphaChar"/>
    <w:qFormat/>
    <w:rsid w:val="002E2A9D"/>
    <w:pPr>
      <w:widowControl/>
      <w:tabs>
        <w:tab w:val="left" w:pos="432"/>
      </w:tabs>
      <w:autoSpaceDE/>
      <w:autoSpaceDN/>
      <w:adjustRightInd/>
      <w:spacing w:before="0" w:after="120"/>
      <w:ind w:left="432" w:hanging="432"/>
      <w:outlineLvl w:val="2"/>
    </w:pPr>
    <w:rPr>
      <w:rFonts w:ascii="Arial Black" w:hAnsi="Arial Black"/>
      <w:b w:val="0"/>
      <w:bCs w:val="0"/>
      <w:i w:val="0"/>
      <w:iCs w:val="0"/>
      <w:color w:val="2E74B5" w:themeColor="accent1" w:themeShade="BF"/>
      <w:sz w:val="26"/>
    </w:rPr>
  </w:style>
  <w:style w:type="character" w:customStyle="1" w:styleId="H3AlphaChar">
    <w:name w:val="H3_Alpha Char"/>
    <w:basedOn w:val="Heading2Char"/>
    <w:link w:val="H3Alpha"/>
    <w:rsid w:val="002E2A9D"/>
    <w:rPr>
      <w:rFonts w:ascii="Arial Black" w:hAnsi="Arial Black" w:cs="Arial"/>
      <w:b w:val="0"/>
      <w:bCs w:val="0"/>
      <w:i w:val="0"/>
      <w:iCs w:val="0"/>
      <w:color w:val="2E74B5" w:themeColor="accent1" w:themeShade="BF"/>
      <w:sz w:val="26"/>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ulation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bill/115th-congress/house-bill/4174/text" TargetMode="External" /><Relationship Id="rId2" Type="http://schemas.openxmlformats.org/officeDocument/2006/relationships/hyperlink" Target="https://www.dol.gov/sites/dolgov/files/Data-Governance/DOL-Enterprise-Data-Strategy-2022.pdf" TargetMode="External" /><Relationship Id="rId3" Type="http://schemas.openxmlformats.org/officeDocument/2006/relationships/hyperlink" Target="https://strategy.data.gov/2021/action-plan/" TargetMode="External" /><Relationship Id="rId4" Type="http://schemas.openxmlformats.org/officeDocument/2006/relationships/hyperlink" Target="https://www.regulations.gov/document/DOL-2022-0003-0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BA0FF-7C5B-44A0-BBAC-A74B6D4E4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Hannon, Bradley - ASP</cp:lastModifiedBy>
  <cp:revision>2</cp:revision>
  <cp:lastPrinted>2020-02-19T15:46:00Z</cp:lastPrinted>
  <dcterms:created xsi:type="dcterms:W3CDTF">2023-09-05T16:50:00Z</dcterms:created>
  <dcterms:modified xsi:type="dcterms:W3CDTF">2023-09-05T16:50:00Z</dcterms:modified>
</cp:coreProperties>
</file>