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17113"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B26D6C">
        <w:rPr>
          <w:sz w:val="28"/>
        </w:rPr>
        <w:t xml:space="preserve"> </w:t>
      </w:r>
      <w:r>
        <w:rPr>
          <w:sz w:val="28"/>
        </w:rPr>
        <w:t xml:space="preserve">OMB Control Number: </w:t>
      </w:r>
      <w:r w:rsidRPr="00917113" w:rsidR="006C0D71">
        <w:rPr>
          <w:sz w:val="28"/>
        </w:rPr>
        <w:t>1</w:t>
      </w:r>
      <w:r w:rsidR="00F960ED">
        <w:rPr>
          <w:sz w:val="28"/>
        </w:rPr>
        <w:t>506-0062</w:t>
      </w:r>
    </w:p>
    <w:p w:rsidRPr="009239AA" w:rsidR="00E50293" w:rsidP="00434E33" w:rsidRDefault="00EF57DA">
      <w:pPr>
        <w:rPr>
          <w:b/>
        </w:rPr>
      </w:pPr>
      <w:r w:rsidRPr="00917113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99pt,0" w14:anchorId="1BDE2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wHE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"/>
            </w:pict>
          </mc:Fallback>
        </mc:AlternateContent>
      </w:r>
      <w:r w:rsidRPr="00917113" w:rsidR="005E714A">
        <w:rPr>
          <w:b/>
        </w:rPr>
        <w:t>TITLE OF INFORMATION COLLECTION:</w:t>
      </w:r>
      <w:r w:rsidRPr="00917113" w:rsidR="005E714A">
        <w:t xml:space="preserve">  </w:t>
      </w:r>
      <w:r w:rsidRPr="00917113" w:rsidR="006C0D71">
        <w:t>FinCEN</w:t>
      </w:r>
      <w:r w:rsidR="00F960ED">
        <w:t xml:space="preserve"> - </w:t>
      </w:r>
      <w:r w:rsidR="00924E11">
        <w:t>Foreign Financial Intelligence Unit (FIU)</w:t>
      </w:r>
      <w:r w:rsidR="00F960ED">
        <w:t xml:space="preserve">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8C4EF5">
        <w:rPr>
          <w:b/>
        </w:rPr>
        <w:t xml:space="preserve">  </w:t>
      </w:r>
      <w:r w:rsidR="008C4EF5">
        <w:t xml:space="preserve">Customer Satisfaction Survey.  To obtain annual data for FinCEN performance measures as required by the Government Performance and Results Act Modernization Act (GPRAMA).  </w:t>
      </w:r>
      <w:r w:rsidRPr="006E4FCB" w:rsidR="008C4EF5">
        <w:rPr>
          <w:rStyle w:val="normaltextrun1"/>
          <w:iCs/>
          <w:color w:val="000000"/>
        </w:rPr>
        <w:t>GPRAMA requires agencies to use performance data to drive decisions</w:t>
      </w:r>
      <w:r w:rsidR="009E20E6">
        <w:rPr>
          <w:rStyle w:val="normaltextrun1"/>
          <w:iCs/>
          <w:color w:val="000000"/>
        </w:rPr>
        <w:t xml:space="preserve">, FinCEN will use the information to report performance progress in budget and performance documents as required by GPRAMA.  </w:t>
      </w:r>
      <w:r w:rsidR="007A0329">
        <w:t xml:space="preserve">This performance measure tracks </w:t>
      </w:r>
      <w:r w:rsidR="00E63DA3">
        <w:t xml:space="preserve">the Foreign FIU response to </w:t>
      </w:r>
      <w:r w:rsidR="007A0329">
        <w:t>what the analytics products are intended to do, i.e. be useful to a wide range of customers and have impact, such as identify new leads or provide previously unknown information.</w:t>
      </w:r>
      <w:r w:rsidR="009E20E6">
        <w:rPr>
          <w:rStyle w:val="normaltextrun1"/>
          <w:iCs/>
          <w:color w:val="000000"/>
        </w:rPr>
        <w:t xml:space="preserve"> The survey is administered by the CFI group</w:t>
      </w:r>
      <w:r w:rsidR="006E1788">
        <w:rPr>
          <w:rStyle w:val="normaltextrun1"/>
          <w:iCs/>
          <w:color w:val="000000"/>
        </w:rPr>
        <w:t>, on behalf of FinCEN,</w:t>
      </w:r>
      <w:r w:rsidR="009E20E6">
        <w:rPr>
          <w:rStyle w:val="normaltextrun1"/>
          <w:iCs/>
          <w:color w:val="000000"/>
        </w:rPr>
        <w:t xml:space="preserve"> via a link provided in an email.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AD5E68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EA519E">
        <w:t xml:space="preserve">Foreign FIUs </w:t>
      </w:r>
      <w:r w:rsidR="00924E11">
        <w:t>who received at least one investigative case report from FinCEN in the past year</w:t>
      </w:r>
      <w:r w:rsidR="00AD5E68">
        <w:t>.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0D36C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  <w:t>[X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</w:t>
      </w:r>
      <w:r w:rsidR="00EE00CF">
        <w:t>:  Kelli Nemceff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E00CF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 ] Yes [ </w:t>
      </w:r>
      <w:r w:rsidR="00EE00CF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11632" w:type="dxa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1546"/>
        <w:gridCol w:w="1710"/>
        <w:gridCol w:w="1350"/>
        <w:gridCol w:w="1626"/>
        <w:gridCol w:w="3378"/>
      </w:tblGrid>
      <w:tr w:rsidR="00EE00CF" w:rsidTr="00C5532C">
        <w:trPr>
          <w:trHeight w:val="266"/>
        </w:trPr>
        <w:tc>
          <w:tcPr>
            <w:tcW w:w="2022" w:type="dxa"/>
          </w:tcPr>
          <w:p w:rsidRPr="0001027E" w:rsidR="00EE00CF" w:rsidP="00C5532C" w:rsidRDefault="00EE00CF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46" w:type="dxa"/>
          </w:tcPr>
          <w:p w:rsidRPr="0001027E" w:rsidR="00EE00CF" w:rsidP="00C5532C" w:rsidRDefault="00EE00CF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>
              <w:rPr>
                <w:b/>
              </w:rPr>
              <w:t>umber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EE00CF" w:rsidP="00C5532C" w:rsidRDefault="00EE00CF">
            <w:pPr>
              <w:rPr>
                <w:b/>
              </w:rPr>
            </w:pPr>
            <w:r>
              <w:rPr>
                <w:b/>
              </w:rPr>
              <w:t>Number of Responses per Respondent</w:t>
            </w:r>
          </w:p>
        </w:tc>
        <w:tc>
          <w:tcPr>
            <w:tcW w:w="1350" w:type="dxa"/>
          </w:tcPr>
          <w:p w:rsidRPr="0001027E" w:rsidR="00EE00CF" w:rsidP="00C5532C" w:rsidRDefault="00EE00CF">
            <w:pPr>
              <w:rPr>
                <w:b/>
              </w:rPr>
            </w:pPr>
            <w:r>
              <w:rPr>
                <w:b/>
              </w:rPr>
              <w:t>Number of Responses</w:t>
            </w:r>
          </w:p>
        </w:tc>
        <w:tc>
          <w:tcPr>
            <w:tcW w:w="1626" w:type="dxa"/>
          </w:tcPr>
          <w:p w:rsidRPr="0001027E" w:rsidR="00EE00CF" w:rsidP="00C5532C" w:rsidRDefault="00EE00CF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3378" w:type="dxa"/>
          </w:tcPr>
          <w:p w:rsidRPr="0001027E" w:rsidR="00EE00CF" w:rsidP="00C5532C" w:rsidRDefault="00EE00CF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E00CF" w:rsidTr="00C5532C">
        <w:trPr>
          <w:trHeight w:val="266"/>
        </w:trPr>
        <w:tc>
          <w:tcPr>
            <w:tcW w:w="2022" w:type="dxa"/>
          </w:tcPr>
          <w:p w:rsidR="00EE00CF" w:rsidP="00C5532C" w:rsidRDefault="006E1788">
            <w:r>
              <w:t>Foreign FIU</w:t>
            </w:r>
          </w:p>
        </w:tc>
        <w:tc>
          <w:tcPr>
            <w:tcW w:w="1546" w:type="dxa"/>
          </w:tcPr>
          <w:p w:rsidR="00EE00CF" w:rsidP="00C5532C" w:rsidRDefault="006E1788">
            <w:r>
              <w:t>214</w:t>
            </w:r>
          </w:p>
        </w:tc>
        <w:tc>
          <w:tcPr>
            <w:tcW w:w="1710" w:type="dxa"/>
          </w:tcPr>
          <w:p w:rsidR="00EE00CF" w:rsidP="00C5532C" w:rsidRDefault="00EE00CF">
            <w:r>
              <w:t>1</w:t>
            </w:r>
          </w:p>
        </w:tc>
        <w:tc>
          <w:tcPr>
            <w:tcW w:w="1350" w:type="dxa"/>
          </w:tcPr>
          <w:p w:rsidR="00EE00CF" w:rsidP="00C5532C" w:rsidRDefault="006E1788">
            <w:r>
              <w:t>214</w:t>
            </w:r>
          </w:p>
        </w:tc>
        <w:tc>
          <w:tcPr>
            <w:tcW w:w="1626" w:type="dxa"/>
          </w:tcPr>
          <w:p w:rsidR="00EE00CF" w:rsidP="00C5532C" w:rsidRDefault="006E1788">
            <w:r>
              <w:t xml:space="preserve">10 </w:t>
            </w:r>
            <w:r w:rsidR="00EA2558">
              <w:t>minutes</w:t>
            </w:r>
          </w:p>
        </w:tc>
        <w:tc>
          <w:tcPr>
            <w:tcW w:w="3378" w:type="dxa"/>
          </w:tcPr>
          <w:p w:rsidR="00EE00CF" w:rsidP="00C5532C" w:rsidRDefault="006E1788">
            <w:r>
              <w:t>36</w:t>
            </w:r>
            <w:r w:rsidR="00F93847">
              <w:t xml:space="preserve"> hours</w:t>
            </w:r>
          </w:p>
        </w:tc>
      </w:tr>
      <w:tr w:rsidR="00EE00CF" w:rsidTr="00C5532C">
        <w:trPr>
          <w:trHeight w:val="266"/>
        </w:trPr>
        <w:tc>
          <w:tcPr>
            <w:tcW w:w="2022" w:type="dxa"/>
          </w:tcPr>
          <w:p w:rsidR="00EE00CF" w:rsidP="00C5532C" w:rsidRDefault="00EE00CF"/>
        </w:tc>
        <w:tc>
          <w:tcPr>
            <w:tcW w:w="1546" w:type="dxa"/>
          </w:tcPr>
          <w:p w:rsidR="00EE00CF" w:rsidP="00C5532C" w:rsidRDefault="00EE00CF"/>
        </w:tc>
        <w:tc>
          <w:tcPr>
            <w:tcW w:w="1710" w:type="dxa"/>
          </w:tcPr>
          <w:p w:rsidR="00EE00CF" w:rsidP="00C5532C" w:rsidRDefault="00EE00CF"/>
        </w:tc>
        <w:tc>
          <w:tcPr>
            <w:tcW w:w="1350" w:type="dxa"/>
          </w:tcPr>
          <w:p w:rsidR="00EE00CF" w:rsidP="00C5532C" w:rsidRDefault="00EE00CF"/>
        </w:tc>
        <w:tc>
          <w:tcPr>
            <w:tcW w:w="1626" w:type="dxa"/>
          </w:tcPr>
          <w:p w:rsidR="00EE00CF" w:rsidP="00C5532C" w:rsidRDefault="00EE00CF"/>
        </w:tc>
        <w:tc>
          <w:tcPr>
            <w:tcW w:w="3378" w:type="dxa"/>
          </w:tcPr>
          <w:p w:rsidR="00EE00CF" w:rsidP="00C5532C" w:rsidRDefault="00EE00CF"/>
        </w:tc>
      </w:tr>
      <w:tr w:rsidR="00EE00CF" w:rsidTr="00C5532C">
        <w:trPr>
          <w:trHeight w:val="281"/>
        </w:trPr>
        <w:tc>
          <w:tcPr>
            <w:tcW w:w="2022" w:type="dxa"/>
          </w:tcPr>
          <w:p w:rsidRPr="0001027E" w:rsidR="00EE00CF" w:rsidP="00C5532C" w:rsidRDefault="00EE00CF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46" w:type="dxa"/>
          </w:tcPr>
          <w:p w:rsidRPr="0001027E" w:rsidR="00EE00CF" w:rsidP="00C5532C" w:rsidRDefault="006E1788">
            <w:pPr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1710" w:type="dxa"/>
          </w:tcPr>
          <w:p w:rsidRPr="00EA2558" w:rsidR="00EE00CF" w:rsidP="00C5532C" w:rsidRDefault="00EA2558">
            <w:pPr>
              <w:rPr>
                <w:b/>
              </w:rPr>
            </w:pPr>
            <w:r w:rsidRPr="00EA2558">
              <w:rPr>
                <w:b/>
              </w:rPr>
              <w:t>1</w:t>
            </w:r>
          </w:p>
        </w:tc>
        <w:tc>
          <w:tcPr>
            <w:tcW w:w="1350" w:type="dxa"/>
          </w:tcPr>
          <w:p w:rsidRPr="00EA2558" w:rsidR="00EE00CF" w:rsidP="00C5532C" w:rsidRDefault="006E1788">
            <w:pPr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1626" w:type="dxa"/>
          </w:tcPr>
          <w:p w:rsidRPr="00EA2558" w:rsidR="00EE00CF" w:rsidP="00C5532C" w:rsidRDefault="006E1788">
            <w:pPr>
              <w:rPr>
                <w:b/>
              </w:rPr>
            </w:pPr>
            <w:r>
              <w:rPr>
                <w:b/>
              </w:rPr>
              <w:t>10</w:t>
            </w:r>
            <w:r w:rsidRPr="00EA2558" w:rsidR="00EA2558">
              <w:rPr>
                <w:b/>
              </w:rPr>
              <w:t xml:space="preserve"> minutes</w:t>
            </w:r>
          </w:p>
        </w:tc>
        <w:tc>
          <w:tcPr>
            <w:tcW w:w="3378" w:type="dxa"/>
          </w:tcPr>
          <w:p w:rsidRPr="0001027E" w:rsidR="00EE00CF" w:rsidP="00C5532C" w:rsidRDefault="006E1788">
            <w:pPr>
              <w:rPr>
                <w:b/>
              </w:rPr>
            </w:pPr>
            <w:r>
              <w:rPr>
                <w:b/>
              </w:rPr>
              <w:t>36</w:t>
            </w:r>
            <w:r w:rsidR="00EA2558">
              <w:rPr>
                <w:b/>
              </w:rPr>
              <w:t xml:space="preserve"> hours</w:t>
            </w:r>
          </w:p>
        </w:tc>
      </w:tr>
    </w:tbl>
    <w:p w:rsidR="00EE00CF" w:rsidP="00EE00CF" w:rsidRDefault="00EE00CF"/>
    <w:p w:rsidR="006E1788" w:rsidP="006E1788" w:rsidRDefault="006E1788">
      <w:pPr>
        <w:numPr>
          <w:ilvl w:val="0"/>
          <w:numId w:val="21"/>
        </w:numPr>
        <w:rPr>
          <w:sz w:val="22"/>
          <w:szCs w:val="22"/>
        </w:rPr>
      </w:pPr>
      <w:r>
        <w:rPr>
          <w:b/>
          <w:bCs/>
        </w:rPr>
        <w:t>Foreign FIU = 36 hours</w:t>
      </w:r>
      <w:r>
        <w:t xml:space="preserve"> (214 total completes x 10 min, converted to hours)</w:t>
      </w:r>
    </w:p>
    <w:p w:rsidR="006E1788" w:rsidP="00EE00CF" w:rsidRDefault="006E1788">
      <w:pPr>
        <w:rPr>
          <w:b/>
        </w:rPr>
      </w:pPr>
    </w:p>
    <w:p w:rsidR="00EE00CF" w:rsidP="00EE00CF" w:rsidRDefault="00EE00CF">
      <w:r>
        <w:rPr>
          <w:b/>
        </w:rPr>
        <w:t xml:space="preserve">FEDERAL COST:  </w:t>
      </w:r>
      <w:r>
        <w:t>The estimated annual cost t</w:t>
      </w:r>
      <w:r w:rsidR="00DF5DA8">
        <w:t xml:space="preserve">o the Federal government is </w:t>
      </w:r>
      <w:r>
        <w:t>$</w:t>
      </w:r>
      <w:r w:rsidR="00EA519E">
        <w:t>15,928.60</w:t>
      </w:r>
    </w:p>
    <w:p w:rsidR="00EE00CF" w:rsidP="00EE00CF" w:rsidRDefault="00EE00CF"/>
    <w:p w:rsidR="00EE00CF" w:rsidP="00EE00CF" w:rsidRDefault="00EE00CF">
      <w:pPr>
        <w:pStyle w:val="BodyText"/>
        <w:tabs>
          <w:tab w:val="left" w:pos="6959"/>
        </w:tabs>
        <w:spacing w:before="7" w:line="254" w:lineRule="auto"/>
        <w:ind w:left="360" w:right="257"/>
        <w:rPr>
          <w:rFonts w:ascii="Courier New"/>
        </w:rPr>
      </w:pPr>
      <w:r w:rsidRPr="00B034B6">
        <w:rPr>
          <w:rFonts w:ascii="Courier New"/>
        </w:rPr>
        <w:t>It is estimated</w:t>
      </w:r>
      <w:r>
        <w:rPr>
          <w:rFonts w:ascii="Courier New"/>
        </w:rPr>
        <w:t xml:space="preserve"> that 1 GS level 14, Step 10 will spend</w:t>
      </w:r>
      <w:r w:rsidRPr="00B034B6">
        <w:rPr>
          <w:rFonts w:ascii="Courier New"/>
        </w:rPr>
        <w:t xml:space="preserve"> approximately 10% of their time (2080 annual working hours x 10% = 208 hours) annually to review, analyze, and assimilate survey responses. </w:t>
      </w:r>
    </w:p>
    <w:p w:rsidRPr="00B034B6" w:rsidR="00EE00CF" w:rsidP="00EE00CF" w:rsidRDefault="00EE00CF">
      <w:pPr>
        <w:pStyle w:val="BodyText"/>
        <w:tabs>
          <w:tab w:val="left" w:pos="6959"/>
        </w:tabs>
        <w:spacing w:before="7" w:line="254" w:lineRule="auto"/>
        <w:ind w:left="360" w:right="257"/>
        <w:rPr>
          <w:rFonts w:ascii="Courier New"/>
        </w:rPr>
      </w:pPr>
      <w:r w:rsidRPr="00B034B6">
        <w:rPr>
          <w:rFonts w:ascii="Courier New"/>
        </w:rPr>
        <w:t xml:space="preserve">  </w:t>
      </w:r>
    </w:p>
    <w:tbl>
      <w:tblPr>
        <w:tblW w:w="28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564"/>
      </w:tblGrid>
      <w:tr w:rsidR="00EE00CF" w:rsidTr="00C5532C">
        <w:trPr>
          <w:trHeight w:val="227"/>
        </w:trPr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00CF" w:rsidP="00C5532C" w:rsidRDefault="00EE00C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GS14/10:  </w:t>
            </w: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00CF" w:rsidP="00C5532C" w:rsidRDefault="00EE00CF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 $  159,286.00 </w:t>
            </w:r>
          </w:p>
        </w:tc>
      </w:tr>
      <w:tr w:rsidR="00EE00CF" w:rsidTr="00C5532C">
        <w:trPr>
          <w:trHeight w:val="227"/>
        </w:trPr>
        <w:tc>
          <w:tcPr>
            <w:tcW w:w="1327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00CF" w:rsidP="00C5532C" w:rsidRDefault="00EE0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00CF" w:rsidP="00C5532C" w:rsidRDefault="00EE0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     15,928.60 </w:t>
            </w:r>
          </w:p>
        </w:tc>
      </w:tr>
      <w:tr w:rsidR="00EE00CF" w:rsidTr="00C517A6">
        <w:trPr>
          <w:trHeight w:val="227"/>
        </w:trPr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00CF" w:rsidP="00C5532C" w:rsidRDefault="00EE00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00CF" w:rsidP="00C5532C" w:rsidRDefault="00EE00CF">
            <w:pPr>
              <w:rPr>
                <w:color w:val="000000"/>
                <w:sz w:val="20"/>
                <w:szCs w:val="20"/>
              </w:rPr>
            </w:pPr>
          </w:p>
        </w:tc>
      </w:tr>
      <w:tr w:rsidR="00EE00CF" w:rsidTr="00C5532C">
        <w:trPr>
          <w:trHeight w:val="227"/>
        </w:trPr>
        <w:tc>
          <w:tcPr>
            <w:tcW w:w="1327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00CF" w:rsidP="00C5532C" w:rsidRDefault="00EE00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00CF" w:rsidP="00C5532C" w:rsidRDefault="00FC2C7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$15,928.60</w:t>
            </w:r>
            <w:r w:rsidR="00EE00C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E00CF" w:rsidTr="00C517A6">
        <w:trPr>
          <w:trHeight w:val="227"/>
        </w:trPr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00CF" w:rsidP="00C5532C" w:rsidRDefault="00EE00C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00CF" w:rsidP="00C5532C" w:rsidRDefault="00EE00CF">
            <w:pPr>
              <w:rPr>
                <w:color w:val="000000"/>
              </w:rPr>
            </w:pPr>
          </w:p>
        </w:tc>
      </w:tr>
    </w:tbl>
    <w:p w:rsidR="00EE00CF" w:rsidP="00EE00CF" w:rsidRDefault="00EE00CF">
      <w:pPr>
        <w:pStyle w:val="BodyText"/>
        <w:tabs>
          <w:tab w:val="left" w:pos="6959"/>
        </w:tabs>
        <w:spacing w:before="7" w:line="254" w:lineRule="auto"/>
        <w:ind w:left="360" w:right="257"/>
        <w:rPr>
          <w:rFonts w:ascii="Courier New"/>
        </w:rPr>
      </w:pPr>
    </w:p>
    <w:p w:rsidRPr="00896A1A" w:rsidR="00EE00CF" w:rsidP="00EE00CF" w:rsidRDefault="00EE00CF">
      <w:pPr>
        <w:pStyle w:val="BodyText"/>
        <w:tabs>
          <w:tab w:val="left" w:pos="6959"/>
        </w:tabs>
        <w:spacing w:before="7" w:line="254" w:lineRule="auto"/>
        <w:ind w:left="360" w:right="257"/>
        <w:rPr>
          <w:rFonts w:ascii="Courier New"/>
        </w:rPr>
      </w:pPr>
      <w:r w:rsidRPr="00B034B6">
        <w:rPr>
          <w:rFonts w:ascii="Courier New"/>
        </w:rPr>
        <w:t xml:space="preserve">The annual government cost is estimated to be $ </w:t>
      </w:r>
      <w:r w:rsidR="00EA519E">
        <w:rPr>
          <w:rFonts w:ascii="Courier New"/>
        </w:rPr>
        <w:t>15,928.60</w:t>
      </w:r>
      <w:r w:rsidRPr="00B034B6">
        <w:rPr>
          <w:rFonts w:ascii="Courier New"/>
        </w:rPr>
        <w:t xml:space="preserve"> </w:t>
      </w:r>
      <w:r>
        <w:rPr>
          <w:rFonts w:ascii="Courier New"/>
        </w:rPr>
        <w:t>(208 hours annually x $</w:t>
      </w:r>
      <w:r w:rsidR="00EA519E">
        <w:rPr>
          <w:rFonts w:ascii="Courier New"/>
        </w:rPr>
        <w:t>76.58</w:t>
      </w:r>
      <w:r>
        <w:rPr>
          <w:rFonts w:ascii="Courier New"/>
        </w:rPr>
        <w:t xml:space="preserve"> = </w:t>
      </w:r>
      <w:r w:rsidR="00EA519E">
        <w:rPr>
          <w:rFonts w:ascii="Courier New"/>
        </w:rPr>
        <w:t>15,928.60</w:t>
      </w:r>
      <w:r>
        <w:rPr>
          <w:rFonts w:ascii="Courier New"/>
        </w:rPr>
        <w:t xml:space="preserve">).  </w:t>
      </w:r>
      <w:r w:rsidR="00EA519E">
        <w:rPr>
          <w:rFonts w:ascii="Courier New"/>
        </w:rPr>
        <w:t>Th</w:t>
      </w:r>
      <w:r>
        <w:rPr>
          <w:rFonts w:ascii="Courier New"/>
        </w:rPr>
        <w:t xml:space="preserve">is </w:t>
      </w:r>
      <w:r w:rsidR="00EA519E">
        <w:rPr>
          <w:rFonts w:ascii="Courier New"/>
        </w:rPr>
        <w:t xml:space="preserve">uses </w:t>
      </w:r>
      <w:r>
        <w:rPr>
          <w:rFonts w:ascii="Courier New"/>
        </w:rPr>
        <w:t xml:space="preserve">the fully-loaded wage rate using the FY21 (Washington-Baltimore-Northern Virginia) GS Pay scale.  </w:t>
      </w:r>
    </w:p>
    <w:p w:rsidR="00EE00CF" w:rsidP="00EE00CF" w:rsidRDefault="00EE00CF">
      <w:pPr>
        <w:rPr>
          <w:b/>
        </w:rPr>
      </w:pPr>
    </w:p>
    <w:p w:rsidR="000F574B" w:rsidRDefault="000F574B">
      <w:pPr>
        <w:rPr>
          <w:b/>
          <w:bCs/>
          <w:u w:val="single"/>
        </w:rPr>
      </w:pPr>
      <w:r>
        <w:rPr>
          <w:b/>
          <w:bCs/>
          <w:u w:val="single"/>
        </w:rPr>
        <w:t>STATISTICAL METHOD:</w:t>
      </w:r>
    </w:p>
    <w:p w:rsidR="000F574B" w:rsidRDefault="000F574B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C517A6">
        <w:t>X</w:t>
      </w:r>
      <w:r>
        <w:t xml:space="preserve">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EE00CF" w:rsidP="00A403BB" w:rsidRDefault="00C517A6">
      <w:pPr>
        <w:pStyle w:val="ListParagraph"/>
      </w:pPr>
      <w:r>
        <w:t xml:space="preserve">The </w:t>
      </w:r>
      <w:r w:rsidR="00F45534">
        <w:t>c</w:t>
      </w:r>
      <w:r w:rsidR="00EE00CF">
        <w:t xml:space="preserve">ustomer list </w:t>
      </w:r>
      <w:r w:rsidR="00E63DA3">
        <w:t xml:space="preserve">is </w:t>
      </w:r>
      <w:r w:rsidR="00EE00CF">
        <w:t>provided by FinCEN</w:t>
      </w:r>
      <w:r w:rsidR="00F67120">
        <w:t xml:space="preserve"> and is based on Foreign FIUs who received at</w:t>
      </w:r>
      <w:r>
        <w:t xml:space="preserve"> least one investigative report during the fiscal year</w:t>
      </w:r>
      <w:r w:rsidR="00EE00CF">
        <w:t xml:space="preserve"> All respondents/contacts within </w:t>
      </w:r>
      <w:r>
        <w:t xml:space="preserve">the customer list are sent a survey.  The survey is </w:t>
      </w:r>
      <w:r w:rsidR="00EE00CF">
        <w:t>sent electronically (email) and requested to participate.</w:t>
      </w:r>
    </w:p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EE00CF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EE00CF">
        <w:t>X</w:t>
      </w:r>
      <w:r>
        <w:t xml:space="preserve"> ] No</w:t>
      </w:r>
    </w:p>
    <w:p w:rsidR="000F574B" w:rsidP="000F574B" w:rsidRDefault="000F574B">
      <w:pPr>
        <w:pStyle w:val="ListParagraph"/>
        <w:ind w:left="360"/>
      </w:pPr>
    </w:p>
    <w:p w:rsidR="0024521E" w:rsidP="000F574B" w:rsidRDefault="00F24CFC">
      <w:pPr>
        <w:pStyle w:val="ListParagraph"/>
        <w:ind w:left="0"/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F24CFC" w:rsidR="000F574B" w:rsidP="000F574B" w:rsidRDefault="000F574B">
      <w:pPr>
        <w:pStyle w:val="ListParagraph"/>
        <w:ind w:left="0"/>
        <w:rPr>
          <w:b/>
        </w:rPr>
      </w:pP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EF57D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0" cy="0"/>
                <wp:effectExtent l="9525" t="10160" r="9525" b="184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99pt,0" w14:anchorId="7A542D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xj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="005E714A" w:rsidP="000432CD" w:rsidRDefault="00CF6542"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43E" w:rsidRDefault="00D3743E">
      <w:r>
        <w:separator/>
      </w:r>
    </w:p>
  </w:endnote>
  <w:endnote w:type="continuationSeparator" w:id="0">
    <w:p w:rsidR="00D3743E" w:rsidRDefault="00D3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F57D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43E" w:rsidRDefault="00D3743E">
      <w:r>
        <w:separator/>
      </w:r>
    </w:p>
  </w:footnote>
  <w:footnote w:type="continuationSeparator" w:id="0">
    <w:p w:rsidR="00D3743E" w:rsidRDefault="00D37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D2B6B51"/>
    <w:multiLevelType w:val="hybridMultilevel"/>
    <w:tmpl w:val="3CDC2686"/>
    <w:lvl w:ilvl="0" w:tplc="9362A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431EF"/>
    <w:multiLevelType w:val="hybridMultilevel"/>
    <w:tmpl w:val="CDE2DC6A"/>
    <w:lvl w:ilvl="0" w:tplc="5658C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BF3710D"/>
    <w:multiLevelType w:val="hybridMultilevel"/>
    <w:tmpl w:val="BDF2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9"/>
  </w:num>
  <w:num w:numId="20">
    <w:abstractNumId w:val="16"/>
  </w:num>
  <w:num w:numId="2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32CD"/>
    <w:rsid w:val="00047A64"/>
    <w:rsid w:val="00067329"/>
    <w:rsid w:val="000B2838"/>
    <w:rsid w:val="000D36C6"/>
    <w:rsid w:val="000D44CA"/>
    <w:rsid w:val="000E200B"/>
    <w:rsid w:val="000E6F60"/>
    <w:rsid w:val="000F574B"/>
    <w:rsid w:val="000F68BE"/>
    <w:rsid w:val="001927A4"/>
    <w:rsid w:val="00194AC6"/>
    <w:rsid w:val="001A23B0"/>
    <w:rsid w:val="001A25CC"/>
    <w:rsid w:val="001A729B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005DD"/>
    <w:rsid w:val="003D5BBE"/>
    <w:rsid w:val="003E3C61"/>
    <w:rsid w:val="003F1C5B"/>
    <w:rsid w:val="004157C1"/>
    <w:rsid w:val="00434E33"/>
    <w:rsid w:val="004403CF"/>
    <w:rsid w:val="00441434"/>
    <w:rsid w:val="0045264C"/>
    <w:rsid w:val="004733C4"/>
    <w:rsid w:val="004876EC"/>
    <w:rsid w:val="0049263E"/>
    <w:rsid w:val="004D6E14"/>
    <w:rsid w:val="005009B0"/>
    <w:rsid w:val="00553CE7"/>
    <w:rsid w:val="0057065C"/>
    <w:rsid w:val="005A1006"/>
    <w:rsid w:val="005E714A"/>
    <w:rsid w:val="005F693D"/>
    <w:rsid w:val="006140A0"/>
    <w:rsid w:val="00636621"/>
    <w:rsid w:val="00642B49"/>
    <w:rsid w:val="006539B4"/>
    <w:rsid w:val="006832D9"/>
    <w:rsid w:val="0069403B"/>
    <w:rsid w:val="006A742D"/>
    <w:rsid w:val="006C0D71"/>
    <w:rsid w:val="006E1788"/>
    <w:rsid w:val="006E2050"/>
    <w:rsid w:val="006E45A4"/>
    <w:rsid w:val="006F3DDE"/>
    <w:rsid w:val="00704678"/>
    <w:rsid w:val="007425E7"/>
    <w:rsid w:val="0077319B"/>
    <w:rsid w:val="007A0329"/>
    <w:rsid w:val="007B6C6D"/>
    <w:rsid w:val="007F7080"/>
    <w:rsid w:val="00802607"/>
    <w:rsid w:val="008101A5"/>
    <w:rsid w:val="00822664"/>
    <w:rsid w:val="00831476"/>
    <w:rsid w:val="00843796"/>
    <w:rsid w:val="00895229"/>
    <w:rsid w:val="00896A1A"/>
    <w:rsid w:val="008B2EB3"/>
    <w:rsid w:val="008C4EF5"/>
    <w:rsid w:val="008F0203"/>
    <w:rsid w:val="008F50D4"/>
    <w:rsid w:val="00917113"/>
    <w:rsid w:val="009239AA"/>
    <w:rsid w:val="009241C9"/>
    <w:rsid w:val="00924E11"/>
    <w:rsid w:val="00932C9F"/>
    <w:rsid w:val="00935ADA"/>
    <w:rsid w:val="009424D1"/>
    <w:rsid w:val="00946B6C"/>
    <w:rsid w:val="00955A71"/>
    <w:rsid w:val="0096108F"/>
    <w:rsid w:val="009C13B9"/>
    <w:rsid w:val="009D01A2"/>
    <w:rsid w:val="009D42F7"/>
    <w:rsid w:val="009E20E6"/>
    <w:rsid w:val="009E6456"/>
    <w:rsid w:val="009F5923"/>
    <w:rsid w:val="00A06F78"/>
    <w:rsid w:val="00A403BB"/>
    <w:rsid w:val="00A674DF"/>
    <w:rsid w:val="00A83AA6"/>
    <w:rsid w:val="00A934D6"/>
    <w:rsid w:val="00AD5E68"/>
    <w:rsid w:val="00AE1809"/>
    <w:rsid w:val="00B03C40"/>
    <w:rsid w:val="00B26D6C"/>
    <w:rsid w:val="00B80D76"/>
    <w:rsid w:val="00BA2105"/>
    <w:rsid w:val="00BA7E06"/>
    <w:rsid w:val="00BB43B5"/>
    <w:rsid w:val="00BB6219"/>
    <w:rsid w:val="00BD290F"/>
    <w:rsid w:val="00C01AD0"/>
    <w:rsid w:val="00C14CC4"/>
    <w:rsid w:val="00C33C52"/>
    <w:rsid w:val="00C40D8B"/>
    <w:rsid w:val="00C517A6"/>
    <w:rsid w:val="00C5532C"/>
    <w:rsid w:val="00C8407A"/>
    <w:rsid w:val="00C8488C"/>
    <w:rsid w:val="00C86E91"/>
    <w:rsid w:val="00CA2650"/>
    <w:rsid w:val="00CB1078"/>
    <w:rsid w:val="00CC6FAF"/>
    <w:rsid w:val="00CF6542"/>
    <w:rsid w:val="00D24698"/>
    <w:rsid w:val="00D3743E"/>
    <w:rsid w:val="00D6383F"/>
    <w:rsid w:val="00DA25A9"/>
    <w:rsid w:val="00DB59D0"/>
    <w:rsid w:val="00DC33D3"/>
    <w:rsid w:val="00DD763F"/>
    <w:rsid w:val="00DF2F26"/>
    <w:rsid w:val="00DF5DA8"/>
    <w:rsid w:val="00E26329"/>
    <w:rsid w:val="00E40B50"/>
    <w:rsid w:val="00E50293"/>
    <w:rsid w:val="00E63DA3"/>
    <w:rsid w:val="00E65FFC"/>
    <w:rsid w:val="00E706A2"/>
    <w:rsid w:val="00E744EA"/>
    <w:rsid w:val="00E80951"/>
    <w:rsid w:val="00E86CC6"/>
    <w:rsid w:val="00EA2558"/>
    <w:rsid w:val="00EA519E"/>
    <w:rsid w:val="00EB56B3"/>
    <w:rsid w:val="00ED6492"/>
    <w:rsid w:val="00EE00CF"/>
    <w:rsid w:val="00EF2095"/>
    <w:rsid w:val="00EF57DA"/>
    <w:rsid w:val="00F06866"/>
    <w:rsid w:val="00F07CEC"/>
    <w:rsid w:val="00F15956"/>
    <w:rsid w:val="00F24CFC"/>
    <w:rsid w:val="00F27DA6"/>
    <w:rsid w:val="00F3170F"/>
    <w:rsid w:val="00F34B1B"/>
    <w:rsid w:val="00F45534"/>
    <w:rsid w:val="00F67120"/>
    <w:rsid w:val="00F93847"/>
    <w:rsid w:val="00F960ED"/>
    <w:rsid w:val="00F976B0"/>
    <w:rsid w:val="00FA6DE7"/>
    <w:rsid w:val="00FC0A8E"/>
    <w:rsid w:val="00FC2C77"/>
    <w:rsid w:val="00FC722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D116C59-445C-4FCC-BC87-63E4AC69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896A1A"/>
    <w:rPr>
      <w:color w:val="0000FF"/>
      <w:u w:val="single"/>
    </w:rPr>
  </w:style>
  <w:style w:type="character" w:customStyle="1" w:styleId="normaltextrun1">
    <w:name w:val="normaltextrun1"/>
    <w:rsid w:val="008C4EF5"/>
  </w:style>
  <w:style w:type="paragraph" w:styleId="BodyText2">
    <w:name w:val="Body Text 2"/>
    <w:basedOn w:val="Normal"/>
    <w:link w:val="BodyText2Char"/>
    <w:rsid w:val="00F960ED"/>
    <w:pPr>
      <w:spacing w:after="120" w:line="480" w:lineRule="auto"/>
    </w:pPr>
  </w:style>
  <w:style w:type="character" w:customStyle="1" w:styleId="BodyText2Char">
    <w:name w:val="Body Text 2 Char"/>
    <w:link w:val="BodyText2"/>
    <w:rsid w:val="00F960ED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F960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960ED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7D15-16B5-4BF7-9FF4-4FE29EA8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Stewart, Jaclyn</cp:lastModifiedBy>
  <cp:revision>2</cp:revision>
  <cp:lastPrinted>2010-10-04T15:59:00Z</cp:lastPrinted>
  <dcterms:created xsi:type="dcterms:W3CDTF">2021-10-18T15:11:00Z</dcterms:created>
  <dcterms:modified xsi:type="dcterms:W3CDTF">2021-10-18T15:11:00Z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