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682A" w:rsidP="0038682A" w14:paraId="624866D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Request for Approval under the “Generic Clearance for the Collection of Routine Customer Feedback” (OMB Control Number: 1506-0062)</w:t>
      </w:r>
    </w:p>
    <w:p w:rsidR="0038682A" w:rsidP="0038682A" w14:paraId="0E9F2A9E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>
        <w:rPr>
          <w:b/>
        </w:rPr>
        <w:t>TITLE OF INFORMATION COLLECTION:</w:t>
      </w:r>
      <w:r>
        <w:t xml:space="preserve"> </w:t>
      </w:r>
      <w:r w:rsidRPr="00830818">
        <w:t>FinCEN Exchange</w:t>
      </w:r>
      <w:r w:rsidRPr="00830818" w:rsidR="00E04D0E">
        <w:t xml:space="preserve"> Survey</w:t>
      </w:r>
    </w:p>
    <w:p w:rsidR="0038682A" w:rsidP="0038682A" w14:paraId="0B32AC52" w14:textId="77777777"/>
    <w:p w:rsidR="0038682A" w:rsidRPr="00B57E0C" w:rsidP="0038682A" w14:paraId="32096CC1" w14:textId="3F95D262">
      <w:pPr>
        <w:rPr>
          <w:color w:val="FF0000"/>
        </w:rPr>
      </w:pPr>
      <w:r>
        <w:rPr>
          <w:b/>
        </w:rPr>
        <w:t xml:space="preserve">PURPOSE:  </w:t>
      </w:r>
      <w:r w:rsidRPr="00C24051" w:rsidR="00C24051">
        <w:rPr>
          <w:bCs/>
        </w:rPr>
        <w:t xml:space="preserve">Pursuant to Section 6103 of the Anti-Money Laundering </w:t>
      </w:r>
      <w:r w:rsidR="00C24051">
        <w:rPr>
          <w:bCs/>
        </w:rPr>
        <w:t>A</w:t>
      </w:r>
      <w:r w:rsidRPr="00C24051" w:rsidR="00C24051">
        <w:rPr>
          <w:bCs/>
        </w:rPr>
        <w:t xml:space="preserve">ct of 2020, </w:t>
      </w:r>
      <w:r w:rsidR="00C24051">
        <w:rPr>
          <w:bCs/>
        </w:rPr>
        <w:t xml:space="preserve">the </w:t>
      </w:r>
      <w:r w:rsidRPr="00C24051" w:rsidR="00C24051">
        <w:rPr>
          <w:bCs/>
        </w:rPr>
        <w:t>FinCEN</w:t>
      </w:r>
      <w:r w:rsidR="00C24051">
        <w:rPr>
          <w:bCs/>
        </w:rPr>
        <w:t xml:space="preserve"> Exchange was established to </w:t>
      </w:r>
      <w:r w:rsidRPr="00C24051" w:rsidR="00C24051">
        <w:rPr>
          <w:bCs/>
        </w:rPr>
        <w:t xml:space="preserve">facilitate a voluntary public-private information-sharing partnership between law enforcement agencies, national security agencies, financial institutions, and FinCEN to </w:t>
      </w:r>
      <w:r w:rsidRPr="00C24051" w:rsidR="00C24051">
        <w:rPr>
          <w:bCs/>
        </w:rPr>
        <w:t>effectively and efficiently combat money laundering, terrorism financing, organized crime and other financial crimes; protect the financial system</w:t>
      </w:r>
      <w:r w:rsidRPr="00C24051" w:rsidR="00C24051">
        <w:rPr>
          <w:bCs/>
        </w:rPr>
        <w:t xml:space="preserve"> from illicit use; and promote national security. </w:t>
      </w:r>
      <w:r w:rsidR="00C24051">
        <w:rPr>
          <w:bCs/>
        </w:rPr>
        <w:t>Periodic sessions are held to discuss specific subject matters and t</w:t>
      </w:r>
      <w:r w:rsidRPr="00C24051" w:rsidR="00B57E0C">
        <w:rPr>
          <w:bCs/>
        </w:rPr>
        <w:t xml:space="preserve">he purpose of the FinCEN Exchange survey is </w:t>
      </w:r>
      <w:r w:rsidR="00C24051">
        <w:rPr>
          <w:bCs/>
        </w:rPr>
        <w:t xml:space="preserve">to solicit </w:t>
      </w:r>
      <w:r w:rsidRPr="00C24051" w:rsidR="00B57E0C">
        <w:rPr>
          <w:bCs/>
        </w:rPr>
        <w:t xml:space="preserve">feedback from </w:t>
      </w:r>
      <w:r w:rsidR="00C24051">
        <w:rPr>
          <w:bCs/>
        </w:rPr>
        <w:t xml:space="preserve">participants </w:t>
      </w:r>
      <w:r w:rsidRPr="00C24051" w:rsidR="00B57E0C">
        <w:rPr>
          <w:bCs/>
        </w:rPr>
        <w:t xml:space="preserve">that will allow </w:t>
      </w:r>
      <w:r w:rsidR="00C24051">
        <w:rPr>
          <w:bCs/>
        </w:rPr>
        <w:t>the agency</w:t>
      </w:r>
      <w:r w:rsidRPr="00C24051" w:rsidR="00B57E0C">
        <w:rPr>
          <w:bCs/>
        </w:rPr>
        <w:t xml:space="preserve"> to improve the FinCEN Exchange program.</w:t>
      </w:r>
    </w:p>
    <w:p w:rsidR="0038682A" w:rsidP="0038682A" w14:paraId="2E9DECF9" w14:textId="77777777"/>
    <w:p w:rsidR="0038682A" w:rsidP="0038682A" w14:paraId="7B98E385" w14:textId="77777777"/>
    <w:p w:rsidR="0038682A" w:rsidP="0038682A" w14:paraId="6AFC5752" w14:textId="77777777">
      <w:pPr>
        <w:pStyle w:val="Header"/>
        <w:tabs>
          <w:tab w:val="left" w:pos="720"/>
        </w:tabs>
        <w:rPr>
          <w:b/>
        </w:rPr>
      </w:pPr>
    </w:p>
    <w:p w:rsidR="0038682A" w:rsidP="0038682A" w14:paraId="6DAECA77" w14:textId="0CB88DA7">
      <w:pPr>
        <w:pStyle w:val="Header"/>
        <w:tabs>
          <w:tab w:val="left" w:pos="720"/>
        </w:tabs>
        <w:rPr>
          <w:i/>
        </w:rPr>
      </w:pPr>
      <w:r>
        <w:rPr>
          <w:b/>
        </w:rPr>
        <w:t>DESCRIPTION OF RESPONDENTS</w:t>
      </w:r>
      <w:r>
        <w:t xml:space="preserve">: </w:t>
      </w:r>
      <w:r w:rsidRPr="00C24051" w:rsidR="00C24051">
        <w:t xml:space="preserve">The survey will be sent to </w:t>
      </w:r>
      <w:r w:rsidR="00C24051">
        <w:t>p</w:t>
      </w:r>
      <w:r w:rsidRPr="00C24051" w:rsidR="00E04D0E">
        <w:t xml:space="preserve">rivate </w:t>
      </w:r>
      <w:r w:rsidR="00C24051">
        <w:t>s</w:t>
      </w:r>
      <w:r w:rsidRPr="00C24051" w:rsidR="00E04D0E">
        <w:t xml:space="preserve">ector and </w:t>
      </w:r>
      <w:r w:rsidR="00C24051">
        <w:t>f</w:t>
      </w:r>
      <w:r w:rsidRPr="00C24051" w:rsidR="00E04D0E">
        <w:t xml:space="preserve">ederal </w:t>
      </w:r>
      <w:r w:rsidR="00C24051">
        <w:t>g</w:t>
      </w:r>
      <w:r w:rsidRPr="00C24051" w:rsidR="00E04D0E">
        <w:t>overnment</w:t>
      </w:r>
      <w:r w:rsidRPr="00C24051" w:rsidR="00137346">
        <w:t xml:space="preserve"> representatives attending FinCEN Exchange session</w:t>
      </w:r>
      <w:r w:rsidRPr="00C24051" w:rsidR="00C24051">
        <w:t xml:space="preserve">s. Participation at any given Exchange session is made via invitation </w:t>
      </w:r>
      <w:r w:rsidRPr="00C24051" w:rsidR="00137346">
        <w:t>on the basis of</w:t>
      </w:r>
      <w:r w:rsidRPr="00C24051" w:rsidR="00137346">
        <w:t xml:space="preserve"> experience related to the subject matter of the specific exchange.</w:t>
      </w:r>
      <w:r w:rsidRPr="00C24051" w:rsidR="00C24051">
        <w:t xml:space="preserve"> Private sector respondents would primarily represent financial institutions.</w:t>
      </w:r>
    </w:p>
    <w:p w:rsidR="0038682A" w:rsidP="0038682A" w14:paraId="659A23CD" w14:textId="77777777"/>
    <w:p w:rsidR="0038682A" w:rsidP="0038682A" w14:paraId="784128A5" w14:textId="77777777">
      <w:pPr>
        <w:rPr>
          <w:b/>
        </w:rPr>
      </w:pPr>
    </w:p>
    <w:p w:rsidR="0038682A" w:rsidP="0038682A" w14:paraId="76C13C85" w14:textId="77777777">
      <w:pPr>
        <w:rPr>
          <w:b/>
        </w:rPr>
      </w:pPr>
      <w:r>
        <w:rPr>
          <w:b/>
        </w:rPr>
        <w:t>TYPE OF COLLECTION:</w:t>
      </w:r>
      <w:r>
        <w:t xml:space="preserve"> (Check one)</w:t>
      </w:r>
    </w:p>
    <w:p w:rsidR="0038682A" w:rsidP="0038682A" w14:paraId="6E3BC0C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8682A" w:rsidP="0038682A" w14:paraId="0560C7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Customer Comment Card/Complaint Form </w:t>
      </w:r>
      <w:r>
        <w:rPr>
          <w:bCs/>
          <w:sz w:val="24"/>
        </w:rPr>
        <w:tab/>
        <w:t>[</w:t>
      </w:r>
      <w:r w:rsidRPr="00C24051">
        <w:rPr>
          <w:bCs/>
          <w:sz w:val="24"/>
        </w:rPr>
        <w:t>X</w:t>
      </w:r>
      <w:r>
        <w:rPr>
          <w:bCs/>
          <w:sz w:val="24"/>
        </w:rPr>
        <w:t>] Customer Satisfaction Su</w:t>
      </w:r>
      <w:r>
        <w:rPr>
          <w:bCs/>
          <w:sz w:val="24"/>
        </w:rPr>
        <w:t xml:space="preserve">rvey    </w:t>
      </w:r>
    </w:p>
    <w:p w:rsidR="0038682A" w:rsidP="0038682A" w14:paraId="6CC6CF0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Usability Testing (e.g., Website or Software</w:t>
      </w:r>
      <w:r>
        <w:rPr>
          <w:bCs/>
          <w:sz w:val="24"/>
        </w:rPr>
        <w:tab/>
        <w:t>[ ] Small Discussion Group</w:t>
      </w:r>
    </w:p>
    <w:p w:rsidR="0038682A" w:rsidP="0038682A" w14:paraId="220262F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[ ] Other:</w:t>
      </w:r>
      <w:r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8682A" w:rsidP="0038682A" w14:paraId="509C7D85" w14:textId="77777777">
      <w:pPr>
        <w:pStyle w:val="Header"/>
        <w:tabs>
          <w:tab w:val="left" w:pos="720"/>
        </w:tabs>
      </w:pPr>
    </w:p>
    <w:p w:rsidR="0038682A" w:rsidP="0038682A" w14:paraId="1E882997" w14:textId="77777777">
      <w:pPr>
        <w:rPr>
          <w:b/>
        </w:rPr>
      </w:pPr>
      <w:r>
        <w:rPr>
          <w:b/>
        </w:rPr>
        <w:t>CERTIFICATION:</w:t>
      </w:r>
    </w:p>
    <w:p w:rsidR="0038682A" w:rsidP="0038682A" w14:paraId="68B04A43" w14:textId="77777777">
      <w:pPr>
        <w:rPr>
          <w:sz w:val="16"/>
          <w:szCs w:val="16"/>
        </w:rPr>
      </w:pPr>
    </w:p>
    <w:p w:rsidR="0038682A" w:rsidP="0038682A" w14:paraId="4E1DE653" w14:textId="77777777">
      <w:r>
        <w:t xml:space="preserve">I certify the following to be true: </w:t>
      </w:r>
    </w:p>
    <w:p w:rsidR="0038682A" w:rsidP="0038682A" w14:paraId="6C19CCE6" w14:textId="77777777">
      <w:pPr>
        <w:pStyle w:val="ListParagraph"/>
        <w:numPr>
          <w:ilvl w:val="0"/>
          <w:numId w:val="1"/>
        </w:numPr>
      </w:pPr>
      <w:r>
        <w:t xml:space="preserve">The collection is voluntary. </w:t>
      </w:r>
    </w:p>
    <w:p w:rsidR="0038682A" w:rsidP="0038682A" w14:paraId="34D69016" w14:textId="77777777">
      <w:pPr>
        <w:pStyle w:val="ListParagraph"/>
        <w:numPr>
          <w:ilvl w:val="0"/>
          <w:numId w:val="1"/>
        </w:numPr>
      </w:pPr>
      <w:r>
        <w:t>The collection is low-burden for respondents and low-cost for the Federal Government.</w:t>
      </w:r>
    </w:p>
    <w:p w:rsidR="0038682A" w:rsidP="0038682A" w14:paraId="266271A3" w14:textId="77777777">
      <w:pPr>
        <w:pStyle w:val="ListParagraph"/>
        <w:numPr>
          <w:ilvl w:val="0"/>
          <w:numId w:val="1"/>
        </w:numPr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682A" w:rsidP="0038682A" w14:paraId="29AE454B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</w:t>
      </w:r>
      <w:r>
        <w:t>.</w:t>
      </w:r>
      <w:r>
        <w:tab/>
      </w:r>
      <w:r>
        <w:tab/>
      </w:r>
    </w:p>
    <w:p w:rsidR="0038682A" w:rsidP="0038682A" w14:paraId="1DA5283D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38682A" w:rsidP="0038682A" w14:paraId="64056567" w14:textId="77777777">
      <w:pPr>
        <w:pStyle w:val="ListParagraph"/>
        <w:numPr>
          <w:ilvl w:val="0"/>
          <w:numId w:val="1"/>
        </w:numPr>
      </w:pPr>
      <w:r>
        <w:t xml:space="preserve">The collection is targeted to the solicitation of opinions from respondents who have experience with the program or may have </w:t>
      </w:r>
      <w:r>
        <w:t>experience with the program in the future.</w:t>
      </w:r>
    </w:p>
    <w:p w:rsidR="0038682A" w:rsidP="0038682A" w14:paraId="3E1017EE" w14:textId="77777777"/>
    <w:p w:rsidR="0038682A" w:rsidP="0038682A" w14:paraId="0A72D470" w14:textId="77777777">
      <w:r>
        <w:t>Name:</w:t>
      </w:r>
      <w:r w:rsidR="00B57E0C">
        <w:t xml:space="preserve"> </w:t>
      </w:r>
      <w:r w:rsidRPr="00C24051" w:rsidR="00B57E0C">
        <w:t>Shimeda Todd</w:t>
      </w:r>
    </w:p>
    <w:p w:rsidR="0038682A" w:rsidP="0038682A" w14:paraId="724C9165" w14:textId="77777777">
      <w:pPr>
        <w:pStyle w:val="ListParagraph"/>
        <w:ind w:left="360"/>
      </w:pPr>
    </w:p>
    <w:p w:rsidR="0038682A" w:rsidP="0038682A" w14:paraId="7E72BF2E" w14:textId="77777777">
      <w:r>
        <w:t>To assist review, please provide answers to the following question:</w:t>
      </w:r>
    </w:p>
    <w:p w:rsidR="0038682A" w:rsidP="0038682A" w14:paraId="131D52B5" w14:textId="77777777">
      <w:pPr>
        <w:pStyle w:val="ListParagraph"/>
        <w:ind w:left="360"/>
      </w:pPr>
    </w:p>
    <w:p w:rsidR="0038682A" w:rsidP="0038682A" w14:paraId="66FA9B21" w14:textId="77777777">
      <w:pPr>
        <w:rPr>
          <w:b/>
        </w:rPr>
      </w:pPr>
      <w:r>
        <w:rPr>
          <w:b/>
        </w:rPr>
        <w:t>Personally Identifiable Information:</w:t>
      </w:r>
    </w:p>
    <w:p w:rsidR="0038682A" w:rsidP="0038682A" w14:paraId="371E35BA" w14:textId="77777777">
      <w:pPr>
        <w:pStyle w:val="ListParagraph"/>
        <w:numPr>
          <w:ilvl w:val="0"/>
          <w:numId w:val="2"/>
        </w:numPr>
      </w:pPr>
      <w:r>
        <w:t>Is personally identifiable information (PII) collected?  [  ] Yes  [</w:t>
      </w:r>
      <w:r w:rsidRPr="00C24051">
        <w:t>X</w:t>
      </w:r>
      <w:r>
        <w:t xml:space="preserve">]  No </w:t>
      </w:r>
    </w:p>
    <w:p w:rsidR="0038682A" w:rsidP="0038682A" w14:paraId="1CFFFA43" w14:textId="77777777">
      <w:pPr>
        <w:pStyle w:val="ListParagraph"/>
        <w:numPr>
          <w:ilvl w:val="0"/>
          <w:numId w:val="2"/>
        </w:numPr>
      </w:pPr>
      <w:r>
        <w:t>If Yes, wi</w:t>
      </w:r>
      <w:r>
        <w:t xml:space="preserve">ll any information that is collected be included in records that are subject to the Privacy Act of 1974?   [  ] Yes [  ] No   </w:t>
      </w:r>
    </w:p>
    <w:p w:rsidR="0038682A" w:rsidP="0038682A" w14:paraId="2330A014" w14:textId="77777777">
      <w:pPr>
        <w:pStyle w:val="ListParagraph"/>
        <w:numPr>
          <w:ilvl w:val="0"/>
          <w:numId w:val="2"/>
        </w:numPr>
      </w:pPr>
      <w:r>
        <w:t>If Yes, has an up-to-date System of Records Notice (SORN) been published?  [  ] Yes  [  ] No</w:t>
      </w:r>
    </w:p>
    <w:p w:rsidR="0038682A" w:rsidP="0038682A" w14:paraId="1B79DA89" w14:textId="77777777">
      <w:pPr>
        <w:pStyle w:val="ListParagraph"/>
        <w:ind w:left="0"/>
        <w:rPr>
          <w:b/>
        </w:rPr>
      </w:pPr>
    </w:p>
    <w:p w:rsidR="0038682A" w:rsidP="0038682A" w14:paraId="2CC1873F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38682A" w:rsidP="0038682A" w14:paraId="176E4EAF" w14:textId="77777777">
      <w:r>
        <w:t xml:space="preserve">Is an incentive </w:t>
      </w:r>
      <w:r>
        <w:t xml:space="preserve">(e.g., money or reimbursement of expenses, token of appreciation) provided to participants?  [  ] Yes </w:t>
      </w:r>
      <w:r w:rsidRPr="00830818">
        <w:t>[</w:t>
      </w:r>
      <w:r w:rsidRPr="00830818">
        <w:t>X</w:t>
      </w:r>
      <w:r>
        <w:t xml:space="preserve">] No  </w:t>
      </w:r>
    </w:p>
    <w:p w:rsidR="0038682A" w:rsidP="0038682A" w14:paraId="7DCD5E65" w14:textId="77777777">
      <w:pPr>
        <w:rPr>
          <w:b/>
        </w:rPr>
      </w:pPr>
    </w:p>
    <w:p w:rsidR="0038682A" w:rsidP="0038682A" w14:paraId="4AAB4C31" w14:textId="77777777">
      <w:pPr>
        <w:rPr>
          <w:b/>
        </w:rPr>
      </w:pPr>
    </w:p>
    <w:p w:rsidR="0038682A" w:rsidP="0038682A" w14:paraId="2896C540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38682A" w:rsidP="0038682A" w14:paraId="3B19ECBC" w14:textId="77777777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1523"/>
        <w:gridCol w:w="1430"/>
        <w:gridCol w:w="1270"/>
        <w:gridCol w:w="1563"/>
        <w:gridCol w:w="2134"/>
      </w:tblGrid>
      <w:tr w14:paraId="639BB2F4" w14:textId="77777777" w:rsidTr="001826F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6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A" w:rsidRPr="00C24051" w14:paraId="6C9BC2E2" w14:textId="77777777">
            <w:pPr>
              <w:rPr>
                <w:b/>
              </w:rPr>
            </w:pPr>
            <w:r w:rsidRPr="00C24051">
              <w:rPr>
                <w:b/>
              </w:rPr>
              <w:t xml:space="preserve">Category of Respondent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A" w:rsidRPr="00C24051" w14:paraId="2E904918" w14:textId="77777777">
            <w:pPr>
              <w:rPr>
                <w:b/>
              </w:rPr>
            </w:pPr>
            <w:r w:rsidRPr="00C24051">
              <w:rPr>
                <w:b/>
              </w:rPr>
              <w:t>Number of Respondents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A" w:rsidRPr="00C24051" w14:paraId="7050F442" w14:textId="77777777">
            <w:pPr>
              <w:rPr>
                <w:b/>
              </w:rPr>
            </w:pPr>
            <w:r w:rsidRPr="00C24051">
              <w:rPr>
                <w:b/>
              </w:rPr>
              <w:t>Number of Responses per Respondent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A" w:rsidRPr="00C24051" w14:paraId="6CB7804F" w14:textId="77777777">
            <w:pPr>
              <w:rPr>
                <w:b/>
              </w:rPr>
            </w:pPr>
            <w:r w:rsidRPr="00C24051">
              <w:rPr>
                <w:b/>
              </w:rPr>
              <w:t>Number of Responses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A" w:rsidRPr="00C24051" w14:paraId="56C24C1C" w14:textId="77777777">
            <w:pPr>
              <w:rPr>
                <w:b/>
              </w:rPr>
            </w:pPr>
            <w:r w:rsidRPr="00C24051">
              <w:rPr>
                <w:b/>
              </w:rPr>
              <w:t>Participation Time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A" w:rsidRPr="00C24051" w14:paraId="76EEC049" w14:textId="77777777">
            <w:pPr>
              <w:rPr>
                <w:b/>
              </w:rPr>
            </w:pPr>
            <w:r w:rsidRPr="00C24051">
              <w:rPr>
                <w:b/>
              </w:rPr>
              <w:t>Burden</w:t>
            </w:r>
            <w:r w:rsidRPr="00C24051" w:rsidR="000929E3">
              <w:rPr>
                <w:b/>
              </w:rPr>
              <w:t xml:space="preserve"> Hours</w:t>
            </w:r>
          </w:p>
          <w:p w:rsidR="00992AE9" w:rsidRPr="00C24051" w14:paraId="4053A2DC" w14:textId="77777777">
            <w:pPr>
              <w:rPr>
                <w:b/>
                <w:sz w:val="20"/>
                <w:szCs w:val="20"/>
              </w:rPr>
            </w:pPr>
            <w:r w:rsidRPr="00C24051">
              <w:rPr>
                <w:b/>
                <w:sz w:val="20"/>
                <w:szCs w:val="20"/>
              </w:rPr>
              <w:t>(60 responses multiplied by 15 minutes and converted to hours)</w:t>
            </w:r>
          </w:p>
        </w:tc>
      </w:tr>
      <w:tr w14:paraId="52174A05" w14:textId="77777777" w:rsidTr="001826FB">
        <w:tblPrEx>
          <w:tblW w:w="5000" w:type="pct"/>
          <w:tblLook w:val="01E0"/>
        </w:tblPrEx>
        <w:trPr>
          <w:trHeight w:val="266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672D1D18" w14:textId="77777777">
            <w:r w:rsidRPr="00C24051">
              <w:t>Private Sector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48C2157C" w14:textId="77777777">
            <w:r w:rsidRPr="00C24051">
              <w:t>60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58BF01E0" w14:textId="77777777">
            <w:r w:rsidRPr="00C24051"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32B7C152" w14:textId="77777777">
            <w:r w:rsidRPr="00C24051">
              <w:t>60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4E80438D" w14:textId="77777777">
            <w:r w:rsidRPr="00C24051">
              <w:t>1</w:t>
            </w:r>
            <w:r w:rsidRPr="00C24051" w:rsidR="00702A6E">
              <w:t xml:space="preserve">5 </w:t>
            </w:r>
            <w:r w:rsidRPr="00C24051">
              <w:t>min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29AC4D1E" w14:textId="77777777">
            <w:r w:rsidRPr="00C24051">
              <w:t>15</w:t>
            </w:r>
            <w:r w:rsidRPr="00C24051" w:rsidR="000929E3">
              <w:t xml:space="preserve"> hours</w:t>
            </w:r>
          </w:p>
        </w:tc>
      </w:tr>
      <w:tr w14:paraId="3844A1D5" w14:textId="77777777" w:rsidTr="001826FB">
        <w:tblPrEx>
          <w:tblW w:w="5000" w:type="pct"/>
          <w:tblLook w:val="01E0"/>
        </w:tblPrEx>
        <w:trPr>
          <w:trHeight w:val="281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A" w:rsidRPr="00C24051" w14:paraId="627F7EA7" w14:textId="77777777">
            <w:pPr>
              <w:rPr>
                <w:b/>
              </w:rPr>
            </w:pPr>
            <w:r w:rsidRPr="00C24051">
              <w:rPr>
                <w:b/>
              </w:rPr>
              <w:t>Totals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502AA888" w14:textId="77777777">
            <w:pPr>
              <w:rPr>
                <w:b/>
              </w:rPr>
            </w:pPr>
            <w:r w:rsidRPr="00C24051">
              <w:rPr>
                <w:b/>
              </w:rPr>
              <w:t>60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0F903769" w14:textId="43A90D56">
            <w: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2AAA6DFE" w14:textId="77777777">
            <w:r w:rsidRPr="00C24051">
              <w:t>60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674A819D" w14:textId="77777777">
            <w:r w:rsidRPr="00C24051">
              <w:t xml:space="preserve">15 </w:t>
            </w:r>
            <w:r w:rsidRPr="00C24051" w:rsidR="00E04D0E">
              <w:t>mins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2A" w:rsidRPr="00C24051" w14:paraId="305B43CB" w14:textId="77777777">
            <w:pPr>
              <w:rPr>
                <w:b/>
              </w:rPr>
            </w:pPr>
            <w:r w:rsidRPr="00C24051">
              <w:rPr>
                <w:b/>
              </w:rPr>
              <w:t>15</w:t>
            </w:r>
            <w:r w:rsidRPr="00C24051" w:rsidR="000929E3">
              <w:rPr>
                <w:b/>
              </w:rPr>
              <w:t xml:space="preserve"> hours</w:t>
            </w:r>
          </w:p>
        </w:tc>
      </w:tr>
    </w:tbl>
    <w:p w:rsidR="0038682A" w:rsidRPr="00C24051" w:rsidP="0038682A" w14:paraId="3C012F1D" w14:textId="77777777"/>
    <w:p w:rsidR="0038682A" w:rsidRPr="00C24051" w:rsidP="0038682A" w14:paraId="147930FF" w14:textId="77777777">
      <w:pPr>
        <w:rPr>
          <w:b/>
        </w:rPr>
      </w:pPr>
      <w:bookmarkStart w:id="0" w:name="_Hlk140043465"/>
      <w:r w:rsidRPr="00C24051">
        <w:rPr>
          <w:b/>
        </w:rPr>
        <w:t xml:space="preserve">FEDERAL COST:  </w:t>
      </w:r>
      <w:r w:rsidRPr="00C24051">
        <w:t xml:space="preserve">The estimated annual cost to the Federal government is </w:t>
      </w:r>
      <w:r w:rsidRPr="00C24051" w:rsidR="00436A5A">
        <w:t>$</w:t>
      </w:r>
      <w:r w:rsidRPr="00C24051" w:rsidR="00FF452F">
        <w:t>8,603.75</w:t>
      </w:r>
      <w:r w:rsidRPr="00C24051" w:rsidR="00BA44B7">
        <w:t>.</w:t>
      </w:r>
    </w:p>
    <w:p w:rsidR="00436A5A" w:rsidRPr="00C24051" w:rsidP="00436A5A" w14:paraId="691362FC" w14:textId="77777777"/>
    <w:p w:rsidR="00436A5A" w:rsidRPr="00C24051" w:rsidP="00436A5A" w14:paraId="27C95F53" w14:textId="77777777">
      <w:pPr>
        <w:pStyle w:val="BodyText"/>
        <w:tabs>
          <w:tab w:val="left" w:pos="6959"/>
        </w:tabs>
        <w:spacing w:before="7" w:line="254" w:lineRule="auto"/>
        <w:ind w:left="360" w:right="257"/>
        <w:rPr>
          <w:sz w:val="24"/>
          <w:szCs w:val="24"/>
        </w:rPr>
      </w:pPr>
      <w:r w:rsidRPr="00C24051">
        <w:rPr>
          <w:sz w:val="24"/>
          <w:szCs w:val="24"/>
        </w:rPr>
        <w:t xml:space="preserve">It is estimated that 1 GS level 14, Step 10 will spend approximately </w:t>
      </w:r>
      <w:r w:rsidRPr="00C24051" w:rsidR="00FF452F">
        <w:rPr>
          <w:sz w:val="24"/>
          <w:szCs w:val="24"/>
        </w:rPr>
        <w:t>5</w:t>
      </w:r>
      <w:r w:rsidRPr="00C24051">
        <w:rPr>
          <w:sz w:val="24"/>
          <w:szCs w:val="24"/>
        </w:rPr>
        <w:t xml:space="preserve">% of their time annually to review, analyze, and assimilate survey responses. </w:t>
      </w:r>
      <w:r w:rsidRPr="00C24051" w:rsidR="00BA44B7">
        <w:rPr>
          <w:sz w:val="24"/>
          <w:szCs w:val="24"/>
        </w:rPr>
        <w:t xml:space="preserve"> The wage rate for FY23 (Washington-Baltimore-Northern Virginia) GS Pay scale is $172,075. </w:t>
      </w:r>
    </w:p>
    <w:bookmarkEnd w:id="0"/>
    <w:p w:rsidR="00436A5A" w:rsidRPr="00C24051" w:rsidP="00436A5A" w14:paraId="735ABDB4" w14:textId="77777777">
      <w:pPr>
        <w:pStyle w:val="BodyText"/>
        <w:tabs>
          <w:tab w:val="left" w:pos="6959"/>
        </w:tabs>
        <w:spacing w:before="7" w:line="254" w:lineRule="auto"/>
        <w:ind w:left="360" w:right="257"/>
        <w:rPr>
          <w:sz w:val="24"/>
          <w:szCs w:val="24"/>
        </w:rPr>
      </w:pPr>
      <w:r w:rsidRPr="00C24051">
        <w:rPr>
          <w:sz w:val="24"/>
          <w:szCs w:val="24"/>
        </w:rPr>
        <w:t xml:space="preserve">  </w:t>
      </w:r>
    </w:p>
    <w:tbl>
      <w:tblPr>
        <w:tblW w:w="2891" w:type="dxa"/>
        <w:tblCellMar>
          <w:left w:w="0" w:type="dxa"/>
          <w:right w:w="0" w:type="dxa"/>
        </w:tblCellMar>
        <w:tblLook w:val="04A0"/>
      </w:tblPr>
      <w:tblGrid>
        <w:gridCol w:w="1327"/>
        <w:gridCol w:w="1564"/>
      </w:tblGrid>
      <w:tr w14:paraId="5913F084" w14:textId="77777777" w:rsidTr="0099224A">
        <w:tblPrEx>
          <w:tblW w:w="2891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A5A" w:rsidRPr="00C24051" w:rsidP="0099224A" w14:paraId="7B2C9853" w14:textId="77777777">
            <w:pPr>
              <w:jc w:val="right"/>
              <w:rPr>
                <w:b/>
                <w:bCs/>
                <w:i/>
                <w:iCs/>
              </w:rPr>
            </w:pPr>
            <w:r w:rsidRPr="00C24051">
              <w:rPr>
                <w:b/>
                <w:bCs/>
                <w:i/>
                <w:iCs/>
              </w:rPr>
              <w:t xml:space="preserve">GS14/10:  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A5A" w:rsidRPr="00C24051" w:rsidP="0099224A" w14:paraId="78DCA4C1" w14:textId="77777777">
            <w:pPr>
              <w:rPr>
                <w:b/>
                <w:bCs/>
                <w:i/>
                <w:iCs/>
              </w:rPr>
            </w:pPr>
          </w:p>
          <w:p w:rsidR="00436A5A" w:rsidRPr="00C24051" w:rsidP="0099224A" w14:paraId="43A98303" w14:textId="77777777">
            <w:pPr>
              <w:rPr>
                <w:b/>
                <w:bCs/>
                <w:i/>
                <w:iCs/>
              </w:rPr>
            </w:pPr>
            <w:r w:rsidRPr="00C24051">
              <w:rPr>
                <w:b/>
                <w:bCs/>
                <w:i/>
                <w:iCs/>
              </w:rPr>
              <w:t xml:space="preserve">$  172,075.00 </w:t>
            </w:r>
          </w:p>
        </w:tc>
      </w:tr>
      <w:tr w14:paraId="4CE14163" w14:textId="77777777" w:rsidTr="0099224A">
        <w:tblPrEx>
          <w:tblW w:w="2891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A5A" w:rsidRPr="00C24051" w:rsidP="0099224A" w14:paraId="6CFEDD67" w14:textId="77777777">
            <w:pPr>
              <w:jc w:val="right"/>
            </w:pPr>
            <w:r w:rsidRPr="00C24051">
              <w:t>5</w:t>
            </w:r>
            <w:r w:rsidRPr="00C24051">
              <w:t>%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A5A" w:rsidRPr="00C24051" w:rsidP="0099224A" w14:paraId="0880B660" w14:textId="77777777">
            <w:r w:rsidRPr="00C24051">
              <w:t xml:space="preserve">$     </w:t>
            </w:r>
            <w:r w:rsidRPr="00C24051" w:rsidR="00FF452F">
              <w:t>8,603.75</w:t>
            </w:r>
            <w:r w:rsidRPr="00C24051">
              <w:t xml:space="preserve"> </w:t>
            </w:r>
          </w:p>
        </w:tc>
      </w:tr>
      <w:tr w14:paraId="638614B6" w14:textId="77777777" w:rsidTr="0099224A">
        <w:tblPrEx>
          <w:tblW w:w="2891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A5A" w:rsidRPr="00C24051" w:rsidP="0099224A" w14:paraId="78965BDC" w14:textId="77777777">
            <w:pPr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A5A" w:rsidRPr="00C24051" w:rsidP="0099224A" w14:paraId="3B4F1284" w14:textId="77777777"/>
        </w:tc>
      </w:tr>
      <w:tr w14:paraId="3E83301D" w14:textId="77777777" w:rsidTr="0099224A">
        <w:tblPrEx>
          <w:tblW w:w="2891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A5A" w:rsidRPr="00C24051" w:rsidP="0099224A" w14:paraId="29D58441" w14:textId="77777777">
            <w:pPr>
              <w:jc w:val="right"/>
              <w:rPr>
                <w:b/>
                <w:bCs/>
              </w:rPr>
            </w:pPr>
            <w:r w:rsidRPr="00C24051">
              <w:rPr>
                <w:b/>
                <w:bCs/>
              </w:rPr>
              <w:t>Total: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6A5A" w:rsidRPr="00C24051" w:rsidP="0099224A" w14:paraId="7F3F67EF" w14:textId="77777777">
            <w:pPr>
              <w:rPr>
                <w:b/>
                <w:bCs/>
              </w:rPr>
            </w:pPr>
            <w:r w:rsidRPr="00C24051">
              <w:rPr>
                <w:b/>
                <w:bCs/>
              </w:rPr>
              <w:t>$</w:t>
            </w:r>
            <w:r w:rsidRPr="00C24051" w:rsidR="00BA44B7">
              <w:t>8,603.75</w:t>
            </w:r>
          </w:p>
        </w:tc>
      </w:tr>
      <w:tr w14:paraId="57020F7F" w14:textId="77777777" w:rsidTr="0099224A">
        <w:tblPrEx>
          <w:tblW w:w="2891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A5A" w:rsidRPr="00611999" w:rsidP="0099224A" w14:paraId="49D99EC7" w14:textId="77777777">
            <w:pPr>
              <w:jc w:val="right"/>
              <w:rPr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A5A" w:rsidRPr="00611999" w:rsidP="0099224A" w14:paraId="3CAD14C1" w14:textId="77777777">
            <w:pPr>
              <w:rPr>
                <w:color w:val="FF0000"/>
              </w:rPr>
            </w:pPr>
          </w:p>
        </w:tc>
      </w:tr>
    </w:tbl>
    <w:p w:rsidR="00436A5A" w:rsidRPr="00611999" w:rsidP="00436A5A" w14:paraId="05195DBF" w14:textId="77777777">
      <w:pPr>
        <w:pStyle w:val="BodyText"/>
        <w:tabs>
          <w:tab w:val="left" w:pos="6959"/>
        </w:tabs>
        <w:spacing w:before="7" w:line="254" w:lineRule="auto"/>
        <w:ind w:left="360" w:right="257"/>
        <w:rPr>
          <w:color w:val="FF0000"/>
          <w:sz w:val="24"/>
          <w:szCs w:val="24"/>
        </w:rPr>
      </w:pPr>
    </w:p>
    <w:p w:rsidR="0038682A" w:rsidRPr="00611999" w:rsidP="0038682A" w14:paraId="392E1D5D" w14:textId="77777777">
      <w:pPr>
        <w:rPr>
          <w:b/>
          <w:bCs/>
          <w:color w:val="FF0000"/>
          <w:u w:val="single"/>
        </w:rPr>
      </w:pPr>
    </w:p>
    <w:p w:rsidR="0038682A" w:rsidP="0038682A" w14:paraId="39293C5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STATISTICAL METHOD:</w:t>
      </w:r>
    </w:p>
    <w:p w:rsidR="0038682A" w:rsidP="0038682A" w14:paraId="7DFDDC34" w14:textId="77777777">
      <w:pPr>
        <w:rPr>
          <w:b/>
          <w:bCs/>
          <w:u w:val="single"/>
        </w:rPr>
      </w:pPr>
    </w:p>
    <w:p w:rsidR="0038682A" w:rsidP="0038682A" w14:paraId="0EF5B2F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38682A" w:rsidP="0038682A" w14:paraId="02DFCC82" w14:textId="77777777">
      <w:pPr>
        <w:rPr>
          <w:b/>
        </w:rPr>
      </w:pPr>
    </w:p>
    <w:p w:rsidR="0038682A" w:rsidP="0038682A" w14:paraId="5EB546BB" w14:textId="77777777">
      <w:pPr>
        <w:rPr>
          <w:b/>
        </w:rPr>
      </w:pPr>
      <w:r>
        <w:rPr>
          <w:b/>
        </w:rPr>
        <w:t>The selection of your targeted respondents</w:t>
      </w:r>
    </w:p>
    <w:p w:rsidR="0038682A" w:rsidP="0038682A" w14:paraId="6B6753EB" w14:textId="77777777">
      <w:pPr>
        <w:pStyle w:val="ListParagraph"/>
        <w:numPr>
          <w:ilvl w:val="0"/>
          <w:numId w:val="3"/>
        </w:numPr>
      </w:pPr>
      <w:r>
        <w:t>Do you have a customer list or something similar that d</w:t>
      </w:r>
      <w:r>
        <w:t>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830818" w:rsidR="002312D8">
        <w:t>X</w:t>
      </w:r>
      <w:r>
        <w:t>] Yes</w:t>
      </w:r>
      <w:r>
        <w:tab/>
        <w:t>[ ] No</w:t>
      </w:r>
    </w:p>
    <w:p w:rsidR="0038682A" w:rsidP="0038682A" w14:paraId="760B42FF" w14:textId="77777777">
      <w:pPr>
        <w:pStyle w:val="ListParagraph"/>
      </w:pPr>
    </w:p>
    <w:p w:rsidR="00830818" w:rsidRPr="00830818" w:rsidP="0038682A" w14:paraId="29F28BDE" w14:textId="77777777">
      <w:r w:rsidRPr="00830818">
        <w:t xml:space="preserve">If the answer is yes, please </w:t>
      </w:r>
      <w:r w:rsidRPr="00830818">
        <w:t>provide</w:t>
      </w:r>
      <w:r w:rsidRPr="00830818">
        <w:t xml:space="preserve"> a description of both below (or attach the sampling plan)?   If the answer is no, </w:t>
      </w:r>
      <w:r w:rsidRPr="00830818">
        <w:t>please provide a description of how you plan to identify your potential group of respondents and how you will select them?</w:t>
      </w:r>
    </w:p>
    <w:p w:rsidR="00830818" w:rsidP="0038682A" w14:paraId="039CED0D" w14:textId="77777777"/>
    <w:p w:rsidR="0038682A" w:rsidRPr="00830818" w:rsidP="0038682A" w14:paraId="29162EBE" w14:textId="3361F7CF">
      <w:r w:rsidRPr="00830818">
        <w:t xml:space="preserve">Potential </w:t>
      </w:r>
      <w:r w:rsidRPr="00830818" w:rsidR="00B57E0C">
        <w:t>r</w:t>
      </w:r>
      <w:r w:rsidRPr="00830818">
        <w:t xml:space="preserve">espondents will be the </w:t>
      </w:r>
      <w:r w:rsidRPr="00830818" w:rsidR="00051E81">
        <w:t xml:space="preserve">entirety of the </w:t>
      </w:r>
      <w:r w:rsidRPr="00830818" w:rsidR="00B57E0C">
        <w:t>FinCEN Exchange</w:t>
      </w:r>
      <w:r w:rsidRPr="00830818">
        <w:t xml:space="preserve"> attendee list</w:t>
      </w:r>
      <w:r w:rsidRPr="00830818" w:rsidR="00051E81">
        <w:t xml:space="preserve"> for </w:t>
      </w:r>
      <w:r w:rsidR="00830818">
        <w:t>each</w:t>
      </w:r>
      <w:r w:rsidRPr="00830818" w:rsidR="00051E81">
        <w:t xml:space="preserve"> individual event</w:t>
      </w:r>
      <w:r w:rsidRPr="00830818">
        <w:t>.</w:t>
      </w:r>
    </w:p>
    <w:p w:rsidR="0038682A" w:rsidP="0038682A" w14:paraId="530BFD79" w14:textId="77777777"/>
    <w:p w:rsidR="0038682A" w:rsidP="0038682A" w14:paraId="0E07EB9E" w14:textId="77777777">
      <w:pPr>
        <w:rPr>
          <w:b/>
        </w:rPr>
      </w:pPr>
    </w:p>
    <w:p w:rsidR="0038682A" w:rsidP="0038682A" w14:paraId="60E6CC03" w14:textId="77777777">
      <w:pPr>
        <w:rPr>
          <w:b/>
        </w:rPr>
      </w:pPr>
      <w:r>
        <w:rPr>
          <w:b/>
        </w:rPr>
        <w:t>Administration of the Ins</w:t>
      </w:r>
      <w:r>
        <w:rPr>
          <w:b/>
        </w:rPr>
        <w:t>trument</w:t>
      </w:r>
    </w:p>
    <w:p w:rsidR="0038682A" w:rsidP="0038682A" w14:paraId="112D7119" w14:textId="77777777">
      <w:pPr>
        <w:pStyle w:val="ListParagraph"/>
        <w:numPr>
          <w:ilvl w:val="0"/>
          <w:numId w:val="4"/>
        </w:numPr>
      </w:pPr>
      <w:r>
        <w:t>How will you collect the information? (Check all that apply)</w:t>
      </w:r>
    </w:p>
    <w:p w:rsidR="0038682A" w:rsidP="0038682A" w14:paraId="1758960A" w14:textId="77777777">
      <w:pPr>
        <w:ind w:left="720"/>
      </w:pPr>
      <w:r>
        <w:t>[</w:t>
      </w:r>
      <w:r w:rsidRPr="00830818" w:rsidR="001826FB">
        <w:t>X</w:t>
      </w:r>
      <w:r>
        <w:t xml:space="preserve">] Web-based or other forms of Social Media </w:t>
      </w:r>
    </w:p>
    <w:p w:rsidR="0038682A" w:rsidP="0038682A" w14:paraId="3C80BBD3" w14:textId="77777777">
      <w:pPr>
        <w:ind w:left="720"/>
      </w:pPr>
      <w:r>
        <w:t>[  ] Telephone</w:t>
      </w:r>
      <w:r>
        <w:tab/>
      </w:r>
    </w:p>
    <w:p w:rsidR="0038682A" w:rsidP="0038682A" w14:paraId="31B25E5A" w14:textId="77777777">
      <w:pPr>
        <w:ind w:left="720"/>
      </w:pPr>
      <w:r>
        <w:t>[  ] In-person</w:t>
      </w:r>
      <w:r>
        <w:tab/>
      </w:r>
    </w:p>
    <w:p w:rsidR="0038682A" w:rsidP="0038682A" w14:paraId="22DA6E3A" w14:textId="77777777">
      <w:pPr>
        <w:ind w:left="720"/>
      </w:pPr>
      <w:r>
        <w:t xml:space="preserve">[  ] Mail </w:t>
      </w:r>
    </w:p>
    <w:p w:rsidR="001826FB" w:rsidP="001826FB" w14:paraId="30C35E25" w14:textId="77777777">
      <w:pPr>
        <w:ind w:left="720"/>
        <w:rPr>
          <w:color w:val="FF0000"/>
        </w:rPr>
      </w:pPr>
      <w:r>
        <w:t>[  ] Other, Explain</w:t>
      </w:r>
      <w:r w:rsidR="00B57E0C">
        <w:t xml:space="preserve"> </w:t>
      </w:r>
    </w:p>
    <w:p w:rsidR="0038682A" w:rsidP="001826FB" w14:paraId="51FF7853" w14:textId="77777777">
      <w:pPr>
        <w:ind w:left="720"/>
      </w:pPr>
      <w:r>
        <w:t>Will interviewers or facilitators be used?  [  ] Yes [</w:t>
      </w:r>
      <w:r w:rsidRPr="00830818">
        <w:t>X</w:t>
      </w:r>
      <w:r>
        <w:t>] No</w:t>
      </w:r>
    </w:p>
    <w:p w:rsidR="0038682A" w:rsidP="0038682A" w14:paraId="50B7DB8C" w14:textId="77777777">
      <w:pPr>
        <w:pStyle w:val="ListParagraph"/>
        <w:ind w:left="360"/>
      </w:pPr>
    </w:p>
    <w:p w:rsidR="0038682A" w:rsidP="0038682A" w14:paraId="386E6A11" w14:textId="77777777">
      <w:pPr>
        <w:pStyle w:val="ListParagraph"/>
        <w:ind w:left="0"/>
        <w:rPr>
          <w:b/>
        </w:rPr>
      </w:pPr>
      <w:r>
        <w:rPr>
          <w:b/>
        </w:rPr>
        <w:t xml:space="preserve">Please make </w:t>
      </w:r>
      <w:r>
        <w:rPr>
          <w:b/>
        </w:rPr>
        <w:t>sure that all instruments, instructions, and scripts are submitted with the request.</w:t>
      </w:r>
    </w:p>
    <w:p w:rsidR="0038682A" w:rsidP="0038682A" w14:paraId="7EE7F0B4" w14:textId="77777777">
      <w:pPr>
        <w:pStyle w:val="ListParagraph"/>
        <w:ind w:left="0"/>
        <w:rPr>
          <w:b/>
        </w:rPr>
      </w:pPr>
    </w:p>
    <w:p w:rsidR="00830818" w14:paraId="70F6C7F5" w14:textId="77777777">
      <w:pPr>
        <w:spacing w:after="160" w:line="259" w:lineRule="auto"/>
        <w:rPr>
          <w:b/>
          <w:bCs/>
          <w:sz w:val="28"/>
        </w:rPr>
      </w:pPr>
      <w:r>
        <w:rPr>
          <w:sz w:val="28"/>
        </w:rPr>
        <w:br w:type="page"/>
      </w:r>
    </w:p>
    <w:p w:rsidR="0038682A" w:rsidP="0038682A" w14:paraId="230A2420" w14:textId="506C975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38682A" w:rsidP="0038682A" w14:paraId="5718A77B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38682A" w:rsidP="0038682A" w14:paraId="67DDFAF0" w14:textId="77777777">
      <w:pPr>
        <w:rPr>
          <w:b/>
        </w:rPr>
      </w:pPr>
      <w:r>
        <w:rPr>
          <w:b/>
        </w:rPr>
        <w:t>TITLE OF INFORMATION COLLECTION:</w:t>
      </w:r>
      <w:r>
        <w:t xml:space="preserve">  Provid</w:t>
      </w:r>
      <w:r>
        <w:t>e the name of the collection that is the subject of the request. (e.g.  Comment card for soliciting feedback on xxxx)</w:t>
      </w:r>
    </w:p>
    <w:p w:rsidR="0038682A" w:rsidP="0038682A" w14:paraId="49F0C08C" w14:textId="77777777">
      <w:pPr>
        <w:rPr>
          <w:sz w:val="20"/>
          <w:szCs w:val="20"/>
        </w:rPr>
      </w:pPr>
    </w:p>
    <w:p w:rsidR="0038682A" w:rsidP="0038682A" w14:paraId="3417A243" w14:textId="77777777">
      <w:pPr>
        <w:rPr>
          <w:b/>
        </w:rPr>
      </w:pPr>
      <w:r>
        <w:rPr>
          <w:b/>
        </w:rPr>
        <w:t xml:space="preserve">PURPOSE:  </w:t>
      </w:r>
      <w:r>
        <w:t xml:space="preserve">Provide a brief description of the purpose of this collection and how it will be used.  If this is part of a larger study or </w:t>
      </w:r>
      <w:r>
        <w:t>effort, please include this in your explanation.</w:t>
      </w:r>
    </w:p>
    <w:p w:rsidR="0038682A" w:rsidP="0038682A" w14:paraId="09B8B14B" w14:textId="77777777">
      <w:pPr>
        <w:pStyle w:val="Header"/>
        <w:tabs>
          <w:tab w:val="left" w:pos="720"/>
        </w:tabs>
        <w:rPr>
          <w:b/>
        </w:rPr>
      </w:pPr>
    </w:p>
    <w:p w:rsidR="0038682A" w:rsidP="0038682A" w14:paraId="0D7652A1" w14:textId="77777777">
      <w:pPr>
        <w:pStyle w:val="Header"/>
        <w:tabs>
          <w:tab w:val="left" w:pos="720"/>
        </w:tabs>
      </w:pPr>
      <w:r>
        <w:rPr>
          <w:b/>
        </w:rPr>
        <w:t>DESCRIPTION OF RESPONDENTS</w:t>
      </w:r>
      <w:r>
        <w:t>: Provide a brief description of the targeted group or groups for this collection of information.  These groups must have experience with the program.</w:t>
      </w:r>
    </w:p>
    <w:p w:rsidR="0038682A" w:rsidP="0038682A" w14:paraId="0F4CAFCD" w14:textId="77777777">
      <w:pPr>
        <w:rPr>
          <w:b/>
          <w:sz w:val="20"/>
          <w:szCs w:val="20"/>
        </w:rPr>
      </w:pPr>
    </w:p>
    <w:p w:rsidR="0038682A" w:rsidP="0038682A" w14:paraId="0C00FFA0" w14:textId="77777777">
      <w:pPr>
        <w:rPr>
          <w:b/>
        </w:rPr>
      </w:pPr>
      <w:r>
        <w:rPr>
          <w:b/>
        </w:rPr>
        <w:t>TYPE OF COLLECTION:</w:t>
      </w:r>
      <w:r>
        <w:t xml:space="preserve"> Check on</w:t>
      </w:r>
      <w:r>
        <w:t>e box.  If you are requesting approval of other instruments under the generic, you must complete a form for each instrument.</w:t>
      </w:r>
    </w:p>
    <w:p w:rsidR="0038682A" w:rsidP="0038682A" w14:paraId="1D5B60C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38682A" w:rsidP="0038682A" w14:paraId="559CD9AF" w14:textId="77777777">
      <w:r>
        <w:rPr>
          <w:b/>
        </w:rPr>
        <w:t xml:space="preserve">CERTIFICATION:  </w:t>
      </w:r>
      <w:r>
        <w:t>Please read the certification carefully.  If you incorrectly certify, the collection will be returned as improperl</w:t>
      </w:r>
      <w:r>
        <w:t>y submitted or it will be disapproved.</w:t>
      </w:r>
    </w:p>
    <w:p w:rsidR="0038682A" w:rsidP="0038682A" w14:paraId="7D57E02B" w14:textId="77777777">
      <w:pPr>
        <w:rPr>
          <w:sz w:val="16"/>
          <w:szCs w:val="16"/>
        </w:rPr>
      </w:pPr>
    </w:p>
    <w:p w:rsidR="0038682A" w:rsidP="0038682A" w14:paraId="2F3FCA68" w14:textId="77777777">
      <w:r>
        <w:rPr>
          <w:b/>
        </w:rPr>
        <w:t xml:space="preserve">Personally Identifiable Information:  </w:t>
      </w:r>
      <w:r>
        <w:t>Provide answers to the questions.  Note:  Agencies should only collect PII to the extent necessary, and they should only retain PII for the period of time that is necessary to ac</w:t>
      </w:r>
      <w:r>
        <w:t>hieve a specific objective.</w:t>
      </w:r>
    </w:p>
    <w:p w:rsidR="0038682A" w:rsidP="0038682A" w14:paraId="3D44CA21" w14:textId="77777777">
      <w:pPr>
        <w:rPr>
          <w:sz w:val="20"/>
          <w:szCs w:val="20"/>
        </w:rPr>
      </w:pPr>
    </w:p>
    <w:p w:rsidR="0038682A" w:rsidP="0038682A" w14:paraId="130B1F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>If you answer yes to the question, please describe the incentive and provide a justification for the amount.</w:t>
      </w:r>
    </w:p>
    <w:p w:rsidR="0038682A" w:rsidP="0038682A" w14:paraId="2CBF28A6" w14:textId="77777777">
      <w:pPr>
        <w:rPr>
          <w:b/>
        </w:rPr>
      </w:pPr>
    </w:p>
    <w:p w:rsidR="0038682A" w:rsidP="0038682A" w14:paraId="3C87376E" w14:textId="77777777">
      <w:pPr>
        <w:rPr>
          <w:b/>
        </w:rPr>
      </w:pPr>
      <w:r>
        <w:rPr>
          <w:b/>
        </w:rPr>
        <w:t>BURDEN HOURS:</w:t>
      </w:r>
    </w:p>
    <w:p w:rsidR="0038682A" w:rsidP="0038682A" w14:paraId="2A66499C" w14:textId="77777777">
      <w:r>
        <w:rPr>
          <w:b/>
        </w:rPr>
        <w:t xml:space="preserve">Category of Respondents:  </w:t>
      </w:r>
      <w:r>
        <w:t>Identify who you expect the respondents to be in terms of</w:t>
      </w:r>
      <w:r>
        <w:t xml:space="preserve"> the following categories: (1) Individuals or Households;(2) Private Sector; (3) State, local, or tribal governments; or (4) Federal Government.  Only one type of respondent can be selected per row. </w:t>
      </w:r>
    </w:p>
    <w:p w:rsidR="0038682A" w:rsidP="0038682A" w14:paraId="3122A690" w14:textId="77777777">
      <w:r>
        <w:rPr>
          <w:b/>
        </w:rPr>
        <w:t>No. of Respondents:</w:t>
      </w:r>
      <w:r>
        <w:t xml:space="preserve">  Provide an estimate of the Number o</w:t>
      </w:r>
      <w:r>
        <w:t>f respondents.</w:t>
      </w:r>
    </w:p>
    <w:p w:rsidR="0038682A" w:rsidP="0038682A" w14:paraId="195CA154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38682A" w:rsidP="0038682A" w14:paraId="11A5E424" w14:textId="77777777">
      <w:r>
        <w:rPr>
          <w:b/>
        </w:rPr>
        <w:t>Burden:</w:t>
      </w:r>
      <w:r>
        <w:t xml:space="preserve">  Provide the Annual burden hours:  Multiply the Number of responses and the participation time and divide by 60.</w:t>
      </w:r>
    </w:p>
    <w:p w:rsidR="0038682A" w:rsidP="0038682A" w14:paraId="242DFDA4" w14:textId="77777777">
      <w:pPr>
        <w:keepNext/>
        <w:keepLines/>
        <w:rPr>
          <w:b/>
        </w:rPr>
      </w:pPr>
    </w:p>
    <w:p w:rsidR="0038682A" w:rsidP="0038682A" w14:paraId="136837C6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8682A" w:rsidP="0038682A" w14:paraId="20306D71" w14:textId="77777777">
      <w:pPr>
        <w:rPr>
          <w:b/>
          <w:bCs/>
          <w:sz w:val="20"/>
          <w:szCs w:val="20"/>
          <w:u w:val="single"/>
        </w:rPr>
      </w:pPr>
    </w:p>
    <w:p w:rsidR="0038682A" w:rsidP="0038682A" w14:paraId="7CE3389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>
        <w:rPr>
          <w:b/>
          <w:bCs/>
          <w:u w:val="single"/>
        </w:rPr>
        <w:t>oy statistical methods, please  provide answers to the following questions:</w:t>
      </w:r>
    </w:p>
    <w:p w:rsidR="0038682A" w:rsidP="0038682A" w14:paraId="33FF60C2" w14:textId="77777777">
      <w:pPr>
        <w:rPr>
          <w:b/>
          <w:sz w:val="20"/>
          <w:szCs w:val="20"/>
        </w:rPr>
      </w:pPr>
    </w:p>
    <w:p w:rsidR="0038682A" w:rsidP="0038682A" w14:paraId="672FD335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If the ans</w:t>
      </w:r>
      <w:r>
        <w:t>wer is yes, to the first question, you may provide the sampling plan in an attachment.</w:t>
      </w:r>
    </w:p>
    <w:p w:rsidR="0038682A" w:rsidP="0038682A" w14:paraId="30C68533" w14:textId="77777777">
      <w:pPr>
        <w:rPr>
          <w:b/>
          <w:sz w:val="20"/>
          <w:szCs w:val="20"/>
        </w:rPr>
      </w:pPr>
    </w:p>
    <w:p w:rsidR="0038682A" w:rsidP="0038682A" w14:paraId="4AF0D36A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</w:t>
      </w:r>
      <w:r>
        <w:t xml:space="preserve"> for surveys) or facilitators (e.g., for focus groups) used.</w:t>
      </w:r>
    </w:p>
    <w:p w:rsidR="0038682A" w:rsidP="0038682A" w14:paraId="13EB53D7" w14:textId="77777777">
      <w:pPr>
        <w:pStyle w:val="ListParagraph"/>
        <w:ind w:left="360"/>
      </w:pPr>
    </w:p>
    <w:p w:rsidR="0038682A" w:rsidP="0038682A" w14:paraId="45FC19C6" w14:textId="77777777">
      <w:r>
        <w:rPr>
          <w:b/>
        </w:rPr>
        <w:t>Submit all instruments, instructions, and scripts are submitted with the request.</w:t>
      </w:r>
    </w:p>
    <w:p w:rsidR="00AA00AB" w14:paraId="7375A36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2B6B51"/>
    <w:multiLevelType w:val="hybridMultilevel"/>
    <w:tmpl w:val="3CDC26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19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584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51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939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646675">
    <w:abstractNumId w:val="2"/>
  </w:num>
  <w:num w:numId="6" w16cid:durableId="1541211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2A"/>
    <w:rsid w:val="00051E81"/>
    <w:rsid w:val="000929E3"/>
    <w:rsid w:val="00137346"/>
    <w:rsid w:val="001826FB"/>
    <w:rsid w:val="00187395"/>
    <w:rsid w:val="001E38D7"/>
    <w:rsid w:val="00230AFE"/>
    <w:rsid w:val="002312D8"/>
    <w:rsid w:val="002E5BC7"/>
    <w:rsid w:val="0038682A"/>
    <w:rsid w:val="00436A5A"/>
    <w:rsid w:val="004B166B"/>
    <w:rsid w:val="004E28BE"/>
    <w:rsid w:val="00611999"/>
    <w:rsid w:val="006C476A"/>
    <w:rsid w:val="00702A6E"/>
    <w:rsid w:val="00747CC1"/>
    <w:rsid w:val="007A0169"/>
    <w:rsid w:val="007F4744"/>
    <w:rsid w:val="00830818"/>
    <w:rsid w:val="00926771"/>
    <w:rsid w:val="0099224A"/>
    <w:rsid w:val="00992AE9"/>
    <w:rsid w:val="00AA00AB"/>
    <w:rsid w:val="00AD058A"/>
    <w:rsid w:val="00B56972"/>
    <w:rsid w:val="00B57E0C"/>
    <w:rsid w:val="00BA44B7"/>
    <w:rsid w:val="00C24051"/>
    <w:rsid w:val="00E04D0E"/>
    <w:rsid w:val="00EB5850"/>
    <w:rsid w:val="00EF557C"/>
    <w:rsid w:val="00FF45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CC5B0C"/>
  <w15:chartTrackingRefBased/>
  <w15:docId w15:val="{84531E0A-B9F8-4FF7-8922-25869790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8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682A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8682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nhideWhenUsed/>
    <w:rsid w:val="00386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682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semiHidden/>
    <w:unhideWhenUsed/>
    <w:rsid w:val="0038682A"/>
    <w:pPr>
      <w:widowControl w:val="0"/>
      <w:tabs>
        <w:tab w:val="center" w:pos="4320"/>
        <w:tab w:val="right" w:pos="8640"/>
      </w:tabs>
      <w:snapToGrid w:val="0"/>
    </w:pPr>
  </w:style>
  <w:style w:type="character" w:customStyle="1" w:styleId="HeaderChar">
    <w:name w:val="Header Char"/>
    <w:basedOn w:val="DefaultParagraphFont"/>
    <w:link w:val="Header"/>
    <w:semiHidden/>
    <w:rsid w:val="0038682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38682A"/>
    <w:pPr>
      <w:widowControl w:val="0"/>
      <w:snapToGrid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8682A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38682A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38682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38682A"/>
    <w:pPr>
      <w:ind w:left="720"/>
      <w:contextualSpacing/>
    </w:pPr>
  </w:style>
  <w:style w:type="character" w:styleId="CommentReference">
    <w:name w:val="annotation reference"/>
    <w:semiHidden/>
    <w:unhideWhenUsed/>
    <w:rsid w:val="0038682A"/>
    <w:rPr>
      <w:sz w:val="16"/>
      <w:szCs w:val="16"/>
    </w:rPr>
  </w:style>
  <w:style w:type="paragraph" w:styleId="Revision">
    <w:name w:val="Revision"/>
    <w:hidden/>
    <w:uiPriority w:val="99"/>
    <w:semiHidden/>
    <w:rsid w:val="00E04D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E8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06CF-0F9F-4068-8105-F08CD1B1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FinCEN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Todd, Shimeda</dc:creator>
  <cp:lastModifiedBy>Clark, Spencer</cp:lastModifiedBy>
  <cp:revision>2</cp:revision>
  <dcterms:created xsi:type="dcterms:W3CDTF">2023-07-13T14:39:00Z</dcterms:created>
  <dcterms:modified xsi:type="dcterms:W3CDTF">2023-07-13T14:39:00Z</dcterms:modified>
</cp:coreProperties>
</file>