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076D" w:rsidRPr="003127E4" w:rsidP="00E9076D" w14:paraId="3A4B271D" w14:textId="77777777">
      <w:pPr>
        <w:tabs>
          <w:tab w:val="center" w:pos="4680"/>
        </w:tabs>
        <w:rPr>
          <w:rFonts w:ascii="Calibri" w:hAnsi="Calibri" w:cs="Berylium"/>
          <w:b/>
          <w:bCs/>
          <w:sz w:val="22"/>
          <w:szCs w:val="22"/>
        </w:rPr>
      </w:pPr>
      <w:r>
        <w:rPr>
          <w:rFonts w:ascii="Berylium" w:hAnsi="Berylium" w:cs="Berylium"/>
          <w:b/>
          <w:bCs/>
        </w:rPr>
        <w:tab/>
      </w:r>
      <w:r w:rsidRPr="003127E4">
        <w:rPr>
          <w:rFonts w:ascii="Calibri" w:hAnsi="Calibri" w:cs="Berylium"/>
          <w:b/>
          <w:bCs/>
          <w:sz w:val="22"/>
          <w:szCs w:val="22"/>
        </w:rPr>
        <w:t>SUPPORTING STATEMENT</w:t>
      </w:r>
    </w:p>
    <w:p w:rsidR="00E9076D" w:rsidP="00E9076D" w14:paraId="70286098" w14:textId="512C787D">
      <w:pPr>
        <w:tabs>
          <w:tab w:val="center" w:pos="4680"/>
        </w:tabs>
        <w:jc w:val="center"/>
        <w:rPr>
          <w:rFonts w:ascii="Calibri" w:hAnsi="Calibri" w:cs="Berylium"/>
          <w:b/>
          <w:bCs/>
          <w:sz w:val="22"/>
          <w:szCs w:val="22"/>
        </w:rPr>
      </w:pPr>
      <w:r w:rsidRPr="003127E4">
        <w:rPr>
          <w:rFonts w:ascii="Calibri" w:hAnsi="Calibri" w:cs="Berylium"/>
          <w:b/>
          <w:bCs/>
          <w:sz w:val="22"/>
          <w:szCs w:val="22"/>
        </w:rPr>
        <w:t>Internal Revenue Service</w:t>
      </w:r>
      <w:r w:rsidR="004B6E0C">
        <w:rPr>
          <w:rFonts w:ascii="Calibri" w:hAnsi="Calibri" w:cs="Berylium"/>
          <w:b/>
          <w:bCs/>
          <w:sz w:val="22"/>
          <w:szCs w:val="22"/>
        </w:rPr>
        <w:t xml:space="preserve"> </w:t>
      </w:r>
      <w:r w:rsidR="000C774E">
        <w:rPr>
          <w:rFonts w:ascii="Calibri" w:hAnsi="Calibri" w:cs="Berylium"/>
          <w:b/>
          <w:bCs/>
          <w:sz w:val="22"/>
          <w:szCs w:val="22"/>
        </w:rPr>
        <w:t>(IRS)</w:t>
      </w:r>
    </w:p>
    <w:p w:rsidR="00541072" w:rsidRPr="00541072" w:rsidP="00541072" w14:paraId="580E97FC" w14:textId="77777777">
      <w:pPr>
        <w:tabs>
          <w:tab w:val="center" w:pos="4680"/>
        </w:tabs>
        <w:jc w:val="center"/>
        <w:rPr>
          <w:rFonts w:ascii="Calibri" w:hAnsi="Calibri" w:cs="Berylium"/>
          <w:b/>
          <w:bCs/>
          <w:sz w:val="22"/>
          <w:szCs w:val="22"/>
        </w:rPr>
      </w:pPr>
      <w:r w:rsidRPr="00ED6812">
        <w:rPr>
          <w:rFonts w:ascii="Calibri" w:hAnsi="Calibri" w:cs="Berylium"/>
          <w:b/>
          <w:bCs/>
          <w:sz w:val="22"/>
          <w:szCs w:val="22"/>
        </w:rPr>
        <w:t xml:space="preserve"> </w:t>
      </w:r>
      <w:r w:rsidRPr="00541072">
        <w:rPr>
          <w:rFonts w:ascii="Calibri" w:hAnsi="Calibri" w:cs="Berylium"/>
          <w:b/>
          <w:bCs/>
          <w:sz w:val="22"/>
          <w:szCs w:val="22"/>
        </w:rPr>
        <w:t>Tip Reporting Alternative Commitment (Hairstyling Industry)</w:t>
      </w:r>
    </w:p>
    <w:p w:rsidR="00ED6812" w:rsidRPr="00ED6812" w:rsidP="00541072" w14:paraId="42E9869F" w14:textId="77777777">
      <w:pPr>
        <w:tabs>
          <w:tab w:val="center" w:pos="4680"/>
        </w:tabs>
        <w:jc w:val="center"/>
        <w:rPr>
          <w:rFonts w:ascii="Calibri" w:hAnsi="Calibri" w:cs="Berylium"/>
          <w:b/>
          <w:bCs/>
          <w:sz w:val="22"/>
          <w:szCs w:val="22"/>
        </w:rPr>
      </w:pPr>
      <w:r w:rsidRPr="00541072">
        <w:rPr>
          <w:rFonts w:ascii="Calibri" w:hAnsi="Calibri" w:cs="Berylium"/>
          <w:b/>
          <w:bCs/>
          <w:sz w:val="22"/>
          <w:szCs w:val="22"/>
        </w:rPr>
        <w:t xml:space="preserve">OMB Control Number 1545-1529 </w:t>
      </w:r>
    </w:p>
    <w:p w:rsidR="007E2EEB" w:rsidRPr="003127E4" w14:paraId="13DE6711" w14:textId="77777777">
      <w:pPr>
        <w:rPr>
          <w:rFonts w:ascii="Calibri" w:hAnsi="Calibri" w:cs="Berylium"/>
          <w:b/>
          <w:bCs/>
          <w:sz w:val="22"/>
          <w:szCs w:val="22"/>
        </w:rPr>
      </w:pPr>
    </w:p>
    <w:p w:rsidR="007E2EEB" w:rsidRPr="004F12D2" w14:paraId="5624C0D4"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CIRCUMSTANCES NECESSITATING COLLECTION OF INFORMATION</w:t>
      </w:r>
      <w:r w:rsidR="009501AC">
        <w:rPr>
          <w:rFonts w:ascii="Calibri" w:hAnsi="Calibri"/>
          <w:b/>
          <w:sz w:val="22"/>
          <w:szCs w:val="22"/>
          <w:u w:val="single"/>
        </w:rPr>
        <w:t xml:space="preserve"> </w:t>
      </w:r>
    </w:p>
    <w:p w:rsidR="004F12D2" w:rsidRPr="009501AC" w:rsidP="004F12D2" w14:paraId="5B06740F" w14:textId="77777777">
      <w:pPr>
        <w:pStyle w:val="Level1"/>
        <w:numPr>
          <w:ilvl w:val="0"/>
          <w:numId w:val="0"/>
        </w:numPr>
        <w:tabs>
          <w:tab w:val="left" w:pos="-1440"/>
        </w:tabs>
        <w:ind w:left="720" w:hanging="720"/>
        <w:rPr>
          <w:rFonts w:ascii="Calibri" w:hAnsi="Calibri"/>
          <w:b/>
          <w:sz w:val="22"/>
          <w:szCs w:val="22"/>
        </w:rPr>
      </w:pPr>
    </w:p>
    <w:p w:rsidR="00541072" w:rsidRPr="00541072" w:rsidP="00541072" w14:paraId="219F44A2" w14:textId="6B3CA29D">
      <w:pPr>
        <w:ind w:left="720"/>
        <w:rPr>
          <w:rFonts w:ascii="Calibri" w:hAnsi="Calibri" w:cs="Calibri"/>
          <w:bCs/>
          <w:sz w:val="22"/>
          <w:szCs w:val="22"/>
        </w:rPr>
      </w:pPr>
      <w:bookmarkStart w:id="0" w:name="_Hlk503267997"/>
      <w:bookmarkStart w:id="1" w:name="_Hlk17986999"/>
      <w:r w:rsidRPr="00541072">
        <w:rPr>
          <w:rFonts w:ascii="Calibri" w:hAnsi="Calibri" w:cs="Calibri"/>
          <w:bCs/>
          <w:sz w:val="22"/>
          <w:szCs w:val="22"/>
        </w:rPr>
        <w:t xml:space="preserve">Tip Rate Determination/Education Program (TRD/EP) offers employers the opportunity of entering into one of two types of agreements with the </w:t>
      </w:r>
      <w:r w:rsidR="000C774E">
        <w:rPr>
          <w:rFonts w:ascii="Calibri" w:hAnsi="Calibri" w:cs="Calibri"/>
          <w:bCs/>
          <w:sz w:val="22"/>
          <w:szCs w:val="22"/>
        </w:rPr>
        <w:t>IRS</w:t>
      </w:r>
      <w:r w:rsidRPr="00541072">
        <w:rPr>
          <w:rFonts w:ascii="Calibri" w:hAnsi="Calibri" w:cs="Calibri"/>
          <w:bCs/>
          <w:sz w:val="22"/>
          <w:szCs w:val="22"/>
        </w:rPr>
        <w:t xml:space="preserve">.  The Tip Rate Determination Agreement (TRDA) requires the determination of tip rates; the Tip Reporting Alternative Commitment (TRAC) agreement emphasizes education and tip reporting procedures.  The agreements also set forth an understanding that employers that comply with the terms of the agreement will not be subject to challenge by the </w:t>
      </w:r>
      <w:r w:rsidR="000C774E">
        <w:rPr>
          <w:rFonts w:ascii="Calibri" w:hAnsi="Calibri" w:cs="Calibri"/>
          <w:bCs/>
          <w:sz w:val="22"/>
          <w:szCs w:val="22"/>
        </w:rPr>
        <w:t>IRS</w:t>
      </w:r>
      <w:r w:rsidRPr="00541072">
        <w:rPr>
          <w:rFonts w:ascii="Calibri" w:hAnsi="Calibri" w:cs="Calibri"/>
          <w:bCs/>
          <w:sz w:val="22"/>
          <w:szCs w:val="22"/>
        </w:rPr>
        <w:t>. The decision to enter into either a TRDA or a TRAC agreement is entirely voluntary on the part of the employer.</w:t>
      </w:r>
      <w:r w:rsidRPr="00541072">
        <w:rPr>
          <w:rFonts w:ascii="Calibri" w:hAnsi="Calibri" w:cs="Calibri"/>
          <w:bCs/>
          <w:sz w:val="22"/>
          <w:szCs w:val="22"/>
        </w:rPr>
        <w:tab/>
      </w:r>
    </w:p>
    <w:p w:rsidR="00541072" w:rsidRPr="00541072" w:rsidP="00541072" w14:paraId="7618C4E1" w14:textId="77777777">
      <w:pPr>
        <w:ind w:left="720"/>
        <w:rPr>
          <w:rFonts w:ascii="Calibri" w:hAnsi="Calibri" w:cs="Calibri"/>
          <w:bCs/>
          <w:sz w:val="22"/>
          <w:szCs w:val="22"/>
        </w:rPr>
      </w:pPr>
    </w:p>
    <w:p w:rsidR="00404EE7" w:rsidRPr="00404EE7" w:rsidP="00541072" w14:paraId="2F45D743" w14:textId="10375CBF">
      <w:pPr>
        <w:ind w:left="720"/>
        <w:rPr>
          <w:rFonts w:ascii="Calibri" w:hAnsi="Calibri" w:cs="Calibri"/>
          <w:bCs/>
          <w:sz w:val="22"/>
          <w:szCs w:val="22"/>
        </w:rPr>
      </w:pPr>
      <w:r w:rsidRPr="00541072">
        <w:rPr>
          <w:rFonts w:ascii="Calibri" w:hAnsi="Calibri" w:cs="Calibri"/>
          <w:bCs/>
          <w:sz w:val="22"/>
          <w:szCs w:val="22"/>
        </w:rPr>
        <w:t xml:space="preserve">The business’s requirements </w:t>
      </w:r>
      <w:r w:rsidR="00CC72C1">
        <w:rPr>
          <w:rFonts w:ascii="Calibri" w:hAnsi="Calibri" w:cs="Calibri"/>
          <w:bCs/>
          <w:sz w:val="22"/>
          <w:szCs w:val="22"/>
        </w:rPr>
        <w:t xml:space="preserve">under </w:t>
      </w:r>
      <w:r w:rsidRPr="00CC72C1" w:rsidR="00CC72C1">
        <w:rPr>
          <w:rFonts w:ascii="Calibri" w:hAnsi="Calibri" w:cs="Calibri"/>
          <w:bCs/>
          <w:sz w:val="22"/>
          <w:szCs w:val="22"/>
        </w:rPr>
        <w:t>26 USC 6053(a)</w:t>
      </w:r>
      <w:r w:rsidR="00CC72C1">
        <w:rPr>
          <w:rFonts w:ascii="Calibri" w:hAnsi="Calibri" w:cs="Calibri"/>
          <w:bCs/>
          <w:sz w:val="22"/>
          <w:szCs w:val="22"/>
        </w:rPr>
        <w:t xml:space="preserve"> </w:t>
      </w:r>
      <w:r w:rsidRPr="00541072">
        <w:rPr>
          <w:rFonts w:ascii="Calibri" w:hAnsi="Calibri" w:cs="Calibri"/>
          <w:bCs/>
          <w:sz w:val="22"/>
          <w:szCs w:val="22"/>
        </w:rPr>
        <w:t>include</w:t>
      </w:r>
      <w:r w:rsidR="00CC72C1">
        <w:rPr>
          <w:rFonts w:ascii="Calibri" w:hAnsi="Calibri" w:cs="Calibri"/>
          <w:bCs/>
          <w:sz w:val="22"/>
          <w:szCs w:val="22"/>
        </w:rPr>
        <w:t>:</w:t>
      </w:r>
      <w:r w:rsidRPr="00541072">
        <w:rPr>
          <w:rFonts w:ascii="Calibri" w:hAnsi="Calibri" w:cs="Calibri"/>
          <w:bCs/>
          <w:sz w:val="22"/>
          <w:szCs w:val="22"/>
        </w:rPr>
        <w:t xml:space="preserve"> (1) listing all of its establishments by name, address, and employer identification number (EIN); and furnishing names, addresses, and EINs of subsequently acquired establishments; (2) establishing an educational program for tipped employees; conducting training quarterly; and furnishing educational materials to booth renters and independent contractors; (3) establishing tip reporting procedures for employees; (4) maintaining records of gross receipts subject to tipping and charge receipts showing charged tips; and making available upon request quarterly totals of these records and of total charged tips and total tips reported; and (5) notifying the </w:t>
      </w:r>
      <w:r w:rsidR="000C774E">
        <w:rPr>
          <w:rFonts w:ascii="Calibri" w:hAnsi="Calibri" w:cs="Calibri"/>
          <w:bCs/>
          <w:sz w:val="22"/>
          <w:szCs w:val="22"/>
        </w:rPr>
        <w:t xml:space="preserve">IRS </w:t>
      </w:r>
      <w:r w:rsidRPr="00541072">
        <w:rPr>
          <w:rFonts w:ascii="Calibri" w:hAnsi="Calibri" w:cs="Calibri"/>
          <w:bCs/>
          <w:sz w:val="22"/>
          <w:szCs w:val="22"/>
        </w:rPr>
        <w:t>in writing if the business wishes to revoke the agreement.</w:t>
      </w:r>
      <w:r w:rsidRPr="00404EE7">
        <w:rPr>
          <w:rFonts w:ascii="Calibri" w:hAnsi="Calibri" w:cs="Calibri"/>
          <w:bCs/>
          <w:sz w:val="22"/>
          <w:szCs w:val="22"/>
        </w:rPr>
        <w:t xml:space="preserve"> </w:t>
      </w:r>
    </w:p>
    <w:p w:rsidR="00A134E4" w:rsidRPr="00A134E4" w:rsidP="00A134E4" w14:paraId="255FF1FE" w14:textId="77777777">
      <w:pPr>
        <w:ind w:left="720"/>
        <w:rPr>
          <w:rFonts w:ascii="Calibri" w:hAnsi="Calibri" w:cs="Calibri"/>
          <w:bCs/>
          <w:sz w:val="22"/>
          <w:szCs w:val="22"/>
        </w:rPr>
      </w:pPr>
    </w:p>
    <w:bookmarkEnd w:id="0"/>
    <w:bookmarkEnd w:id="1"/>
    <w:p w:rsidR="007E2EEB" w:rsidRPr="003127E4" w14:paraId="6CD37024"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USE OF DATA</w:t>
      </w:r>
      <w:r w:rsidRPr="003127E4">
        <w:rPr>
          <w:rFonts w:ascii="Calibri" w:hAnsi="Calibri"/>
          <w:b/>
          <w:sz w:val="22"/>
          <w:szCs w:val="22"/>
        </w:rPr>
        <w:t xml:space="preserve">              </w:t>
      </w:r>
    </w:p>
    <w:p w:rsidR="007E2EEB" w:rsidRPr="003127E4" w14:paraId="0682113D" w14:textId="77777777">
      <w:pPr>
        <w:rPr>
          <w:rFonts w:ascii="Calibri" w:hAnsi="Calibri"/>
          <w:sz w:val="22"/>
          <w:szCs w:val="22"/>
        </w:rPr>
      </w:pPr>
    </w:p>
    <w:p w:rsidR="00010B0A" w:rsidRPr="00010B0A" w:rsidP="00285076" w14:paraId="3DDD64F3" w14:textId="0E524AB2">
      <w:pPr>
        <w:ind w:left="720"/>
        <w:rPr>
          <w:rFonts w:ascii="Calibri" w:hAnsi="Calibri"/>
          <w:sz w:val="22"/>
          <w:szCs w:val="22"/>
        </w:rPr>
      </w:pPr>
      <w:r w:rsidRPr="00541072">
        <w:rPr>
          <w:rFonts w:ascii="Calibri" w:hAnsi="Calibri" w:cs="Helvetica World"/>
          <w:color w:val="000000"/>
          <w:sz w:val="22"/>
          <w:szCs w:val="22"/>
        </w:rPr>
        <w:t>The information will be used to identify the</w:t>
      </w:r>
      <w:r w:rsidR="007938DF">
        <w:rPr>
          <w:rFonts w:ascii="Calibri" w:hAnsi="Calibri" w:cs="Helvetica World"/>
          <w:color w:val="000000"/>
          <w:sz w:val="22"/>
          <w:szCs w:val="22"/>
        </w:rPr>
        <w:t xml:space="preserve"> hairstyling</w:t>
      </w:r>
      <w:r w:rsidRPr="00541072">
        <w:rPr>
          <w:rFonts w:ascii="Calibri" w:hAnsi="Calibri" w:cs="Helvetica World"/>
          <w:color w:val="000000"/>
          <w:sz w:val="22"/>
          <w:szCs w:val="22"/>
        </w:rPr>
        <w:t xml:space="preserve"> business and establishments participating</w:t>
      </w:r>
      <w:r w:rsidR="00285076">
        <w:rPr>
          <w:rFonts w:ascii="Calibri" w:hAnsi="Calibri" w:cs="Helvetica World"/>
          <w:color w:val="000000"/>
          <w:sz w:val="22"/>
          <w:szCs w:val="22"/>
        </w:rPr>
        <w:t xml:space="preserve"> </w:t>
      </w:r>
      <w:r w:rsidRPr="00541072" w:rsidR="007938DF">
        <w:rPr>
          <w:rFonts w:ascii="Calibri" w:hAnsi="Calibri" w:cs="Helvetica World"/>
          <w:color w:val="000000"/>
          <w:sz w:val="22"/>
          <w:szCs w:val="22"/>
        </w:rPr>
        <w:t>in the</w:t>
      </w:r>
      <w:r w:rsidR="007938DF">
        <w:rPr>
          <w:rFonts w:ascii="Calibri" w:hAnsi="Calibri" w:cs="Helvetica World"/>
          <w:color w:val="000000"/>
          <w:sz w:val="22"/>
          <w:szCs w:val="22"/>
        </w:rPr>
        <w:t xml:space="preserve"> </w:t>
      </w:r>
      <w:r w:rsidRPr="00541072" w:rsidR="007938DF">
        <w:rPr>
          <w:rFonts w:ascii="Calibri" w:hAnsi="Calibri" w:cs="Helvetica World"/>
          <w:color w:val="000000"/>
          <w:sz w:val="22"/>
          <w:szCs w:val="22"/>
        </w:rPr>
        <w:t xml:space="preserve">agreement </w:t>
      </w:r>
      <w:r w:rsidR="000C774E">
        <w:rPr>
          <w:rFonts w:ascii="Calibri" w:hAnsi="Calibri" w:cs="Helvetica World"/>
          <w:color w:val="000000"/>
          <w:sz w:val="22"/>
          <w:szCs w:val="22"/>
        </w:rPr>
        <w:t>(Announcement 200</w:t>
      </w:r>
      <w:r w:rsidR="00EB64BA">
        <w:rPr>
          <w:rFonts w:ascii="Calibri" w:hAnsi="Calibri" w:cs="Helvetica World"/>
          <w:color w:val="000000"/>
          <w:sz w:val="22"/>
          <w:szCs w:val="22"/>
        </w:rPr>
        <w:t>0</w:t>
      </w:r>
      <w:r w:rsidR="000C774E">
        <w:rPr>
          <w:rFonts w:ascii="Calibri" w:hAnsi="Calibri" w:cs="Helvetica World"/>
          <w:color w:val="000000"/>
          <w:sz w:val="22"/>
          <w:szCs w:val="22"/>
        </w:rPr>
        <w:t xml:space="preserve">-21) </w:t>
      </w:r>
      <w:r w:rsidRPr="00541072" w:rsidR="007938DF">
        <w:rPr>
          <w:rFonts w:ascii="Calibri" w:hAnsi="Calibri" w:cs="Helvetica World"/>
          <w:color w:val="000000"/>
          <w:sz w:val="22"/>
          <w:szCs w:val="22"/>
        </w:rPr>
        <w:t>and to monitor compliance with the agreement and the statutory tip reporting</w:t>
      </w:r>
      <w:r w:rsidR="007938DF">
        <w:rPr>
          <w:rFonts w:ascii="Calibri" w:hAnsi="Calibri" w:cs="Helvetica World"/>
          <w:color w:val="000000"/>
          <w:sz w:val="22"/>
          <w:szCs w:val="22"/>
        </w:rPr>
        <w:t xml:space="preserve"> </w:t>
      </w:r>
      <w:r w:rsidRPr="00541072" w:rsidR="007938DF">
        <w:rPr>
          <w:rFonts w:ascii="Calibri" w:hAnsi="Calibri" w:cs="Helvetica World"/>
          <w:color w:val="000000"/>
          <w:sz w:val="22"/>
          <w:szCs w:val="22"/>
        </w:rPr>
        <w:t>requirement.</w:t>
      </w:r>
      <w:r w:rsidRPr="00DA38BF" w:rsidR="00DA38BF">
        <w:rPr>
          <w:rFonts w:ascii="Calibri" w:hAnsi="Calibri"/>
          <w:sz w:val="22"/>
          <w:szCs w:val="22"/>
        </w:rPr>
        <w:t xml:space="preserve">                                   </w:t>
      </w:r>
    </w:p>
    <w:p w:rsidR="007E2EEB" w:rsidRPr="003127E4" w14:paraId="717688C1" w14:textId="77777777">
      <w:pPr>
        <w:rPr>
          <w:rFonts w:ascii="Calibri" w:hAnsi="Calibri"/>
          <w:sz w:val="22"/>
          <w:szCs w:val="22"/>
        </w:rPr>
      </w:pPr>
      <w:r w:rsidRPr="003127E4">
        <w:rPr>
          <w:rFonts w:ascii="Calibri" w:hAnsi="Calibri"/>
          <w:sz w:val="22"/>
          <w:szCs w:val="22"/>
        </w:rPr>
        <w:t xml:space="preserve">    </w:t>
      </w:r>
    </w:p>
    <w:p w:rsidR="007E2EEB" w:rsidRPr="003127E4" w14:paraId="6B694E8B" w14:textId="77777777">
      <w:pPr>
        <w:pStyle w:val="Level1"/>
        <w:numPr>
          <w:ilvl w:val="0"/>
          <w:numId w:val="1"/>
        </w:numPr>
        <w:tabs>
          <w:tab w:val="left" w:pos="-1440"/>
          <w:tab w:val="num" w:pos="720"/>
        </w:tabs>
        <w:rPr>
          <w:rFonts w:ascii="Calibri" w:hAnsi="Calibri"/>
          <w:b/>
          <w:sz w:val="22"/>
          <w:szCs w:val="22"/>
        </w:rPr>
      </w:pPr>
      <w:r w:rsidRPr="007A2AC1">
        <w:rPr>
          <w:rFonts w:ascii="Calibri" w:hAnsi="Calibri"/>
          <w:b/>
          <w:sz w:val="22"/>
          <w:szCs w:val="22"/>
          <w:u w:val="single"/>
        </w:rPr>
        <w:t>USE OF IMPROVED</w:t>
      </w:r>
      <w:r w:rsidRPr="003127E4">
        <w:rPr>
          <w:rFonts w:ascii="Calibri" w:hAnsi="Calibri"/>
          <w:b/>
          <w:sz w:val="22"/>
          <w:szCs w:val="22"/>
          <w:u w:val="single"/>
        </w:rPr>
        <w:t xml:space="preserve"> INFORMATION TECHNOLOGY TO REDUCE BURDEN</w:t>
      </w:r>
    </w:p>
    <w:p w:rsidR="007E2EEB" w:rsidRPr="003127E4" w14:paraId="41F72335" w14:textId="77777777">
      <w:pPr>
        <w:rPr>
          <w:rFonts w:ascii="Calibri" w:hAnsi="Calibri"/>
          <w:sz w:val="22"/>
          <w:szCs w:val="22"/>
        </w:rPr>
      </w:pPr>
    </w:p>
    <w:p w:rsidR="007E2EEB" w:rsidRPr="003127E4" w14:paraId="410E73B5" w14:textId="2C463687">
      <w:pPr>
        <w:ind w:left="720"/>
        <w:rPr>
          <w:rFonts w:ascii="Calibri" w:hAnsi="Calibri"/>
          <w:sz w:val="22"/>
          <w:szCs w:val="22"/>
        </w:rPr>
      </w:pPr>
      <w:r w:rsidRPr="00E46D5A">
        <w:rPr>
          <w:rFonts w:ascii="Calibri" w:hAnsi="Calibri"/>
          <w:sz w:val="22"/>
          <w:szCs w:val="22"/>
        </w:rPr>
        <w:t xml:space="preserve">Electronic enabling is not available since its relatively low volume </w:t>
      </w:r>
      <w:r w:rsidR="0021555C">
        <w:rPr>
          <w:rFonts w:ascii="Calibri" w:hAnsi="Calibri"/>
          <w:sz w:val="22"/>
          <w:szCs w:val="22"/>
        </w:rPr>
        <w:t>of filers.</w:t>
      </w:r>
      <w:r w:rsidR="00404EE7">
        <w:rPr>
          <w:rFonts w:ascii="Calibri" w:hAnsi="Calibri"/>
          <w:sz w:val="22"/>
          <w:szCs w:val="22"/>
        </w:rPr>
        <w:t xml:space="preserve"> </w:t>
      </w:r>
    </w:p>
    <w:p w:rsidR="007E2EEB" w:rsidRPr="003127E4" w14:paraId="6279BD38" w14:textId="77777777">
      <w:pPr>
        <w:rPr>
          <w:rFonts w:ascii="Calibri" w:hAnsi="Calibri"/>
          <w:sz w:val="22"/>
          <w:szCs w:val="22"/>
        </w:rPr>
      </w:pPr>
    </w:p>
    <w:p w:rsidR="007E2EEB" w:rsidRPr="003127E4" w14:paraId="735CFEB5"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EFFORTS TO IDENTIFY DUPLICATION</w:t>
      </w:r>
    </w:p>
    <w:p w:rsidR="007E2EEB" w:rsidRPr="003127E4" w14:paraId="51A45F23" w14:textId="77777777">
      <w:pPr>
        <w:rPr>
          <w:rFonts w:ascii="Calibri" w:hAnsi="Calibri"/>
          <w:sz w:val="22"/>
          <w:szCs w:val="22"/>
        </w:rPr>
      </w:pPr>
    </w:p>
    <w:p w:rsidR="00030B44" w:rsidP="002D4886" w14:paraId="40942319" w14:textId="02C5A4E6">
      <w:pPr>
        <w:ind w:left="720"/>
        <w:rPr>
          <w:rFonts w:ascii="Calibri" w:hAnsi="Calibri"/>
          <w:sz w:val="22"/>
          <w:szCs w:val="22"/>
        </w:rPr>
      </w:pPr>
      <w:r w:rsidRPr="00715FFF">
        <w:rPr>
          <w:rFonts w:ascii="Calibri" w:hAnsi="Calibri"/>
          <w:sz w:val="22"/>
          <w:szCs w:val="22"/>
        </w:rPr>
        <w:t>The information obtained through this collection is unique and is not already available or use or</w:t>
      </w:r>
      <w:r>
        <w:rPr>
          <w:rFonts w:ascii="Calibri" w:hAnsi="Calibri"/>
          <w:sz w:val="22"/>
          <w:szCs w:val="22"/>
        </w:rPr>
        <w:t xml:space="preserve"> </w:t>
      </w:r>
      <w:r w:rsidRPr="00715FFF">
        <w:rPr>
          <w:rFonts w:ascii="Calibri" w:hAnsi="Calibri"/>
          <w:sz w:val="22"/>
          <w:szCs w:val="22"/>
        </w:rPr>
        <w:t>adaption from another source</w:t>
      </w:r>
      <w:r>
        <w:rPr>
          <w:rFonts w:ascii="Calibri" w:hAnsi="Calibri"/>
          <w:sz w:val="22"/>
          <w:szCs w:val="22"/>
        </w:rPr>
        <w:t>.</w:t>
      </w:r>
    </w:p>
    <w:p w:rsidR="00813FAA" w:rsidRPr="003127E4" w14:paraId="3238B5D8" w14:textId="77777777">
      <w:pPr>
        <w:rPr>
          <w:rFonts w:ascii="Calibri" w:hAnsi="Calibri"/>
          <w:sz w:val="22"/>
          <w:szCs w:val="22"/>
        </w:rPr>
      </w:pPr>
    </w:p>
    <w:p w:rsidR="007E2EEB" w:rsidRPr="003127E4" w14:paraId="36D91EEF" w14:textId="77777777">
      <w:pPr>
        <w:pStyle w:val="Level1"/>
        <w:numPr>
          <w:ilvl w:val="0"/>
          <w:numId w:val="1"/>
        </w:numPr>
        <w:tabs>
          <w:tab w:val="left" w:pos="-1440"/>
          <w:tab w:val="num" w:pos="720"/>
        </w:tabs>
        <w:rPr>
          <w:rFonts w:ascii="Calibri" w:hAnsi="Calibri"/>
          <w:b/>
          <w:sz w:val="22"/>
          <w:szCs w:val="22"/>
        </w:rPr>
      </w:pPr>
      <w:r w:rsidRPr="00394E4C">
        <w:rPr>
          <w:rFonts w:ascii="Calibri" w:hAnsi="Calibri"/>
          <w:b/>
          <w:sz w:val="22"/>
          <w:szCs w:val="22"/>
          <w:u w:val="single"/>
        </w:rPr>
        <w:t>METHODS</w:t>
      </w:r>
      <w:r w:rsidRPr="00224418">
        <w:rPr>
          <w:rFonts w:ascii="Calibri" w:hAnsi="Calibri"/>
          <w:b/>
          <w:sz w:val="22"/>
          <w:szCs w:val="22"/>
          <w:u w:val="single"/>
        </w:rPr>
        <w:t xml:space="preserve"> TO MINIMIZE</w:t>
      </w:r>
      <w:r w:rsidRPr="003127E4">
        <w:rPr>
          <w:rFonts w:ascii="Calibri" w:hAnsi="Calibri"/>
          <w:b/>
          <w:sz w:val="22"/>
          <w:szCs w:val="22"/>
          <w:u w:val="single"/>
        </w:rPr>
        <w:t xml:space="preserve"> BURDEN ON SMALL BUSINESSES OR OTHER</w:t>
      </w:r>
      <w:r w:rsidRPr="003127E4" w:rsidR="00715FFF">
        <w:rPr>
          <w:rFonts w:ascii="Calibri" w:hAnsi="Calibri"/>
          <w:b/>
          <w:sz w:val="22"/>
          <w:szCs w:val="22"/>
          <w:u w:val="single"/>
        </w:rPr>
        <w:t xml:space="preserve"> </w:t>
      </w:r>
      <w:r w:rsidRPr="003127E4">
        <w:rPr>
          <w:rFonts w:ascii="Calibri" w:hAnsi="Calibri"/>
          <w:b/>
          <w:sz w:val="22"/>
          <w:szCs w:val="22"/>
          <w:u w:val="single"/>
        </w:rPr>
        <w:t>SMALL ENTITIES</w:t>
      </w:r>
    </w:p>
    <w:p w:rsidR="007E2EEB" w:rsidRPr="003127E4" w14:paraId="42849037" w14:textId="77777777">
      <w:pPr>
        <w:rPr>
          <w:rFonts w:ascii="Calibri" w:hAnsi="Calibri"/>
          <w:sz w:val="22"/>
          <w:szCs w:val="22"/>
        </w:rPr>
      </w:pPr>
    </w:p>
    <w:p w:rsidR="00420159" w:rsidRPr="00420159" w:rsidP="00420159" w14:paraId="729D5C34" w14:textId="3ECB0092">
      <w:pPr>
        <w:ind w:left="720"/>
        <w:rPr>
          <w:rFonts w:ascii="Calibri" w:hAnsi="Calibri" w:cs="Courier New"/>
          <w:color w:val="000000"/>
          <w:sz w:val="22"/>
          <w:szCs w:val="22"/>
        </w:rPr>
      </w:pPr>
      <w:r w:rsidRPr="00420159">
        <w:rPr>
          <w:rFonts w:ascii="Calibri" w:hAnsi="Calibri" w:cs="Courier New"/>
          <w:color w:val="000000"/>
          <w:sz w:val="22"/>
          <w:szCs w:val="22"/>
        </w:rPr>
        <w:t xml:space="preserve">The agreements set forth an understanding that employers that comply with the terms of the agreement will not be subject to challenge by the </w:t>
      </w:r>
      <w:r w:rsidR="000C774E">
        <w:rPr>
          <w:rFonts w:ascii="Calibri" w:hAnsi="Calibri" w:cs="Courier New"/>
          <w:color w:val="000000"/>
          <w:sz w:val="22"/>
          <w:szCs w:val="22"/>
        </w:rPr>
        <w:t>IRS</w:t>
      </w:r>
      <w:r w:rsidRPr="00420159">
        <w:rPr>
          <w:rFonts w:ascii="Calibri" w:hAnsi="Calibri" w:cs="Courier New"/>
          <w:color w:val="000000"/>
          <w:sz w:val="22"/>
          <w:szCs w:val="22"/>
        </w:rPr>
        <w:t>. The TRDAs set forth</w:t>
      </w:r>
      <w:r>
        <w:rPr>
          <w:rFonts w:ascii="Calibri" w:hAnsi="Calibri" w:cs="Courier New"/>
          <w:color w:val="000000"/>
          <w:sz w:val="22"/>
          <w:szCs w:val="22"/>
        </w:rPr>
        <w:t xml:space="preserve"> </w:t>
      </w:r>
      <w:r w:rsidRPr="00420159">
        <w:rPr>
          <w:rFonts w:ascii="Calibri" w:hAnsi="Calibri" w:cs="Courier New"/>
          <w:color w:val="000000"/>
          <w:sz w:val="22"/>
          <w:szCs w:val="22"/>
        </w:rPr>
        <w:t xml:space="preserve">similar understandings with respect to employees as well who participate in the agreements. It is designed to enhance tax compliance among tipped employees through taxpayer education and </w:t>
      </w:r>
      <w:r w:rsidRPr="00420159">
        <w:rPr>
          <w:rFonts w:ascii="Calibri" w:hAnsi="Calibri" w:cs="Courier New"/>
          <w:color w:val="000000"/>
          <w:sz w:val="22"/>
          <w:szCs w:val="22"/>
        </w:rPr>
        <w:t xml:space="preserve">voluntary advance agreements instead of traditional audit techniques. This potentially saves small businesses and entities going through the audit process, </w:t>
      </w:r>
      <w:r w:rsidRPr="00420159">
        <w:rPr>
          <w:rFonts w:ascii="Calibri" w:hAnsi="Calibri" w:cs="Courier New"/>
          <w:color w:val="000000"/>
          <w:sz w:val="22"/>
          <w:szCs w:val="22"/>
        </w:rPr>
        <w:t>time</w:t>
      </w:r>
      <w:r w:rsidRPr="00420159">
        <w:rPr>
          <w:rFonts w:ascii="Calibri" w:hAnsi="Calibri" w:cs="Courier New"/>
          <w:color w:val="000000"/>
          <w:sz w:val="22"/>
          <w:szCs w:val="22"/>
        </w:rPr>
        <w:t xml:space="preserve"> and money.</w:t>
      </w:r>
    </w:p>
    <w:p w:rsidR="00354235" w:rsidRPr="003127E4" w14:paraId="541CFDC7" w14:textId="3EAD7E9F">
      <w:pPr>
        <w:ind w:left="720"/>
        <w:rPr>
          <w:rFonts w:ascii="Calibri" w:hAnsi="Calibri"/>
          <w:sz w:val="22"/>
          <w:szCs w:val="22"/>
        </w:rPr>
      </w:pPr>
      <w:r w:rsidRPr="00354235">
        <w:rPr>
          <w:rFonts w:ascii="Calibri" w:hAnsi="Calibri" w:cs="Courier New"/>
          <w:color w:val="000000"/>
          <w:sz w:val="22"/>
          <w:szCs w:val="22"/>
        </w:rPr>
        <w:t xml:space="preserve">     </w:t>
      </w:r>
    </w:p>
    <w:p w:rsidR="007E2EEB" w:rsidRPr="003127E4" w14:paraId="7740A324" w14:textId="77777777">
      <w:pPr>
        <w:tabs>
          <w:tab w:val="left" w:pos="-1440"/>
        </w:tabs>
        <w:ind w:left="720" w:hanging="720"/>
        <w:rPr>
          <w:rFonts w:ascii="Calibri" w:hAnsi="Calibri"/>
          <w:sz w:val="22"/>
          <w:szCs w:val="22"/>
        </w:rPr>
      </w:pPr>
      <w:r w:rsidRPr="003127E4">
        <w:rPr>
          <w:rFonts w:ascii="Calibri" w:hAnsi="Calibri"/>
          <w:sz w:val="22"/>
          <w:szCs w:val="22"/>
        </w:rPr>
        <w:t xml:space="preserve">6. </w:t>
      </w:r>
      <w:r w:rsidRPr="003127E4">
        <w:rPr>
          <w:rFonts w:ascii="Calibri" w:hAnsi="Calibri"/>
          <w:sz w:val="22"/>
          <w:szCs w:val="22"/>
        </w:rPr>
        <w:tab/>
      </w:r>
      <w:r w:rsidRPr="00974429">
        <w:rPr>
          <w:rFonts w:ascii="Calibri" w:hAnsi="Calibri"/>
          <w:b/>
          <w:sz w:val="22"/>
          <w:szCs w:val="22"/>
          <w:u w:val="single"/>
        </w:rPr>
        <w:t>CON</w:t>
      </w:r>
      <w:r w:rsidRPr="00FF03FE">
        <w:rPr>
          <w:rFonts w:ascii="Calibri" w:hAnsi="Calibri"/>
          <w:b/>
          <w:sz w:val="22"/>
          <w:szCs w:val="22"/>
          <w:u w:val="single"/>
        </w:rPr>
        <w:t>SEQU</w:t>
      </w:r>
      <w:r w:rsidRPr="003127E4">
        <w:rPr>
          <w:rFonts w:ascii="Calibri" w:hAnsi="Calibri"/>
          <w:b/>
          <w:sz w:val="22"/>
          <w:szCs w:val="22"/>
          <w:u w:val="single"/>
        </w:rPr>
        <w:t>ENCES OF LESS FREQUENT COLLECTION ON FEDERAL PROGRAMS OR POLICY ACTIVITIES</w:t>
      </w:r>
    </w:p>
    <w:p w:rsidR="007E2EEB" w:rsidRPr="003127E4" w14:paraId="05BF92D8" w14:textId="77777777">
      <w:pPr>
        <w:rPr>
          <w:rFonts w:ascii="Calibri" w:hAnsi="Calibri"/>
          <w:sz w:val="22"/>
          <w:szCs w:val="22"/>
        </w:rPr>
      </w:pPr>
    </w:p>
    <w:p w:rsidR="00420159" w:rsidRPr="00420159" w:rsidP="00420159" w14:paraId="21711833" w14:textId="28D6D64C">
      <w:pPr>
        <w:ind w:left="720"/>
        <w:rPr>
          <w:rFonts w:asciiTheme="minorHAnsi" w:hAnsiTheme="minorHAnsi" w:cstheme="minorHAnsi"/>
          <w:sz w:val="22"/>
          <w:szCs w:val="22"/>
        </w:rPr>
      </w:pPr>
      <w:r w:rsidRPr="00420159">
        <w:rPr>
          <w:rFonts w:asciiTheme="minorHAnsi" w:hAnsiTheme="minorHAnsi" w:cstheme="minorHAnsi"/>
          <w:sz w:val="22"/>
          <w:szCs w:val="22"/>
        </w:rPr>
        <w:t>If the information were collected les</w:t>
      </w:r>
      <w:r w:rsidR="00652B7E">
        <w:rPr>
          <w:rFonts w:asciiTheme="minorHAnsi" w:hAnsiTheme="minorHAnsi" w:cstheme="minorHAnsi"/>
          <w:sz w:val="22"/>
          <w:szCs w:val="22"/>
        </w:rPr>
        <w:t>s</w:t>
      </w:r>
      <w:r w:rsidRPr="00420159">
        <w:rPr>
          <w:rFonts w:asciiTheme="minorHAnsi" w:hAnsiTheme="minorHAnsi" w:cstheme="minorHAnsi"/>
          <w:sz w:val="22"/>
          <w:szCs w:val="22"/>
        </w:rPr>
        <w:t xml:space="preserve"> frequently, the consequences are that the IRS would have to spend more taxpayer assistance resources to collect this data through other means. This would compromise the Agency’s ability to enforce tax compliance.  Tax compliance is a vital part of the government’s ability to meet its mission and serve the public.</w:t>
      </w:r>
    </w:p>
    <w:p w:rsidR="00420159" w:rsidRPr="00420159" w:rsidP="00420159" w14:paraId="0ABA2B0E" w14:textId="77777777">
      <w:pPr>
        <w:widowControl/>
        <w:rPr>
          <w:rFonts w:asciiTheme="minorHAnsi" w:hAnsiTheme="minorHAnsi" w:cstheme="minorHAnsi"/>
          <w:sz w:val="22"/>
          <w:szCs w:val="22"/>
        </w:rPr>
      </w:pPr>
    </w:p>
    <w:p w:rsidR="007E2EEB" w:rsidRPr="003127E4" w14:paraId="2312795A" w14:textId="77777777">
      <w:pPr>
        <w:pStyle w:val="Level1"/>
        <w:numPr>
          <w:ilvl w:val="0"/>
          <w:numId w:val="2"/>
        </w:numPr>
        <w:tabs>
          <w:tab w:val="left" w:pos="-1440"/>
          <w:tab w:val="num" w:pos="720"/>
        </w:tabs>
        <w:rPr>
          <w:rFonts w:ascii="Calibri" w:hAnsi="Calibri"/>
          <w:b/>
          <w:sz w:val="22"/>
          <w:szCs w:val="22"/>
        </w:rPr>
      </w:pPr>
      <w:r w:rsidRPr="003127E4">
        <w:rPr>
          <w:rFonts w:ascii="Calibri" w:hAnsi="Calibri"/>
          <w:b/>
          <w:sz w:val="22"/>
          <w:szCs w:val="22"/>
          <w:u w:val="single"/>
        </w:rPr>
        <w:t>SPECIAL CIRCUMSTANCES REQUIRING DATA COLLECTION TO BE</w:t>
      </w:r>
      <w:r w:rsidRPr="003127E4" w:rsidR="00473D0D">
        <w:rPr>
          <w:rFonts w:ascii="Calibri" w:hAnsi="Calibri"/>
          <w:b/>
          <w:sz w:val="22"/>
          <w:szCs w:val="22"/>
          <w:u w:val="single"/>
        </w:rPr>
        <w:t xml:space="preserve"> </w:t>
      </w:r>
      <w:r w:rsidRPr="003127E4">
        <w:rPr>
          <w:rFonts w:ascii="Calibri" w:hAnsi="Calibri"/>
          <w:b/>
          <w:sz w:val="22"/>
          <w:szCs w:val="22"/>
          <w:u w:val="single"/>
        </w:rPr>
        <w:t>INCONSISTENT WITH GUIDELINES IN 5 CFR 1320.5(d)(2)</w:t>
      </w:r>
    </w:p>
    <w:p w:rsidR="007E2EEB" w:rsidRPr="003127E4" w14:paraId="16C62D31" w14:textId="77777777">
      <w:pPr>
        <w:rPr>
          <w:rFonts w:ascii="Calibri" w:hAnsi="Calibri"/>
          <w:sz w:val="22"/>
          <w:szCs w:val="22"/>
        </w:rPr>
      </w:pPr>
    </w:p>
    <w:p w:rsidR="007E2EEB" w:rsidP="00336BA4" w14:paraId="4BC06CD1" w14:textId="77777777">
      <w:pPr>
        <w:ind w:left="720"/>
        <w:rPr>
          <w:rFonts w:ascii="Calibri" w:hAnsi="Calibri"/>
          <w:sz w:val="22"/>
          <w:szCs w:val="22"/>
        </w:rPr>
      </w:pPr>
      <w:r w:rsidRPr="00473D0D">
        <w:rPr>
          <w:rFonts w:ascii="Calibri" w:hAnsi="Calibri"/>
          <w:sz w:val="22"/>
          <w:szCs w:val="22"/>
        </w:rPr>
        <w:t>There are no special circumstances requiring data collection to be inconsistent with Guidelines in 5 CFR 1320.5(d)(2).</w:t>
      </w:r>
    </w:p>
    <w:p w:rsidR="00B5635A" w:rsidRPr="003127E4" w14:paraId="301B7AB9" w14:textId="77777777">
      <w:pPr>
        <w:rPr>
          <w:rFonts w:ascii="Calibri" w:hAnsi="Calibri"/>
          <w:sz w:val="22"/>
          <w:szCs w:val="22"/>
        </w:rPr>
      </w:pPr>
    </w:p>
    <w:p w:rsidR="007E2EEB" w:rsidRPr="003127E4" w:rsidP="00AF1AEA" w14:paraId="293FDB28" w14:textId="77777777">
      <w:pPr>
        <w:ind w:left="720" w:hanging="720"/>
        <w:rPr>
          <w:rFonts w:ascii="Calibri" w:hAnsi="Calibri"/>
          <w:b/>
          <w:sz w:val="22"/>
          <w:szCs w:val="22"/>
        </w:rPr>
      </w:pPr>
      <w:r w:rsidRPr="00AF1AEA">
        <w:rPr>
          <w:rFonts w:ascii="Calibri" w:hAnsi="Calibri"/>
          <w:b/>
          <w:sz w:val="22"/>
          <w:szCs w:val="22"/>
        </w:rPr>
        <w:t>8.</w:t>
      </w:r>
      <w:r w:rsidRPr="00AF1AEA">
        <w:rPr>
          <w:rFonts w:ascii="Calibri" w:hAnsi="Calibri"/>
          <w:b/>
          <w:sz w:val="22"/>
          <w:szCs w:val="22"/>
        </w:rPr>
        <w:tab/>
      </w:r>
      <w:r w:rsidRPr="007A2AC1">
        <w:rPr>
          <w:rFonts w:ascii="Calibri" w:hAnsi="Calibri"/>
          <w:b/>
          <w:sz w:val="22"/>
          <w:szCs w:val="22"/>
          <w:u w:val="single"/>
        </w:rPr>
        <w:t>CONSULTAT</w:t>
      </w:r>
      <w:r w:rsidRPr="00F26675">
        <w:rPr>
          <w:rFonts w:ascii="Calibri" w:hAnsi="Calibri"/>
          <w:b/>
          <w:sz w:val="22"/>
          <w:szCs w:val="22"/>
          <w:u w:val="single"/>
        </w:rPr>
        <w:t>ION WITH INDIVIDUALS OUTSIDE OF THE AGENCY ON</w:t>
      </w:r>
      <w:r w:rsidRPr="00AF1AEA" w:rsidR="00473D0D">
        <w:rPr>
          <w:rFonts w:ascii="Calibri" w:hAnsi="Calibri"/>
          <w:b/>
          <w:sz w:val="22"/>
          <w:szCs w:val="22"/>
          <w:u w:val="single"/>
        </w:rPr>
        <w:t xml:space="preserve"> </w:t>
      </w:r>
      <w:r w:rsidRPr="00AF1AEA">
        <w:rPr>
          <w:rFonts w:ascii="Calibri" w:hAnsi="Calibri"/>
          <w:b/>
          <w:sz w:val="22"/>
          <w:szCs w:val="22"/>
          <w:u w:val="single"/>
        </w:rPr>
        <w:t>AVAILABILITY OF DATA, FREQUENCY OF COLLECTION, CLARITY OF INSTRUCTIONS AND FORMS, AND DATA ELEMENTS</w:t>
      </w:r>
      <w:r w:rsidRPr="00AF1AEA" w:rsidR="00293354">
        <w:rPr>
          <w:rFonts w:ascii="Calibri" w:hAnsi="Calibri"/>
          <w:b/>
          <w:sz w:val="22"/>
          <w:szCs w:val="22"/>
          <w:u w:val="single"/>
        </w:rPr>
        <w:t xml:space="preserve"> </w:t>
      </w:r>
    </w:p>
    <w:p w:rsidR="007E2EEB" w:rsidRPr="003127E4" w14:paraId="11C7601B" w14:textId="77777777">
      <w:pPr>
        <w:rPr>
          <w:rFonts w:ascii="Calibri" w:hAnsi="Calibri"/>
          <w:sz w:val="22"/>
          <w:szCs w:val="22"/>
        </w:rPr>
      </w:pPr>
    </w:p>
    <w:p w:rsidR="007E2EEB" w:rsidRPr="003127E4" w14:paraId="28BEA5BB" w14:textId="22241CC0">
      <w:pPr>
        <w:ind w:left="720"/>
        <w:rPr>
          <w:rFonts w:ascii="Calibri" w:hAnsi="Calibri"/>
          <w:sz w:val="22"/>
          <w:szCs w:val="22"/>
        </w:rPr>
      </w:pPr>
      <w:r w:rsidRPr="00044F37">
        <w:rPr>
          <w:rFonts w:ascii="Calibri" w:hAnsi="Calibri"/>
          <w:sz w:val="22"/>
          <w:szCs w:val="22"/>
        </w:rPr>
        <w:t xml:space="preserve">In response to the Federal Register notice </w:t>
      </w:r>
      <w:r w:rsidRPr="00120003">
        <w:rPr>
          <w:rFonts w:ascii="Calibri" w:hAnsi="Calibri"/>
          <w:sz w:val="22"/>
          <w:szCs w:val="22"/>
        </w:rPr>
        <w:t>dated</w:t>
      </w:r>
      <w:r w:rsidRPr="00120003" w:rsidR="00DE00E7">
        <w:rPr>
          <w:rFonts w:ascii="Calibri" w:hAnsi="Calibri"/>
          <w:sz w:val="22"/>
          <w:szCs w:val="22"/>
        </w:rPr>
        <w:t xml:space="preserve"> </w:t>
      </w:r>
      <w:r w:rsidR="00030B44">
        <w:rPr>
          <w:rFonts w:ascii="Calibri" w:hAnsi="Calibri"/>
          <w:sz w:val="22"/>
          <w:szCs w:val="22"/>
        </w:rPr>
        <w:t>June 1, 2023</w:t>
      </w:r>
      <w:r w:rsidRPr="00120003" w:rsidR="00D71370">
        <w:rPr>
          <w:rFonts w:ascii="Calibri" w:hAnsi="Calibri"/>
          <w:sz w:val="22"/>
          <w:szCs w:val="22"/>
        </w:rPr>
        <w:t xml:space="preserve"> </w:t>
      </w:r>
      <w:r w:rsidRPr="00120003">
        <w:rPr>
          <w:rFonts w:ascii="Calibri" w:hAnsi="Calibri"/>
          <w:sz w:val="22"/>
          <w:szCs w:val="22"/>
        </w:rPr>
        <w:t>(8</w:t>
      </w:r>
      <w:r w:rsidR="00030B44">
        <w:rPr>
          <w:rFonts w:ascii="Calibri" w:hAnsi="Calibri"/>
          <w:sz w:val="22"/>
          <w:szCs w:val="22"/>
        </w:rPr>
        <w:t>8</w:t>
      </w:r>
      <w:r w:rsidR="002109AC">
        <w:rPr>
          <w:rFonts w:ascii="Calibri" w:hAnsi="Calibri"/>
          <w:sz w:val="22"/>
          <w:szCs w:val="22"/>
        </w:rPr>
        <w:t xml:space="preserve"> FR</w:t>
      </w:r>
      <w:r w:rsidR="007A2AC1">
        <w:rPr>
          <w:rFonts w:ascii="Calibri" w:hAnsi="Calibri"/>
          <w:sz w:val="22"/>
          <w:szCs w:val="22"/>
        </w:rPr>
        <w:t xml:space="preserve"> </w:t>
      </w:r>
      <w:r w:rsidR="00030B44">
        <w:rPr>
          <w:rFonts w:ascii="Calibri" w:hAnsi="Calibri"/>
          <w:sz w:val="22"/>
          <w:szCs w:val="22"/>
        </w:rPr>
        <w:t>35998</w:t>
      </w:r>
      <w:r w:rsidRPr="00120003">
        <w:rPr>
          <w:rFonts w:ascii="Calibri" w:hAnsi="Calibri"/>
          <w:sz w:val="22"/>
          <w:szCs w:val="22"/>
        </w:rPr>
        <w:t>),</w:t>
      </w:r>
      <w:r w:rsidRPr="00044F37">
        <w:rPr>
          <w:rFonts w:ascii="Calibri" w:hAnsi="Calibri"/>
          <w:sz w:val="22"/>
          <w:szCs w:val="22"/>
        </w:rPr>
        <w:t xml:space="preserve"> </w:t>
      </w:r>
      <w:r w:rsidR="00030B44">
        <w:rPr>
          <w:rFonts w:ascii="Calibri" w:hAnsi="Calibri"/>
          <w:sz w:val="22"/>
          <w:szCs w:val="22"/>
        </w:rPr>
        <w:t>IRS</w:t>
      </w:r>
      <w:r w:rsidRPr="00044F37">
        <w:rPr>
          <w:rFonts w:ascii="Calibri" w:hAnsi="Calibri"/>
          <w:sz w:val="22"/>
          <w:szCs w:val="22"/>
        </w:rPr>
        <w:t xml:space="preserve"> received no comments during the comment period regarding th</w:t>
      </w:r>
      <w:r w:rsidR="00030B44">
        <w:rPr>
          <w:rFonts w:ascii="Calibri" w:hAnsi="Calibri"/>
          <w:sz w:val="22"/>
          <w:szCs w:val="22"/>
        </w:rPr>
        <w:t>is collection.</w:t>
      </w:r>
      <w:r w:rsidRPr="00044F37">
        <w:rPr>
          <w:rFonts w:ascii="Calibri" w:hAnsi="Calibri"/>
          <w:sz w:val="22"/>
          <w:szCs w:val="22"/>
        </w:rPr>
        <w:t xml:space="preserve"> </w:t>
      </w:r>
      <w:r w:rsidRPr="003127E4">
        <w:rPr>
          <w:rFonts w:ascii="Calibri" w:hAnsi="Calibri"/>
          <w:sz w:val="22"/>
          <w:szCs w:val="22"/>
        </w:rPr>
        <w:t xml:space="preserve"> </w:t>
      </w:r>
    </w:p>
    <w:p w:rsidR="007E2EEB" w:rsidRPr="003127E4" w14:paraId="34E8BA12" w14:textId="77777777">
      <w:pPr>
        <w:tabs>
          <w:tab w:val="center" w:pos="4680"/>
        </w:tabs>
        <w:rPr>
          <w:rFonts w:ascii="Calibri" w:hAnsi="Calibri"/>
          <w:sz w:val="22"/>
          <w:szCs w:val="22"/>
        </w:rPr>
      </w:pPr>
    </w:p>
    <w:p w:rsidR="007E2EEB" w:rsidRPr="003127E4" w:rsidP="00AF1AEA" w14:paraId="5F3714C9"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EXPLANATION OF DECISION TO PROVIDE ANY PAYMENT OR GIFT TO</w:t>
      </w:r>
      <w:r w:rsidRPr="003127E4" w:rsidR="006E6E53">
        <w:rPr>
          <w:rFonts w:ascii="Calibri" w:hAnsi="Calibri"/>
          <w:b/>
          <w:sz w:val="22"/>
          <w:szCs w:val="22"/>
          <w:u w:val="single"/>
        </w:rPr>
        <w:t xml:space="preserve"> </w:t>
      </w:r>
      <w:r w:rsidRPr="003127E4">
        <w:rPr>
          <w:rFonts w:ascii="Calibri" w:hAnsi="Calibri"/>
          <w:b/>
          <w:sz w:val="22"/>
          <w:szCs w:val="22"/>
          <w:u w:val="single"/>
        </w:rPr>
        <w:t>RESPONDENTS</w:t>
      </w:r>
    </w:p>
    <w:p w:rsidR="007E2EEB" w:rsidRPr="003127E4" w14:paraId="5F255176" w14:textId="77777777">
      <w:pPr>
        <w:rPr>
          <w:rFonts w:ascii="Calibri" w:hAnsi="Calibri"/>
          <w:sz w:val="22"/>
          <w:szCs w:val="22"/>
        </w:rPr>
      </w:pPr>
    </w:p>
    <w:p w:rsidR="006E6E53" w:rsidRPr="002A31A5" w:rsidP="006E6E53" w14:paraId="35B31208" w14:textId="77777777">
      <w:pPr>
        <w:ind w:left="720"/>
        <w:rPr>
          <w:rFonts w:ascii="Calibri" w:hAnsi="Calibri" w:cs="Calibri"/>
          <w:sz w:val="22"/>
          <w:szCs w:val="22"/>
        </w:rPr>
      </w:pPr>
      <w:r w:rsidRPr="002A31A5">
        <w:rPr>
          <w:rFonts w:ascii="Calibri" w:hAnsi="Calibri" w:cs="Calibri"/>
          <w:sz w:val="22"/>
          <w:szCs w:val="22"/>
        </w:rPr>
        <w:t>No payment or gift has been provided to any respondents.</w:t>
      </w:r>
    </w:p>
    <w:p w:rsidR="006E6E53" w:rsidRPr="002A31A5" w:rsidP="006E6E53" w14:paraId="31C7818B" w14:textId="77777777">
      <w:pPr>
        <w:rPr>
          <w:rFonts w:ascii="Calibri" w:hAnsi="Calibri" w:cs="Calibri"/>
          <w:sz w:val="22"/>
          <w:szCs w:val="22"/>
        </w:rPr>
      </w:pPr>
    </w:p>
    <w:p w:rsidR="007E2EEB" w:rsidRPr="003127E4" w:rsidP="00AF1AEA" w14:paraId="4DC173A8"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ASSURANCE OF CONFIDENTIALITY OF RESPONSES</w:t>
      </w:r>
    </w:p>
    <w:p w:rsidR="007E2EEB" w:rsidRPr="003127E4" w14:paraId="117EDCC9" w14:textId="77777777">
      <w:pPr>
        <w:rPr>
          <w:rFonts w:ascii="Calibri" w:hAnsi="Calibri"/>
          <w:sz w:val="22"/>
          <w:szCs w:val="22"/>
        </w:rPr>
      </w:pPr>
    </w:p>
    <w:p w:rsidR="007E2EEB" w:rsidRPr="003127E4" w14:paraId="4AE8BBF3" w14:textId="77777777">
      <w:pPr>
        <w:ind w:left="720"/>
        <w:rPr>
          <w:rFonts w:ascii="Calibri" w:hAnsi="Calibri"/>
          <w:sz w:val="22"/>
          <w:szCs w:val="22"/>
        </w:rPr>
      </w:pPr>
      <w:r w:rsidRPr="003127E4">
        <w:rPr>
          <w:rFonts w:ascii="Calibri" w:hAnsi="Calibri"/>
          <w:sz w:val="22"/>
          <w:szCs w:val="22"/>
        </w:rPr>
        <w:t>Generally, tax returns and tax return information are confidential as required by 26 USC 6103.</w:t>
      </w:r>
    </w:p>
    <w:p w:rsidR="007E2EEB" w:rsidRPr="003127E4" w14:paraId="5D7F2434" w14:textId="77777777">
      <w:pPr>
        <w:rPr>
          <w:rFonts w:ascii="Calibri" w:hAnsi="Calibri"/>
          <w:sz w:val="22"/>
          <w:szCs w:val="22"/>
        </w:rPr>
      </w:pPr>
    </w:p>
    <w:p w:rsidR="007E2EEB" w:rsidRPr="003127E4" w:rsidP="00AF1AEA" w14:paraId="719CD14E" w14:textId="77777777">
      <w:pPr>
        <w:pStyle w:val="Level1"/>
        <w:numPr>
          <w:ilvl w:val="0"/>
          <w:numId w:val="4"/>
        </w:numPr>
        <w:tabs>
          <w:tab w:val="left" w:pos="-1440"/>
        </w:tabs>
        <w:rPr>
          <w:rFonts w:ascii="Calibri" w:hAnsi="Calibri"/>
          <w:b/>
          <w:sz w:val="22"/>
          <w:szCs w:val="22"/>
          <w:u w:val="single"/>
        </w:rPr>
      </w:pPr>
      <w:r w:rsidRPr="00295A3A">
        <w:rPr>
          <w:rFonts w:ascii="Calibri" w:hAnsi="Calibri"/>
          <w:b/>
          <w:sz w:val="22"/>
          <w:szCs w:val="22"/>
          <w:u w:val="single"/>
        </w:rPr>
        <w:t>JUSTIFICATION</w:t>
      </w:r>
      <w:r w:rsidRPr="00B5635A">
        <w:rPr>
          <w:rFonts w:ascii="Calibri" w:hAnsi="Calibri"/>
          <w:b/>
          <w:sz w:val="22"/>
          <w:szCs w:val="22"/>
          <w:u w:val="single"/>
        </w:rPr>
        <w:t xml:space="preserve"> OF</w:t>
      </w:r>
      <w:r w:rsidRPr="003127E4">
        <w:rPr>
          <w:rFonts w:ascii="Calibri" w:hAnsi="Calibri"/>
          <w:b/>
          <w:sz w:val="22"/>
          <w:szCs w:val="22"/>
          <w:u w:val="single"/>
        </w:rPr>
        <w:t xml:space="preserve"> SENSITIVE QUESTIONS</w:t>
      </w:r>
    </w:p>
    <w:p w:rsidR="007E2EEB" w:rsidRPr="003127E4" w14:paraId="28168530" w14:textId="77777777">
      <w:pPr>
        <w:rPr>
          <w:rFonts w:ascii="Calibri" w:hAnsi="Calibri"/>
          <w:sz w:val="22"/>
          <w:szCs w:val="22"/>
          <w:u w:val="single"/>
        </w:rPr>
      </w:pPr>
    </w:p>
    <w:p w:rsidR="00EB64BA" w:rsidRPr="00354235" w:rsidP="00EB64BA" w14:paraId="0DF43C36" w14:textId="77777777">
      <w:pPr>
        <w:ind w:left="720"/>
        <w:rPr>
          <w:rFonts w:ascii="Calibri" w:hAnsi="Calibri"/>
          <w:sz w:val="22"/>
          <w:szCs w:val="22"/>
        </w:rPr>
      </w:pPr>
      <w:r w:rsidRPr="00285076">
        <w:rPr>
          <w:rFonts w:ascii="Calibri" w:hAnsi="Calibri"/>
          <w:sz w:val="22"/>
          <w:szCs w:val="22"/>
        </w:rPr>
        <w:t>No personally identifiable information is being collected.</w:t>
      </w:r>
    </w:p>
    <w:p w:rsidR="003A5A1A" w:rsidP="00044F37" w14:paraId="3E7C7180" w14:textId="1F861F20">
      <w:pPr>
        <w:ind w:left="720"/>
        <w:rPr>
          <w:rFonts w:ascii="Calibri" w:hAnsi="Calibri"/>
          <w:sz w:val="22"/>
          <w:szCs w:val="22"/>
        </w:rPr>
      </w:pPr>
    </w:p>
    <w:p w:rsidR="00D125D1" w:rsidP="00AF1AEA" w14:paraId="7C6481B6" w14:textId="5765F5A1">
      <w:pPr>
        <w:pStyle w:val="Level1"/>
        <w:numPr>
          <w:ilvl w:val="0"/>
          <w:numId w:val="4"/>
        </w:numPr>
        <w:tabs>
          <w:tab w:val="left" w:pos="-1440"/>
        </w:tabs>
        <w:rPr>
          <w:rFonts w:ascii="Calibri" w:hAnsi="Calibri"/>
          <w:b/>
          <w:sz w:val="22"/>
          <w:szCs w:val="22"/>
          <w:u w:val="single"/>
        </w:rPr>
      </w:pPr>
      <w:r w:rsidRPr="00CB0D14">
        <w:rPr>
          <w:rFonts w:ascii="Calibri" w:hAnsi="Calibri"/>
          <w:b/>
          <w:sz w:val="22"/>
          <w:szCs w:val="22"/>
          <w:u w:val="single"/>
        </w:rPr>
        <w:t>ESTI</w:t>
      </w:r>
      <w:r w:rsidRPr="003127E4">
        <w:rPr>
          <w:rFonts w:ascii="Calibri" w:hAnsi="Calibri"/>
          <w:b/>
          <w:sz w:val="22"/>
          <w:szCs w:val="22"/>
          <w:u w:val="single"/>
        </w:rPr>
        <w:t>MATED BURDEN OF INFORMATION COLLECTION</w:t>
      </w:r>
    </w:p>
    <w:p w:rsidR="00D125D1" w:rsidRPr="00CD6AE9" w:rsidP="00D125D1" w14:paraId="2B633CAD" w14:textId="7D612AA2">
      <w:pPr>
        <w:widowControl/>
        <w:ind w:left="720"/>
        <w:rPr>
          <w:rFonts w:ascii="Times New Roman" w:hAnsi="Times New Roman"/>
        </w:rPr>
      </w:pPr>
    </w:p>
    <w:p w:rsidR="008803C8" w:rsidP="008803C8" w14:paraId="69605908" w14:textId="37B3A9DF">
      <w:pPr>
        <w:widowControl/>
        <w:ind w:left="720"/>
        <w:rPr>
          <w:rFonts w:ascii="Calibri" w:hAnsi="Calibri"/>
          <w:sz w:val="22"/>
          <w:szCs w:val="22"/>
        </w:rPr>
      </w:pPr>
      <w:r w:rsidRPr="00285076">
        <w:rPr>
          <w:rFonts w:ascii="Calibri" w:hAnsi="Calibri"/>
          <w:sz w:val="22"/>
          <w:szCs w:val="22"/>
        </w:rPr>
        <w:t xml:space="preserve">The collections of information in </w:t>
      </w:r>
      <w:r w:rsidR="00E02ACD">
        <w:rPr>
          <w:rFonts w:ascii="Calibri" w:hAnsi="Calibri"/>
          <w:sz w:val="22"/>
          <w:szCs w:val="22"/>
        </w:rPr>
        <w:t>the announcement</w:t>
      </w:r>
      <w:r w:rsidRPr="00285076">
        <w:rPr>
          <w:rFonts w:ascii="Calibri" w:hAnsi="Calibri"/>
          <w:sz w:val="22"/>
          <w:szCs w:val="22"/>
        </w:rPr>
        <w:t xml:space="preserve"> are in sections I.C, II.A, II.B,</w:t>
      </w:r>
      <w:r>
        <w:rPr>
          <w:rFonts w:ascii="Calibri" w:hAnsi="Calibri"/>
          <w:sz w:val="22"/>
          <w:szCs w:val="22"/>
        </w:rPr>
        <w:t xml:space="preserve"> </w:t>
      </w:r>
      <w:r w:rsidRPr="00285076">
        <w:rPr>
          <w:rFonts w:ascii="Calibri" w:hAnsi="Calibri"/>
          <w:sz w:val="22"/>
          <w:szCs w:val="22"/>
        </w:rPr>
        <w:t xml:space="preserve">II.C, </w:t>
      </w:r>
      <w:r w:rsidR="00465173">
        <w:rPr>
          <w:rFonts w:ascii="Calibri" w:hAnsi="Calibri"/>
          <w:sz w:val="22"/>
          <w:szCs w:val="22"/>
        </w:rPr>
        <w:t>III.A, III.B, III.C,</w:t>
      </w:r>
      <w:r w:rsidRPr="00285076">
        <w:rPr>
          <w:rFonts w:ascii="Calibri" w:hAnsi="Calibri"/>
          <w:sz w:val="22"/>
          <w:szCs w:val="22"/>
        </w:rPr>
        <w:t xml:space="preserve"> IV.A</w:t>
      </w:r>
      <w:r w:rsidR="00465173">
        <w:rPr>
          <w:rFonts w:ascii="Calibri" w:hAnsi="Calibri"/>
          <w:sz w:val="22"/>
          <w:szCs w:val="22"/>
        </w:rPr>
        <w:t xml:space="preserve"> and V.B.</w:t>
      </w:r>
      <w:r w:rsidRPr="00285076">
        <w:rPr>
          <w:rFonts w:ascii="Calibri" w:hAnsi="Calibri"/>
          <w:sz w:val="22"/>
          <w:szCs w:val="22"/>
        </w:rPr>
        <w:t xml:space="preserve"> This information will be used to monitor the performance under the TRAC agreement. The likely respondents are business or other for-profit institutions.</w:t>
      </w:r>
    </w:p>
    <w:p w:rsidR="008803C8" w:rsidP="008803C8" w14:paraId="10DA83C8" w14:textId="1F1C1063">
      <w:pPr>
        <w:widowControl/>
        <w:ind w:left="720"/>
        <w:rPr>
          <w:rFonts w:ascii="Calibri" w:hAnsi="Calibri"/>
          <w:sz w:val="22"/>
          <w:szCs w:val="22"/>
        </w:rPr>
      </w:pPr>
    </w:p>
    <w:p w:rsidR="005E28CE" w:rsidP="005E28CE" w14:paraId="150D6799" w14:textId="28CA3B5E">
      <w:pPr>
        <w:widowControl/>
        <w:ind w:left="720"/>
        <w:rPr>
          <w:rFonts w:ascii="Calibri" w:hAnsi="Calibri"/>
          <w:sz w:val="22"/>
          <w:szCs w:val="22"/>
        </w:rPr>
      </w:pPr>
      <w:r w:rsidRPr="00C0602A">
        <w:rPr>
          <w:rFonts w:ascii="Calibri" w:hAnsi="Calibri"/>
          <w:sz w:val="22"/>
          <w:szCs w:val="22"/>
        </w:rPr>
        <w:t>Section I.C requires a list of the business’s establishments, if any, that will participate in the agreement and similar information for any additional establishments to be subsequently included in the agreement.</w:t>
      </w:r>
    </w:p>
    <w:p w:rsidR="005E28CE" w:rsidRPr="00C0602A" w:rsidP="005E28CE" w14:paraId="45DEB17D" w14:textId="4345B91F">
      <w:pPr>
        <w:widowControl/>
        <w:ind w:left="720"/>
        <w:rPr>
          <w:rFonts w:ascii="Calibri" w:hAnsi="Calibri"/>
          <w:sz w:val="22"/>
          <w:szCs w:val="22"/>
        </w:rPr>
      </w:pPr>
      <w:r w:rsidRPr="00C0602A">
        <w:rPr>
          <w:rFonts w:ascii="Calibri" w:hAnsi="Calibri"/>
          <w:sz w:val="22"/>
          <w:szCs w:val="22"/>
        </w:rPr>
        <w:t xml:space="preserve">Section II.A.1 requires the business to institute and maintain an educational program that trains newly hired employees and quarterly updates existing employees as to their reporting </w:t>
      </w:r>
      <w:r w:rsidRPr="00C0602A">
        <w:rPr>
          <w:rFonts w:ascii="Calibri" w:hAnsi="Calibri"/>
          <w:sz w:val="22"/>
          <w:szCs w:val="22"/>
        </w:rPr>
        <w:t>obligations with respect to tip income received as either cash tips or charged tips.</w:t>
      </w:r>
      <w:r>
        <w:rPr>
          <w:rFonts w:ascii="Calibri" w:hAnsi="Calibri"/>
          <w:sz w:val="22"/>
          <w:szCs w:val="22"/>
        </w:rPr>
        <w:t xml:space="preserve"> </w:t>
      </w:r>
      <w:r w:rsidRPr="00C0602A">
        <w:rPr>
          <w:rFonts w:ascii="Calibri" w:hAnsi="Calibri"/>
          <w:sz w:val="22"/>
          <w:szCs w:val="22"/>
        </w:rPr>
        <w:t>Section II.A.2 requires each establishment to establish a procedure under which a written or electronic statement is prepared and processed on a regular basis (no less frequently than monthly), reflecting all tips for services attributable to each directly tipped employee.</w:t>
      </w:r>
    </w:p>
    <w:p w:rsidR="005E28CE" w:rsidRPr="00C0602A" w:rsidP="005E28CE" w14:paraId="0B4BE626" w14:textId="77777777">
      <w:pPr>
        <w:widowControl/>
        <w:rPr>
          <w:rFonts w:ascii="Calibri" w:hAnsi="Calibri"/>
          <w:sz w:val="22"/>
          <w:szCs w:val="22"/>
        </w:rPr>
      </w:pPr>
    </w:p>
    <w:p w:rsidR="00F657BD" w:rsidRPr="00465173" w:rsidP="00F657BD" w14:paraId="7B9491C8" w14:textId="5B7B0BCF">
      <w:pPr>
        <w:widowControl/>
        <w:ind w:left="720"/>
        <w:rPr>
          <w:rFonts w:ascii="Calibri" w:hAnsi="Calibri"/>
          <w:sz w:val="22"/>
          <w:szCs w:val="22"/>
        </w:rPr>
      </w:pPr>
      <w:r w:rsidRPr="00C0602A">
        <w:rPr>
          <w:rFonts w:ascii="Calibri" w:hAnsi="Calibri"/>
          <w:sz w:val="22"/>
          <w:szCs w:val="22"/>
        </w:rPr>
        <w:t>Section II.B.1 requires each business to furnish educational materials annually to its booth renters and independent contractors.</w:t>
      </w:r>
      <w:r>
        <w:rPr>
          <w:rFonts w:ascii="Calibri" w:hAnsi="Calibri"/>
          <w:sz w:val="22"/>
          <w:szCs w:val="22"/>
        </w:rPr>
        <w:t xml:space="preserve"> </w:t>
      </w:r>
      <w:r w:rsidRPr="00465173">
        <w:rPr>
          <w:rFonts w:ascii="Calibri" w:hAnsi="Calibri"/>
          <w:sz w:val="22"/>
          <w:szCs w:val="22"/>
        </w:rPr>
        <w:t>Section II.B.3 requires information about subsequently acquired establishments that will participate in the agreement.</w:t>
      </w:r>
      <w:r w:rsidRPr="00285076" w:rsidR="00FC6552">
        <w:rPr>
          <w:rFonts w:ascii="Calibri" w:hAnsi="Calibri"/>
          <w:sz w:val="22"/>
          <w:szCs w:val="22"/>
        </w:rPr>
        <w:t xml:space="preserve"> </w:t>
      </w:r>
      <w:r w:rsidRPr="00465173">
        <w:rPr>
          <w:rFonts w:ascii="Calibri" w:hAnsi="Calibri"/>
          <w:sz w:val="22"/>
          <w:szCs w:val="22"/>
        </w:rPr>
        <w:t>In the event of a change in ownership or control of the business or one of its establishments, section II.B.4 requires information about the acquiring entity.</w:t>
      </w:r>
    </w:p>
    <w:p w:rsidR="00F657BD" w:rsidRPr="00285076" w:rsidP="00F657BD" w14:paraId="0DA99441" w14:textId="77777777">
      <w:pPr>
        <w:widowControl/>
        <w:ind w:left="720"/>
        <w:rPr>
          <w:rFonts w:ascii="Calibri" w:hAnsi="Calibri"/>
          <w:sz w:val="22"/>
          <w:szCs w:val="22"/>
          <w:highlight w:val="yellow"/>
        </w:rPr>
        <w:sectPr>
          <w:headerReference w:type="default" r:id="rId4"/>
          <w:type w:val="continuous"/>
          <w:pgSz w:w="12240" w:h="15840"/>
          <w:pgMar w:top="1440" w:right="1440" w:bottom="1440" w:left="1440" w:header="1440" w:footer="1440" w:gutter="0"/>
          <w:cols w:space="720"/>
          <w:noEndnote/>
        </w:sectPr>
      </w:pPr>
    </w:p>
    <w:p w:rsidR="00F657BD" w:rsidRPr="00285076" w:rsidP="00F657BD" w14:paraId="3DA938FC" w14:textId="77777777">
      <w:pPr>
        <w:widowControl/>
        <w:ind w:left="720"/>
        <w:rPr>
          <w:rFonts w:ascii="Calibri" w:hAnsi="Calibri"/>
          <w:sz w:val="22"/>
          <w:szCs w:val="22"/>
          <w:highlight w:val="yellow"/>
        </w:rPr>
      </w:pPr>
    </w:p>
    <w:p w:rsidR="00FF0171" w:rsidRPr="00C0602A" w:rsidP="00FF0171" w14:paraId="70D25212" w14:textId="42CA95B9">
      <w:pPr>
        <w:widowControl/>
        <w:ind w:left="720"/>
        <w:rPr>
          <w:rFonts w:ascii="Calibri" w:hAnsi="Calibri"/>
          <w:sz w:val="22"/>
          <w:szCs w:val="22"/>
        </w:rPr>
      </w:pPr>
      <w:r w:rsidRPr="00C0602A">
        <w:rPr>
          <w:rFonts w:ascii="Calibri" w:hAnsi="Calibri"/>
          <w:sz w:val="22"/>
          <w:szCs w:val="22"/>
        </w:rPr>
        <w:t>Section II.C.2 requires the business to maintain certain records.  Section II.C.3 requires the business to make certain quarterly totals available, by establishment, upon the request of the Service.  Section II.C.4 requires the business to make certain lists of workers available upon the request of the Service.</w:t>
      </w:r>
    </w:p>
    <w:p w:rsidR="00FF0171" w:rsidRPr="00C0602A" w:rsidP="00FF0171" w14:paraId="4FA37E3D" w14:textId="77777777">
      <w:pPr>
        <w:widowControl/>
        <w:rPr>
          <w:rFonts w:ascii="Calibri" w:hAnsi="Calibri"/>
          <w:sz w:val="22"/>
          <w:szCs w:val="22"/>
        </w:rPr>
      </w:pPr>
    </w:p>
    <w:p w:rsidR="00F657BD" w:rsidRPr="00C0602A" w:rsidP="00F657BD" w14:paraId="0F760F28" w14:textId="37A00808">
      <w:pPr>
        <w:widowControl/>
        <w:ind w:left="720"/>
        <w:rPr>
          <w:rFonts w:ascii="Calibri" w:hAnsi="Calibri"/>
          <w:sz w:val="22"/>
          <w:szCs w:val="22"/>
        </w:rPr>
      </w:pPr>
      <w:r w:rsidRPr="00C0602A">
        <w:rPr>
          <w:rFonts w:ascii="Calibri" w:hAnsi="Calibri"/>
          <w:sz w:val="22"/>
          <w:szCs w:val="22"/>
        </w:rPr>
        <w:t>Section III.A requires the business to institute and maintain for each calendar quarter an educational program that trains newly hired employees and periodically updates existing employees as to their reporting obligations with respect to tip income received as either cash tips or charged tips.</w:t>
      </w:r>
    </w:p>
    <w:p w:rsidR="00F657BD" w:rsidRPr="00C0602A" w:rsidP="00F657BD" w14:paraId="3F301F17" w14:textId="77777777">
      <w:pPr>
        <w:widowControl/>
        <w:rPr>
          <w:rFonts w:ascii="Calibri" w:hAnsi="Calibri"/>
          <w:sz w:val="22"/>
          <w:szCs w:val="22"/>
        </w:rPr>
      </w:pPr>
    </w:p>
    <w:p w:rsidR="00FF0171" w:rsidRPr="00285076" w:rsidP="00FF0171" w14:paraId="4645591D" w14:textId="1A345F10">
      <w:pPr>
        <w:widowControl/>
        <w:ind w:left="720"/>
        <w:rPr>
          <w:rFonts w:ascii="Calibri" w:hAnsi="Calibri"/>
          <w:sz w:val="22"/>
          <w:szCs w:val="22"/>
        </w:rPr>
      </w:pPr>
      <w:r w:rsidRPr="00285076">
        <w:rPr>
          <w:rFonts w:ascii="Calibri" w:hAnsi="Calibri"/>
          <w:sz w:val="22"/>
          <w:szCs w:val="22"/>
        </w:rPr>
        <w:t>Section III.B.3 requires the business to maintain certain records.  Section III.B.4 requires the business to make certain quarterly totals available, by establishment, upon the request of the Service.</w:t>
      </w:r>
    </w:p>
    <w:p w:rsidR="00FF0171" w:rsidRPr="00285076" w:rsidP="00FF0171" w14:paraId="6D788353" w14:textId="77777777">
      <w:pPr>
        <w:widowControl/>
        <w:rPr>
          <w:rFonts w:ascii="Calibri" w:hAnsi="Calibri"/>
          <w:sz w:val="22"/>
          <w:szCs w:val="22"/>
        </w:rPr>
      </w:pPr>
    </w:p>
    <w:p w:rsidR="00F657BD" w:rsidRPr="00C0602A" w:rsidP="00F657BD" w14:paraId="39E28650" w14:textId="4F67A879">
      <w:pPr>
        <w:widowControl/>
        <w:ind w:left="720"/>
        <w:rPr>
          <w:rFonts w:ascii="Calibri" w:hAnsi="Calibri"/>
          <w:sz w:val="22"/>
          <w:szCs w:val="22"/>
        </w:rPr>
      </w:pPr>
      <w:r w:rsidRPr="00465173">
        <w:rPr>
          <w:rFonts w:ascii="Calibri" w:hAnsi="Calibri"/>
          <w:sz w:val="22"/>
          <w:szCs w:val="22"/>
        </w:rPr>
        <w:t>Section III.C requires each establishment to establish a procedure under which a written or electronic statement is prepared and processed on a regular basis (no less frequently than monthly), reflecting all tips for services attributable to each directly tipped employee.</w:t>
      </w:r>
    </w:p>
    <w:p w:rsidR="00F657BD" w:rsidRPr="00C0602A" w:rsidP="00F657BD" w14:paraId="42479038" w14:textId="77777777">
      <w:pPr>
        <w:widowControl/>
        <w:rPr>
          <w:rFonts w:ascii="Calibri" w:hAnsi="Calibri"/>
          <w:sz w:val="22"/>
          <w:szCs w:val="22"/>
        </w:rPr>
      </w:pPr>
    </w:p>
    <w:p w:rsidR="00F657BD" w:rsidRPr="00C0602A" w:rsidP="00F657BD" w14:paraId="6017DED9" w14:textId="0577C36B">
      <w:pPr>
        <w:widowControl/>
        <w:ind w:left="720"/>
        <w:rPr>
          <w:rFonts w:ascii="Calibri" w:hAnsi="Calibri"/>
          <w:sz w:val="22"/>
          <w:szCs w:val="22"/>
        </w:rPr>
      </w:pPr>
      <w:r w:rsidRPr="00C0602A">
        <w:rPr>
          <w:rFonts w:ascii="Calibri" w:hAnsi="Calibri"/>
          <w:sz w:val="22"/>
          <w:szCs w:val="22"/>
        </w:rPr>
        <w:t>Section IV.A. permits the business to terminate the agreement by so notifying the Service in writing.</w:t>
      </w:r>
    </w:p>
    <w:p w:rsidR="00F657BD" w:rsidRPr="00C0602A" w:rsidP="00F657BD" w14:paraId="0ECD160F" w14:textId="77777777">
      <w:pPr>
        <w:widowControl/>
        <w:rPr>
          <w:rFonts w:ascii="Calibri" w:hAnsi="Calibri"/>
          <w:sz w:val="22"/>
          <w:szCs w:val="22"/>
        </w:rPr>
      </w:pPr>
    </w:p>
    <w:p w:rsidR="00F657BD" w:rsidRPr="00C0602A" w:rsidP="00F657BD" w14:paraId="3AF98D9C" w14:textId="76EC627F">
      <w:pPr>
        <w:widowControl/>
        <w:ind w:left="720"/>
        <w:rPr>
          <w:rFonts w:ascii="Calibri" w:hAnsi="Calibri"/>
          <w:sz w:val="22"/>
          <w:szCs w:val="22"/>
        </w:rPr>
      </w:pPr>
      <w:r w:rsidRPr="00C0602A">
        <w:rPr>
          <w:rFonts w:ascii="Calibri" w:hAnsi="Calibri"/>
          <w:sz w:val="22"/>
          <w:szCs w:val="22"/>
        </w:rPr>
        <w:t>Section V.B permits the business to revoke the agreement by so notifying the Service in writing.</w:t>
      </w:r>
    </w:p>
    <w:p w:rsidR="00F657BD" w:rsidP="00F657BD" w14:paraId="12BA6607" w14:textId="77777777">
      <w:pPr>
        <w:widowControl/>
        <w:ind w:left="720"/>
        <w:rPr>
          <w:rFonts w:ascii="Calibri" w:hAnsi="Calibri"/>
          <w:sz w:val="22"/>
          <w:szCs w:val="22"/>
        </w:rPr>
      </w:pPr>
    </w:p>
    <w:p w:rsidR="00465173" w:rsidP="008E369A" w14:paraId="69DE6B5F" w14:textId="46EE483C">
      <w:pPr>
        <w:widowControl/>
        <w:ind w:left="720"/>
        <w:rPr>
          <w:rFonts w:ascii="Calibri" w:hAnsi="Calibri"/>
          <w:sz w:val="22"/>
          <w:szCs w:val="22"/>
        </w:rPr>
      </w:pPr>
      <w:r w:rsidRPr="00285076">
        <w:rPr>
          <w:rFonts w:ascii="Calibri" w:hAnsi="Calibri"/>
          <w:sz w:val="22"/>
          <w:szCs w:val="22"/>
        </w:rPr>
        <w:t xml:space="preserve">The estimated annual burden per respondent/recordkeeper varies from 5 hours to 24 hours, depending on individual circumstances, with an estimated average of 9 hours. </w:t>
      </w:r>
      <w:r w:rsidRPr="00465173">
        <w:rPr>
          <w:rFonts w:ascii="Calibri" w:hAnsi="Calibri"/>
          <w:sz w:val="22"/>
          <w:szCs w:val="22"/>
        </w:rPr>
        <w:t xml:space="preserve">The </w:t>
      </w:r>
      <w:r>
        <w:rPr>
          <w:rFonts w:ascii="Calibri" w:hAnsi="Calibri"/>
          <w:sz w:val="22"/>
          <w:szCs w:val="22"/>
        </w:rPr>
        <w:t xml:space="preserve">annual </w:t>
      </w:r>
      <w:r w:rsidRPr="00465173">
        <w:rPr>
          <w:rFonts w:ascii="Calibri" w:hAnsi="Calibri"/>
          <w:sz w:val="22"/>
          <w:szCs w:val="22"/>
        </w:rPr>
        <w:t>estimated burden is 43,073 hours (</w:t>
      </w:r>
      <w:r w:rsidR="000557C2">
        <w:rPr>
          <w:rFonts w:ascii="Calibri" w:hAnsi="Calibri"/>
          <w:sz w:val="22"/>
          <w:szCs w:val="22"/>
        </w:rPr>
        <w:t xml:space="preserve">this includes </w:t>
      </w:r>
      <w:r w:rsidRPr="00465173">
        <w:rPr>
          <w:rFonts w:ascii="Calibri" w:hAnsi="Calibri"/>
          <w:sz w:val="22"/>
          <w:szCs w:val="22"/>
        </w:rPr>
        <w:t>reporting</w:t>
      </w:r>
      <w:r w:rsidR="000557C2">
        <w:rPr>
          <w:rFonts w:ascii="Calibri" w:hAnsi="Calibri"/>
          <w:sz w:val="22"/>
          <w:szCs w:val="22"/>
        </w:rPr>
        <w:t>, third-party disclosures, an</w:t>
      </w:r>
      <w:r w:rsidRPr="00465173">
        <w:rPr>
          <w:rFonts w:ascii="Calibri" w:hAnsi="Calibri"/>
          <w:sz w:val="22"/>
          <w:szCs w:val="22"/>
        </w:rPr>
        <w:t>d recordkeeping). The agency estimates there will be 4,600 responses.</w:t>
      </w:r>
    </w:p>
    <w:p w:rsidR="00285076" w:rsidRPr="00465173" w:rsidP="008E369A" w14:paraId="024616EB" w14:textId="77777777">
      <w:pPr>
        <w:widowControl/>
        <w:ind w:left="720"/>
        <w:rPr>
          <w:rFonts w:ascii="Calibri" w:hAnsi="Calibri"/>
          <w:sz w:val="22"/>
          <w:szCs w:val="22"/>
        </w:rPr>
      </w:pPr>
    </w:p>
    <w:tbl>
      <w:tblPr>
        <w:tblW w:w="77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20"/>
        <w:gridCol w:w="1620"/>
        <w:gridCol w:w="2070"/>
        <w:gridCol w:w="1530"/>
      </w:tblGrid>
      <w:tr w14:paraId="7C37C8CD" w14:textId="77777777" w:rsidTr="00285076">
        <w:tblPrEx>
          <w:tblW w:w="77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8"/>
        </w:trPr>
        <w:tc>
          <w:tcPr>
            <w:tcW w:w="2520" w:type="dxa"/>
            <w:tcBorders>
              <w:top w:val="single" w:sz="4" w:space="0" w:color="auto"/>
              <w:left w:val="single" w:sz="4" w:space="0" w:color="auto"/>
              <w:bottom w:val="single" w:sz="4" w:space="0" w:color="auto"/>
              <w:right w:val="single" w:sz="4" w:space="0" w:color="auto"/>
            </w:tcBorders>
            <w:noWrap/>
            <w:vAlign w:val="center"/>
            <w:hideMark/>
          </w:tcPr>
          <w:p w:rsidR="00285076" w:rsidRPr="00E02ACD" w14:paraId="1631DFBC" w14:textId="77777777">
            <w:pPr>
              <w:keepNext/>
              <w:keepLines/>
              <w:autoSpaceDE/>
              <w:adjustRightInd/>
              <w:jc w:val="center"/>
              <w:rPr>
                <w:rFonts w:ascii="Calibri" w:hAnsi="Calibri"/>
                <w:sz w:val="22"/>
                <w:szCs w:val="22"/>
              </w:rPr>
            </w:pPr>
            <w:r w:rsidRPr="00E02ACD">
              <w:rPr>
                <w:rFonts w:ascii="Calibri" w:hAnsi="Calibri"/>
                <w:sz w:val="22"/>
                <w:szCs w:val="22"/>
              </w:rPr>
              <w:t>Description</w:t>
            </w:r>
          </w:p>
        </w:tc>
        <w:tc>
          <w:tcPr>
            <w:tcW w:w="1620" w:type="dxa"/>
            <w:tcBorders>
              <w:top w:val="single" w:sz="4" w:space="0" w:color="auto"/>
              <w:left w:val="single" w:sz="4" w:space="0" w:color="auto"/>
              <w:bottom w:val="single" w:sz="4" w:space="0" w:color="auto"/>
              <w:right w:val="single" w:sz="4" w:space="0" w:color="auto"/>
            </w:tcBorders>
            <w:vAlign w:val="center"/>
            <w:hideMark/>
          </w:tcPr>
          <w:p w:rsidR="00285076" w:rsidRPr="00E02ACD" w14:paraId="1260DC08" w14:textId="77777777">
            <w:pPr>
              <w:keepNext/>
              <w:keepLines/>
              <w:autoSpaceDE/>
              <w:adjustRightInd/>
              <w:jc w:val="center"/>
              <w:rPr>
                <w:rFonts w:ascii="Calibri" w:hAnsi="Calibri"/>
                <w:sz w:val="22"/>
                <w:szCs w:val="22"/>
              </w:rPr>
            </w:pPr>
            <w:r w:rsidRPr="00E02ACD">
              <w:rPr>
                <w:rFonts w:ascii="Calibri" w:hAnsi="Calibri"/>
                <w:sz w:val="22"/>
                <w:szCs w:val="22"/>
              </w:rPr>
              <w:t># Respondents</w:t>
            </w:r>
          </w:p>
        </w:tc>
        <w:tc>
          <w:tcPr>
            <w:tcW w:w="2070" w:type="dxa"/>
            <w:tcBorders>
              <w:top w:val="single" w:sz="4" w:space="0" w:color="auto"/>
              <w:left w:val="single" w:sz="4" w:space="0" w:color="auto"/>
              <w:bottom w:val="single" w:sz="4" w:space="0" w:color="auto"/>
              <w:right w:val="single" w:sz="4" w:space="0" w:color="auto"/>
            </w:tcBorders>
            <w:vAlign w:val="center"/>
            <w:hideMark/>
          </w:tcPr>
          <w:p w:rsidR="00285076" w:rsidRPr="00E02ACD" w14:paraId="6B9A2737" w14:textId="77777777">
            <w:pPr>
              <w:keepNext/>
              <w:keepLines/>
              <w:autoSpaceDE/>
              <w:adjustRightInd/>
              <w:jc w:val="center"/>
              <w:rPr>
                <w:rFonts w:ascii="Calibri" w:hAnsi="Calibri"/>
                <w:sz w:val="22"/>
                <w:szCs w:val="22"/>
              </w:rPr>
            </w:pPr>
            <w:r w:rsidRPr="00E02ACD">
              <w:rPr>
                <w:rFonts w:ascii="Calibri" w:hAnsi="Calibri"/>
                <w:sz w:val="22"/>
                <w:szCs w:val="22"/>
              </w:rPr>
              <w:t>Hours Per Response</w:t>
            </w:r>
          </w:p>
        </w:tc>
        <w:tc>
          <w:tcPr>
            <w:tcW w:w="1530" w:type="dxa"/>
            <w:tcBorders>
              <w:top w:val="single" w:sz="4" w:space="0" w:color="auto"/>
              <w:left w:val="single" w:sz="4" w:space="0" w:color="auto"/>
              <w:bottom w:val="single" w:sz="4" w:space="0" w:color="auto"/>
              <w:right w:val="single" w:sz="4" w:space="0" w:color="auto"/>
            </w:tcBorders>
            <w:vAlign w:val="center"/>
            <w:hideMark/>
          </w:tcPr>
          <w:p w:rsidR="00285076" w:rsidRPr="00E02ACD" w14:paraId="13DF6524" w14:textId="77777777">
            <w:pPr>
              <w:keepNext/>
              <w:keepLines/>
              <w:autoSpaceDE/>
              <w:adjustRightInd/>
              <w:jc w:val="center"/>
              <w:rPr>
                <w:rFonts w:ascii="Calibri" w:hAnsi="Calibri"/>
                <w:sz w:val="22"/>
                <w:szCs w:val="22"/>
              </w:rPr>
            </w:pPr>
            <w:r w:rsidRPr="00E02ACD">
              <w:rPr>
                <w:rFonts w:ascii="Calibri" w:hAnsi="Calibri"/>
                <w:sz w:val="22"/>
                <w:szCs w:val="22"/>
              </w:rPr>
              <w:t>Total Burden</w:t>
            </w:r>
          </w:p>
        </w:tc>
      </w:tr>
      <w:tr w14:paraId="4C9E0C13" w14:textId="77777777" w:rsidTr="00285076">
        <w:tblPrEx>
          <w:tblW w:w="7740" w:type="dxa"/>
          <w:tblInd w:w="715" w:type="dxa"/>
          <w:tblLayout w:type="fixed"/>
          <w:tblLook w:val="04A0"/>
        </w:tblPrEx>
        <w:trPr>
          <w:trHeight w:val="346"/>
        </w:trPr>
        <w:tc>
          <w:tcPr>
            <w:tcW w:w="2520" w:type="dxa"/>
            <w:tcBorders>
              <w:top w:val="single" w:sz="4" w:space="0" w:color="auto"/>
              <w:left w:val="single" w:sz="4" w:space="0" w:color="auto"/>
              <w:bottom w:val="single" w:sz="4" w:space="0" w:color="auto"/>
              <w:right w:val="single" w:sz="4" w:space="0" w:color="auto"/>
            </w:tcBorders>
            <w:vAlign w:val="center"/>
            <w:hideMark/>
          </w:tcPr>
          <w:p w:rsidR="00285076" w:rsidRPr="00E02ACD" w:rsidP="00E02ACD" w14:paraId="031F5F8E" w14:textId="439F5F2E">
            <w:pPr>
              <w:keepNext/>
              <w:keepLines/>
              <w:autoSpaceDE/>
              <w:adjustRightInd/>
              <w:jc w:val="center"/>
              <w:rPr>
                <w:rFonts w:ascii="Calibri" w:hAnsi="Calibri"/>
                <w:sz w:val="22"/>
                <w:szCs w:val="22"/>
              </w:rPr>
            </w:pPr>
            <w:r w:rsidRPr="00E02ACD">
              <w:rPr>
                <w:rFonts w:ascii="Calibri" w:hAnsi="Calibri"/>
                <w:sz w:val="22"/>
                <w:szCs w:val="22"/>
              </w:rPr>
              <w:t>Announcement 2000-21</w:t>
            </w:r>
          </w:p>
        </w:tc>
        <w:tc>
          <w:tcPr>
            <w:tcW w:w="1620" w:type="dxa"/>
            <w:tcBorders>
              <w:top w:val="single" w:sz="4" w:space="0" w:color="auto"/>
              <w:left w:val="single" w:sz="4" w:space="0" w:color="auto"/>
              <w:bottom w:val="single" w:sz="4" w:space="0" w:color="auto"/>
              <w:right w:val="single" w:sz="4" w:space="0" w:color="auto"/>
            </w:tcBorders>
            <w:noWrap/>
            <w:vAlign w:val="center"/>
            <w:hideMark/>
          </w:tcPr>
          <w:p w:rsidR="00285076" w:rsidRPr="00E02ACD" w:rsidP="00E02ACD" w14:paraId="65A18075" w14:textId="12E8C6FB">
            <w:pPr>
              <w:keepNext/>
              <w:keepLines/>
              <w:autoSpaceDE/>
              <w:adjustRightInd/>
              <w:jc w:val="center"/>
              <w:rPr>
                <w:rFonts w:ascii="Calibri" w:hAnsi="Calibri"/>
                <w:sz w:val="22"/>
                <w:szCs w:val="22"/>
              </w:rPr>
            </w:pPr>
            <w:r>
              <w:rPr>
                <w:rFonts w:ascii="Calibri" w:hAnsi="Calibri"/>
                <w:sz w:val="22"/>
                <w:szCs w:val="22"/>
              </w:rPr>
              <w:t>4,600</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285076" w:rsidRPr="00E02ACD" w:rsidP="00E02ACD" w14:paraId="10FDB0B4" w14:textId="27B9815D">
            <w:pPr>
              <w:keepNext/>
              <w:keepLines/>
              <w:autoSpaceDE/>
              <w:adjustRightInd/>
              <w:jc w:val="center"/>
              <w:rPr>
                <w:rFonts w:ascii="Calibri" w:hAnsi="Calibri"/>
                <w:sz w:val="22"/>
                <w:szCs w:val="22"/>
              </w:rPr>
            </w:pPr>
            <w:r>
              <w:rPr>
                <w:rFonts w:ascii="Calibri" w:hAnsi="Calibri"/>
                <w:sz w:val="22"/>
                <w:szCs w:val="22"/>
              </w:rPr>
              <w:t>9</w:t>
            </w:r>
            <w:r>
              <w:rPr>
                <w:rFonts w:ascii="Calibri" w:hAnsi="Calibri"/>
                <w:sz w:val="22"/>
                <w:szCs w:val="22"/>
              </w:rPr>
              <w:t>.3</w:t>
            </w:r>
            <w:r w:rsidR="008A59A3">
              <w:rPr>
                <w:rFonts w:ascii="Calibri" w:hAnsi="Calibri"/>
                <w:sz w:val="22"/>
                <w:szCs w:val="22"/>
              </w:rPr>
              <w:t>6</w:t>
            </w:r>
            <w:r w:rsidR="003D667A">
              <w:rPr>
                <w:rFonts w:ascii="Calibri" w:hAnsi="Calibri"/>
                <w:sz w:val="22"/>
                <w:szCs w:val="22"/>
              </w:rPr>
              <w:t>37</w:t>
            </w:r>
            <w:r w:rsidRPr="00E02ACD">
              <w:rPr>
                <w:rFonts w:ascii="Calibri" w:hAnsi="Calibri"/>
                <w:sz w:val="22"/>
                <w:szCs w:val="22"/>
              </w:rPr>
              <w:t xml:space="preserve"> </w:t>
            </w:r>
            <w:r>
              <w:rPr>
                <w:rFonts w:ascii="Calibri" w:hAnsi="Calibri"/>
                <w:sz w:val="22"/>
                <w:szCs w:val="22"/>
              </w:rPr>
              <w:t>hrs.</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285076" w:rsidRPr="00E02ACD" w:rsidP="00E02ACD" w14:paraId="6F709200" w14:textId="0F7A313C">
            <w:pPr>
              <w:keepNext/>
              <w:keepLines/>
              <w:autoSpaceDE/>
              <w:adjustRightInd/>
              <w:jc w:val="center"/>
              <w:rPr>
                <w:rFonts w:ascii="Calibri" w:hAnsi="Calibri"/>
                <w:sz w:val="22"/>
                <w:szCs w:val="22"/>
              </w:rPr>
            </w:pPr>
            <w:r>
              <w:rPr>
                <w:rFonts w:ascii="Calibri" w:hAnsi="Calibri"/>
                <w:sz w:val="22"/>
                <w:szCs w:val="22"/>
              </w:rPr>
              <w:t>43,073</w:t>
            </w:r>
          </w:p>
        </w:tc>
      </w:tr>
      <w:tr w14:paraId="2A94F2C0" w14:textId="77777777" w:rsidTr="00285076">
        <w:tblPrEx>
          <w:tblW w:w="7740" w:type="dxa"/>
          <w:tblInd w:w="715" w:type="dxa"/>
          <w:tblLayout w:type="fixed"/>
          <w:tblLook w:val="04A0"/>
        </w:tblPrEx>
        <w:trPr>
          <w:trHeight w:val="346"/>
        </w:trPr>
        <w:tc>
          <w:tcPr>
            <w:tcW w:w="2520" w:type="dxa"/>
            <w:tcBorders>
              <w:top w:val="single" w:sz="4" w:space="0" w:color="auto"/>
              <w:left w:val="single" w:sz="4" w:space="0" w:color="auto"/>
              <w:bottom w:val="single" w:sz="4" w:space="0" w:color="auto"/>
              <w:right w:val="single" w:sz="4" w:space="0" w:color="auto"/>
            </w:tcBorders>
            <w:vAlign w:val="center"/>
            <w:hideMark/>
          </w:tcPr>
          <w:p w:rsidR="00285076" w:rsidRPr="00E02ACD" w:rsidP="00E02ACD" w14:paraId="66421B54" w14:textId="77777777">
            <w:pPr>
              <w:keepNext/>
              <w:keepLines/>
              <w:autoSpaceDE/>
              <w:adjustRightInd/>
              <w:jc w:val="center"/>
              <w:rPr>
                <w:rFonts w:ascii="Calibri" w:hAnsi="Calibri"/>
                <w:sz w:val="22"/>
                <w:szCs w:val="22"/>
              </w:rPr>
            </w:pPr>
            <w:r w:rsidRPr="00E02ACD">
              <w:rPr>
                <w:rFonts w:ascii="Calibri" w:hAnsi="Calibri"/>
                <w:sz w:val="22"/>
                <w:szCs w:val="22"/>
              </w:rPr>
              <w:t>Total</w:t>
            </w:r>
          </w:p>
        </w:tc>
        <w:tc>
          <w:tcPr>
            <w:tcW w:w="1620" w:type="dxa"/>
            <w:tcBorders>
              <w:top w:val="single" w:sz="4" w:space="0" w:color="auto"/>
              <w:left w:val="single" w:sz="4" w:space="0" w:color="auto"/>
              <w:bottom w:val="single" w:sz="4" w:space="0" w:color="auto"/>
              <w:right w:val="single" w:sz="4" w:space="0" w:color="auto"/>
            </w:tcBorders>
            <w:noWrap/>
            <w:vAlign w:val="center"/>
            <w:hideMark/>
          </w:tcPr>
          <w:p w:rsidR="00285076" w:rsidRPr="00E02ACD" w:rsidP="00E02ACD" w14:paraId="111F4AF9" w14:textId="3EF61CE7">
            <w:pPr>
              <w:keepNext/>
              <w:keepLines/>
              <w:autoSpaceDE/>
              <w:adjustRightInd/>
              <w:jc w:val="center"/>
              <w:rPr>
                <w:rFonts w:ascii="Calibri" w:hAnsi="Calibri"/>
                <w:sz w:val="22"/>
                <w:szCs w:val="22"/>
              </w:rPr>
            </w:pPr>
            <w:r>
              <w:rPr>
                <w:rFonts w:ascii="Calibri" w:hAnsi="Calibri"/>
                <w:sz w:val="22"/>
                <w:szCs w:val="22"/>
              </w:rPr>
              <w:t>4,600</w:t>
            </w:r>
          </w:p>
        </w:tc>
        <w:tc>
          <w:tcPr>
            <w:tcW w:w="2070" w:type="dxa"/>
            <w:tcBorders>
              <w:top w:val="single" w:sz="4" w:space="0" w:color="auto"/>
              <w:left w:val="single" w:sz="4" w:space="0" w:color="auto"/>
              <w:bottom w:val="single" w:sz="4" w:space="0" w:color="auto"/>
              <w:right w:val="single" w:sz="4" w:space="0" w:color="auto"/>
            </w:tcBorders>
            <w:noWrap/>
            <w:vAlign w:val="center"/>
          </w:tcPr>
          <w:p w:rsidR="00285076" w:rsidRPr="00E02ACD" w:rsidP="00E02ACD" w14:paraId="107E1FCF" w14:textId="77777777">
            <w:pPr>
              <w:keepNext/>
              <w:keepLines/>
              <w:autoSpaceDE/>
              <w:adjustRightInd/>
              <w:jc w:val="center"/>
              <w:rPr>
                <w:rFonts w:ascii="Calibri" w:hAnsi="Calibri"/>
                <w:sz w:val="22"/>
                <w:szCs w:val="22"/>
              </w:rPr>
            </w:pP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285076" w:rsidRPr="00E02ACD" w:rsidP="00E02ACD" w14:paraId="51970B2F" w14:textId="720B2CE3">
            <w:pPr>
              <w:keepNext/>
              <w:keepLines/>
              <w:autoSpaceDE/>
              <w:adjustRightInd/>
              <w:jc w:val="center"/>
              <w:rPr>
                <w:rFonts w:ascii="Calibri" w:hAnsi="Calibri"/>
                <w:sz w:val="22"/>
                <w:szCs w:val="22"/>
              </w:rPr>
            </w:pPr>
            <w:r>
              <w:rPr>
                <w:rFonts w:ascii="Calibri" w:hAnsi="Calibri"/>
                <w:sz w:val="22"/>
                <w:szCs w:val="22"/>
              </w:rPr>
              <w:t>43,073</w:t>
            </w:r>
          </w:p>
        </w:tc>
      </w:tr>
    </w:tbl>
    <w:p w:rsidR="00F657BD" w:rsidP="00F657BD" w14:paraId="58763D84" w14:textId="77777777">
      <w:pPr>
        <w:widowControl/>
        <w:rPr>
          <w:rFonts w:ascii="Calibri" w:hAnsi="Calibri"/>
          <w:sz w:val="22"/>
          <w:szCs w:val="22"/>
        </w:rPr>
      </w:pPr>
    </w:p>
    <w:p w:rsidR="002729E0" w:rsidP="00F657BD" w14:paraId="1054C4B9" w14:textId="77777777">
      <w:pPr>
        <w:widowControl/>
        <w:rPr>
          <w:rFonts w:ascii="Calibri" w:hAnsi="Calibri"/>
          <w:sz w:val="22"/>
          <w:szCs w:val="22"/>
        </w:rPr>
      </w:pPr>
    </w:p>
    <w:p w:rsidR="002729E0" w:rsidP="00F657BD" w14:paraId="1E61F141" w14:textId="77777777">
      <w:pPr>
        <w:widowControl/>
        <w:rPr>
          <w:rFonts w:ascii="Calibri" w:hAnsi="Calibri"/>
          <w:sz w:val="22"/>
          <w:szCs w:val="22"/>
        </w:rPr>
      </w:pPr>
    </w:p>
    <w:p w:rsidR="002729E0" w:rsidRPr="00C0602A" w:rsidP="00F657BD" w14:paraId="23D16D19" w14:textId="1F0BAFBF">
      <w:pPr>
        <w:widowControl/>
        <w:rPr>
          <w:rFonts w:ascii="Calibri" w:hAnsi="Calibri"/>
          <w:sz w:val="22"/>
          <w:szCs w:val="22"/>
        </w:rPr>
        <w:sectPr>
          <w:type w:val="continuous"/>
          <w:pgSz w:w="12240" w:h="15840"/>
          <w:pgMar w:top="1440" w:right="1440" w:bottom="1440" w:left="1440" w:header="1440" w:footer="1440" w:gutter="0"/>
          <w:cols w:space="720"/>
          <w:noEndnote/>
        </w:sectPr>
      </w:pPr>
    </w:p>
    <w:p w:rsidR="007E2EEB" w:rsidRPr="003127E4" w:rsidP="00AF1AEA" w14:paraId="2C486C58"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ESTIMATED TOTAL ANNUAL COST BURDEN TO RESPONDENTS</w:t>
      </w:r>
    </w:p>
    <w:p w:rsidR="007E2EEB" w:rsidRPr="003127E4" w14:paraId="71713BC4" w14:textId="77777777">
      <w:pPr>
        <w:rPr>
          <w:rFonts w:ascii="Calibri" w:hAnsi="Calibri"/>
          <w:b/>
          <w:sz w:val="22"/>
          <w:szCs w:val="22"/>
        </w:rPr>
      </w:pPr>
    </w:p>
    <w:p w:rsidR="00F26675" w:rsidP="00F26675" w14:paraId="200EB934" w14:textId="77777777">
      <w:pPr>
        <w:ind w:left="720"/>
        <w:rPr>
          <w:rFonts w:ascii="Calibri" w:hAnsi="Calibri"/>
          <w:sz w:val="22"/>
          <w:szCs w:val="22"/>
        </w:rPr>
      </w:pPr>
      <w:bookmarkStart w:id="2" w:name="_Hlk31371832"/>
      <w:r w:rsidRPr="00F26675">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bookmarkEnd w:id="2"/>
    <w:p w:rsidR="00D46069" w:rsidRPr="003127E4" w:rsidP="00F26675" w14:paraId="6FE3C20D" w14:textId="77777777">
      <w:pPr>
        <w:ind w:left="720"/>
        <w:rPr>
          <w:rFonts w:ascii="Calibri" w:hAnsi="Calibri"/>
          <w:sz w:val="22"/>
          <w:szCs w:val="22"/>
        </w:rPr>
      </w:pPr>
    </w:p>
    <w:p w:rsidR="007E2EEB" w:rsidP="00242885" w14:paraId="0F98557A" w14:textId="77777777">
      <w:pPr>
        <w:numPr>
          <w:ilvl w:val="0"/>
          <w:numId w:val="4"/>
        </w:numPr>
        <w:tabs>
          <w:tab w:val="left" w:pos="-1440"/>
        </w:tabs>
        <w:rPr>
          <w:rFonts w:ascii="Calibri" w:hAnsi="Calibri"/>
          <w:b/>
          <w:sz w:val="22"/>
          <w:szCs w:val="22"/>
          <w:u w:val="single"/>
        </w:rPr>
      </w:pPr>
      <w:r w:rsidRPr="00B5635A">
        <w:rPr>
          <w:rFonts w:ascii="Calibri" w:hAnsi="Calibri"/>
          <w:b/>
          <w:sz w:val="22"/>
          <w:szCs w:val="22"/>
          <w:u w:val="single"/>
        </w:rPr>
        <w:t>ESTIMATED ANNUALIZED</w:t>
      </w:r>
      <w:r w:rsidRPr="003127E4">
        <w:rPr>
          <w:rFonts w:ascii="Calibri" w:hAnsi="Calibri"/>
          <w:b/>
          <w:sz w:val="22"/>
          <w:szCs w:val="22"/>
          <w:u w:val="single"/>
        </w:rPr>
        <w:t xml:space="preserve"> COST TO THE FEDERAL GOVERNMENT</w:t>
      </w:r>
    </w:p>
    <w:p w:rsidR="00242885" w:rsidP="00242885" w14:paraId="6213DA66" w14:textId="77777777">
      <w:pPr>
        <w:tabs>
          <w:tab w:val="left" w:pos="-1440"/>
        </w:tabs>
        <w:rPr>
          <w:rFonts w:ascii="Calibri" w:hAnsi="Calibri"/>
          <w:b/>
          <w:sz w:val="22"/>
          <w:szCs w:val="22"/>
          <w:u w:val="single"/>
        </w:rPr>
      </w:pPr>
    </w:p>
    <w:p w:rsidR="007E2EEB" w:rsidP="00285076" w14:paraId="70D6488B" w14:textId="33F51877">
      <w:pPr>
        <w:tabs>
          <w:tab w:val="left" w:pos="-1440"/>
        </w:tabs>
        <w:ind w:left="720"/>
        <w:rPr>
          <w:rFonts w:ascii="Calibri" w:hAnsi="Calibri"/>
          <w:sz w:val="22"/>
          <w:szCs w:val="22"/>
        </w:rPr>
      </w:pPr>
      <w:r w:rsidRPr="0037036A">
        <w:rPr>
          <w:rFonts w:ascii="Calibri" w:hAnsi="Calibri"/>
          <w:sz w:val="22"/>
          <w:szCs w:val="22"/>
        </w:rPr>
        <w:t>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 costs to the Federal government will vary depending on whether the IRS will incur printing  or copying costs for all the materials.</w:t>
      </w:r>
      <w:r>
        <w:rPr>
          <w:rFonts w:ascii="Calibri" w:hAnsi="Calibri"/>
          <w:sz w:val="22"/>
          <w:szCs w:val="22"/>
        </w:rPr>
        <w:t xml:space="preserve"> </w:t>
      </w:r>
      <w:r w:rsidRPr="0037036A">
        <w:rPr>
          <w:rFonts w:ascii="Calibri" w:hAnsi="Calibri"/>
          <w:sz w:val="22"/>
          <w:szCs w:val="22"/>
        </w:rPr>
        <w:t>These costs do not include any activities such as taxpayer assistance and enforcement. IRS estimates have</w:t>
      </w:r>
      <w:r w:rsidR="008E369A">
        <w:rPr>
          <w:rFonts w:ascii="Calibri" w:hAnsi="Calibri"/>
          <w:sz w:val="22"/>
          <w:szCs w:val="22"/>
        </w:rPr>
        <w:t xml:space="preserve"> </w:t>
      </w:r>
      <w:r w:rsidRPr="0037036A">
        <w:rPr>
          <w:rFonts w:ascii="Calibri" w:hAnsi="Calibri"/>
          <w:sz w:val="22"/>
          <w:szCs w:val="22"/>
        </w:rPr>
        <w:t>determined that the cost of developing, printing, distribution</w:t>
      </w:r>
      <w:r w:rsidR="00022E0C">
        <w:rPr>
          <w:rFonts w:ascii="Calibri" w:hAnsi="Calibri"/>
          <w:sz w:val="22"/>
          <w:szCs w:val="22"/>
        </w:rPr>
        <w:t>,</w:t>
      </w:r>
      <w:r w:rsidRPr="0037036A">
        <w:rPr>
          <w:rFonts w:ascii="Calibri" w:hAnsi="Calibri"/>
          <w:sz w:val="22"/>
          <w:szCs w:val="22"/>
        </w:rPr>
        <w:t xml:space="preserve"> and overhead is $</w:t>
      </w:r>
      <w:r>
        <w:rPr>
          <w:rFonts w:ascii="Calibri" w:hAnsi="Calibri"/>
          <w:sz w:val="22"/>
          <w:szCs w:val="22"/>
        </w:rPr>
        <w:t>11,820</w:t>
      </w:r>
      <w:r w:rsidRPr="0037036A">
        <w:rPr>
          <w:rFonts w:ascii="Calibri" w:hAnsi="Calibri"/>
          <w:sz w:val="22"/>
          <w:szCs w:val="22"/>
        </w:rPr>
        <w:t>.</w:t>
      </w:r>
      <w:r w:rsidR="007938DF">
        <w:rPr>
          <w:rFonts w:ascii="Calibri" w:hAnsi="Calibri"/>
          <w:sz w:val="22"/>
          <w:szCs w:val="22"/>
        </w:rPr>
        <w:t xml:space="preserve"> </w:t>
      </w:r>
    </w:p>
    <w:p w:rsidR="0037036A" w:rsidRPr="003127E4" w:rsidP="00242885" w14:paraId="46FDC310" w14:textId="77777777">
      <w:pPr>
        <w:tabs>
          <w:tab w:val="left" w:pos="-1440"/>
        </w:tabs>
        <w:rPr>
          <w:rFonts w:ascii="Calibri" w:hAnsi="Calibri"/>
          <w:sz w:val="22"/>
          <w:szCs w:val="22"/>
        </w:rPr>
      </w:pPr>
    </w:p>
    <w:p w:rsidR="007E2EEB" w:rsidRPr="003127E4" w14:paraId="67A9E518" w14:textId="77777777">
      <w:pPr>
        <w:pStyle w:val="Level1"/>
        <w:tabs>
          <w:tab w:val="left" w:pos="-1440"/>
          <w:tab w:val="num" w:pos="720"/>
        </w:tabs>
        <w:rPr>
          <w:rFonts w:ascii="Calibri" w:hAnsi="Calibri"/>
          <w:b/>
          <w:sz w:val="22"/>
          <w:szCs w:val="22"/>
        </w:rPr>
      </w:pPr>
      <w:r w:rsidRPr="00CB0D14">
        <w:rPr>
          <w:rFonts w:ascii="Calibri" w:hAnsi="Calibri"/>
          <w:b/>
          <w:sz w:val="22"/>
          <w:szCs w:val="22"/>
          <w:u w:val="single"/>
        </w:rPr>
        <w:t>REAS</w:t>
      </w:r>
      <w:r w:rsidRPr="003127E4">
        <w:rPr>
          <w:rFonts w:ascii="Calibri" w:hAnsi="Calibri"/>
          <w:b/>
          <w:sz w:val="22"/>
          <w:szCs w:val="22"/>
          <w:u w:val="single"/>
        </w:rPr>
        <w:t>ONS FOR CHANGE IN BURDEN</w:t>
      </w:r>
    </w:p>
    <w:p w:rsidR="007E2EEB" w14:paraId="7BC6B96F" w14:textId="77777777">
      <w:pPr>
        <w:rPr>
          <w:rFonts w:ascii="Calibri" w:hAnsi="Calibri"/>
          <w:sz w:val="22"/>
          <w:szCs w:val="22"/>
        </w:rPr>
      </w:pPr>
    </w:p>
    <w:p w:rsidR="006971E1" w:rsidRPr="003127E4" w:rsidP="006971E1" w14:paraId="11C4D0DC" w14:textId="73F70FFC">
      <w:pPr>
        <w:ind w:left="720"/>
        <w:rPr>
          <w:rFonts w:ascii="Calibri" w:hAnsi="Calibri"/>
          <w:sz w:val="22"/>
          <w:szCs w:val="22"/>
        </w:rPr>
      </w:pPr>
      <w:r w:rsidRPr="00242885">
        <w:rPr>
          <w:rFonts w:ascii="Calibri" w:hAnsi="Calibri"/>
          <w:sz w:val="22"/>
          <w:szCs w:val="22"/>
        </w:rPr>
        <w:t xml:space="preserve">There is no change in the paperwork burden previously approved by OMB.  </w:t>
      </w:r>
      <w:r w:rsidR="00030B44">
        <w:rPr>
          <w:rFonts w:ascii="Calibri" w:hAnsi="Calibri"/>
          <w:sz w:val="22"/>
          <w:szCs w:val="22"/>
        </w:rPr>
        <w:t xml:space="preserve">IRS </w:t>
      </w:r>
      <w:r>
        <w:rPr>
          <w:rFonts w:ascii="Calibri" w:hAnsi="Calibri"/>
          <w:sz w:val="22"/>
          <w:szCs w:val="22"/>
        </w:rPr>
        <w:t>is</w:t>
      </w:r>
      <w:r w:rsidRPr="00242885">
        <w:rPr>
          <w:rFonts w:ascii="Calibri" w:hAnsi="Calibri"/>
          <w:sz w:val="22"/>
          <w:szCs w:val="22"/>
        </w:rPr>
        <w:t xml:space="preserve"> making this submission to renew the OMB approval.</w:t>
      </w:r>
      <w:r w:rsidRPr="000F3A8B" w:rsidR="000F3A8B">
        <w:rPr>
          <w:rFonts w:ascii="Calibri" w:hAnsi="Calibri"/>
          <w:sz w:val="22"/>
          <w:szCs w:val="22"/>
        </w:rPr>
        <w:t xml:space="preserve">          </w:t>
      </w:r>
      <w:r w:rsidR="00DE00E7">
        <w:rPr>
          <w:rFonts w:ascii="Calibri" w:hAnsi="Calibri"/>
          <w:sz w:val="22"/>
          <w:szCs w:val="22"/>
        </w:rPr>
        <w:t xml:space="preserve"> </w:t>
      </w:r>
    </w:p>
    <w:p w:rsidR="00CB0D14" w:rsidP="00CB0D14" w14:paraId="468D5360" w14:textId="77777777">
      <w:pPr>
        <w:ind w:left="720"/>
        <w:rPr>
          <w:rFonts w:ascii="Calibri" w:hAnsi="Calibri"/>
          <w:sz w:val="22"/>
          <w:szCs w:val="22"/>
        </w:rPr>
      </w:pPr>
    </w:p>
    <w:p w:rsidR="007E2EEB" w:rsidRPr="003127E4" w:rsidP="006971E1" w14:paraId="36C46058" w14:textId="77777777">
      <w:pPr>
        <w:rPr>
          <w:rFonts w:ascii="Calibri" w:hAnsi="Calibri"/>
          <w:b/>
          <w:sz w:val="22"/>
          <w:szCs w:val="22"/>
        </w:rPr>
      </w:pPr>
      <w:r w:rsidRPr="006971E1">
        <w:rPr>
          <w:rFonts w:ascii="Calibri" w:hAnsi="Calibri"/>
          <w:b/>
          <w:sz w:val="22"/>
          <w:szCs w:val="22"/>
        </w:rPr>
        <w:t>16</w:t>
      </w:r>
      <w:r>
        <w:rPr>
          <w:rFonts w:ascii="Calibri" w:hAnsi="Calibri"/>
          <w:sz w:val="22"/>
          <w:szCs w:val="22"/>
        </w:rPr>
        <w:t xml:space="preserve">. </w:t>
      </w:r>
      <w:r w:rsidR="00242885">
        <w:rPr>
          <w:rFonts w:ascii="Calibri" w:hAnsi="Calibri"/>
          <w:sz w:val="22"/>
          <w:szCs w:val="22"/>
        </w:rPr>
        <w:t xml:space="preserve">       </w:t>
      </w:r>
      <w:r>
        <w:rPr>
          <w:rFonts w:ascii="Calibri" w:hAnsi="Calibri"/>
          <w:sz w:val="22"/>
          <w:szCs w:val="22"/>
        </w:rPr>
        <w:t xml:space="preserve"> </w:t>
      </w:r>
      <w:r w:rsidRPr="003127E4">
        <w:rPr>
          <w:rFonts w:ascii="Calibri" w:hAnsi="Calibri"/>
          <w:b/>
          <w:sz w:val="22"/>
          <w:szCs w:val="22"/>
          <w:u w:val="single"/>
        </w:rPr>
        <w:t>PLANS FOR TABULATION, STATISTICAL ANALYSIS AND PUBLICATION</w:t>
      </w:r>
    </w:p>
    <w:p w:rsidR="007E2EEB" w:rsidRPr="003127E4" w14:paraId="26B0DAF9" w14:textId="77777777">
      <w:pPr>
        <w:rPr>
          <w:rFonts w:ascii="Calibri" w:hAnsi="Calibri"/>
          <w:sz w:val="22"/>
          <w:szCs w:val="22"/>
        </w:rPr>
      </w:pPr>
    </w:p>
    <w:p w:rsidR="00D46069" w:rsidP="006971E1" w14:paraId="69CD557A" w14:textId="77777777">
      <w:pPr>
        <w:rPr>
          <w:rFonts w:ascii="Calibri" w:hAnsi="Calibri" w:cs="Calibri"/>
          <w:sz w:val="22"/>
          <w:szCs w:val="22"/>
        </w:rPr>
      </w:pPr>
      <w:r>
        <w:rPr>
          <w:rFonts w:ascii="Calibri" w:hAnsi="Calibri" w:cs="Calibri"/>
          <w:sz w:val="22"/>
          <w:szCs w:val="22"/>
        </w:rPr>
        <w:t xml:space="preserve">       </w:t>
      </w:r>
      <w:r w:rsidR="00242885">
        <w:rPr>
          <w:rFonts w:ascii="Calibri" w:hAnsi="Calibri" w:cs="Calibri"/>
          <w:sz w:val="22"/>
          <w:szCs w:val="22"/>
        </w:rPr>
        <w:t xml:space="preserve">        </w:t>
      </w:r>
      <w:r w:rsidRPr="002A31A5">
        <w:rPr>
          <w:rFonts w:ascii="Calibri" w:hAnsi="Calibri" w:cs="Calibri"/>
          <w:sz w:val="22"/>
          <w:szCs w:val="22"/>
        </w:rPr>
        <w:t>There are no plans for tabulation, statistical analysis, and publication.</w:t>
      </w:r>
    </w:p>
    <w:p w:rsidR="006971E1" w:rsidP="006971E1" w14:paraId="05550D0E" w14:textId="76404B53">
      <w:pPr>
        <w:rPr>
          <w:rFonts w:ascii="Calibri" w:hAnsi="Calibri" w:cs="Calibri"/>
          <w:sz w:val="22"/>
          <w:szCs w:val="22"/>
        </w:rPr>
      </w:pPr>
    </w:p>
    <w:p w:rsidR="006971E1" w:rsidRPr="003127E4" w:rsidP="00D60DD4" w14:paraId="2AE27C7F" w14:textId="77777777">
      <w:pPr>
        <w:rPr>
          <w:rFonts w:ascii="Calibri" w:hAnsi="Calibri"/>
          <w:b/>
          <w:sz w:val="22"/>
          <w:szCs w:val="22"/>
        </w:rPr>
      </w:pPr>
      <w:r w:rsidRPr="00D60DD4">
        <w:rPr>
          <w:rFonts w:ascii="Calibri" w:hAnsi="Calibri" w:cs="Calibri"/>
          <w:b/>
          <w:sz w:val="22"/>
          <w:szCs w:val="22"/>
        </w:rPr>
        <w:t>17.</w:t>
      </w:r>
      <w:r w:rsidR="00242885">
        <w:rPr>
          <w:rFonts w:ascii="Calibri" w:hAnsi="Calibri" w:cs="Calibri"/>
          <w:b/>
          <w:sz w:val="22"/>
          <w:szCs w:val="22"/>
        </w:rPr>
        <w:t xml:space="preserve">      </w:t>
      </w:r>
      <w:r>
        <w:rPr>
          <w:rFonts w:ascii="Calibri" w:hAnsi="Calibri" w:cs="Calibri"/>
          <w:sz w:val="22"/>
          <w:szCs w:val="22"/>
        </w:rPr>
        <w:t xml:space="preserve">  </w:t>
      </w:r>
      <w:r>
        <w:rPr>
          <w:rFonts w:ascii="Calibri" w:hAnsi="Calibri"/>
          <w:b/>
          <w:sz w:val="22"/>
          <w:szCs w:val="22"/>
          <w:u w:val="single"/>
        </w:rPr>
        <w:t xml:space="preserve"> </w:t>
      </w:r>
      <w:r w:rsidRPr="003127E4">
        <w:rPr>
          <w:rFonts w:ascii="Calibri" w:hAnsi="Calibri"/>
          <w:b/>
          <w:sz w:val="22"/>
          <w:szCs w:val="22"/>
          <w:u w:val="single"/>
        </w:rPr>
        <w:t>REASONS WHY DISPLAYING THE OMB EXPIRATION DATE IS INAPPROPRIATE</w:t>
      </w:r>
      <w:r>
        <w:rPr>
          <w:rFonts w:ascii="Calibri" w:hAnsi="Calibri"/>
          <w:b/>
          <w:sz w:val="22"/>
          <w:szCs w:val="22"/>
          <w:u w:val="single"/>
        </w:rPr>
        <w:t xml:space="preserve">  </w:t>
      </w:r>
    </w:p>
    <w:p w:rsidR="006971E1" w:rsidRPr="003127E4" w:rsidP="006971E1" w14:paraId="4DCEE6A2" w14:textId="77777777">
      <w:pPr>
        <w:rPr>
          <w:rFonts w:ascii="Calibri" w:hAnsi="Calibri"/>
          <w:sz w:val="22"/>
          <w:szCs w:val="22"/>
        </w:rPr>
      </w:pPr>
    </w:p>
    <w:p w:rsidR="00D60DD4" w:rsidP="00030B44" w14:paraId="1572AE2B" w14:textId="682D3BFE">
      <w:pPr>
        <w:ind w:left="360" w:firstLine="360"/>
        <w:rPr>
          <w:rFonts w:ascii="Calibri" w:hAnsi="Calibri"/>
          <w:sz w:val="22"/>
          <w:szCs w:val="22"/>
        </w:rPr>
      </w:pPr>
      <w:r>
        <w:rPr>
          <w:rFonts w:ascii="Calibri" w:hAnsi="Calibri"/>
          <w:sz w:val="22"/>
          <w:szCs w:val="22"/>
        </w:rPr>
        <w:t>IRS</w:t>
      </w:r>
      <w:r w:rsidRPr="003127E4">
        <w:rPr>
          <w:rFonts w:ascii="Calibri" w:hAnsi="Calibri"/>
          <w:sz w:val="22"/>
          <w:szCs w:val="22"/>
        </w:rPr>
        <w:t xml:space="preserve"> believe</w:t>
      </w:r>
      <w:r>
        <w:rPr>
          <w:rFonts w:ascii="Calibri" w:hAnsi="Calibri"/>
          <w:sz w:val="22"/>
          <w:szCs w:val="22"/>
        </w:rPr>
        <w:t>s</w:t>
      </w:r>
      <w:r w:rsidRPr="003127E4">
        <w:rPr>
          <w:rFonts w:ascii="Calibri" w:hAnsi="Calibri"/>
          <w:sz w:val="22"/>
          <w:szCs w:val="22"/>
        </w:rPr>
        <w:t xml:space="preserve"> that displaying the OMB expiration date is inappropriate because it could cause </w:t>
      </w:r>
    </w:p>
    <w:p w:rsidR="00D60DD4" w:rsidP="00242885" w14:paraId="6B906EE0" w14:textId="77777777">
      <w:pPr>
        <w:ind w:left="360"/>
        <w:rPr>
          <w:rFonts w:ascii="Calibri" w:hAnsi="Calibri"/>
          <w:sz w:val="22"/>
          <w:szCs w:val="22"/>
        </w:rPr>
      </w:pPr>
      <w:r>
        <w:rPr>
          <w:rFonts w:ascii="Calibri" w:hAnsi="Calibri"/>
          <w:sz w:val="22"/>
          <w:szCs w:val="22"/>
        </w:rPr>
        <w:t xml:space="preserve">        </w:t>
      </w:r>
      <w:r w:rsidRPr="003127E4" w:rsidR="006971E1">
        <w:rPr>
          <w:rFonts w:ascii="Calibri" w:hAnsi="Calibri"/>
          <w:sz w:val="22"/>
          <w:szCs w:val="22"/>
        </w:rPr>
        <w:t xml:space="preserve">confusion by leading taxpayers to believe that the </w:t>
      </w:r>
      <w:r w:rsidR="00A64D3A">
        <w:rPr>
          <w:rFonts w:ascii="Calibri" w:hAnsi="Calibri"/>
          <w:sz w:val="22"/>
          <w:szCs w:val="22"/>
        </w:rPr>
        <w:t>form</w:t>
      </w:r>
      <w:r w:rsidRPr="003127E4" w:rsidR="00A64D3A">
        <w:rPr>
          <w:rFonts w:ascii="Calibri" w:hAnsi="Calibri"/>
          <w:sz w:val="22"/>
          <w:szCs w:val="22"/>
        </w:rPr>
        <w:t xml:space="preserve"> </w:t>
      </w:r>
      <w:r w:rsidRPr="003127E4" w:rsidR="006971E1">
        <w:rPr>
          <w:rFonts w:ascii="Calibri" w:hAnsi="Calibri"/>
          <w:sz w:val="22"/>
          <w:szCs w:val="22"/>
        </w:rPr>
        <w:t xml:space="preserve">sunsets as of the expiration date.  </w:t>
      </w:r>
    </w:p>
    <w:p w:rsidR="00D60DD4" w:rsidP="00242885" w14:paraId="1EFA7D9D" w14:textId="77777777">
      <w:pPr>
        <w:ind w:left="360"/>
        <w:rPr>
          <w:rFonts w:ascii="Calibri" w:hAnsi="Calibri"/>
          <w:sz w:val="22"/>
          <w:szCs w:val="22"/>
        </w:rPr>
      </w:pPr>
      <w:r>
        <w:rPr>
          <w:rFonts w:ascii="Calibri" w:hAnsi="Calibri"/>
          <w:sz w:val="22"/>
          <w:szCs w:val="22"/>
        </w:rPr>
        <w:t xml:space="preserve">        </w:t>
      </w:r>
      <w:r w:rsidRPr="003127E4" w:rsidR="006971E1">
        <w:rPr>
          <w:rFonts w:ascii="Calibri" w:hAnsi="Calibri"/>
          <w:sz w:val="22"/>
          <w:szCs w:val="22"/>
        </w:rPr>
        <w:t xml:space="preserve">Taxpayers are not likely to be aware that the Service intends to request renewal of the OMB </w:t>
      </w:r>
      <w:r>
        <w:rPr>
          <w:rFonts w:ascii="Calibri" w:hAnsi="Calibri"/>
          <w:sz w:val="22"/>
          <w:szCs w:val="22"/>
        </w:rPr>
        <w:t xml:space="preserve"> </w:t>
      </w:r>
    </w:p>
    <w:p w:rsidR="006971E1" w:rsidP="00242885" w14:paraId="0AB1BBCB" w14:textId="77777777">
      <w:pPr>
        <w:ind w:left="360"/>
        <w:rPr>
          <w:rFonts w:ascii="Calibri" w:hAnsi="Calibri"/>
          <w:sz w:val="22"/>
          <w:szCs w:val="22"/>
        </w:rPr>
      </w:pPr>
      <w:r>
        <w:rPr>
          <w:rFonts w:ascii="Calibri" w:hAnsi="Calibri"/>
          <w:sz w:val="22"/>
          <w:szCs w:val="22"/>
        </w:rPr>
        <w:t xml:space="preserve">        </w:t>
      </w:r>
      <w:r w:rsidRPr="003127E4">
        <w:rPr>
          <w:rFonts w:ascii="Calibri" w:hAnsi="Calibri"/>
          <w:sz w:val="22"/>
          <w:szCs w:val="22"/>
        </w:rPr>
        <w:t>approval and obtain a new expiration date before the old one expires.</w:t>
      </w:r>
    </w:p>
    <w:p w:rsidR="00030B44" w:rsidRPr="003127E4" w:rsidP="006971E1" w14:paraId="3EF91C4D" w14:textId="77777777">
      <w:pPr>
        <w:ind w:left="720"/>
        <w:rPr>
          <w:rFonts w:ascii="Calibri" w:hAnsi="Calibri"/>
          <w:sz w:val="22"/>
          <w:szCs w:val="22"/>
        </w:rPr>
      </w:pPr>
    </w:p>
    <w:p w:rsidR="007E2EEB" w:rsidRPr="003127E4" w:rsidP="00D60DD4" w14:paraId="7FE0AA4D" w14:textId="77777777">
      <w:pPr>
        <w:rPr>
          <w:rFonts w:ascii="Calibri" w:hAnsi="Calibri"/>
          <w:b/>
          <w:sz w:val="22"/>
          <w:szCs w:val="22"/>
        </w:rPr>
      </w:pPr>
      <w:r>
        <w:rPr>
          <w:rFonts w:ascii="Calibri" w:hAnsi="Calibri" w:cs="Calibri"/>
          <w:sz w:val="22"/>
          <w:szCs w:val="22"/>
        </w:rPr>
        <w:t xml:space="preserve">18. </w:t>
      </w:r>
      <w:r w:rsidR="00242885">
        <w:rPr>
          <w:rFonts w:ascii="Calibri" w:hAnsi="Calibri" w:cs="Calibri"/>
          <w:sz w:val="22"/>
          <w:szCs w:val="22"/>
        </w:rPr>
        <w:t xml:space="preserve">       </w:t>
      </w:r>
      <w:r w:rsidR="006971E1">
        <w:rPr>
          <w:rFonts w:ascii="Calibri" w:hAnsi="Calibri"/>
          <w:b/>
          <w:sz w:val="22"/>
          <w:szCs w:val="22"/>
          <w:u w:val="single"/>
        </w:rPr>
        <w:t xml:space="preserve"> </w:t>
      </w:r>
      <w:r w:rsidRPr="003127E4">
        <w:rPr>
          <w:rFonts w:ascii="Calibri" w:hAnsi="Calibri"/>
          <w:b/>
          <w:sz w:val="22"/>
          <w:szCs w:val="22"/>
          <w:u w:val="single"/>
        </w:rPr>
        <w:t>EXCEPTIONS TO THE CERTIFICATION STATEMENT</w:t>
      </w:r>
    </w:p>
    <w:p w:rsidR="007E2EEB" w:rsidRPr="003127E4" w14:paraId="68F246DA" w14:textId="77777777">
      <w:pPr>
        <w:rPr>
          <w:rFonts w:ascii="Calibri" w:hAnsi="Calibri"/>
          <w:b/>
          <w:sz w:val="22"/>
          <w:szCs w:val="22"/>
        </w:rPr>
      </w:pPr>
    </w:p>
    <w:p w:rsidR="007E2EEB" w:rsidP="006C2B4A" w14:paraId="31951534" w14:textId="77777777">
      <w:pPr>
        <w:rPr>
          <w:rFonts w:ascii="Calibri" w:hAnsi="Calibri"/>
          <w:sz w:val="22"/>
          <w:szCs w:val="22"/>
        </w:rPr>
      </w:pPr>
      <w:r>
        <w:rPr>
          <w:rFonts w:ascii="Calibri" w:hAnsi="Calibri"/>
          <w:sz w:val="22"/>
          <w:szCs w:val="22"/>
        </w:rPr>
        <w:t xml:space="preserve">       </w:t>
      </w:r>
      <w:r w:rsidR="00242885">
        <w:rPr>
          <w:rFonts w:ascii="Calibri" w:hAnsi="Calibri"/>
          <w:sz w:val="22"/>
          <w:szCs w:val="22"/>
        </w:rPr>
        <w:t xml:space="preserve">      </w:t>
      </w:r>
      <w:r>
        <w:rPr>
          <w:rFonts w:ascii="Calibri" w:hAnsi="Calibri"/>
          <w:sz w:val="22"/>
          <w:szCs w:val="22"/>
        </w:rPr>
        <w:t xml:space="preserve"> </w:t>
      </w:r>
      <w:r w:rsidRPr="00801A34" w:rsidR="00801A34">
        <w:rPr>
          <w:rFonts w:ascii="Calibri" w:hAnsi="Calibri"/>
          <w:sz w:val="22"/>
          <w:szCs w:val="22"/>
        </w:rPr>
        <w:t>There are no exceptions to the certification statement.</w:t>
      </w:r>
    </w:p>
    <w:p w:rsidR="005C66C6" w14:paraId="3F5B36F8" w14:textId="77777777">
      <w:pPr>
        <w:rPr>
          <w:rFonts w:ascii="Calibri" w:hAnsi="Calibri"/>
          <w:sz w:val="22"/>
          <w:szCs w:val="22"/>
        </w:rPr>
      </w:pPr>
    </w:p>
    <w:p w:rsidR="007E2EEB" w:rsidRPr="003127E4" w14:paraId="2958A216" w14:textId="77777777">
      <w:pPr>
        <w:rPr>
          <w:rFonts w:ascii="Calibri" w:hAnsi="Calibri"/>
          <w:sz w:val="22"/>
          <w:szCs w:val="22"/>
        </w:rPr>
      </w:pPr>
      <w:r w:rsidRPr="003127E4">
        <w:rPr>
          <w:rFonts w:ascii="Calibri" w:hAnsi="Calibri"/>
          <w:b/>
          <w:sz w:val="22"/>
          <w:szCs w:val="22"/>
          <w:u w:val="single"/>
        </w:rPr>
        <w:t>Note:</w:t>
      </w:r>
      <w:r w:rsidRPr="003127E4">
        <w:rPr>
          <w:rFonts w:ascii="Calibri" w:hAnsi="Calibri"/>
          <w:sz w:val="22"/>
          <w:szCs w:val="22"/>
        </w:rPr>
        <w:t xml:space="preserve">   The following paragraph applies to all of the collections of information in this submission:</w:t>
      </w:r>
    </w:p>
    <w:p w:rsidR="007E2EEB" w:rsidRPr="003127E4" w14:paraId="484EDF3D" w14:textId="77777777">
      <w:pPr>
        <w:rPr>
          <w:rFonts w:ascii="Calibri" w:hAnsi="Calibri"/>
          <w:sz w:val="22"/>
          <w:szCs w:val="22"/>
        </w:rPr>
      </w:pPr>
    </w:p>
    <w:p w:rsidR="007E2EEB" w:rsidRPr="003127E4" w14:paraId="14D6F84F" w14:textId="77777777">
      <w:pPr>
        <w:rPr>
          <w:rFonts w:ascii="Calibri" w:hAnsi="Calibri"/>
          <w:sz w:val="22"/>
          <w:szCs w:val="22"/>
        </w:rPr>
        <w:sectPr w:rsidSect="005C66C6">
          <w:headerReference w:type="default" r:id="rId5"/>
          <w:type w:val="continuous"/>
          <w:pgSz w:w="12240" w:h="15840"/>
          <w:pgMar w:top="1440" w:right="1440" w:bottom="864" w:left="1440" w:header="1440" w:footer="1440" w:gutter="0"/>
          <w:cols w:space="720"/>
          <w:noEndnote/>
        </w:sectPr>
      </w:pPr>
    </w:p>
    <w:p w:rsidR="00030B44" w:rsidP="006971E1" w14:paraId="402F5E50" w14:textId="7441F4CE">
      <w:pPr>
        <w:ind w:left="720"/>
        <w:rPr>
          <w:rFonts w:ascii="Calibri" w:hAnsi="Calibri"/>
          <w:sz w:val="22"/>
          <w:szCs w:val="22"/>
        </w:rPr>
      </w:pPr>
      <w:r w:rsidRPr="003127E4">
        <w:rPr>
          <w:rFonts w:ascii="Calibri" w:hAnsi="Calibri"/>
          <w:sz w:val="22"/>
          <w:szCs w:val="22"/>
        </w:rPr>
        <w:t>An agency may not conduct or sponsor, and a person is not required to respond to, a collection</w:t>
      </w:r>
      <w:r>
        <w:rPr>
          <w:rFonts w:ascii="Calibri" w:hAnsi="Calibri"/>
          <w:sz w:val="22"/>
          <w:szCs w:val="22"/>
        </w:rPr>
        <w:t xml:space="preserve"> </w:t>
      </w:r>
    </w:p>
    <w:p w:rsidR="007E2EEB" w:rsidRPr="003127E4" w:rsidP="006971E1" w14:paraId="1600BDAD" w14:textId="22E82DBD">
      <w:pPr>
        <w:ind w:left="720"/>
        <w:rPr>
          <w:rFonts w:ascii="Calibri" w:hAnsi="Calibri"/>
          <w:sz w:val="22"/>
          <w:szCs w:val="22"/>
        </w:rPr>
      </w:pPr>
      <w:r w:rsidRPr="003127E4">
        <w:rPr>
          <w:rFonts w:ascii="Calibri" w:hAnsi="Calibri"/>
          <w:sz w:val="22"/>
          <w:szCs w:val="22"/>
        </w:rPr>
        <w:t>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Sect="005C66C6">
      <w:type w:val="continuous"/>
      <w:pgSz w:w="12240" w:h="15840"/>
      <w:pgMar w:top="1440" w:right="1440" w:bottom="864"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or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erylium">
    <w:altName w:val="Times New Roman"/>
    <w:charset w:val="00"/>
    <w:family w:val="auto"/>
    <w:pitch w:val="variable"/>
    <w:sig w:usb0="00000001" w:usb1="0000004A" w:usb2="00000000" w:usb3="00000000" w:csb0="00000193"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57BD" w14:paraId="3D6A8798" w14:textId="77777777">
    <w:pPr>
      <w:framePr w:w="9361" w:wrap="notBeside" w:vAnchor="text" w:hAnchor="text" w:x="1" w:y="1"/>
      <w:jc w:val="center"/>
      <w:rPr>
        <w:rFonts w:cs="Courier"/>
      </w:rPr>
    </w:pPr>
    <w:r>
      <w:rPr>
        <w:rFonts w:cs="Courier"/>
      </w:rPr>
      <w:fldChar w:fldCharType="begin"/>
    </w:r>
    <w:r>
      <w:rPr>
        <w:rFonts w:cs="Courier"/>
      </w:rPr>
      <w:instrText xml:space="preserve">PAGE </w:instrText>
    </w:r>
    <w:r>
      <w:rPr>
        <w:rFonts w:cs="Courier"/>
      </w:rPr>
      <w:fldChar w:fldCharType="separate"/>
    </w:r>
    <w:r>
      <w:rPr>
        <w:rFonts w:cs="Courier"/>
        <w:noProof/>
      </w:rPr>
      <w:t>1</w:t>
    </w:r>
    <w:r>
      <w:rPr>
        <w:rFonts w:cs="Courier"/>
      </w:rPr>
      <w:fldChar w:fldCharType="end"/>
    </w:r>
  </w:p>
  <w:p w:rsidR="00F657BD" w14:paraId="5766966E" w14:textId="77777777">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6C6" w14:paraId="28DBFBF2" w14:textId="2EF71F55">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C0602A">
      <w:rPr>
        <w:rFonts w:cs="Courier"/>
        <w:b/>
        <w:bCs/>
        <w:noProof/>
      </w:rPr>
      <w:t>6</w:t>
    </w:r>
    <w:r>
      <w:rPr>
        <w:rFonts w:cs="Courier"/>
        <w:b/>
        <w:bCs/>
      </w:rPr>
      <w:fldChar w:fldCharType="end"/>
    </w:r>
  </w:p>
  <w:p w:rsidR="005C66C6" w14:paraId="1A5D359A" w14:textId="77777777"/>
  <w:p w:rsidR="005C66C6" w14:paraId="04DE21C0" w14:textId="77777777">
    <w:pPr>
      <w:spacing w:line="240" w:lineRule="exact"/>
    </w:pPr>
  </w:p>
  <w:p w:rsidR="00390620" w14:paraId="1DEFE1C8"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CF7698B"/>
    <w:multiLevelType w:val="hybridMultilevel"/>
    <w:tmpl w:val="2378F874"/>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CCE7852"/>
    <w:multiLevelType w:val="hybridMultilevel"/>
    <w:tmpl w:val="3FE23B06"/>
    <w:lvl w:ilvl="0">
      <w:start w:val="17"/>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120CAC"/>
    <w:multiLevelType w:val="hybridMultilevel"/>
    <w:tmpl w:val="F718F288"/>
    <w:lvl w:ilvl="0">
      <w:start w:val="17"/>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B411059"/>
    <w:multiLevelType w:val="hybridMultilevel"/>
    <w:tmpl w:val="574EBB4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06F402E"/>
    <w:multiLevelType w:val="hybridMultilevel"/>
    <w:tmpl w:val="94B0A2EE"/>
    <w:lvl w:ilvl="0">
      <w:start w:val="17"/>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41C5AF6"/>
    <w:multiLevelType w:val="hybridMultilevel"/>
    <w:tmpl w:val="77DA41D2"/>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1913F5"/>
    <w:multiLevelType w:val="multilevel"/>
    <w:tmpl w:val="E6201D38"/>
    <w:name w:val="AutoList22"/>
    <w:lvl w:ilvl="0">
      <w:start w:val="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0"/>
      <w:numFmt w:val="decimal"/>
      <w:lvlJc w:val="left"/>
      <w:pPr>
        <w:ind w:left="0" w:firstLine="0"/>
      </w:pPr>
      <w:rPr>
        <w:rFonts w:hint="default"/>
      </w:rPr>
    </w:lvl>
  </w:abstractNum>
  <w:abstractNum w:abstractNumId="10">
    <w:nsid w:val="482272B8"/>
    <w:multiLevelType w:val="hybridMultilevel"/>
    <w:tmpl w:val="CAC44B88"/>
    <w:lvl w:ilvl="0">
      <w:start w:val="17"/>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82E568A"/>
    <w:multiLevelType w:val="hybridMultilevel"/>
    <w:tmpl w:val="F65E2F52"/>
    <w:lvl w:ilvl="0">
      <w:start w:val="17"/>
      <w:numFmt w:val="decimal"/>
      <w:lvlText w:val="%1."/>
      <w:lvlJc w:val="left"/>
      <w:pPr>
        <w:ind w:left="1080" w:hanging="36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5A232C84"/>
    <w:multiLevelType w:val="hybridMultilevel"/>
    <w:tmpl w:val="76D06CDA"/>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DF506A1"/>
    <w:multiLevelType w:val="hybridMultilevel"/>
    <w:tmpl w:val="FC04AB9E"/>
    <w:lvl w:ilvl="0">
      <w:start w:val="17"/>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14342333">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09667228">
    <w:abstractNumId w:val="2"/>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686911749">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232665186">
    <w:abstractNumId w:val="9"/>
  </w:num>
  <w:num w:numId="5" w16cid:durableId="1652636958">
    <w:abstractNumId w:val="0"/>
  </w:num>
  <w:num w:numId="6" w16cid:durableId="728697547">
    <w:abstractNumId w:val="13"/>
  </w:num>
  <w:num w:numId="7" w16cid:durableId="1642347305">
    <w:abstractNumId w:val="7"/>
  </w:num>
  <w:num w:numId="8" w16cid:durableId="550508216">
    <w:abstractNumId w:val="11"/>
  </w:num>
  <w:num w:numId="9" w16cid:durableId="21133326">
    <w:abstractNumId w:val="5"/>
  </w:num>
  <w:num w:numId="10" w16cid:durableId="706373578">
    <w:abstractNumId w:val="12"/>
  </w:num>
  <w:num w:numId="11" w16cid:durableId="952130604">
    <w:abstractNumId w:val="8"/>
  </w:num>
  <w:num w:numId="12" w16cid:durableId="852034137">
    <w:abstractNumId w:val="10"/>
  </w:num>
  <w:num w:numId="13" w16cid:durableId="1265502525">
    <w:abstractNumId w:val="4"/>
  </w:num>
  <w:num w:numId="14" w16cid:durableId="6444340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EEB"/>
    <w:rsid w:val="0000220F"/>
    <w:rsid w:val="00006A19"/>
    <w:rsid w:val="00010B0A"/>
    <w:rsid w:val="00015FCA"/>
    <w:rsid w:val="00017836"/>
    <w:rsid w:val="000220F9"/>
    <w:rsid w:val="00022E0C"/>
    <w:rsid w:val="00030B44"/>
    <w:rsid w:val="00036EC2"/>
    <w:rsid w:val="00044F37"/>
    <w:rsid w:val="000557C2"/>
    <w:rsid w:val="00066407"/>
    <w:rsid w:val="000A05E9"/>
    <w:rsid w:val="000A1091"/>
    <w:rsid w:val="000A4339"/>
    <w:rsid w:val="000A7FC1"/>
    <w:rsid w:val="000C774E"/>
    <w:rsid w:val="000F3A8B"/>
    <w:rsid w:val="000F67CB"/>
    <w:rsid w:val="00102DBB"/>
    <w:rsid w:val="001135E3"/>
    <w:rsid w:val="00120003"/>
    <w:rsid w:val="0012358F"/>
    <w:rsid w:val="00132AF5"/>
    <w:rsid w:val="001337C1"/>
    <w:rsid w:val="00137005"/>
    <w:rsid w:val="00141203"/>
    <w:rsid w:val="00161268"/>
    <w:rsid w:val="00166349"/>
    <w:rsid w:val="00182F0D"/>
    <w:rsid w:val="001A6139"/>
    <w:rsid w:val="001A6F7B"/>
    <w:rsid w:val="001B24BC"/>
    <w:rsid w:val="001B629F"/>
    <w:rsid w:val="001C3D05"/>
    <w:rsid w:val="001D017C"/>
    <w:rsid w:val="001D7678"/>
    <w:rsid w:val="001F321D"/>
    <w:rsid w:val="002109AC"/>
    <w:rsid w:val="0021555C"/>
    <w:rsid w:val="00224418"/>
    <w:rsid w:val="0023566C"/>
    <w:rsid w:val="00242885"/>
    <w:rsid w:val="00246391"/>
    <w:rsid w:val="00251ED2"/>
    <w:rsid w:val="002729E0"/>
    <w:rsid w:val="00282B0F"/>
    <w:rsid w:val="00285076"/>
    <w:rsid w:val="0029131C"/>
    <w:rsid w:val="00293354"/>
    <w:rsid w:val="00295A3A"/>
    <w:rsid w:val="002A243C"/>
    <w:rsid w:val="002A31A5"/>
    <w:rsid w:val="002B177C"/>
    <w:rsid w:val="002B499E"/>
    <w:rsid w:val="002D4886"/>
    <w:rsid w:val="002D51B2"/>
    <w:rsid w:val="002E2C4A"/>
    <w:rsid w:val="002E56B9"/>
    <w:rsid w:val="002F1933"/>
    <w:rsid w:val="002F1976"/>
    <w:rsid w:val="002F79AA"/>
    <w:rsid w:val="00305112"/>
    <w:rsid w:val="00305478"/>
    <w:rsid w:val="003127E4"/>
    <w:rsid w:val="00312E36"/>
    <w:rsid w:val="00316527"/>
    <w:rsid w:val="00336BA4"/>
    <w:rsid w:val="00353997"/>
    <w:rsid w:val="00354235"/>
    <w:rsid w:val="0037036A"/>
    <w:rsid w:val="00371E4F"/>
    <w:rsid w:val="00390620"/>
    <w:rsid w:val="00394E4C"/>
    <w:rsid w:val="003A5A1A"/>
    <w:rsid w:val="003D667A"/>
    <w:rsid w:val="003F58BB"/>
    <w:rsid w:val="0040164F"/>
    <w:rsid w:val="00404EE7"/>
    <w:rsid w:val="00406C96"/>
    <w:rsid w:val="00420159"/>
    <w:rsid w:val="00427C16"/>
    <w:rsid w:val="00435CFA"/>
    <w:rsid w:val="00442AFF"/>
    <w:rsid w:val="004573A2"/>
    <w:rsid w:val="004631BE"/>
    <w:rsid w:val="00463A04"/>
    <w:rsid w:val="00465173"/>
    <w:rsid w:val="0047289C"/>
    <w:rsid w:val="00473D0D"/>
    <w:rsid w:val="004A2753"/>
    <w:rsid w:val="004A4FD8"/>
    <w:rsid w:val="004B6E0C"/>
    <w:rsid w:val="004D3707"/>
    <w:rsid w:val="004E2ABF"/>
    <w:rsid w:val="004E668F"/>
    <w:rsid w:val="004F12D2"/>
    <w:rsid w:val="004F2A9D"/>
    <w:rsid w:val="005011E6"/>
    <w:rsid w:val="0051280C"/>
    <w:rsid w:val="00517DF7"/>
    <w:rsid w:val="00520AF6"/>
    <w:rsid w:val="005235D0"/>
    <w:rsid w:val="00525980"/>
    <w:rsid w:val="00541072"/>
    <w:rsid w:val="005649AE"/>
    <w:rsid w:val="005B3363"/>
    <w:rsid w:val="005B3EEF"/>
    <w:rsid w:val="005B6DDD"/>
    <w:rsid w:val="005C1382"/>
    <w:rsid w:val="005C66C6"/>
    <w:rsid w:val="005D3DAB"/>
    <w:rsid w:val="005D562F"/>
    <w:rsid w:val="005D6094"/>
    <w:rsid w:val="005D7415"/>
    <w:rsid w:val="005E28CE"/>
    <w:rsid w:val="00603FC5"/>
    <w:rsid w:val="00630912"/>
    <w:rsid w:val="006368E6"/>
    <w:rsid w:val="00644338"/>
    <w:rsid w:val="00651559"/>
    <w:rsid w:val="00652B7E"/>
    <w:rsid w:val="006726A1"/>
    <w:rsid w:val="00680557"/>
    <w:rsid w:val="00681206"/>
    <w:rsid w:val="00681569"/>
    <w:rsid w:val="006971E1"/>
    <w:rsid w:val="006A21C2"/>
    <w:rsid w:val="006C2B4A"/>
    <w:rsid w:val="006E6E53"/>
    <w:rsid w:val="006E71BC"/>
    <w:rsid w:val="006F1F3B"/>
    <w:rsid w:val="00710044"/>
    <w:rsid w:val="00715FFF"/>
    <w:rsid w:val="00720A3B"/>
    <w:rsid w:val="00733C60"/>
    <w:rsid w:val="007369BD"/>
    <w:rsid w:val="00752A40"/>
    <w:rsid w:val="0075527C"/>
    <w:rsid w:val="00763B45"/>
    <w:rsid w:val="00764B48"/>
    <w:rsid w:val="007938DF"/>
    <w:rsid w:val="007A2AC1"/>
    <w:rsid w:val="007B041B"/>
    <w:rsid w:val="007B1B8F"/>
    <w:rsid w:val="007B1C01"/>
    <w:rsid w:val="007C7793"/>
    <w:rsid w:val="007E0010"/>
    <w:rsid w:val="007E2EEB"/>
    <w:rsid w:val="007E36EA"/>
    <w:rsid w:val="007F12A5"/>
    <w:rsid w:val="00800AAD"/>
    <w:rsid w:val="008018A9"/>
    <w:rsid w:val="00801A34"/>
    <w:rsid w:val="00802986"/>
    <w:rsid w:val="00804DB0"/>
    <w:rsid w:val="00813FAA"/>
    <w:rsid w:val="00817D9B"/>
    <w:rsid w:val="00821550"/>
    <w:rsid w:val="0083118D"/>
    <w:rsid w:val="00832AE8"/>
    <w:rsid w:val="00833904"/>
    <w:rsid w:val="008533C4"/>
    <w:rsid w:val="00853C81"/>
    <w:rsid w:val="0085700B"/>
    <w:rsid w:val="008723DC"/>
    <w:rsid w:val="00876C56"/>
    <w:rsid w:val="008803C8"/>
    <w:rsid w:val="00894004"/>
    <w:rsid w:val="008A1CD6"/>
    <w:rsid w:val="008A38A4"/>
    <w:rsid w:val="008A59A3"/>
    <w:rsid w:val="008A5F74"/>
    <w:rsid w:val="008B0A5D"/>
    <w:rsid w:val="008D1E10"/>
    <w:rsid w:val="008E369A"/>
    <w:rsid w:val="008E7B0C"/>
    <w:rsid w:val="00902FB3"/>
    <w:rsid w:val="00907256"/>
    <w:rsid w:val="00914A87"/>
    <w:rsid w:val="00917F24"/>
    <w:rsid w:val="0092310A"/>
    <w:rsid w:val="0092632D"/>
    <w:rsid w:val="00933CA2"/>
    <w:rsid w:val="009501AC"/>
    <w:rsid w:val="009545DF"/>
    <w:rsid w:val="00972A93"/>
    <w:rsid w:val="00974429"/>
    <w:rsid w:val="009846A4"/>
    <w:rsid w:val="00986A6C"/>
    <w:rsid w:val="00986FC1"/>
    <w:rsid w:val="00995E2E"/>
    <w:rsid w:val="00997416"/>
    <w:rsid w:val="009978F9"/>
    <w:rsid w:val="009B6400"/>
    <w:rsid w:val="009D61D4"/>
    <w:rsid w:val="009D726B"/>
    <w:rsid w:val="009E0FD6"/>
    <w:rsid w:val="009E5544"/>
    <w:rsid w:val="009F31F3"/>
    <w:rsid w:val="00A0207E"/>
    <w:rsid w:val="00A134E4"/>
    <w:rsid w:val="00A14E91"/>
    <w:rsid w:val="00A24082"/>
    <w:rsid w:val="00A64D3A"/>
    <w:rsid w:val="00A66296"/>
    <w:rsid w:val="00A70809"/>
    <w:rsid w:val="00A70A0A"/>
    <w:rsid w:val="00A7743D"/>
    <w:rsid w:val="00A90218"/>
    <w:rsid w:val="00A9673F"/>
    <w:rsid w:val="00AB600A"/>
    <w:rsid w:val="00AD758A"/>
    <w:rsid w:val="00AE7F5F"/>
    <w:rsid w:val="00AF1AEA"/>
    <w:rsid w:val="00AF5681"/>
    <w:rsid w:val="00B07E63"/>
    <w:rsid w:val="00B1530E"/>
    <w:rsid w:val="00B16BB8"/>
    <w:rsid w:val="00B318A4"/>
    <w:rsid w:val="00B34FA0"/>
    <w:rsid w:val="00B42D92"/>
    <w:rsid w:val="00B50ECF"/>
    <w:rsid w:val="00B5635A"/>
    <w:rsid w:val="00B65514"/>
    <w:rsid w:val="00B91A50"/>
    <w:rsid w:val="00BA436D"/>
    <w:rsid w:val="00BC0691"/>
    <w:rsid w:val="00BC73AA"/>
    <w:rsid w:val="00BD70F0"/>
    <w:rsid w:val="00BF6CE3"/>
    <w:rsid w:val="00C0602A"/>
    <w:rsid w:val="00C10AC8"/>
    <w:rsid w:val="00C21BF6"/>
    <w:rsid w:val="00C24DD0"/>
    <w:rsid w:val="00C40223"/>
    <w:rsid w:val="00C47A0C"/>
    <w:rsid w:val="00C608BC"/>
    <w:rsid w:val="00C824EF"/>
    <w:rsid w:val="00C94ED3"/>
    <w:rsid w:val="00CA1998"/>
    <w:rsid w:val="00CA19B0"/>
    <w:rsid w:val="00CA721C"/>
    <w:rsid w:val="00CB0D14"/>
    <w:rsid w:val="00CB4537"/>
    <w:rsid w:val="00CC54C0"/>
    <w:rsid w:val="00CC72C1"/>
    <w:rsid w:val="00CD283E"/>
    <w:rsid w:val="00CD6429"/>
    <w:rsid w:val="00CD6AE9"/>
    <w:rsid w:val="00D125D1"/>
    <w:rsid w:val="00D1793A"/>
    <w:rsid w:val="00D35256"/>
    <w:rsid w:val="00D357EB"/>
    <w:rsid w:val="00D46069"/>
    <w:rsid w:val="00D5592C"/>
    <w:rsid w:val="00D56B81"/>
    <w:rsid w:val="00D60DD4"/>
    <w:rsid w:val="00D64B87"/>
    <w:rsid w:val="00D71370"/>
    <w:rsid w:val="00DA38BF"/>
    <w:rsid w:val="00DC0C44"/>
    <w:rsid w:val="00DD2F57"/>
    <w:rsid w:val="00DE00E7"/>
    <w:rsid w:val="00DF3AA0"/>
    <w:rsid w:val="00E02ACD"/>
    <w:rsid w:val="00E11D2D"/>
    <w:rsid w:val="00E46D5A"/>
    <w:rsid w:val="00E6142C"/>
    <w:rsid w:val="00E67DB8"/>
    <w:rsid w:val="00E9076D"/>
    <w:rsid w:val="00E9318F"/>
    <w:rsid w:val="00EB64BA"/>
    <w:rsid w:val="00EC045C"/>
    <w:rsid w:val="00EC668E"/>
    <w:rsid w:val="00ED51E5"/>
    <w:rsid w:val="00ED6812"/>
    <w:rsid w:val="00F00DD1"/>
    <w:rsid w:val="00F10C03"/>
    <w:rsid w:val="00F205E0"/>
    <w:rsid w:val="00F2284A"/>
    <w:rsid w:val="00F23C20"/>
    <w:rsid w:val="00F26675"/>
    <w:rsid w:val="00F436AC"/>
    <w:rsid w:val="00F4647C"/>
    <w:rsid w:val="00F63BDE"/>
    <w:rsid w:val="00F657BD"/>
    <w:rsid w:val="00F669A8"/>
    <w:rsid w:val="00F820B4"/>
    <w:rsid w:val="00FA1F7C"/>
    <w:rsid w:val="00FB13EB"/>
    <w:rsid w:val="00FC6552"/>
    <w:rsid w:val="00FD5BC7"/>
    <w:rsid w:val="00FF0171"/>
    <w:rsid w:val="00FF03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2D8FD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ind w:left="720" w:hanging="720"/>
      <w:outlineLvl w:val="0"/>
    </w:pPr>
  </w:style>
  <w:style w:type="paragraph" w:styleId="BalloonText">
    <w:name w:val="Balloon Text"/>
    <w:basedOn w:val="Normal"/>
    <w:link w:val="BalloonTextChar"/>
    <w:rsid w:val="00AF1AEA"/>
    <w:rPr>
      <w:rFonts w:ascii="Tahoma" w:hAnsi="Tahoma" w:cs="Tahoma"/>
      <w:sz w:val="16"/>
      <w:szCs w:val="16"/>
    </w:rPr>
  </w:style>
  <w:style w:type="character" w:customStyle="1" w:styleId="BalloonTextChar">
    <w:name w:val="Balloon Text Char"/>
    <w:link w:val="BalloonText"/>
    <w:rsid w:val="00AF1AEA"/>
    <w:rPr>
      <w:rFonts w:ascii="Tahoma" w:hAnsi="Tahoma" w:cs="Tahoma"/>
      <w:sz w:val="16"/>
      <w:szCs w:val="16"/>
    </w:rPr>
  </w:style>
  <w:style w:type="paragraph" w:styleId="Header">
    <w:name w:val="header"/>
    <w:basedOn w:val="Normal"/>
    <w:link w:val="HeaderChar"/>
    <w:rsid w:val="00ED51E5"/>
    <w:pPr>
      <w:tabs>
        <w:tab w:val="center" w:pos="4680"/>
        <w:tab w:val="right" w:pos="9360"/>
      </w:tabs>
    </w:pPr>
  </w:style>
  <w:style w:type="character" w:customStyle="1" w:styleId="HeaderChar">
    <w:name w:val="Header Char"/>
    <w:link w:val="Header"/>
    <w:rsid w:val="00ED51E5"/>
    <w:rPr>
      <w:rFonts w:ascii="Courier" w:hAnsi="Courier"/>
      <w:sz w:val="24"/>
      <w:szCs w:val="24"/>
    </w:rPr>
  </w:style>
  <w:style w:type="paragraph" w:styleId="Footer">
    <w:name w:val="footer"/>
    <w:basedOn w:val="Normal"/>
    <w:link w:val="FooterChar"/>
    <w:rsid w:val="00ED51E5"/>
    <w:pPr>
      <w:tabs>
        <w:tab w:val="center" w:pos="4680"/>
        <w:tab w:val="right" w:pos="9360"/>
      </w:tabs>
    </w:pPr>
  </w:style>
  <w:style w:type="character" w:customStyle="1" w:styleId="FooterChar">
    <w:name w:val="Footer Char"/>
    <w:link w:val="Footer"/>
    <w:rsid w:val="00ED51E5"/>
    <w:rPr>
      <w:rFonts w:ascii="Courier" w:hAnsi="Courier"/>
      <w:sz w:val="24"/>
      <w:szCs w:val="24"/>
    </w:rPr>
  </w:style>
  <w:style w:type="character" w:styleId="Hyperlink">
    <w:name w:val="Hyperlink"/>
    <w:rsid w:val="00044F37"/>
    <w:rPr>
      <w:color w:val="0000FF"/>
      <w:u w:val="single"/>
    </w:rPr>
  </w:style>
  <w:style w:type="paragraph" w:customStyle="1" w:styleId="psection-2">
    <w:name w:val="psection-2"/>
    <w:basedOn w:val="Normal"/>
    <w:rsid w:val="00CA1998"/>
    <w:pPr>
      <w:widowControl/>
      <w:autoSpaceDE/>
      <w:autoSpaceDN/>
      <w:adjustRightInd/>
      <w:spacing w:after="150"/>
      <w:ind w:left="240"/>
    </w:pPr>
    <w:rPr>
      <w:rFonts w:ascii="Times New Roman" w:hAnsi="Times New Roman"/>
    </w:rPr>
  </w:style>
  <w:style w:type="paragraph" w:customStyle="1" w:styleId="Default">
    <w:name w:val="Default"/>
    <w:rsid w:val="004F12D2"/>
    <w:pPr>
      <w:autoSpaceDE w:val="0"/>
      <w:autoSpaceDN w:val="0"/>
      <w:adjustRightInd w:val="0"/>
    </w:pPr>
    <w:rPr>
      <w:rFonts w:ascii="Helvetica World" w:hAnsi="Helvetica World" w:cs="Helvetica World"/>
      <w:color w:val="000000"/>
      <w:sz w:val="24"/>
      <w:szCs w:val="24"/>
    </w:rPr>
  </w:style>
  <w:style w:type="character" w:customStyle="1" w:styleId="UnresolvedMention1">
    <w:name w:val="Unresolved Mention1"/>
    <w:uiPriority w:val="99"/>
    <w:semiHidden/>
    <w:unhideWhenUsed/>
    <w:rsid w:val="003F58BB"/>
    <w:rPr>
      <w:color w:val="605E5C"/>
      <w:shd w:val="clear" w:color="auto" w:fill="E1DFDD"/>
    </w:rPr>
  </w:style>
  <w:style w:type="character" w:styleId="CommentReference">
    <w:name w:val="annotation reference"/>
    <w:basedOn w:val="DefaultParagraphFont"/>
    <w:rsid w:val="004A2753"/>
    <w:rPr>
      <w:sz w:val="16"/>
      <w:szCs w:val="16"/>
    </w:rPr>
  </w:style>
  <w:style w:type="paragraph" w:styleId="CommentText">
    <w:name w:val="annotation text"/>
    <w:basedOn w:val="Normal"/>
    <w:link w:val="CommentTextChar"/>
    <w:rsid w:val="004A2753"/>
    <w:rPr>
      <w:sz w:val="20"/>
      <w:szCs w:val="20"/>
    </w:rPr>
  </w:style>
  <w:style w:type="character" w:customStyle="1" w:styleId="CommentTextChar">
    <w:name w:val="Comment Text Char"/>
    <w:basedOn w:val="DefaultParagraphFont"/>
    <w:link w:val="CommentText"/>
    <w:rsid w:val="004A2753"/>
    <w:rPr>
      <w:rFonts w:ascii="Courier" w:hAnsi="Courier"/>
    </w:rPr>
  </w:style>
  <w:style w:type="paragraph" w:styleId="CommentSubject">
    <w:name w:val="annotation subject"/>
    <w:basedOn w:val="CommentText"/>
    <w:next w:val="CommentText"/>
    <w:link w:val="CommentSubjectChar"/>
    <w:rsid w:val="004A2753"/>
    <w:rPr>
      <w:b/>
      <w:bCs/>
    </w:rPr>
  </w:style>
  <w:style w:type="character" w:customStyle="1" w:styleId="CommentSubjectChar">
    <w:name w:val="Comment Subject Char"/>
    <w:basedOn w:val="CommentTextChar"/>
    <w:link w:val="CommentSubject"/>
    <w:rsid w:val="004A2753"/>
    <w:rPr>
      <w:rFonts w:ascii="Courier" w:hAnsi="Courier"/>
      <w:b/>
      <w:bCs/>
    </w:rPr>
  </w:style>
  <w:style w:type="paragraph" w:styleId="Revision">
    <w:name w:val="Revision"/>
    <w:hidden/>
    <w:uiPriority w:val="99"/>
    <w:semiHidden/>
    <w:rsid w:val="0021555C"/>
    <w:rPr>
      <w:rFonts w:ascii="Courier" w:hAnsi="Courier"/>
      <w:sz w:val="24"/>
      <w:szCs w:val="24"/>
    </w:rPr>
  </w:style>
  <w:style w:type="character" w:styleId="UnresolvedMention">
    <w:name w:val="Unresolved Mention"/>
    <w:basedOn w:val="DefaultParagraphFont"/>
    <w:uiPriority w:val="99"/>
    <w:semiHidden/>
    <w:unhideWhenUsed/>
    <w:rsid w:val="00137005"/>
    <w:rPr>
      <w:color w:val="605E5C"/>
      <w:shd w:val="clear" w:color="auto" w:fill="E1DFDD"/>
    </w:rPr>
  </w:style>
  <w:style w:type="character" w:styleId="FollowedHyperlink">
    <w:name w:val="FollowedHyperlink"/>
    <w:basedOn w:val="DefaultParagraphFont"/>
    <w:rsid w:val="001370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1525</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2023-08-25T19:06:00Z</dcterms:created>
  <dcterms:modified xsi:type="dcterms:W3CDTF">2023-08-25T19:25:00Z</dcterms:modified>
</cp:coreProperties>
</file>