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CB156D" w:rsidP="00CB156D" w14:paraId="4B52F17A" w14:textId="77777777">
      <w:pPr>
        <w:pStyle w:val="Cov-Title"/>
        <w:spacing w:before="1080"/>
        <w:rPr>
          <w:sz w:val="32"/>
          <w:szCs w:val="32"/>
        </w:rPr>
      </w:pPr>
      <w:bookmarkStart w:id="0" w:name="_Toc62613679"/>
      <w:bookmarkStart w:id="1" w:name="_Toc62614425"/>
      <w:bookmarkStart w:id="2" w:name="_Toc62630085"/>
      <w:bookmarkStart w:id="3" w:name="_Toc94419923"/>
      <w:bookmarkStart w:id="4" w:name="_Toc268593743"/>
      <w:r w:rsidRPr="00467437">
        <w:t>2020/2</w:t>
      </w:r>
      <w:r>
        <w:t>5</w:t>
      </w:r>
      <w:r w:rsidRPr="00467437">
        <w:t xml:space="preserve"> Beginning Postsecondary Students (BPS:20/2</w:t>
      </w:r>
      <w:r>
        <w:t>5</w:t>
      </w:r>
      <w:r w:rsidRPr="00467437">
        <w:t>) Field Test</w:t>
      </w:r>
    </w:p>
    <w:p w:rsidR="00CB156D" w:rsidRPr="00E93C24" w:rsidP="00CB156D" w14:paraId="4806B561" w14:textId="7A515192">
      <w:pPr>
        <w:pStyle w:val="Cov-Subtitle"/>
        <w:spacing w:before="480"/>
      </w:pPr>
      <w:r w:rsidRPr="00E93C24">
        <w:t xml:space="preserve">Supporting Statement Part </w:t>
      </w:r>
      <w:r w:rsidR="008632FF">
        <w:t>B</w:t>
      </w:r>
    </w:p>
    <w:p w:rsidR="00CB156D" w:rsidRPr="00E93C24" w:rsidP="00CB156D" w14:paraId="44691ED5" w14:textId="7404732B">
      <w:pPr>
        <w:pStyle w:val="Cov-Subtitle"/>
        <w:spacing w:before="480"/>
      </w:pPr>
      <w:r w:rsidRPr="00E93C24">
        <w:t>OMB # 1850-0631 v.</w:t>
      </w:r>
      <w:r w:rsidR="00B75F12">
        <w:t>20</w:t>
      </w:r>
    </w:p>
    <w:p w:rsidR="000A086D" w:rsidRPr="00477529" w:rsidP="000A086D" w14:paraId="713BD27B" w14:textId="77777777">
      <w:pPr>
        <w:pStyle w:val="Cov-Address"/>
        <w:spacing w:before="3240"/>
        <w:rPr>
          <w:b/>
        </w:rPr>
      </w:pPr>
      <w:r w:rsidRPr="00477529">
        <w:rPr>
          <w:b/>
        </w:rPr>
        <w:t>Submitted by</w:t>
      </w:r>
    </w:p>
    <w:p w:rsidR="000A086D" w:rsidRPr="00477529" w:rsidP="000A086D" w14:paraId="1F06AB54" w14:textId="77777777">
      <w:pPr>
        <w:pStyle w:val="Cov-Address"/>
        <w:rPr>
          <w:b/>
        </w:rPr>
      </w:pPr>
      <w:r w:rsidRPr="00477529">
        <w:rPr>
          <w:b/>
        </w:rPr>
        <w:t>National Center for Education Statistics</w:t>
      </w:r>
    </w:p>
    <w:p w:rsidR="000A086D" w:rsidRPr="00477529" w:rsidP="000A086D" w14:paraId="5DE7658B" w14:textId="77777777">
      <w:pPr>
        <w:pStyle w:val="Cov-Address"/>
        <w:rPr>
          <w:b/>
          <w:bCs/>
        </w:rPr>
      </w:pPr>
      <w:r w:rsidRPr="00477529">
        <w:rPr>
          <w:b/>
        </w:rPr>
        <w:t>U.S. Department of Education</w:t>
      </w:r>
    </w:p>
    <w:p w:rsidR="000A086D" w:rsidP="00200742" w14:paraId="112F6FE6" w14:textId="3F0BC220">
      <w:pPr>
        <w:pStyle w:val="Cov-Address"/>
        <w:spacing w:before="2640"/>
        <w:rPr>
          <w:b/>
          <w:bCs/>
        </w:rPr>
      </w:pPr>
      <w:r>
        <w:rPr>
          <w:b/>
          <w:bCs/>
        </w:rPr>
        <w:t>September</w:t>
      </w:r>
      <w:r w:rsidR="00D441E9">
        <w:rPr>
          <w:b/>
          <w:bCs/>
        </w:rPr>
        <w:t xml:space="preserve"> 2023</w:t>
      </w:r>
    </w:p>
    <w:bookmarkEnd w:id="0"/>
    <w:bookmarkEnd w:id="1"/>
    <w:bookmarkEnd w:id="2"/>
    <w:bookmarkEnd w:id="3"/>
    <w:p w:rsidR="000A086D" w:rsidRPr="00477529" w:rsidP="000A086D" w14:paraId="63E47B55" w14:textId="77777777"/>
    <w:p w:rsidR="007A433A" w:rsidRPr="000D6535" w:rsidP="000D6535" w14:paraId="5EC1174C" w14:textId="7E2398EC"/>
    <w:p w:rsidR="00A56C4F" w14:paraId="59A8AA6E" w14:textId="77777777">
      <w:pPr>
        <w:rPr>
          <w:rFonts w:ascii="Arial" w:hAnsi="Arial" w:cs="Arial"/>
          <w:b/>
          <w:sz w:val="32"/>
        </w:rPr>
      </w:pPr>
      <w:r>
        <w:br w:type="page"/>
      </w:r>
    </w:p>
    <w:sdt>
      <w:sdtPr>
        <w:rPr>
          <w:rFonts w:ascii="Garamond" w:hAnsi="Garamond" w:cs="Times New Roman"/>
          <w:b w:val="0"/>
          <w:bCs/>
          <w:noProof/>
          <w:color w:val="2B579A"/>
          <w:sz w:val="24"/>
          <w:shd w:val="clear" w:color="auto" w:fill="E6E6E6"/>
        </w:rPr>
        <w:id w:val="-1662685887"/>
        <w:docPartObj>
          <w:docPartGallery w:val="Table of Contents"/>
          <w:docPartUnique/>
        </w:docPartObj>
      </w:sdtPr>
      <w:sdtEndPr>
        <w:rPr>
          <w:color w:val="auto"/>
          <w:sz w:val="22"/>
        </w:rPr>
      </w:sdtEndPr>
      <w:sdtContent>
        <w:p w:rsidR="00861FE0" w:rsidP="00140399" w14:paraId="0000CC5E" w14:textId="77777777">
          <w:pPr>
            <w:pStyle w:val="TOCHeading"/>
            <w:spacing w:after="120"/>
            <w:rPr>
              <w:rFonts w:ascii="Garamond" w:hAnsi="Garamond" w:cs="Times New Roman"/>
              <w:b w:val="0"/>
              <w:bCs/>
              <w:noProof/>
              <w:sz w:val="24"/>
            </w:rPr>
          </w:pPr>
        </w:p>
        <w:p w:rsidR="008D7E61" w:rsidP="00140399" w14:paraId="08D99BAB" w14:textId="39ACD644">
          <w:pPr>
            <w:pStyle w:val="TOCHeading"/>
            <w:spacing w:after="120"/>
          </w:pPr>
          <w:r>
            <w:t>Contents</w:t>
          </w:r>
        </w:p>
        <w:p w:rsidR="00067D63" w14:paraId="7AA26E25" w14:textId="5DCA221E">
          <w:pPr>
            <w:pStyle w:val="TOC1"/>
            <w:rPr>
              <w:rFonts w:asciiTheme="minorHAnsi" w:eastAsiaTheme="minorEastAsia" w:hAnsiTheme="minorHAnsi" w:cstheme="minorBidi"/>
              <w:b w:val="0"/>
              <w:bCs w:val="0"/>
              <w:kern w:val="0"/>
              <w:sz w:val="22"/>
              <w:szCs w:val="22"/>
            </w:rPr>
          </w:pPr>
          <w:r w:rsidRPr="00A133BC">
            <w:rPr>
              <w:szCs w:val="24"/>
              <w:shd w:val="clear" w:color="auto" w:fill="E6E6E6"/>
            </w:rPr>
            <w:fldChar w:fldCharType="begin"/>
          </w:r>
          <w:r w:rsidRPr="00A133BC">
            <w:rPr>
              <w:szCs w:val="24"/>
            </w:rPr>
            <w:instrText xml:space="preserve"> TOC \o "1-3" \h \z \u </w:instrText>
          </w:r>
          <w:r w:rsidRPr="00A133BC">
            <w:rPr>
              <w:szCs w:val="24"/>
              <w:shd w:val="clear" w:color="auto" w:fill="E6E6E6"/>
            </w:rPr>
            <w:fldChar w:fldCharType="separate"/>
          </w:r>
          <w:hyperlink w:anchor="_Toc140136650" w:history="1">
            <w:r w:rsidRPr="00324333">
              <w:rPr>
                <w:rStyle w:val="Hyperlink"/>
              </w:rPr>
              <w:t>B.</w:t>
            </w:r>
            <w:r>
              <w:rPr>
                <w:rFonts w:asciiTheme="minorHAnsi" w:eastAsiaTheme="minorEastAsia" w:hAnsiTheme="minorHAnsi" w:cstheme="minorBidi"/>
                <w:b w:val="0"/>
                <w:bCs w:val="0"/>
                <w:kern w:val="0"/>
                <w:sz w:val="22"/>
                <w:szCs w:val="22"/>
              </w:rPr>
              <w:tab/>
            </w:r>
            <w:r w:rsidRPr="00324333">
              <w:rPr>
                <w:rStyle w:val="Hyperlink"/>
              </w:rPr>
              <w:t>Collection of Information Employing Statistical Methods</w:t>
            </w:r>
            <w:r>
              <w:rPr>
                <w:webHidden/>
              </w:rPr>
              <w:tab/>
            </w:r>
            <w:r>
              <w:rPr>
                <w:webHidden/>
              </w:rPr>
              <w:fldChar w:fldCharType="begin"/>
            </w:r>
            <w:r>
              <w:rPr>
                <w:webHidden/>
              </w:rPr>
              <w:instrText xml:space="preserve"> PAGEREF _Toc140136650 \h </w:instrText>
            </w:r>
            <w:r>
              <w:rPr>
                <w:webHidden/>
              </w:rPr>
              <w:fldChar w:fldCharType="separate"/>
            </w:r>
            <w:r w:rsidR="00FB3F40">
              <w:rPr>
                <w:webHidden/>
              </w:rPr>
              <w:t>3</w:t>
            </w:r>
            <w:r>
              <w:rPr>
                <w:webHidden/>
              </w:rPr>
              <w:fldChar w:fldCharType="end"/>
            </w:r>
          </w:hyperlink>
        </w:p>
        <w:p w:rsidR="00067D63" w14:paraId="446872F5" w14:textId="424BD7B3">
          <w:pPr>
            <w:pStyle w:val="TOC2"/>
            <w:rPr>
              <w:rFonts w:asciiTheme="minorHAnsi" w:eastAsiaTheme="minorEastAsia" w:hAnsiTheme="minorHAnsi" w:cstheme="minorBidi"/>
              <w:bCs w:val="0"/>
              <w:kern w:val="0"/>
              <w:szCs w:val="22"/>
            </w:rPr>
          </w:pPr>
          <w:hyperlink w:anchor="_Toc140136651" w:history="1">
            <w:r w:rsidRPr="00324333">
              <w:rPr>
                <w:rStyle w:val="Hyperlink"/>
                <w14:scene3d>
                  <w14:camera w14:prst="orthographicFront"/>
                  <w14:lightRig w14:rig="threePt" w14:dir="t">
                    <w14:rot w14:lat="0" w14:lon="0" w14:rev="0"/>
                  </w14:lightRig>
                </w14:scene3d>
              </w:rPr>
              <w:t>1.</w:t>
            </w:r>
            <w:r>
              <w:rPr>
                <w:rFonts w:asciiTheme="minorHAnsi" w:eastAsiaTheme="minorEastAsia" w:hAnsiTheme="minorHAnsi" w:cstheme="minorBidi"/>
                <w:bCs w:val="0"/>
                <w:kern w:val="0"/>
                <w:szCs w:val="22"/>
              </w:rPr>
              <w:tab/>
            </w:r>
            <w:r w:rsidRPr="00324333">
              <w:rPr>
                <w:rStyle w:val="Hyperlink"/>
              </w:rPr>
              <w:t>Respondent Universe</w:t>
            </w:r>
            <w:r>
              <w:rPr>
                <w:webHidden/>
              </w:rPr>
              <w:tab/>
            </w:r>
            <w:r>
              <w:rPr>
                <w:webHidden/>
              </w:rPr>
              <w:fldChar w:fldCharType="begin"/>
            </w:r>
            <w:r>
              <w:rPr>
                <w:webHidden/>
              </w:rPr>
              <w:instrText xml:space="preserve"> PAGEREF _Toc140136651 \h </w:instrText>
            </w:r>
            <w:r>
              <w:rPr>
                <w:webHidden/>
              </w:rPr>
              <w:fldChar w:fldCharType="separate"/>
            </w:r>
            <w:r w:rsidR="00FB3F40">
              <w:rPr>
                <w:webHidden/>
              </w:rPr>
              <w:t>3</w:t>
            </w:r>
            <w:r>
              <w:rPr>
                <w:webHidden/>
              </w:rPr>
              <w:fldChar w:fldCharType="end"/>
            </w:r>
          </w:hyperlink>
        </w:p>
        <w:p w:rsidR="00067D63" w14:paraId="760F0208" w14:textId="517D34C6">
          <w:pPr>
            <w:pStyle w:val="TOC2"/>
            <w:rPr>
              <w:rFonts w:asciiTheme="minorHAnsi" w:eastAsiaTheme="minorEastAsia" w:hAnsiTheme="minorHAnsi" w:cstheme="minorBidi"/>
              <w:bCs w:val="0"/>
              <w:kern w:val="0"/>
              <w:szCs w:val="22"/>
            </w:rPr>
          </w:pPr>
          <w:hyperlink w:anchor="_Toc140136652" w:history="1">
            <w:r w:rsidRPr="00324333">
              <w:rPr>
                <w:rStyle w:val="Hyperlink"/>
                <w14:scene3d>
                  <w14:camera w14:prst="orthographicFront"/>
                  <w14:lightRig w14:rig="threePt" w14:dir="t">
                    <w14:rot w14:lat="0" w14:lon="0" w14:rev="0"/>
                  </w14:lightRig>
                </w14:scene3d>
              </w:rPr>
              <w:t>2.</w:t>
            </w:r>
            <w:r>
              <w:rPr>
                <w:rFonts w:asciiTheme="minorHAnsi" w:eastAsiaTheme="minorEastAsia" w:hAnsiTheme="minorHAnsi" w:cstheme="minorBidi"/>
                <w:bCs w:val="0"/>
                <w:kern w:val="0"/>
                <w:szCs w:val="22"/>
              </w:rPr>
              <w:tab/>
            </w:r>
            <w:r w:rsidRPr="00324333">
              <w:rPr>
                <w:rStyle w:val="Hyperlink"/>
              </w:rPr>
              <w:t>Statistical Methodology</w:t>
            </w:r>
            <w:r>
              <w:rPr>
                <w:webHidden/>
              </w:rPr>
              <w:tab/>
            </w:r>
            <w:r>
              <w:rPr>
                <w:webHidden/>
              </w:rPr>
              <w:fldChar w:fldCharType="begin"/>
            </w:r>
            <w:r>
              <w:rPr>
                <w:webHidden/>
              </w:rPr>
              <w:instrText xml:space="preserve"> PAGEREF _Toc140136652 \h </w:instrText>
            </w:r>
            <w:r>
              <w:rPr>
                <w:webHidden/>
              </w:rPr>
              <w:fldChar w:fldCharType="separate"/>
            </w:r>
            <w:r w:rsidR="00FB3F40">
              <w:rPr>
                <w:webHidden/>
              </w:rPr>
              <w:t>3</w:t>
            </w:r>
            <w:r>
              <w:rPr>
                <w:webHidden/>
              </w:rPr>
              <w:fldChar w:fldCharType="end"/>
            </w:r>
          </w:hyperlink>
        </w:p>
        <w:p w:rsidR="00067D63" w14:paraId="38CDF5BA" w14:textId="0353D67B">
          <w:pPr>
            <w:pStyle w:val="TOC3"/>
            <w:rPr>
              <w:rFonts w:asciiTheme="minorHAnsi" w:eastAsiaTheme="minorEastAsia" w:hAnsiTheme="minorHAnsi" w:cstheme="minorBidi"/>
              <w:kern w:val="0"/>
              <w:szCs w:val="22"/>
            </w:rPr>
          </w:pPr>
          <w:hyperlink w:anchor="_Toc140136653" w:history="1">
            <w:r w:rsidRPr="00324333">
              <w:rPr>
                <w:rStyle w:val="Hyperlink"/>
              </w:rPr>
              <w:t>a.</w:t>
            </w:r>
            <w:r>
              <w:rPr>
                <w:rFonts w:asciiTheme="minorHAnsi" w:eastAsiaTheme="minorEastAsia" w:hAnsiTheme="minorHAnsi" w:cstheme="minorBidi"/>
                <w:kern w:val="0"/>
                <w:szCs w:val="22"/>
              </w:rPr>
              <w:tab/>
            </w:r>
            <w:r w:rsidRPr="00324333">
              <w:rPr>
                <w:rStyle w:val="Hyperlink"/>
              </w:rPr>
              <w:t>Field Test Design</w:t>
            </w:r>
            <w:r>
              <w:rPr>
                <w:webHidden/>
              </w:rPr>
              <w:tab/>
            </w:r>
            <w:r>
              <w:rPr>
                <w:webHidden/>
              </w:rPr>
              <w:fldChar w:fldCharType="begin"/>
            </w:r>
            <w:r>
              <w:rPr>
                <w:webHidden/>
              </w:rPr>
              <w:instrText xml:space="preserve"> PAGEREF _Toc140136653 \h </w:instrText>
            </w:r>
            <w:r>
              <w:rPr>
                <w:webHidden/>
              </w:rPr>
              <w:fldChar w:fldCharType="separate"/>
            </w:r>
            <w:r w:rsidR="00FB3F40">
              <w:rPr>
                <w:webHidden/>
              </w:rPr>
              <w:t>3</w:t>
            </w:r>
            <w:r>
              <w:rPr>
                <w:webHidden/>
              </w:rPr>
              <w:fldChar w:fldCharType="end"/>
            </w:r>
          </w:hyperlink>
        </w:p>
        <w:p w:rsidR="00067D63" w14:paraId="5058AE1F" w14:textId="3E11AFA9">
          <w:pPr>
            <w:pStyle w:val="TOC3"/>
            <w:rPr>
              <w:rFonts w:asciiTheme="minorHAnsi" w:eastAsiaTheme="minorEastAsia" w:hAnsiTheme="minorHAnsi" w:cstheme="minorBidi"/>
              <w:kern w:val="0"/>
              <w:szCs w:val="22"/>
            </w:rPr>
          </w:pPr>
          <w:hyperlink w:anchor="_Toc140136654" w:history="1">
            <w:r w:rsidRPr="00324333">
              <w:rPr>
                <w:rStyle w:val="Hyperlink"/>
                <w:rFonts w:eastAsia="Garamond"/>
              </w:rPr>
              <w:t>b.</w:t>
            </w:r>
            <w:r>
              <w:rPr>
                <w:rFonts w:asciiTheme="minorHAnsi" w:eastAsiaTheme="minorEastAsia" w:hAnsiTheme="minorHAnsi" w:cstheme="minorBidi"/>
                <w:kern w:val="0"/>
                <w:szCs w:val="22"/>
              </w:rPr>
              <w:tab/>
            </w:r>
            <w:r w:rsidRPr="00324333">
              <w:rPr>
                <w:rStyle w:val="Hyperlink"/>
                <w:rFonts w:eastAsia="Garamond"/>
              </w:rPr>
              <w:t>BPS:20/22 Field Test Sample</w:t>
            </w:r>
            <w:r>
              <w:rPr>
                <w:webHidden/>
              </w:rPr>
              <w:tab/>
            </w:r>
            <w:r>
              <w:rPr>
                <w:webHidden/>
              </w:rPr>
              <w:fldChar w:fldCharType="begin"/>
            </w:r>
            <w:r>
              <w:rPr>
                <w:webHidden/>
              </w:rPr>
              <w:instrText xml:space="preserve"> PAGEREF _Toc140136654 \h </w:instrText>
            </w:r>
            <w:r>
              <w:rPr>
                <w:webHidden/>
              </w:rPr>
              <w:fldChar w:fldCharType="separate"/>
            </w:r>
            <w:r w:rsidR="00FB3F40">
              <w:rPr>
                <w:webHidden/>
              </w:rPr>
              <w:t>3</w:t>
            </w:r>
            <w:r>
              <w:rPr>
                <w:webHidden/>
              </w:rPr>
              <w:fldChar w:fldCharType="end"/>
            </w:r>
          </w:hyperlink>
        </w:p>
        <w:p w:rsidR="00067D63" w14:paraId="751CB506" w14:textId="7A6D555C">
          <w:pPr>
            <w:pStyle w:val="TOC3"/>
            <w:rPr>
              <w:rFonts w:asciiTheme="minorHAnsi" w:eastAsiaTheme="minorEastAsia" w:hAnsiTheme="minorHAnsi" w:cstheme="minorBidi"/>
              <w:kern w:val="0"/>
              <w:szCs w:val="22"/>
            </w:rPr>
          </w:pPr>
          <w:hyperlink w:anchor="_Toc140136655" w:history="1">
            <w:r w:rsidRPr="00324333">
              <w:rPr>
                <w:rStyle w:val="Hyperlink"/>
                <w:rFonts w:eastAsiaTheme="minorHAnsi"/>
              </w:rPr>
              <w:t>c.</w:t>
            </w:r>
            <w:r>
              <w:rPr>
                <w:rFonts w:asciiTheme="minorHAnsi" w:eastAsiaTheme="minorEastAsia" w:hAnsiTheme="minorHAnsi" w:cstheme="minorBidi"/>
                <w:kern w:val="0"/>
                <w:szCs w:val="22"/>
              </w:rPr>
              <w:tab/>
            </w:r>
            <w:r w:rsidRPr="00324333">
              <w:rPr>
                <w:rStyle w:val="Hyperlink"/>
                <w:rFonts w:eastAsiaTheme="minorHAnsi"/>
              </w:rPr>
              <w:t>BPS:20/25 Field Test Sample</w:t>
            </w:r>
            <w:r>
              <w:rPr>
                <w:webHidden/>
              </w:rPr>
              <w:tab/>
            </w:r>
            <w:r>
              <w:rPr>
                <w:webHidden/>
              </w:rPr>
              <w:fldChar w:fldCharType="begin"/>
            </w:r>
            <w:r>
              <w:rPr>
                <w:webHidden/>
              </w:rPr>
              <w:instrText xml:space="preserve"> PAGEREF _Toc140136655 \h </w:instrText>
            </w:r>
            <w:r>
              <w:rPr>
                <w:webHidden/>
              </w:rPr>
              <w:fldChar w:fldCharType="separate"/>
            </w:r>
            <w:r w:rsidR="00FB3F40">
              <w:rPr>
                <w:webHidden/>
              </w:rPr>
              <w:t>5</w:t>
            </w:r>
            <w:r>
              <w:rPr>
                <w:webHidden/>
              </w:rPr>
              <w:fldChar w:fldCharType="end"/>
            </w:r>
          </w:hyperlink>
        </w:p>
        <w:p w:rsidR="00067D63" w14:paraId="6959983F" w14:textId="2D38115D">
          <w:pPr>
            <w:pStyle w:val="TOC3"/>
            <w:rPr>
              <w:rFonts w:asciiTheme="minorHAnsi" w:eastAsiaTheme="minorEastAsia" w:hAnsiTheme="minorHAnsi" w:cstheme="minorBidi"/>
              <w:kern w:val="0"/>
              <w:szCs w:val="22"/>
            </w:rPr>
          </w:pPr>
          <w:hyperlink w:anchor="_Toc140136656" w:history="1">
            <w:r w:rsidRPr="00324333">
              <w:rPr>
                <w:rStyle w:val="Hyperlink"/>
              </w:rPr>
              <w:t>d.</w:t>
            </w:r>
            <w:r>
              <w:rPr>
                <w:rFonts w:asciiTheme="minorHAnsi" w:eastAsiaTheme="minorEastAsia" w:hAnsiTheme="minorHAnsi" w:cstheme="minorBidi"/>
                <w:kern w:val="0"/>
                <w:szCs w:val="22"/>
              </w:rPr>
              <w:tab/>
            </w:r>
            <w:r w:rsidRPr="00324333">
              <w:rPr>
                <w:rStyle w:val="Hyperlink"/>
              </w:rPr>
              <w:t>BPS:20/22 Full-scale Sample</w:t>
            </w:r>
            <w:r>
              <w:rPr>
                <w:webHidden/>
              </w:rPr>
              <w:tab/>
            </w:r>
            <w:r>
              <w:rPr>
                <w:webHidden/>
              </w:rPr>
              <w:fldChar w:fldCharType="begin"/>
            </w:r>
            <w:r>
              <w:rPr>
                <w:webHidden/>
              </w:rPr>
              <w:instrText xml:space="preserve"> PAGEREF _Toc140136656 \h </w:instrText>
            </w:r>
            <w:r>
              <w:rPr>
                <w:webHidden/>
              </w:rPr>
              <w:fldChar w:fldCharType="separate"/>
            </w:r>
            <w:r w:rsidR="00FB3F40">
              <w:rPr>
                <w:webHidden/>
              </w:rPr>
              <w:t>6</w:t>
            </w:r>
            <w:r>
              <w:rPr>
                <w:webHidden/>
              </w:rPr>
              <w:fldChar w:fldCharType="end"/>
            </w:r>
          </w:hyperlink>
        </w:p>
        <w:p w:rsidR="00067D63" w14:paraId="2D328679" w14:textId="7F9368F6">
          <w:pPr>
            <w:pStyle w:val="TOC3"/>
            <w:rPr>
              <w:rFonts w:asciiTheme="minorHAnsi" w:eastAsiaTheme="minorEastAsia" w:hAnsiTheme="minorHAnsi" w:cstheme="minorBidi"/>
              <w:kern w:val="0"/>
              <w:szCs w:val="22"/>
            </w:rPr>
          </w:pPr>
          <w:hyperlink w:anchor="_Toc140136657" w:history="1">
            <w:r w:rsidRPr="00324333">
              <w:rPr>
                <w:rStyle w:val="Hyperlink"/>
              </w:rPr>
              <w:t>e.</w:t>
            </w:r>
            <w:r>
              <w:rPr>
                <w:rFonts w:asciiTheme="minorHAnsi" w:eastAsiaTheme="minorEastAsia" w:hAnsiTheme="minorHAnsi" w:cstheme="minorBidi"/>
                <w:kern w:val="0"/>
                <w:szCs w:val="22"/>
              </w:rPr>
              <w:tab/>
            </w:r>
            <w:r w:rsidRPr="00324333">
              <w:rPr>
                <w:rStyle w:val="Hyperlink"/>
              </w:rPr>
              <w:t>BPS:20/25 Full-scale Sample</w:t>
            </w:r>
            <w:r>
              <w:rPr>
                <w:webHidden/>
              </w:rPr>
              <w:tab/>
            </w:r>
            <w:r>
              <w:rPr>
                <w:webHidden/>
              </w:rPr>
              <w:fldChar w:fldCharType="begin"/>
            </w:r>
            <w:r>
              <w:rPr>
                <w:webHidden/>
              </w:rPr>
              <w:instrText xml:space="preserve"> PAGEREF _Toc140136657 \h </w:instrText>
            </w:r>
            <w:r>
              <w:rPr>
                <w:webHidden/>
              </w:rPr>
              <w:fldChar w:fldCharType="separate"/>
            </w:r>
            <w:r w:rsidR="00FB3F40">
              <w:rPr>
                <w:webHidden/>
              </w:rPr>
              <w:t>6</w:t>
            </w:r>
            <w:r>
              <w:rPr>
                <w:webHidden/>
              </w:rPr>
              <w:fldChar w:fldCharType="end"/>
            </w:r>
          </w:hyperlink>
        </w:p>
        <w:p w:rsidR="00067D63" w14:paraId="065DA4C8" w14:textId="78DD8BDB">
          <w:pPr>
            <w:pStyle w:val="TOC2"/>
            <w:rPr>
              <w:rFonts w:asciiTheme="minorHAnsi" w:eastAsiaTheme="minorEastAsia" w:hAnsiTheme="minorHAnsi" w:cstheme="minorBidi"/>
              <w:bCs w:val="0"/>
              <w:kern w:val="0"/>
              <w:szCs w:val="22"/>
            </w:rPr>
          </w:pPr>
          <w:hyperlink w:anchor="_Toc140136658" w:history="1">
            <w:r w:rsidRPr="00324333">
              <w:rPr>
                <w:rStyle w:val="Hyperlink"/>
                <w14:scene3d>
                  <w14:camera w14:prst="orthographicFront"/>
                  <w14:lightRig w14:rig="threePt" w14:dir="t">
                    <w14:rot w14:lat="0" w14:lon="0" w14:rev="0"/>
                  </w14:lightRig>
                </w14:scene3d>
              </w:rPr>
              <w:t>3.</w:t>
            </w:r>
            <w:r>
              <w:rPr>
                <w:rFonts w:asciiTheme="minorHAnsi" w:eastAsiaTheme="minorEastAsia" w:hAnsiTheme="minorHAnsi" w:cstheme="minorBidi"/>
                <w:bCs w:val="0"/>
                <w:kern w:val="0"/>
                <w:szCs w:val="22"/>
              </w:rPr>
              <w:tab/>
            </w:r>
            <w:r w:rsidRPr="00324333">
              <w:rPr>
                <w:rStyle w:val="Hyperlink"/>
              </w:rPr>
              <w:t>Methods for Maximizing Response Rates</w:t>
            </w:r>
            <w:r>
              <w:rPr>
                <w:webHidden/>
              </w:rPr>
              <w:tab/>
            </w:r>
            <w:r>
              <w:rPr>
                <w:webHidden/>
              </w:rPr>
              <w:fldChar w:fldCharType="begin"/>
            </w:r>
            <w:r>
              <w:rPr>
                <w:webHidden/>
              </w:rPr>
              <w:instrText xml:space="preserve"> PAGEREF _Toc140136658 \h </w:instrText>
            </w:r>
            <w:r>
              <w:rPr>
                <w:webHidden/>
              </w:rPr>
              <w:fldChar w:fldCharType="separate"/>
            </w:r>
            <w:r w:rsidR="00FB3F40">
              <w:rPr>
                <w:webHidden/>
              </w:rPr>
              <w:t>7</w:t>
            </w:r>
            <w:r>
              <w:rPr>
                <w:webHidden/>
              </w:rPr>
              <w:fldChar w:fldCharType="end"/>
            </w:r>
          </w:hyperlink>
        </w:p>
        <w:p w:rsidR="00067D63" w14:paraId="51873172" w14:textId="70FECAD3">
          <w:pPr>
            <w:pStyle w:val="TOC3"/>
            <w:rPr>
              <w:rFonts w:asciiTheme="minorHAnsi" w:eastAsiaTheme="minorEastAsia" w:hAnsiTheme="minorHAnsi" w:cstheme="minorBidi"/>
              <w:kern w:val="0"/>
              <w:szCs w:val="22"/>
            </w:rPr>
          </w:pPr>
          <w:hyperlink w:anchor="_Toc140136659" w:history="1">
            <w:r w:rsidRPr="00324333">
              <w:rPr>
                <w:rStyle w:val="Hyperlink"/>
              </w:rPr>
              <w:t>a.</w:t>
            </w:r>
            <w:r>
              <w:rPr>
                <w:rFonts w:asciiTheme="minorHAnsi" w:eastAsiaTheme="minorEastAsia" w:hAnsiTheme="minorHAnsi" w:cstheme="minorBidi"/>
                <w:kern w:val="0"/>
                <w:szCs w:val="22"/>
              </w:rPr>
              <w:tab/>
            </w:r>
            <w:r w:rsidRPr="00324333">
              <w:rPr>
                <w:rStyle w:val="Hyperlink"/>
              </w:rPr>
              <w:t>Tracing of Sample Members</w:t>
            </w:r>
            <w:r>
              <w:rPr>
                <w:webHidden/>
              </w:rPr>
              <w:tab/>
            </w:r>
            <w:r>
              <w:rPr>
                <w:webHidden/>
              </w:rPr>
              <w:fldChar w:fldCharType="begin"/>
            </w:r>
            <w:r>
              <w:rPr>
                <w:webHidden/>
              </w:rPr>
              <w:instrText xml:space="preserve"> PAGEREF _Toc140136659 \h </w:instrText>
            </w:r>
            <w:r>
              <w:rPr>
                <w:webHidden/>
              </w:rPr>
              <w:fldChar w:fldCharType="separate"/>
            </w:r>
            <w:r w:rsidR="00FB3F40">
              <w:rPr>
                <w:webHidden/>
              </w:rPr>
              <w:t>7</w:t>
            </w:r>
            <w:r>
              <w:rPr>
                <w:webHidden/>
              </w:rPr>
              <w:fldChar w:fldCharType="end"/>
            </w:r>
          </w:hyperlink>
        </w:p>
        <w:p w:rsidR="00067D63" w14:paraId="4A80C35F" w14:textId="21C0D1FF">
          <w:pPr>
            <w:pStyle w:val="TOC3"/>
            <w:rPr>
              <w:rFonts w:asciiTheme="minorHAnsi" w:eastAsiaTheme="minorEastAsia" w:hAnsiTheme="minorHAnsi" w:cstheme="minorBidi"/>
              <w:kern w:val="0"/>
              <w:szCs w:val="22"/>
            </w:rPr>
          </w:pPr>
          <w:hyperlink w:anchor="_Toc140136660" w:history="1">
            <w:r w:rsidRPr="00324333">
              <w:rPr>
                <w:rStyle w:val="Hyperlink"/>
              </w:rPr>
              <w:t>b.</w:t>
            </w:r>
            <w:r>
              <w:rPr>
                <w:rFonts w:asciiTheme="minorHAnsi" w:eastAsiaTheme="minorEastAsia" w:hAnsiTheme="minorHAnsi" w:cstheme="minorBidi"/>
                <w:kern w:val="0"/>
                <w:szCs w:val="22"/>
              </w:rPr>
              <w:tab/>
            </w:r>
            <w:r w:rsidRPr="00324333">
              <w:rPr>
                <w:rStyle w:val="Hyperlink"/>
              </w:rPr>
              <w:t>Training for Data Collection Staff</w:t>
            </w:r>
            <w:r>
              <w:rPr>
                <w:webHidden/>
              </w:rPr>
              <w:tab/>
            </w:r>
            <w:r>
              <w:rPr>
                <w:webHidden/>
              </w:rPr>
              <w:fldChar w:fldCharType="begin"/>
            </w:r>
            <w:r>
              <w:rPr>
                <w:webHidden/>
              </w:rPr>
              <w:instrText xml:space="preserve"> PAGEREF _Toc140136660 \h </w:instrText>
            </w:r>
            <w:r>
              <w:rPr>
                <w:webHidden/>
              </w:rPr>
              <w:fldChar w:fldCharType="separate"/>
            </w:r>
            <w:r w:rsidR="00FB3F40">
              <w:rPr>
                <w:webHidden/>
              </w:rPr>
              <w:t>8</w:t>
            </w:r>
            <w:r>
              <w:rPr>
                <w:webHidden/>
              </w:rPr>
              <w:fldChar w:fldCharType="end"/>
            </w:r>
          </w:hyperlink>
        </w:p>
        <w:p w:rsidR="00067D63" w14:paraId="48D3EF00" w14:textId="57D1A49E">
          <w:pPr>
            <w:pStyle w:val="TOC3"/>
            <w:rPr>
              <w:rFonts w:asciiTheme="minorHAnsi" w:eastAsiaTheme="minorEastAsia" w:hAnsiTheme="minorHAnsi" w:cstheme="minorBidi"/>
              <w:kern w:val="0"/>
              <w:szCs w:val="22"/>
            </w:rPr>
          </w:pPr>
          <w:hyperlink w:anchor="_Toc140136661" w:history="1">
            <w:r w:rsidRPr="00324333">
              <w:rPr>
                <w:rStyle w:val="Hyperlink"/>
              </w:rPr>
              <w:t>c.</w:t>
            </w:r>
            <w:r>
              <w:rPr>
                <w:rFonts w:asciiTheme="minorHAnsi" w:eastAsiaTheme="minorEastAsia" w:hAnsiTheme="minorHAnsi" w:cstheme="minorBidi"/>
                <w:kern w:val="0"/>
                <w:szCs w:val="22"/>
              </w:rPr>
              <w:tab/>
            </w:r>
            <w:r w:rsidRPr="00324333">
              <w:rPr>
                <w:rStyle w:val="Hyperlink"/>
              </w:rPr>
              <w:t>Case Management System</w:t>
            </w:r>
            <w:r>
              <w:rPr>
                <w:webHidden/>
              </w:rPr>
              <w:tab/>
            </w:r>
            <w:r>
              <w:rPr>
                <w:webHidden/>
              </w:rPr>
              <w:fldChar w:fldCharType="begin"/>
            </w:r>
            <w:r>
              <w:rPr>
                <w:webHidden/>
              </w:rPr>
              <w:instrText xml:space="preserve"> PAGEREF _Toc140136661 \h </w:instrText>
            </w:r>
            <w:r>
              <w:rPr>
                <w:webHidden/>
              </w:rPr>
              <w:fldChar w:fldCharType="separate"/>
            </w:r>
            <w:r w:rsidR="00FB3F40">
              <w:rPr>
                <w:webHidden/>
              </w:rPr>
              <w:t>9</w:t>
            </w:r>
            <w:r>
              <w:rPr>
                <w:webHidden/>
              </w:rPr>
              <w:fldChar w:fldCharType="end"/>
            </w:r>
          </w:hyperlink>
        </w:p>
        <w:p w:rsidR="00067D63" w14:paraId="0584A487" w14:textId="789FCA00">
          <w:pPr>
            <w:pStyle w:val="TOC3"/>
            <w:rPr>
              <w:rFonts w:asciiTheme="minorHAnsi" w:eastAsiaTheme="minorEastAsia" w:hAnsiTheme="minorHAnsi" w:cstheme="minorBidi"/>
              <w:kern w:val="0"/>
              <w:szCs w:val="22"/>
            </w:rPr>
          </w:pPr>
          <w:hyperlink w:anchor="_Toc140136662" w:history="1">
            <w:r w:rsidRPr="00324333">
              <w:rPr>
                <w:rStyle w:val="Hyperlink"/>
              </w:rPr>
              <w:t>d.</w:t>
            </w:r>
            <w:r>
              <w:rPr>
                <w:rFonts w:asciiTheme="minorHAnsi" w:eastAsiaTheme="minorEastAsia" w:hAnsiTheme="minorHAnsi" w:cstheme="minorBidi"/>
                <w:kern w:val="0"/>
                <w:szCs w:val="22"/>
              </w:rPr>
              <w:tab/>
            </w:r>
            <w:r w:rsidRPr="00324333">
              <w:rPr>
                <w:rStyle w:val="Hyperlink"/>
              </w:rPr>
              <w:t>Survey Instrument Design</w:t>
            </w:r>
            <w:r>
              <w:rPr>
                <w:webHidden/>
              </w:rPr>
              <w:tab/>
            </w:r>
            <w:r>
              <w:rPr>
                <w:webHidden/>
              </w:rPr>
              <w:fldChar w:fldCharType="begin"/>
            </w:r>
            <w:r>
              <w:rPr>
                <w:webHidden/>
              </w:rPr>
              <w:instrText xml:space="preserve"> PAGEREF _Toc140136662 \h </w:instrText>
            </w:r>
            <w:r>
              <w:rPr>
                <w:webHidden/>
              </w:rPr>
              <w:fldChar w:fldCharType="separate"/>
            </w:r>
            <w:r w:rsidR="00FB3F40">
              <w:rPr>
                <w:webHidden/>
              </w:rPr>
              <w:t>9</w:t>
            </w:r>
            <w:r>
              <w:rPr>
                <w:webHidden/>
              </w:rPr>
              <w:fldChar w:fldCharType="end"/>
            </w:r>
          </w:hyperlink>
        </w:p>
        <w:p w:rsidR="00067D63" w14:paraId="4CA87422" w14:textId="4208E3C2">
          <w:pPr>
            <w:pStyle w:val="TOC3"/>
            <w:rPr>
              <w:rFonts w:asciiTheme="minorHAnsi" w:eastAsiaTheme="minorEastAsia" w:hAnsiTheme="minorHAnsi" w:cstheme="minorBidi"/>
              <w:kern w:val="0"/>
              <w:szCs w:val="22"/>
            </w:rPr>
          </w:pPr>
          <w:hyperlink w:anchor="_Toc140136663" w:history="1">
            <w:r w:rsidRPr="00324333">
              <w:rPr>
                <w:rStyle w:val="Hyperlink"/>
              </w:rPr>
              <w:t>e.</w:t>
            </w:r>
            <w:r>
              <w:rPr>
                <w:rFonts w:asciiTheme="minorHAnsi" w:eastAsiaTheme="minorEastAsia" w:hAnsiTheme="minorHAnsi" w:cstheme="minorBidi"/>
                <w:kern w:val="0"/>
                <w:szCs w:val="22"/>
              </w:rPr>
              <w:tab/>
            </w:r>
            <w:r w:rsidRPr="00324333">
              <w:rPr>
                <w:rStyle w:val="Hyperlink"/>
              </w:rPr>
              <w:t>Refusal Aversion and Conversion</w:t>
            </w:r>
            <w:r>
              <w:rPr>
                <w:webHidden/>
              </w:rPr>
              <w:tab/>
            </w:r>
            <w:r>
              <w:rPr>
                <w:webHidden/>
              </w:rPr>
              <w:fldChar w:fldCharType="begin"/>
            </w:r>
            <w:r>
              <w:rPr>
                <w:webHidden/>
              </w:rPr>
              <w:instrText xml:space="preserve"> PAGEREF _Toc140136663 \h </w:instrText>
            </w:r>
            <w:r>
              <w:rPr>
                <w:webHidden/>
              </w:rPr>
              <w:fldChar w:fldCharType="separate"/>
            </w:r>
            <w:r w:rsidR="00FB3F40">
              <w:rPr>
                <w:webHidden/>
              </w:rPr>
              <w:t>10</w:t>
            </w:r>
            <w:r>
              <w:rPr>
                <w:webHidden/>
              </w:rPr>
              <w:fldChar w:fldCharType="end"/>
            </w:r>
          </w:hyperlink>
        </w:p>
        <w:p w:rsidR="00067D63" w14:paraId="757C12D1" w14:textId="74F8EE1B">
          <w:pPr>
            <w:pStyle w:val="TOC2"/>
            <w:rPr>
              <w:rFonts w:asciiTheme="minorHAnsi" w:eastAsiaTheme="minorEastAsia" w:hAnsiTheme="minorHAnsi" w:cstheme="minorBidi"/>
              <w:bCs w:val="0"/>
              <w:kern w:val="0"/>
              <w:szCs w:val="22"/>
            </w:rPr>
          </w:pPr>
          <w:hyperlink w:anchor="_Toc140136664" w:history="1">
            <w:r w:rsidRPr="00324333">
              <w:rPr>
                <w:rStyle w:val="Hyperlink"/>
                <w14:scene3d>
                  <w14:camera w14:prst="orthographicFront"/>
                  <w14:lightRig w14:rig="threePt" w14:dir="t">
                    <w14:rot w14:lat="0" w14:lon="0" w14:rev="0"/>
                  </w14:lightRig>
                </w14:scene3d>
              </w:rPr>
              <w:t>4.</w:t>
            </w:r>
            <w:r>
              <w:rPr>
                <w:rFonts w:asciiTheme="minorHAnsi" w:eastAsiaTheme="minorEastAsia" w:hAnsiTheme="minorHAnsi" w:cstheme="minorBidi"/>
                <w:bCs w:val="0"/>
                <w:kern w:val="0"/>
                <w:szCs w:val="22"/>
              </w:rPr>
              <w:tab/>
            </w:r>
            <w:r w:rsidRPr="00324333">
              <w:rPr>
                <w:rStyle w:val="Hyperlink"/>
              </w:rPr>
              <w:t>Tests of Procedures or Methods</w:t>
            </w:r>
            <w:r>
              <w:rPr>
                <w:webHidden/>
              </w:rPr>
              <w:tab/>
            </w:r>
            <w:r>
              <w:rPr>
                <w:webHidden/>
              </w:rPr>
              <w:fldChar w:fldCharType="begin"/>
            </w:r>
            <w:r>
              <w:rPr>
                <w:webHidden/>
              </w:rPr>
              <w:instrText xml:space="preserve"> PAGEREF _Toc140136664 \h </w:instrText>
            </w:r>
            <w:r>
              <w:rPr>
                <w:webHidden/>
              </w:rPr>
              <w:fldChar w:fldCharType="separate"/>
            </w:r>
            <w:r w:rsidR="00FB3F40">
              <w:rPr>
                <w:webHidden/>
              </w:rPr>
              <w:t>10</w:t>
            </w:r>
            <w:r>
              <w:rPr>
                <w:webHidden/>
              </w:rPr>
              <w:fldChar w:fldCharType="end"/>
            </w:r>
          </w:hyperlink>
        </w:p>
        <w:p w:rsidR="00067D63" w14:paraId="33EACD4B" w14:textId="2A910F02">
          <w:pPr>
            <w:pStyle w:val="TOC3"/>
            <w:rPr>
              <w:rFonts w:asciiTheme="minorHAnsi" w:eastAsiaTheme="minorEastAsia" w:hAnsiTheme="minorHAnsi" w:cstheme="minorBidi"/>
              <w:kern w:val="0"/>
              <w:szCs w:val="22"/>
            </w:rPr>
          </w:pPr>
          <w:hyperlink w:anchor="_Toc140136665" w:history="1">
            <w:r w:rsidRPr="00324333">
              <w:rPr>
                <w:rStyle w:val="Hyperlink"/>
              </w:rPr>
              <w:t>a.</w:t>
            </w:r>
            <w:r>
              <w:rPr>
                <w:rFonts w:asciiTheme="minorHAnsi" w:eastAsiaTheme="minorEastAsia" w:hAnsiTheme="minorHAnsi" w:cstheme="minorBidi"/>
                <w:kern w:val="0"/>
                <w:szCs w:val="22"/>
              </w:rPr>
              <w:tab/>
            </w:r>
            <w:r w:rsidRPr="00324333">
              <w:rPr>
                <w:rStyle w:val="Hyperlink"/>
              </w:rPr>
              <w:t>Experiment #1, Data Collection: Address Confirmation Incentive</w:t>
            </w:r>
            <w:r>
              <w:rPr>
                <w:webHidden/>
              </w:rPr>
              <w:tab/>
            </w:r>
            <w:r>
              <w:rPr>
                <w:webHidden/>
              </w:rPr>
              <w:fldChar w:fldCharType="begin"/>
            </w:r>
            <w:r>
              <w:rPr>
                <w:webHidden/>
              </w:rPr>
              <w:instrText xml:space="preserve"> PAGEREF _Toc140136665 \h </w:instrText>
            </w:r>
            <w:r>
              <w:rPr>
                <w:webHidden/>
              </w:rPr>
              <w:fldChar w:fldCharType="separate"/>
            </w:r>
            <w:r w:rsidR="00FB3F40">
              <w:rPr>
                <w:webHidden/>
              </w:rPr>
              <w:t>11</w:t>
            </w:r>
            <w:r>
              <w:rPr>
                <w:webHidden/>
              </w:rPr>
              <w:fldChar w:fldCharType="end"/>
            </w:r>
          </w:hyperlink>
        </w:p>
        <w:p w:rsidR="00067D63" w14:paraId="51D28957" w14:textId="12917A62">
          <w:pPr>
            <w:pStyle w:val="TOC3"/>
            <w:rPr>
              <w:rFonts w:asciiTheme="minorHAnsi" w:eastAsiaTheme="minorEastAsia" w:hAnsiTheme="minorHAnsi" w:cstheme="minorBidi"/>
              <w:kern w:val="0"/>
              <w:szCs w:val="22"/>
            </w:rPr>
          </w:pPr>
          <w:hyperlink w:anchor="_Toc140136666" w:history="1">
            <w:r w:rsidRPr="00324333">
              <w:rPr>
                <w:rStyle w:val="Hyperlink"/>
                <w:rFonts w:eastAsia="SimSun"/>
              </w:rPr>
              <w:t>b.</w:t>
            </w:r>
            <w:r>
              <w:rPr>
                <w:rFonts w:asciiTheme="minorHAnsi" w:eastAsiaTheme="minorEastAsia" w:hAnsiTheme="minorHAnsi" w:cstheme="minorBidi"/>
                <w:kern w:val="0"/>
                <w:szCs w:val="22"/>
              </w:rPr>
              <w:tab/>
            </w:r>
            <w:r w:rsidRPr="00324333">
              <w:rPr>
                <w:rStyle w:val="Hyperlink"/>
                <w:rFonts w:eastAsia="SimSun"/>
              </w:rPr>
              <w:t>Experiment #2, Data Collection: CATI Reminders</w:t>
            </w:r>
            <w:r>
              <w:rPr>
                <w:webHidden/>
              </w:rPr>
              <w:tab/>
            </w:r>
            <w:r>
              <w:rPr>
                <w:webHidden/>
              </w:rPr>
              <w:fldChar w:fldCharType="begin"/>
            </w:r>
            <w:r>
              <w:rPr>
                <w:webHidden/>
              </w:rPr>
              <w:instrText xml:space="preserve"> PAGEREF _Toc140136666 \h </w:instrText>
            </w:r>
            <w:r>
              <w:rPr>
                <w:webHidden/>
              </w:rPr>
              <w:fldChar w:fldCharType="separate"/>
            </w:r>
            <w:r w:rsidR="00FB3F40">
              <w:rPr>
                <w:webHidden/>
              </w:rPr>
              <w:t>11</w:t>
            </w:r>
            <w:r>
              <w:rPr>
                <w:webHidden/>
              </w:rPr>
              <w:fldChar w:fldCharType="end"/>
            </w:r>
          </w:hyperlink>
        </w:p>
        <w:p w:rsidR="00067D63" w14:paraId="14EBB94E" w14:textId="08135A04">
          <w:pPr>
            <w:pStyle w:val="TOC3"/>
            <w:rPr>
              <w:rFonts w:asciiTheme="minorHAnsi" w:eastAsiaTheme="minorEastAsia" w:hAnsiTheme="minorHAnsi" w:cstheme="minorBidi"/>
              <w:kern w:val="0"/>
              <w:szCs w:val="22"/>
            </w:rPr>
          </w:pPr>
          <w:hyperlink w:anchor="_Toc140136667" w:history="1">
            <w:r w:rsidRPr="00324333">
              <w:rPr>
                <w:rStyle w:val="Hyperlink"/>
              </w:rPr>
              <w:t>c.</w:t>
            </w:r>
            <w:r>
              <w:rPr>
                <w:rFonts w:asciiTheme="minorHAnsi" w:eastAsiaTheme="minorEastAsia" w:hAnsiTheme="minorHAnsi" w:cstheme="minorBidi"/>
                <w:kern w:val="0"/>
                <w:szCs w:val="22"/>
              </w:rPr>
              <w:tab/>
            </w:r>
            <w:r w:rsidRPr="00324333">
              <w:rPr>
                <w:rStyle w:val="Hyperlink"/>
              </w:rPr>
              <w:t>BPS:20/25 Field Test Data Collection Procedures</w:t>
            </w:r>
            <w:r>
              <w:rPr>
                <w:webHidden/>
              </w:rPr>
              <w:tab/>
            </w:r>
            <w:r>
              <w:rPr>
                <w:webHidden/>
              </w:rPr>
              <w:fldChar w:fldCharType="begin"/>
            </w:r>
            <w:r>
              <w:rPr>
                <w:webHidden/>
              </w:rPr>
              <w:instrText xml:space="preserve"> PAGEREF _Toc140136667 \h </w:instrText>
            </w:r>
            <w:r>
              <w:rPr>
                <w:webHidden/>
              </w:rPr>
              <w:fldChar w:fldCharType="separate"/>
            </w:r>
            <w:r w:rsidR="00FB3F40">
              <w:rPr>
                <w:webHidden/>
              </w:rPr>
              <w:t>12</w:t>
            </w:r>
            <w:r>
              <w:rPr>
                <w:webHidden/>
              </w:rPr>
              <w:fldChar w:fldCharType="end"/>
            </w:r>
          </w:hyperlink>
        </w:p>
        <w:p w:rsidR="00067D63" w14:paraId="3230B1FD" w14:textId="2F9D3A60">
          <w:pPr>
            <w:pStyle w:val="TOC2"/>
            <w:rPr>
              <w:rFonts w:asciiTheme="minorHAnsi" w:eastAsiaTheme="minorEastAsia" w:hAnsiTheme="minorHAnsi" w:cstheme="minorBidi"/>
              <w:bCs w:val="0"/>
              <w:kern w:val="0"/>
              <w:szCs w:val="22"/>
            </w:rPr>
          </w:pPr>
          <w:hyperlink w:anchor="_Toc140136668" w:history="1">
            <w:r w:rsidRPr="00324333">
              <w:rPr>
                <w:rStyle w:val="Hyperlink"/>
                <w14:scene3d>
                  <w14:camera w14:prst="orthographicFront"/>
                  <w14:lightRig w14:rig="threePt" w14:dir="t">
                    <w14:rot w14:lat="0" w14:lon="0" w14:rev="0"/>
                  </w14:lightRig>
                </w14:scene3d>
              </w:rPr>
              <w:t>5.</w:t>
            </w:r>
            <w:r>
              <w:rPr>
                <w:rFonts w:asciiTheme="minorHAnsi" w:eastAsiaTheme="minorEastAsia" w:hAnsiTheme="minorHAnsi" w:cstheme="minorBidi"/>
                <w:bCs w:val="0"/>
                <w:kern w:val="0"/>
                <w:szCs w:val="22"/>
              </w:rPr>
              <w:tab/>
            </w:r>
            <w:r w:rsidRPr="00324333">
              <w:rPr>
                <w:rStyle w:val="Hyperlink"/>
              </w:rPr>
              <w:t>Reviewing Statisticians and Individuals Responsible for Designing and Conducting the Study</w:t>
            </w:r>
            <w:r>
              <w:rPr>
                <w:webHidden/>
              </w:rPr>
              <w:tab/>
            </w:r>
            <w:r>
              <w:rPr>
                <w:webHidden/>
              </w:rPr>
              <w:fldChar w:fldCharType="begin"/>
            </w:r>
            <w:r>
              <w:rPr>
                <w:webHidden/>
              </w:rPr>
              <w:instrText xml:space="preserve"> PAGEREF _Toc140136668 \h </w:instrText>
            </w:r>
            <w:r>
              <w:rPr>
                <w:webHidden/>
              </w:rPr>
              <w:fldChar w:fldCharType="separate"/>
            </w:r>
            <w:r w:rsidR="00FB3F40">
              <w:rPr>
                <w:webHidden/>
              </w:rPr>
              <w:t>15</w:t>
            </w:r>
            <w:r>
              <w:rPr>
                <w:webHidden/>
              </w:rPr>
              <w:fldChar w:fldCharType="end"/>
            </w:r>
          </w:hyperlink>
        </w:p>
        <w:p w:rsidR="008D7E61" w:rsidRPr="00C3631B" w:rsidP="00140399" w14:paraId="1F35A380" w14:textId="112909C9">
          <w:pPr>
            <w:pStyle w:val="TOC2"/>
          </w:pPr>
          <w:r w:rsidRPr="00A133BC">
            <w:rPr>
              <w:b/>
              <w:bCs w:val="0"/>
              <w:sz w:val="24"/>
              <w:szCs w:val="24"/>
              <w:shd w:val="clear" w:color="auto" w:fill="E6E6E6"/>
            </w:rPr>
            <w:fldChar w:fldCharType="end"/>
          </w:r>
        </w:p>
      </w:sdtContent>
    </w:sdt>
    <w:p w:rsidR="00C84D84" w:rsidRPr="00C3631B" w:rsidP="00FB3F40" w14:paraId="7A9A1A23" w14:textId="3DD53D2E">
      <w:pPr>
        <w:pStyle w:val="BodyText"/>
        <w:rPr>
          <w:bCs/>
          <w:noProof/>
          <w:sz w:val="22"/>
        </w:rPr>
      </w:pPr>
      <w:r w:rsidRPr="00C3631B">
        <w:rPr>
          <w:b/>
        </w:rPr>
        <w:t>Tables</w:t>
      </w:r>
      <w:r w:rsidRPr="00C3631B" w:rsidR="00DA771F">
        <w:rPr>
          <w:b/>
        </w:rPr>
        <w:t xml:space="preserve"> and Figures</w:t>
      </w:r>
    </w:p>
    <w:p w:rsidR="00067D63" w:rsidP="00067D63" w14:paraId="132D4D41" w14:textId="5E98AB24">
      <w:pPr>
        <w:pStyle w:val="TableofFigures"/>
        <w:tabs>
          <w:tab w:val="right" w:leader="dot" w:pos="10214"/>
        </w:tabs>
        <w:ind w:left="810" w:hanging="810"/>
        <w:rPr>
          <w:rFonts w:asciiTheme="minorHAnsi" w:eastAsiaTheme="minorEastAsia" w:hAnsiTheme="minorHAnsi" w:cstheme="minorBidi"/>
          <w:noProof/>
          <w:kern w:val="0"/>
          <w:sz w:val="22"/>
          <w:szCs w:val="22"/>
        </w:rPr>
      </w:pPr>
      <w:r>
        <w:fldChar w:fldCharType="begin"/>
      </w:r>
      <w:r>
        <w:instrText xml:space="preserve"> TOC \f F \h \z \t "Table Title" \c </w:instrText>
      </w:r>
      <w:r>
        <w:fldChar w:fldCharType="separate"/>
      </w:r>
      <w:hyperlink w:anchor="_Toc140136669" w:history="1">
        <w:r w:rsidRPr="004979C8">
          <w:rPr>
            <w:rStyle w:val="Hyperlink"/>
            <w:noProof/>
          </w:rPr>
          <w:t>Table 1. Counts of BPS:20/22 field test sampled and eligible students and response rates, by NPSAS:20 full-scale data collection outcomes: 2020–22</w:t>
        </w:r>
        <w:r>
          <w:rPr>
            <w:noProof/>
            <w:webHidden/>
          </w:rPr>
          <w:tab/>
        </w:r>
        <w:r>
          <w:rPr>
            <w:noProof/>
            <w:webHidden/>
          </w:rPr>
          <w:fldChar w:fldCharType="begin"/>
        </w:r>
        <w:r>
          <w:rPr>
            <w:noProof/>
            <w:webHidden/>
          </w:rPr>
          <w:instrText xml:space="preserve"> PAGEREF _Toc140136669 \h </w:instrText>
        </w:r>
        <w:r>
          <w:rPr>
            <w:noProof/>
            <w:webHidden/>
          </w:rPr>
          <w:fldChar w:fldCharType="separate"/>
        </w:r>
        <w:r w:rsidR="00FB3F40">
          <w:rPr>
            <w:noProof/>
            <w:webHidden/>
          </w:rPr>
          <w:t>4</w:t>
        </w:r>
        <w:r>
          <w:rPr>
            <w:noProof/>
            <w:webHidden/>
          </w:rPr>
          <w:fldChar w:fldCharType="end"/>
        </w:r>
      </w:hyperlink>
    </w:p>
    <w:p w:rsidR="00067D63" w:rsidP="00067D63" w14:paraId="4BF974F4" w14:textId="398056C2">
      <w:pPr>
        <w:pStyle w:val="TableofFigures"/>
        <w:tabs>
          <w:tab w:val="right" w:leader="dot" w:pos="10214"/>
        </w:tabs>
        <w:ind w:left="810" w:hanging="810"/>
        <w:rPr>
          <w:rFonts w:asciiTheme="minorHAnsi" w:eastAsiaTheme="minorEastAsia" w:hAnsiTheme="minorHAnsi" w:cstheme="minorBidi"/>
          <w:noProof/>
          <w:kern w:val="0"/>
          <w:sz w:val="22"/>
          <w:szCs w:val="22"/>
        </w:rPr>
      </w:pPr>
      <w:hyperlink w:anchor="_Toc140136670" w:history="1">
        <w:r w:rsidRPr="004979C8">
          <w:rPr>
            <w:rStyle w:val="Hyperlink"/>
            <w:noProof/>
          </w:rPr>
          <w:t>Table 2. BPS:20/25 sample member status, by NPSAS:20 and BPS:20/22 field test response status and known eligibility status: 2020–25</w:t>
        </w:r>
        <w:r>
          <w:rPr>
            <w:noProof/>
            <w:webHidden/>
          </w:rPr>
          <w:tab/>
        </w:r>
        <w:r>
          <w:rPr>
            <w:noProof/>
            <w:webHidden/>
          </w:rPr>
          <w:fldChar w:fldCharType="begin"/>
        </w:r>
        <w:r>
          <w:rPr>
            <w:noProof/>
            <w:webHidden/>
          </w:rPr>
          <w:instrText xml:space="preserve"> PAGEREF _Toc140136670 \h </w:instrText>
        </w:r>
        <w:r>
          <w:rPr>
            <w:noProof/>
            <w:webHidden/>
          </w:rPr>
          <w:fldChar w:fldCharType="separate"/>
        </w:r>
        <w:r w:rsidR="00FB3F40">
          <w:rPr>
            <w:noProof/>
            <w:webHidden/>
          </w:rPr>
          <w:t>5</w:t>
        </w:r>
        <w:r>
          <w:rPr>
            <w:noProof/>
            <w:webHidden/>
          </w:rPr>
          <w:fldChar w:fldCharType="end"/>
        </w:r>
      </w:hyperlink>
    </w:p>
    <w:p w:rsidR="00067D63" w:rsidP="00067D63" w14:paraId="3C089347" w14:textId="3DB7C3F9">
      <w:pPr>
        <w:pStyle w:val="TableofFigures"/>
        <w:tabs>
          <w:tab w:val="right" w:leader="dot" w:pos="10214"/>
        </w:tabs>
        <w:ind w:left="810" w:hanging="810"/>
        <w:rPr>
          <w:rFonts w:asciiTheme="minorHAnsi" w:eastAsiaTheme="minorEastAsia" w:hAnsiTheme="minorHAnsi" w:cstheme="minorBidi"/>
          <w:noProof/>
          <w:kern w:val="0"/>
          <w:sz w:val="22"/>
          <w:szCs w:val="22"/>
        </w:rPr>
      </w:pPr>
      <w:hyperlink w:anchor="_Toc140136671" w:history="1">
        <w:r w:rsidRPr="004979C8">
          <w:rPr>
            <w:rStyle w:val="Hyperlink"/>
            <w:noProof/>
          </w:rPr>
          <w:t>Table 3. BPS:20/25 Field Test Expected Completes by NPSAS:20 and BPS:20/22 Field Test Data Collection Outcome Groups</w:t>
        </w:r>
        <w:r>
          <w:rPr>
            <w:noProof/>
            <w:webHidden/>
          </w:rPr>
          <w:tab/>
        </w:r>
        <w:r>
          <w:rPr>
            <w:noProof/>
            <w:webHidden/>
          </w:rPr>
          <w:fldChar w:fldCharType="begin"/>
        </w:r>
        <w:r>
          <w:rPr>
            <w:noProof/>
            <w:webHidden/>
          </w:rPr>
          <w:instrText xml:space="preserve"> PAGEREF _Toc140136671 \h </w:instrText>
        </w:r>
        <w:r>
          <w:rPr>
            <w:noProof/>
            <w:webHidden/>
          </w:rPr>
          <w:fldChar w:fldCharType="separate"/>
        </w:r>
        <w:r w:rsidR="00FB3F40">
          <w:rPr>
            <w:noProof/>
            <w:webHidden/>
          </w:rPr>
          <w:t>6</w:t>
        </w:r>
        <w:r>
          <w:rPr>
            <w:noProof/>
            <w:webHidden/>
          </w:rPr>
          <w:fldChar w:fldCharType="end"/>
        </w:r>
      </w:hyperlink>
    </w:p>
    <w:p w:rsidR="00067D63" w:rsidP="00067D63" w14:paraId="3006CE14" w14:textId="0D50A0D3">
      <w:pPr>
        <w:pStyle w:val="TableofFigures"/>
        <w:tabs>
          <w:tab w:val="right" w:leader="dot" w:pos="10214"/>
        </w:tabs>
        <w:ind w:left="810" w:hanging="810"/>
        <w:rPr>
          <w:rFonts w:asciiTheme="minorHAnsi" w:eastAsiaTheme="minorEastAsia" w:hAnsiTheme="minorHAnsi" w:cstheme="minorBidi"/>
          <w:noProof/>
          <w:kern w:val="0"/>
          <w:sz w:val="22"/>
          <w:szCs w:val="22"/>
        </w:rPr>
      </w:pPr>
      <w:hyperlink w:anchor="_Toc140136672" w:history="1">
        <w:r w:rsidRPr="004979C8">
          <w:rPr>
            <w:rStyle w:val="Hyperlink"/>
            <w:noProof/>
          </w:rPr>
          <w:t>Table 4.</w:t>
        </w:r>
        <w:r>
          <w:rPr>
            <w:rStyle w:val="Hyperlink"/>
            <w:noProof/>
          </w:rPr>
          <w:t xml:space="preserve"> </w:t>
        </w:r>
        <w:r w:rsidRPr="004979C8">
          <w:rPr>
            <w:rStyle w:val="Hyperlink"/>
            <w:noProof/>
          </w:rPr>
          <w:t>BPS:20/22 full-scale study eligibility and unweighted response rates by base-year outcome status: 2020-22</w:t>
        </w:r>
        <w:r>
          <w:rPr>
            <w:noProof/>
            <w:webHidden/>
          </w:rPr>
          <w:tab/>
        </w:r>
        <w:r>
          <w:rPr>
            <w:noProof/>
            <w:webHidden/>
          </w:rPr>
          <w:fldChar w:fldCharType="begin"/>
        </w:r>
        <w:r>
          <w:rPr>
            <w:noProof/>
            <w:webHidden/>
          </w:rPr>
          <w:instrText xml:space="preserve"> PAGEREF _Toc140136672 \h </w:instrText>
        </w:r>
        <w:r>
          <w:rPr>
            <w:noProof/>
            <w:webHidden/>
          </w:rPr>
          <w:fldChar w:fldCharType="separate"/>
        </w:r>
        <w:r w:rsidR="00FB3F40">
          <w:rPr>
            <w:noProof/>
            <w:webHidden/>
          </w:rPr>
          <w:t>6</w:t>
        </w:r>
        <w:r>
          <w:rPr>
            <w:noProof/>
            <w:webHidden/>
          </w:rPr>
          <w:fldChar w:fldCharType="end"/>
        </w:r>
      </w:hyperlink>
    </w:p>
    <w:p w:rsidR="00067D63" w:rsidP="00067D63" w14:paraId="101CB374" w14:textId="6B90ED75">
      <w:pPr>
        <w:pStyle w:val="TableofFigures"/>
        <w:tabs>
          <w:tab w:val="right" w:leader="dot" w:pos="10214"/>
        </w:tabs>
        <w:ind w:left="810" w:hanging="810"/>
        <w:rPr>
          <w:rFonts w:asciiTheme="minorHAnsi" w:eastAsiaTheme="minorEastAsia" w:hAnsiTheme="minorHAnsi" w:cstheme="minorBidi"/>
          <w:noProof/>
          <w:kern w:val="0"/>
          <w:sz w:val="22"/>
          <w:szCs w:val="22"/>
        </w:rPr>
      </w:pPr>
      <w:hyperlink w:anchor="_Toc140136673" w:history="1">
        <w:r w:rsidRPr="004979C8">
          <w:rPr>
            <w:rStyle w:val="Hyperlink"/>
            <w:noProof/>
          </w:rPr>
          <w:t>Table 5.</w:t>
        </w:r>
        <w:r>
          <w:rPr>
            <w:rStyle w:val="Hyperlink"/>
            <w:noProof/>
          </w:rPr>
          <w:t xml:space="preserve"> </w:t>
        </w:r>
        <w:r w:rsidRPr="004979C8">
          <w:rPr>
            <w:rStyle w:val="Hyperlink"/>
            <w:noProof/>
          </w:rPr>
          <w:t>BPS:20/25 sample member disposition, by NPSAS:20 and BPS:20/22 response status: 2020–22</w:t>
        </w:r>
        <w:r>
          <w:rPr>
            <w:noProof/>
            <w:webHidden/>
          </w:rPr>
          <w:tab/>
        </w:r>
        <w:r>
          <w:rPr>
            <w:noProof/>
            <w:webHidden/>
          </w:rPr>
          <w:fldChar w:fldCharType="begin"/>
        </w:r>
        <w:r>
          <w:rPr>
            <w:noProof/>
            <w:webHidden/>
          </w:rPr>
          <w:instrText xml:space="preserve"> PAGEREF _Toc140136673 \h </w:instrText>
        </w:r>
        <w:r>
          <w:rPr>
            <w:noProof/>
            <w:webHidden/>
          </w:rPr>
          <w:fldChar w:fldCharType="separate"/>
        </w:r>
        <w:r w:rsidR="00FB3F40">
          <w:rPr>
            <w:noProof/>
            <w:webHidden/>
          </w:rPr>
          <w:t>7</w:t>
        </w:r>
        <w:r>
          <w:rPr>
            <w:noProof/>
            <w:webHidden/>
          </w:rPr>
          <w:fldChar w:fldCharType="end"/>
        </w:r>
      </w:hyperlink>
    </w:p>
    <w:p w:rsidR="00067D63" w:rsidP="00067D63" w14:paraId="381D28FB" w14:textId="3FD440E2">
      <w:pPr>
        <w:pStyle w:val="TableofFigures"/>
        <w:tabs>
          <w:tab w:val="right" w:leader="dot" w:pos="10214"/>
        </w:tabs>
        <w:ind w:left="810" w:hanging="810"/>
        <w:rPr>
          <w:rFonts w:asciiTheme="minorHAnsi" w:eastAsiaTheme="minorEastAsia" w:hAnsiTheme="minorHAnsi" w:cstheme="minorBidi"/>
          <w:noProof/>
          <w:kern w:val="0"/>
          <w:sz w:val="22"/>
          <w:szCs w:val="22"/>
        </w:rPr>
      </w:pPr>
      <w:hyperlink w:anchor="_Toc140136674" w:history="1">
        <w:r w:rsidRPr="004979C8">
          <w:rPr>
            <w:rStyle w:val="Hyperlink"/>
            <w:noProof/>
          </w:rPr>
          <w:t>Table 6. Expected BPS:20/25 full-scale study response rates by base-year and BPS:20/22 outcome status: 2020-22</w:t>
        </w:r>
        <w:r>
          <w:rPr>
            <w:noProof/>
            <w:webHidden/>
          </w:rPr>
          <w:tab/>
        </w:r>
        <w:r>
          <w:rPr>
            <w:noProof/>
            <w:webHidden/>
          </w:rPr>
          <w:fldChar w:fldCharType="begin"/>
        </w:r>
        <w:r>
          <w:rPr>
            <w:noProof/>
            <w:webHidden/>
          </w:rPr>
          <w:instrText xml:space="preserve"> PAGEREF _Toc140136674 \h </w:instrText>
        </w:r>
        <w:r>
          <w:rPr>
            <w:noProof/>
            <w:webHidden/>
          </w:rPr>
          <w:fldChar w:fldCharType="separate"/>
        </w:r>
        <w:r w:rsidR="00FB3F40">
          <w:rPr>
            <w:noProof/>
            <w:webHidden/>
          </w:rPr>
          <w:t>7</w:t>
        </w:r>
        <w:r>
          <w:rPr>
            <w:noProof/>
            <w:webHidden/>
          </w:rPr>
          <w:fldChar w:fldCharType="end"/>
        </w:r>
      </w:hyperlink>
    </w:p>
    <w:p w:rsidR="00067D63" w:rsidP="00067D63" w14:paraId="51B9F5BB" w14:textId="7C05C10A">
      <w:pPr>
        <w:pStyle w:val="TableofFigures"/>
        <w:tabs>
          <w:tab w:val="right" w:leader="dot" w:pos="10214"/>
        </w:tabs>
        <w:ind w:left="810" w:hanging="810"/>
        <w:rPr>
          <w:rFonts w:asciiTheme="minorHAnsi" w:eastAsiaTheme="minorEastAsia" w:hAnsiTheme="minorHAnsi" w:cstheme="minorBidi"/>
          <w:noProof/>
          <w:kern w:val="0"/>
          <w:sz w:val="22"/>
          <w:szCs w:val="22"/>
        </w:rPr>
      </w:pPr>
      <w:hyperlink w:anchor="_Toc140136675" w:history="1">
        <w:r w:rsidRPr="004979C8">
          <w:rPr>
            <w:rStyle w:val="Hyperlink"/>
            <w:noProof/>
          </w:rPr>
          <w:t>Table 7. BPS:20/25 field test data collection protocols by data collection phase and group assignment</w:t>
        </w:r>
        <w:r>
          <w:rPr>
            <w:noProof/>
            <w:webHidden/>
          </w:rPr>
          <w:tab/>
        </w:r>
        <w:r>
          <w:rPr>
            <w:noProof/>
            <w:webHidden/>
          </w:rPr>
          <w:fldChar w:fldCharType="begin"/>
        </w:r>
        <w:r>
          <w:rPr>
            <w:noProof/>
            <w:webHidden/>
          </w:rPr>
          <w:instrText xml:space="preserve"> PAGEREF _Toc140136675 \h </w:instrText>
        </w:r>
        <w:r>
          <w:rPr>
            <w:noProof/>
            <w:webHidden/>
          </w:rPr>
          <w:fldChar w:fldCharType="separate"/>
        </w:r>
        <w:r w:rsidR="00FB3F40">
          <w:rPr>
            <w:noProof/>
            <w:webHidden/>
          </w:rPr>
          <w:t>13</w:t>
        </w:r>
        <w:r>
          <w:rPr>
            <w:noProof/>
            <w:webHidden/>
          </w:rPr>
          <w:fldChar w:fldCharType="end"/>
        </w:r>
      </w:hyperlink>
    </w:p>
    <w:p w:rsidR="00A56C4F" w:rsidP="134DA56D" w14:paraId="5D588718" w14:textId="6614EAE3">
      <w:pPr>
        <w:pStyle w:val="Heading1"/>
        <w:numPr>
          <w:ilvl w:val="0"/>
          <w:numId w:val="0"/>
        </w:numPr>
        <w:sectPr w:rsidSect="00A56C4F">
          <w:footerReference w:type="default" r:id="rId5"/>
          <w:footerReference w:type="first" r:id="rId6"/>
          <w:pgSz w:w="12240" w:h="15840" w:code="1"/>
          <w:pgMar w:top="1008" w:right="1008" w:bottom="1008" w:left="1008" w:header="432" w:footer="432" w:gutter="0"/>
          <w:pgNumType w:fmt="lowerRoman"/>
          <w:cols w:space="720"/>
          <w:titlePg/>
          <w:docGrid w:linePitch="360"/>
        </w:sectPr>
      </w:pPr>
      <w:r>
        <w:fldChar w:fldCharType="end"/>
      </w:r>
    </w:p>
    <w:p w:rsidR="00214275" w14:paraId="3682C783" w14:textId="77777777">
      <w:pPr>
        <w:rPr>
          <w:rFonts w:ascii="Arial" w:hAnsi="Arial" w:cs="Arial"/>
          <w:b/>
          <w:kern w:val="0"/>
          <w:sz w:val="28"/>
        </w:rPr>
      </w:pPr>
      <w:bookmarkStart w:id="5" w:name="_Toc135923524"/>
      <w:r>
        <w:br w:type="page"/>
      </w:r>
    </w:p>
    <w:p w:rsidR="002770D7" w:rsidP="00C620CB" w14:paraId="1EA4126F" w14:textId="4C676B0E">
      <w:pPr>
        <w:pStyle w:val="Heading1"/>
      </w:pPr>
      <w:bookmarkStart w:id="6" w:name="_Toc140136650"/>
      <w:r>
        <w:t>Collection of Information Employing Statistical Methods</w:t>
      </w:r>
      <w:bookmarkEnd w:id="4"/>
      <w:bookmarkEnd w:id="5"/>
      <w:bookmarkEnd w:id="6"/>
    </w:p>
    <w:p w:rsidR="00F66CB3" w:rsidP="002B6216" w14:paraId="47E52715" w14:textId="5E818D26">
      <w:pPr>
        <w:pStyle w:val="BodyText"/>
      </w:pPr>
      <w:bookmarkStart w:id="7" w:name="_Toc255305795"/>
      <w:bookmarkStart w:id="8" w:name="_Toc255888271"/>
      <w:bookmarkStart w:id="9" w:name="_Toc380505275"/>
      <w:bookmarkStart w:id="10" w:name="_Toc381969055"/>
      <w:r w:rsidRPr="001C2BC1">
        <w:t xml:space="preserve">This submission requests clearance for the 2020/25 Beginning Postsecondary Students Longitudinal Study (BPS:20/25) field test data collection materials and procedures. BPS:20/25 is the second follow-up of sample members drawn from the 2019-20 National Postsecondary Student Aid Study (NPSAS:20). Specifically, those who began their postsecondary education during the 2018-19 (field test sample) or 2019-20 (full-scale sample) academic year. For details on the NPSAS:20 sampling design see NPSAS:20 Supporting Statement Part B (OMB# 1850-0666 v.25). Specific plans for the BPS:20/25 </w:t>
      </w:r>
      <w:r w:rsidR="00E47891">
        <w:t>data collection</w:t>
      </w:r>
      <w:r w:rsidRPr="001C2BC1">
        <w:t xml:space="preserve"> are provided below</w:t>
      </w:r>
      <w:r w:rsidR="004F11E8">
        <w:t>.</w:t>
      </w:r>
    </w:p>
    <w:p w:rsidR="000C1A1D" w:rsidP="000C1A1D" w14:paraId="527F4FBC" w14:textId="46B37B10">
      <w:pPr>
        <w:pStyle w:val="Heading2"/>
      </w:pPr>
      <w:bookmarkStart w:id="11" w:name="_Toc135923525"/>
      <w:bookmarkStart w:id="12" w:name="_Toc140136651"/>
      <w:r w:rsidRPr="002277CD">
        <w:t>Respondent Universe</w:t>
      </w:r>
      <w:bookmarkEnd w:id="7"/>
      <w:bookmarkEnd w:id="8"/>
      <w:bookmarkEnd w:id="9"/>
      <w:bookmarkEnd w:id="10"/>
      <w:bookmarkEnd w:id="11"/>
      <w:bookmarkEnd w:id="12"/>
    </w:p>
    <w:p w:rsidR="005B691D" w:rsidP="00824CA9" w14:paraId="760CC5CA" w14:textId="284F52A7">
      <w:pPr>
        <w:pStyle w:val="BodyText"/>
      </w:pPr>
      <w:r w:rsidRPr="001C2BC1">
        <w:t xml:space="preserve">The respondent universe for BPS:20/25 consists of all students who began their postsecondary education for the first time during the 2018-19 (field test sample) or 2019-20 (full-scale sample) academic year at any Title IV-eligible postsecondary institution in the United States. </w:t>
      </w:r>
      <w:r w:rsidRPr="001C2BC1">
        <w:br/>
      </w:r>
      <w:r w:rsidRPr="001C2BC1">
        <w:br/>
        <w:t xml:space="preserve">In prior BPS data collections, a NPSAS field test, conducted a year before the full-scale, has been used to identify a field test sample for the BPS longitudinal follow up. For example, the NPSAS:12 field test was the source of the sample for the BPS:12/14 field test. However, because NPSAS:20 did not conduct a field test, the BPS:20/22 field test sample was drawn from the NPSAS:20 full-scale sample. The BPS:20/25 sample is created from the BPS:20/22 sample. </w:t>
      </w:r>
      <w:r w:rsidRPr="001C2BC1">
        <w:br/>
      </w:r>
      <w:r w:rsidRPr="001C2BC1">
        <w:br/>
        <w:t>While the BPS:20/25 full-scale cohort will be comprised of students who first enroll in postsecondary education after high school during the 2019-20 academic year, the BPS:20/25 field test cohort will follow students whose first postsecondary enrollment after high school occurred during the 2018-19 academic year. This is necessary to test the temporal components of the survey, which ask about enrollment and experiences during academic years 4-6 after their first enrollment. The BPS:20/25 field test sample will include students from the NPSAS:20 full-scale sample who were identified as confirmed or potential 2018-19 academic year first-time beginner students based on survey, institution, or other administrative data</w:t>
      </w:r>
      <w:bookmarkStart w:id="13" w:name="_Toc255305798"/>
      <w:bookmarkStart w:id="14" w:name="_Toc255888274"/>
      <w:bookmarkStart w:id="15" w:name="_Toc380505278"/>
      <w:bookmarkStart w:id="16" w:name="_Toc381969058"/>
      <w:r w:rsidR="00790786">
        <w:t>.</w:t>
      </w:r>
    </w:p>
    <w:p w:rsidR="00045E1F" w:rsidRPr="002277CD" w:rsidP="008D7E61" w14:paraId="76049B2C" w14:textId="77777777">
      <w:pPr>
        <w:pStyle w:val="Heading2"/>
      </w:pPr>
      <w:bookmarkStart w:id="17" w:name="_Toc135923528"/>
      <w:bookmarkStart w:id="18" w:name="_Toc140136652"/>
      <w:r w:rsidRPr="002277CD">
        <w:t xml:space="preserve">Statistical </w:t>
      </w:r>
      <w:r w:rsidRPr="008D7E61">
        <w:t>Methodology</w:t>
      </w:r>
      <w:bookmarkEnd w:id="13"/>
      <w:bookmarkEnd w:id="14"/>
      <w:bookmarkEnd w:id="15"/>
      <w:bookmarkEnd w:id="16"/>
      <w:bookmarkEnd w:id="17"/>
      <w:bookmarkEnd w:id="18"/>
    </w:p>
    <w:p w:rsidR="00045E1F" w:rsidRPr="00CB208E" w:rsidP="008D7E61" w14:paraId="29C1E850" w14:textId="7D39D099">
      <w:pPr>
        <w:pStyle w:val="Heading3"/>
      </w:pPr>
      <w:bookmarkStart w:id="19" w:name="_Toc255305799"/>
      <w:bookmarkStart w:id="20" w:name="_Toc255888275"/>
      <w:bookmarkStart w:id="21" w:name="_Toc380505279"/>
      <w:bookmarkStart w:id="22" w:name="_Toc381969059"/>
      <w:bookmarkStart w:id="23" w:name="_Toc135923529"/>
      <w:bookmarkStart w:id="24" w:name="_Toc140136653"/>
      <w:r>
        <w:t>Field Test Design</w:t>
      </w:r>
      <w:bookmarkEnd w:id="19"/>
      <w:bookmarkEnd w:id="20"/>
      <w:bookmarkEnd w:id="21"/>
      <w:bookmarkEnd w:id="22"/>
      <w:bookmarkEnd w:id="23"/>
      <w:bookmarkEnd w:id="24"/>
    </w:p>
    <w:p w:rsidR="00F549CA" w:rsidP="00F12A00" w14:paraId="54799DA6" w14:textId="77777777">
      <w:pPr>
        <w:rPr>
          <w:rFonts w:eastAsia="Garamond" w:cs="Garamond"/>
        </w:rPr>
      </w:pPr>
      <w:bookmarkStart w:id="25" w:name="_Toc255305800"/>
      <w:bookmarkStart w:id="26" w:name="_Toc255888276"/>
      <w:bookmarkStart w:id="27" w:name="_Toc380505280"/>
      <w:bookmarkStart w:id="28" w:name="_Toc381969060"/>
      <w:r w:rsidRPr="00F12A00">
        <w:rPr>
          <w:rFonts w:eastAsia="Garamond" w:cs="Garamond"/>
        </w:rPr>
        <w:t>The BPS:20/25 field test will be implemented to test procedures, methods, and systems planned for the BPS:20/25 full-scale study in a realistic operational environment prior to implementation in the full-scale study. The field test is designed to test and validate data collection and monitoring procedures that will obtain the most accurate data in the least amount of time. Specific field test evaluation goals for the student survey include the following:</w:t>
      </w:r>
    </w:p>
    <w:p w:rsidR="00F549CA" w:rsidP="00F12A00" w14:paraId="0D4B7A69" w14:textId="77777777">
      <w:pPr>
        <w:pStyle w:val="ListParagraph"/>
        <w:numPr>
          <w:ilvl w:val="0"/>
          <w:numId w:val="26"/>
        </w:numPr>
        <w:rPr>
          <w:rFonts w:eastAsia="Garamond" w:cs="Garamond"/>
        </w:rPr>
      </w:pPr>
      <w:r w:rsidRPr="00F549CA">
        <w:rPr>
          <w:rFonts w:eastAsia="Garamond" w:cs="Garamond"/>
        </w:rPr>
        <w:t>Identifying problematic data elements in the BPS:20/25 student interview</w:t>
      </w:r>
    </w:p>
    <w:p w:rsidR="00F549CA" w:rsidP="00F12A00" w14:paraId="3D8B9845" w14:textId="77777777">
      <w:pPr>
        <w:pStyle w:val="ListParagraph"/>
        <w:numPr>
          <w:ilvl w:val="0"/>
          <w:numId w:val="26"/>
        </w:numPr>
        <w:rPr>
          <w:rFonts w:eastAsia="Garamond" w:cs="Garamond"/>
        </w:rPr>
      </w:pPr>
      <w:r w:rsidRPr="00F549CA">
        <w:rPr>
          <w:rFonts w:eastAsia="Garamond" w:cs="Garamond"/>
        </w:rPr>
        <w:t xml:space="preserve">Testing two data collection experiments aimed at reducing nonresponse error and the potential for nonresponse bias: </w:t>
      </w:r>
    </w:p>
    <w:p w:rsidR="00F549CA" w:rsidP="00F12A00" w14:paraId="472BA56A" w14:textId="0975EC07">
      <w:pPr>
        <w:pStyle w:val="ListParagraph"/>
        <w:numPr>
          <w:ilvl w:val="1"/>
          <w:numId w:val="26"/>
        </w:numPr>
        <w:rPr>
          <w:rFonts w:eastAsia="Garamond" w:cs="Garamond"/>
        </w:rPr>
      </w:pPr>
      <w:r w:rsidRPr="00F549CA">
        <w:rPr>
          <w:rFonts w:eastAsia="Garamond" w:cs="Garamond"/>
        </w:rPr>
        <w:t xml:space="preserve">an “address confirmation” incentive experiment where respondents receive an additional $5 if they confirm their phone number, mailing and </w:t>
      </w:r>
      <w:r w:rsidR="002668CC">
        <w:rPr>
          <w:rFonts w:eastAsia="Garamond" w:cs="Garamond"/>
        </w:rPr>
        <w:t>e-mail</w:t>
      </w:r>
      <w:r w:rsidRPr="00F549CA">
        <w:rPr>
          <w:rFonts w:eastAsia="Garamond" w:cs="Garamond"/>
        </w:rPr>
        <w:t xml:space="preserve"> address before the start of the survey, and</w:t>
      </w:r>
    </w:p>
    <w:p w:rsidR="00F12A00" w:rsidRPr="00F549CA" w:rsidP="00F12A00" w14:paraId="0CD1360E" w14:textId="6294AEC3">
      <w:pPr>
        <w:pStyle w:val="ListParagraph"/>
        <w:numPr>
          <w:ilvl w:val="1"/>
          <w:numId w:val="26"/>
        </w:numPr>
        <w:rPr>
          <w:rFonts w:eastAsia="Garamond" w:cs="Garamond"/>
        </w:rPr>
      </w:pPr>
      <w:r w:rsidRPr="00F549CA">
        <w:rPr>
          <w:rFonts w:eastAsia="Garamond" w:cs="Garamond"/>
        </w:rPr>
        <w:t xml:space="preserve">a reminder mode experiment where we explore the implications of dropping telephone reminders for sample members </w:t>
      </w:r>
      <w:r w:rsidR="00F57EE8">
        <w:rPr>
          <w:rFonts w:eastAsia="Garamond" w:cs="Garamond"/>
        </w:rPr>
        <w:t>who</w:t>
      </w:r>
      <w:r w:rsidRPr="00F549CA">
        <w:rPr>
          <w:rFonts w:eastAsia="Garamond" w:cs="Garamond"/>
        </w:rPr>
        <w:t xml:space="preserve"> have responded to previous survey requests.</w:t>
      </w:r>
    </w:p>
    <w:p w:rsidR="00F549CA" w:rsidP="00F12A00" w14:paraId="6DE9BC9B" w14:textId="77777777">
      <w:pPr>
        <w:rPr>
          <w:rFonts w:eastAsia="Garamond" w:cs="Garamond"/>
        </w:rPr>
      </w:pPr>
    </w:p>
    <w:p w:rsidR="00F12A00" w:rsidRPr="00F12A00" w:rsidP="00F12A00" w14:paraId="51136EC2" w14:textId="4E68ABC7">
      <w:pPr>
        <w:rPr>
          <w:rFonts w:eastAsia="Garamond" w:cs="Garamond"/>
        </w:rPr>
      </w:pPr>
      <w:r w:rsidRPr="00F12A00">
        <w:rPr>
          <w:rFonts w:eastAsia="Garamond" w:cs="Garamond"/>
        </w:rPr>
        <w:t xml:space="preserve">Additionally, we will evaluate the time required to complete the survey and identify possible modifications to reduce respondent burden in the full-scale </w:t>
      </w:r>
      <w:r w:rsidR="008632FF">
        <w:rPr>
          <w:rFonts w:eastAsia="Garamond" w:cs="Garamond"/>
        </w:rPr>
        <w:t>survey</w:t>
      </w:r>
      <w:r w:rsidRPr="00F12A00">
        <w:rPr>
          <w:rFonts w:eastAsia="Garamond" w:cs="Garamond"/>
        </w:rPr>
        <w:t>, if needed. We will also conduct reliability re-interviews to evaluate the temporal consistency of selected interview items.</w:t>
      </w:r>
    </w:p>
    <w:p w:rsidR="00F12A00" w:rsidRPr="00F12A00" w:rsidP="00F12A00" w14:paraId="4496B1D0" w14:textId="77777777">
      <w:pPr>
        <w:rPr>
          <w:rFonts w:eastAsia="Garamond" w:cs="Garamond"/>
        </w:rPr>
      </w:pPr>
    </w:p>
    <w:p w:rsidR="00C5433D" w:rsidP="00C5433D" w14:paraId="132FEBEE" w14:textId="7BE666FC">
      <w:pPr>
        <w:pStyle w:val="Heading3"/>
        <w:rPr>
          <w:rFonts w:eastAsia="Garamond"/>
        </w:rPr>
      </w:pPr>
      <w:bookmarkStart w:id="29" w:name="_Toc140136654"/>
      <w:r>
        <w:rPr>
          <w:rFonts w:eastAsia="Garamond"/>
        </w:rPr>
        <w:t>BPS:20/22 Field Test Sample</w:t>
      </w:r>
      <w:bookmarkEnd w:id="29"/>
    </w:p>
    <w:p w:rsidR="00F12A00" w:rsidRPr="00F12A00" w:rsidP="00F12A00" w14:paraId="64305BD7" w14:textId="2C92B4D4">
      <w:pPr>
        <w:rPr>
          <w:rFonts w:eastAsia="Garamond" w:cs="Garamond"/>
        </w:rPr>
      </w:pPr>
      <w:r w:rsidRPr="00F12A00">
        <w:rPr>
          <w:rFonts w:eastAsia="Garamond" w:cs="Garamond"/>
        </w:rPr>
        <w:t xml:space="preserve">The sample for the BPS:20/25 field test is built upon the sample from the prior field test data collection with this cohort, BPS:20/22. Individuals who self-identified as first-time beginners (FTBs) in the 2018-19 academic </w:t>
      </w:r>
      <w:r w:rsidRPr="00F12A00">
        <w:rPr>
          <w:rFonts w:eastAsia="Garamond" w:cs="Garamond"/>
        </w:rPr>
        <w:t>year (i.e., prior-year FTBs) in the NPSAS:20 survey, and those identified as potential prior-year FTBs using administrative data, were eligible for selection for the BPS:20/22 field test. A field test sample of approximately 3,700 students was identified through enrollment lists, administrative data and survey responses collected during the NPSAS:20 full-scale study. The BPS:20/22 field test sample consisted of four distinct groups based on the NPSAS:20 full-scale data collection outcomes:</w:t>
      </w:r>
    </w:p>
    <w:p w:rsidR="00F12A00" w:rsidRPr="00F12A00" w:rsidP="00F12A00" w14:paraId="2E403ACC" w14:textId="77777777">
      <w:pPr>
        <w:rPr>
          <w:rFonts w:eastAsia="Garamond" w:cs="Garamond"/>
        </w:rPr>
      </w:pPr>
    </w:p>
    <w:p w:rsidR="00F12A00" w:rsidRPr="00F12A00" w:rsidP="002F1BDA" w14:paraId="711C68F7" w14:textId="62255D13">
      <w:pPr>
        <w:ind w:left="720"/>
        <w:rPr>
          <w:rFonts w:eastAsia="Garamond" w:cs="Garamond"/>
        </w:rPr>
      </w:pPr>
      <w:r w:rsidRPr="00F12A00">
        <w:rPr>
          <w:rFonts w:eastAsia="Garamond" w:cs="Garamond"/>
        </w:rPr>
        <w:t xml:space="preserve">1) NPSAS:20-eligible survey respondents who self-identified as FTBs between July 1, </w:t>
      </w:r>
      <w:r w:rsidRPr="00F12A00">
        <w:rPr>
          <w:rFonts w:eastAsia="Garamond" w:cs="Garamond"/>
        </w:rPr>
        <w:t>2018</w:t>
      </w:r>
      <w:r w:rsidRPr="00F12A00">
        <w:rPr>
          <w:rFonts w:eastAsia="Garamond" w:cs="Garamond"/>
        </w:rPr>
        <w:t xml:space="preserve"> and April 30, 2019 (approximate n</w:t>
      </w:r>
      <w:r w:rsidR="008632FF">
        <w:rPr>
          <w:rFonts w:eastAsia="Garamond" w:cs="Garamond"/>
        </w:rPr>
        <w:t xml:space="preserve"> </w:t>
      </w:r>
      <w:r w:rsidRPr="00F12A00">
        <w:rPr>
          <w:rFonts w:eastAsia="Garamond" w:cs="Garamond"/>
        </w:rPr>
        <w:t>=</w:t>
      </w:r>
      <w:r w:rsidR="008632FF">
        <w:rPr>
          <w:rFonts w:eastAsia="Garamond" w:cs="Garamond"/>
        </w:rPr>
        <w:t xml:space="preserve"> </w:t>
      </w:r>
      <w:r w:rsidRPr="00F12A00">
        <w:rPr>
          <w:rFonts w:eastAsia="Garamond" w:cs="Garamond"/>
        </w:rPr>
        <w:t xml:space="preserve">2,440). </w:t>
      </w:r>
    </w:p>
    <w:p w:rsidR="00F12A00" w:rsidRPr="00F12A00" w:rsidP="002F1BDA" w14:paraId="69F3C929" w14:textId="77777777">
      <w:pPr>
        <w:ind w:left="720"/>
        <w:rPr>
          <w:rFonts w:eastAsia="Garamond" w:cs="Garamond"/>
        </w:rPr>
      </w:pPr>
    </w:p>
    <w:p w:rsidR="00F12A00" w:rsidRPr="00F12A00" w:rsidP="002F1BDA" w14:paraId="4879066E" w14:textId="7995E2D8">
      <w:pPr>
        <w:ind w:left="720"/>
        <w:rPr>
          <w:rFonts w:eastAsia="Garamond" w:cs="Garamond"/>
        </w:rPr>
      </w:pPr>
      <w:r w:rsidRPr="00F12A00">
        <w:rPr>
          <w:rFonts w:eastAsia="Garamond" w:cs="Garamond"/>
        </w:rPr>
        <w:t xml:space="preserve">2) NPSAS:20-ineligible survey respondents who self-identified as FTBs between July 1, </w:t>
      </w:r>
      <w:r w:rsidRPr="00F12A00">
        <w:rPr>
          <w:rFonts w:eastAsia="Garamond" w:cs="Garamond"/>
        </w:rPr>
        <w:t>2018</w:t>
      </w:r>
      <w:r w:rsidRPr="00F12A00">
        <w:rPr>
          <w:rFonts w:eastAsia="Garamond" w:cs="Garamond"/>
        </w:rPr>
        <w:t xml:space="preserve"> and April 30, 2019 (approximate n</w:t>
      </w:r>
      <w:r w:rsidR="008632FF">
        <w:rPr>
          <w:rFonts w:eastAsia="Garamond" w:cs="Garamond"/>
        </w:rPr>
        <w:t xml:space="preserve"> </w:t>
      </w:r>
      <w:r w:rsidRPr="00F12A00">
        <w:rPr>
          <w:rFonts w:eastAsia="Garamond" w:cs="Garamond"/>
        </w:rPr>
        <w:t>=</w:t>
      </w:r>
      <w:r w:rsidR="008632FF">
        <w:rPr>
          <w:rFonts w:eastAsia="Garamond" w:cs="Garamond"/>
        </w:rPr>
        <w:t xml:space="preserve"> </w:t>
      </w:r>
      <w:r w:rsidRPr="00F12A00">
        <w:rPr>
          <w:rFonts w:eastAsia="Garamond" w:cs="Garamond"/>
        </w:rPr>
        <w:t>180). This constitute</w:t>
      </w:r>
      <w:r w:rsidR="006706A0">
        <w:rPr>
          <w:rFonts w:eastAsia="Garamond" w:cs="Garamond"/>
        </w:rPr>
        <w:t>d</w:t>
      </w:r>
      <w:r w:rsidRPr="00F12A00">
        <w:rPr>
          <w:rFonts w:eastAsia="Garamond" w:cs="Garamond"/>
        </w:rPr>
        <w:t xml:space="preserve"> an unusual group because they were not enrolled during the NPSAS:20 academic year but were enrolled during the prior</w:t>
      </w:r>
      <w:r w:rsidR="00F57EE8">
        <w:rPr>
          <w:rFonts w:eastAsia="Garamond" w:cs="Garamond"/>
        </w:rPr>
        <w:t xml:space="preserve"> </w:t>
      </w:r>
      <w:r w:rsidRPr="00F12A00">
        <w:rPr>
          <w:rFonts w:eastAsia="Garamond" w:cs="Garamond"/>
        </w:rPr>
        <w:t xml:space="preserve">year and have either completed a short-term credential, </w:t>
      </w:r>
      <w:r w:rsidRPr="00F12A00">
        <w:rPr>
          <w:rFonts w:eastAsia="Garamond" w:cs="Garamond"/>
        </w:rPr>
        <w:t>stopped</w:t>
      </w:r>
      <w:r w:rsidRPr="00F12A00">
        <w:rPr>
          <w:rFonts w:eastAsia="Garamond" w:cs="Garamond"/>
        </w:rPr>
        <w:t xml:space="preserve"> or dropped out. Lack of enrollment during the NPSAS:20 academic year made them ineligible for NPSAS:20. However, because a BPS first follow-up data collection include</w:t>
      </w:r>
      <w:r w:rsidR="002E36E9">
        <w:rPr>
          <w:rFonts w:eastAsia="Garamond" w:cs="Garamond"/>
        </w:rPr>
        <w:t>d</w:t>
      </w:r>
      <w:r w:rsidRPr="00F12A00">
        <w:rPr>
          <w:rFonts w:eastAsia="Garamond" w:cs="Garamond"/>
        </w:rPr>
        <w:t xml:space="preserve"> students who were not enrolled one year after they first begin postsecondary education, this group was useful in field testing BPS:20/22 methods and procedures across different eligible populations. While these students were not eligible for NPSAS:20, they were asked to complete a subset of survey questions to confirm FTB status in 2018-19. If found eligible, we notified them about the potential for follow up and administered the locating section of the NPSAS:20 survey so that they could be contacted and asked to participate in the BPS:20/22 field test.</w:t>
      </w:r>
    </w:p>
    <w:p w:rsidR="00F12A00" w:rsidRPr="00F12A00" w:rsidP="002F1BDA" w14:paraId="65F89050" w14:textId="77777777">
      <w:pPr>
        <w:ind w:left="720"/>
        <w:rPr>
          <w:rFonts w:eastAsia="Garamond" w:cs="Garamond"/>
        </w:rPr>
      </w:pPr>
    </w:p>
    <w:p w:rsidR="00F12A00" w:rsidP="002F1BDA" w14:paraId="0BC52B8D" w14:textId="1BFF8BF9">
      <w:pPr>
        <w:ind w:left="720"/>
        <w:rPr>
          <w:rFonts w:eastAsia="Garamond" w:cs="Garamond"/>
        </w:rPr>
      </w:pPr>
      <w:r w:rsidRPr="00F12A00">
        <w:rPr>
          <w:rFonts w:eastAsia="Garamond" w:cs="Garamond"/>
        </w:rPr>
        <w:t xml:space="preserve">3) NPSAS:20 survey nonrespondents who </w:t>
      </w:r>
      <w:r w:rsidR="00A05734">
        <w:rPr>
          <w:rFonts w:eastAsia="Garamond" w:cs="Garamond"/>
        </w:rPr>
        <w:t>we</w:t>
      </w:r>
      <w:r w:rsidRPr="00F12A00">
        <w:rPr>
          <w:rFonts w:eastAsia="Garamond" w:cs="Garamond"/>
        </w:rPr>
        <w:t>re potential academic year 2018-19 FTBs based on administrative data (approximate n</w:t>
      </w:r>
      <w:r w:rsidR="008632FF">
        <w:rPr>
          <w:rFonts w:eastAsia="Garamond" w:cs="Garamond"/>
        </w:rPr>
        <w:t xml:space="preserve"> </w:t>
      </w:r>
      <w:r w:rsidRPr="00F12A00">
        <w:rPr>
          <w:rFonts w:eastAsia="Garamond" w:cs="Garamond"/>
        </w:rPr>
        <w:t>=</w:t>
      </w:r>
      <w:r w:rsidR="008632FF">
        <w:rPr>
          <w:rFonts w:eastAsia="Garamond" w:cs="Garamond"/>
        </w:rPr>
        <w:t xml:space="preserve"> </w:t>
      </w:r>
      <w:r w:rsidRPr="00F12A00">
        <w:rPr>
          <w:rFonts w:eastAsia="Garamond" w:cs="Garamond"/>
        </w:rPr>
        <w:t xml:space="preserve">540). </w:t>
      </w:r>
    </w:p>
    <w:p w:rsidR="00F12A00" w:rsidRPr="00F12A00" w:rsidP="002F1BDA" w14:paraId="362BBE2E" w14:textId="77777777">
      <w:pPr>
        <w:ind w:left="720"/>
        <w:rPr>
          <w:rFonts w:eastAsia="Garamond" w:cs="Garamond"/>
        </w:rPr>
      </w:pPr>
    </w:p>
    <w:p w:rsidR="00F12A00" w:rsidRPr="00F12A00" w:rsidP="002F1BDA" w14:paraId="26247593" w14:textId="2E4AD55C">
      <w:pPr>
        <w:ind w:left="720"/>
        <w:rPr>
          <w:rFonts w:eastAsia="Garamond" w:cs="Garamond"/>
        </w:rPr>
      </w:pPr>
      <w:r w:rsidRPr="00F12A00">
        <w:rPr>
          <w:rFonts w:eastAsia="Garamond" w:cs="Garamond"/>
        </w:rPr>
        <w:t xml:space="preserve">4) NPSAS:20 </w:t>
      </w:r>
      <w:r w:rsidR="00B86ADC">
        <w:rPr>
          <w:rFonts w:eastAsia="Garamond" w:cs="Garamond"/>
        </w:rPr>
        <w:t>sample members who were not invited to participate in the survey (</w:t>
      </w:r>
      <w:r w:rsidRPr="00F12A00">
        <w:rPr>
          <w:rFonts w:eastAsia="Garamond" w:cs="Garamond"/>
        </w:rPr>
        <w:t>administrative</w:t>
      </w:r>
      <w:r w:rsidR="00B86ADC">
        <w:rPr>
          <w:rFonts w:eastAsia="Garamond" w:cs="Garamond"/>
        </w:rPr>
        <w:t>-</w:t>
      </w:r>
      <w:r w:rsidRPr="00F12A00">
        <w:rPr>
          <w:rFonts w:eastAsia="Garamond" w:cs="Garamond"/>
        </w:rPr>
        <w:t>only individuals</w:t>
      </w:r>
      <w:r w:rsidR="00B86ADC">
        <w:rPr>
          <w:rFonts w:eastAsia="Garamond" w:cs="Garamond"/>
        </w:rPr>
        <w:t>)</w:t>
      </w:r>
      <w:r w:rsidRPr="00F12A00">
        <w:rPr>
          <w:rFonts w:eastAsia="Garamond" w:cs="Garamond"/>
        </w:rPr>
        <w:t xml:space="preserve"> who </w:t>
      </w:r>
      <w:r w:rsidR="00A05734">
        <w:rPr>
          <w:rFonts w:eastAsia="Garamond" w:cs="Garamond"/>
        </w:rPr>
        <w:t>we</w:t>
      </w:r>
      <w:r w:rsidRPr="00F12A00">
        <w:rPr>
          <w:rFonts w:eastAsia="Garamond" w:cs="Garamond"/>
        </w:rPr>
        <w:t xml:space="preserve">re </w:t>
      </w:r>
      <w:r w:rsidR="00D938CD">
        <w:rPr>
          <w:rFonts w:eastAsia="Garamond" w:cs="Garamond"/>
        </w:rPr>
        <w:t>also</w:t>
      </w:r>
      <w:r w:rsidRPr="00F12A00">
        <w:rPr>
          <w:rFonts w:eastAsia="Garamond" w:cs="Garamond"/>
        </w:rPr>
        <w:t xml:space="preserve"> potential academic year 2018-19 FTBs based on administrative data (approximate n</w:t>
      </w:r>
      <w:r w:rsidR="008632FF">
        <w:rPr>
          <w:rFonts w:eastAsia="Garamond" w:cs="Garamond"/>
        </w:rPr>
        <w:t xml:space="preserve"> </w:t>
      </w:r>
      <w:r w:rsidRPr="00F12A00">
        <w:rPr>
          <w:rFonts w:eastAsia="Garamond" w:cs="Garamond"/>
        </w:rPr>
        <w:t>=</w:t>
      </w:r>
      <w:r w:rsidR="008632FF">
        <w:rPr>
          <w:rFonts w:eastAsia="Garamond" w:cs="Garamond"/>
        </w:rPr>
        <w:t xml:space="preserve"> </w:t>
      </w:r>
      <w:r w:rsidRPr="00F12A00">
        <w:rPr>
          <w:rFonts w:eastAsia="Garamond" w:cs="Garamond"/>
        </w:rPr>
        <w:t>540).</w:t>
      </w:r>
    </w:p>
    <w:p w:rsidR="00F12A00" w:rsidRPr="00F12A00" w:rsidP="002F1BDA" w14:paraId="5FBF4877" w14:textId="77777777">
      <w:pPr>
        <w:ind w:left="720"/>
        <w:rPr>
          <w:rFonts w:eastAsia="Garamond" w:cs="Garamond"/>
        </w:rPr>
      </w:pPr>
    </w:p>
    <w:p w:rsidR="00253084" w:rsidRPr="00253084" w:rsidP="00253084" w14:paraId="1ED1A7DC" w14:textId="400E5C4B">
      <w:pPr>
        <w:rPr>
          <w:rFonts w:eastAsia="Garamond" w:cs="Garamond"/>
        </w:rPr>
      </w:pPr>
      <w:r w:rsidRPr="00F12A00">
        <w:rPr>
          <w:rFonts w:eastAsia="Garamond" w:cs="Garamond"/>
        </w:rPr>
        <w:t xml:space="preserve">For the first group, NPSAS:20-eligible </w:t>
      </w:r>
      <w:r w:rsidR="008632FF">
        <w:rPr>
          <w:rFonts w:eastAsia="Garamond" w:cs="Garamond"/>
        </w:rPr>
        <w:t xml:space="preserve">survey </w:t>
      </w:r>
      <w:r w:rsidRPr="00F12A00">
        <w:rPr>
          <w:rFonts w:eastAsia="Garamond" w:cs="Garamond"/>
        </w:rPr>
        <w:t>respondents, rather than relying on random sampling from 2018-19 academic year FTB students in the NPSAS:20 sample, the BPS:20/22 field test used a quota sampling approach to reduce burden on NPSAS:20 respondents. Potentially eligible BPS:20/22 field test sample members received an additional question module targeted at 2018-19 FTB status in the NPSAS:20 instrument. This set of survey items took approximately 10 minutes to administer. Once quotas were met, the administration of the additional items was stopped. In contrast, a random sampling approach would have resulted in additional NPSAS:20 respondents being administered additional items unnecessarily. Final BPS:20/22 field test sample counts included here differ slightly from those described in the BPS:20/22 OMB package, since that package was prepared prior to implementation of the quota sampling approach. Table 1 summarizes the BPS:20/22 sampled, eligible, and responding individuals by their NPSAS:20 full-scale data collection outcomes.</w:t>
      </w:r>
      <w:r w:rsidR="00CC41B1">
        <w:rPr>
          <w:rFonts w:eastAsia="Garamond" w:cs="Garamond"/>
        </w:rPr>
        <w:t xml:space="preserve"> The count of eligible students</w:t>
      </w:r>
      <w:r w:rsidR="005963B5">
        <w:rPr>
          <w:rFonts w:eastAsia="Garamond" w:cs="Garamond"/>
        </w:rPr>
        <w:t xml:space="preserve"> </w:t>
      </w:r>
      <w:r w:rsidR="002F640D">
        <w:rPr>
          <w:rFonts w:eastAsia="Garamond" w:cs="Garamond"/>
        </w:rPr>
        <w:t>was updated after BPS:20/22 data collection concluded</w:t>
      </w:r>
      <w:r w:rsidR="00484CE4">
        <w:rPr>
          <w:rFonts w:eastAsia="Garamond" w:cs="Garamond"/>
        </w:rPr>
        <w:t>.</w:t>
      </w:r>
      <w:r w:rsidR="002F640D">
        <w:rPr>
          <w:rFonts w:eastAsia="Garamond" w:cs="Garamond"/>
        </w:rPr>
        <w:t xml:space="preserve"> </w:t>
      </w:r>
      <w:r w:rsidR="00484CE4">
        <w:rPr>
          <w:rFonts w:eastAsia="Garamond" w:cs="Garamond"/>
        </w:rPr>
        <w:t>A</w:t>
      </w:r>
      <w:r w:rsidR="002F640D">
        <w:rPr>
          <w:rFonts w:eastAsia="Garamond" w:cs="Garamond"/>
        </w:rPr>
        <w:t xml:space="preserve"> derived variable </w:t>
      </w:r>
      <w:r w:rsidR="004E4F8B">
        <w:rPr>
          <w:rFonts w:eastAsia="Garamond" w:cs="Garamond"/>
        </w:rPr>
        <w:t>calculating</w:t>
      </w:r>
      <w:r w:rsidR="002F640D">
        <w:rPr>
          <w:rFonts w:eastAsia="Garamond" w:cs="Garamond"/>
        </w:rPr>
        <w:t xml:space="preserve"> </w:t>
      </w:r>
      <w:r w:rsidR="00A04963">
        <w:rPr>
          <w:rFonts w:eastAsia="Garamond" w:cs="Garamond"/>
        </w:rPr>
        <w:t xml:space="preserve">month and </w:t>
      </w:r>
      <w:r w:rsidR="002F640D">
        <w:rPr>
          <w:rFonts w:eastAsia="Garamond" w:cs="Garamond"/>
        </w:rPr>
        <w:t>year of first postsecondary enrollment</w:t>
      </w:r>
      <w:r w:rsidR="008950D4">
        <w:rPr>
          <w:rFonts w:eastAsia="Garamond" w:cs="Garamond"/>
        </w:rPr>
        <w:t xml:space="preserve"> identified</w:t>
      </w:r>
      <w:r w:rsidR="00C94BA8">
        <w:rPr>
          <w:rFonts w:eastAsia="Garamond" w:cs="Garamond"/>
        </w:rPr>
        <w:t xml:space="preserve"> those with enrollment before the targeted academic year, thus </w:t>
      </w:r>
      <w:r w:rsidR="006A74F9">
        <w:rPr>
          <w:rFonts w:eastAsia="Garamond" w:cs="Garamond"/>
        </w:rPr>
        <w:t>reducing the total eligible sample</w:t>
      </w:r>
      <w:r w:rsidR="002F640D">
        <w:rPr>
          <w:rFonts w:eastAsia="Garamond" w:cs="Garamond"/>
        </w:rPr>
        <w:t xml:space="preserve">. This derived variable </w:t>
      </w:r>
      <w:r w:rsidR="001948F9">
        <w:rPr>
          <w:rFonts w:eastAsia="Garamond" w:cs="Garamond"/>
        </w:rPr>
        <w:t>will</w:t>
      </w:r>
      <w:r w:rsidR="002F640D">
        <w:rPr>
          <w:rFonts w:eastAsia="Garamond" w:cs="Garamond"/>
        </w:rPr>
        <w:t xml:space="preserve"> also </w:t>
      </w:r>
      <w:r w:rsidR="001948F9">
        <w:rPr>
          <w:rFonts w:eastAsia="Garamond" w:cs="Garamond"/>
        </w:rPr>
        <w:t xml:space="preserve">be </w:t>
      </w:r>
      <w:r w:rsidR="00BE1CB9">
        <w:rPr>
          <w:rFonts w:eastAsia="Garamond" w:cs="Garamond"/>
        </w:rPr>
        <w:t>applied to</w:t>
      </w:r>
      <w:r w:rsidR="002F640D">
        <w:rPr>
          <w:rFonts w:eastAsia="Garamond" w:cs="Garamond"/>
        </w:rPr>
        <w:t xml:space="preserve"> the full-scale </w:t>
      </w:r>
      <w:r w:rsidR="002D631F">
        <w:rPr>
          <w:rFonts w:eastAsia="Garamond" w:cs="Garamond"/>
        </w:rPr>
        <w:t>sample</w:t>
      </w:r>
      <w:r w:rsidR="006A74F9">
        <w:rPr>
          <w:rFonts w:eastAsia="Garamond" w:cs="Garamond"/>
        </w:rPr>
        <w:t>.</w:t>
      </w:r>
      <w:r w:rsidR="002F640D">
        <w:rPr>
          <w:rFonts w:eastAsia="Garamond" w:cs="Garamond"/>
        </w:rPr>
        <w:t xml:space="preserve"> </w:t>
      </w:r>
      <w:r w:rsidR="007E2A42">
        <w:rPr>
          <w:rFonts w:eastAsia="Garamond" w:cs="Garamond"/>
        </w:rPr>
        <w:t>This process allow</w:t>
      </w:r>
      <w:r w:rsidR="002D631F">
        <w:rPr>
          <w:rFonts w:eastAsia="Garamond" w:cs="Garamond"/>
        </w:rPr>
        <w:t>s</w:t>
      </w:r>
      <w:r w:rsidR="007E2A42">
        <w:rPr>
          <w:rFonts w:eastAsia="Garamond" w:cs="Garamond"/>
        </w:rPr>
        <w:t xml:space="preserve"> for a </w:t>
      </w:r>
      <w:r w:rsidR="00FD0939">
        <w:rPr>
          <w:rFonts w:eastAsia="Garamond" w:cs="Garamond"/>
        </w:rPr>
        <w:t xml:space="preserve">detailed </w:t>
      </w:r>
      <w:r w:rsidR="0023427C">
        <w:rPr>
          <w:rFonts w:eastAsia="Garamond" w:cs="Garamond"/>
        </w:rPr>
        <w:t xml:space="preserve">reporting of eligibility </w:t>
      </w:r>
      <w:r w:rsidR="00727650">
        <w:rPr>
          <w:rFonts w:eastAsia="Garamond" w:cs="Garamond"/>
        </w:rPr>
        <w:t>r</w:t>
      </w:r>
      <w:r w:rsidR="0023427C">
        <w:rPr>
          <w:rFonts w:eastAsia="Garamond" w:cs="Garamond"/>
        </w:rPr>
        <w:t>emov</w:t>
      </w:r>
      <w:r w:rsidR="00727650">
        <w:rPr>
          <w:rFonts w:eastAsia="Garamond" w:cs="Garamond"/>
        </w:rPr>
        <w:t>ing</w:t>
      </w:r>
      <w:r w:rsidR="0023427C">
        <w:rPr>
          <w:rFonts w:eastAsia="Garamond" w:cs="Garamond"/>
        </w:rPr>
        <w:t xml:space="preserve"> the need for an eligibility screener </w:t>
      </w:r>
      <w:r w:rsidR="00727650">
        <w:rPr>
          <w:rFonts w:eastAsia="Garamond" w:cs="Garamond"/>
        </w:rPr>
        <w:t>in</w:t>
      </w:r>
      <w:r w:rsidR="0023427C">
        <w:rPr>
          <w:rFonts w:eastAsia="Garamond" w:cs="Garamond"/>
        </w:rPr>
        <w:t xml:space="preserve"> the BPS:20/25 field test </w:t>
      </w:r>
      <w:r w:rsidR="00727650">
        <w:rPr>
          <w:rFonts w:eastAsia="Garamond" w:cs="Garamond"/>
        </w:rPr>
        <w:t xml:space="preserve">and full-scale </w:t>
      </w:r>
      <w:r w:rsidR="0023427C">
        <w:rPr>
          <w:rFonts w:eastAsia="Garamond" w:cs="Garamond"/>
        </w:rPr>
        <w:t>data collection</w:t>
      </w:r>
      <w:r w:rsidR="00727650">
        <w:rPr>
          <w:rFonts w:eastAsia="Garamond" w:cs="Garamond"/>
        </w:rPr>
        <w:t>s</w:t>
      </w:r>
      <w:r w:rsidR="00FB3F40">
        <w:rPr>
          <w:rFonts w:eastAsia="Garamond" w:cs="Garamond"/>
        </w:rPr>
        <w:t xml:space="preserve">. </w:t>
      </w:r>
    </w:p>
    <w:p w:rsidR="00253084" w:rsidRPr="001C2BC1" w:rsidP="00261774" w14:paraId="6C216F45" w14:textId="77777777">
      <w:pPr>
        <w:pStyle w:val="TableTitle"/>
        <w:ind w:left="810" w:hanging="810"/>
        <w:rPr>
          <w:rFonts w:ascii="Garamond" w:hAnsi="Garamond" w:eastAsiaTheme="minorHAnsi" w:cs="Calibri"/>
          <w:iCs/>
          <w:color w:val="000000"/>
          <w:szCs w:val="18"/>
        </w:rPr>
      </w:pPr>
      <w:bookmarkStart w:id="30" w:name="_Toc140075245"/>
      <w:bookmarkStart w:id="31" w:name="_Toc140136669"/>
      <w:r>
        <w:t xml:space="preserve">Table </w:t>
      </w:r>
      <w:r w:rsidR="00252FFE">
        <w:fldChar w:fldCharType="begin"/>
      </w:r>
      <w:r w:rsidR="00252FFE">
        <w:instrText xml:space="preserve"> SEQ Table \* ARABIC </w:instrText>
      </w:r>
      <w:r w:rsidR="00252FFE">
        <w:fldChar w:fldCharType="separate"/>
      </w:r>
      <w:r>
        <w:rPr>
          <w:noProof/>
        </w:rPr>
        <w:t>1</w:t>
      </w:r>
      <w:r w:rsidR="00252FFE">
        <w:rPr>
          <w:noProof/>
        </w:rPr>
        <w:fldChar w:fldCharType="end"/>
      </w:r>
      <w:r>
        <w:t>.</w:t>
      </w:r>
      <w:r w:rsidRPr="006C67DE">
        <w:t xml:space="preserve"> Counts of BPS:20/22 field test sampled and eligible students and response rates, by NPSAS:20 full-scale data collection outcomes: 2020–</w:t>
      </w:r>
      <w:r w:rsidRPr="006C67DE">
        <w:t>22</w:t>
      </w:r>
      <w:bookmarkEnd w:id="30"/>
      <w:bookmarkEnd w:id="31"/>
    </w:p>
    <w:tbl>
      <w:tblPr>
        <w:tblW w:w="9900" w:type="dxa"/>
        <w:tblLook w:val="04A0"/>
      </w:tblPr>
      <w:tblGrid>
        <w:gridCol w:w="3600"/>
        <w:gridCol w:w="1710"/>
        <w:gridCol w:w="1620"/>
        <w:gridCol w:w="1440"/>
        <w:gridCol w:w="1530"/>
      </w:tblGrid>
      <w:tr w14:paraId="28703A3A" w14:textId="77777777" w:rsidTr="00EB5E5E">
        <w:tblPrEx>
          <w:tblW w:w="9900" w:type="dxa"/>
          <w:tblLook w:val="04A0"/>
        </w:tblPrEx>
        <w:trPr>
          <w:trHeight w:val="510"/>
        </w:trPr>
        <w:tc>
          <w:tcPr>
            <w:tcW w:w="3600" w:type="dxa"/>
            <w:tcBorders>
              <w:top w:val="single" w:sz="12" w:space="0" w:color="auto"/>
              <w:left w:val="nil"/>
              <w:bottom w:val="single" w:sz="8" w:space="0" w:color="auto"/>
              <w:right w:val="nil"/>
            </w:tcBorders>
            <w:shd w:val="clear" w:color="auto" w:fill="auto"/>
            <w:vAlign w:val="center"/>
            <w:hideMark/>
          </w:tcPr>
          <w:p w:rsidR="00253084" w:rsidRPr="00FD022B" w:rsidP="007868A9" w14:paraId="59B6ADCA" w14:textId="77777777">
            <w:pPr>
              <w:rPr>
                <w:rFonts w:ascii="Arial" w:hAnsi="Arial" w:cs="Arial"/>
                <w:b/>
                <w:bCs/>
                <w:color w:val="000000"/>
                <w:sz w:val="18"/>
                <w:szCs w:val="18"/>
              </w:rPr>
            </w:pPr>
            <w:r w:rsidRPr="00FD022B">
              <w:rPr>
                <w:rFonts w:ascii="Arial" w:hAnsi="Arial" w:cs="Arial"/>
                <w:b/>
                <w:bCs/>
                <w:color w:val="000000"/>
                <w:sz w:val="18"/>
                <w:szCs w:val="18"/>
              </w:rPr>
              <w:t>NPSAS:20 full-scale data collection outcomes</w:t>
            </w:r>
          </w:p>
        </w:tc>
        <w:tc>
          <w:tcPr>
            <w:tcW w:w="1710" w:type="dxa"/>
            <w:tcBorders>
              <w:top w:val="single" w:sz="12" w:space="0" w:color="auto"/>
              <w:left w:val="nil"/>
              <w:bottom w:val="single" w:sz="8" w:space="0" w:color="auto"/>
              <w:right w:val="nil"/>
            </w:tcBorders>
            <w:shd w:val="clear" w:color="auto" w:fill="auto"/>
            <w:vAlign w:val="center"/>
            <w:hideMark/>
          </w:tcPr>
          <w:p w:rsidR="00253084" w:rsidRPr="00FD022B" w:rsidP="00FD022B" w14:paraId="503604CF" w14:textId="77777777">
            <w:pPr>
              <w:jc w:val="right"/>
              <w:rPr>
                <w:rFonts w:ascii="Arial" w:hAnsi="Arial" w:cs="Arial"/>
                <w:b/>
                <w:bCs/>
                <w:color w:val="000000"/>
                <w:sz w:val="18"/>
                <w:szCs w:val="18"/>
              </w:rPr>
            </w:pPr>
            <w:r w:rsidRPr="00FD022B">
              <w:rPr>
                <w:rFonts w:ascii="Arial" w:hAnsi="Arial" w:cs="Arial"/>
                <w:b/>
                <w:bCs/>
                <w:color w:val="000000"/>
                <w:sz w:val="18"/>
                <w:szCs w:val="18"/>
              </w:rPr>
              <w:t>Sampled students</w:t>
            </w:r>
          </w:p>
        </w:tc>
        <w:tc>
          <w:tcPr>
            <w:tcW w:w="1620" w:type="dxa"/>
            <w:tcBorders>
              <w:top w:val="single" w:sz="12" w:space="0" w:color="auto"/>
              <w:left w:val="nil"/>
              <w:bottom w:val="single" w:sz="8" w:space="0" w:color="auto"/>
              <w:right w:val="nil"/>
            </w:tcBorders>
            <w:shd w:val="clear" w:color="auto" w:fill="auto"/>
            <w:vAlign w:val="center"/>
            <w:hideMark/>
          </w:tcPr>
          <w:p w:rsidR="00253084" w:rsidRPr="00FD022B" w:rsidP="00FD022B" w14:paraId="43635EA7" w14:textId="77777777">
            <w:pPr>
              <w:jc w:val="right"/>
              <w:rPr>
                <w:rFonts w:ascii="Arial" w:hAnsi="Arial" w:cs="Arial"/>
                <w:b/>
                <w:bCs/>
                <w:color w:val="000000"/>
                <w:sz w:val="18"/>
                <w:szCs w:val="18"/>
              </w:rPr>
            </w:pPr>
            <w:r w:rsidRPr="00FD022B">
              <w:rPr>
                <w:rFonts w:ascii="Arial" w:hAnsi="Arial" w:cs="Arial"/>
                <w:b/>
                <w:bCs/>
                <w:color w:val="000000"/>
                <w:sz w:val="18"/>
                <w:szCs w:val="18"/>
              </w:rPr>
              <w:t>Eligible students</w:t>
            </w:r>
            <w:r w:rsidRPr="00FD022B">
              <w:rPr>
                <w:rFonts w:ascii="Arial" w:hAnsi="Arial" w:cs="Arial"/>
                <w:b/>
                <w:bCs/>
                <w:color w:val="000000"/>
                <w:sz w:val="18"/>
                <w:szCs w:val="18"/>
                <w:vertAlign w:val="superscript"/>
              </w:rPr>
              <w:t>1</w:t>
            </w:r>
          </w:p>
        </w:tc>
        <w:tc>
          <w:tcPr>
            <w:tcW w:w="1440" w:type="dxa"/>
            <w:tcBorders>
              <w:top w:val="single" w:sz="12" w:space="0" w:color="auto"/>
              <w:left w:val="nil"/>
              <w:bottom w:val="single" w:sz="8" w:space="0" w:color="auto"/>
              <w:right w:val="nil"/>
            </w:tcBorders>
            <w:shd w:val="clear" w:color="auto" w:fill="auto"/>
            <w:vAlign w:val="center"/>
            <w:hideMark/>
          </w:tcPr>
          <w:p w:rsidR="00253084" w:rsidRPr="00FD022B" w:rsidP="00FD022B" w14:paraId="56330442" w14:textId="77777777">
            <w:pPr>
              <w:jc w:val="right"/>
              <w:rPr>
                <w:rFonts w:ascii="Arial" w:hAnsi="Arial" w:cs="Arial"/>
                <w:b/>
                <w:bCs/>
                <w:color w:val="000000"/>
                <w:sz w:val="18"/>
                <w:szCs w:val="18"/>
              </w:rPr>
            </w:pPr>
            <w:r w:rsidRPr="00FD022B">
              <w:rPr>
                <w:rFonts w:ascii="Arial" w:hAnsi="Arial" w:cs="Arial"/>
                <w:b/>
                <w:bCs/>
                <w:color w:val="000000"/>
                <w:sz w:val="18"/>
                <w:szCs w:val="18"/>
              </w:rPr>
              <w:t>Respondents</w:t>
            </w:r>
          </w:p>
        </w:tc>
        <w:tc>
          <w:tcPr>
            <w:tcW w:w="1530" w:type="dxa"/>
            <w:tcBorders>
              <w:top w:val="single" w:sz="12" w:space="0" w:color="auto"/>
              <w:left w:val="nil"/>
              <w:bottom w:val="single" w:sz="8" w:space="0" w:color="auto"/>
              <w:right w:val="nil"/>
            </w:tcBorders>
            <w:shd w:val="clear" w:color="auto" w:fill="auto"/>
            <w:vAlign w:val="center"/>
            <w:hideMark/>
          </w:tcPr>
          <w:p w:rsidR="00253084" w:rsidRPr="00FD022B" w:rsidP="00FD022B" w14:paraId="7E373EC6" w14:textId="77777777">
            <w:pPr>
              <w:jc w:val="right"/>
              <w:rPr>
                <w:rFonts w:ascii="Arial" w:hAnsi="Arial" w:cs="Arial"/>
                <w:b/>
                <w:bCs/>
                <w:color w:val="000000"/>
                <w:sz w:val="18"/>
                <w:szCs w:val="18"/>
              </w:rPr>
            </w:pPr>
            <w:r w:rsidRPr="00FD022B">
              <w:rPr>
                <w:rFonts w:ascii="Arial" w:hAnsi="Arial" w:cs="Arial"/>
                <w:b/>
                <w:bCs/>
                <w:color w:val="000000"/>
                <w:sz w:val="18"/>
                <w:szCs w:val="18"/>
              </w:rPr>
              <w:t>Response Rate</w:t>
            </w:r>
          </w:p>
        </w:tc>
      </w:tr>
      <w:tr w14:paraId="4F8DB358" w14:textId="77777777" w:rsidTr="00EB5E5E">
        <w:tblPrEx>
          <w:tblW w:w="9900" w:type="dxa"/>
          <w:tblLook w:val="04A0"/>
        </w:tblPrEx>
        <w:trPr>
          <w:trHeight w:val="250"/>
        </w:trPr>
        <w:tc>
          <w:tcPr>
            <w:tcW w:w="3600" w:type="dxa"/>
            <w:tcBorders>
              <w:top w:val="single" w:sz="8" w:space="0" w:color="auto"/>
              <w:left w:val="nil"/>
              <w:bottom w:val="single" w:sz="4" w:space="0" w:color="auto"/>
              <w:right w:val="nil"/>
            </w:tcBorders>
            <w:shd w:val="clear" w:color="auto" w:fill="auto"/>
            <w:vAlign w:val="bottom"/>
          </w:tcPr>
          <w:p w:rsidR="00EB5E5E" w:rsidRPr="00FD022B" w:rsidP="00EB5E5E" w14:paraId="1832EEB8" w14:textId="25AA9E04">
            <w:pPr>
              <w:rPr>
                <w:rFonts w:ascii="Arial" w:hAnsi="Arial" w:cs="Arial"/>
                <w:color w:val="000000"/>
                <w:sz w:val="18"/>
                <w:szCs w:val="18"/>
              </w:rPr>
            </w:pPr>
            <w:r w:rsidRPr="00FD022B">
              <w:rPr>
                <w:rFonts w:ascii="Arial" w:hAnsi="Arial" w:cs="Arial"/>
                <w:b/>
                <w:bCs/>
                <w:color w:val="000000"/>
                <w:sz w:val="18"/>
                <w:szCs w:val="18"/>
              </w:rPr>
              <w:t> </w:t>
            </w:r>
            <w:r>
              <w:rPr>
                <w:rFonts w:ascii="Arial" w:hAnsi="Arial" w:cs="Arial"/>
                <w:b/>
                <w:bCs/>
                <w:color w:val="000000"/>
                <w:sz w:val="18"/>
                <w:szCs w:val="18"/>
              </w:rPr>
              <w:t>Total</w:t>
            </w:r>
          </w:p>
        </w:tc>
        <w:tc>
          <w:tcPr>
            <w:tcW w:w="1710" w:type="dxa"/>
            <w:tcBorders>
              <w:top w:val="single" w:sz="8" w:space="0" w:color="auto"/>
              <w:left w:val="nil"/>
              <w:bottom w:val="single" w:sz="4" w:space="0" w:color="auto"/>
              <w:right w:val="nil"/>
            </w:tcBorders>
            <w:shd w:val="clear" w:color="auto" w:fill="auto"/>
            <w:noWrap/>
            <w:vAlign w:val="bottom"/>
          </w:tcPr>
          <w:p w:rsidR="00EB5E5E" w:rsidRPr="00FD022B" w:rsidP="00EB5E5E" w14:paraId="74FCCCBA" w14:textId="47A8158E">
            <w:pPr>
              <w:jc w:val="right"/>
              <w:rPr>
                <w:rFonts w:ascii="Arial" w:hAnsi="Arial" w:cs="Arial"/>
                <w:color w:val="000000"/>
                <w:sz w:val="18"/>
                <w:szCs w:val="18"/>
              </w:rPr>
            </w:pPr>
            <w:r w:rsidRPr="00FD022B">
              <w:rPr>
                <w:rFonts w:ascii="Arial" w:hAnsi="Arial" w:cs="Arial"/>
                <w:b/>
                <w:bCs/>
                <w:color w:val="000000"/>
                <w:sz w:val="18"/>
                <w:szCs w:val="18"/>
              </w:rPr>
              <w:t>3,700</w:t>
            </w:r>
          </w:p>
        </w:tc>
        <w:tc>
          <w:tcPr>
            <w:tcW w:w="1620" w:type="dxa"/>
            <w:tcBorders>
              <w:top w:val="single" w:sz="8" w:space="0" w:color="auto"/>
              <w:left w:val="nil"/>
              <w:bottom w:val="single" w:sz="4" w:space="0" w:color="auto"/>
              <w:right w:val="nil"/>
            </w:tcBorders>
            <w:shd w:val="clear" w:color="auto" w:fill="auto"/>
            <w:noWrap/>
            <w:vAlign w:val="bottom"/>
          </w:tcPr>
          <w:p w:rsidR="00EB5E5E" w:rsidRPr="00FD022B" w:rsidP="00EB5E5E" w14:paraId="2146EB24" w14:textId="164FCCB1">
            <w:pPr>
              <w:jc w:val="right"/>
              <w:rPr>
                <w:rFonts w:ascii="Arial" w:hAnsi="Arial" w:cs="Arial"/>
                <w:color w:val="000000"/>
                <w:sz w:val="18"/>
                <w:szCs w:val="18"/>
              </w:rPr>
            </w:pPr>
            <w:r w:rsidRPr="00FD022B">
              <w:rPr>
                <w:rFonts w:ascii="Arial" w:hAnsi="Arial" w:cs="Arial"/>
                <w:b/>
                <w:bCs/>
                <w:color w:val="000000"/>
                <w:sz w:val="18"/>
                <w:szCs w:val="18"/>
              </w:rPr>
              <w:t>3,280</w:t>
            </w:r>
          </w:p>
        </w:tc>
        <w:tc>
          <w:tcPr>
            <w:tcW w:w="1440" w:type="dxa"/>
            <w:tcBorders>
              <w:top w:val="single" w:sz="8" w:space="0" w:color="auto"/>
              <w:left w:val="nil"/>
              <w:bottom w:val="single" w:sz="4" w:space="0" w:color="auto"/>
              <w:right w:val="nil"/>
            </w:tcBorders>
            <w:shd w:val="clear" w:color="auto" w:fill="auto"/>
            <w:noWrap/>
            <w:vAlign w:val="bottom"/>
          </w:tcPr>
          <w:p w:rsidR="00EB5E5E" w:rsidRPr="00FD022B" w:rsidP="00EB5E5E" w14:paraId="38B78963" w14:textId="0E6C6F8E">
            <w:pPr>
              <w:jc w:val="right"/>
              <w:rPr>
                <w:rFonts w:ascii="Arial" w:hAnsi="Arial" w:cs="Arial"/>
                <w:color w:val="000000"/>
                <w:sz w:val="18"/>
                <w:szCs w:val="18"/>
              </w:rPr>
            </w:pPr>
            <w:r w:rsidRPr="00FD022B">
              <w:rPr>
                <w:rFonts w:ascii="Arial" w:hAnsi="Arial" w:cs="Arial"/>
                <w:b/>
                <w:bCs/>
                <w:color w:val="000000"/>
                <w:sz w:val="18"/>
                <w:szCs w:val="18"/>
              </w:rPr>
              <w:t>2,120</w:t>
            </w:r>
          </w:p>
        </w:tc>
        <w:tc>
          <w:tcPr>
            <w:tcW w:w="1530" w:type="dxa"/>
            <w:tcBorders>
              <w:top w:val="single" w:sz="8" w:space="0" w:color="auto"/>
              <w:left w:val="nil"/>
              <w:bottom w:val="single" w:sz="4" w:space="0" w:color="auto"/>
              <w:right w:val="nil"/>
            </w:tcBorders>
            <w:shd w:val="clear" w:color="auto" w:fill="auto"/>
            <w:noWrap/>
            <w:vAlign w:val="bottom"/>
          </w:tcPr>
          <w:p w:rsidR="00EB5E5E" w:rsidRPr="00FD022B" w:rsidP="00EB5E5E" w14:paraId="741E757A" w14:textId="71005879">
            <w:pPr>
              <w:jc w:val="right"/>
              <w:rPr>
                <w:rFonts w:ascii="Arial" w:hAnsi="Arial" w:cs="Arial"/>
                <w:color w:val="000000"/>
                <w:sz w:val="18"/>
                <w:szCs w:val="18"/>
              </w:rPr>
            </w:pPr>
            <w:r w:rsidRPr="00FD022B">
              <w:rPr>
                <w:rFonts w:ascii="Arial" w:hAnsi="Arial" w:cs="Arial"/>
                <w:b/>
                <w:bCs/>
                <w:color w:val="000000"/>
                <w:sz w:val="18"/>
                <w:szCs w:val="18"/>
              </w:rPr>
              <w:t>0.65</w:t>
            </w:r>
          </w:p>
        </w:tc>
      </w:tr>
      <w:tr w14:paraId="2A5F9DE2" w14:textId="77777777" w:rsidTr="00EB5E5E">
        <w:tblPrEx>
          <w:tblW w:w="9900" w:type="dxa"/>
          <w:tblLook w:val="04A0"/>
        </w:tblPrEx>
        <w:trPr>
          <w:trHeight w:val="250"/>
        </w:trPr>
        <w:tc>
          <w:tcPr>
            <w:tcW w:w="3600" w:type="dxa"/>
            <w:tcBorders>
              <w:top w:val="single" w:sz="4" w:space="0" w:color="auto"/>
              <w:left w:val="nil"/>
              <w:bottom w:val="nil"/>
              <w:right w:val="nil"/>
            </w:tcBorders>
            <w:shd w:val="clear" w:color="auto" w:fill="auto"/>
            <w:vAlign w:val="center"/>
            <w:hideMark/>
          </w:tcPr>
          <w:p w:rsidR="00EB5E5E" w:rsidRPr="00FD022B" w:rsidP="00EB5E5E" w14:paraId="74768621" w14:textId="77777777">
            <w:pPr>
              <w:rPr>
                <w:rFonts w:ascii="Arial" w:hAnsi="Arial" w:cs="Arial"/>
                <w:color w:val="000000"/>
                <w:sz w:val="18"/>
                <w:szCs w:val="18"/>
              </w:rPr>
            </w:pPr>
            <w:r w:rsidRPr="00FD022B">
              <w:rPr>
                <w:rFonts w:ascii="Arial" w:hAnsi="Arial" w:cs="Arial"/>
                <w:color w:val="000000"/>
                <w:sz w:val="18"/>
                <w:szCs w:val="18"/>
              </w:rPr>
              <w:t>NPSAS:20-eligible survey respondent</w:t>
            </w:r>
          </w:p>
        </w:tc>
        <w:tc>
          <w:tcPr>
            <w:tcW w:w="1710" w:type="dxa"/>
            <w:tcBorders>
              <w:top w:val="single" w:sz="4" w:space="0" w:color="auto"/>
              <w:left w:val="nil"/>
              <w:bottom w:val="nil"/>
              <w:right w:val="nil"/>
            </w:tcBorders>
            <w:shd w:val="clear" w:color="auto" w:fill="auto"/>
            <w:noWrap/>
            <w:vAlign w:val="center"/>
            <w:hideMark/>
          </w:tcPr>
          <w:p w:rsidR="00EB5E5E" w:rsidRPr="00FD022B" w:rsidP="00EB5E5E" w14:paraId="02048FA3" w14:textId="77777777">
            <w:pPr>
              <w:jc w:val="right"/>
              <w:rPr>
                <w:rFonts w:ascii="Arial" w:hAnsi="Arial" w:cs="Arial"/>
                <w:color w:val="000000"/>
                <w:sz w:val="18"/>
                <w:szCs w:val="18"/>
              </w:rPr>
            </w:pPr>
            <w:r w:rsidRPr="00FD022B">
              <w:rPr>
                <w:rFonts w:ascii="Arial" w:hAnsi="Arial" w:cs="Arial"/>
                <w:color w:val="000000"/>
                <w:sz w:val="18"/>
                <w:szCs w:val="18"/>
              </w:rPr>
              <w:t>2,440</w:t>
            </w:r>
          </w:p>
        </w:tc>
        <w:tc>
          <w:tcPr>
            <w:tcW w:w="1620" w:type="dxa"/>
            <w:tcBorders>
              <w:top w:val="single" w:sz="4" w:space="0" w:color="auto"/>
              <w:left w:val="nil"/>
              <w:bottom w:val="nil"/>
              <w:right w:val="nil"/>
            </w:tcBorders>
            <w:shd w:val="clear" w:color="auto" w:fill="auto"/>
            <w:noWrap/>
            <w:vAlign w:val="center"/>
            <w:hideMark/>
          </w:tcPr>
          <w:p w:rsidR="00EB5E5E" w:rsidRPr="00FD022B" w:rsidP="00EB5E5E" w14:paraId="04070635" w14:textId="77777777">
            <w:pPr>
              <w:jc w:val="right"/>
              <w:rPr>
                <w:rFonts w:ascii="Arial" w:hAnsi="Arial" w:cs="Arial"/>
                <w:color w:val="000000"/>
                <w:sz w:val="18"/>
                <w:szCs w:val="18"/>
              </w:rPr>
            </w:pPr>
            <w:r w:rsidRPr="00FD022B">
              <w:rPr>
                <w:rFonts w:ascii="Arial" w:hAnsi="Arial" w:cs="Arial"/>
                <w:color w:val="000000"/>
                <w:sz w:val="18"/>
                <w:szCs w:val="18"/>
              </w:rPr>
              <w:t>2,310</w:t>
            </w:r>
          </w:p>
        </w:tc>
        <w:tc>
          <w:tcPr>
            <w:tcW w:w="1440" w:type="dxa"/>
            <w:tcBorders>
              <w:top w:val="single" w:sz="4" w:space="0" w:color="auto"/>
              <w:left w:val="nil"/>
              <w:bottom w:val="nil"/>
              <w:right w:val="nil"/>
            </w:tcBorders>
            <w:shd w:val="clear" w:color="auto" w:fill="auto"/>
            <w:noWrap/>
            <w:vAlign w:val="center"/>
            <w:hideMark/>
          </w:tcPr>
          <w:p w:rsidR="00EB5E5E" w:rsidRPr="00FD022B" w:rsidP="00EB5E5E" w14:paraId="1C85D642" w14:textId="77777777">
            <w:pPr>
              <w:jc w:val="right"/>
              <w:rPr>
                <w:rFonts w:ascii="Arial" w:hAnsi="Arial" w:cs="Arial"/>
                <w:color w:val="000000"/>
                <w:sz w:val="18"/>
                <w:szCs w:val="18"/>
              </w:rPr>
            </w:pPr>
            <w:r w:rsidRPr="00FD022B">
              <w:rPr>
                <w:rFonts w:ascii="Arial" w:hAnsi="Arial" w:cs="Arial"/>
                <w:color w:val="000000"/>
                <w:sz w:val="18"/>
                <w:szCs w:val="18"/>
              </w:rPr>
              <w:t>1,800</w:t>
            </w:r>
          </w:p>
        </w:tc>
        <w:tc>
          <w:tcPr>
            <w:tcW w:w="1530" w:type="dxa"/>
            <w:tcBorders>
              <w:top w:val="single" w:sz="4" w:space="0" w:color="auto"/>
              <w:left w:val="nil"/>
              <w:bottom w:val="nil"/>
              <w:right w:val="nil"/>
            </w:tcBorders>
            <w:shd w:val="clear" w:color="auto" w:fill="auto"/>
            <w:noWrap/>
            <w:vAlign w:val="center"/>
            <w:hideMark/>
          </w:tcPr>
          <w:p w:rsidR="00EB5E5E" w:rsidRPr="00FD022B" w:rsidP="00EB5E5E" w14:paraId="55795285" w14:textId="77777777">
            <w:pPr>
              <w:jc w:val="right"/>
              <w:rPr>
                <w:rFonts w:ascii="Arial" w:hAnsi="Arial" w:cs="Arial"/>
                <w:color w:val="000000"/>
                <w:sz w:val="18"/>
                <w:szCs w:val="18"/>
              </w:rPr>
            </w:pPr>
            <w:r w:rsidRPr="00FD022B">
              <w:rPr>
                <w:rFonts w:ascii="Arial" w:hAnsi="Arial" w:cs="Arial"/>
                <w:color w:val="000000"/>
                <w:sz w:val="18"/>
                <w:szCs w:val="18"/>
              </w:rPr>
              <w:t>0.78</w:t>
            </w:r>
          </w:p>
        </w:tc>
      </w:tr>
      <w:tr w14:paraId="5EAD24DF" w14:textId="77777777" w:rsidTr="00FD022B">
        <w:tblPrEx>
          <w:tblW w:w="9900" w:type="dxa"/>
          <w:tblLook w:val="04A0"/>
        </w:tblPrEx>
        <w:trPr>
          <w:trHeight w:val="360"/>
        </w:trPr>
        <w:tc>
          <w:tcPr>
            <w:tcW w:w="3600" w:type="dxa"/>
            <w:tcBorders>
              <w:top w:val="nil"/>
              <w:left w:val="nil"/>
              <w:bottom w:val="nil"/>
              <w:right w:val="nil"/>
            </w:tcBorders>
            <w:shd w:val="clear" w:color="auto" w:fill="auto"/>
            <w:vAlign w:val="center"/>
            <w:hideMark/>
          </w:tcPr>
          <w:p w:rsidR="00EB5E5E" w:rsidRPr="00FD022B" w:rsidP="00EB5E5E" w14:paraId="3138B5ED" w14:textId="77777777">
            <w:pPr>
              <w:rPr>
                <w:rFonts w:ascii="Arial" w:hAnsi="Arial" w:cs="Arial"/>
                <w:color w:val="000000"/>
                <w:sz w:val="18"/>
                <w:szCs w:val="18"/>
              </w:rPr>
            </w:pPr>
            <w:r w:rsidRPr="00FD022B">
              <w:rPr>
                <w:rFonts w:ascii="Arial" w:hAnsi="Arial" w:cs="Arial"/>
                <w:color w:val="000000"/>
                <w:sz w:val="18"/>
                <w:szCs w:val="18"/>
              </w:rPr>
              <w:t>NPSAS:20-ineligible survey respondent</w:t>
            </w:r>
          </w:p>
        </w:tc>
        <w:tc>
          <w:tcPr>
            <w:tcW w:w="1710" w:type="dxa"/>
            <w:tcBorders>
              <w:top w:val="nil"/>
              <w:left w:val="nil"/>
              <w:bottom w:val="nil"/>
              <w:right w:val="nil"/>
            </w:tcBorders>
            <w:shd w:val="clear" w:color="auto" w:fill="auto"/>
            <w:hideMark/>
          </w:tcPr>
          <w:p w:rsidR="00EB5E5E" w:rsidRPr="00FD022B" w:rsidP="00EB5E5E" w14:paraId="67A8223B" w14:textId="77777777">
            <w:pPr>
              <w:jc w:val="right"/>
              <w:rPr>
                <w:rFonts w:ascii="Arial" w:hAnsi="Arial" w:cs="Arial"/>
                <w:color w:val="000000"/>
                <w:sz w:val="18"/>
                <w:szCs w:val="18"/>
              </w:rPr>
            </w:pPr>
            <w:r w:rsidRPr="00FD022B">
              <w:rPr>
                <w:rFonts w:ascii="Arial" w:hAnsi="Arial" w:cs="Arial"/>
                <w:color w:val="000000"/>
                <w:sz w:val="18"/>
                <w:szCs w:val="18"/>
              </w:rPr>
              <w:t>180</w:t>
            </w:r>
          </w:p>
        </w:tc>
        <w:tc>
          <w:tcPr>
            <w:tcW w:w="1620" w:type="dxa"/>
            <w:tcBorders>
              <w:top w:val="nil"/>
              <w:left w:val="nil"/>
              <w:bottom w:val="nil"/>
              <w:right w:val="nil"/>
            </w:tcBorders>
            <w:shd w:val="clear" w:color="auto" w:fill="auto"/>
            <w:hideMark/>
          </w:tcPr>
          <w:p w:rsidR="00EB5E5E" w:rsidRPr="00FD022B" w:rsidP="00EB5E5E" w14:paraId="3836292B" w14:textId="77777777">
            <w:pPr>
              <w:jc w:val="right"/>
              <w:rPr>
                <w:rFonts w:ascii="Arial" w:hAnsi="Arial" w:cs="Arial"/>
                <w:color w:val="000000"/>
                <w:sz w:val="18"/>
                <w:szCs w:val="18"/>
              </w:rPr>
            </w:pPr>
            <w:r w:rsidRPr="00FD022B">
              <w:rPr>
                <w:rFonts w:ascii="Arial" w:hAnsi="Arial" w:cs="Arial"/>
                <w:color w:val="000000"/>
                <w:sz w:val="18"/>
                <w:szCs w:val="18"/>
              </w:rPr>
              <w:t>160</w:t>
            </w:r>
          </w:p>
        </w:tc>
        <w:tc>
          <w:tcPr>
            <w:tcW w:w="1440" w:type="dxa"/>
            <w:tcBorders>
              <w:top w:val="nil"/>
              <w:left w:val="nil"/>
              <w:bottom w:val="nil"/>
              <w:right w:val="nil"/>
            </w:tcBorders>
            <w:shd w:val="clear" w:color="auto" w:fill="auto"/>
            <w:hideMark/>
          </w:tcPr>
          <w:p w:rsidR="00EB5E5E" w:rsidRPr="00FD022B" w:rsidP="00EB5E5E" w14:paraId="10D63A81" w14:textId="77777777">
            <w:pPr>
              <w:jc w:val="right"/>
              <w:rPr>
                <w:rFonts w:ascii="Arial" w:hAnsi="Arial" w:cs="Arial"/>
                <w:color w:val="000000"/>
                <w:sz w:val="18"/>
                <w:szCs w:val="18"/>
              </w:rPr>
            </w:pPr>
            <w:r w:rsidRPr="00FD022B">
              <w:rPr>
                <w:rFonts w:ascii="Arial" w:hAnsi="Arial" w:cs="Arial"/>
                <w:color w:val="000000"/>
                <w:sz w:val="18"/>
                <w:szCs w:val="18"/>
              </w:rPr>
              <w:t>110</w:t>
            </w:r>
          </w:p>
        </w:tc>
        <w:tc>
          <w:tcPr>
            <w:tcW w:w="1530" w:type="dxa"/>
            <w:tcBorders>
              <w:top w:val="nil"/>
              <w:left w:val="nil"/>
              <w:bottom w:val="nil"/>
              <w:right w:val="nil"/>
            </w:tcBorders>
            <w:shd w:val="clear" w:color="auto" w:fill="auto"/>
            <w:noWrap/>
            <w:vAlign w:val="center"/>
            <w:hideMark/>
          </w:tcPr>
          <w:p w:rsidR="00EB5E5E" w:rsidRPr="00FD022B" w:rsidP="00EB5E5E" w14:paraId="058F1F37" w14:textId="77777777">
            <w:pPr>
              <w:jc w:val="right"/>
              <w:rPr>
                <w:rFonts w:ascii="Arial" w:hAnsi="Arial" w:cs="Arial"/>
                <w:color w:val="000000"/>
                <w:sz w:val="18"/>
                <w:szCs w:val="18"/>
              </w:rPr>
            </w:pPr>
            <w:r w:rsidRPr="00FD022B">
              <w:rPr>
                <w:rFonts w:ascii="Arial" w:hAnsi="Arial" w:cs="Arial"/>
                <w:color w:val="000000"/>
                <w:sz w:val="18"/>
                <w:szCs w:val="18"/>
              </w:rPr>
              <w:t>0.70</w:t>
            </w:r>
          </w:p>
        </w:tc>
      </w:tr>
      <w:tr w14:paraId="214917B2" w14:textId="77777777" w:rsidTr="00EB5E5E">
        <w:tblPrEx>
          <w:tblW w:w="9900" w:type="dxa"/>
          <w:tblLook w:val="04A0"/>
        </w:tblPrEx>
        <w:trPr>
          <w:trHeight w:val="360"/>
        </w:trPr>
        <w:tc>
          <w:tcPr>
            <w:tcW w:w="3600" w:type="dxa"/>
            <w:tcBorders>
              <w:top w:val="nil"/>
              <w:left w:val="nil"/>
              <w:right w:val="nil"/>
            </w:tcBorders>
            <w:shd w:val="clear" w:color="auto" w:fill="auto"/>
            <w:vAlign w:val="center"/>
            <w:hideMark/>
          </w:tcPr>
          <w:p w:rsidR="00EB5E5E" w:rsidRPr="00FD022B" w:rsidP="00EB5E5E" w14:paraId="336C5914" w14:textId="77777777">
            <w:pPr>
              <w:rPr>
                <w:rFonts w:ascii="Arial" w:hAnsi="Arial" w:cs="Arial"/>
                <w:color w:val="000000"/>
                <w:sz w:val="18"/>
                <w:szCs w:val="18"/>
              </w:rPr>
            </w:pPr>
            <w:r w:rsidRPr="00FD022B">
              <w:rPr>
                <w:rFonts w:ascii="Arial" w:hAnsi="Arial" w:cs="Arial"/>
                <w:color w:val="000000"/>
                <w:sz w:val="18"/>
                <w:szCs w:val="18"/>
              </w:rPr>
              <w:t>NPSAS:20-eligible survey nonrespondent</w:t>
            </w:r>
          </w:p>
        </w:tc>
        <w:tc>
          <w:tcPr>
            <w:tcW w:w="1710" w:type="dxa"/>
            <w:tcBorders>
              <w:top w:val="nil"/>
              <w:left w:val="nil"/>
              <w:right w:val="nil"/>
            </w:tcBorders>
            <w:shd w:val="clear" w:color="auto" w:fill="auto"/>
            <w:hideMark/>
          </w:tcPr>
          <w:p w:rsidR="00EB5E5E" w:rsidRPr="00FD022B" w:rsidP="00EB5E5E" w14:paraId="5EA2147A" w14:textId="77777777">
            <w:pPr>
              <w:jc w:val="right"/>
              <w:rPr>
                <w:rFonts w:ascii="Arial" w:hAnsi="Arial" w:cs="Arial"/>
                <w:color w:val="000000"/>
                <w:sz w:val="18"/>
                <w:szCs w:val="18"/>
              </w:rPr>
            </w:pPr>
            <w:r w:rsidRPr="00FD022B">
              <w:rPr>
                <w:rFonts w:ascii="Arial" w:hAnsi="Arial" w:cs="Arial"/>
                <w:color w:val="000000"/>
                <w:sz w:val="18"/>
                <w:szCs w:val="18"/>
              </w:rPr>
              <w:t>540</w:t>
            </w:r>
          </w:p>
        </w:tc>
        <w:tc>
          <w:tcPr>
            <w:tcW w:w="1620" w:type="dxa"/>
            <w:tcBorders>
              <w:top w:val="nil"/>
              <w:left w:val="nil"/>
              <w:right w:val="nil"/>
            </w:tcBorders>
            <w:shd w:val="clear" w:color="auto" w:fill="auto"/>
            <w:hideMark/>
          </w:tcPr>
          <w:p w:rsidR="00EB5E5E" w:rsidRPr="00FD022B" w:rsidP="00EB5E5E" w14:paraId="0AF87FB7" w14:textId="77777777">
            <w:pPr>
              <w:jc w:val="right"/>
              <w:rPr>
                <w:rFonts w:ascii="Arial" w:hAnsi="Arial" w:cs="Arial"/>
                <w:color w:val="000000"/>
                <w:sz w:val="18"/>
                <w:szCs w:val="18"/>
              </w:rPr>
            </w:pPr>
            <w:r w:rsidRPr="00FD022B">
              <w:rPr>
                <w:rFonts w:ascii="Arial" w:hAnsi="Arial" w:cs="Arial"/>
                <w:color w:val="000000"/>
                <w:sz w:val="18"/>
                <w:szCs w:val="18"/>
              </w:rPr>
              <w:t>430</w:t>
            </w:r>
          </w:p>
        </w:tc>
        <w:tc>
          <w:tcPr>
            <w:tcW w:w="1440" w:type="dxa"/>
            <w:tcBorders>
              <w:top w:val="nil"/>
              <w:left w:val="nil"/>
              <w:right w:val="nil"/>
            </w:tcBorders>
            <w:shd w:val="clear" w:color="auto" w:fill="auto"/>
            <w:hideMark/>
          </w:tcPr>
          <w:p w:rsidR="00EB5E5E" w:rsidRPr="00FD022B" w:rsidP="00EB5E5E" w14:paraId="7A483877" w14:textId="77777777">
            <w:pPr>
              <w:jc w:val="right"/>
              <w:rPr>
                <w:rFonts w:ascii="Arial" w:hAnsi="Arial" w:cs="Arial"/>
                <w:color w:val="000000"/>
                <w:sz w:val="18"/>
                <w:szCs w:val="18"/>
              </w:rPr>
            </w:pPr>
            <w:r w:rsidRPr="00FD022B">
              <w:rPr>
                <w:rFonts w:ascii="Arial" w:hAnsi="Arial" w:cs="Arial"/>
                <w:color w:val="000000"/>
                <w:sz w:val="18"/>
                <w:szCs w:val="18"/>
              </w:rPr>
              <w:t>50</w:t>
            </w:r>
          </w:p>
        </w:tc>
        <w:tc>
          <w:tcPr>
            <w:tcW w:w="1530" w:type="dxa"/>
            <w:tcBorders>
              <w:top w:val="nil"/>
              <w:left w:val="nil"/>
              <w:right w:val="nil"/>
            </w:tcBorders>
            <w:shd w:val="clear" w:color="auto" w:fill="auto"/>
            <w:noWrap/>
            <w:vAlign w:val="center"/>
            <w:hideMark/>
          </w:tcPr>
          <w:p w:rsidR="00EB5E5E" w:rsidRPr="00FD022B" w:rsidP="00EB5E5E" w14:paraId="3FAB14C8" w14:textId="77777777">
            <w:pPr>
              <w:jc w:val="right"/>
              <w:rPr>
                <w:rFonts w:ascii="Arial" w:hAnsi="Arial" w:cs="Arial"/>
                <w:color w:val="000000"/>
                <w:sz w:val="18"/>
                <w:szCs w:val="18"/>
              </w:rPr>
            </w:pPr>
            <w:r w:rsidRPr="00FD022B">
              <w:rPr>
                <w:rFonts w:ascii="Arial" w:hAnsi="Arial" w:cs="Arial"/>
                <w:color w:val="000000"/>
                <w:sz w:val="18"/>
                <w:szCs w:val="18"/>
              </w:rPr>
              <w:t>0.12</w:t>
            </w:r>
          </w:p>
        </w:tc>
      </w:tr>
      <w:tr w14:paraId="63846D1E" w14:textId="77777777" w:rsidTr="00EB5E5E">
        <w:tblPrEx>
          <w:tblW w:w="9900" w:type="dxa"/>
          <w:tblLook w:val="04A0"/>
        </w:tblPrEx>
        <w:trPr>
          <w:trHeight w:val="180"/>
        </w:trPr>
        <w:tc>
          <w:tcPr>
            <w:tcW w:w="3600" w:type="dxa"/>
            <w:tcBorders>
              <w:top w:val="nil"/>
              <w:left w:val="nil"/>
              <w:bottom w:val="single" w:sz="4" w:space="0" w:color="auto"/>
              <w:right w:val="nil"/>
            </w:tcBorders>
            <w:shd w:val="clear" w:color="auto" w:fill="auto"/>
            <w:vAlign w:val="center"/>
            <w:hideMark/>
          </w:tcPr>
          <w:p w:rsidR="00EB5E5E" w:rsidRPr="00FD022B" w:rsidP="00EB5E5E" w14:paraId="0C1ED5BE" w14:textId="77777777">
            <w:pPr>
              <w:rPr>
                <w:rFonts w:ascii="Arial" w:hAnsi="Arial" w:cs="Arial"/>
                <w:color w:val="000000"/>
                <w:sz w:val="18"/>
                <w:szCs w:val="18"/>
              </w:rPr>
            </w:pPr>
            <w:r w:rsidRPr="00FD022B">
              <w:rPr>
                <w:rFonts w:ascii="Arial" w:hAnsi="Arial" w:cs="Arial"/>
                <w:color w:val="000000"/>
                <w:sz w:val="18"/>
                <w:szCs w:val="18"/>
              </w:rPr>
              <w:t>NPSAS:20-eligible administrative only</w:t>
            </w:r>
          </w:p>
        </w:tc>
        <w:tc>
          <w:tcPr>
            <w:tcW w:w="1710" w:type="dxa"/>
            <w:tcBorders>
              <w:top w:val="nil"/>
              <w:left w:val="nil"/>
              <w:bottom w:val="single" w:sz="4" w:space="0" w:color="auto"/>
              <w:right w:val="nil"/>
            </w:tcBorders>
            <w:shd w:val="clear" w:color="auto" w:fill="auto"/>
            <w:hideMark/>
          </w:tcPr>
          <w:p w:rsidR="00EB5E5E" w:rsidRPr="00FD022B" w:rsidP="00EB5E5E" w14:paraId="15FA97D8" w14:textId="77777777">
            <w:pPr>
              <w:jc w:val="right"/>
              <w:rPr>
                <w:rFonts w:ascii="Arial" w:hAnsi="Arial" w:cs="Arial"/>
                <w:color w:val="000000"/>
                <w:sz w:val="18"/>
                <w:szCs w:val="18"/>
              </w:rPr>
            </w:pPr>
            <w:r w:rsidRPr="00FD022B">
              <w:rPr>
                <w:rFonts w:ascii="Arial" w:hAnsi="Arial" w:cs="Arial"/>
                <w:color w:val="000000"/>
                <w:sz w:val="18"/>
                <w:szCs w:val="18"/>
              </w:rPr>
              <w:t>540</w:t>
            </w:r>
          </w:p>
        </w:tc>
        <w:tc>
          <w:tcPr>
            <w:tcW w:w="1620" w:type="dxa"/>
            <w:tcBorders>
              <w:top w:val="nil"/>
              <w:left w:val="nil"/>
              <w:bottom w:val="single" w:sz="4" w:space="0" w:color="auto"/>
              <w:right w:val="nil"/>
            </w:tcBorders>
            <w:shd w:val="clear" w:color="auto" w:fill="auto"/>
            <w:hideMark/>
          </w:tcPr>
          <w:p w:rsidR="00EB5E5E" w:rsidRPr="00FD022B" w:rsidP="00EB5E5E" w14:paraId="499FE753" w14:textId="77777777">
            <w:pPr>
              <w:jc w:val="right"/>
              <w:rPr>
                <w:rFonts w:ascii="Arial" w:hAnsi="Arial" w:cs="Arial"/>
                <w:color w:val="000000"/>
                <w:sz w:val="18"/>
                <w:szCs w:val="18"/>
              </w:rPr>
            </w:pPr>
            <w:r w:rsidRPr="00FD022B">
              <w:rPr>
                <w:rFonts w:ascii="Arial" w:hAnsi="Arial" w:cs="Arial"/>
                <w:color w:val="000000"/>
                <w:sz w:val="18"/>
                <w:szCs w:val="18"/>
              </w:rPr>
              <w:t>370</w:t>
            </w:r>
          </w:p>
        </w:tc>
        <w:tc>
          <w:tcPr>
            <w:tcW w:w="1440" w:type="dxa"/>
            <w:tcBorders>
              <w:top w:val="nil"/>
              <w:left w:val="nil"/>
              <w:bottom w:val="single" w:sz="4" w:space="0" w:color="auto"/>
              <w:right w:val="nil"/>
            </w:tcBorders>
            <w:shd w:val="clear" w:color="auto" w:fill="auto"/>
            <w:hideMark/>
          </w:tcPr>
          <w:p w:rsidR="00EB5E5E" w:rsidRPr="00FD022B" w:rsidP="00EB5E5E" w14:paraId="167A3B4A" w14:textId="77777777">
            <w:pPr>
              <w:jc w:val="right"/>
              <w:rPr>
                <w:rFonts w:ascii="Arial" w:hAnsi="Arial" w:cs="Arial"/>
                <w:color w:val="000000"/>
                <w:sz w:val="18"/>
                <w:szCs w:val="18"/>
              </w:rPr>
            </w:pPr>
            <w:r w:rsidRPr="00FD022B">
              <w:rPr>
                <w:rFonts w:ascii="Arial" w:hAnsi="Arial" w:cs="Arial"/>
                <w:color w:val="000000"/>
                <w:sz w:val="18"/>
                <w:szCs w:val="18"/>
              </w:rPr>
              <w:t>150</w:t>
            </w:r>
          </w:p>
        </w:tc>
        <w:tc>
          <w:tcPr>
            <w:tcW w:w="1530" w:type="dxa"/>
            <w:tcBorders>
              <w:top w:val="nil"/>
              <w:left w:val="nil"/>
              <w:bottom w:val="single" w:sz="4" w:space="0" w:color="auto"/>
              <w:right w:val="nil"/>
            </w:tcBorders>
            <w:shd w:val="clear" w:color="auto" w:fill="auto"/>
            <w:noWrap/>
            <w:vAlign w:val="center"/>
            <w:hideMark/>
          </w:tcPr>
          <w:p w:rsidR="00EB5E5E" w:rsidRPr="00FD022B" w:rsidP="00EB5E5E" w14:paraId="6A413B14" w14:textId="77777777">
            <w:pPr>
              <w:jc w:val="right"/>
              <w:rPr>
                <w:rFonts w:ascii="Arial" w:hAnsi="Arial" w:cs="Arial"/>
                <w:color w:val="000000"/>
                <w:sz w:val="18"/>
                <w:szCs w:val="18"/>
              </w:rPr>
            </w:pPr>
            <w:r w:rsidRPr="00FD022B">
              <w:rPr>
                <w:rFonts w:ascii="Arial" w:hAnsi="Arial" w:cs="Arial"/>
                <w:color w:val="000000"/>
                <w:sz w:val="18"/>
                <w:szCs w:val="18"/>
              </w:rPr>
              <w:t>0.42</w:t>
            </w:r>
          </w:p>
        </w:tc>
      </w:tr>
    </w:tbl>
    <w:p w:rsidR="00253084" w:rsidRPr="00EB5E5E" w:rsidP="00EB5E5E" w14:paraId="0ECA1CA3" w14:textId="2532BDA4">
      <w:pPr>
        <w:ind w:right="612"/>
        <w:rPr>
          <w:rFonts w:ascii="Arial" w:hAnsi="Arial" w:cs="Arial"/>
          <w:color w:val="000000"/>
          <w:sz w:val="15"/>
          <w:szCs w:val="15"/>
        </w:rPr>
      </w:pPr>
      <w:r w:rsidRPr="00EB5E5E">
        <w:rPr>
          <w:rFonts w:ascii="Arial" w:hAnsi="Arial" w:cs="Arial"/>
          <w:color w:val="000000"/>
          <w:sz w:val="15"/>
          <w:szCs w:val="15"/>
        </w:rPr>
        <w:t>1 Sample member eligibility was determined during the student screener combined with derived variables based on institutional records.</w:t>
      </w:r>
      <w:r w:rsidR="000077C9">
        <w:rPr>
          <w:rFonts w:ascii="Arial" w:hAnsi="Arial" w:cs="Arial"/>
          <w:color w:val="000000"/>
          <w:sz w:val="15"/>
          <w:szCs w:val="15"/>
        </w:rPr>
        <w:t xml:space="preserve"> </w:t>
      </w:r>
      <w:r w:rsidR="009B1833">
        <w:rPr>
          <w:rFonts w:ascii="Arial" w:hAnsi="Arial" w:cs="Arial"/>
          <w:color w:val="000000"/>
          <w:sz w:val="15"/>
          <w:szCs w:val="15"/>
        </w:rPr>
        <w:t>The use of</w:t>
      </w:r>
      <w:r w:rsidR="00420F90">
        <w:rPr>
          <w:rFonts w:ascii="Arial" w:hAnsi="Arial" w:cs="Arial"/>
          <w:color w:val="000000"/>
          <w:sz w:val="15"/>
          <w:szCs w:val="15"/>
        </w:rPr>
        <w:t xml:space="preserve"> derived</w:t>
      </w:r>
      <w:r w:rsidR="009B1833">
        <w:rPr>
          <w:rFonts w:ascii="Arial" w:hAnsi="Arial" w:cs="Arial"/>
          <w:color w:val="000000"/>
          <w:sz w:val="15"/>
          <w:szCs w:val="15"/>
        </w:rPr>
        <w:t xml:space="preserve"> </w:t>
      </w:r>
      <w:r w:rsidR="00B12A02">
        <w:rPr>
          <w:rFonts w:ascii="Arial" w:hAnsi="Arial" w:cs="Arial"/>
          <w:color w:val="000000"/>
          <w:sz w:val="15"/>
          <w:szCs w:val="15"/>
        </w:rPr>
        <w:t xml:space="preserve">month and </w:t>
      </w:r>
      <w:r w:rsidR="009B1833">
        <w:rPr>
          <w:rFonts w:ascii="Arial" w:hAnsi="Arial" w:cs="Arial"/>
          <w:color w:val="000000"/>
          <w:sz w:val="15"/>
          <w:szCs w:val="15"/>
        </w:rPr>
        <w:t>year</w:t>
      </w:r>
      <w:r w:rsidR="009B1833">
        <w:rPr>
          <w:rFonts w:ascii="Arial" w:hAnsi="Arial" w:cs="Arial"/>
          <w:color w:val="000000"/>
          <w:sz w:val="15"/>
          <w:szCs w:val="15"/>
        </w:rPr>
        <w:t xml:space="preserve"> </w:t>
      </w:r>
      <w:r w:rsidR="009B1833">
        <w:rPr>
          <w:rFonts w:ascii="Arial" w:hAnsi="Arial" w:cs="Arial"/>
          <w:color w:val="000000"/>
          <w:sz w:val="15"/>
          <w:szCs w:val="15"/>
        </w:rPr>
        <w:t xml:space="preserve">of first postsecondary enrollment </w:t>
      </w:r>
      <w:r w:rsidR="00420F90">
        <w:rPr>
          <w:rFonts w:ascii="Arial" w:hAnsi="Arial" w:cs="Arial"/>
          <w:color w:val="000000"/>
          <w:sz w:val="15"/>
          <w:szCs w:val="15"/>
        </w:rPr>
        <w:t xml:space="preserve">was included to align with the approach used for full-scale data collection and </w:t>
      </w:r>
      <w:r w:rsidR="002D1C17">
        <w:rPr>
          <w:rFonts w:ascii="Arial" w:hAnsi="Arial" w:cs="Arial"/>
          <w:color w:val="000000"/>
          <w:sz w:val="15"/>
          <w:szCs w:val="15"/>
        </w:rPr>
        <w:t xml:space="preserve">to remove the need for an eligibility screener </w:t>
      </w:r>
      <w:r w:rsidR="00DD4FD3">
        <w:rPr>
          <w:rFonts w:ascii="Arial" w:hAnsi="Arial" w:cs="Arial"/>
          <w:color w:val="000000"/>
          <w:sz w:val="15"/>
          <w:szCs w:val="15"/>
        </w:rPr>
        <w:t>during BPS:20/25 field test data collection.</w:t>
      </w:r>
      <w:r w:rsidRPr="00EB5E5E">
        <w:rPr>
          <w:rFonts w:ascii="Arial" w:hAnsi="Arial" w:cs="Arial"/>
          <w:color w:val="000000"/>
          <w:sz w:val="15"/>
          <w:szCs w:val="15"/>
        </w:rPr>
        <w:br/>
        <w:t>NOTE: Sample sizes rounded to the nearest 10. Percentages are based on the unrounded count of eligible students within the row under consideration. Detail may not sum to totals because of rounding.</w:t>
      </w:r>
      <w:r w:rsidRPr="00EB5E5E">
        <w:rPr>
          <w:rFonts w:ascii="Arial" w:hAnsi="Arial" w:cs="Arial"/>
          <w:color w:val="000000"/>
          <w:sz w:val="15"/>
          <w:szCs w:val="15"/>
        </w:rPr>
        <w:br/>
        <w:t>SOURCE: U.S. Department of Education, National Center for Education Statistics, 2020/22 Beginning Postsecondary Students Longitudinal Study (BPS:20/22).</w:t>
      </w:r>
    </w:p>
    <w:p w:rsidR="00F12A00" w:rsidP="3E658E69" w14:paraId="0D5EA6F0" w14:textId="07660B62">
      <w:pPr>
        <w:rPr>
          <w:rFonts w:eastAsia="Garamond" w:cs="Garamond"/>
        </w:rPr>
      </w:pPr>
    </w:p>
    <w:p w:rsidR="00D93F61" w:rsidRPr="00D93F61" w:rsidP="00617108" w14:paraId="2AF6E822" w14:textId="528AA98B">
      <w:pPr>
        <w:pStyle w:val="Heading3"/>
        <w:rPr>
          <w:rFonts w:eastAsiaTheme="minorHAnsi"/>
        </w:rPr>
      </w:pPr>
      <w:bookmarkStart w:id="32" w:name="_Toc140136655"/>
      <w:r w:rsidRPr="00D93F61">
        <w:rPr>
          <w:rFonts w:eastAsiaTheme="minorHAnsi"/>
        </w:rPr>
        <w:t>BPS:20/25 Field Test Sample</w:t>
      </w:r>
      <w:bookmarkEnd w:id="32"/>
    </w:p>
    <w:p w:rsidR="00D93F61" w:rsidRPr="001C2BC1" w:rsidP="00D93F61" w14:paraId="5D34335F" w14:textId="0CC004E3">
      <w:pPr>
        <w:pStyle w:val="NormalWeb"/>
        <w:rPr>
          <w:rFonts w:ascii="Garamond" w:hAnsi="Garamond" w:cs="Calibri"/>
          <w:color w:val="000000"/>
        </w:rPr>
      </w:pPr>
      <w:r w:rsidRPr="001C2BC1">
        <w:rPr>
          <w:rFonts w:ascii="Garamond" w:hAnsi="Garamond" w:cs="Calibri"/>
          <w:color w:val="000000"/>
        </w:rPr>
        <w:t xml:space="preserve">The BPS:20/25 field test is the second follow-up data collection, to be conducted 3 years after BPS:20/22 field test. The BPS:20/25 field test sample is constructed from the BPS:20/22 field test sample. The main source of change from the BPS:20/25 field test sample to the BPS:20/22 field test sample is the exclusion of sample members determined to not be FTB students and therefore ineligible for BPS. Deceased individuals are also excluded from the BPS:20/25 field test sample. Table 2 shows the distribution of the approximately 3,280 sample members determined to be eligible, by study member status and survey response status, and identifies groups that will be fielded. </w:t>
      </w:r>
    </w:p>
    <w:p w:rsidR="00D93F61" w:rsidRPr="001C2BC1" w:rsidP="00261774" w14:paraId="36A3A73E" w14:textId="7214F05B">
      <w:pPr>
        <w:pStyle w:val="TableTitle"/>
        <w:ind w:left="810" w:hanging="810"/>
        <w:rPr>
          <w:rFonts w:eastAsiaTheme="minorEastAsia"/>
          <w:kern w:val="0"/>
          <w:sz w:val="24"/>
        </w:rPr>
      </w:pPr>
      <w:bookmarkStart w:id="33" w:name="_Ref516572658"/>
      <w:bookmarkStart w:id="34" w:name="RANGE!A1"/>
      <w:bookmarkStart w:id="35" w:name="_Toc10118332"/>
      <w:bookmarkStart w:id="36" w:name="_Toc140075246"/>
      <w:bookmarkStart w:id="37" w:name="_Toc140136670"/>
      <w:r>
        <w:t xml:space="preserve">Table </w:t>
      </w:r>
      <w:r w:rsidR="00252FFE">
        <w:fldChar w:fldCharType="begin"/>
      </w:r>
      <w:r w:rsidR="00252FFE">
        <w:instrText xml:space="preserve"> SEQ Table \* ARABIC </w:instrText>
      </w:r>
      <w:r w:rsidR="00252FFE">
        <w:fldChar w:fldCharType="separate"/>
      </w:r>
      <w:r>
        <w:rPr>
          <w:noProof/>
        </w:rPr>
        <w:t>2</w:t>
      </w:r>
      <w:r w:rsidR="00252FFE">
        <w:rPr>
          <w:noProof/>
        </w:rPr>
        <w:fldChar w:fldCharType="end"/>
      </w:r>
      <w:r>
        <w:t>.</w:t>
      </w:r>
      <w:r>
        <w:rPr>
          <w:rFonts w:eastAsiaTheme="minorEastAsia"/>
        </w:rPr>
        <w:t xml:space="preserve"> </w:t>
      </w:r>
      <w:bookmarkEnd w:id="33"/>
      <w:r w:rsidR="008632FF">
        <w:rPr>
          <w:rFonts w:eastAsiaTheme="minorEastAsia"/>
        </w:rPr>
        <w:t>B</w:t>
      </w:r>
      <w:r w:rsidRPr="001C2BC1">
        <w:rPr>
          <w:rFonts w:eastAsiaTheme="minorEastAsia"/>
        </w:rPr>
        <w:t>PS:20/25 sample member status, by NPSAS:20 and BPS:20/22 field test response status and known eligibility status: 2020–</w:t>
      </w:r>
      <w:bookmarkEnd w:id="34"/>
      <w:bookmarkEnd w:id="35"/>
      <w:r w:rsidRPr="001C2BC1">
        <w:rPr>
          <w:rFonts w:eastAsiaTheme="minorEastAsia"/>
        </w:rPr>
        <w:t>25</w:t>
      </w:r>
      <w:bookmarkEnd w:id="36"/>
      <w:bookmarkEnd w:id="37"/>
    </w:p>
    <w:tbl>
      <w:tblPr>
        <w:tblW w:w="10170" w:type="dxa"/>
        <w:tblLook w:val="04A0"/>
      </w:tblPr>
      <w:tblGrid>
        <w:gridCol w:w="960"/>
        <w:gridCol w:w="2010"/>
        <w:gridCol w:w="2070"/>
        <w:gridCol w:w="1890"/>
        <w:gridCol w:w="1170"/>
        <w:gridCol w:w="2070"/>
      </w:tblGrid>
      <w:tr w14:paraId="1E0005A4" w14:textId="77777777" w:rsidTr="00FD022B">
        <w:tblPrEx>
          <w:tblW w:w="10170" w:type="dxa"/>
          <w:tblLook w:val="04A0"/>
        </w:tblPrEx>
        <w:trPr>
          <w:trHeight w:val="492"/>
        </w:trPr>
        <w:tc>
          <w:tcPr>
            <w:tcW w:w="960" w:type="dxa"/>
            <w:tcBorders>
              <w:top w:val="single" w:sz="12" w:space="0" w:color="auto"/>
              <w:left w:val="nil"/>
              <w:bottom w:val="single" w:sz="8" w:space="0" w:color="auto"/>
              <w:right w:val="nil"/>
            </w:tcBorders>
            <w:shd w:val="clear" w:color="auto" w:fill="auto"/>
            <w:vAlign w:val="center"/>
            <w:hideMark/>
          </w:tcPr>
          <w:p w:rsidR="00D93F61" w:rsidRPr="00FD022B" w:rsidP="007868A9" w14:paraId="3F53C64C" w14:textId="77777777">
            <w:pPr>
              <w:rPr>
                <w:rFonts w:asciiTheme="majorHAnsi" w:hAnsiTheme="majorHAnsi" w:cstheme="majorHAnsi"/>
                <w:b/>
                <w:bCs/>
                <w:color w:val="000000"/>
                <w:sz w:val="18"/>
                <w:szCs w:val="18"/>
              </w:rPr>
            </w:pPr>
            <w:r w:rsidRPr="00FD022B">
              <w:rPr>
                <w:rFonts w:asciiTheme="majorHAnsi" w:hAnsiTheme="majorHAnsi" w:cstheme="majorHAnsi"/>
                <w:b/>
                <w:bCs/>
                <w:color w:val="000000"/>
                <w:sz w:val="18"/>
                <w:szCs w:val="18"/>
              </w:rPr>
              <w:t>Group</w:t>
            </w:r>
          </w:p>
        </w:tc>
        <w:tc>
          <w:tcPr>
            <w:tcW w:w="2010" w:type="dxa"/>
            <w:tcBorders>
              <w:top w:val="single" w:sz="12" w:space="0" w:color="auto"/>
              <w:left w:val="nil"/>
              <w:bottom w:val="single" w:sz="8" w:space="0" w:color="auto"/>
              <w:right w:val="nil"/>
            </w:tcBorders>
            <w:shd w:val="clear" w:color="auto" w:fill="auto"/>
            <w:vAlign w:val="center"/>
            <w:hideMark/>
          </w:tcPr>
          <w:p w:rsidR="00D93F61" w:rsidRPr="00FD022B" w:rsidP="00FD022B" w14:paraId="0BEB241C" w14:textId="77777777">
            <w:pPr>
              <w:jc w:val="right"/>
              <w:rPr>
                <w:rFonts w:asciiTheme="majorHAnsi" w:hAnsiTheme="majorHAnsi" w:cstheme="majorHAnsi"/>
                <w:b/>
                <w:bCs/>
                <w:color w:val="000000"/>
                <w:sz w:val="18"/>
                <w:szCs w:val="18"/>
              </w:rPr>
            </w:pPr>
            <w:r w:rsidRPr="00FD022B">
              <w:rPr>
                <w:rFonts w:asciiTheme="majorHAnsi" w:hAnsiTheme="majorHAnsi" w:cstheme="majorHAnsi"/>
                <w:b/>
                <w:bCs/>
                <w:color w:val="000000"/>
                <w:sz w:val="18"/>
                <w:szCs w:val="18"/>
              </w:rPr>
              <w:t>NPSAS:20 Survey Respondent</w:t>
            </w:r>
          </w:p>
        </w:tc>
        <w:tc>
          <w:tcPr>
            <w:tcW w:w="2070" w:type="dxa"/>
            <w:tcBorders>
              <w:top w:val="single" w:sz="12" w:space="0" w:color="auto"/>
              <w:left w:val="nil"/>
              <w:bottom w:val="single" w:sz="8" w:space="0" w:color="auto"/>
              <w:right w:val="nil"/>
            </w:tcBorders>
            <w:shd w:val="clear" w:color="auto" w:fill="auto"/>
            <w:vAlign w:val="center"/>
            <w:hideMark/>
          </w:tcPr>
          <w:p w:rsidR="00D93F61" w:rsidRPr="00FD022B" w:rsidP="00FD022B" w14:paraId="56D4F91F" w14:textId="77777777">
            <w:pPr>
              <w:jc w:val="right"/>
              <w:rPr>
                <w:rFonts w:asciiTheme="majorHAnsi" w:hAnsiTheme="majorHAnsi" w:cstheme="majorHAnsi"/>
                <w:b/>
                <w:bCs/>
                <w:color w:val="000000"/>
                <w:sz w:val="18"/>
                <w:szCs w:val="18"/>
              </w:rPr>
            </w:pPr>
            <w:r w:rsidRPr="00FD022B">
              <w:rPr>
                <w:rFonts w:asciiTheme="majorHAnsi" w:hAnsiTheme="majorHAnsi" w:cstheme="majorHAnsi"/>
                <w:b/>
                <w:bCs/>
                <w:color w:val="000000"/>
                <w:sz w:val="18"/>
                <w:szCs w:val="18"/>
              </w:rPr>
              <w:t>BPS:20/22 Field Test Respondent</w:t>
            </w:r>
          </w:p>
        </w:tc>
        <w:tc>
          <w:tcPr>
            <w:tcW w:w="1890" w:type="dxa"/>
            <w:tcBorders>
              <w:top w:val="single" w:sz="12" w:space="0" w:color="auto"/>
              <w:left w:val="nil"/>
              <w:bottom w:val="single" w:sz="8" w:space="0" w:color="auto"/>
              <w:right w:val="nil"/>
            </w:tcBorders>
            <w:shd w:val="clear" w:color="auto" w:fill="auto"/>
            <w:vAlign w:val="center"/>
            <w:hideMark/>
          </w:tcPr>
          <w:p w:rsidR="00D93F61" w:rsidRPr="00FD022B" w:rsidP="00FD022B" w14:paraId="436607E2" w14:textId="77777777">
            <w:pPr>
              <w:jc w:val="right"/>
              <w:rPr>
                <w:rFonts w:asciiTheme="majorHAnsi" w:hAnsiTheme="majorHAnsi" w:cstheme="majorHAnsi"/>
                <w:b/>
                <w:bCs/>
                <w:color w:val="000000"/>
                <w:sz w:val="18"/>
                <w:szCs w:val="18"/>
              </w:rPr>
            </w:pPr>
            <w:r w:rsidRPr="00FD022B">
              <w:rPr>
                <w:rFonts w:asciiTheme="majorHAnsi" w:hAnsiTheme="majorHAnsi" w:cstheme="majorHAnsi"/>
                <w:b/>
                <w:bCs/>
                <w:color w:val="000000"/>
                <w:sz w:val="18"/>
                <w:szCs w:val="18"/>
              </w:rPr>
              <w:t>Known Eligibility</w:t>
            </w:r>
            <w:r w:rsidRPr="00FD022B">
              <w:rPr>
                <w:rFonts w:asciiTheme="majorHAnsi" w:hAnsiTheme="majorHAnsi" w:cstheme="majorHAnsi"/>
                <w:b/>
                <w:bCs/>
                <w:color w:val="000000"/>
                <w:sz w:val="18"/>
                <w:szCs w:val="18"/>
                <w:vertAlign w:val="superscript"/>
              </w:rPr>
              <w:t>1</w:t>
            </w:r>
          </w:p>
        </w:tc>
        <w:tc>
          <w:tcPr>
            <w:tcW w:w="1170" w:type="dxa"/>
            <w:tcBorders>
              <w:top w:val="single" w:sz="12" w:space="0" w:color="auto"/>
              <w:left w:val="nil"/>
              <w:bottom w:val="single" w:sz="8" w:space="0" w:color="auto"/>
              <w:right w:val="nil"/>
            </w:tcBorders>
            <w:shd w:val="clear" w:color="auto" w:fill="auto"/>
            <w:vAlign w:val="center"/>
            <w:hideMark/>
          </w:tcPr>
          <w:p w:rsidR="00D93F61" w:rsidRPr="00FD022B" w:rsidP="00FD022B" w14:paraId="3C4938FA" w14:textId="77777777">
            <w:pPr>
              <w:jc w:val="right"/>
              <w:rPr>
                <w:rFonts w:asciiTheme="majorHAnsi" w:hAnsiTheme="majorHAnsi" w:cstheme="majorHAnsi"/>
                <w:b/>
                <w:bCs/>
                <w:color w:val="000000"/>
                <w:sz w:val="18"/>
                <w:szCs w:val="18"/>
              </w:rPr>
            </w:pPr>
            <w:r w:rsidRPr="00FD022B">
              <w:rPr>
                <w:rFonts w:asciiTheme="majorHAnsi" w:hAnsiTheme="majorHAnsi" w:cstheme="majorHAnsi"/>
                <w:b/>
                <w:bCs/>
                <w:color w:val="000000"/>
                <w:sz w:val="18"/>
                <w:szCs w:val="18"/>
              </w:rPr>
              <w:t>Count</w:t>
            </w:r>
          </w:p>
        </w:tc>
        <w:tc>
          <w:tcPr>
            <w:tcW w:w="2070" w:type="dxa"/>
            <w:tcBorders>
              <w:top w:val="single" w:sz="12" w:space="0" w:color="auto"/>
              <w:left w:val="nil"/>
              <w:bottom w:val="single" w:sz="8" w:space="0" w:color="auto"/>
              <w:right w:val="nil"/>
            </w:tcBorders>
            <w:shd w:val="clear" w:color="auto" w:fill="auto"/>
            <w:vAlign w:val="center"/>
            <w:hideMark/>
          </w:tcPr>
          <w:p w:rsidR="00D93F61" w:rsidRPr="00FD022B" w:rsidP="00FD022B" w14:paraId="601B9A6C" w14:textId="77777777">
            <w:pPr>
              <w:jc w:val="right"/>
              <w:rPr>
                <w:rFonts w:asciiTheme="majorHAnsi" w:hAnsiTheme="majorHAnsi" w:cstheme="majorHAnsi"/>
                <w:b/>
                <w:bCs/>
                <w:color w:val="000000"/>
                <w:sz w:val="18"/>
                <w:szCs w:val="18"/>
              </w:rPr>
            </w:pPr>
            <w:r w:rsidRPr="00FD022B">
              <w:rPr>
                <w:rFonts w:asciiTheme="majorHAnsi" w:hAnsiTheme="majorHAnsi" w:cstheme="majorHAnsi"/>
                <w:b/>
                <w:bCs/>
                <w:color w:val="000000"/>
                <w:sz w:val="18"/>
                <w:szCs w:val="18"/>
              </w:rPr>
              <w:t>Fielded in BPS:20/25 Field Test</w:t>
            </w:r>
          </w:p>
        </w:tc>
      </w:tr>
      <w:tr w14:paraId="723C52E6" w14:textId="77777777" w:rsidTr="00FD022B">
        <w:tblPrEx>
          <w:tblW w:w="10170" w:type="dxa"/>
          <w:tblLook w:val="04A0"/>
        </w:tblPrEx>
        <w:trPr>
          <w:trHeight w:val="300"/>
        </w:trPr>
        <w:tc>
          <w:tcPr>
            <w:tcW w:w="960" w:type="dxa"/>
            <w:tcBorders>
              <w:top w:val="single" w:sz="8" w:space="0" w:color="auto"/>
              <w:left w:val="nil"/>
              <w:bottom w:val="single" w:sz="4" w:space="0" w:color="auto"/>
              <w:right w:val="nil"/>
            </w:tcBorders>
            <w:shd w:val="clear" w:color="auto" w:fill="auto"/>
            <w:vAlign w:val="center"/>
          </w:tcPr>
          <w:p w:rsidR="00FD022B" w:rsidRPr="00FD022B" w:rsidP="00FD022B" w14:paraId="5D5129E2" w14:textId="2243EBB3">
            <w:pPr>
              <w:rPr>
                <w:rFonts w:asciiTheme="majorHAnsi" w:hAnsiTheme="majorHAnsi" w:cstheme="majorHAnsi"/>
                <w:b/>
                <w:bCs/>
                <w:color w:val="000000"/>
                <w:sz w:val="18"/>
                <w:szCs w:val="18"/>
              </w:rPr>
            </w:pPr>
            <w:r w:rsidRPr="00FD022B">
              <w:rPr>
                <w:rFonts w:asciiTheme="majorHAnsi" w:hAnsiTheme="majorHAnsi" w:cstheme="majorHAnsi"/>
                <w:b/>
                <w:bCs/>
                <w:color w:val="000000"/>
                <w:sz w:val="18"/>
                <w:szCs w:val="18"/>
              </w:rPr>
              <w:t>Total</w:t>
            </w:r>
          </w:p>
        </w:tc>
        <w:tc>
          <w:tcPr>
            <w:tcW w:w="2010" w:type="dxa"/>
            <w:tcBorders>
              <w:top w:val="single" w:sz="8" w:space="0" w:color="auto"/>
              <w:left w:val="nil"/>
              <w:bottom w:val="single" w:sz="4" w:space="0" w:color="auto"/>
              <w:right w:val="nil"/>
            </w:tcBorders>
            <w:shd w:val="clear" w:color="auto" w:fill="auto"/>
            <w:vAlign w:val="bottom"/>
          </w:tcPr>
          <w:p w:rsidR="00FD022B" w:rsidRPr="00FD022B" w:rsidP="00FD022B" w14:paraId="0DC0AABB" w14:textId="22B601AE">
            <w:pPr>
              <w:jc w:val="right"/>
              <w:rPr>
                <w:rFonts w:asciiTheme="majorHAnsi" w:hAnsiTheme="majorHAnsi" w:cstheme="majorHAnsi"/>
                <w:b/>
                <w:bCs/>
                <w:color w:val="000000"/>
                <w:sz w:val="18"/>
                <w:szCs w:val="18"/>
              </w:rPr>
            </w:pPr>
            <w:r w:rsidRPr="00FD022B">
              <w:rPr>
                <w:rFonts w:asciiTheme="majorHAnsi" w:hAnsiTheme="majorHAnsi" w:cstheme="majorHAnsi"/>
                <w:b/>
                <w:bCs/>
                <w:color w:val="000000"/>
                <w:sz w:val="18"/>
                <w:szCs w:val="18"/>
              </w:rPr>
              <w:t> </w:t>
            </w:r>
          </w:p>
        </w:tc>
        <w:tc>
          <w:tcPr>
            <w:tcW w:w="2070" w:type="dxa"/>
            <w:tcBorders>
              <w:top w:val="single" w:sz="8" w:space="0" w:color="auto"/>
              <w:left w:val="nil"/>
              <w:bottom w:val="single" w:sz="4" w:space="0" w:color="auto"/>
              <w:right w:val="nil"/>
            </w:tcBorders>
            <w:shd w:val="clear" w:color="auto" w:fill="auto"/>
            <w:vAlign w:val="bottom"/>
          </w:tcPr>
          <w:p w:rsidR="00FD022B" w:rsidRPr="00FD022B" w:rsidP="00FD022B" w14:paraId="3362836E" w14:textId="3B6B26E9">
            <w:pPr>
              <w:jc w:val="right"/>
              <w:rPr>
                <w:rFonts w:asciiTheme="majorHAnsi" w:hAnsiTheme="majorHAnsi" w:cstheme="majorHAnsi"/>
                <w:b/>
                <w:bCs/>
                <w:color w:val="000000"/>
                <w:sz w:val="18"/>
                <w:szCs w:val="18"/>
              </w:rPr>
            </w:pPr>
            <w:r w:rsidRPr="00FD022B">
              <w:rPr>
                <w:rFonts w:asciiTheme="majorHAnsi" w:hAnsiTheme="majorHAnsi" w:cstheme="majorHAnsi"/>
                <w:b/>
                <w:bCs/>
                <w:color w:val="000000"/>
                <w:sz w:val="18"/>
                <w:szCs w:val="18"/>
              </w:rPr>
              <w:t> </w:t>
            </w:r>
          </w:p>
        </w:tc>
        <w:tc>
          <w:tcPr>
            <w:tcW w:w="1890" w:type="dxa"/>
            <w:tcBorders>
              <w:top w:val="single" w:sz="8" w:space="0" w:color="auto"/>
              <w:left w:val="nil"/>
              <w:bottom w:val="single" w:sz="4" w:space="0" w:color="auto"/>
              <w:right w:val="nil"/>
            </w:tcBorders>
            <w:shd w:val="clear" w:color="auto" w:fill="auto"/>
            <w:vAlign w:val="bottom"/>
          </w:tcPr>
          <w:p w:rsidR="00FD022B" w:rsidRPr="00FD022B" w:rsidP="00FD022B" w14:paraId="6558CEFA" w14:textId="18C0830D">
            <w:pPr>
              <w:jc w:val="right"/>
              <w:rPr>
                <w:rFonts w:asciiTheme="majorHAnsi" w:hAnsiTheme="majorHAnsi" w:cstheme="majorHAnsi"/>
                <w:b/>
                <w:bCs/>
                <w:color w:val="000000"/>
                <w:sz w:val="18"/>
                <w:szCs w:val="18"/>
              </w:rPr>
            </w:pPr>
            <w:r w:rsidRPr="00FD022B">
              <w:rPr>
                <w:rFonts w:asciiTheme="majorHAnsi" w:hAnsiTheme="majorHAnsi" w:cstheme="majorHAnsi"/>
                <w:b/>
                <w:bCs/>
                <w:color w:val="000000"/>
                <w:sz w:val="18"/>
                <w:szCs w:val="18"/>
              </w:rPr>
              <w:t> </w:t>
            </w:r>
          </w:p>
        </w:tc>
        <w:tc>
          <w:tcPr>
            <w:tcW w:w="1170" w:type="dxa"/>
            <w:tcBorders>
              <w:top w:val="single" w:sz="8" w:space="0" w:color="auto"/>
              <w:left w:val="nil"/>
              <w:bottom w:val="single" w:sz="4" w:space="0" w:color="auto"/>
              <w:right w:val="nil"/>
            </w:tcBorders>
            <w:shd w:val="clear" w:color="auto" w:fill="auto"/>
            <w:noWrap/>
            <w:vAlign w:val="bottom"/>
          </w:tcPr>
          <w:p w:rsidR="00FD022B" w:rsidRPr="00FD022B" w:rsidP="00FD022B" w14:paraId="1B09399E" w14:textId="2C704B5D">
            <w:pPr>
              <w:jc w:val="right"/>
              <w:rPr>
                <w:rFonts w:asciiTheme="majorHAnsi" w:hAnsiTheme="majorHAnsi" w:cstheme="majorHAnsi"/>
                <w:b/>
                <w:bCs/>
                <w:color w:val="000000"/>
                <w:sz w:val="18"/>
                <w:szCs w:val="18"/>
              </w:rPr>
            </w:pPr>
            <w:r w:rsidRPr="00FD022B">
              <w:rPr>
                <w:rFonts w:asciiTheme="majorHAnsi" w:hAnsiTheme="majorHAnsi" w:cstheme="majorHAnsi"/>
                <w:b/>
                <w:bCs/>
                <w:color w:val="000000"/>
                <w:sz w:val="18"/>
                <w:szCs w:val="18"/>
              </w:rPr>
              <w:t>3,280</w:t>
            </w:r>
          </w:p>
        </w:tc>
        <w:tc>
          <w:tcPr>
            <w:tcW w:w="2070" w:type="dxa"/>
            <w:tcBorders>
              <w:top w:val="single" w:sz="8" w:space="0" w:color="auto"/>
              <w:left w:val="nil"/>
              <w:bottom w:val="single" w:sz="4" w:space="0" w:color="auto"/>
              <w:right w:val="nil"/>
            </w:tcBorders>
            <w:shd w:val="clear" w:color="auto" w:fill="auto"/>
            <w:vAlign w:val="bottom"/>
          </w:tcPr>
          <w:p w:rsidR="00FD022B" w:rsidRPr="00FD022B" w:rsidP="00FD022B" w14:paraId="4BF43259" w14:textId="6B07E6C1">
            <w:pPr>
              <w:jc w:val="right"/>
              <w:rPr>
                <w:rFonts w:asciiTheme="majorHAnsi" w:hAnsiTheme="majorHAnsi" w:cstheme="majorHAnsi"/>
                <w:b/>
                <w:bCs/>
                <w:color w:val="000000"/>
                <w:sz w:val="18"/>
                <w:szCs w:val="18"/>
              </w:rPr>
            </w:pPr>
            <w:r w:rsidRPr="00FD022B">
              <w:rPr>
                <w:rFonts w:asciiTheme="majorHAnsi" w:hAnsiTheme="majorHAnsi" w:cstheme="majorHAnsi"/>
                <w:b/>
                <w:bCs/>
                <w:color w:val="000000"/>
                <w:sz w:val="18"/>
                <w:szCs w:val="18"/>
              </w:rPr>
              <w:t> </w:t>
            </w:r>
          </w:p>
        </w:tc>
      </w:tr>
      <w:tr w14:paraId="2F16CF30" w14:textId="77777777" w:rsidTr="00FD022B">
        <w:tblPrEx>
          <w:tblW w:w="10170" w:type="dxa"/>
          <w:tblLook w:val="04A0"/>
        </w:tblPrEx>
        <w:trPr>
          <w:trHeight w:val="300"/>
        </w:trPr>
        <w:tc>
          <w:tcPr>
            <w:tcW w:w="960" w:type="dxa"/>
            <w:tcBorders>
              <w:top w:val="single" w:sz="4" w:space="0" w:color="auto"/>
              <w:left w:val="nil"/>
              <w:bottom w:val="nil"/>
              <w:right w:val="nil"/>
            </w:tcBorders>
            <w:shd w:val="clear" w:color="auto" w:fill="auto"/>
            <w:vAlign w:val="center"/>
            <w:hideMark/>
          </w:tcPr>
          <w:p w:rsidR="00FD022B" w:rsidRPr="00FD022B" w:rsidP="00FD022B" w14:paraId="01E52758" w14:textId="77777777">
            <w:pPr>
              <w:rPr>
                <w:rFonts w:asciiTheme="majorHAnsi" w:hAnsiTheme="majorHAnsi" w:cstheme="majorHAnsi"/>
                <w:color w:val="000000"/>
                <w:sz w:val="18"/>
                <w:szCs w:val="18"/>
              </w:rPr>
            </w:pPr>
            <w:r w:rsidRPr="00FD022B">
              <w:rPr>
                <w:rFonts w:asciiTheme="majorHAnsi" w:hAnsiTheme="majorHAnsi" w:cstheme="majorHAnsi"/>
                <w:color w:val="000000"/>
                <w:sz w:val="18"/>
                <w:szCs w:val="18"/>
              </w:rPr>
              <w:t>1</w:t>
            </w:r>
          </w:p>
        </w:tc>
        <w:tc>
          <w:tcPr>
            <w:tcW w:w="2010" w:type="dxa"/>
            <w:tcBorders>
              <w:top w:val="single" w:sz="4" w:space="0" w:color="auto"/>
              <w:left w:val="nil"/>
              <w:bottom w:val="nil"/>
              <w:right w:val="nil"/>
            </w:tcBorders>
            <w:shd w:val="clear" w:color="auto" w:fill="auto"/>
            <w:vAlign w:val="center"/>
            <w:hideMark/>
          </w:tcPr>
          <w:p w:rsidR="00FD022B" w:rsidRPr="00FD022B" w:rsidP="00FD022B" w14:paraId="4F230860" w14:textId="77777777">
            <w:pPr>
              <w:jc w:val="right"/>
              <w:rPr>
                <w:rFonts w:asciiTheme="majorHAnsi" w:hAnsiTheme="majorHAnsi" w:cstheme="majorHAnsi"/>
                <w:color w:val="000000"/>
                <w:sz w:val="18"/>
                <w:szCs w:val="18"/>
              </w:rPr>
            </w:pPr>
            <w:r w:rsidRPr="00FD022B">
              <w:rPr>
                <w:rFonts w:asciiTheme="majorHAnsi" w:hAnsiTheme="majorHAnsi" w:cstheme="majorHAnsi"/>
                <w:color w:val="000000"/>
                <w:sz w:val="18"/>
                <w:szCs w:val="18"/>
              </w:rPr>
              <w:t>Yes</w:t>
            </w:r>
          </w:p>
        </w:tc>
        <w:tc>
          <w:tcPr>
            <w:tcW w:w="2070" w:type="dxa"/>
            <w:tcBorders>
              <w:top w:val="single" w:sz="4" w:space="0" w:color="auto"/>
              <w:left w:val="nil"/>
              <w:bottom w:val="nil"/>
              <w:right w:val="nil"/>
            </w:tcBorders>
            <w:shd w:val="clear" w:color="auto" w:fill="auto"/>
            <w:vAlign w:val="center"/>
            <w:hideMark/>
          </w:tcPr>
          <w:p w:rsidR="00FD022B" w:rsidRPr="00FD022B" w:rsidP="00FD022B" w14:paraId="0E052791" w14:textId="77777777">
            <w:pPr>
              <w:jc w:val="right"/>
              <w:rPr>
                <w:rFonts w:asciiTheme="majorHAnsi" w:hAnsiTheme="majorHAnsi" w:cstheme="majorHAnsi"/>
                <w:color w:val="000000"/>
                <w:sz w:val="18"/>
                <w:szCs w:val="18"/>
              </w:rPr>
            </w:pPr>
            <w:r w:rsidRPr="00FD022B">
              <w:rPr>
                <w:rFonts w:asciiTheme="majorHAnsi" w:hAnsiTheme="majorHAnsi" w:cstheme="majorHAnsi"/>
                <w:color w:val="000000"/>
                <w:sz w:val="18"/>
                <w:szCs w:val="18"/>
              </w:rPr>
              <w:t>Yes</w:t>
            </w:r>
          </w:p>
        </w:tc>
        <w:tc>
          <w:tcPr>
            <w:tcW w:w="1890" w:type="dxa"/>
            <w:tcBorders>
              <w:top w:val="single" w:sz="4" w:space="0" w:color="auto"/>
              <w:left w:val="nil"/>
              <w:bottom w:val="nil"/>
              <w:right w:val="nil"/>
            </w:tcBorders>
            <w:shd w:val="clear" w:color="auto" w:fill="auto"/>
            <w:vAlign w:val="center"/>
            <w:hideMark/>
          </w:tcPr>
          <w:p w:rsidR="00FD022B" w:rsidRPr="00FD022B" w:rsidP="00FD022B" w14:paraId="76CBA43D" w14:textId="77777777">
            <w:pPr>
              <w:jc w:val="right"/>
              <w:rPr>
                <w:rFonts w:asciiTheme="majorHAnsi" w:hAnsiTheme="majorHAnsi" w:cstheme="majorHAnsi"/>
                <w:color w:val="000000"/>
                <w:sz w:val="18"/>
                <w:szCs w:val="18"/>
              </w:rPr>
            </w:pPr>
            <w:r w:rsidRPr="00FD022B">
              <w:rPr>
                <w:rFonts w:asciiTheme="majorHAnsi" w:hAnsiTheme="majorHAnsi" w:cstheme="majorHAnsi"/>
                <w:color w:val="000000"/>
                <w:sz w:val="18"/>
                <w:szCs w:val="18"/>
              </w:rPr>
              <w:t>Yes</w:t>
            </w:r>
          </w:p>
        </w:tc>
        <w:tc>
          <w:tcPr>
            <w:tcW w:w="1170" w:type="dxa"/>
            <w:tcBorders>
              <w:top w:val="single" w:sz="4" w:space="0" w:color="auto"/>
              <w:left w:val="nil"/>
              <w:bottom w:val="nil"/>
              <w:right w:val="nil"/>
            </w:tcBorders>
            <w:shd w:val="clear" w:color="auto" w:fill="auto"/>
            <w:noWrap/>
            <w:vAlign w:val="bottom"/>
            <w:hideMark/>
          </w:tcPr>
          <w:p w:rsidR="00FD022B" w:rsidRPr="00FD022B" w:rsidP="00FD022B" w14:paraId="7D68ABB2" w14:textId="77777777">
            <w:pPr>
              <w:jc w:val="right"/>
              <w:rPr>
                <w:rFonts w:asciiTheme="majorHAnsi" w:hAnsiTheme="majorHAnsi" w:cstheme="majorHAnsi"/>
                <w:color w:val="000000"/>
                <w:sz w:val="18"/>
                <w:szCs w:val="18"/>
              </w:rPr>
            </w:pPr>
            <w:r w:rsidRPr="00FD022B">
              <w:rPr>
                <w:rFonts w:asciiTheme="majorHAnsi" w:hAnsiTheme="majorHAnsi" w:cstheme="majorHAnsi"/>
                <w:color w:val="000000"/>
                <w:sz w:val="18"/>
                <w:szCs w:val="18"/>
              </w:rPr>
              <w:t>1,910</w:t>
            </w:r>
          </w:p>
        </w:tc>
        <w:tc>
          <w:tcPr>
            <w:tcW w:w="2070" w:type="dxa"/>
            <w:tcBorders>
              <w:top w:val="single" w:sz="4" w:space="0" w:color="auto"/>
              <w:left w:val="nil"/>
              <w:bottom w:val="nil"/>
              <w:right w:val="nil"/>
            </w:tcBorders>
            <w:shd w:val="clear" w:color="auto" w:fill="auto"/>
            <w:vAlign w:val="center"/>
            <w:hideMark/>
          </w:tcPr>
          <w:p w:rsidR="00FD022B" w:rsidRPr="00FD022B" w:rsidP="00FD022B" w14:paraId="338FCF77" w14:textId="77777777">
            <w:pPr>
              <w:jc w:val="right"/>
              <w:rPr>
                <w:rFonts w:asciiTheme="majorHAnsi" w:hAnsiTheme="majorHAnsi" w:cstheme="majorHAnsi"/>
                <w:color w:val="000000"/>
                <w:sz w:val="18"/>
                <w:szCs w:val="18"/>
              </w:rPr>
            </w:pPr>
            <w:r w:rsidRPr="00FD022B">
              <w:rPr>
                <w:rFonts w:asciiTheme="majorHAnsi" w:hAnsiTheme="majorHAnsi" w:cstheme="majorHAnsi"/>
                <w:color w:val="000000"/>
                <w:sz w:val="18"/>
                <w:szCs w:val="18"/>
              </w:rPr>
              <w:t>Yes</w:t>
            </w:r>
          </w:p>
        </w:tc>
      </w:tr>
      <w:tr w14:paraId="4E260E43" w14:textId="77777777" w:rsidTr="00FD022B">
        <w:tblPrEx>
          <w:tblW w:w="10170" w:type="dxa"/>
          <w:tblLook w:val="04A0"/>
        </w:tblPrEx>
        <w:trPr>
          <w:trHeight w:val="300"/>
        </w:trPr>
        <w:tc>
          <w:tcPr>
            <w:tcW w:w="960" w:type="dxa"/>
            <w:tcBorders>
              <w:top w:val="nil"/>
              <w:left w:val="nil"/>
              <w:bottom w:val="nil"/>
              <w:right w:val="nil"/>
            </w:tcBorders>
            <w:shd w:val="clear" w:color="auto" w:fill="auto"/>
            <w:vAlign w:val="center"/>
            <w:hideMark/>
          </w:tcPr>
          <w:p w:rsidR="00FD022B" w:rsidRPr="00FD022B" w:rsidP="00FD022B" w14:paraId="19173ECE" w14:textId="77777777">
            <w:pPr>
              <w:rPr>
                <w:rFonts w:asciiTheme="majorHAnsi" w:hAnsiTheme="majorHAnsi" w:cstheme="majorHAnsi"/>
                <w:color w:val="000000"/>
                <w:sz w:val="18"/>
                <w:szCs w:val="18"/>
              </w:rPr>
            </w:pPr>
            <w:r w:rsidRPr="00FD022B">
              <w:rPr>
                <w:rFonts w:asciiTheme="majorHAnsi" w:hAnsiTheme="majorHAnsi" w:cstheme="majorHAnsi"/>
                <w:color w:val="000000"/>
                <w:sz w:val="18"/>
                <w:szCs w:val="18"/>
              </w:rPr>
              <w:t>2</w:t>
            </w:r>
          </w:p>
        </w:tc>
        <w:tc>
          <w:tcPr>
            <w:tcW w:w="2010" w:type="dxa"/>
            <w:tcBorders>
              <w:top w:val="nil"/>
              <w:left w:val="nil"/>
              <w:bottom w:val="nil"/>
              <w:right w:val="nil"/>
            </w:tcBorders>
            <w:shd w:val="clear" w:color="auto" w:fill="auto"/>
            <w:vAlign w:val="center"/>
            <w:hideMark/>
          </w:tcPr>
          <w:p w:rsidR="00FD022B" w:rsidRPr="00FD022B" w:rsidP="00FD022B" w14:paraId="2BD11A90" w14:textId="77777777">
            <w:pPr>
              <w:jc w:val="right"/>
              <w:rPr>
                <w:rFonts w:asciiTheme="majorHAnsi" w:hAnsiTheme="majorHAnsi" w:cstheme="majorHAnsi"/>
                <w:color w:val="000000"/>
                <w:sz w:val="18"/>
                <w:szCs w:val="18"/>
              </w:rPr>
            </w:pPr>
            <w:r w:rsidRPr="00FD022B">
              <w:rPr>
                <w:rFonts w:asciiTheme="majorHAnsi" w:hAnsiTheme="majorHAnsi" w:cstheme="majorHAnsi"/>
                <w:color w:val="000000"/>
                <w:sz w:val="18"/>
                <w:szCs w:val="18"/>
              </w:rPr>
              <w:t>Yes</w:t>
            </w:r>
          </w:p>
        </w:tc>
        <w:tc>
          <w:tcPr>
            <w:tcW w:w="2070" w:type="dxa"/>
            <w:tcBorders>
              <w:top w:val="nil"/>
              <w:left w:val="nil"/>
              <w:bottom w:val="nil"/>
              <w:right w:val="nil"/>
            </w:tcBorders>
            <w:shd w:val="clear" w:color="auto" w:fill="auto"/>
            <w:vAlign w:val="center"/>
            <w:hideMark/>
          </w:tcPr>
          <w:p w:rsidR="00FD022B" w:rsidRPr="00FD022B" w:rsidP="00FD022B" w14:paraId="0FF4C2DC" w14:textId="77777777">
            <w:pPr>
              <w:jc w:val="right"/>
              <w:rPr>
                <w:rFonts w:asciiTheme="majorHAnsi" w:hAnsiTheme="majorHAnsi" w:cstheme="majorHAnsi"/>
                <w:color w:val="000000"/>
                <w:sz w:val="18"/>
                <w:szCs w:val="18"/>
              </w:rPr>
            </w:pPr>
            <w:r w:rsidRPr="00FD022B">
              <w:rPr>
                <w:rFonts w:asciiTheme="majorHAnsi" w:hAnsiTheme="majorHAnsi" w:cstheme="majorHAnsi"/>
                <w:color w:val="000000"/>
                <w:sz w:val="18"/>
                <w:szCs w:val="18"/>
              </w:rPr>
              <w:t>No</w:t>
            </w:r>
          </w:p>
        </w:tc>
        <w:tc>
          <w:tcPr>
            <w:tcW w:w="1890" w:type="dxa"/>
            <w:tcBorders>
              <w:top w:val="nil"/>
              <w:left w:val="nil"/>
              <w:bottom w:val="nil"/>
              <w:right w:val="nil"/>
            </w:tcBorders>
            <w:shd w:val="clear" w:color="auto" w:fill="auto"/>
            <w:vAlign w:val="center"/>
            <w:hideMark/>
          </w:tcPr>
          <w:p w:rsidR="00FD022B" w:rsidRPr="00FD022B" w:rsidP="00FD022B" w14:paraId="3BE41C68" w14:textId="77777777">
            <w:pPr>
              <w:jc w:val="right"/>
              <w:rPr>
                <w:rFonts w:asciiTheme="majorHAnsi" w:hAnsiTheme="majorHAnsi" w:cstheme="majorHAnsi"/>
                <w:color w:val="000000"/>
                <w:sz w:val="18"/>
                <w:szCs w:val="18"/>
              </w:rPr>
            </w:pPr>
            <w:r w:rsidRPr="00FD022B">
              <w:rPr>
                <w:rFonts w:asciiTheme="majorHAnsi" w:hAnsiTheme="majorHAnsi" w:cstheme="majorHAnsi"/>
                <w:color w:val="000000"/>
                <w:sz w:val="18"/>
                <w:szCs w:val="18"/>
              </w:rPr>
              <w:t>Yes</w:t>
            </w:r>
          </w:p>
        </w:tc>
        <w:tc>
          <w:tcPr>
            <w:tcW w:w="1170" w:type="dxa"/>
            <w:tcBorders>
              <w:top w:val="nil"/>
              <w:left w:val="nil"/>
              <w:bottom w:val="nil"/>
              <w:right w:val="nil"/>
            </w:tcBorders>
            <w:shd w:val="clear" w:color="auto" w:fill="auto"/>
            <w:noWrap/>
            <w:vAlign w:val="bottom"/>
            <w:hideMark/>
          </w:tcPr>
          <w:p w:rsidR="00FD022B" w:rsidRPr="00FD022B" w:rsidP="00FD022B" w14:paraId="39229B3F" w14:textId="77777777">
            <w:pPr>
              <w:jc w:val="right"/>
              <w:rPr>
                <w:rFonts w:asciiTheme="majorHAnsi" w:hAnsiTheme="majorHAnsi" w:cstheme="majorHAnsi"/>
                <w:color w:val="000000"/>
                <w:sz w:val="18"/>
                <w:szCs w:val="18"/>
              </w:rPr>
            </w:pPr>
            <w:r w:rsidRPr="00FD022B">
              <w:rPr>
                <w:rFonts w:asciiTheme="majorHAnsi" w:hAnsiTheme="majorHAnsi" w:cstheme="majorHAnsi"/>
                <w:color w:val="000000"/>
                <w:sz w:val="18"/>
                <w:szCs w:val="18"/>
              </w:rPr>
              <w:t xml:space="preserve"> 550</w:t>
            </w:r>
          </w:p>
        </w:tc>
        <w:tc>
          <w:tcPr>
            <w:tcW w:w="2070" w:type="dxa"/>
            <w:tcBorders>
              <w:top w:val="nil"/>
              <w:left w:val="nil"/>
              <w:bottom w:val="nil"/>
              <w:right w:val="nil"/>
            </w:tcBorders>
            <w:shd w:val="clear" w:color="auto" w:fill="auto"/>
            <w:vAlign w:val="center"/>
            <w:hideMark/>
          </w:tcPr>
          <w:p w:rsidR="00FD022B" w:rsidRPr="00FD022B" w:rsidP="00FD022B" w14:paraId="7FAA9514" w14:textId="77777777">
            <w:pPr>
              <w:jc w:val="right"/>
              <w:rPr>
                <w:rFonts w:asciiTheme="majorHAnsi" w:hAnsiTheme="majorHAnsi" w:cstheme="majorHAnsi"/>
                <w:color w:val="000000"/>
                <w:sz w:val="18"/>
                <w:szCs w:val="18"/>
              </w:rPr>
            </w:pPr>
            <w:r w:rsidRPr="00FD022B">
              <w:rPr>
                <w:rFonts w:asciiTheme="majorHAnsi" w:hAnsiTheme="majorHAnsi" w:cstheme="majorHAnsi"/>
                <w:color w:val="000000"/>
                <w:sz w:val="18"/>
                <w:szCs w:val="18"/>
              </w:rPr>
              <w:t>Yes</w:t>
            </w:r>
          </w:p>
        </w:tc>
      </w:tr>
      <w:tr w14:paraId="3B34BAF0" w14:textId="77777777" w:rsidTr="00FD022B">
        <w:tblPrEx>
          <w:tblW w:w="10170" w:type="dxa"/>
          <w:tblLook w:val="04A0"/>
        </w:tblPrEx>
        <w:trPr>
          <w:trHeight w:val="300"/>
        </w:trPr>
        <w:tc>
          <w:tcPr>
            <w:tcW w:w="960" w:type="dxa"/>
            <w:tcBorders>
              <w:top w:val="nil"/>
              <w:left w:val="nil"/>
              <w:bottom w:val="nil"/>
              <w:right w:val="nil"/>
            </w:tcBorders>
            <w:shd w:val="clear" w:color="auto" w:fill="auto"/>
            <w:vAlign w:val="center"/>
            <w:hideMark/>
          </w:tcPr>
          <w:p w:rsidR="00FD022B" w:rsidRPr="00FD022B" w:rsidP="00FD022B" w14:paraId="24FDECB2" w14:textId="77777777">
            <w:pPr>
              <w:rPr>
                <w:rFonts w:asciiTheme="majorHAnsi" w:hAnsiTheme="majorHAnsi" w:cstheme="majorHAnsi"/>
                <w:color w:val="000000"/>
                <w:sz w:val="18"/>
                <w:szCs w:val="18"/>
              </w:rPr>
            </w:pPr>
            <w:r w:rsidRPr="00FD022B">
              <w:rPr>
                <w:rFonts w:asciiTheme="majorHAnsi" w:hAnsiTheme="majorHAnsi" w:cstheme="majorHAnsi"/>
                <w:color w:val="000000"/>
                <w:sz w:val="18"/>
                <w:szCs w:val="18"/>
              </w:rPr>
              <w:t>3</w:t>
            </w:r>
            <w:r w:rsidRPr="00FD022B">
              <w:rPr>
                <w:rFonts w:asciiTheme="majorHAnsi" w:hAnsiTheme="majorHAnsi" w:cstheme="majorHAnsi"/>
                <w:color w:val="000000"/>
                <w:sz w:val="18"/>
                <w:szCs w:val="18"/>
                <w:vertAlign w:val="superscript"/>
              </w:rPr>
              <w:t>2</w:t>
            </w:r>
          </w:p>
        </w:tc>
        <w:tc>
          <w:tcPr>
            <w:tcW w:w="2010" w:type="dxa"/>
            <w:tcBorders>
              <w:top w:val="nil"/>
              <w:left w:val="nil"/>
              <w:bottom w:val="nil"/>
              <w:right w:val="nil"/>
            </w:tcBorders>
            <w:shd w:val="clear" w:color="auto" w:fill="auto"/>
            <w:vAlign w:val="center"/>
            <w:hideMark/>
          </w:tcPr>
          <w:p w:rsidR="00FD022B" w:rsidRPr="00FD022B" w:rsidP="00FD022B" w14:paraId="3C6E1FA9" w14:textId="77777777">
            <w:pPr>
              <w:jc w:val="right"/>
              <w:rPr>
                <w:rFonts w:asciiTheme="majorHAnsi" w:hAnsiTheme="majorHAnsi" w:cstheme="majorHAnsi"/>
                <w:color w:val="000000"/>
                <w:sz w:val="18"/>
                <w:szCs w:val="18"/>
              </w:rPr>
            </w:pPr>
            <w:r w:rsidRPr="00FD022B">
              <w:rPr>
                <w:rFonts w:asciiTheme="majorHAnsi" w:hAnsiTheme="majorHAnsi" w:cstheme="majorHAnsi"/>
                <w:color w:val="000000"/>
                <w:sz w:val="18"/>
                <w:szCs w:val="18"/>
              </w:rPr>
              <w:t>Yes</w:t>
            </w:r>
          </w:p>
        </w:tc>
        <w:tc>
          <w:tcPr>
            <w:tcW w:w="2070" w:type="dxa"/>
            <w:tcBorders>
              <w:top w:val="nil"/>
              <w:left w:val="nil"/>
              <w:bottom w:val="nil"/>
              <w:right w:val="nil"/>
            </w:tcBorders>
            <w:shd w:val="clear" w:color="auto" w:fill="auto"/>
            <w:vAlign w:val="center"/>
            <w:hideMark/>
          </w:tcPr>
          <w:p w:rsidR="00FD022B" w:rsidRPr="00FD022B" w:rsidP="00FD022B" w14:paraId="67C17CAB" w14:textId="77777777">
            <w:pPr>
              <w:jc w:val="right"/>
              <w:rPr>
                <w:rFonts w:asciiTheme="majorHAnsi" w:hAnsiTheme="majorHAnsi" w:cstheme="majorHAnsi"/>
                <w:color w:val="000000"/>
                <w:sz w:val="18"/>
                <w:szCs w:val="18"/>
              </w:rPr>
            </w:pPr>
            <w:r w:rsidRPr="00FD022B">
              <w:rPr>
                <w:rFonts w:asciiTheme="majorHAnsi" w:hAnsiTheme="majorHAnsi" w:cstheme="majorHAnsi"/>
                <w:color w:val="000000"/>
                <w:sz w:val="18"/>
                <w:szCs w:val="18"/>
              </w:rPr>
              <w:t>No</w:t>
            </w:r>
          </w:p>
        </w:tc>
        <w:tc>
          <w:tcPr>
            <w:tcW w:w="1890" w:type="dxa"/>
            <w:tcBorders>
              <w:top w:val="nil"/>
              <w:left w:val="nil"/>
              <w:bottom w:val="nil"/>
              <w:right w:val="nil"/>
            </w:tcBorders>
            <w:shd w:val="clear" w:color="auto" w:fill="auto"/>
            <w:vAlign w:val="center"/>
            <w:hideMark/>
          </w:tcPr>
          <w:p w:rsidR="00FD022B" w:rsidRPr="00FD022B" w:rsidP="00FD022B" w14:paraId="04D8AA01" w14:textId="77777777">
            <w:pPr>
              <w:jc w:val="right"/>
              <w:rPr>
                <w:rFonts w:asciiTheme="majorHAnsi" w:hAnsiTheme="majorHAnsi" w:cstheme="majorHAnsi"/>
                <w:color w:val="000000"/>
                <w:sz w:val="18"/>
                <w:szCs w:val="18"/>
              </w:rPr>
            </w:pPr>
            <w:r w:rsidRPr="00FD022B">
              <w:rPr>
                <w:rFonts w:asciiTheme="majorHAnsi" w:hAnsiTheme="majorHAnsi" w:cstheme="majorHAnsi"/>
                <w:color w:val="000000"/>
                <w:sz w:val="18"/>
                <w:szCs w:val="18"/>
              </w:rPr>
              <w:t>No</w:t>
            </w:r>
          </w:p>
        </w:tc>
        <w:tc>
          <w:tcPr>
            <w:tcW w:w="1170" w:type="dxa"/>
            <w:tcBorders>
              <w:top w:val="nil"/>
              <w:left w:val="nil"/>
              <w:bottom w:val="nil"/>
              <w:right w:val="nil"/>
            </w:tcBorders>
            <w:shd w:val="clear" w:color="auto" w:fill="auto"/>
            <w:noWrap/>
            <w:vAlign w:val="bottom"/>
            <w:hideMark/>
          </w:tcPr>
          <w:p w:rsidR="00FD022B" w:rsidRPr="00FD022B" w:rsidP="00FD022B" w14:paraId="06FEA1D6" w14:textId="3EEED3E6">
            <w:pPr>
              <w:jc w:val="right"/>
              <w:rPr>
                <w:rFonts w:asciiTheme="majorHAnsi" w:hAnsiTheme="majorHAnsi" w:cstheme="majorHAnsi"/>
                <w:color w:val="000000"/>
                <w:sz w:val="18"/>
                <w:szCs w:val="18"/>
              </w:rPr>
            </w:pPr>
            <w:r>
              <w:rPr>
                <w:rFonts w:asciiTheme="majorHAnsi" w:hAnsiTheme="majorHAnsi" w:cstheme="majorHAnsi"/>
                <w:color w:val="000000"/>
                <w:sz w:val="18"/>
                <w:szCs w:val="18"/>
              </w:rPr>
              <w:t xml:space="preserve"> </w:t>
            </w:r>
            <w:r w:rsidRPr="00FD022B">
              <w:rPr>
                <w:rFonts w:asciiTheme="majorHAnsi" w:hAnsiTheme="majorHAnsi" w:cstheme="majorHAnsi"/>
                <w:color w:val="000000"/>
                <w:sz w:val="18"/>
                <w:szCs w:val="18"/>
              </w:rPr>
              <w:t>20</w:t>
            </w:r>
          </w:p>
        </w:tc>
        <w:tc>
          <w:tcPr>
            <w:tcW w:w="2070" w:type="dxa"/>
            <w:tcBorders>
              <w:top w:val="nil"/>
              <w:left w:val="nil"/>
              <w:bottom w:val="nil"/>
              <w:right w:val="nil"/>
            </w:tcBorders>
            <w:shd w:val="clear" w:color="auto" w:fill="auto"/>
            <w:vAlign w:val="center"/>
            <w:hideMark/>
          </w:tcPr>
          <w:p w:rsidR="00FD022B" w:rsidRPr="00FD022B" w:rsidP="00FD022B" w14:paraId="71934E6E" w14:textId="77777777">
            <w:pPr>
              <w:jc w:val="right"/>
              <w:rPr>
                <w:rFonts w:asciiTheme="majorHAnsi" w:hAnsiTheme="majorHAnsi" w:cstheme="majorHAnsi"/>
                <w:color w:val="000000"/>
                <w:sz w:val="18"/>
                <w:szCs w:val="18"/>
              </w:rPr>
            </w:pPr>
            <w:r w:rsidRPr="00FD022B">
              <w:rPr>
                <w:rFonts w:asciiTheme="majorHAnsi" w:hAnsiTheme="majorHAnsi" w:cstheme="majorHAnsi"/>
                <w:color w:val="000000"/>
                <w:sz w:val="18"/>
                <w:szCs w:val="18"/>
              </w:rPr>
              <w:t>No</w:t>
            </w:r>
          </w:p>
        </w:tc>
      </w:tr>
      <w:tr w14:paraId="673C9AB6" w14:textId="77777777" w:rsidTr="00FD022B">
        <w:tblPrEx>
          <w:tblW w:w="10170" w:type="dxa"/>
          <w:tblLook w:val="04A0"/>
        </w:tblPrEx>
        <w:trPr>
          <w:trHeight w:val="300"/>
        </w:trPr>
        <w:tc>
          <w:tcPr>
            <w:tcW w:w="960" w:type="dxa"/>
            <w:tcBorders>
              <w:top w:val="nil"/>
              <w:left w:val="nil"/>
              <w:bottom w:val="nil"/>
              <w:right w:val="nil"/>
            </w:tcBorders>
            <w:shd w:val="clear" w:color="auto" w:fill="auto"/>
            <w:vAlign w:val="center"/>
            <w:hideMark/>
          </w:tcPr>
          <w:p w:rsidR="00FD022B" w:rsidRPr="00FD022B" w:rsidP="00FD022B" w14:paraId="70F44F18" w14:textId="77777777">
            <w:pPr>
              <w:rPr>
                <w:rFonts w:asciiTheme="majorHAnsi" w:hAnsiTheme="majorHAnsi" w:cstheme="majorHAnsi"/>
                <w:color w:val="000000"/>
                <w:sz w:val="18"/>
                <w:szCs w:val="18"/>
              </w:rPr>
            </w:pPr>
            <w:r w:rsidRPr="00FD022B">
              <w:rPr>
                <w:rFonts w:asciiTheme="majorHAnsi" w:hAnsiTheme="majorHAnsi" w:cstheme="majorHAnsi"/>
                <w:color w:val="000000"/>
                <w:sz w:val="18"/>
                <w:szCs w:val="18"/>
              </w:rPr>
              <w:t>4</w:t>
            </w:r>
          </w:p>
        </w:tc>
        <w:tc>
          <w:tcPr>
            <w:tcW w:w="2010" w:type="dxa"/>
            <w:tcBorders>
              <w:top w:val="nil"/>
              <w:left w:val="nil"/>
              <w:bottom w:val="nil"/>
              <w:right w:val="nil"/>
            </w:tcBorders>
            <w:shd w:val="clear" w:color="auto" w:fill="auto"/>
            <w:vAlign w:val="center"/>
            <w:hideMark/>
          </w:tcPr>
          <w:p w:rsidR="00FD022B" w:rsidRPr="00FD022B" w:rsidP="00FD022B" w14:paraId="678B379D" w14:textId="77777777">
            <w:pPr>
              <w:jc w:val="right"/>
              <w:rPr>
                <w:rFonts w:asciiTheme="majorHAnsi" w:hAnsiTheme="majorHAnsi" w:cstheme="majorHAnsi"/>
                <w:color w:val="000000"/>
                <w:sz w:val="18"/>
                <w:szCs w:val="18"/>
              </w:rPr>
            </w:pPr>
            <w:r w:rsidRPr="00FD022B">
              <w:rPr>
                <w:rFonts w:asciiTheme="majorHAnsi" w:hAnsiTheme="majorHAnsi" w:cstheme="majorHAnsi"/>
                <w:color w:val="000000"/>
                <w:sz w:val="18"/>
                <w:szCs w:val="18"/>
              </w:rPr>
              <w:t>No</w:t>
            </w:r>
          </w:p>
        </w:tc>
        <w:tc>
          <w:tcPr>
            <w:tcW w:w="2070" w:type="dxa"/>
            <w:tcBorders>
              <w:top w:val="nil"/>
              <w:left w:val="nil"/>
              <w:bottom w:val="nil"/>
              <w:right w:val="nil"/>
            </w:tcBorders>
            <w:shd w:val="clear" w:color="auto" w:fill="auto"/>
            <w:vAlign w:val="center"/>
            <w:hideMark/>
          </w:tcPr>
          <w:p w:rsidR="00FD022B" w:rsidRPr="00FD022B" w:rsidP="00FD022B" w14:paraId="62E17174" w14:textId="77777777">
            <w:pPr>
              <w:jc w:val="right"/>
              <w:rPr>
                <w:rFonts w:asciiTheme="majorHAnsi" w:hAnsiTheme="majorHAnsi" w:cstheme="majorHAnsi"/>
                <w:color w:val="000000"/>
                <w:sz w:val="18"/>
                <w:szCs w:val="18"/>
              </w:rPr>
            </w:pPr>
            <w:r w:rsidRPr="00FD022B">
              <w:rPr>
                <w:rFonts w:asciiTheme="majorHAnsi" w:hAnsiTheme="majorHAnsi" w:cstheme="majorHAnsi"/>
                <w:color w:val="000000"/>
                <w:sz w:val="18"/>
                <w:szCs w:val="18"/>
              </w:rPr>
              <w:t>Yes</w:t>
            </w:r>
          </w:p>
        </w:tc>
        <w:tc>
          <w:tcPr>
            <w:tcW w:w="1890" w:type="dxa"/>
            <w:tcBorders>
              <w:top w:val="nil"/>
              <w:left w:val="nil"/>
              <w:bottom w:val="nil"/>
              <w:right w:val="nil"/>
            </w:tcBorders>
            <w:shd w:val="clear" w:color="auto" w:fill="auto"/>
            <w:vAlign w:val="center"/>
            <w:hideMark/>
          </w:tcPr>
          <w:p w:rsidR="00FD022B" w:rsidRPr="00FD022B" w:rsidP="00FD022B" w14:paraId="7DCA4CCC" w14:textId="77777777">
            <w:pPr>
              <w:jc w:val="right"/>
              <w:rPr>
                <w:rFonts w:asciiTheme="majorHAnsi" w:hAnsiTheme="majorHAnsi" w:cstheme="majorHAnsi"/>
                <w:color w:val="000000"/>
                <w:sz w:val="18"/>
                <w:szCs w:val="18"/>
              </w:rPr>
            </w:pPr>
            <w:r w:rsidRPr="00FD022B">
              <w:rPr>
                <w:rFonts w:asciiTheme="majorHAnsi" w:hAnsiTheme="majorHAnsi" w:cstheme="majorHAnsi"/>
                <w:color w:val="000000"/>
                <w:sz w:val="18"/>
                <w:szCs w:val="18"/>
              </w:rPr>
              <w:t>Yes</w:t>
            </w:r>
          </w:p>
        </w:tc>
        <w:tc>
          <w:tcPr>
            <w:tcW w:w="1170" w:type="dxa"/>
            <w:tcBorders>
              <w:top w:val="nil"/>
              <w:left w:val="nil"/>
              <w:bottom w:val="nil"/>
              <w:right w:val="nil"/>
            </w:tcBorders>
            <w:shd w:val="clear" w:color="auto" w:fill="auto"/>
            <w:noWrap/>
            <w:vAlign w:val="bottom"/>
            <w:hideMark/>
          </w:tcPr>
          <w:p w:rsidR="00FD022B" w:rsidRPr="00FD022B" w:rsidP="00FD022B" w14:paraId="54F13042" w14:textId="77777777">
            <w:pPr>
              <w:jc w:val="right"/>
              <w:rPr>
                <w:rFonts w:asciiTheme="majorHAnsi" w:hAnsiTheme="majorHAnsi" w:cstheme="majorHAnsi"/>
                <w:color w:val="000000"/>
                <w:sz w:val="18"/>
                <w:szCs w:val="18"/>
              </w:rPr>
            </w:pPr>
            <w:r w:rsidRPr="00FD022B">
              <w:rPr>
                <w:rFonts w:asciiTheme="majorHAnsi" w:hAnsiTheme="majorHAnsi" w:cstheme="majorHAnsi"/>
                <w:color w:val="000000"/>
                <w:sz w:val="18"/>
                <w:szCs w:val="18"/>
              </w:rPr>
              <w:t xml:space="preserve"> 200</w:t>
            </w:r>
          </w:p>
        </w:tc>
        <w:tc>
          <w:tcPr>
            <w:tcW w:w="2070" w:type="dxa"/>
            <w:tcBorders>
              <w:top w:val="nil"/>
              <w:left w:val="nil"/>
              <w:bottom w:val="nil"/>
              <w:right w:val="nil"/>
            </w:tcBorders>
            <w:shd w:val="clear" w:color="auto" w:fill="auto"/>
            <w:vAlign w:val="center"/>
            <w:hideMark/>
          </w:tcPr>
          <w:p w:rsidR="00FD022B" w:rsidRPr="00FD022B" w:rsidP="00FD022B" w14:paraId="43D54172" w14:textId="77777777">
            <w:pPr>
              <w:jc w:val="right"/>
              <w:rPr>
                <w:rFonts w:asciiTheme="majorHAnsi" w:hAnsiTheme="majorHAnsi" w:cstheme="majorHAnsi"/>
                <w:color w:val="000000"/>
                <w:sz w:val="18"/>
                <w:szCs w:val="18"/>
              </w:rPr>
            </w:pPr>
            <w:r w:rsidRPr="00FD022B">
              <w:rPr>
                <w:rFonts w:asciiTheme="majorHAnsi" w:hAnsiTheme="majorHAnsi" w:cstheme="majorHAnsi"/>
                <w:color w:val="000000"/>
                <w:sz w:val="18"/>
                <w:szCs w:val="18"/>
              </w:rPr>
              <w:t>Yes</w:t>
            </w:r>
          </w:p>
        </w:tc>
      </w:tr>
      <w:tr w14:paraId="21811BE6" w14:textId="77777777" w:rsidTr="00FD022B">
        <w:tblPrEx>
          <w:tblW w:w="10170" w:type="dxa"/>
          <w:tblLook w:val="04A0"/>
        </w:tblPrEx>
        <w:trPr>
          <w:trHeight w:val="300"/>
        </w:trPr>
        <w:tc>
          <w:tcPr>
            <w:tcW w:w="960" w:type="dxa"/>
            <w:tcBorders>
              <w:top w:val="nil"/>
              <w:left w:val="nil"/>
              <w:bottom w:val="nil"/>
              <w:right w:val="nil"/>
            </w:tcBorders>
            <w:shd w:val="clear" w:color="auto" w:fill="auto"/>
            <w:vAlign w:val="center"/>
            <w:hideMark/>
          </w:tcPr>
          <w:p w:rsidR="00FD022B" w:rsidRPr="00FD022B" w:rsidP="00FD022B" w14:paraId="1B083254" w14:textId="77777777">
            <w:pPr>
              <w:rPr>
                <w:rFonts w:asciiTheme="majorHAnsi" w:hAnsiTheme="majorHAnsi" w:cstheme="majorHAnsi"/>
                <w:color w:val="000000"/>
                <w:sz w:val="18"/>
                <w:szCs w:val="18"/>
              </w:rPr>
            </w:pPr>
            <w:r w:rsidRPr="00FD022B">
              <w:rPr>
                <w:rFonts w:asciiTheme="majorHAnsi" w:hAnsiTheme="majorHAnsi" w:cstheme="majorHAnsi"/>
                <w:color w:val="000000"/>
                <w:sz w:val="18"/>
                <w:szCs w:val="18"/>
              </w:rPr>
              <w:t>5</w:t>
            </w:r>
            <w:r w:rsidRPr="00FD022B">
              <w:rPr>
                <w:rFonts w:asciiTheme="majorHAnsi" w:hAnsiTheme="majorHAnsi" w:cstheme="majorHAnsi"/>
                <w:color w:val="000000"/>
                <w:sz w:val="18"/>
                <w:szCs w:val="18"/>
                <w:vertAlign w:val="superscript"/>
              </w:rPr>
              <w:t>3</w:t>
            </w:r>
          </w:p>
        </w:tc>
        <w:tc>
          <w:tcPr>
            <w:tcW w:w="2010" w:type="dxa"/>
            <w:tcBorders>
              <w:top w:val="nil"/>
              <w:left w:val="nil"/>
              <w:bottom w:val="nil"/>
              <w:right w:val="nil"/>
            </w:tcBorders>
            <w:shd w:val="clear" w:color="auto" w:fill="auto"/>
            <w:vAlign w:val="center"/>
            <w:hideMark/>
          </w:tcPr>
          <w:p w:rsidR="00FD022B" w:rsidRPr="00FD022B" w:rsidP="00FD022B" w14:paraId="247F7DCF" w14:textId="77777777">
            <w:pPr>
              <w:jc w:val="right"/>
              <w:rPr>
                <w:rFonts w:asciiTheme="majorHAnsi" w:hAnsiTheme="majorHAnsi" w:cstheme="majorHAnsi"/>
                <w:color w:val="000000"/>
                <w:sz w:val="18"/>
                <w:szCs w:val="18"/>
              </w:rPr>
            </w:pPr>
            <w:r w:rsidRPr="00FD022B">
              <w:rPr>
                <w:rFonts w:asciiTheme="majorHAnsi" w:hAnsiTheme="majorHAnsi" w:cstheme="majorHAnsi"/>
                <w:color w:val="000000"/>
                <w:sz w:val="18"/>
                <w:szCs w:val="18"/>
              </w:rPr>
              <w:t>No</w:t>
            </w:r>
          </w:p>
        </w:tc>
        <w:tc>
          <w:tcPr>
            <w:tcW w:w="2070" w:type="dxa"/>
            <w:tcBorders>
              <w:top w:val="nil"/>
              <w:left w:val="nil"/>
              <w:bottom w:val="nil"/>
              <w:right w:val="nil"/>
            </w:tcBorders>
            <w:shd w:val="clear" w:color="auto" w:fill="auto"/>
            <w:vAlign w:val="center"/>
            <w:hideMark/>
          </w:tcPr>
          <w:p w:rsidR="00FD022B" w:rsidRPr="00FD022B" w:rsidP="00FD022B" w14:paraId="4A0A3801" w14:textId="77777777">
            <w:pPr>
              <w:jc w:val="right"/>
              <w:rPr>
                <w:rFonts w:asciiTheme="majorHAnsi" w:hAnsiTheme="majorHAnsi" w:cstheme="majorHAnsi"/>
                <w:color w:val="000000"/>
                <w:sz w:val="18"/>
                <w:szCs w:val="18"/>
              </w:rPr>
            </w:pPr>
            <w:r w:rsidRPr="00FD022B">
              <w:rPr>
                <w:rFonts w:asciiTheme="majorHAnsi" w:hAnsiTheme="majorHAnsi" w:cstheme="majorHAnsi"/>
                <w:color w:val="000000"/>
                <w:sz w:val="18"/>
                <w:szCs w:val="18"/>
              </w:rPr>
              <w:t>No</w:t>
            </w:r>
          </w:p>
        </w:tc>
        <w:tc>
          <w:tcPr>
            <w:tcW w:w="1890" w:type="dxa"/>
            <w:tcBorders>
              <w:top w:val="nil"/>
              <w:left w:val="nil"/>
              <w:bottom w:val="nil"/>
              <w:right w:val="nil"/>
            </w:tcBorders>
            <w:shd w:val="clear" w:color="auto" w:fill="auto"/>
            <w:vAlign w:val="center"/>
            <w:hideMark/>
          </w:tcPr>
          <w:p w:rsidR="00FD022B" w:rsidRPr="00FD022B" w:rsidP="00FD022B" w14:paraId="051354FC" w14:textId="77777777">
            <w:pPr>
              <w:jc w:val="right"/>
              <w:rPr>
                <w:rFonts w:asciiTheme="majorHAnsi" w:hAnsiTheme="majorHAnsi" w:cstheme="majorHAnsi"/>
                <w:color w:val="000000"/>
                <w:sz w:val="18"/>
                <w:szCs w:val="18"/>
              </w:rPr>
            </w:pPr>
            <w:r w:rsidRPr="00FD022B">
              <w:rPr>
                <w:rFonts w:asciiTheme="majorHAnsi" w:hAnsiTheme="majorHAnsi" w:cstheme="majorHAnsi"/>
                <w:color w:val="000000"/>
                <w:sz w:val="18"/>
                <w:szCs w:val="18"/>
              </w:rPr>
              <w:t>Yes</w:t>
            </w:r>
          </w:p>
        </w:tc>
        <w:tc>
          <w:tcPr>
            <w:tcW w:w="1170" w:type="dxa"/>
            <w:tcBorders>
              <w:top w:val="nil"/>
              <w:left w:val="nil"/>
              <w:bottom w:val="nil"/>
              <w:right w:val="nil"/>
            </w:tcBorders>
            <w:shd w:val="clear" w:color="auto" w:fill="auto"/>
            <w:noWrap/>
            <w:vAlign w:val="bottom"/>
            <w:hideMark/>
          </w:tcPr>
          <w:p w:rsidR="00FD022B" w:rsidRPr="00FD022B" w:rsidP="00FD022B" w14:paraId="51AFFA1F" w14:textId="77777777">
            <w:pPr>
              <w:jc w:val="right"/>
              <w:rPr>
                <w:rFonts w:asciiTheme="majorHAnsi" w:hAnsiTheme="majorHAnsi" w:cstheme="majorHAnsi"/>
                <w:color w:val="000000"/>
                <w:sz w:val="18"/>
                <w:szCs w:val="18"/>
              </w:rPr>
            </w:pPr>
            <w:r w:rsidRPr="00FD022B">
              <w:rPr>
                <w:rFonts w:asciiTheme="majorHAnsi" w:hAnsiTheme="majorHAnsi" w:cstheme="majorHAnsi"/>
                <w:color w:val="000000"/>
                <w:sz w:val="18"/>
                <w:szCs w:val="18"/>
              </w:rPr>
              <w:t xml:space="preserve"> 370</w:t>
            </w:r>
          </w:p>
        </w:tc>
        <w:tc>
          <w:tcPr>
            <w:tcW w:w="2070" w:type="dxa"/>
            <w:tcBorders>
              <w:top w:val="nil"/>
              <w:left w:val="nil"/>
              <w:bottom w:val="nil"/>
              <w:right w:val="nil"/>
            </w:tcBorders>
            <w:shd w:val="clear" w:color="auto" w:fill="auto"/>
            <w:vAlign w:val="center"/>
            <w:hideMark/>
          </w:tcPr>
          <w:p w:rsidR="00FD022B" w:rsidRPr="00FD022B" w:rsidP="00FD022B" w14:paraId="671B6867" w14:textId="77777777">
            <w:pPr>
              <w:jc w:val="right"/>
              <w:rPr>
                <w:rFonts w:asciiTheme="majorHAnsi" w:hAnsiTheme="majorHAnsi" w:cstheme="majorHAnsi"/>
                <w:color w:val="000000"/>
                <w:sz w:val="18"/>
                <w:szCs w:val="18"/>
              </w:rPr>
            </w:pPr>
            <w:r w:rsidRPr="00FD022B">
              <w:rPr>
                <w:rFonts w:asciiTheme="majorHAnsi" w:hAnsiTheme="majorHAnsi" w:cstheme="majorHAnsi"/>
                <w:color w:val="000000"/>
                <w:sz w:val="18"/>
                <w:szCs w:val="18"/>
              </w:rPr>
              <w:t>No</w:t>
            </w:r>
          </w:p>
        </w:tc>
      </w:tr>
      <w:tr w14:paraId="26B98C0E" w14:textId="77777777" w:rsidTr="00FD022B">
        <w:tblPrEx>
          <w:tblW w:w="10170" w:type="dxa"/>
          <w:tblLook w:val="04A0"/>
        </w:tblPrEx>
        <w:trPr>
          <w:trHeight w:val="300"/>
        </w:trPr>
        <w:tc>
          <w:tcPr>
            <w:tcW w:w="960" w:type="dxa"/>
            <w:tcBorders>
              <w:top w:val="nil"/>
              <w:left w:val="nil"/>
              <w:bottom w:val="single" w:sz="4" w:space="0" w:color="auto"/>
              <w:right w:val="nil"/>
            </w:tcBorders>
            <w:shd w:val="clear" w:color="auto" w:fill="auto"/>
            <w:vAlign w:val="center"/>
            <w:hideMark/>
          </w:tcPr>
          <w:p w:rsidR="00FD022B" w:rsidRPr="00FD022B" w:rsidP="00FD022B" w14:paraId="71181048" w14:textId="77777777">
            <w:pPr>
              <w:rPr>
                <w:rFonts w:asciiTheme="majorHAnsi" w:hAnsiTheme="majorHAnsi" w:cstheme="majorHAnsi"/>
                <w:color w:val="000000"/>
                <w:sz w:val="18"/>
                <w:szCs w:val="18"/>
              </w:rPr>
            </w:pPr>
            <w:r w:rsidRPr="00FD022B">
              <w:rPr>
                <w:rFonts w:asciiTheme="majorHAnsi" w:hAnsiTheme="majorHAnsi" w:cstheme="majorHAnsi"/>
                <w:color w:val="000000"/>
                <w:sz w:val="18"/>
                <w:szCs w:val="18"/>
              </w:rPr>
              <w:t>6</w:t>
            </w:r>
            <w:r w:rsidRPr="00FD022B">
              <w:rPr>
                <w:rFonts w:asciiTheme="majorHAnsi" w:hAnsiTheme="majorHAnsi" w:cstheme="majorHAnsi"/>
                <w:color w:val="000000"/>
                <w:sz w:val="18"/>
                <w:szCs w:val="18"/>
                <w:vertAlign w:val="superscript"/>
              </w:rPr>
              <w:t>3</w:t>
            </w:r>
          </w:p>
        </w:tc>
        <w:tc>
          <w:tcPr>
            <w:tcW w:w="2010" w:type="dxa"/>
            <w:tcBorders>
              <w:top w:val="nil"/>
              <w:left w:val="nil"/>
              <w:bottom w:val="single" w:sz="4" w:space="0" w:color="auto"/>
              <w:right w:val="nil"/>
            </w:tcBorders>
            <w:shd w:val="clear" w:color="auto" w:fill="auto"/>
            <w:vAlign w:val="center"/>
            <w:hideMark/>
          </w:tcPr>
          <w:p w:rsidR="00FD022B" w:rsidRPr="00FD022B" w:rsidP="00FD022B" w14:paraId="4335902B" w14:textId="77777777">
            <w:pPr>
              <w:jc w:val="right"/>
              <w:rPr>
                <w:rFonts w:asciiTheme="majorHAnsi" w:hAnsiTheme="majorHAnsi" w:cstheme="majorHAnsi"/>
                <w:color w:val="000000"/>
                <w:sz w:val="18"/>
                <w:szCs w:val="18"/>
              </w:rPr>
            </w:pPr>
            <w:r w:rsidRPr="00FD022B">
              <w:rPr>
                <w:rFonts w:asciiTheme="majorHAnsi" w:hAnsiTheme="majorHAnsi" w:cstheme="majorHAnsi"/>
                <w:color w:val="000000"/>
                <w:sz w:val="18"/>
                <w:szCs w:val="18"/>
              </w:rPr>
              <w:t>No</w:t>
            </w:r>
          </w:p>
        </w:tc>
        <w:tc>
          <w:tcPr>
            <w:tcW w:w="2070" w:type="dxa"/>
            <w:tcBorders>
              <w:top w:val="nil"/>
              <w:left w:val="nil"/>
              <w:bottom w:val="single" w:sz="4" w:space="0" w:color="auto"/>
              <w:right w:val="nil"/>
            </w:tcBorders>
            <w:shd w:val="clear" w:color="auto" w:fill="auto"/>
            <w:vAlign w:val="center"/>
            <w:hideMark/>
          </w:tcPr>
          <w:p w:rsidR="00FD022B" w:rsidRPr="00FD022B" w:rsidP="00FD022B" w14:paraId="78E89EC1" w14:textId="77777777">
            <w:pPr>
              <w:jc w:val="right"/>
              <w:rPr>
                <w:rFonts w:asciiTheme="majorHAnsi" w:hAnsiTheme="majorHAnsi" w:cstheme="majorHAnsi"/>
                <w:color w:val="000000"/>
                <w:sz w:val="18"/>
                <w:szCs w:val="18"/>
              </w:rPr>
            </w:pPr>
            <w:r w:rsidRPr="00FD022B">
              <w:rPr>
                <w:rFonts w:asciiTheme="majorHAnsi" w:hAnsiTheme="majorHAnsi" w:cstheme="majorHAnsi"/>
                <w:color w:val="000000"/>
                <w:sz w:val="18"/>
                <w:szCs w:val="18"/>
              </w:rPr>
              <w:t>No</w:t>
            </w:r>
          </w:p>
        </w:tc>
        <w:tc>
          <w:tcPr>
            <w:tcW w:w="1890" w:type="dxa"/>
            <w:tcBorders>
              <w:top w:val="nil"/>
              <w:left w:val="nil"/>
              <w:bottom w:val="single" w:sz="4" w:space="0" w:color="auto"/>
              <w:right w:val="nil"/>
            </w:tcBorders>
            <w:shd w:val="clear" w:color="auto" w:fill="auto"/>
            <w:vAlign w:val="center"/>
            <w:hideMark/>
          </w:tcPr>
          <w:p w:rsidR="00FD022B" w:rsidRPr="00FD022B" w:rsidP="00FD022B" w14:paraId="0F1F49DA" w14:textId="77777777">
            <w:pPr>
              <w:jc w:val="right"/>
              <w:rPr>
                <w:rFonts w:asciiTheme="majorHAnsi" w:hAnsiTheme="majorHAnsi" w:cstheme="majorHAnsi"/>
                <w:color w:val="000000"/>
                <w:sz w:val="18"/>
                <w:szCs w:val="18"/>
              </w:rPr>
            </w:pPr>
            <w:r w:rsidRPr="00FD022B">
              <w:rPr>
                <w:rFonts w:asciiTheme="majorHAnsi" w:hAnsiTheme="majorHAnsi" w:cstheme="majorHAnsi"/>
                <w:color w:val="000000"/>
                <w:sz w:val="18"/>
                <w:szCs w:val="18"/>
              </w:rPr>
              <w:t>No</w:t>
            </w:r>
          </w:p>
        </w:tc>
        <w:tc>
          <w:tcPr>
            <w:tcW w:w="1170" w:type="dxa"/>
            <w:tcBorders>
              <w:top w:val="nil"/>
              <w:left w:val="nil"/>
              <w:bottom w:val="single" w:sz="4" w:space="0" w:color="auto"/>
              <w:right w:val="nil"/>
            </w:tcBorders>
            <w:shd w:val="clear" w:color="auto" w:fill="auto"/>
            <w:noWrap/>
            <w:vAlign w:val="bottom"/>
            <w:hideMark/>
          </w:tcPr>
          <w:p w:rsidR="00FD022B" w:rsidRPr="00FD022B" w:rsidP="00FD022B" w14:paraId="3E60EDDD" w14:textId="77777777">
            <w:pPr>
              <w:jc w:val="right"/>
              <w:rPr>
                <w:rFonts w:asciiTheme="majorHAnsi" w:hAnsiTheme="majorHAnsi" w:cstheme="majorHAnsi"/>
                <w:color w:val="000000"/>
                <w:sz w:val="18"/>
                <w:szCs w:val="18"/>
              </w:rPr>
            </w:pPr>
            <w:r w:rsidRPr="00FD022B">
              <w:rPr>
                <w:rFonts w:asciiTheme="majorHAnsi" w:hAnsiTheme="majorHAnsi" w:cstheme="majorHAnsi"/>
                <w:color w:val="000000"/>
                <w:sz w:val="18"/>
                <w:szCs w:val="18"/>
              </w:rPr>
              <w:t xml:space="preserve"> 230</w:t>
            </w:r>
          </w:p>
        </w:tc>
        <w:tc>
          <w:tcPr>
            <w:tcW w:w="2070" w:type="dxa"/>
            <w:tcBorders>
              <w:top w:val="nil"/>
              <w:left w:val="nil"/>
              <w:bottom w:val="single" w:sz="4" w:space="0" w:color="auto"/>
              <w:right w:val="nil"/>
            </w:tcBorders>
            <w:shd w:val="clear" w:color="auto" w:fill="auto"/>
            <w:vAlign w:val="center"/>
            <w:hideMark/>
          </w:tcPr>
          <w:p w:rsidR="00FD022B" w:rsidRPr="00FD022B" w:rsidP="00FD022B" w14:paraId="2791FD92" w14:textId="77777777">
            <w:pPr>
              <w:jc w:val="right"/>
              <w:rPr>
                <w:rFonts w:asciiTheme="majorHAnsi" w:hAnsiTheme="majorHAnsi" w:cstheme="majorHAnsi"/>
                <w:color w:val="000000"/>
                <w:sz w:val="18"/>
                <w:szCs w:val="18"/>
              </w:rPr>
            </w:pPr>
            <w:r w:rsidRPr="00FD022B">
              <w:rPr>
                <w:rFonts w:asciiTheme="majorHAnsi" w:hAnsiTheme="majorHAnsi" w:cstheme="majorHAnsi"/>
                <w:color w:val="000000"/>
                <w:sz w:val="18"/>
                <w:szCs w:val="18"/>
              </w:rPr>
              <w:t xml:space="preserve">No </w:t>
            </w:r>
          </w:p>
        </w:tc>
      </w:tr>
    </w:tbl>
    <w:p w:rsidR="00D93F61" w:rsidRPr="00EB5E5E" w:rsidP="00FD022B" w14:paraId="6D25E7F4" w14:textId="2CD29B2D">
      <w:pPr>
        <w:ind w:right="252"/>
        <w:rPr>
          <w:rFonts w:ascii="Arial" w:hAnsi="Arial" w:cs="Arial"/>
          <w:color w:val="000000"/>
          <w:sz w:val="15"/>
          <w:szCs w:val="15"/>
        </w:rPr>
      </w:pPr>
      <w:r w:rsidRPr="00EB5E5E">
        <w:rPr>
          <w:rFonts w:ascii="Arial" w:hAnsi="Arial" w:cs="Arial"/>
          <w:color w:val="000000"/>
          <w:sz w:val="15"/>
          <w:szCs w:val="15"/>
        </w:rPr>
        <w:t>1 Eligibility remains unknown if the individual did not have enough administrative data and did not complete the BPS:20/22 field test eligibility screener.</w:t>
      </w:r>
      <w:r w:rsidRPr="00EB5E5E">
        <w:rPr>
          <w:rFonts w:ascii="Arial" w:hAnsi="Arial" w:cs="Arial"/>
          <w:color w:val="000000"/>
          <w:sz w:val="15"/>
          <w:szCs w:val="15"/>
        </w:rPr>
        <w:br/>
        <w:t>2 Group 3 not fielded as these individuals were NPSAS:20 ineligible and do not have enough administrative data to determine if they are FTBs.</w:t>
      </w:r>
      <w:r w:rsidRPr="00EB5E5E">
        <w:rPr>
          <w:rFonts w:ascii="Arial" w:hAnsi="Arial" w:cs="Arial"/>
          <w:color w:val="000000"/>
          <w:sz w:val="15"/>
          <w:szCs w:val="15"/>
        </w:rPr>
        <w:br/>
        <w:t>3 Groups 5 and 6 are not included as they did not respond to either the NPSAS:20 survey or the BPS:20/22 field test survey.</w:t>
      </w:r>
      <w:r w:rsidRPr="00EB5E5E">
        <w:rPr>
          <w:rFonts w:ascii="Arial" w:hAnsi="Arial" w:cs="Arial"/>
          <w:color w:val="000000"/>
          <w:sz w:val="15"/>
          <w:szCs w:val="15"/>
        </w:rPr>
        <w:br/>
        <w:t>NOTE: Sample sizes rounded to the nearest 10.</w:t>
      </w:r>
      <w:r w:rsidRPr="00EB5E5E">
        <w:rPr>
          <w:rFonts w:ascii="Arial" w:hAnsi="Arial" w:cs="Arial"/>
          <w:color w:val="000000"/>
          <w:sz w:val="15"/>
          <w:szCs w:val="15"/>
        </w:rPr>
        <w:br/>
        <w:t>SOURCE: U.S. Department of Education, National Center for Education Statistics, 2020/22 Beginning Postsecondary Students Longitudinal Study (BPS:20/22).</w:t>
      </w:r>
    </w:p>
    <w:p w:rsidR="00D93F61" w:rsidRPr="001C2BC1" w:rsidP="00D93F61" w14:paraId="6240782B" w14:textId="77777777">
      <w:pPr>
        <w:pStyle w:val="NormalWeb"/>
        <w:rPr>
          <w:rFonts w:ascii="Garamond" w:hAnsi="Garamond" w:cs="Calibri"/>
          <w:color w:val="000000"/>
        </w:rPr>
      </w:pPr>
      <w:r w:rsidRPr="001C2BC1">
        <w:rPr>
          <w:rFonts w:ascii="Garamond" w:hAnsi="Garamond" w:cs="Calibri"/>
          <w:color w:val="000000"/>
        </w:rPr>
        <w:t>While BPS:20/25 field test sample members who did not respond to either the base-year NPSAS:20 survey or the BPS:20/22 field test survey are eligible for the BPS:20/25 field test, these sample members will not be fielded due to low expected participation rates. This results in approximately 2,660 BPS:20/25 field test sample members to be fielded.</w:t>
      </w:r>
    </w:p>
    <w:p w:rsidR="00FB3F40" w:rsidP="00D93F61" w14:paraId="319CB95E" w14:textId="64E6CD95">
      <w:pPr>
        <w:pStyle w:val="NormalWeb"/>
        <w:rPr>
          <w:rFonts w:cs="Arial"/>
          <w:b/>
          <w:bCs/>
        </w:rPr>
      </w:pPr>
      <w:r w:rsidRPr="001C2BC1">
        <w:rPr>
          <w:rFonts w:ascii="Garamond" w:hAnsi="Garamond" w:cs="Calibri"/>
          <w:color w:val="000000"/>
        </w:rPr>
        <w:t xml:space="preserve">Based on past second follow-up BPS field test data collections, we expect a response rate of </w:t>
      </w:r>
      <w:r w:rsidR="004B76B0">
        <w:rPr>
          <w:rFonts w:ascii="Garamond" w:hAnsi="Garamond" w:cs="Calibri"/>
          <w:color w:val="000000"/>
        </w:rPr>
        <w:t>70</w:t>
      </w:r>
      <w:r w:rsidRPr="001C2BC1">
        <w:rPr>
          <w:rFonts w:ascii="Garamond" w:hAnsi="Garamond" w:cs="Calibri"/>
          <w:color w:val="000000"/>
        </w:rPr>
        <w:t xml:space="preserve"> percent. Because we are only including individuals known to be eligible for the BPS:20/25 field test sample, we have an overall eligibility rate of 100 percent. Table 3 below displays the BPS:20/25 field test sample size by NPSAS:20 and BPS:20/22 field test data collection outcome groups and the expected yield of completed interviews.</w:t>
      </w:r>
      <w:r>
        <w:rPr>
          <w:rFonts w:ascii="Calibri" w:hAnsi="Calibri" w:cs="Calibri"/>
          <w:color w:val="000000"/>
        </w:rPr>
        <w:br/>
      </w:r>
    </w:p>
    <w:p w:rsidR="00FB3F40" w14:paraId="0569A792" w14:textId="77777777">
      <w:pPr>
        <w:rPr>
          <w:rFonts w:ascii="Times New Roman" w:eastAsia="Batang" w:hAnsi="Times New Roman" w:cs="Arial"/>
          <w:b/>
          <w:bCs/>
          <w:kern w:val="0"/>
          <w:szCs w:val="24"/>
          <w:lang w:eastAsia="zh-CN"/>
        </w:rPr>
      </w:pPr>
      <w:r>
        <w:rPr>
          <w:rFonts w:cs="Arial"/>
          <w:b/>
          <w:bCs/>
        </w:rPr>
        <w:br w:type="page"/>
      </w:r>
    </w:p>
    <w:p w:rsidR="00D93F61" w:rsidRPr="005743FD" w:rsidP="00261774" w14:paraId="64801C4B" w14:textId="3C424ECA">
      <w:pPr>
        <w:pStyle w:val="TableTitle"/>
        <w:ind w:left="810" w:hanging="810"/>
      </w:pPr>
      <w:bookmarkStart w:id="38" w:name="_Toc140075247"/>
      <w:bookmarkStart w:id="39" w:name="_Toc140136671"/>
      <w:r>
        <w:t xml:space="preserve">Table </w:t>
      </w:r>
      <w:r w:rsidR="00252FFE">
        <w:fldChar w:fldCharType="begin"/>
      </w:r>
      <w:r w:rsidR="00252FFE">
        <w:instrText xml:space="preserve"> SEQ Table \* ARABIC </w:instrText>
      </w:r>
      <w:r w:rsidR="00252FFE">
        <w:fldChar w:fldCharType="separate"/>
      </w:r>
      <w:r>
        <w:rPr>
          <w:noProof/>
        </w:rPr>
        <w:t>3</w:t>
      </w:r>
      <w:r w:rsidR="00252FFE">
        <w:rPr>
          <w:noProof/>
        </w:rPr>
        <w:fldChar w:fldCharType="end"/>
      </w:r>
      <w:r>
        <w:t xml:space="preserve">. </w:t>
      </w:r>
      <w:r w:rsidRPr="00C21CF0">
        <w:t>BPS:20/2</w:t>
      </w:r>
      <w:r>
        <w:t>5</w:t>
      </w:r>
      <w:r w:rsidRPr="00C21CF0">
        <w:t xml:space="preserve"> Field Test Expected Completes by NPSAS:20 </w:t>
      </w:r>
      <w:r>
        <w:t xml:space="preserve">and BPS:20/22 Field Test </w:t>
      </w:r>
      <w:r w:rsidRPr="00C21CF0">
        <w:t>Data Collection Outcome Group</w:t>
      </w:r>
      <w:r>
        <w:t>s</w:t>
      </w:r>
      <w:bookmarkEnd w:id="38"/>
      <w:bookmarkEnd w:id="39"/>
    </w:p>
    <w:tbl>
      <w:tblPr>
        <w:tblW w:w="10170" w:type="dxa"/>
        <w:tblLook w:val="04A0"/>
      </w:tblPr>
      <w:tblGrid>
        <w:gridCol w:w="2070"/>
        <w:gridCol w:w="1890"/>
        <w:gridCol w:w="1890"/>
        <w:gridCol w:w="2160"/>
        <w:gridCol w:w="2160"/>
      </w:tblGrid>
      <w:tr w14:paraId="286E230A" w14:textId="77777777" w:rsidTr="00FD4122">
        <w:tblPrEx>
          <w:tblW w:w="10170" w:type="dxa"/>
          <w:tblLook w:val="04A0"/>
        </w:tblPrEx>
        <w:trPr>
          <w:trHeight w:val="448"/>
        </w:trPr>
        <w:tc>
          <w:tcPr>
            <w:tcW w:w="2070" w:type="dxa"/>
            <w:tcBorders>
              <w:top w:val="single" w:sz="8" w:space="0" w:color="auto"/>
              <w:left w:val="nil"/>
              <w:bottom w:val="single" w:sz="8" w:space="0" w:color="auto"/>
              <w:right w:val="nil"/>
            </w:tcBorders>
            <w:shd w:val="clear" w:color="auto" w:fill="auto"/>
            <w:vAlign w:val="bottom"/>
            <w:hideMark/>
          </w:tcPr>
          <w:p w:rsidR="00D93F61" w:rsidRPr="00FE69F5" w:rsidP="007868A9" w14:paraId="21CA5E96" w14:textId="77777777">
            <w:pPr>
              <w:rPr>
                <w:rFonts w:ascii="Arial" w:hAnsi="Arial" w:cs="Arial"/>
                <w:b/>
                <w:bCs/>
                <w:color w:val="000000"/>
                <w:sz w:val="18"/>
                <w:szCs w:val="18"/>
              </w:rPr>
            </w:pPr>
            <w:r w:rsidRPr="00FE69F5">
              <w:rPr>
                <w:rFonts w:ascii="Arial" w:hAnsi="Arial" w:cs="Arial"/>
                <w:b/>
                <w:bCs/>
                <w:color w:val="000000"/>
                <w:sz w:val="18"/>
                <w:szCs w:val="18"/>
              </w:rPr>
              <w:t>NPSAS:20 Survey Respondent</w:t>
            </w:r>
          </w:p>
        </w:tc>
        <w:tc>
          <w:tcPr>
            <w:tcW w:w="1890" w:type="dxa"/>
            <w:tcBorders>
              <w:top w:val="single" w:sz="8" w:space="0" w:color="auto"/>
              <w:left w:val="nil"/>
              <w:bottom w:val="single" w:sz="8" w:space="0" w:color="auto"/>
              <w:right w:val="nil"/>
            </w:tcBorders>
            <w:shd w:val="clear" w:color="auto" w:fill="auto"/>
            <w:vAlign w:val="bottom"/>
            <w:hideMark/>
          </w:tcPr>
          <w:p w:rsidR="00D93F61" w:rsidRPr="00FE69F5" w:rsidP="00FD4122" w14:paraId="6B9B6533" w14:textId="77777777">
            <w:pPr>
              <w:jc w:val="right"/>
              <w:rPr>
                <w:rFonts w:ascii="Arial" w:hAnsi="Arial" w:cs="Arial"/>
                <w:b/>
                <w:bCs/>
                <w:color w:val="000000"/>
                <w:sz w:val="18"/>
                <w:szCs w:val="18"/>
              </w:rPr>
            </w:pPr>
            <w:r w:rsidRPr="00FE69F5">
              <w:rPr>
                <w:rFonts w:ascii="Arial" w:hAnsi="Arial" w:cs="Arial"/>
                <w:b/>
                <w:bCs/>
                <w:color w:val="000000"/>
                <w:sz w:val="18"/>
                <w:szCs w:val="18"/>
              </w:rPr>
              <w:t>BPS:20/22 Field Test Respondent</w:t>
            </w:r>
          </w:p>
        </w:tc>
        <w:tc>
          <w:tcPr>
            <w:tcW w:w="1890" w:type="dxa"/>
            <w:tcBorders>
              <w:top w:val="single" w:sz="8" w:space="0" w:color="auto"/>
              <w:left w:val="nil"/>
              <w:bottom w:val="single" w:sz="8" w:space="0" w:color="auto"/>
              <w:right w:val="nil"/>
            </w:tcBorders>
            <w:shd w:val="clear" w:color="auto" w:fill="auto"/>
            <w:vAlign w:val="bottom"/>
            <w:hideMark/>
          </w:tcPr>
          <w:p w:rsidR="00D93F61" w:rsidRPr="00FE69F5" w:rsidP="00FD4122" w14:paraId="43864505" w14:textId="77777777">
            <w:pPr>
              <w:jc w:val="right"/>
              <w:rPr>
                <w:rFonts w:ascii="Arial" w:hAnsi="Arial" w:cs="Arial"/>
                <w:b/>
                <w:bCs/>
                <w:color w:val="000000"/>
                <w:sz w:val="18"/>
                <w:szCs w:val="18"/>
              </w:rPr>
            </w:pPr>
            <w:r w:rsidRPr="00FE69F5">
              <w:rPr>
                <w:rFonts w:ascii="Arial" w:hAnsi="Arial" w:cs="Arial"/>
                <w:b/>
                <w:bCs/>
                <w:color w:val="000000"/>
                <w:sz w:val="18"/>
                <w:szCs w:val="18"/>
              </w:rPr>
              <w:t>Sample Size</w:t>
            </w:r>
          </w:p>
        </w:tc>
        <w:tc>
          <w:tcPr>
            <w:tcW w:w="2160" w:type="dxa"/>
            <w:tcBorders>
              <w:top w:val="single" w:sz="8" w:space="0" w:color="auto"/>
              <w:left w:val="nil"/>
              <w:bottom w:val="single" w:sz="8" w:space="0" w:color="auto"/>
              <w:right w:val="nil"/>
            </w:tcBorders>
            <w:shd w:val="clear" w:color="auto" w:fill="auto"/>
            <w:vAlign w:val="bottom"/>
            <w:hideMark/>
          </w:tcPr>
          <w:p w:rsidR="00D93F61" w:rsidRPr="00FE69F5" w:rsidP="00FD4122" w14:paraId="1112B573" w14:textId="77777777">
            <w:pPr>
              <w:jc w:val="right"/>
              <w:rPr>
                <w:rFonts w:ascii="Arial" w:hAnsi="Arial" w:cs="Arial"/>
                <w:b/>
                <w:bCs/>
                <w:color w:val="000000"/>
                <w:sz w:val="18"/>
                <w:szCs w:val="18"/>
              </w:rPr>
            </w:pPr>
            <w:r w:rsidRPr="00FE69F5">
              <w:rPr>
                <w:rFonts w:ascii="Arial" w:hAnsi="Arial" w:cs="Arial"/>
                <w:b/>
                <w:bCs/>
                <w:color w:val="000000"/>
                <w:sz w:val="18"/>
                <w:szCs w:val="18"/>
              </w:rPr>
              <w:t>Expected Response Rate</w:t>
            </w:r>
          </w:p>
        </w:tc>
        <w:tc>
          <w:tcPr>
            <w:tcW w:w="2160" w:type="dxa"/>
            <w:tcBorders>
              <w:top w:val="single" w:sz="8" w:space="0" w:color="auto"/>
              <w:left w:val="nil"/>
              <w:bottom w:val="single" w:sz="8" w:space="0" w:color="auto"/>
              <w:right w:val="nil"/>
            </w:tcBorders>
            <w:shd w:val="clear" w:color="auto" w:fill="auto"/>
            <w:vAlign w:val="bottom"/>
            <w:hideMark/>
          </w:tcPr>
          <w:p w:rsidR="00D93F61" w:rsidRPr="00FE69F5" w:rsidP="00FD4122" w14:paraId="15C7AE15" w14:textId="77777777">
            <w:pPr>
              <w:jc w:val="right"/>
              <w:rPr>
                <w:rFonts w:ascii="Arial" w:hAnsi="Arial" w:cs="Arial"/>
                <w:b/>
                <w:bCs/>
                <w:color w:val="000000"/>
                <w:sz w:val="18"/>
                <w:szCs w:val="18"/>
              </w:rPr>
            </w:pPr>
            <w:r w:rsidRPr="00FE69F5">
              <w:rPr>
                <w:rFonts w:ascii="Arial" w:hAnsi="Arial" w:cs="Arial"/>
                <w:b/>
                <w:bCs/>
                <w:color w:val="000000"/>
                <w:sz w:val="18"/>
                <w:szCs w:val="18"/>
              </w:rPr>
              <w:t>Expected Completes</w:t>
            </w:r>
          </w:p>
        </w:tc>
      </w:tr>
      <w:tr w14:paraId="4B6F1AF8" w14:textId="77777777" w:rsidTr="00FD4122">
        <w:tblPrEx>
          <w:tblW w:w="10170" w:type="dxa"/>
          <w:tblLook w:val="04A0"/>
        </w:tblPrEx>
        <w:trPr>
          <w:trHeight w:val="300"/>
        </w:trPr>
        <w:tc>
          <w:tcPr>
            <w:tcW w:w="2070" w:type="dxa"/>
            <w:tcBorders>
              <w:top w:val="single" w:sz="8" w:space="0" w:color="auto"/>
              <w:left w:val="nil"/>
              <w:bottom w:val="single" w:sz="4" w:space="0" w:color="auto"/>
              <w:right w:val="nil"/>
            </w:tcBorders>
            <w:shd w:val="clear" w:color="auto" w:fill="auto"/>
            <w:noWrap/>
            <w:vAlign w:val="center"/>
            <w:hideMark/>
          </w:tcPr>
          <w:p w:rsidR="00D93F61" w:rsidRPr="00FE69F5" w:rsidP="00FD4122" w14:paraId="2442EE15" w14:textId="77777777">
            <w:pPr>
              <w:jc w:val="center"/>
              <w:rPr>
                <w:rFonts w:ascii="Arial" w:hAnsi="Arial" w:cs="Arial"/>
                <w:b/>
                <w:bCs/>
                <w:color w:val="000000"/>
                <w:sz w:val="18"/>
                <w:szCs w:val="18"/>
              </w:rPr>
            </w:pPr>
            <w:r w:rsidRPr="00FE69F5">
              <w:rPr>
                <w:rFonts w:ascii="Arial" w:hAnsi="Arial" w:cs="Arial"/>
                <w:b/>
                <w:bCs/>
                <w:color w:val="000000"/>
                <w:sz w:val="18"/>
                <w:szCs w:val="18"/>
              </w:rPr>
              <w:t>Total</w:t>
            </w:r>
          </w:p>
        </w:tc>
        <w:tc>
          <w:tcPr>
            <w:tcW w:w="1890" w:type="dxa"/>
            <w:tcBorders>
              <w:top w:val="single" w:sz="8" w:space="0" w:color="auto"/>
              <w:left w:val="nil"/>
              <w:bottom w:val="single" w:sz="4" w:space="0" w:color="auto"/>
              <w:right w:val="nil"/>
            </w:tcBorders>
            <w:shd w:val="clear" w:color="auto" w:fill="auto"/>
            <w:noWrap/>
            <w:vAlign w:val="center"/>
            <w:hideMark/>
          </w:tcPr>
          <w:p w:rsidR="00D93F61" w:rsidRPr="00FE69F5" w:rsidP="00FD4122" w14:paraId="36B45EFE" w14:textId="77777777">
            <w:pPr>
              <w:jc w:val="right"/>
              <w:rPr>
                <w:rFonts w:ascii="Arial" w:hAnsi="Arial" w:cs="Arial"/>
                <w:b/>
                <w:bCs/>
                <w:color w:val="000000"/>
                <w:sz w:val="18"/>
                <w:szCs w:val="18"/>
              </w:rPr>
            </w:pPr>
          </w:p>
        </w:tc>
        <w:tc>
          <w:tcPr>
            <w:tcW w:w="1890" w:type="dxa"/>
            <w:tcBorders>
              <w:top w:val="single" w:sz="8" w:space="0" w:color="auto"/>
              <w:left w:val="nil"/>
              <w:bottom w:val="single" w:sz="4" w:space="0" w:color="auto"/>
              <w:right w:val="nil"/>
            </w:tcBorders>
            <w:shd w:val="clear" w:color="auto" w:fill="auto"/>
            <w:noWrap/>
            <w:vAlign w:val="center"/>
            <w:hideMark/>
          </w:tcPr>
          <w:p w:rsidR="00D93F61" w:rsidRPr="00FE69F5" w:rsidP="00FD4122" w14:paraId="40ACF510" w14:textId="77777777">
            <w:pPr>
              <w:jc w:val="right"/>
              <w:rPr>
                <w:rFonts w:ascii="Arial" w:hAnsi="Arial" w:cs="Arial"/>
                <w:b/>
                <w:bCs/>
                <w:color w:val="000000"/>
                <w:sz w:val="18"/>
                <w:szCs w:val="18"/>
              </w:rPr>
            </w:pPr>
            <w:r w:rsidRPr="00FE69F5">
              <w:rPr>
                <w:rFonts w:ascii="Arial" w:hAnsi="Arial" w:cs="Arial"/>
                <w:b/>
                <w:bCs/>
                <w:color w:val="000000"/>
                <w:sz w:val="18"/>
                <w:szCs w:val="18"/>
              </w:rPr>
              <w:t>2,660</w:t>
            </w:r>
          </w:p>
        </w:tc>
        <w:tc>
          <w:tcPr>
            <w:tcW w:w="2160" w:type="dxa"/>
            <w:tcBorders>
              <w:top w:val="single" w:sz="8" w:space="0" w:color="auto"/>
              <w:left w:val="nil"/>
              <w:bottom w:val="single" w:sz="4" w:space="0" w:color="auto"/>
              <w:right w:val="nil"/>
            </w:tcBorders>
            <w:shd w:val="clear" w:color="auto" w:fill="auto"/>
            <w:noWrap/>
            <w:vAlign w:val="center"/>
            <w:hideMark/>
          </w:tcPr>
          <w:p w:rsidR="00D93F61" w:rsidRPr="00FE69F5" w:rsidP="00FD4122" w14:paraId="464248E5" w14:textId="59D859D3">
            <w:pPr>
              <w:jc w:val="right"/>
              <w:rPr>
                <w:rFonts w:ascii="Arial" w:hAnsi="Arial" w:cs="Arial"/>
                <w:b/>
                <w:bCs/>
                <w:color w:val="000000"/>
                <w:sz w:val="18"/>
                <w:szCs w:val="18"/>
              </w:rPr>
            </w:pPr>
            <w:r>
              <w:rPr>
                <w:rFonts w:ascii="Arial" w:hAnsi="Arial" w:cs="Arial"/>
                <w:b/>
                <w:bCs/>
                <w:color w:val="000000"/>
                <w:sz w:val="18"/>
                <w:szCs w:val="18"/>
              </w:rPr>
              <w:t>0.70</w:t>
            </w:r>
          </w:p>
        </w:tc>
        <w:tc>
          <w:tcPr>
            <w:tcW w:w="2160" w:type="dxa"/>
            <w:tcBorders>
              <w:top w:val="single" w:sz="8" w:space="0" w:color="auto"/>
              <w:left w:val="nil"/>
              <w:bottom w:val="single" w:sz="4" w:space="0" w:color="auto"/>
              <w:right w:val="nil"/>
            </w:tcBorders>
            <w:shd w:val="clear" w:color="auto" w:fill="auto"/>
            <w:noWrap/>
            <w:vAlign w:val="center"/>
            <w:hideMark/>
          </w:tcPr>
          <w:p w:rsidR="00D93F61" w:rsidRPr="00FE69F5" w:rsidP="00FD4122" w14:paraId="77F34A1C" w14:textId="4DD4BFC6">
            <w:pPr>
              <w:jc w:val="right"/>
              <w:rPr>
                <w:rFonts w:ascii="Arial" w:hAnsi="Arial" w:cs="Arial"/>
                <w:b/>
                <w:bCs/>
                <w:color w:val="000000"/>
                <w:sz w:val="18"/>
                <w:szCs w:val="18"/>
              </w:rPr>
            </w:pPr>
            <w:r w:rsidRPr="00FE69F5">
              <w:rPr>
                <w:rFonts w:ascii="Arial" w:hAnsi="Arial" w:cs="Arial"/>
                <w:b/>
                <w:bCs/>
                <w:color w:val="000000"/>
                <w:sz w:val="18"/>
                <w:szCs w:val="18"/>
              </w:rPr>
              <w:t>1,8</w:t>
            </w:r>
            <w:r w:rsidR="00B31A47">
              <w:rPr>
                <w:rFonts w:ascii="Arial" w:hAnsi="Arial" w:cs="Arial"/>
                <w:b/>
                <w:bCs/>
                <w:color w:val="000000"/>
                <w:sz w:val="18"/>
                <w:szCs w:val="18"/>
              </w:rPr>
              <w:t>8</w:t>
            </w:r>
            <w:r w:rsidRPr="00FE69F5">
              <w:rPr>
                <w:rFonts w:ascii="Arial" w:hAnsi="Arial" w:cs="Arial"/>
                <w:b/>
                <w:bCs/>
                <w:color w:val="000000"/>
                <w:sz w:val="18"/>
                <w:szCs w:val="18"/>
              </w:rPr>
              <w:t>0</w:t>
            </w:r>
          </w:p>
        </w:tc>
      </w:tr>
      <w:tr w14:paraId="16DC4459" w14:textId="77777777" w:rsidTr="00FD4122">
        <w:tblPrEx>
          <w:tblW w:w="10170" w:type="dxa"/>
          <w:tblLook w:val="04A0"/>
        </w:tblPrEx>
        <w:trPr>
          <w:trHeight w:val="300"/>
        </w:trPr>
        <w:tc>
          <w:tcPr>
            <w:tcW w:w="2070" w:type="dxa"/>
            <w:tcBorders>
              <w:top w:val="single" w:sz="4" w:space="0" w:color="auto"/>
              <w:left w:val="nil"/>
              <w:bottom w:val="nil"/>
              <w:right w:val="nil"/>
            </w:tcBorders>
            <w:shd w:val="clear" w:color="auto" w:fill="auto"/>
            <w:noWrap/>
            <w:vAlign w:val="center"/>
            <w:hideMark/>
          </w:tcPr>
          <w:p w:rsidR="00D93F61" w:rsidRPr="00EB5E5E" w:rsidP="00FD4122" w14:paraId="006A6D3F" w14:textId="77777777">
            <w:pPr>
              <w:jc w:val="center"/>
              <w:rPr>
                <w:rFonts w:ascii="Arial" w:hAnsi="Arial" w:cs="Arial"/>
                <w:color w:val="000000"/>
                <w:sz w:val="18"/>
                <w:szCs w:val="18"/>
              </w:rPr>
            </w:pPr>
            <w:r w:rsidRPr="00EB5E5E">
              <w:rPr>
                <w:rFonts w:ascii="Arial" w:hAnsi="Arial" w:cs="Arial"/>
                <w:color w:val="000000"/>
                <w:sz w:val="18"/>
                <w:szCs w:val="18"/>
              </w:rPr>
              <w:t>Yes</w:t>
            </w:r>
          </w:p>
        </w:tc>
        <w:tc>
          <w:tcPr>
            <w:tcW w:w="1890" w:type="dxa"/>
            <w:tcBorders>
              <w:top w:val="single" w:sz="4" w:space="0" w:color="auto"/>
              <w:left w:val="nil"/>
              <w:bottom w:val="nil"/>
              <w:right w:val="nil"/>
            </w:tcBorders>
            <w:shd w:val="clear" w:color="auto" w:fill="auto"/>
            <w:noWrap/>
            <w:vAlign w:val="center"/>
            <w:hideMark/>
          </w:tcPr>
          <w:p w:rsidR="00D93F61" w:rsidRPr="00EB5E5E" w:rsidP="00FD4122" w14:paraId="0DEDB280" w14:textId="77777777">
            <w:pPr>
              <w:jc w:val="center"/>
              <w:rPr>
                <w:rFonts w:ascii="Arial" w:hAnsi="Arial" w:cs="Arial"/>
                <w:color w:val="000000"/>
                <w:sz w:val="18"/>
                <w:szCs w:val="18"/>
              </w:rPr>
            </w:pPr>
            <w:r w:rsidRPr="00EB5E5E">
              <w:rPr>
                <w:rFonts w:ascii="Arial" w:hAnsi="Arial" w:cs="Arial"/>
                <w:color w:val="000000"/>
                <w:sz w:val="18"/>
                <w:szCs w:val="18"/>
              </w:rPr>
              <w:t>Yes</w:t>
            </w:r>
          </w:p>
        </w:tc>
        <w:tc>
          <w:tcPr>
            <w:tcW w:w="1890" w:type="dxa"/>
            <w:tcBorders>
              <w:top w:val="single" w:sz="4" w:space="0" w:color="auto"/>
              <w:left w:val="nil"/>
              <w:bottom w:val="nil"/>
              <w:right w:val="nil"/>
            </w:tcBorders>
            <w:shd w:val="clear" w:color="auto" w:fill="auto"/>
            <w:noWrap/>
            <w:vAlign w:val="center"/>
            <w:hideMark/>
          </w:tcPr>
          <w:p w:rsidR="00D93F61" w:rsidRPr="00EB5E5E" w:rsidP="00FD4122" w14:paraId="72E59D35" w14:textId="77777777">
            <w:pPr>
              <w:jc w:val="center"/>
              <w:rPr>
                <w:rFonts w:ascii="Arial" w:hAnsi="Arial" w:cs="Arial"/>
                <w:color w:val="000000"/>
                <w:sz w:val="18"/>
                <w:szCs w:val="18"/>
              </w:rPr>
            </w:pPr>
            <w:r w:rsidRPr="00EB5E5E">
              <w:rPr>
                <w:rFonts w:ascii="Arial" w:hAnsi="Arial" w:cs="Arial"/>
                <w:color w:val="000000"/>
                <w:sz w:val="18"/>
                <w:szCs w:val="18"/>
              </w:rPr>
              <w:t>1,910</w:t>
            </w:r>
          </w:p>
        </w:tc>
        <w:tc>
          <w:tcPr>
            <w:tcW w:w="2160" w:type="dxa"/>
            <w:tcBorders>
              <w:top w:val="single" w:sz="4" w:space="0" w:color="auto"/>
              <w:left w:val="nil"/>
              <w:bottom w:val="nil"/>
              <w:right w:val="nil"/>
            </w:tcBorders>
            <w:shd w:val="clear" w:color="auto" w:fill="auto"/>
            <w:noWrap/>
            <w:vAlign w:val="center"/>
            <w:hideMark/>
          </w:tcPr>
          <w:p w:rsidR="00D93F61" w:rsidRPr="00EB5E5E" w:rsidP="00FD4122" w14:paraId="6DCCF53F" w14:textId="77777777">
            <w:pPr>
              <w:jc w:val="right"/>
              <w:rPr>
                <w:rFonts w:ascii="Arial" w:hAnsi="Arial" w:cs="Arial"/>
                <w:color w:val="000000"/>
                <w:sz w:val="18"/>
                <w:szCs w:val="18"/>
              </w:rPr>
            </w:pPr>
            <w:r w:rsidRPr="00EB5E5E">
              <w:rPr>
                <w:rFonts w:ascii="Arial" w:hAnsi="Arial" w:cs="Arial"/>
                <w:color w:val="000000"/>
                <w:sz w:val="18"/>
                <w:szCs w:val="18"/>
              </w:rPr>
              <w:t>0.85</w:t>
            </w:r>
          </w:p>
        </w:tc>
        <w:tc>
          <w:tcPr>
            <w:tcW w:w="2160" w:type="dxa"/>
            <w:tcBorders>
              <w:top w:val="single" w:sz="4" w:space="0" w:color="auto"/>
              <w:left w:val="nil"/>
              <w:bottom w:val="nil"/>
              <w:right w:val="nil"/>
            </w:tcBorders>
            <w:shd w:val="clear" w:color="auto" w:fill="auto"/>
            <w:noWrap/>
            <w:vAlign w:val="center"/>
            <w:hideMark/>
          </w:tcPr>
          <w:p w:rsidR="00D93F61" w:rsidRPr="00EB5E5E" w:rsidP="00FD4122" w14:paraId="6AE96533" w14:textId="767FBF15">
            <w:pPr>
              <w:jc w:val="right"/>
              <w:rPr>
                <w:rFonts w:ascii="Arial" w:hAnsi="Arial" w:cs="Arial"/>
                <w:color w:val="000000"/>
                <w:sz w:val="18"/>
                <w:szCs w:val="18"/>
              </w:rPr>
            </w:pPr>
            <w:r w:rsidRPr="00EB5E5E">
              <w:rPr>
                <w:rFonts w:ascii="Arial" w:hAnsi="Arial" w:cs="Arial"/>
                <w:color w:val="000000"/>
                <w:sz w:val="18"/>
                <w:szCs w:val="18"/>
              </w:rPr>
              <w:t>1,6</w:t>
            </w:r>
            <w:r w:rsidR="00C5767F">
              <w:rPr>
                <w:rFonts w:ascii="Arial" w:hAnsi="Arial" w:cs="Arial"/>
                <w:color w:val="000000"/>
                <w:sz w:val="18"/>
                <w:szCs w:val="18"/>
              </w:rPr>
              <w:t>2</w:t>
            </w:r>
            <w:r w:rsidRPr="00EB5E5E">
              <w:rPr>
                <w:rFonts w:ascii="Arial" w:hAnsi="Arial" w:cs="Arial"/>
                <w:color w:val="000000"/>
                <w:sz w:val="18"/>
                <w:szCs w:val="18"/>
              </w:rPr>
              <w:t>0</w:t>
            </w:r>
          </w:p>
        </w:tc>
      </w:tr>
      <w:tr w14:paraId="38BE7695" w14:textId="77777777" w:rsidTr="00FD4122">
        <w:tblPrEx>
          <w:tblW w:w="10170" w:type="dxa"/>
          <w:tblLook w:val="04A0"/>
        </w:tblPrEx>
        <w:trPr>
          <w:trHeight w:val="300"/>
        </w:trPr>
        <w:tc>
          <w:tcPr>
            <w:tcW w:w="2070" w:type="dxa"/>
            <w:tcBorders>
              <w:top w:val="nil"/>
              <w:left w:val="nil"/>
              <w:bottom w:val="nil"/>
              <w:right w:val="nil"/>
            </w:tcBorders>
            <w:shd w:val="clear" w:color="auto" w:fill="auto"/>
            <w:noWrap/>
            <w:vAlign w:val="center"/>
            <w:hideMark/>
          </w:tcPr>
          <w:p w:rsidR="00D93F61" w:rsidRPr="00EB5E5E" w:rsidP="00FD4122" w14:paraId="1B36D6B0" w14:textId="77777777">
            <w:pPr>
              <w:jc w:val="center"/>
              <w:rPr>
                <w:rFonts w:ascii="Arial" w:hAnsi="Arial" w:cs="Arial"/>
                <w:color w:val="000000"/>
                <w:sz w:val="18"/>
                <w:szCs w:val="18"/>
              </w:rPr>
            </w:pPr>
            <w:r w:rsidRPr="00EB5E5E">
              <w:rPr>
                <w:rFonts w:ascii="Arial" w:hAnsi="Arial" w:cs="Arial"/>
                <w:color w:val="000000"/>
                <w:sz w:val="18"/>
                <w:szCs w:val="18"/>
              </w:rPr>
              <w:t>Yes</w:t>
            </w:r>
          </w:p>
        </w:tc>
        <w:tc>
          <w:tcPr>
            <w:tcW w:w="1890" w:type="dxa"/>
            <w:tcBorders>
              <w:top w:val="nil"/>
              <w:left w:val="nil"/>
              <w:bottom w:val="nil"/>
              <w:right w:val="nil"/>
            </w:tcBorders>
            <w:shd w:val="clear" w:color="auto" w:fill="auto"/>
            <w:noWrap/>
            <w:vAlign w:val="center"/>
            <w:hideMark/>
          </w:tcPr>
          <w:p w:rsidR="00D93F61" w:rsidRPr="00EB5E5E" w:rsidP="00FD4122" w14:paraId="21D6D4F0" w14:textId="77777777">
            <w:pPr>
              <w:jc w:val="center"/>
              <w:rPr>
                <w:rFonts w:ascii="Arial" w:hAnsi="Arial" w:cs="Arial"/>
                <w:color w:val="000000"/>
                <w:sz w:val="18"/>
                <w:szCs w:val="18"/>
              </w:rPr>
            </w:pPr>
            <w:r w:rsidRPr="00EB5E5E">
              <w:rPr>
                <w:rFonts w:ascii="Arial" w:hAnsi="Arial" w:cs="Arial"/>
                <w:color w:val="000000"/>
                <w:sz w:val="18"/>
                <w:szCs w:val="18"/>
              </w:rPr>
              <w:t>No</w:t>
            </w:r>
          </w:p>
        </w:tc>
        <w:tc>
          <w:tcPr>
            <w:tcW w:w="1890" w:type="dxa"/>
            <w:tcBorders>
              <w:top w:val="nil"/>
              <w:left w:val="nil"/>
              <w:bottom w:val="nil"/>
              <w:right w:val="nil"/>
            </w:tcBorders>
            <w:shd w:val="clear" w:color="auto" w:fill="auto"/>
            <w:noWrap/>
            <w:vAlign w:val="center"/>
            <w:hideMark/>
          </w:tcPr>
          <w:p w:rsidR="00D93F61" w:rsidRPr="00EB5E5E" w:rsidP="00FD4122" w14:paraId="49B3BB1A" w14:textId="77777777">
            <w:pPr>
              <w:jc w:val="center"/>
              <w:rPr>
                <w:rFonts w:ascii="Arial" w:hAnsi="Arial" w:cs="Arial"/>
                <w:color w:val="000000"/>
                <w:sz w:val="18"/>
                <w:szCs w:val="18"/>
              </w:rPr>
            </w:pPr>
            <w:r w:rsidRPr="00EB5E5E">
              <w:rPr>
                <w:rFonts w:ascii="Arial" w:hAnsi="Arial" w:cs="Arial"/>
                <w:color w:val="000000"/>
                <w:sz w:val="18"/>
                <w:szCs w:val="18"/>
              </w:rPr>
              <w:t>550</w:t>
            </w:r>
          </w:p>
        </w:tc>
        <w:tc>
          <w:tcPr>
            <w:tcW w:w="2160" w:type="dxa"/>
            <w:tcBorders>
              <w:top w:val="nil"/>
              <w:left w:val="nil"/>
              <w:bottom w:val="nil"/>
              <w:right w:val="nil"/>
            </w:tcBorders>
            <w:shd w:val="clear" w:color="auto" w:fill="auto"/>
            <w:noWrap/>
            <w:vAlign w:val="center"/>
            <w:hideMark/>
          </w:tcPr>
          <w:p w:rsidR="00D93F61" w:rsidRPr="00EB5E5E" w:rsidP="00FD4122" w14:paraId="0F1DABF7" w14:textId="77777777">
            <w:pPr>
              <w:jc w:val="right"/>
              <w:rPr>
                <w:rFonts w:ascii="Arial" w:hAnsi="Arial" w:cs="Arial"/>
                <w:color w:val="000000"/>
                <w:sz w:val="18"/>
                <w:szCs w:val="18"/>
              </w:rPr>
            </w:pPr>
            <w:r w:rsidRPr="00EB5E5E">
              <w:rPr>
                <w:rFonts w:ascii="Arial" w:hAnsi="Arial" w:cs="Arial"/>
                <w:color w:val="000000"/>
                <w:sz w:val="18"/>
                <w:szCs w:val="18"/>
              </w:rPr>
              <w:t>0.28</w:t>
            </w:r>
          </w:p>
        </w:tc>
        <w:tc>
          <w:tcPr>
            <w:tcW w:w="2160" w:type="dxa"/>
            <w:tcBorders>
              <w:top w:val="nil"/>
              <w:left w:val="nil"/>
              <w:bottom w:val="nil"/>
              <w:right w:val="nil"/>
            </w:tcBorders>
            <w:shd w:val="clear" w:color="auto" w:fill="auto"/>
            <w:noWrap/>
            <w:vAlign w:val="center"/>
            <w:hideMark/>
          </w:tcPr>
          <w:p w:rsidR="00D93F61" w:rsidRPr="00EB5E5E" w:rsidP="00FD4122" w14:paraId="005ADC34" w14:textId="77777777">
            <w:pPr>
              <w:jc w:val="right"/>
              <w:rPr>
                <w:rFonts w:ascii="Arial" w:hAnsi="Arial" w:cs="Arial"/>
                <w:color w:val="000000"/>
                <w:sz w:val="18"/>
                <w:szCs w:val="18"/>
              </w:rPr>
            </w:pPr>
            <w:r w:rsidRPr="00EB5E5E">
              <w:rPr>
                <w:rFonts w:ascii="Arial" w:hAnsi="Arial" w:cs="Arial"/>
                <w:color w:val="000000"/>
                <w:sz w:val="18"/>
                <w:szCs w:val="18"/>
              </w:rPr>
              <w:t>150</w:t>
            </w:r>
          </w:p>
        </w:tc>
      </w:tr>
      <w:tr w14:paraId="6E85AB72" w14:textId="77777777" w:rsidTr="00FD4122">
        <w:tblPrEx>
          <w:tblW w:w="10170" w:type="dxa"/>
          <w:tblLook w:val="04A0"/>
        </w:tblPrEx>
        <w:trPr>
          <w:trHeight w:val="300"/>
        </w:trPr>
        <w:tc>
          <w:tcPr>
            <w:tcW w:w="2070" w:type="dxa"/>
            <w:tcBorders>
              <w:top w:val="nil"/>
              <w:left w:val="nil"/>
              <w:bottom w:val="single" w:sz="4" w:space="0" w:color="auto"/>
              <w:right w:val="nil"/>
            </w:tcBorders>
            <w:shd w:val="clear" w:color="auto" w:fill="auto"/>
            <w:noWrap/>
            <w:vAlign w:val="center"/>
            <w:hideMark/>
          </w:tcPr>
          <w:p w:rsidR="00D93F61" w:rsidRPr="00EB5E5E" w:rsidP="00FD4122" w14:paraId="7DD7F4BD" w14:textId="77777777">
            <w:pPr>
              <w:jc w:val="center"/>
              <w:rPr>
                <w:rFonts w:ascii="Arial" w:hAnsi="Arial" w:cs="Arial"/>
                <w:color w:val="000000"/>
                <w:sz w:val="18"/>
                <w:szCs w:val="18"/>
              </w:rPr>
            </w:pPr>
            <w:r w:rsidRPr="00EB5E5E">
              <w:rPr>
                <w:rFonts w:ascii="Arial" w:hAnsi="Arial" w:cs="Arial"/>
                <w:color w:val="000000"/>
                <w:sz w:val="18"/>
                <w:szCs w:val="18"/>
              </w:rPr>
              <w:t>No</w:t>
            </w:r>
          </w:p>
        </w:tc>
        <w:tc>
          <w:tcPr>
            <w:tcW w:w="1890" w:type="dxa"/>
            <w:tcBorders>
              <w:top w:val="nil"/>
              <w:left w:val="nil"/>
              <w:bottom w:val="single" w:sz="4" w:space="0" w:color="auto"/>
              <w:right w:val="nil"/>
            </w:tcBorders>
            <w:shd w:val="clear" w:color="auto" w:fill="auto"/>
            <w:noWrap/>
            <w:vAlign w:val="center"/>
            <w:hideMark/>
          </w:tcPr>
          <w:p w:rsidR="00D93F61" w:rsidRPr="00EB5E5E" w:rsidP="00FD4122" w14:paraId="60D4F13E" w14:textId="77777777">
            <w:pPr>
              <w:jc w:val="center"/>
              <w:rPr>
                <w:rFonts w:ascii="Arial" w:hAnsi="Arial" w:cs="Arial"/>
                <w:color w:val="000000"/>
                <w:sz w:val="18"/>
                <w:szCs w:val="18"/>
              </w:rPr>
            </w:pPr>
            <w:r w:rsidRPr="00EB5E5E">
              <w:rPr>
                <w:rFonts w:ascii="Arial" w:hAnsi="Arial" w:cs="Arial"/>
                <w:color w:val="000000"/>
                <w:sz w:val="18"/>
                <w:szCs w:val="18"/>
              </w:rPr>
              <w:t>Yes</w:t>
            </w:r>
          </w:p>
        </w:tc>
        <w:tc>
          <w:tcPr>
            <w:tcW w:w="1890" w:type="dxa"/>
            <w:tcBorders>
              <w:top w:val="nil"/>
              <w:left w:val="nil"/>
              <w:bottom w:val="single" w:sz="4" w:space="0" w:color="auto"/>
              <w:right w:val="nil"/>
            </w:tcBorders>
            <w:shd w:val="clear" w:color="auto" w:fill="auto"/>
            <w:noWrap/>
            <w:vAlign w:val="center"/>
            <w:hideMark/>
          </w:tcPr>
          <w:p w:rsidR="00D93F61" w:rsidRPr="00EB5E5E" w:rsidP="00FD4122" w14:paraId="6437B7A8" w14:textId="77777777">
            <w:pPr>
              <w:jc w:val="center"/>
              <w:rPr>
                <w:rFonts w:ascii="Arial" w:hAnsi="Arial" w:cs="Arial"/>
                <w:color w:val="000000"/>
                <w:sz w:val="18"/>
                <w:szCs w:val="18"/>
              </w:rPr>
            </w:pPr>
            <w:r w:rsidRPr="00EB5E5E">
              <w:rPr>
                <w:rFonts w:ascii="Arial" w:hAnsi="Arial" w:cs="Arial"/>
                <w:color w:val="000000"/>
                <w:sz w:val="18"/>
                <w:szCs w:val="18"/>
              </w:rPr>
              <w:t>200</w:t>
            </w:r>
          </w:p>
        </w:tc>
        <w:tc>
          <w:tcPr>
            <w:tcW w:w="2160" w:type="dxa"/>
            <w:tcBorders>
              <w:top w:val="nil"/>
              <w:left w:val="nil"/>
              <w:bottom w:val="single" w:sz="4" w:space="0" w:color="auto"/>
              <w:right w:val="nil"/>
            </w:tcBorders>
            <w:shd w:val="clear" w:color="auto" w:fill="auto"/>
            <w:noWrap/>
            <w:vAlign w:val="center"/>
            <w:hideMark/>
          </w:tcPr>
          <w:p w:rsidR="00D93F61" w:rsidRPr="00EB5E5E" w:rsidP="00FD4122" w14:paraId="488D8398" w14:textId="77777777">
            <w:pPr>
              <w:jc w:val="right"/>
              <w:rPr>
                <w:rFonts w:ascii="Arial" w:hAnsi="Arial" w:cs="Arial"/>
                <w:color w:val="000000"/>
                <w:sz w:val="18"/>
                <w:szCs w:val="18"/>
              </w:rPr>
            </w:pPr>
            <w:r w:rsidRPr="00EB5E5E">
              <w:rPr>
                <w:rFonts w:ascii="Arial" w:hAnsi="Arial" w:cs="Arial"/>
                <w:color w:val="000000"/>
                <w:sz w:val="18"/>
                <w:szCs w:val="18"/>
              </w:rPr>
              <w:t>0.50</w:t>
            </w:r>
          </w:p>
        </w:tc>
        <w:tc>
          <w:tcPr>
            <w:tcW w:w="2160" w:type="dxa"/>
            <w:tcBorders>
              <w:top w:val="nil"/>
              <w:left w:val="nil"/>
              <w:bottom w:val="single" w:sz="4" w:space="0" w:color="auto"/>
              <w:right w:val="nil"/>
            </w:tcBorders>
            <w:shd w:val="clear" w:color="auto" w:fill="auto"/>
            <w:noWrap/>
            <w:vAlign w:val="center"/>
            <w:hideMark/>
          </w:tcPr>
          <w:p w:rsidR="00D93F61" w:rsidRPr="00EB5E5E" w:rsidP="00FD4122" w14:paraId="77FE36B5" w14:textId="79D98EA0">
            <w:pPr>
              <w:jc w:val="right"/>
              <w:rPr>
                <w:rFonts w:ascii="Arial" w:hAnsi="Arial" w:cs="Arial"/>
                <w:color w:val="000000"/>
                <w:sz w:val="18"/>
                <w:szCs w:val="18"/>
              </w:rPr>
            </w:pPr>
            <w:r w:rsidRPr="00EB5E5E">
              <w:rPr>
                <w:rFonts w:ascii="Arial" w:hAnsi="Arial" w:cs="Arial"/>
                <w:color w:val="000000"/>
                <w:sz w:val="18"/>
                <w:szCs w:val="18"/>
              </w:rPr>
              <w:t>100</w:t>
            </w:r>
          </w:p>
        </w:tc>
      </w:tr>
    </w:tbl>
    <w:p w:rsidR="00D93F61" w:rsidRPr="00EB5E5E" w:rsidP="00FD4122" w14:paraId="190F319F" w14:textId="2697D4D5">
      <w:pPr>
        <w:ind w:right="342"/>
        <w:rPr>
          <w:rFonts w:ascii="Arial" w:hAnsi="Arial" w:cs="Arial"/>
          <w:color w:val="000000"/>
          <w:sz w:val="15"/>
          <w:szCs w:val="15"/>
        </w:rPr>
      </w:pPr>
      <w:r w:rsidRPr="00EB5E5E">
        <w:rPr>
          <w:rFonts w:ascii="Arial" w:hAnsi="Arial" w:cs="Arial"/>
          <w:bCs/>
          <w:color w:val="000000"/>
          <w:sz w:val="15"/>
          <w:szCs w:val="15"/>
        </w:rPr>
        <w:t xml:space="preserve">NOTE: Sample sizes rounded to the nearest 10. </w:t>
      </w:r>
      <w:r w:rsidRPr="00EB5E5E">
        <w:rPr>
          <w:rFonts w:ascii="Arial" w:hAnsi="Arial" w:cs="Arial"/>
          <w:bCs/>
          <w:color w:val="000000"/>
          <w:sz w:val="15"/>
          <w:szCs w:val="15"/>
        </w:rPr>
        <w:br/>
        <w:t>SOURCE: U.S. Department of Education, National Center for Education Statistics, 2020/22 Beginning Postsecondary Students Longitudinal Study (BPS:20/22).</w:t>
      </w:r>
    </w:p>
    <w:p w:rsidR="00045E1F" w:rsidP="009222A7" w14:paraId="479266D5" w14:textId="32639DF1">
      <w:pPr>
        <w:pStyle w:val="Heading3"/>
      </w:pPr>
      <w:bookmarkStart w:id="40" w:name="_Toc135923530"/>
      <w:bookmarkStart w:id="41" w:name="_Toc140136656"/>
      <w:r>
        <w:t xml:space="preserve">BPS:20/22 Full-scale </w:t>
      </w:r>
      <w:r w:rsidRPr="005E3FDA">
        <w:t>S</w:t>
      </w:r>
      <w:r w:rsidR="00B92592">
        <w:t>ample</w:t>
      </w:r>
      <w:bookmarkEnd w:id="25"/>
      <w:bookmarkEnd w:id="26"/>
      <w:bookmarkEnd w:id="27"/>
      <w:bookmarkEnd w:id="28"/>
      <w:bookmarkEnd w:id="40"/>
      <w:bookmarkEnd w:id="41"/>
    </w:p>
    <w:p w:rsidR="00F2718B" w:rsidP="00F2718B" w14:paraId="2A839C22" w14:textId="7F23E390">
      <w:pPr>
        <w:pStyle w:val="NormalWeb"/>
        <w:rPr>
          <w:rFonts w:ascii="Calibri" w:hAnsi="Calibri" w:cs="Calibri"/>
          <w:color w:val="000000"/>
        </w:rPr>
      </w:pPr>
      <w:bookmarkStart w:id="42" w:name="_Toc268593749"/>
      <w:bookmarkStart w:id="43" w:name="_Toc281573446"/>
      <w:r w:rsidRPr="001C2BC1">
        <w:rPr>
          <w:rFonts w:ascii="Garamond" w:hAnsi="Garamond" w:cs="Calibri"/>
          <w:color w:val="000000"/>
        </w:rPr>
        <w:t>The BPS:20/25 full-scale sample will be constructed from the BPS:20/22 full-scale sample. The BPS:20/22 sample was composed of students who began their postsecondary education for the first time during the 2019-20 academic year at any Title IV-eligible postsecondary institution in the United States. Approximately 26,470 respondents to the NPSAS:20 full-scale student surveys self-identified as FTBs. In addition, to have full population coverage of the BPS sample, a subsample of approximately 10,860 students who are indicated by the NPSAS sample institution or administrative data to be potential FTBs were selected. This subsample consisted of a combination of NPSAS:20 survey nonrespondents and administrative data-only sample members who were NPSAS:20 study respondents.</w:t>
      </w:r>
      <w:r>
        <w:rPr>
          <w:rFonts w:ascii="Calibri" w:hAnsi="Calibri" w:cs="Calibri"/>
          <w:color w:val="000000"/>
        </w:rPr>
        <w:t xml:space="preserve"> </w:t>
      </w:r>
    </w:p>
    <w:p w:rsidR="00F2718B" w:rsidRPr="001C2BC1" w:rsidP="00F2718B" w14:paraId="16098A43" w14:textId="51C80053">
      <w:pPr>
        <w:pStyle w:val="NormalWeb"/>
        <w:rPr>
          <w:rFonts w:ascii="Garamond" w:hAnsi="Garamond" w:cs="Calibri"/>
          <w:color w:val="000000"/>
        </w:rPr>
      </w:pPr>
      <w:r w:rsidRPr="001C2BC1">
        <w:rPr>
          <w:rFonts w:ascii="Garamond" w:hAnsi="Garamond" w:cs="Calibri"/>
          <w:color w:val="000000"/>
        </w:rPr>
        <w:t>As shown in Table 4 below, the starting full-scale sample size was approximately 37,330, with an eligible sample of about 34,240. Eligibility was determined using screener responses and administrative data</w:t>
      </w:r>
      <w:r w:rsidR="00737C36">
        <w:rPr>
          <w:rFonts w:ascii="Garamond" w:hAnsi="Garamond" w:cs="Calibri"/>
          <w:color w:val="000000"/>
        </w:rPr>
        <w:t xml:space="preserve"> and </w:t>
      </w:r>
      <w:r w:rsidR="009F5349">
        <w:rPr>
          <w:rFonts w:ascii="Garamond" w:hAnsi="Garamond" w:cs="Calibri"/>
          <w:color w:val="000000"/>
        </w:rPr>
        <w:t>deceased individuals are also removed from eligible individual counts</w:t>
      </w:r>
      <w:r w:rsidRPr="001C2BC1">
        <w:rPr>
          <w:rFonts w:ascii="Garamond" w:hAnsi="Garamond" w:cs="Calibri"/>
          <w:color w:val="000000"/>
        </w:rPr>
        <w:t xml:space="preserve">. We observed an unweighted response rate of 65 percent among the eligible sample members, which yielded approximately 22,350 responding FTBs. </w:t>
      </w:r>
    </w:p>
    <w:p w:rsidR="00F2718B" w:rsidRPr="00C21CF0" w:rsidP="00261774" w14:paraId="0709F1E1" w14:textId="27291B64">
      <w:pPr>
        <w:pStyle w:val="TableTitle"/>
        <w:tabs>
          <w:tab w:val="left" w:pos="720"/>
        </w:tabs>
        <w:ind w:left="720" w:hanging="720"/>
      </w:pPr>
      <w:bookmarkStart w:id="44" w:name="_Toc140075248"/>
      <w:bookmarkStart w:id="45" w:name="_Toc140136672"/>
      <w:r>
        <w:t xml:space="preserve">Table </w:t>
      </w:r>
      <w:r w:rsidR="00252FFE">
        <w:fldChar w:fldCharType="begin"/>
      </w:r>
      <w:r w:rsidR="00252FFE">
        <w:instrText xml:space="preserve"> SEQ Table \* ARABIC </w:instrText>
      </w:r>
      <w:r w:rsidR="00252FFE">
        <w:fldChar w:fldCharType="separate"/>
      </w:r>
      <w:r>
        <w:rPr>
          <w:noProof/>
        </w:rPr>
        <w:t>4</w:t>
      </w:r>
      <w:r w:rsidR="00252FFE">
        <w:rPr>
          <w:noProof/>
        </w:rPr>
        <w:fldChar w:fldCharType="end"/>
      </w:r>
      <w:r>
        <w:t>.</w:t>
      </w:r>
      <w:r w:rsidR="00806782">
        <w:t xml:space="preserve"> </w:t>
      </w:r>
      <w:r w:rsidRPr="00C21CF0">
        <w:t xml:space="preserve">BPS:20/22 full-scale study eligibility and </w:t>
      </w:r>
      <w:r>
        <w:t xml:space="preserve">unweighted </w:t>
      </w:r>
      <w:r w:rsidRPr="00C21CF0">
        <w:t xml:space="preserve">response rates by base-year </w:t>
      </w:r>
      <w:r>
        <w:t>outcome</w:t>
      </w:r>
      <w:r w:rsidRPr="00C21CF0">
        <w:t xml:space="preserve"> status</w:t>
      </w:r>
      <w:r>
        <w:t>: 2020-22</w:t>
      </w:r>
      <w:bookmarkEnd w:id="44"/>
      <w:bookmarkEnd w:id="45"/>
    </w:p>
    <w:tbl>
      <w:tblPr>
        <w:tblW w:w="10170" w:type="dxa"/>
        <w:tblLook w:val="04A0"/>
      </w:tblPr>
      <w:tblGrid>
        <w:gridCol w:w="3064"/>
        <w:gridCol w:w="1082"/>
        <w:gridCol w:w="1082"/>
        <w:gridCol w:w="911"/>
        <w:gridCol w:w="296"/>
        <w:gridCol w:w="1935"/>
        <w:gridCol w:w="1800"/>
      </w:tblGrid>
      <w:tr w14:paraId="13C198E2" w14:textId="77777777" w:rsidTr="00FD022B">
        <w:tblPrEx>
          <w:tblW w:w="10170" w:type="dxa"/>
          <w:tblLook w:val="04A0"/>
        </w:tblPrEx>
        <w:trPr>
          <w:trHeight w:val="312"/>
        </w:trPr>
        <w:tc>
          <w:tcPr>
            <w:tcW w:w="3064" w:type="dxa"/>
            <w:tcBorders>
              <w:top w:val="single" w:sz="12" w:space="0" w:color="auto"/>
              <w:left w:val="nil"/>
              <w:bottom w:val="nil"/>
              <w:right w:val="nil"/>
            </w:tcBorders>
            <w:shd w:val="clear" w:color="auto" w:fill="auto"/>
            <w:vAlign w:val="center"/>
            <w:hideMark/>
          </w:tcPr>
          <w:p w:rsidR="00F2718B" w:rsidRPr="00FD022B" w:rsidP="007868A9" w14:paraId="2390E76F" w14:textId="77777777">
            <w:pPr>
              <w:rPr>
                <w:rFonts w:asciiTheme="majorHAnsi" w:hAnsiTheme="majorHAnsi" w:cstheme="majorHAnsi"/>
                <w:b/>
                <w:bCs/>
                <w:color w:val="000000"/>
                <w:sz w:val="18"/>
                <w:szCs w:val="18"/>
              </w:rPr>
            </w:pPr>
            <w:r w:rsidRPr="00FD022B">
              <w:rPr>
                <w:rFonts w:asciiTheme="majorHAnsi" w:hAnsiTheme="majorHAnsi" w:cstheme="majorHAnsi"/>
                <w:b/>
                <w:bCs/>
                <w:color w:val="000000"/>
                <w:sz w:val="18"/>
                <w:szCs w:val="18"/>
              </w:rPr>
              <w:t> </w:t>
            </w:r>
          </w:p>
        </w:tc>
        <w:tc>
          <w:tcPr>
            <w:tcW w:w="1082" w:type="dxa"/>
            <w:vMerge w:val="restart"/>
            <w:tcBorders>
              <w:top w:val="single" w:sz="12" w:space="0" w:color="auto"/>
              <w:left w:val="nil"/>
              <w:bottom w:val="single" w:sz="8" w:space="0" w:color="000000"/>
              <w:right w:val="nil"/>
            </w:tcBorders>
            <w:shd w:val="clear" w:color="auto" w:fill="auto"/>
            <w:vAlign w:val="center"/>
            <w:hideMark/>
          </w:tcPr>
          <w:p w:rsidR="00F2718B" w:rsidRPr="00FD022B" w:rsidP="00FD022B" w14:paraId="090B44A0" w14:textId="77777777">
            <w:pPr>
              <w:jc w:val="right"/>
              <w:rPr>
                <w:rFonts w:asciiTheme="majorHAnsi" w:hAnsiTheme="majorHAnsi" w:cstheme="majorHAnsi"/>
                <w:b/>
                <w:bCs/>
                <w:color w:val="000000"/>
                <w:sz w:val="18"/>
                <w:szCs w:val="18"/>
              </w:rPr>
            </w:pPr>
            <w:r w:rsidRPr="00FD022B">
              <w:rPr>
                <w:rFonts w:asciiTheme="majorHAnsi" w:hAnsiTheme="majorHAnsi" w:cstheme="majorHAnsi"/>
                <w:b/>
                <w:bCs/>
                <w:color w:val="000000"/>
                <w:sz w:val="18"/>
                <w:szCs w:val="18"/>
              </w:rPr>
              <w:t>Number</w:t>
            </w:r>
          </w:p>
        </w:tc>
        <w:tc>
          <w:tcPr>
            <w:tcW w:w="1993" w:type="dxa"/>
            <w:gridSpan w:val="2"/>
            <w:tcBorders>
              <w:top w:val="single" w:sz="12" w:space="0" w:color="auto"/>
              <w:left w:val="nil"/>
              <w:bottom w:val="single" w:sz="8" w:space="0" w:color="auto"/>
              <w:right w:val="nil"/>
            </w:tcBorders>
            <w:shd w:val="clear" w:color="auto" w:fill="auto"/>
            <w:vAlign w:val="center"/>
            <w:hideMark/>
          </w:tcPr>
          <w:p w:rsidR="00F2718B" w:rsidRPr="00FD022B" w:rsidP="00FD022B" w14:paraId="1054638D" w14:textId="77777777">
            <w:pPr>
              <w:jc w:val="right"/>
              <w:rPr>
                <w:rFonts w:asciiTheme="majorHAnsi" w:hAnsiTheme="majorHAnsi" w:cstheme="majorHAnsi"/>
                <w:b/>
                <w:bCs/>
                <w:color w:val="000000"/>
                <w:sz w:val="18"/>
                <w:szCs w:val="18"/>
              </w:rPr>
            </w:pPr>
            <w:r w:rsidRPr="00FD022B">
              <w:rPr>
                <w:rFonts w:asciiTheme="majorHAnsi" w:hAnsiTheme="majorHAnsi" w:cstheme="majorHAnsi"/>
                <w:b/>
                <w:bCs/>
                <w:color w:val="000000"/>
                <w:sz w:val="18"/>
                <w:szCs w:val="18"/>
              </w:rPr>
              <w:t>Eligible</w:t>
            </w:r>
            <w:r w:rsidRPr="00FD022B">
              <w:rPr>
                <w:rFonts w:asciiTheme="majorHAnsi" w:hAnsiTheme="majorHAnsi" w:cstheme="majorHAnsi"/>
                <w:b/>
                <w:bCs/>
                <w:color w:val="000000"/>
                <w:sz w:val="18"/>
                <w:szCs w:val="18"/>
                <w:vertAlign w:val="superscript"/>
              </w:rPr>
              <w:t>1</w:t>
            </w:r>
          </w:p>
        </w:tc>
        <w:tc>
          <w:tcPr>
            <w:tcW w:w="296" w:type="dxa"/>
            <w:vMerge w:val="restart"/>
            <w:tcBorders>
              <w:top w:val="single" w:sz="12" w:space="0" w:color="auto"/>
              <w:left w:val="nil"/>
              <w:bottom w:val="single" w:sz="8" w:space="0" w:color="000000"/>
              <w:right w:val="nil"/>
            </w:tcBorders>
            <w:shd w:val="clear" w:color="auto" w:fill="auto"/>
            <w:vAlign w:val="center"/>
            <w:hideMark/>
          </w:tcPr>
          <w:p w:rsidR="00F2718B" w:rsidRPr="00FD022B" w:rsidP="00FD022B" w14:paraId="107BDF42" w14:textId="77777777">
            <w:pPr>
              <w:jc w:val="right"/>
              <w:rPr>
                <w:rFonts w:asciiTheme="majorHAnsi" w:hAnsiTheme="majorHAnsi" w:cstheme="majorHAnsi"/>
                <w:b/>
                <w:bCs/>
                <w:color w:val="000000"/>
                <w:sz w:val="18"/>
                <w:szCs w:val="18"/>
              </w:rPr>
            </w:pPr>
            <w:r w:rsidRPr="00FD022B">
              <w:rPr>
                <w:rFonts w:asciiTheme="majorHAnsi" w:hAnsiTheme="majorHAnsi" w:cstheme="majorHAnsi"/>
                <w:b/>
                <w:bCs/>
                <w:color w:val="000000"/>
                <w:sz w:val="18"/>
                <w:szCs w:val="18"/>
              </w:rPr>
              <w:t> </w:t>
            </w:r>
          </w:p>
        </w:tc>
        <w:tc>
          <w:tcPr>
            <w:tcW w:w="3735" w:type="dxa"/>
            <w:gridSpan w:val="2"/>
            <w:tcBorders>
              <w:top w:val="single" w:sz="12" w:space="0" w:color="auto"/>
              <w:left w:val="nil"/>
              <w:bottom w:val="single" w:sz="8" w:space="0" w:color="auto"/>
              <w:right w:val="nil"/>
            </w:tcBorders>
            <w:shd w:val="clear" w:color="auto" w:fill="auto"/>
            <w:vAlign w:val="center"/>
            <w:hideMark/>
          </w:tcPr>
          <w:p w:rsidR="00F2718B" w:rsidRPr="00FD022B" w:rsidP="00FD022B" w14:paraId="7B30A1F1" w14:textId="77777777">
            <w:pPr>
              <w:jc w:val="right"/>
              <w:rPr>
                <w:rFonts w:asciiTheme="majorHAnsi" w:hAnsiTheme="majorHAnsi" w:cstheme="majorHAnsi"/>
                <w:b/>
                <w:bCs/>
                <w:color w:val="000000"/>
                <w:sz w:val="18"/>
                <w:szCs w:val="18"/>
              </w:rPr>
            </w:pPr>
            <w:r w:rsidRPr="00FD022B">
              <w:rPr>
                <w:rFonts w:asciiTheme="majorHAnsi" w:hAnsiTheme="majorHAnsi" w:cstheme="majorHAnsi"/>
                <w:b/>
                <w:bCs/>
                <w:color w:val="000000"/>
                <w:sz w:val="18"/>
                <w:szCs w:val="18"/>
              </w:rPr>
              <w:t>Respondents</w:t>
            </w:r>
          </w:p>
        </w:tc>
      </w:tr>
      <w:tr w14:paraId="1685E435" w14:textId="77777777" w:rsidTr="00FD022B">
        <w:tblPrEx>
          <w:tblW w:w="10170" w:type="dxa"/>
          <w:tblLook w:val="04A0"/>
        </w:tblPrEx>
        <w:trPr>
          <w:trHeight w:val="330"/>
        </w:trPr>
        <w:tc>
          <w:tcPr>
            <w:tcW w:w="3064" w:type="dxa"/>
            <w:tcBorders>
              <w:top w:val="nil"/>
              <w:left w:val="nil"/>
              <w:bottom w:val="single" w:sz="8" w:space="0" w:color="000000"/>
              <w:right w:val="nil"/>
            </w:tcBorders>
            <w:shd w:val="clear" w:color="auto" w:fill="auto"/>
            <w:vAlign w:val="center"/>
            <w:hideMark/>
          </w:tcPr>
          <w:p w:rsidR="00F2718B" w:rsidRPr="00FD022B" w:rsidP="007868A9" w14:paraId="0512D32C" w14:textId="77777777">
            <w:pPr>
              <w:rPr>
                <w:rFonts w:asciiTheme="majorHAnsi" w:hAnsiTheme="majorHAnsi" w:cstheme="majorHAnsi"/>
                <w:b/>
                <w:bCs/>
                <w:color w:val="000000"/>
                <w:sz w:val="18"/>
                <w:szCs w:val="18"/>
              </w:rPr>
            </w:pPr>
            <w:r w:rsidRPr="00FD022B">
              <w:rPr>
                <w:rFonts w:asciiTheme="majorHAnsi" w:hAnsiTheme="majorHAnsi" w:cstheme="majorHAnsi"/>
                <w:b/>
                <w:bCs/>
                <w:color w:val="000000"/>
                <w:sz w:val="18"/>
                <w:szCs w:val="18"/>
              </w:rPr>
              <w:t>NPSAS:20 full-scale outcome</w:t>
            </w:r>
          </w:p>
        </w:tc>
        <w:tc>
          <w:tcPr>
            <w:tcW w:w="1082" w:type="dxa"/>
            <w:vMerge/>
            <w:tcBorders>
              <w:top w:val="single" w:sz="12" w:space="0" w:color="auto"/>
              <w:left w:val="nil"/>
              <w:bottom w:val="single" w:sz="8" w:space="0" w:color="000000"/>
              <w:right w:val="nil"/>
            </w:tcBorders>
            <w:vAlign w:val="center"/>
            <w:hideMark/>
          </w:tcPr>
          <w:p w:rsidR="00F2718B" w:rsidRPr="00FD022B" w:rsidP="00FD022B" w14:paraId="3E3BF3E2" w14:textId="77777777">
            <w:pPr>
              <w:jc w:val="right"/>
              <w:rPr>
                <w:rFonts w:asciiTheme="majorHAnsi" w:hAnsiTheme="majorHAnsi" w:cstheme="majorHAnsi"/>
                <w:b/>
                <w:bCs/>
                <w:color w:val="000000"/>
                <w:sz w:val="18"/>
                <w:szCs w:val="18"/>
              </w:rPr>
            </w:pPr>
          </w:p>
        </w:tc>
        <w:tc>
          <w:tcPr>
            <w:tcW w:w="1082" w:type="dxa"/>
            <w:tcBorders>
              <w:top w:val="nil"/>
              <w:left w:val="nil"/>
              <w:bottom w:val="single" w:sz="8" w:space="0" w:color="auto"/>
              <w:right w:val="nil"/>
            </w:tcBorders>
            <w:shd w:val="clear" w:color="auto" w:fill="auto"/>
            <w:vAlign w:val="center"/>
            <w:hideMark/>
          </w:tcPr>
          <w:p w:rsidR="00F2718B" w:rsidRPr="00FD022B" w:rsidP="00FD022B" w14:paraId="1D080816" w14:textId="77777777">
            <w:pPr>
              <w:jc w:val="right"/>
              <w:rPr>
                <w:rFonts w:asciiTheme="majorHAnsi" w:hAnsiTheme="majorHAnsi" w:cstheme="majorHAnsi"/>
                <w:b/>
                <w:bCs/>
                <w:color w:val="000000"/>
                <w:sz w:val="18"/>
                <w:szCs w:val="18"/>
              </w:rPr>
            </w:pPr>
            <w:r w:rsidRPr="00FD022B">
              <w:rPr>
                <w:rFonts w:asciiTheme="majorHAnsi" w:hAnsiTheme="majorHAnsi" w:cstheme="majorHAnsi"/>
                <w:b/>
                <w:bCs/>
                <w:color w:val="000000"/>
                <w:sz w:val="18"/>
                <w:szCs w:val="18"/>
              </w:rPr>
              <w:t>Number</w:t>
            </w:r>
          </w:p>
        </w:tc>
        <w:tc>
          <w:tcPr>
            <w:tcW w:w="911" w:type="dxa"/>
            <w:tcBorders>
              <w:top w:val="nil"/>
              <w:left w:val="nil"/>
              <w:bottom w:val="single" w:sz="8" w:space="0" w:color="auto"/>
              <w:right w:val="nil"/>
            </w:tcBorders>
            <w:shd w:val="clear" w:color="auto" w:fill="auto"/>
            <w:vAlign w:val="center"/>
            <w:hideMark/>
          </w:tcPr>
          <w:p w:rsidR="00F2718B" w:rsidRPr="00FD022B" w:rsidP="00FD022B" w14:paraId="582AE572" w14:textId="77777777">
            <w:pPr>
              <w:jc w:val="right"/>
              <w:rPr>
                <w:rFonts w:asciiTheme="majorHAnsi" w:hAnsiTheme="majorHAnsi" w:cstheme="majorHAnsi"/>
                <w:b/>
                <w:bCs/>
                <w:color w:val="000000"/>
                <w:sz w:val="18"/>
                <w:szCs w:val="18"/>
              </w:rPr>
            </w:pPr>
            <w:r w:rsidRPr="00FD022B">
              <w:rPr>
                <w:rFonts w:asciiTheme="majorHAnsi" w:hAnsiTheme="majorHAnsi" w:cstheme="majorHAnsi"/>
                <w:b/>
                <w:bCs/>
                <w:color w:val="000000"/>
                <w:sz w:val="18"/>
                <w:szCs w:val="18"/>
              </w:rPr>
              <w:t>Rate</w:t>
            </w:r>
          </w:p>
        </w:tc>
        <w:tc>
          <w:tcPr>
            <w:tcW w:w="296" w:type="dxa"/>
            <w:vMerge/>
            <w:tcBorders>
              <w:top w:val="single" w:sz="12" w:space="0" w:color="auto"/>
              <w:left w:val="nil"/>
              <w:bottom w:val="single" w:sz="8" w:space="0" w:color="000000"/>
              <w:right w:val="nil"/>
            </w:tcBorders>
            <w:vAlign w:val="center"/>
            <w:hideMark/>
          </w:tcPr>
          <w:p w:rsidR="00F2718B" w:rsidRPr="00FD022B" w:rsidP="00FD022B" w14:paraId="00B11BC3" w14:textId="77777777">
            <w:pPr>
              <w:jc w:val="right"/>
              <w:rPr>
                <w:rFonts w:asciiTheme="majorHAnsi" w:hAnsiTheme="majorHAnsi" w:cstheme="majorHAnsi"/>
                <w:b/>
                <w:bCs/>
                <w:color w:val="000000"/>
                <w:sz w:val="18"/>
                <w:szCs w:val="18"/>
              </w:rPr>
            </w:pPr>
          </w:p>
        </w:tc>
        <w:tc>
          <w:tcPr>
            <w:tcW w:w="1935" w:type="dxa"/>
            <w:tcBorders>
              <w:top w:val="nil"/>
              <w:left w:val="nil"/>
              <w:bottom w:val="single" w:sz="8" w:space="0" w:color="auto"/>
              <w:right w:val="nil"/>
            </w:tcBorders>
            <w:shd w:val="clear" w:color="auto" w:fill="auto"/>
            <w:vAlign w:val="center"/>
            <w:hideMark/>
          </w:tcPr>
          <w:p w:rsidR="00F2718B" w:rsidRPr="00FD022B" w:rsidP="00FD022B" w14:paraId="2582B70C" w14:textId="77777777">
            <w:pPr>
              <w:jc w:val="right"/>
              <w:rPr>
                <w:rFonts w:asciiTheme="majorHAnsi" w:hAnsiTheme="majorHAnsi" w:cstheme="majorHAnsi"/>
                <w:b/>
                <w:bCs/>
                <w:color w:val="000000"/>
                <w:sz w:val="18"/>
                <w:szCs w:val="18"/>
              </w:rPr>
            </w:pPr>
            <w:r w:rsidRPr="00FD022B">
              <w:rPr>
                <w:rFonts w:asciiTheme="majorHAnsi" w:hAnsiTheme="majorHAnsi" w:cstheme="majorHAnsi"/>
                <w:b/>
                <w:bCs/>
                <w:color w:val="000000"/>
                <w:sz w:val="18"/>
                <w:szCs w:val="18"/>
              </w:rPr>
              <w:t>Number</w:t>
            </w:r>
          </w:p>
        </w:tc>
        <w:tc>
          <w:tcPr>
            <w:tcW w:w="1800" w:type="dxa"/>
            <w:tcBorders>
              <w:top w:val="nil"/>
              <w:left w:val="nil"/>
              <w:bottom w:val="single" w:sz="8" w:space="0" w:color="auto"/>
              <w:right w:val="nil"/>
            </w:tcBorders>
            <w:shd w:val="clear" w:color="auto" w:fill="auto"/>
            <w:vAlign w:val="center"/>
            <w:hideMark/>
          </w:tcPr>
          <w:p w:rsidR="00F2718B" w:rsidRPr="00FD022B" w:rsidP="00FD022B" w14:paraId="22B50B79" w14:textId="77777777">
            <w:pPr>
              <w:jc w:val="right"/>
              <w:rPr>
                <w:rFonts w:asciiTheme="majorHAnsi" w:hAnsiTheme="majorHAnsi" w:cstheme="majorHAnsi"/>
                <w:b/>
                <w:bCs/>
                <w:color w:val="000000"/>
                <w:sz w:val="18"/>
                <w:szCs w:val="18"/>
              </w:rPr>
            </w:pPr>
            <w:r w:rsidRPr="00FD022B">
              <w:rPr>
                <w:rFonts w:asciiTheme="majorHAnsi" w:hAnsiTheme="majorHAnsi" w:cstheme="majorHAnsi"/>
                <w:b/>
                <w:bCs/>
                <w:color w:val="000000"/>
                <w:sz w:val="18"/>
                <w:szCs w:val="18"/>
              </w:rPr>
              <w:t>Rate</w:t>
            </w:r>
            <w:r w:rsidRPr="00FD022B">
              <w:rPr>
                <w:rFonts w:asciiTheme="majorHAnsi" w:hAnsiTheme="majorHAnsi" w:cstheme="majorHAnsi"/>
                <w:b/>
                <w:bCs/>
                <w:color w:val="000000"/>
                <w:sz w:val="18"/>
                <w:szCs w:val="18"/>
                <w:vertAlign w:val="superscript"/>
              </w:rPr>
              <w:t>2</w:t>
            </w:r>
          </w:p>
        </w:tc>
      </w:tr>
      <w:tr w14:paraId="7CD69982" w14:textId="77777777" w:rsidTr="00EB5E5E">
        <w:tblPrEx>
          <w:tblW w:w="10170" w:type="dxa"/>
          <w:tblLook w:val="04A0"/>
        </w:tblPrEx>
        <w:trPr>
          <w:trHeight w:val="300"/>
        </w:trPr>
        <w:tc>
          <w:tcPr>
            <w:tcW w:w="3064" w:type="dxa"/>
            <w:tcBorders>
              <w:top w:val="nil"/>
              <w:left w:val="nil"/>
              <w:bottom w:val="single" w:sz="4" w:space="0" w:color="auto"/>
              <w:right w:val="nil"/>
            </w:tcBorders>
            <w:shd w:val="clear" w:color="auto" w:fill="auto"/>
            <w:vAlign w:val="center"/>
            <w:hideMark/>
          </w:tcPr>
          <w:p w:rsidR="00F2718B" w:rsidRPr="00FD022B" w:rsidP="007868A9" w14:paraId="29908CC6" w14:textId="77777777">
            <w:pPr>
              <w:rPr>
                <w:rFonts w:asciiTheme="majorHAnsi" w:hAnsiTheme="majorHAnsi" w:cstheme="majorHAnsi"/>
                <w:b/>
                <w:bCs/>
                <w:color w:val="000000"/>
                <w:sz w:val="18"/>
                <w:szCs w:val="18"/>
              </w:rPr>
            </w:pPr>
            <w:r w:rsidRPr="00FD022B">
              <w:rPr>
                <w:rFonts w:asciiTheme="majorHAnsi" w:hAnsiTheme="majorHAnsi" w:cstheme="majorHAnsi"/>
                <w:b/>
                <w:bCs/>
                <w:color w:val="000000"/>
                <w:sz w:val="18"/>
                <w:szCs w:val="18"/>
              </w:rPr>
              <w:t>Total</w:t>
            </w:r>
          </w:p>
        </w:tc>
        <w:tc>
          <w:tcPr>
            <w:tcW w:w="1082" w:type="dxa"/>
            <w:tcBorders>
              <w:top w:val="nil"/>
              <w:left w:val="nil"/>
              <w:bottom w:val="single" w:sz="4" w:space="0" w:color="auto"/>
              <w:right w:val="nil"/>
            </w:tcBorders>
            <w:shd w:val="clear" w:color="auto" w:fill="auto"/>
            <w:vAlign w:val="center"/>
            <w:hideMark/>
          </w:tcPr>
          <w:p w:rsidR="00F2718B" w:rsidRPr="00FD022B" w:rsidP="00FD022B" w14:paraId="29755D03" w14:textId="77777777">
            <w:pPr>
              <w:jc w:val="right"/>
              <w:rPr>
                <w:rFonts w:asciiTheme="majorHAnsi" w:hAnsiTheme="majorHAnsi" w:cstheme="majorHAnsi"/>
                <w:b/>
                <w:bCs/>
                <w:color w:val="000000"/>
                <w:sz w:val="18"/>
                <w:szCs w:val="18"/>
              </w:rPr>
            </w:pPr>
            <w:r w:rsidRPr="00FD022B">
              <w:rPr>
                <w:rFonts w:asciiTheme="majorHAnsi" w:hAnsiTheme="majorHAnsi" w:cstheme="majorHAnsi"/>
                <w:b/>
                <w:bCs/>
                <w:color w:val="000000"/>
                <w:sz w:val="18"/>
                <w:szCs w:val="18"/>
              </w:rPr>
              <w:t>37,330</w:t>
            </w:r>
          </w:p>
        </w:tc>
        <w:tc>
          <w:tcPr>
            <w:tcW w:w="1082" w:type="dxa"/>
            <w:tcBorders>
              <w:top w:val="nil"/>
              <w:left w:val="nil"/>
              <w:bottom w:val="single" w:sz="4" w:space="0" w:color="auto"/>
              <w:right w:val="nil"/>
            </w:tcBorders>
            <w:shd w:val="clear" w:color="auto" w:fill="auto"/>
            <w:vAlign w:val="center"/>
            <w:hideMark/>
          </w:tcPr>
          <w:p w:rsidR="00F2718B" w:rsidRPr="00FD022B" w:rsidP="00FD022B" w14:paraId="167E0C74" w14:textId="77777777">
            <w:pPr>
              <w:jc w:val="right"/>
              <w:rPr>
                <w:rFonts w:asciiTheme="majorHAnsi" w:hAnsiTheme="majorHAnsi" w:cstheme="majorHAnsi"/>
                <w:b/>
                <w:bCs/>
                <w:color w:val="000000"/>
                <w:sz w:val="18"/>
                <w:szCs w:val="18"/>
              </w:rPr>
            </w:pPr>
            <w:r w:rsidRPr="00FD022B">
              <w:rPr>
                <w:rFonts w:asciiTheme="majorHAnsi" w:hAnsiTheme="majorHAnsi" w:cstheme="majorHAnsi"/>
                <w:b/>
                <w:bCs/>
                <w:color w:val="000000"/>
                <w:sz w:val="18"/>
                <w:szCs w:val="18"/>
              </w:rPr>
              <w:t>34,240</w:t>
            </w:r>
          </w:p>
        </w:tc>
        <w:tc>
          <w:tcPr>
            <w:tcW w:w="911" w:type="dxa"/>
            <w:tcBorders>
              <w:top w:val="nil"/>
              <w:left w:val="nil"/>
              <w:bottom w:val="single" w:sz="4" w:space="0" w:color="auto"/>
              <w:right w:val="nil"/>
            </w:tcBorders>
            <w:shd w:val="clear" w:color="auto" w:fill="auto"/>
            <w:vAlign w:val="center"/>
            <w:hideMark/>
          </w:tcPr>
          <w:p w:rsidR="00F2718B" w:rsidRPr="00FD022B" w:rsidP="00FD022B" w14:paraId="7CB07D7D" w14:textId="77777777">
            <w:pPr>
              <w:jc w:val="right"/>
              <w:rPr>
                <w:rFonts w:asciiTheme="majorHAnsi" w:hAnsiTheme="majorHAnsi" w:cstheme="majorHAnsi"/>
                <w:b/>
                <w:bCs/>
                <w:color w:val="000000"/>
                <w:sz w:val="18"/>
                <w:szCs w:val="18"/>
              </w:rPr>
            </w:pPr>
            <w:r w:rsidRPr="00FD022B">
              <w:rPr>
                <w:rFonts w:asciiTheme="majorHAnsi" w:hAnsiTheme="majorHAnsi" w:cstheme="majorHAnsi"/>
                <w:b/>
                <w:bCs/>
                <w:color w:val="000000"/>
                <w:sz w:val="18"/>
                <w:szCs w:val="18"/>
              </w:rPr>
              <w:t>92%</w:t>
            </w:r>
          </w:p>
        </w:tc>
        <w:tc>
          <w:tcPr>
            <w:tcW w:w="296" w:type="dxa"/>
            <w:tcBorders>
              <w:top w:val="nil"/>
              <w:left w:val="nil"/>
              <w:bottom w:val="single" w:sz="4" w:space="0" w:color="auto"/>
              <w:right w:val="nil"/>
            </w:tcBorders>
            <w:shd w:val="clear" w:color="auto" w:fill="auto"/>
            <w:hideMark/>
          </w:tcPr>
          <w:p w:rsidR="00F2718B" w:rsidRPr="00FD022B" w:rsidP="00FD022B" w14:paraId="19CB2793" w14:textId="77777777">
            <w:pPr>
              <w:jc w:val="right"/>
              <w:rPr>
                <w:rFonts w:asciiTheme="majorHAnsi" w:hAnsiTheme="majorHAnsi" w:cstheme="majorHAnsi"/>
                <w:b/>
                <w:bCs/>
                <w:color w:val="000000"/>
                <w:sz w:val="18"/>
                <w:szCs w:val="18"/>
              </w:rPr>
            </w:pPr>
          </w:p>
        </w:tc>
        <w:tc>
          <w:tcPr>
            <w:tcW w:w="1935" w:type="dxa"/>
            <w:tcBorders>
              <w:top w:val="nil"/>
              <w:left w:val="nil"/>
              <w:bottom w:val="single" w:sz="4" w:space="0" w:color="auto"/>
              <w:right w:val="nil"/>
            </w:tcBorders>
            <w:shd w:val="clear" w:color="auto" w:fill="auto"/>
            <w:vAlign w:val="center"/>
            <w:hideMark/>
          </w:tcPr>
          <w:p w:rsidR="00F2718B" w:rsidRPr="00FD022B" w:rsidP="00FD022B" w14:paraId="21B9F7B7" w14:textId="49D7DF96">
            <w:pPr>
              <w:jc w:val="right"/>
              <w:rPr>
                <w:rFonts w:asciiTheme="majorHAnsi" w:hAnsiTheme="majorHAnsi" w:cstheme="majorHAnsi"/>
                <w:b/>
                <w:bCs/>
                <w:color w:val="000000"/>
                <w:sz w:val="18"/>
                <w:szCs w:val="18"/>
              </w:rPr>
            </w:pPr>
            <w:r w:rsidRPr="00FD022B">
              <w:rPr>
                <w:rFonts w:asciiTheme="majorHAnsi" w:hAnsiTheme="majorHAnsi" w:cstheme="majorHAnsi"/>
                <w:b/>
                <w:bCs/>
                <w:color w:val="000000"/>
                <w:sz w:val="18"/>
                <w:szCs w:val="18"/>
              </w:rPr>
              <w:t>22,3</w:t>
            </w:r>
            <w:r w:rsidR="002A7C18">
              <w:rPr>
                <w:rFonts w:asciiTheme="majorHAnsi" w:hAnsiTheme="majorHAnsi" w:cstheme="majorHAnsi"/>
                <w:b/>
                <w:bCs/>
                <w:color w:val="000000"/>
                <w:sz w:val="18"/>
                <w:szCs w:val="18"/>
              </w:rPr>
              <w:t>2</w:t>
            </w:r>
            <w:r w:rsidRPr="00FD022B">
              <w:rPr>
                <w:rFonts w:asciiTheme="majorHAnsi" w:hAnsiTheme="majorHAnsi" w:cstheme="majorHAnsi"/>
                <w:b/>
                <w:bCs/>
                <w:color w:val="000000"/>
                <w:sz w:val="18"/>
                <w:szCs w:val="18"/>
              </w:rPr>
              <w:t>0</w:t>
            </w:r>
          </w:p>
        </w:tc>
        <w:tc>
          <w:tcPr>
            <w:tcW w:w="1800" w:type="dxa"/>
            <w:tcBorders>
              <w:top w:val="nil"/>
              <w:left w:val="nil"/>
              <w:bottom w:val="single" w:sz="4" w:space="0" w:color="auto"/>
              <w:right w:val="nil"/>
            </w:tcBorders>
            <w:shd w:val="clear" w:color="auto" w:fill="auto"/>
            <w:vAlign w:val="center"/>
            <w:hideMark/>
          </w:tcPr>
          <w:p w:rsidR="00F2718B" w:rsidRPr="00FD022B" w:rsidP="00FD022B" w14:paraId="7660DBA1" w14:textId="77777777">
            <w:pPr>
              <w:jc w:val="right"/>
              <w:rPr>
                <w:rFonts w:asciiTheme="majorHAnsi" w:hAnsiTheme="majorHAnsi" w:cstheme="majorHAnsi"/>
                <w:b/>
                <w:bCs/>
                <w:color w:val="000000"/>
                <w:sz w:val="18"/>
                <w:szCs w:val="18"/>
              </w:rPr>
            </w:pPr>
            <w:r w:rsidRPr="00FD022B">
              <w:rPr>
                <w:rFonts w:asciiTheme="majorHAnsi" w:hAnsiTheme="majorHAnsi" w:cstheme="majorHAnsi"/>
                <w:b/>
                <w:bCs/>
                <w:color w:val="000000"/>
                <w:sz w:val="18"/>
                <w:szCs w:val="18"/>
              </w:rPr>
              <w:t>65%</w:t>
            </w:r>
          </w:p>
        </w:tc>
      </w:tr>
      <w:tr w14:paraId="339053A9" w14:textId="77777777" w:rsidTr="00EB5E5E">
        <w:tblPrEx>
          <w:tblW w:w="10170" w:type="dxa"/>
          <w:tblLook w:val="04A0"/>
        </w:tblPrEx>
        <w:trPr>
          <w:trHeight w:val="300"/>
        </w:trPr>
        <w:tc>
          <w:tcPr>
            <w:tcW w:w="3064" w:type="dxa"/>
            <w:tcBorders>
              <w:top w:val="single" w:sz="4" w:space="0" w:color="auto"/>
              <w:left w:val="nil"/>
              <w:bottom w:val="nil"/>
              <w:right w:val="nil"/>
            </w:tcBorders>
            <w:shd w:val="clear" w:color="auto" w:fill="auto"/>
            <w:vAlign w:val="center"/>
            <w:hideMark/>
          </w:tcPr>
          <w:p w:rsidR="00F2718B" w:rsidRPr="00FD022B" w:rsidP="007868A9" w14:paraId="4FCC1154" w14:textId="77777777">
            <w:pPr>
              <w:rPr>
                <w:rFonts w:asciiTheme="majorHAnsi" w:hAnsiTheme="majorHAnsi" w:cstheme="majorHAnsi"/>
                <w:color w:val="000000"/>
                <w:sz w:val="18"/>
                <w:szCs w:val="18"/>
              </w:rPr>
            </w:pPr>
            <w:r w:rsidRPr="00FD022B">
              <w:rPr>
                <w:rFonts w:asciiTheme="majorHAnsi" w:hAnsiTheme="majorHAnsi" w:cstheme="majorHAnsi"/>
                <w:color w:val="000000"/>
                <w:sz w:val="18"/>
                <w:szCs w:val="18"/>
              </w:rPr>
              <w:t>NPSAS Survey respondents</w:t>
            </w:r>
          </w:p>
        </w:tc>
        <w:tc>
          <w:tcPr>
            <w:tcW w:w="1082" w:type="dxa"/>
            <w:tcBorders>
              <w:top w:val="single" w:sz="4" w:space="0" w:color="auto"/>
              <w:left w:val="nil"/>
              <w:bottom w:val="nil"/>
              <w:right w:val="nil"/>
            </w:tcBorders>
            <w:shd w:val="clear" w:color="auto" w:fill="auto"/>
            <w:vAlign w:val="center"/>
            <w:hideMark/>
          </w:tcPr>
          <w:p w:rsidR="00F2718B" w:rsidRPr="00FD022B" w:rsidP="00FD022B" w14:paraId="62C19C27" w14:textId="77777777">
            <w:pPr>
              <w:jc w:val="right"/>
              <w:rPr>
                <w:rFonts w:asciiTheme="majorHAnsi" w:hAnsiTheme="majorHAnsi" w:cstheme="majorHAnsi"/>
                <w:color w:val="000000"/>
                <w:sz w:val="18"/>
                <w:szCs w:val="18"/>
              </w:rPr>
            </w:pPr>
            <w:r w:rsidRPr="00FD022B">
              <w:rPr>
                <w:rFonts w:asciiTheme="majorHAnsi" w:hAnsiTheme="majorHAnsi" w:cstheme="majorHAnsi"/>
                <w:color w:val="000000"/>
                <w:sz w:val="18"/>
                <w:szCs w:val="18"/>
              </w:rPr>
              <w:t>26,470</w:t>
            </w:r>
          </w:p>
        </w:tc>
        <w:tc>
          <w:tcPr>
            <w:tcW w:w="1082" w:type="dxa"/>
            <w:tcBorders>
              <w:top w:val="single" w:sz="4" w:space="0" w:color="auto"/>
              <w:left w:val="nil"/>
              <w:bottom w:val="nil"/>
              <w:right w:val="nil"/>
            </w:tcBorders>
            <w:shd w:val="clear" w:color="auto" w:fill="auto"/>
            <w:vAlign w:val="center"/>
            <w:hideMark/>
          </w:tcPr>
          <w:p w:rsidR="00F2718B" w:rsidRPr="00FD022B" w:rsidP="00FD022B" w14:paraId="38907FCD" w14:textId="77777777">
            <w:pPr>
              <w:jc w:val="right"/>
              <w:rPr>
                <w:rFonts w:asciiTheme="majorHAnsi" w:hAnsiTheme="majorHAnsi" w:cstheme="majorHAnsi"/>
                <w:color w:val="000000"/>
                <w:sz w:val="18"/>
                <w:szCs w:val="18"/>
              </w:rPr>
            </w:pPr>
            <w:r w:rsidRPr="00FD022B">
              <w:rPr>
                <w:rFonts w:asciiTheme="majorHAnsi" w:hAnsiTheme="majorHAnsi" w:cstheme="majorHAnsi"/>
                <w:color w:val="000000"/>
                <w:sz w:val="18"/>
                <w:szCs w:val="18"/>
              </w:rPr>
              <w:t>25,230</w:t>
            </w:r>
          </w:p>
        </w:tc>
        <w:tc>
          <w:tcPr>
            <w:tcW w:w="911" w:type="dxa"/>
            <w:tcBorders>
              <w:top w:val="single" w:sz="4" w:space="0" w:color="auto"/>
              <w:left w:val="nil"/>
              <w:bottom w:val="nil"/>
              <w:right w:val="nil"/>
            </w:tcBorders>
            <w:shd w:val="clear" w:color="auto" w:fill="auto"/>
            <w:vAlign w:val="center"/>
            <w:hideMark/>
          </w:tcPr>
          <w:p w:rsidR="00F2718B" w:rsidRPr="00FD022B" w:rsidP="00FD022B" w14:paraId="1A83AA13" w14:textId="77777777">
            <w:pPr>
              <w:jc w:val="right"/>
              <w:rPr>
                <w:rFonts w:asciiTheme="majorHAnsi" w:hAnsiTheme="majorHAnsi" w:cstheme="majorHAnsi"/>
                <w:color w:val="000000"/>
                <w:sz w:val="18"/>
                <w:szCs w:val="18"/>
              </w:rPr>
            </w:pPr>
            <w:r w:rsidRPr="00FD022B">
              <w:rPr>
                <w:rFonts w:asciiTheme="majorHAnsi" w:hAnsiTheme="majorHAnsi" w:cstheme="majorHAnsi"/>
                <w:color w:val="000000"/>
                <w:sz w:val="18"/>
                <w:szCs w:val="18"/>
              </w:rPr>
              <w:t>95%</w:t>
            </w:r>
          </w:p>
        </w:tc>
        <w:tc>
          <w:tcPr>
            <w:tcW w:w="296" w:type="dxa"/>
            <w:tcBorders>
              <w:top w:val="single" w:sz="4" w:space="0" w:color="auto"/>
              <w:left w:val="nil"/>
              <w:bottom w:val="nil"/>
              <w:right w:val="nil"/>
            </w:tcBorders>
            <w:shd w:val="clear" w:color="auto" w:fill="auto"/>
            <w:hideMark/>
          </w:tcPr>
          <w:p w:rsidR="00F2718B" w:rsidRPr="00FD022B" w:rsidP="00FD022B" w14:paraId="48206322" w14:textId="77777777">
            <w:pPr>
              <w:jc w:val="right"/>
              <w:rPr>
                <w:rFonts w:asciiTheme="majorHAnsi" w:hAnsiTheme="majorHAnsi" w:cstheme="majorHAnsi"/>
                <w:color w:val="000000"/>
                <w:sz w:val="18"/>
                <w:szCs w:val="18"/>
              </w:rPr>
            </w:pPr>
          </w:p>
        </w:tc>
        <w:tc>
          <w:tcPr>
            <w:tcW w:w="1935" w:type="dxa"/>
            <w:tcBorders>
              <w:top w:val="single" w:sz="4" w:space="0" w:color="auto"/>
              <w:left w:val="nil"/>
              <w:bottom w:val="nil"/>
              <w:right w:val="nil"/>
            </w:tcBorders>
            <w:shd w:val="clear" w:color="auto" w:fill="auto"/>
            <w:vAlign w:val="center"/>
            <w:hideMark/>
          </w:tcPr>
          <w:p w:rsidR="00F2718B" w:rsidRPr="00FD022B" w:rsidP="00FD022B" w14:paraId="1D87ED17" w14:textId="1DB0D3BA">
            <w:pPr>
              <w:jc w:val="right"/>
              <w:rPr>
                <w:rFonts w:asciiTheme="majorHAnsi" w:hAnsiTheme="majorHAnsi" w:cstheme="majorHAnsi"/>
                <w:color w:val="000000"/>
                <w:sz w:val="18"/>
                <w:szCs w:val="18"/>
              </w:rPr>
            </w:pPr>
            <w:r w:rsidRPr="00FD022B">
              <w:rPr>
                <w:rFonts w:asciiTheme="majorHAnsi" w:hAnsiTheme="majorHAnsi" w:cstheme="majorHAnsi"/>
                <w:color w:val="000000"/>
                <w:sz w:val="18"/>
                <w:szCs w:val="18"/>
              </w:rPr>
              <w:t>18,9</w:t>
            </w:r>
            <w:r w:rsidR="002A7C18">
              <w:rPr>
                <w:rFonts w:asciiTheme="majorHAnsi" w:hAnsiTheme="majorHAnsi" w:cstheme="majorHAnsi"/>
                <w:color w:val="000000"/>
                <w:sz w:val="18"/>
                <w:szCs w:val="18"/>
              </w:rPr>
              <w:t>0</w:t>
            </w:r>
            <w:r w:rsidRPr="00FD022B">
              <w:rPr>
                <w:rFonts w:asciiTheme="majorHAnsi" w:hAnsiTheme="majorHAnsi" w:cstheme="majorHAnsi"/>
                <w:color w:val="000000"/>
                <w:sz w:val="18"/>
                <w:szCs w:val="18"/>
              </w:rPr>
              <w:t>0</w:t>
            </w:r>
          </w:p>
        </w:tc>
        <w:tc>
          <w:tcPr>
            <w:tcW w:w="1800" w:type="dxa"/>
            <w:tcBorders>
              <w:top w:val="single" w:sz="4" w:space="0" w:color="auto"/>
              <w:left w:val="nil"/>
              <w:bottom w:val="nil"/>
              <w:right w:val="nil"/>
            </w:tcBorders>
            <w:shd w:val="clear" w:color="auto" w:fill="auto"/>
            <w:vAlign w:val="center"/>
            <w:hideMark/>
          </w:tcPr>
          <w:p w:rsidR="00F2718B" w:rsidRPr="00FD022B" w:rsidP="00FD022B" w14:paraId="029F47C0" w14:textId="77777777">
            <w:pPr>
              <w:jc w:val="right"/>
              <w:rPr>
                <w:rFonts w:asciiTheme="majorHAnsi" w:hAnsiTheme="majorHAnsi" w:cstheme="majorHAnsi"/>
                <w:color w:val="000000"/>
                <w:sz w:val="18"/>
                <w:szCs w:val="18"/>
              </w:rPr>
            </w:pPr>
            <w:r w:rsidRPr="00FD022B">
              <w:rPr>
                <w:rFonts w:asciiTheme="majorHAnsi" w:hAnsiTheme="majorHAnsi" w:cstheme="majorHAnsi"/>
                <w:color w:val="000000"/>
                <w:sz w:val="18"/>
                <w:szCs w:val="18"/>
              </w:rPr>
              <w:t>75%</w:t>
            </w:r>
          </w:p>
        </w:tc>
      </w:tr>
      <w:tr w14:paraId="766A608F" w14:textId="77777777" w:rsidTr="00FD022B">
        <w:tblPrEx>
          <w:tblW w:w="10170" w:type="dxa"/>
          <w:tblLook w:val="04A0"/>
        </w:tblPrEx>
        <w:trPr>
          <w:trHeight w:val="300"/>
        </w:trPr>
        <w:tc>
          <w:tcPr>
            <w:tcW w:w="3064" w:type="dxa"/>
            <w:tcBorders>
              <w:top w:val="nil"/>
              <w:left w:val="nil"/>
              <w:bottom w:val="nil"/>
              <w:right w:val="nil"/>
            </w:tcBorders>
            <w:shd w:val="clear" w:color="auto" w:fill="auto"/>
            <w:vAlign w:val="center"/>
            <w:hideMark/>
          </w:tcPr>
          <w:p w:rsidR="00F2718B" w:rsidRPr="00FD022B" w:rsidP="007868A9" w14:paraId="42E65C1A" w14:textId="77777777">
            <w:pPr>
              <w:rPr>
                <w:rFonts w:asciiTheme="majorHAnsi" w:hAnsiTheme="majorHAnsi" w:cstheme="majorHAnsi"/>
                <w:color w:val="000000"/>
                <w:sz w:val="18"/>
                <w:szCs w:val="18"/>
              </w:rPr>
            </w:pPr>
            <w:r w:rsidRPr="00FD022B">
              <w:rPr>
                <w:rFonts w:asciiTheme="majorHAnsi" w:hAnsiTheme="majorHAnsi" w:cstheme="majorHAnsi"/>
                <w:color w:val="000000"/>
                <w:sz w:val="18"/>
                <w:szCs w:val="18"/>
              </w:rPr>
              <w:t>NPSAS Survey nonrespondents</w:t>
            </w:r>
          </w:p>
        </w:tc>
        <w:tc>
          <w:tcPr>
            <w:tcW w:w="1082" w:type="dxa"/>
            <w:tcBorders>
              <w:top w:val="nil"/>
              <w:left w:val="nil"/>
              <w:bottom w:val="nil"/>
              <w:right w:val="nil"/>
            </w:tcBorders>
            <w:shd w:val="clear" w:color="auto" w:fill="auto"/>
            <w:vAlign w:val="center"/>
            <w:hideMark/>
          </w:tcPr>
          <w:p w:rsidR="00F2718B" w:rsidRPr="00FD022B" w:rsidP="00FD022B" w14:paraId="1A683CE5" w14:textId="77777777">
            <w:pPr>
              <w:jc w:val="right"/>
              <w:rPr>
                <w:rFonts w:asciiTheme="majorHAnsi" w:hAnsiTheme="majorHAnsi" w:cstheme="majorHAnsi"/>
                <w:color w:val="000000"/>
                <w:sz w:val="18"/>
                <w:szCs w:val="18"/>
              </w:rPr>
            </w:pPr>
            <w:r w:rsidRPr="00FD022B">
              <w:rPr>
                <w:rFonts w:asciiTheme="majorHAnsi" w:hAnsiTheme="majorHAnsi" w:cstheme="majorHAnsi"/>
                <w:color w:val="000000"/>
                <w:sz w:val="18"/>
                <w:szCs w:val="18"/>
              </w:rPr>
              <w:t>5,510</w:t>
            </w:r>
          </w:p>
        </w:tc>
        <w:tc>
          <w:tcPr>
            <w:tcW w:w="1082" w:type="dxa"/>
            <w:tcBorders>
              <w:top w:val="nil"/>
              <w:left w:val="nil"/>
              <w:bottom w:val="nil"/>
              <w:right w:val="nil"/>
            </w:tcBorders>
            <w:shd w:val="clear" w:color="auto" w:fill="auto"/>
            <w:vAlign w:val="center"/>
            <w:hideMark/>
          </w:tcPr>
          <w:p w:rsidR="00F2718B" w:rsidRPr="00FD022B" w:rsidP="00FD022B" w14:paraId="2BF4E2CD" w14:textId="77777777">
            <w:pPr>
              <w:jc w:val="right"/>
              <w:rPr>
                <w:rFonts w:asciiTheme="majorHAnsi" w:hAnsiTheme="majorHAnsi" w:cstheme="majorHAnsi"/>
                <w:color w:val="000000"/>
                <w:sz w:val="18"/>
                <w:szCs w:val="18"/>
              </w:rPr>
            </w:pPr>
            <w:r w:rsidRPr="00FD022B">
              <w:rPr>
                <w:rFonts w:asciiTheme="majorHAnsi" w:hAnsiTheme="majorHAnsi" w:cstheme="majorHAnsi"/>
                <w:color w:val="000000"/>
                <w:sz w:val="18"/>
                <w:szCs w:val="18"/>
              </w:rPr>
              <w:t>4,470</w:t>
            </w:r>
          </w:p>
        </w:tc>
        <w:tc>
          <w:tcPr>
            <w:tcW w:w="911" w:type="dxa"/>
            <w:tcBorders>
              <w:top w:val="nil"/>
              <w:left w:val="nil"/>
              <w:bottom w:val="nil"/>
              <w:right w:val="nil"/>
            </w:tcBorders>
            <w:shd w:val="clear" w:color="auto" w:fill="auto"/>
            <w:vAlign w:val="center"/>
            <w:hideMark/>
          </w:tcPr>
          <w:p w:rsidR="00F2718B" w:rsidRPr="00FD022B" w:rsidP="00FD022B" w14:paraId="6CADA27E" w14:textId="77777777">
            <w:pPr>
              <w:jc w:val="right"/>
              <w:rPr>
                <w:rFonts w:asciiTheme="majorHAnsi" w:hAnsiTheme="majorHAnsi" w:cstheme="majorHAnsi"/>
                <w:color w:val="000000"/>
                <w:sz w:val="18"/>
                <w:szCs w:val="18"/>
              </w:rPr>
            </w:pPr>
            <w:r w:rsidRPr="00FD022B">
              <w:rPr>
                <w:rFonts w:asciiTheme="majorHAnsi" w:hAnsiTheme="majorHAnsi" w:cstheme="majorHAnsi"/>
                <w:color w:val="000000"/>
                <w:sz w:val="18"/>
                <w:szCs w:val="18"/>
              </w:rPr>
              <w:t>81%</w:t>
            </w:r>
          </w:p>
        </w:tc>
        <w:tc>
          <w:tcPr>
            <w:tcW w:w="296" w:type="dxa"/>
            <w:tcBorders>
              <w:top w:val="nil"/>
              <w:left w:val="nil"/>
              <w:bottom w:val="nil"/>
              <w:right w:val="nil"/>
            </w:tcBorders>
            <w:shd w:val="clear" w:color="auto" w:fill="auto"/>
            <w:hideMark/>
          </w:tcPr>
          <w:p w:rsidR="00F2718B" w:rsidRPr="00FD022B" w:rsidP="00FD022B" w14:paraId="5C3FBBAD" w14:textId="77777777">
            <w:pPr>
              <w:jc w:val="right"/>
              <w:rPr>
                <w:rFonts w:asciiTheme="majorHAnsi" w:hAnsiTheme="majorHAnsi" w:cstheme="majorHAnsi"/>
                <w:color w:val="000000"/>
                <w:sz w:val="18"/>
                <w:szCs w:val="18"/>
              </w:rPr>
            </w:pPr>
          </w:p>
        </w:tc>
        <w:tc>
          <w:tcPr>
            <w:tcW w:w="1935" w:type="dxa"/>
            <w:tcBorders>
              <w:top w:val="nil"/>
              <w:left w:val="nil"/>
              <w:bottom w:val="nil"/>
              <w:right w:val="nil"/>
            </w:tcBorders>
            <w:shd w:val="clear" w:color="auto" w:fill="auto"/>
            <w:vAlign w:val="center"/>
            <w:hideMark/>
          </w:tcPr>
          <w:p w:rsidR="00F2718B" w:rsidRPr="00FD022B" w:rsidP="00FD022B" w14:paraId="140FB816" w14:textId="55180820">
            <w:pPr>
              <w:jc w:val="right"/>
              <w:rPr>
                <w:rFonts w:asciiTheme="majorHAnsi" w:hAnsiTheme="majorHAnsi" w:cstheme="majorHAnsi"/>
                <w:color w:val="000000"/>
                <w:sz w:val="18"/>
                <w:szCs w:val="18"/>
              </w:rPr>
            </w:pPr>
            <w:r w:rsidRPr="00FD022B">
              <w:rPr>
                <w:rFonts w:asciiTheme="majorHAnsi" w:hAnsiTheme="majorHAnsi" w:cstheme="majorHAnsi"/>
                <w:color w:val="000000"/>
                <w:sz w:val="18"/>
                <w:szCs w:val="18"/>
              </w:rPr>
              <w:t>9</w:t>
            </w:r>
            <w:r w:rsidR="002A7C18">
              <w:rPr>
                <w:rFonts w:asciiTheme="majorHAnsi" w:hAnsiTheme="majorHAnsi" w:cstheme="majorHAnsi"/>
                <w:color w:val="000000"/>
                <w:sz w:val="18"/>
                <w:szCs w:val="18"/>
              </w:rPr>
              <w:t>8</w:t>
            </w:r>
            <w:r w:rsidRPr="00FD022B">
              <w:rPr>
                <w:rFonts w:asciiTheme="majorHAnsi" w:hAnsiTheme="majorHAnsi" w:cstheme="majorHAnsi"/>
                <w:color w:val="000000"/>
                <w:sz w:val="18"/>
                <w:szCs w:val="18"/>
              </w:rPr>
              <w:t>0</w:t>
            </w:r>
          </w:p>
        </w:tc>
        <w:tc>
          <w:tcPr>
            <w:tcW w:w="1800" w:type="dxa"/>
            <w:tcBorders>
              <w:top w:val="nil"/>
              <w:left w:val="nil"/>
              <w:bottom w:val="nil"/>
              <w:right w:val="nil"/>
            </w:tcBorders>
            <w:shd w:val="clear" w:color="auto" w:fill="auto"/>
            <w:vAlign w:val="center"/>
            <w:hideMark/>
          </w:tcPr>
          <w:p w:rsidR="00F2718B" w:rsidRPr="00FD022B" w:rsidP="00FD022B" w14:paraId="3A15EE79" w14:textId="77777777">
            <w:pPr>
              <w:jc w:val="right"/>
              <w:rPr>
                <w:rFonts w:asciiTheme="majorHAnsi" w:hAnsiTheme="majorHAnsi" w:cstheme="majorHAnsi"/>
                <w:color w:val="000000"/>
                <w:sz w:val="18"/>
                <w:szCs w:val="18"/>
              </w:rPr>
            </w:pPr>
            <w:r w:rsidRPr="00FD022B">
              <w:rPr>
                <w:rFonts w:asciiTheme="majorHAnsi" w:hAnsiTheme="majorHAnsi" w:cstheme="majorHAnsi"/>
                <w:color w:val="000000"/>
                <w:sz w:val="18"/>
                <w:szCs w:val="18"/>
              </w:rPr>
              <w:t>22%</w:t>
            </w:r>
          </w:p>
        </w:tc>
      </w:tr>
      <w:tr w14:paraId="17760039" w14:textId="77777777" w:rsidTr="00FD022B">
        <w:tblPrEx>
          <w:tblW w:w="10170" w:type="dxa"/>
          <w:tblLook w:val="04A0"/>
        </w:tblPrEx>
        <w:trPr>
          <w:trHeight w:val="315"/>
        </w:trPr>
        <w:tc>
          <w:tcPr>
            <w:tcW w:w="3064" w:type="dxa"/>
            <w:tcBorders>
              <w:top w:val="nil"/>
              <w:left w:val="nil"/>
              <w:bottom w:val="single" w:sz="12" w:space="0" w:color="auto"/>
              <w:right w:val="nil"/>
            </w:tcBorders>
            <w:shd w:val="clear" w:color="auto" w:fill="auto"/>
            <w:vAlign w:val="center"/>
            <w:hideMark/>
          </w:tcPr>
          <w:p w:rsidR="00F2718B" w:rsidRPr="00FD022B" w:rsidP="007868A9" w14:paraId="6A074E86" w14:textId="77777777">
            <w:pPr>
              <w:rPr>
                <w:rFonts w:asciiTheme="majorHAnsi" w:hAnsiTheme="majorHAnsi" w:cstheme="majorHAnsi"/>
                <w:color w:val="000000"/>
                <w:sz w:val="18"/>
                <w:szCs w:val="18"/>
              </w:rPr>
            </w:pPr>
            <w:r w:rsidRPr="00FD022B">
              <w:rPr>
                <w:rFonts w:asciiTheme="majorHAnsi" w:hAnsiTheme="majorHAnsi" w:cstheme="majorHAnsi"/>
                <w:color w:val="000000"/>
                <w:sz w:val="18"/>
                <w:szCs w:val="18"/>
              </w:rPr>
              <w:t>NPSAS Administrative-only students</w:t>
            </w:r>
          </w:p>
        </w:tc>
        <w:tc>
          <w:tcPr>
            <w:tcW w:w="1082" w:type="dxa"/>
            <w:tcBorders>
              <w:top w:val="nil"/>
              <w:left w:val="nil"/>
              <w:bottom w:val="single" w:sz="12" w:space="0" w:color="auto"/>
              <w:right w:val="nil"/>
            </w:tcBorders>
            <w:shd w:val="clear" w:color="auto" w:fill="auto"/>
            <w:vAlign w:val="center"/>
            <w:hideMark/>
          </w:tcPr>
          <w:p w:rsidR="00F2718B" w:rsidRPr="00FD022B" w:rsidP="00FD022B" w14:paraId="355C5F32" w14:textId="77777777">
            <w:pPr>
              <w:jc w:val="right"/>
              <w:rPr>
                <w:rFonts w:asciiTheme="majorHAnsi" w:hAnsiTheme="majorHAnsi" w:cstheme="majorHAnsi"/>
                <w:color w:val="000000"/>
                <w:sz w:val="18"/>
                <w:szCs w:val="18"/>
              </w:rPr>
            </w:pPr>
            <w:r w:rsidRPr="00FD022B">
              <w:rPr>
                <w:rFonts w:asciiTheme="majorHAnsi" w:hAnsiTheme="majorHAnsi" w:cstheme="majorHAnsi"/>
                <w:color w:val="000000"/>
                <w:sz w:val="18"/>
                <w:szCs w:val="18"/>
              </w:rPr>
              <w:t>5,350</w:t>
            </w:r>
          </w:p>
        </w:tc>
        <w:tc>
          <w:tcPr>
            <w:tcW w:w="1082" w:type="dxa"/>
            <w:tcBorders>
              <w:top w:val="nil"/>
              <w:left w:val="nil"/>
              <w:bottom w:val="single" w:sz="12" w:space="0" w:color="auto"/>
              <w:right w:val="nil"/>
            </w:tcBorders>
            <w:shd w:val="clear" w:color="auto" w:fill="auto"/>
            <w:vAlign w:val="center"/>
            <w:hideMark/>
          </w:tcPr>
          <w:p w:rsidR="00F2718B" w:rsidRPr="00FD022B" w:rsidP="00FD022B" w14:paraId="33BCC5F3" w14:textId="77777777">
            <w:pPr>
              <w:jc w:val="right"/>
              <w:rPr>
                <w:rFonts w:asciiTheme="majorHAnsi" w:hAnsiTheme="majorHAnsi" w:cstheme="majorHAnsi"/>
                <w:color w:val="000000"/>
                <w:sz w:val="18"/>
                <w:szCs w:val="18"/>
              </w:rPr>
            </w:pPr>
            <w:r w:rsidRPr="00FD022B">
              <w:rPr>
                <w:rFonts w:asciiTheme="majorHAnsi" w:hAnsiTheme="majorHAnsi" w:cstheme="majorHAnsi"/>
                <w:color w:val="000000"/>
                <w:sz w:val="18"/>
                <w:szCs w:val="18"/>
              </w:rPr>
              <w:t>4,540</w:t>
            </w:r>
          </w:p>
        </w:tc>
        <w:tc>
          <w:tcPr>
            <w:tcW w:w="911" w:type="dxa"/>
            <w:tcBorders>
              <w:top w:val="nil"/>
              <w:left w:val="nil"/>
              <w:bottom w:val="single" w:sz="12" w:space="0" w:color="auto"/>
              <w:right w:val="nil"/>
            </w:tcBorders>
            <w:shd w:val="clear" w:color="auto" w:fill="auto"/>
            <w:vAlign w:val="center"/>
            <w:hideMark/>
          </w:tcPr>
          <w:p w:rsidR="00F2718B" w:rsidRPr="00FD022B" w:rsidP="00FD022B" w14:paraId="6C02CB60" w14:textId="77777777">
            <w:pPr>
              <w:jc w:val="right"/>
              <w:rPr>
                <w:rFonts w:asciiTheme="majorHAnsi" w:hAnsiTheme="majorHAnsi" w:cstheme="majorHAnsi"/>
                <w:color w:val="000000"/>
                <w:sz w:val="18"/>
                <w:szCs w:val="18"/>
              </w:rPr>
            </w:pPr>
            <w:r w:rsidRPr="00FD022B">
              <w:rPr>
                <w:rFonts w:asciiTheme="majorHAnsi" w:hAnsiTheme="majorHAnsi" w:cstheme="majorHAnsi"/>
                <w:color w:val="000000"/>
                <w:sz w:val="18"/>
                <w:szCs w:val="18"/>
              </w:rPr>
              <w:t>85%</w:t>
            </w:r>
          </w:p>
        </w:tc>
        <w:tc>
          <w:tcPr>
            <w:tcW w:w="296" w:type="dxa"/>
            <w:tcBorders>
              <w:top w:val="nil"/>
              <w:left w:val="nil"/>
              <w:bottom w:val="single" w:sz="12" w:space="0" w:color="auto"/>
              <w:right w:val="nil"/>
            </w:tcBorders>
            <w:shd w:val="clear" w:color="auto" w:fill="auto"/>
            <w:hideMark/>
          </w:tcPr>
          <w:p w:rsidR="00F2718B" w:rsidRPr="00FD022B" w:rsidP="00FD022B" w14:paraId="42410262" w14:textId="77777777">
            <w:pPr>
              <w:jc w:val="right"/>
              <w:rPr>
                <w:rFonts w:asciiTheme="majorHAnsi" w:hAnsiTheme="majorHAnsi" w:cstheme="majorHAnsi"/>
                <w:color w:val="000000"/>
                <w:sz w:val="18"/>
                <w:szCs w:val="18"/>
              </w:rPr>
            </w:pPr>
            <w:r w:rsidRPr="00FD022B">
              <w:rPr>
                <w:rFonts w:asciiTheme="majorHAnsi" w:hAnsiTheme="majorHAnsi" w:cstheme="majorHAnsi"/>
                <w:color w:val="000000"/>
                <w:sz w:val="18"/>
                <w:szCs w:val="18"/>
              </w:rPr>
              <w:t> </w:t>
            </w:r>
          </w:p>
        </w:tc>
        <w:tc>
          <w:tcPr>
            <w:tcW w:w="1935" w:type="dxa"/>
            <w:tcBorders>
              <w:top w:val="nil"/>
              <w:left w:val="nil"/>
              <w:bottom w:val="single" w:sz="12" w:space="0" w:color="auto"/>
              <w:right w:val="nil"/>
            </w:tcBorders>
            <w:shd w:val="clear" w:color="auto" w:fill="auto"/>
            <w:vAlign w:val="center"/>
            <w:hideMark/>
          </w:tcPr>
          <w:p w:rsidR="00F2718B" w:rsidRPr="00FD022B" w:rsidP="00FD022B" w14:paraId="530541A4" w14:textId="77777777">
            <w:pPr>
              <w:jc w:val="right"/>
              <w:rPr>
                <w:rFonts w:asciiTheme="majorHAnsi" w:hAnsiTheme="majorHAnsi" w:cstheme="majorHAnsi"/>
                <w:color w:val="000000"/>
                <w:sz w:val="18"/>
                <w:szCs w:val="18"/>
              </w:rPr>
            </w:pPr>
            <w:r w:rsidRPr="00FD022B">
              <w:rPr>
                <w:rFonts w:asciiTheme="majorHAnsi" w:hAnsiTheme="majorHAnsi" w:cstheme="majorHAnsi"/>
                <w:color w:val="000000"/>
                <w:sz w:val="18"/>
                <w:szCs w:val="18"/>
              </w:rPr>
              <w:t>2,450</w:t>
            </w:r>
          </w:p>
        </w:tc>
        <w:tc>
          <w:tcPr>
            <w:tcW w:w="1800" w:type="dxa"/>
            <w:tcBorders>
              <w:top w:val="nil"/>
              <w:left w:val="nil"/>
              <w:bottom w:val="single" w:sz="12" w:space="0" w:color="auto"/>
              <w:right w:val="nil"/>
            </w:tcBorders>
            <w:shd w:val="clear" w:color="auto" w:fill="auto"/>
            <w:vAlign w:val="center"/>
            <w:hideMark/>
          </w:tcPr>
          <w:p w:rsidR="00F2718B" w:rsidRPr="00FD022B" w:rsidP="00FD022B" w14:paraId="0BB41AD4" w14:textId="77777777">
            <w:pPr>
              <w:jc w:val="right"/>
              <w:rPr>
                <w:rFonts w:asciiTheme="majorHAnsi" w:hAnsiTheme="majorHAnsi" w:cstheme="majorHAnsi"/>
                <w:color w:val="000000"/>
                <w:sz w:val="18"/>
                <w:szCs w:val="18"/>
              </w:rPr>
            </w:pPr>
            <w:r w:rsidRPr="00FD022B">
              <w:rPr>
                <w:rFonts w:asciiTheme="majorHAnsi" w:hAnsiTheme="majorHAnsi" w:cstheme="majorHAnsi"/>
                <w:color w:val="000000"/>
                <w:sz w:val="18"/>
                <w:szCs w:val="18"/>
              </w:rPr>
              <w:t>54%</w:t>
            </w:r>
          </w:p>
        </w:tc>
      </w:tr>
    </w:tbl>
    <w:p w:rsidR="00617108" w:rsidRPr="00EB5E5E" w:rsidP="00FD022B" w14:paraId="11042FE3" w14:textId="10EC8263">
      <w:pPr>
        <w:ind w:right="342"/>
        <w:rPr>
          <w:rFonts w:ascii="Arial" w:hAnsi="Arial" w:cs="Arial"/>
          <w:color w:val="000000"/>
          <w:sz w:val="15"/>
          <w:szCs w:val="15"/>
        </w:rPr>
      </w:pPr>
      <w:r w:rsidRPr="00EB5E5E">
        <w:rPr>
          <w:rFonts w:ascii="Arial" w:hAnsi="Arial" w:cs="Arial"/>
          <w:color w:val="000000"/>
          <w:sz w:val="15"/>
          <w:szCs w:val="15"/>
        </w:rPr>
        <w:t xml:space="preserve">1 Sample member eligibility was determined during the student survey or from institutional records in the absence of a student survey. </w:t>
      </w:r>
      <w:r w:rsidR="00185FCE">
        <w:rPr>
          <w:rFonts w:ascii="Arial" w:hAnsi="Arial" w:cs="Arial"/>
          <w:color w:val="000000"/>
          <w:sz w:val="15"/>
          <w:szCs w:val="15"/>
        </w:rPr>
        <w:t>I</w:t>
      </w:r>
      <w:r w:rsidRPr="00EB5E5E">
        <w:rPr>
          <w:rFonts w:ascii="Arial" w:hAnsi="Arial" w:cs="Arial"/>
          <w:color w:val="000000"/>
          <w:sz w:val="15"/>
          <w:szCs w:val="15"/>
        </w:rPr>
        <w:t>ndividuals found to be deceased during data collection</w:t>
      </w:r>
      <w:r w:rsidR="00F01679">
        <w:rPr>
          <w:rFonts w:ascii="Arial" w:hAnsi="Arial" w:cs="Arial"/>
          <w:color w:val="000000"/>
          <w:sz w:val="15"/>
          <w:szCs w:val="15"/>
        </w:rPr>
        <w:t xml:space="preserve"> have also been removed from the </w:t>
      </w:r>
      <w:r w:rsidR="004B1559">
        <w:rPr>
          <w:rFonts w:ascii="Arial" w:hAnsi="Arial" w:cs="Arial"/>
          <w:color w:val="000000"/>
          <w:sz w:val="15"/>
          <w:szCs w:val="15"/>
        </w:rPr>
        <w:t>total eligible sample members</w:t>
      </w:r>
      <w:r w:rsidRPr="00EB5E5E">
        <w:rPr>
          <w:rFonts w:ascii="Arial" w:hAnsi="Arial" w:cs="Arial"/>
          <w:color w:val="000000"/>
          <w:sz w:val="15"/>
          <w:szCs w:val="15"/>
        </w:rPr>
        <w:t>.</w:t>
      </w:r>
      <w:r w:rsidRPr="00EB5E5E">
        <w:rPr>
          <w:rFonts w:ascii="Arial" w:hAnsi="Arial" w:cs="Arial"/>
          <w:color w:val="000000"/>
          <w:sz w:val="15"/>
          <w:szCs w:val="15"/>
        </w:rPr>
        <w:br/>
        <w:t>2 Unweighted response rate.</w:t>
      </w:r>
      <w:r w:rsidRPr="00EB5E5E">
        <w:rPr>
          <w:rFonts w:ascii="Arial" w:hAnsi="Arial" w:cs="Arial"/>
          <w:color w:val="000000"/>
          <w:sz w:val="15"/>
          <w:szCs w:val="15"/>
        </w:rPr>
        <w:br/>
        <w:t>NOTE: Sample sizes rounded to the nearest 10. Percentages are based on the unrounded count of eligible students within the row under consideration. Detail may not sum to totals because of rounding.</w:t>
      </w:r>
      <w:r w:rsidRPr="00EB5E5E">
        <w:rPr>
          <w:rFonts w:ascii="Arial" w:hAnsi="Arial" w:cs="Arial"/>
          <w:color w:val="000000"/>
          <w:sz w:val="15"/>
          <w:szCs w:val="15"/>
        </w:rPr>
        <w:br/>
        <w:t>SOURCE: U.S. Department of Education, National Center for Education Statistics, 2020/22 Beginning Postsecondary Students Longitudinal Study (BPS:20/22).</w:t>
      </w:r>
    </w:p>
    <w:p w:rsidR="00617108" w:rsidRPr="001C2BC1" w:rsidP="009222A7" w14:paraId="68ADC625" w14:textId="03759A3C">
      <w:pPr>
        <w:pStyle w:val="Heading3"/>
      </w:pPr>
      <w:bookmarkStart w:id="46" w:name="_Toc140136657"/>
      <w:r w:rsidRPr="001C2BC1">
        <w:t>BPS:20/25 Full-scale Sample</w:t>
      </w:r>
      <w:bookmarkEnd w:id="46"/>
    </w:p>
    <w:p w:rsidR="00617108" w:rsidRPr="001C2BC1" w:rsidP="00617108" w14:paraId="6D97597F" w14:textId="77777777">
      <w:pPr>
        <w:pStyle w:val="NormalWeb"/>
        <w:rPr>
          <w:rFonts w:ascii="Garamond" w:hAnsi="Garamond" w:eastAsiaTheme="minorEastAsia" w:cs="Calibri"/>
          <w:color w:val="000000"/>
        </w:rPr>
      </w:pPr>
      <w:r w:rsidRPr="001C2BC1">
        <w:rPr>
          <w:rFonts w:ascii="Garamond" w:hAnsi="Garamond" w:eastAsiaTheme="minorEastAsia" w:cs="Calibri"/>
          <w:color w:val="000000"/>
        </w:rPr>
        <w:t>BPS:20/25 will be the second follow-up data collection, conducted three years after BPS:20/22. The major difference from the BPS:20/22 sample to the BPS:20/25 sample is the exclusion of BPS:20/25 sample members who were determined to not be FTB students and are therefore ineligible for BPS. Deceased individuals are also excluded from the BPS:20/22 sample. Table 5 shows the distribution of the 34,240 sample members determined to be eligible for BPS:20/25 data collection, by study member status and survey response status, and identifies groups that will be fielded (included in data collection activities with an objective of obtaining a complete survey) in BPS:20/25. These 34,240 sample members are the same individuals identified as eligible students in Table 4.</w:t>
      </w:r>
    </w:p>
    <w:p w:rsidR="00617108" w:rsidP="00261774" w14:paraId="65AD6D67" w14:textId="5DEADA6B">
      <w:pPr>
        <w:pStyle w:val="TableTitle"/>
      </w:pPr>
      <w:bookmarkStart w:id="47" w:name="_Toc140075249"/>
      <w:bookmarkStart w:id="48" w:name="_Toc140136673"/>
      <w:r>
        <w:t xml:space="preserve">Table </w:t>
      </w:r>
      <w:r w:rsidR="00252FFE">
        <w:fldChar w:fldCharType="begin"/>
      </w:r>
      <w:r w:rsidR="00252FFE">
        <w:instrText xml:space="preserve"> SEQ Table \* ARABIC </w:instrText>
      </w:r>
      <w:r w:rsidR="00252FFE">
        <w:fldChar w:fldCharType="separate"/>
      </w:r>
      <w:r>
        <w:rPr>
          <w:noProof/>
        </w:rPr>
        <w:t>5</w:t>
      </w:r>
      <w:r w:rsidR="00252FFE">
        <w:rPr>
          <w:noProof/>
        </w:rPr>
        <w:fldChar w:fldCharType="end"/>
      </w:r>
      <w:r>
        <w:t>.</w:t>
      </w:r>
      <w:r w:rsidR="00FB3F40">
        <w:t xml:space="preserve"> </w:t>
      </w:r>
      <w:r w:rsidRPr="00FB5083">
        <w:t>BPS:</w:t>
      </w:r>
      <w:r>
        <w:t>20</w:t>
      </w:r>
      <w:r w:rsidRPr="00FB5083">
        <w:t>/</w:t>
      </w:r>
      <w:r>
        <w:t>25</w:t>
      </w:r>
      <w:r w:rsidRPr="00FB5083">
        <w:t xml:space="preserve"> sample member disposition, by NPSAS:</w:t>
      </w:r>
      <w:r>
        <w:t>20</w:t>
      </w:r>
      <w:r w:rsidRPr="00FB5083">
        <w:t xml:space="preserve"> and BPS:</w:t>
      </w:r>
      <w:r>
        <w:t>20</w:t>
      </w:r>
      <w:r w:rsidRPr="00FB5083">
        <w:t>/</w:t>
      </w:r>
      <w:r>
        <w:t>22</w:t>
      </w:r>
      <w:r w:rsidRPr="00FB5083">
        <w:t xml:space="preserve"> response status: 20</w:t>
      </w:r>
      <w:r>
        <w:t>20</w:t>
      </w:r>
      <w:r w:rsidRPr="00FB5083">
        <w:t>–</w:t>
      </w:r>
      <w:r>
        <w:t>22</w:t>
      </w:r>
      <w:bookmarkEnd w:id="47"/>
      <w:bookmarkEnd w:id="48"/>
    </w:p>
    <w:tbl>
      <w:tblPr>
        <w:tblW w:w="10170" w:type="dxa"/>
        <w:tblLook w:val="04A0"/>
      </w:tblPr>
      <w:tblGrid>
        <w:gridCol w:w="960"/>
        <w:gridCol w:w="3360"/>
        <w:gridCol w:w="1710"/>
        <w:gridCol w:w="1350"/>
        <w:gridCol w:w="2790"/>
      </w:tblGrid>
      <w:tr w14:paraId="15B62615" w14:textId="77777777" w:rsidTr="00FD4122">
        <w:tblPrEx>
          <w:tblW w:w="10170" w:type="dxa"/>
          <w:tblLook w:val="04A0"/>
        </w:tblPrEx>
        <w:trPr>
          <w:trHeight w:val="582"/>
        </w:trPr>
        <w:tc>
          <w:tcPr>
            <w:tcW w:w="960" w:type="dxa"/>
            <w:tcBorders>
              <w:top w:val="single" w:sz="12" w:space="0" w:color="auto"/>
              <w:left w:val="nil"/>
              <w:bottom w:val="single" w:sz="8" w:space="0" w:color="auto"/>
              <w:right w:val="nil"/>
            </w:tcBorders>
            <w:shd w:val="clear" w:color="auto" w:fill="auto"/>
            <w:vAlign w:val="center"/>
            <w:hideMark/>
          </w:tcPr>
          <w:p w:rsidR="00617108" w:rsidRPr="006A0327" w:rsidP="007868A9" w14:paraId="494AFCB5" w14:textId="77777777">
            <w:pPr>
              <w:rPr>
                <w:rFonts w:ascii="Arial" w:hAnsi="Arial" w:cs="Arial"/>
                <w:b/>
                <w:bCs/>
                <w:color w:val="000000"/>
                <w:sz w:val="18"/>
                <w:szCs w:val="18"/>
              </w:rPr>
            </w:pPr>
            <w:r w:rsidRPr="006A0327">
              <w:rPr>
                <w:rFonts w:ascii="Arial" w:hAnsi="Arial" w:cs="Arial"/>
                <w:b/>
                <w:bCs/>
                <w:color w:val="000000"/>
                <w:sz w:val="18"/>
                <w:szCs w:val="18"/>
              </w:rPr>
              <w:t>Group</w:t>
            </w:r>
          </w:p>
        </w:tc>
        <w:tc>
          <w:tcPr>
            <w:tcW w:w="3360" w:type="dxa"/>
            <w:tcBorders>
              <w:top w:val="single" w:sz="12" w:space="0" w:color="auto"/>
              <w:left w:val="nil"/>
              <w:bottom w:val="single" w:sz="8" w:space="0" w:color="auto"/>
              <w:right w:val="nil"/>
            </w:tcBorders>
            <w:shd w:val="clear" w:color="auto" w:fill="auto"/>
            <w:vAlign w:val="center"/>
            <w:hideMark/>
          </w:tcPr>
          <w:p w:rsidR="00617108" w:rsidRPr="006A0327" w:rsidP="00FD4122" w14:paraId="5CCD81FF" w14:textId="77777777">
            <w:pPr>
              <w:jc w:val="right"/>
              <w:rPr>
                <w:rFonts w:ascii="Arial" w:hAnsi="Arial" w:cs="Arial"/>
                <w:b/>
                <w:bCs/>
                <w:color w:val="000000"/>
                <w:sz w:val="18"/>
                <w:szCs w:val="18"/>
              </w:rPr>
            </w:pPr>
            <w:r w:rsidRPr="006A0327">
              <w:rPr>
                <w:rFonts w:ascii="Arial" w:hAnsi="Arial" w:cs="Arial"/>
                <w:b/>
                <w:bCs/>
                <w:color w:val="000000"/>
                <w:sz w:val="18"/>
                <w:szCs w:val="18"/>
              </w:rPr>
              <w:t>NPSAS:20 data collection outcomes</w:t>
            </w:r>
          </w:p>
        </w:tc>
        <w:tc>
          <w:tcPr>
            <w:tcW w:w="1710" w:type="dxa"/>
            <w:tcBorders>
              <w:top w:val="single" w:sz="12" w:space="0" w:color="auto"/>
              <w:left w:val="nil"/>
              <w:bottom w:val="single" w:sz="8" w:space="0" w:color="auto"/>
              <w:right w:val="nil"/>
            </w:tcBorders>
            <w:shd w:val="clear" w:color="auto" w:fill="auto"/>
            <w:vAlign w:val="center"/>
            <w:hideMark/>
          </w:tcPr>
          <w:p w:rsidR="00617108" w:rsidRPr="006A0327" w:rsidP="00FD4122" w14:paraId="5300F019" w14:textId="77777777">
            <w:pPr>
              <w:jc w:val="right"/>
              <w:rPr>
                <w:rFonts w:ascii="Arial" w:hAnsi="Arial" w:cs="Arial"/>
                <w:b/>
                <w:bCs/>
                <w:color w:val="000000"/>
                <w:sz w:val="18"/>
                <w:szCs w:val="18"/>
              </w:rPr>
            </w:pPr>
            <w:r w:rsidRPr="006A0327">
              <w:rPr>
                <w:rFonts w:ascii="Arial" w:hAnsi="Arial" w:cs="Arial"/>
                <w:b/>
                <w:bCs/>
                <w:color w:val="000000"/>
                <w:sz w:val="18"/>
                <w:szCs w:val="18"/>
              </w:rPr>
              <w:t>BPS:20/22 Respondent</w:t>
            </w:r>
          </w:p>
        </w:tc>
        <w:tc>
          <w:tcPr>
            <w:tcW w:w="1350" w:type="dxa"/>
            <w:tcBorders>
              <w:top w:val="single" w:sz="12" w:space="0" w:color="auto"/>
              <w:left w:val="nil"/>
              <w:bottom w:val="single" w:sz="8" w:space="0" w:color="auto"/>
              <w:right w:val="nil"/>
            </w:tcBorders>
            <w:shd w:val="clear" w:color="auto" w:fill="auto"/>
            <w:vAlign w:val="center"/>
            <w:hideMark/>
          </w:tcPr>
          <w:p w:rsidR="00617108" w:rsidRPr="006A0327" w:rsidP="00FD4122" w14:paraId="6607CE77" w14:textId="62A8F3A5">
            <w:pPr>
              <w:jc w:val="right"/>
              <w:rPr>
                <w:rFonts w:ascii="Arial" w:hAnsi="Arial" w:cs="Arial"/>
                <w:b/>
                <w:bCs/>
                <w:color w:val="000000"/>
                <w:sz w:val="18"/>
                <w:szCs w:val="18"/>
              </w:rPr>
            </w:pPr>
            <w:r w:rsidRPr="006A0327">
              <w:rPr>
                <w:rFonts w:ascii="Arial" w:hAnsi="Arial" w:cs="Arial"/>
                <w:b/>
                <w:bCs/>
                <w:color w:val="000000"/>
                <w:sz w:val="18"/>
                <w:szCs w:val="18"/>
              </w:rPr>
              <w:t>Count</w:t>
            </w:r>
          </w:p>
        </w:tc>
        <w:tc>
          <w:tcPr>
            <w:tcW w:w="2790" w:type="dxa"/>
            <w:tcBorders>
              <w:top w:val="single" w:sz="12" w:space="0" w:color="auto"/>
              <w:left w:val="nil"/>
              <w:bottom w:val="single" w:sz="8" w:space="0" w:color="auto"/>
              <w:right w:val="nil"/>
            </w:tcBorders>
            <w:shd w:val="clear" w:color="auto" w:fill="auto"/>
            <w:vAlign w:val="center"/>
            <w:hideMark/>
          </w:tcPr>
          <w:p w:rsidR="00617108" w:rsidRPr="006A0327" w:rsidP="00FD4122" w14:paraId="54888DD6" w14:textId="77777777">
            <w:pPr>
              <w:jc w:val="right"/>
              <w:rPr>
                <w:rFonts w:ascii="Arial" w:hAnsi="Arial" w:cs="Arial"/>
                <w:b/>
                <w:bCs/>
                <w:color w:val="000000"/>
                <w:sz w:val="18"/>
                <w:szCs w:val="18"/>
              </w:rPr>
            </w:pPr>
            <w:r w:rsidRPr="006A0327">
              <w:rPr>
                <w:rFonts w:ascii="Arial" w:hAnsi="Arial" w:cs="Arial"/>
                <w:b/>
                <w:bCs/>
                <w:color w:val="000000"/>
                <w:sz w:val="18"/>
                <w:szCs w:val="18"/>
              </w:rPr>
              <w:t>Field in BPS:20/25 Full-scale</w:t>
            </w:r>
          </w:p>
        </w:tc>
      </w:tr>
      <w:tr w14:paraId="1A330D38" w14:textId="77777777" w:rsidTr="00FD4122">
        <w:tblPrEx>
          <w:tblW w:w="10170" w:type="dxa"/>
          <w:tblLook w:val="04A0"/>
        </w:tblPrEx>
        <w:trPr>
          <w:trHeight w:val="322"/>
        </w:trPr>
        <w:tc>
          <w:tcPr>
            <w:tcW w:w="960" w:type="dxa"/>
            <w:tcBorders>
              <w:top w:val="single" w:sz="8" w:space="0" w:color="auto"/>
              <w:left w:val="nil"/>
              <w:bottom w:val="single" w:sz="4" w:space="0" w:color="auto"/>
              <w:right w:val="nil"/>
            </w:tcBorders>
            <w:shd w:val="clear" w:color="auto" w:fill="auto"/>
            <w:vAlign w:val="center"/>
          </w:tcPr>
          <w:p w:rsidR="00EB5E5E" w:rsidRPr="00FD022B" w:rsidP="00EB5E5E" w14:paraId="0CB9FF3E" w14:textId="6DBF7BBA">
            <w:pPr>
              <w:rPr>
                <w:rFonts w:ascii="Arial" w:hAnsi="Arial" w:cs="Arial"/>
                <w:b/>
                <w:bCs/>
                <w:color w:val="000000"/>
                <w:sz w:val="18"/>
                <w:szCs w:val="18"/>
              </w:rPr>
            </w:pPr>
            <w:r w:rsidRPr="00FD022B">
              <w:rPr>
                <w:rFonts w:ascii="Arial" w:hAnsi="Arial" w:cs="Arial"/>
                <w:b/>
                <w:bCs/>
                <w:color w:val="000000"/>
                <w:sz w:val="18"/>
                <w:szCs w:val="18"/>
              </w:rPr>
              <w:t>Total</w:t>
            </w:r>
          </w:p>
        </w:tc>
        <w:tc>
          <w:tcPr>
            <w:tcW w:w="3360" w:type="dxa"/>
            <w:tcBorders>
              <w:top w:val="single" w:sz="8" w:space="0" w:color="auto"/>
              <w:left w:val="nil"/>
              <w:bottom w:val="single" w:sz="4" w:space="0" w:color="auto"/>
              <w:right w:val="nil"/>
            </w:tcBorders>
            <w:shd w:val="clear" w:color="auto" w:fill="auto"/>
            <w:vAlign w:val="bottom"/>
          </w:tcPr>
          <w:p w:rsidR="00EB5E5E" w:rsidRPr="00FD022B" w:rsidP="00EB5E5E" w14:paraId="5681A6FE" w14:textId="65FA7718">
            <w:pPr>
              <w:rPr>
                <w:rFonts w:ascii="Arial" w:hAnsi="Arial" w:cs="Arial"/>
                <w:color w:val="000000"/>
                <w:sz w:val="18"/>
                <w:szCs w:val="18"/>
              </w:rPr>
            </w:pPr>
            <w:r w:rsidRPr="00FD022B">
              <w:rPr>
                <w:rFonts w:ascii="Arial" w:hAnsi="Arial" w:cs="Arial"/>
                <w:color w:val="000000"/>
                <w:sz w:val="18"/>
                <w:szCs w:val="18"/>
              </w:rPr>
              <w:t> </w:t>
            </w:r>
          </w:p>
        </w:tc>
        <w:tc>
          <w:tcPr>
            <w:tcW w:w="1710" w:type="dxa"/>
            <w:tcBorders>
              <w:top w:val="single" w:sz="8" w:space="0" w:color="auto"/>
              <w:left w:val="nil"/>
              <w:bottom w:val="single" w:sz="4" w:space="0" w:color="auto"/>
              <w:right w:val="nil"/>
            </w:tcBorders>
            <w:shd w:val="clear" w:color="auto" w:fill="auto"/>
            <w:vAlign w:val="bottom"/>
          </w:tcPr>
          <w:p w:rsidR="00EB5E5E" w:rsidRPr="00FD022B" w:rsidP="00EB5E5E" w14:paraId="46F04453" w14:textId="54B7BC8B">
            <w:pPr>
              <w:jc w:val="right"/>
              <w:rPr>
                <w:rFonts w:ascii="Arial" w:hAnsi="Arial" w:cs="Arial"/>
                <w:color w:val="000000"/>
                <w:sz w:val="18"/>
                <w:szCs w:val="18"/>
              </w:rPr>
            </w:pPr>
            <w:r w:rsidRPr="00FD022B">
              <w:rPr>
                <w:rFonts w:ascii="Arial" w:hAnsi="Arial" w:cs="Arial"/>
                <w:color w:val="000000"/>
                <w:sz w:val="18"/>
                <w:szCs w:val="18"/>
              </w:rPr>
              <w:t> </w:t>
            </w:r>
          </w:p>
        </w:tc>
        <w:tc>
          <w:tcPr>
            <w:tcW w:w="1350" w:type="dxa"/>
            <w:tcBorders>
              <w:top w:val="single" w:sz="8" w:space="0" w:color="auto"/>
              <w:left w:val="nil"/>
              <w:bottom w:val="single" w:sz="4" w:space="0" w:color="auto"/>
              <w:right w:val="nil"/>
            </w:tcBorders>
            <w:shd w:val="clear" w:color="auto" w:fill="auto"/>
            <w:noWrap/>
            <w:vAlign w:val="bottom"/>
          </w:tcPr>
          <w:p w:rsidR="00EB5E5E" w:rsidRPr="00FD022B" w:rsidP="00EB5E5E" w14:paraId="0A7A0D21" w14:textId="27C8FEC2">
            <w:pPr>
              <w:jc w:val="right"/>
              <w:rPr>
                <w:rFonts w:ascii="Arial" w:hAnsi="Arial" w:cs="Arial"/>
                <w:color w:val="000000"/>
                <w:sz w:val="18"/>
                <w:szCs w:val="18"/>
              </w:rPr>
            </w:pPr>
            <w:r w:rsidRPr="00FD022B">
              <w:rPr>
                <w:rFonts w:ascii="Arial" w:hAnsi="Arial" w:cs="Arial"/>
                <w:color w:val="000000"/>
                <w:sz w:val="18"/>
                <w:szCs w:val="18"/>
              </w:rPr>
              <w:t>34,240</w:t>
            </w:r>
          </w:p>
        </w:tc>
        <w:tc>
          <w:tcPr>
            <w:tcW w:w="2790" w:type="dxa"/>
            <w:tcBorders>
              <w:top w:val="single" w:sz="8" w:space="0" w:color="auto"/>
              <w:left w:val="nil"/>
              <w:bottom w:val="single" w:sz="4" w:space="0" w:color="auto"/>
              <w:right w:val="nil"/>
            </w:tcBorders>
            <w:shd w:val="clear" w:color="auto" w:fill="auto"/>
            <w:vAlign w:val="bottom"/>
          </w:tcPr>
          <w:p w:rsidR="00EB5E5E" w:rsidRPr="00FD022B" w:rsidP="00EB5E5E" w14:paraId="075670D3" w14:textId="64E21F48">
            <w:pPr>
              <w:jc w:val="right"/>
              <w:rPr>
                <w:rFonts w:ascii="Arial" w:hAnsi="Arial" w:cs="Arial"/>
                <w:color w:val="000000"/>
                <w:sz w:val="18"/>
                <w:szCs w:val="18"/>
              </w:rPr>
            </w:pPr>
            <w:r w:rsidRPr="00FD022B">
              <w:rPr>
                <w:rFonts w:ascii="Arial" w:hAnsi="Arial" w:cs="Arial"/>
                <w:color w:val="000000"/>
                <w:sz w:val="18"/>
                <w:szCs w:val="18"/>
              </w:rPr>
              <w:t> </w:t>
            </w:r>
          </w:p>
        </w:tc>
      </w:tr>
      <w:tr w14:paraId="23608DD5" w14:textId="77777777" w:rsidTr="00FD4122">
        <w:tblPrEx>
          <w:tblW w:w="10170" w:type="dxa"/>
          <w:tblLook w:val="04A0"/>
        </w:tblPrEx>
        <w:trPr>
          <w:trHeight w:val="322"/>
        </w:trPr>
        <w:tc>
          <w:tcPr>
            <w:tcW w:w="960" w:type="dxa"/>
            <w:tcBorders>
              <w:top w:val="single" w:sz="4" w:space="0" w:color="auto"/>
              <w:left w:val="nil"/>
              <w:bottom w:val="nil"/>
              <w:right w:val="nil"/>
            </w:tcBorders>
            <w:shd w:val="clear" w:color="auto" w:fill="auto"/>
            <w:vAlign w:val="center"/>
            <w:hideMark/>
          </w:tcPr>
          <w:p w:rsidR="00EB5E5E" w:rsidRPr="00FD022B" w:rsidP="00EB5E5E" w14:paraId="07DFB738" w14:textId="77777777">
            <w:pPr>
              <w:rPr>
                <w:rFonts w:ascii="Arial" w:hAnsi="Arial" w:cs="Arial"/>
                <w:b/>
                <w:bCs/>
                <w:color w:val="000000"/>
                <w:sz w:val="18"/>
                <w:szCs w:val="18"/>
              </w:rPr>
            </w:pPr>
            <w:r w:rsidRPr="00FD022B">
              <w:rPr>
                <w:rFonts w:ascii="Arial" w:hAnsi="Arial" w:cs="Arial"/>
                <w:b/>
                <w:bCs/>
                <w:color w:val="000000"/>
                <w:sz w:val="18"/>
                <w:szCs w:val="18"/>
              </w:rPr>
              <w:t>1</w:t>
            </w:r>
          </w:p>
        </w:tc>
        <w:tc>
          <w:tcPr>
            <w:tcW w:w="3360" w:type="dxa"/>
            <w:tcBorders>
              <w:top w:val="single" w:sz="4" w:space="0" w:color="auto"/>
              <w:left w:val="nil"/>
              <w:bottom w:val="nil"/>
              <w:right w:val="nil"/>
            </w:tcBorders>
            <w:shd w:val="clear" w:color="auto" w:fill="auto"/>
            <w:vAlign w:val="center"/>
            <w:hideMark/>
          </w:tcPr>
          <w:p w:rsidR="00EB5E5E" w:rsidRPr="00FD022B" w:rsidP="00EB5E5E" w14:paraId="2C848CAD" w14:textId="77777777">
            <w:pPr>
              <w:rPr>
                <w:rFonts w:ascii="Arial" w:hAnsi="Arial" w:cs="Arial"/>
                <w:color w:val="000000"/>
                <w:sz w:val="18"/>
                <w:szCs w:val="18"/>
              </w:rPr>
            </w:pPr>
            <w:r w:rsidRPr="00FD022B">
              <w:rPr>
                <w:rFonts w:ascii="Arial" w:hAnsi="Arial" w:cs="Arial"/>
                <w:color w:val="000000"/>
                <w:sz w:val="18"/>
                <w:szCs w:val="18"/>
              </w:rPr>
              <w:t>NPSAS Survey respondents</w:t>
            </w:r>
          </w:p>
        </w:tc>
        <w:tc>
          <w:tcPr>
            <w:tcW w:w="1710" w:type="dxa"/>
            <w:tcBorders>
              <w:top w:val="single" w:sz="4" w:space="0" w:color="auto"/>
              <w:left w:val="nil"/>
              <w:bottom w:val="nil"/>
              <w:right w:val="nil"/>
            </w:tcBorders>
            <w:shd w:val="clear" w:color="auto" w:fill="auto"/>
            <w:vAlign w:val="bottom"/>
            <w:hideMark/>
          </w:tcPr>
          <w:p w:rsidR="00EB5E5E" w:rsidRPr="00FD022B" w:rsidP="00EB5E5E" w14:paraId="74159E90" w14:textId="77777777">
            <w:pPr>
              <w:jc w:val="right"/>
              <w:rPr>
                <w:rFonts w:ascii="Arial" w:hAnsi="Arial" w:cs="Arial"/>
                <w:color w:val="000000"/>
                <w:sz w:val="18"/>
                <w:szCs w:val="18"/>
              </w:rPr>
            </w:pPr>
            <w:r w:rsidRPr="00FD022B">
              <w:rPr>
                <w:rFonts w:ascii="Arial" w:hAnsi="Arial" w:cs="Arial"/>
                <w:color w:val="000000"/>
                <w:sz w:val="18"/>
                <w:szCs w:val="18"/>
              </w:rPr>
              <w:t>Yes</w:t>
            </w:r>
          </w:p>
        </w:tc>
        <w:tc>
          <w:tcPr>
            <w:tcW w:w="1350" w:type="dxa"/>
            <w:tcBorders>
              <w:top w:val="single" w:sz="4" w:space="0" w:color="auto"/>
              <w:left w:val="nil"/>
              <w:bottom w:val="nil"/>
              <w:right w:val="nil"/>
            </w:tcBorders>
            <w:shd w:val="clear" w:color="auto" w:fill="auto"/>
            <w:noWrap/>
            <w:vAlign w:val="bottom"/>
            <w:hideMark/>
          </w:tcPr>
          <w:p w:rsidR="00EB5E5E" w:rsidRPr="00FD022B" w:rsidP="00EB5E5E" w14:paraId="7C70F2B8" w14:textId="1BD3E5FF">
            <w:pPr>
              <w:jc w:val="right"/>
              <w:rPr>
                <w:rFonts w:ascii="Arial" w:hAnsi="Arial" w:cs="Arial"/>
                <w:color w:val="000000"/>
                <w:sz w:val="18"/>
                <w:szCs w:val="18"/>
              </w:rPr>
            </w:pPr>
            <w:r w:rsidRPr="00FD022B">
              <w:rPr>
                <w:rFonts w:ascii="Arial" w:hAnsi="Arial" w:cs="Arial"/>
                <w:color w:val="000000"/>
                <w:sz w:val="18"/>
                <w:szCs w:val="18"/>
              </w:rPr>
              <w:t>18,9</w:t>
            </w:r>
            <w:r w:rsidR="009C1C95">
              <w:rPr>
                <w:rFonts w:ascii="Arial" w:hAnsi="Arial" w:cs="Arial"/>
                <w:color w:val="000000"/>
                <w:sz w:val="18"/>
                <w:szCs w:val="18"/>
              </w:rPr>
              <w:t>0</w:t>
            </w:r>
            <w:r w:rsidRPr="00FD022B">
              <w:rPr>
                <w:rFonts w:ascii="Arial" w:hAnsi="Arial" w:cs="Arial"/>
                <w:color w:val="000000"/>
                <w:sz w:val="18"/>
                <w:szCs w:val="18"/>
              </w:rPr>
              <w:t>0</w:t>
            </w:r>
          </w:p>
        </w:tc>
        <w:tc>
          <w:tcPr>
            <w:tcW w:w="2790" w:type="dxa"/>
            <w:tcBorders>
              <w:top w:val="single" w:sz="4" w:space="0" w:color="auto"/>
              <w:left w:val="nil"/>
              <w:bottom w:val="nil"/>
              <w:right w:val="nil"/>
            </w:tcBorders>
            <w:shd w:val="clear" w:color="auto" w:fill="auto"/>
            <w:vAlign w:val="bottom"/>
            <w:hideMark/>
          </w:tcPr>
          <w:p w:rsidR="00EB5E5E" w:rsidRPr="00FD022B" w:rsidP="00EB5E5E" w14:paraId="141C7927" w14:textId="77777777">
            <w:pPr>
              <w:jc w:val="right"/>
              <w:rPr>
                <w:rFonts w:ascii="Arial" w:hAnsi="Arial" w:cs="Arial"/>
                <w:color w:val="000000"/>
                <w:sz w:val="18"/>
                <w:szCs w:val="18"/>
              </w:rPr>
            </w:pPr>
            <w:r w:rsidRPr="00FD022B">
              <w:rPr>
                <w:rFonts w:ascii="Arial" w:hAnsi="Arial" w:cs="Arial"/>
                <w:color w:val="000000"/>
                <w:sz w:val="18"/>
                <w:szCs w:val="18"/>
              </w:rPr>
              <w:t>Yes</w:t>
            </w:r>
          </w:p>
        </w:tc>
      </w:tr>
      <w:tr w14:paraId="78C5A369" w14:textId="77777777" w:rsidTr="00FD4122">
        <w:tblPrEx>
          <w:tblW w:w="10170" w:type="dxa"/>
          <w:tblLook w:val="04A0"/>
        </w:tblPrEx>
        <w:trPr>
          <w:trHeight w:val="360"/>
        </w:trPr>
        <w:tc>
          <w:tcPr>
            <w:tcW w:w="960" w:type="dxa"/>
            <w:tcBorders>
              <w:top w:val="nil"/>
              <w:left w:val="nil"/>
              <w:bottom w:val="nil"/>
              <w:right w:val="nil"/>
            </w:tcBorders>
            <w:shd w:val="clear" w:color="auto" w:fill="auto"/>
            <w:vAlign w:val="center"/>
            <w:hideMark/>
          </w:tcPr>
          <w:p w:rsidR="00EB5E5E" w:rsidRPr="00FD022B" w:rsidP="00EB5E5E" w14:paraId="4A2DF4DA" w14:textId="77777777">
            <w:pPr>
              <w:rPr>
                <w:rFonts w:ascii="Arial" w:hAnsi="Arial" w:cs="Arial"/>
                <w:b/>
                <w:bCs/>
                <w:color w:val="000000"/>
                <w:sz w:val="18"/>
                <w:szCs w:val="18"/>
              </w:rPr>
            </w:pPr>
            <w:r w:rsidRPr="00FD022B">
              <w:rPr>
                <w:rFonts w:ascii="Arial" w:hAnsi="Arial" w:cs="Arial"/>
                <w:b/>
                <w:bCs/>
                <w:color w:val="000000"/>
                <w:sz w:val="18"/>
                <w:szCs w:val="18"/>
              </w:rPr>
              <w:t>2</w:t>
            </w:r>
          </w:p>
        </w:tc>
        <w:tc>
          <w:tcPr>
            <w:tcW w:w="3360" w:type="dxa"/>
            <w:tcBorders>
              <w:top w:val="nil"/>
              <w:left w:val="nil"/>
              <w:bottom w:val="nil"/>
              <w:right w:val="nil"/>
            </w:tcBorders>
            <w:shd w:val="clear" w:color="auto" w:fill="auto"/>
            <w:vAlign w:val="center"/>
            <w:hideMark/>
          </w:tcPr>
          <w:p w:rsidR="00EB5E5E" w:rsidRPr="00FD022B" w:rsidP="00EB5E5E" w14:paraId="60172C2E" w14:textId="77777777">
            <w:pPr>
              <w:rPr>
                <w:rFonts w:ascii="Arial" w:hAnsi="Arial" w:cs="Arial"/>
                <w:color w:val="000000"/>
                <w:sz w:val="18"/>
                <w:szCs w:val="18"/>
              </w:rPr>
            </w:pPr>
            <w:r w:rsidRPr="00FD022B">
              <w:rPr>
                <w:rFonts w:ascii="Arial" w:hAnsi="Arial" w:cs="Arial"/>
                <w:color w:val="000000"/>
                <w:sz w:val="18"/>
                <w:szCs w:val="18"/>
              </w:rPr>
              <w:t>NPSAS Survey nonrespondents</w:t>
            </w:r>
          </w:p>
        </w:tc>
        <w:tc>
          <w:tcPr>
            <w:tcW w:w="1710" w:type="dxa"/>
            <w:tcBorders>
              <w:top w:val="nil"/>
              <w:left w:val="nil"/>
              <w:bottom w:val="nil"/>
              <w:right w:val="nil"/>
            </w:tcBorders>
            <w:shd w:val="clear" w:color="auto" w:fill="auto"/>
            <w:vAlign w:val="bottom"/>
            <w:hideMark/>
          </w:tcPr>
          <w:p w:rsidR="00EB5E5E" w:rsidRPr="00FD022B" w:rsidP="00EB5E5E" w14:paraId="7406CA82" w14:textId="77777777">
            <w:pPr>
              <w:jc w:val="right"/>
              <w:rPr>
                <w:rFonts w:ascii="Arial" w:hAnsi="Arial" w:cs="Arial"/>
                <w:color w:val="000000"/>
                <w:sz w:val="18"/>
                <w:szCs w:val="18"/>
              </w:rPr>
            </w:pPr>
            <w:r w:rsidRPr="00FD022B">
              <w:rPr>
                <w:rFonts w:ascii="Arial" w:hAnsi="Arial" w:cs="Arial"/>
                <w:color w:val="000000"/>
                <w:sz w:val="18"/>
                <w:szCs w:val="18"/>
              </w:rPr>
              <w:t>Yes</w:t>
            </w:r>
          </w:p>
        </w:tc>
        <w:tc>
          <w:tcPr>
            <w:tcW w:w="1350" w:type="dxa"/>
            <w:tcBorders>
              <w:top w:val="nil"/>
              <w:left w:val="nil"/>
              <w:bottom w:val="nil"/>
              <w:right w:val="nil"/>
            </w:tcBorders>
            <w:shd w:val="clear" w:color="auto" w:fill="auto"/>
            <w:noWrap/>
            <w:vAlign w:val="bottom"/>
            <w:hideMark/>
          </w:tcPr>
          <w:p w:rsidR="00EB5E5E" w:rsidRPr="00FD022B" w:rsidP="00EB5E5E" w14:paraId="4393C959" w14:textId="03C3A0EB">
            <w:pPr>
              <w:jc w:val="right"/>
              <w:rPr>
                <w:rFonts w:ascii="Arial" w:hAnsi="Arial" w:cs="Arial"/>
                <w:color w:val="000000"/>
                <w:sz w:val="18"/>
                <w:szCs w:val="18"/>
              </w:rPr>
            </w:pPr>
            <w:r w:rsidRPr="00FD022B">
              <w:rPr>
                <w:rFonts w:ascii="Arial" w:hAnsi="Arial" w:cs="Arial"/>
                <w:color w:val="000000"/>
                <w:sz w:val="18"/>
                <w:szCs w:val="18"/>
              </w:rPr>
              <w:t>9</w:t>
            </w:r>
            <w:r w:rsidR="00032565">
              <w:rPr>
                <w:rFonts w:ascii="Arial" w:hAnsi="Arial" w:cs="Arial"/>
                <w:color w:val="000000"/>
                <w:sz w:val="18"/>
                <w:szCs w:val="18"/>
              </w:rPr>
              <w:t>8</w:t>
            </w:r>
            <w:r w:rsidRPr="00FD022B">
              <w:rPr>
                <w:rFonts w:ascii="Arial" w:hAnsi="Arial" w:cs="Arial"/>
                <w:color w:val="000000"/>
                <w:sz w:val="18"/>
                <w:szCs w:val="18"/>
              </w:rPr>
              <w:t>0</w:t>
            </w:r>
          </w:p>
        </w:tc>
        <w:tc>
          <w:tcPr>
            <w:tcW w:w="2790" w:type="dxa"/>
            <w:tcBorders>
              <w:top w:val="nil"/>
              <w:left w:val="nil"/>
              <w:bottom w:val="nil"/>
              <w:right w:val="nil"/>
            </w:tcBorders>
            <w:shd w:val="clear" w:color="auto" w:fill="auto"/>
            <w:vAlign w:val="bottom"/>
            <w:hideMark/>
          </w:tcPr>
          <w:p w:rsidR="00EB5E5E" w:rsidRPr="00FD022B" w:rsidP="00EB5E5E" w14:paraId="17A0395F" w14:textId="77777777">
            <w:pPr>
              <w:jc w:val="right"/>
              <w:rPr>
                <w:rFonts w:ascii="Arial" w:hAnsi="Arial" w:cs="Arial"/>
                <w:color w:val="000000"/>
                <w:sz w:val="18"/>
                <w:szCs w:val="18"/>
              </w:rPr>
            </w:pPr>
            <w:r w:rsidRPr="00FD022B">
              <w:rPr>
                <w:rFonts w:ascii="Arial" w:hAnsi="Arial" w:cs="Arial"/>
                <w:color w:val="000000"/>
                <w:sz w:val="18"/>
                <w:szCs w:val="18"/>
              </w:rPr>
              <w:t>Yes</w:t>
            </w:r>
          </w:p>
        </w:tc>
      </w:tr>
      <w:tr w14:paraId="4E8BC93A" w14:textId="77777777" w:rsidTr="00FD4122">
        <w:tblPrEx>
          <w:tblW w:w="10170" w:type="dxa"/>
          <w:tblLook w:val="04A0"/>
        </w:tblPrEx>
        <w:trPr>
          <w:trHeight w:val="270"/>
        </w:trPr>
        <w:tc>
          <w:tcPr>
            <w:tcW w:w="960" w:type="dxa"/>
            <w:tcBorders>
              <w:top w:val="nil"/>
              <w:left w:val="nil"/>
              <w:bottom w:val="nil"/>
              <w:right w:val="nil"/>
            </w:tcBorders>
            <w:shd w:val="clear" w:color="auto" w:fill="auto"/>
            <w:vAlign w:val="center"/>
            <w:hideMark/>
          </w:tcPr>
          <w:p w:rsidR="00EB5E5E" w:rsidRPr="00FD022B" w:rsidP="00EB5E5E" w14:paraId="511AF24C" w14:textId="77777777">
            <w:pPr>
              <w:rPr>
                <w:rFonts w:ascii="Arial" w:hAnsi="Arial" w:cs="Arial"/>
                <w:b/>
                <w:bCs/>
                <w:color w:val="000000"/>
                <w:sz w:val="18"/>
                <w:szCs w:val="18"/>
              </w:rPr>
            </w:pPr>
            <w:r w:rsidRPr="00FD022B">
              <w:rPr>
                <w:rFonts w:ascii="Arial" w:hAnsi="Arial" w:cs="Arial"/>
                <w:b/>
                <w:bCs/>
                <w:color w:val="000000"/>
                <w:sz w:val="18"/>
                <w:szCs w:val="18"/>
              </w:rPr>
              <w:t>3</w:t>
            </w:r>
          </w:p>
        </w:tc>
        <w:tc>
          <w:tcPr>
            <w:tcW w:w="3360" w:type="dxa"/>
            <w:tcBorders>
              <w:top w:val="nil"/>
              <w:left w:val="nil"/>
              <w:bottom w:val="nil"/>
              <w:right w:val="nil"/>
            </w:tcBorders>
            <w:shd w:val="clear" w:color="auto" w:fill="auto"/>
            <w:vAlign w:val="center"/>
            <w:hideMark/>
          </w:tcPr>
          <w:p w:rsidR="00EB5E5E" w:rsidRPr="00FD022B" w:rsidP="00EB5E5E" w14:paraId="11CE30E4" w14:textId="77777777">
            <w:pPr>
              <w:rPr>
                <w:rFonts w:ascii="Arial" w:hAnsi="Arial" w:cs="Arial"/>
                <w:color w:val="000000"/>
                <w:sz w:val="18"/>
                <w:szCs w:val="18"/>
              </w:rPr>
            </w:pPr>
            <w:r w:rsidRPr="00FD022B">
              <w:rPr>
                <w:rFonts w:ascii="Arial" w:hAnsi="Arial" w:cs="Arial"/>
                <w:color w:val="000000"/>
                <w:sz w:val="18"/>
                <w:szCs w:val="18"/>
              </w:rPr>
              <w:t>NPSAS Administrative-only students</w:t>
            </w:r>
          </w:p>
        </w:tc>
        <w:tc>
          <w:tcPr>
            <w:tcW w:w="1710" w:type="dxa"/>
            <w:tcBorders>
              <w:top w:val="nil"/>
              <w:left w:val="nil"/>
              <w:bottom w:val="nil"/>
              <w:right w:val="nil"/>
            </w:tcBorders>
            <w:shd w:val="clear" w:color="auto" w:fill="auto"/>
            <w:vAlign w:val="bottom"/>
            <w:hideMark/>
          </w:tcPr>
          <w:p w:rsidR="00EB5E5E" w:rsidRPr="00FD022B" w:rsidP="00EB5E5E" w14:paraId="2E366828" w14:textId="77777777">
            <w:pPr>
              <w:jc w:val="right"/>
              <w:rPr>
                <w:rFonts w:ascii="Arial" w:hAnsi="Arial" w:cs="Arial"/>
                <w:color w:val="000000"/>
                <w:sz w:val="18"/>
                <w:szCs w:val="18"/>
              </w:rPr>
            </w:pPr>
            <w:r w:rsidRPr="00FD022B">
              <w:rPr>
                <w:rFonts w:ascii="Arial" w:hAnsi="Arial" w:cs="Arial"/>
                <w:color w:val="000000"/>
                <w:sz w:val="18"/>
                <w:szCs w:val="18"/>
              </w:rPr>
              <w:t>Yes</w:t>
            </w:r>
          </w:p>
        </w:tc>
        <w:tc>
          <w:tcPr>
            <w:tcW w:w="1350" w:type="dxa"/>
            <w:tcBorders>
              <w:top w:val="nil"/>
              <w:left w:val="nil"/>
              <w:bottom w:val="nil"/>
              <w:right w:val="nil"/>
            </w:tcBorders>
            <w:shd w:val="clear" w:color="auto" w:fill="auto"/>
            <w:noWrap/>
            <w:vAlign w:val="bottom"/>
            <w:hideMark/>
          </w:tcPr>
          <w:p w:rsidR="00EB5E5E" w:rsidRPr="00FD022B" w:rsidP="00EB5E5E" w14:paraId="78468B63" w14:textId="77777777">
            <w:pPr>
              <w:jc w:val="right"/>
              <w:rPr>
                <w:rFonts w:ascii="Arial" w:hAnsi="Arial" w:cs="Arial"/>
                <w:color w:val="000000"/>
                <w:sz w:val="18"/>
                <w:szCs w:val="18"/>
              </w:rPr>
            </w:pPr>
            <w:r w:rsidRPr="00FD022B">
              <w:rPr>
                <w:rFonts w:ascii="Arial" w:hAnsi="Arial" w:cs="Arial"/>
                <w:color w:val="000000"/>
                <w:sz w:val="18"/>
                <w:szCs w:val="18"/>
              </w:rPr>
              <w:t>2,450</w:t>
            </w:r>
          </w:p>
        </w:tc>
        <w:tc>
          <w:tcPr>
            <w:tcW w:w="2790" w:type="dxa"/>
            <w:tcBorders>
              <w:top w:val="nil"/>
              <w:left w:val="nil"/>
              <w:bottom w:val="nil"/>
              <w:right w:val="nil"/>
            </w:tcBorders>
            <w:shd w:val="clear" w:color="auto" w:fill="auto"/>
            <w:vAlign w:val="bottom"/>
            <w:hideMark/>
          </w:tcPr>
          <w:p w:rsidR="00EB5E5E" w:rsidRPr="00FD022B" w:rsidP="00EB5E5E" w14:paraId="455E5265" w14:textId="77777777">
            <w:pPr>
              <w:jc w:val="right"/>
              <w:rPr>
                <w:rFonts w:ascii="Arial" w:hAnsi="Arial" w:cs="Arial"/>
                <w:color w:val="000000"/>
                <w:sz w:val="18"/>
                <w:szCs w:val="18"/>
              </w:rPr>
            </w:pPr>
            <w:r w:rsidRPr="00FD022B">
              <w:rPr>
                <w:rFonts w:ascii="Arial" w:hAnsi="Arial" w:cs="Arial"/>
                <w:color w:val="000000"/>
                <w:sz w:val="18"/>
                <w:szCs w:val="18"/>
              </w:rPr>
              <w:t>Yes</w:t>
            </w:r>
          </w:p>
        </w:tc>
      </w:tr>
      <w:tr w14:paraId="3C5AF116" w14:textId="77777777" w:rsidTr="00FD4122">
        <w:tblPrEx>
          <w:tblW w:w="10170" w:type="dxa"/>
          <w:tblLook w:val="04A0"/>
        </w:tblPrEx>
        <w:trPr>
          <w:trHeight w:val="342"/>
        </w:trPr>
        <w:tc>
          <w:tcPr>
            <w:tcW w:w="960" w:type="dxa"/>
            <w:tcBorders>
              <w:top w:val="nil"/>
              <w:left w:val="nil"/>
              <w:bottom w:val="nil"/>
              <w:right w:val="nil"/>
            </w:tcBorders>
            <w:shd w:val="clear" w:color="auto" w:fill="auto"/>
            <w:vAlign w:val="center"/>
            <w:hideMark/>
          </w:tcPr>
          <w:p w:rsidR="00EB5E5E" w:rsidRPr="00FD022B" w:rsidP="00EB5E5E" w14:paraId="63B39C6C" w14:textId="77777777">
            <w:pPr>
              <w:rPr>
                <w:rFonts w:ascii="Arial" w:hAnsi="Arial" w:cs="Arial"/>
                <w:b/>
                <w:bCs/>
                <w:color w:val="000000"/>
                <w:sz w:val="18"/>
                <w:szCs w:val="18"/>
              </w:rPr>
            </w:pPr>
            <w:r w:rsidRPr="00FD022B">
              <w:rPr>
                <w:rFonts w:ascii="Arial" w:hAnsi="Arial" w:cs="Arial"/>
                <w:b/>
                <w:bCs/>
                <w:color w:val="000000"/>
                <w:sz w:val="18"/>
                <w:szCs w:val="18"/>
              </w:rPr>
              <w:t>4</w:t>
            </w:r>
          </w:p>
        </w:tc>
        <w:tc>
          <w:tcPr>
            <w:tcW w:w="3360" w:type="dxa"/>
            <w:tcBorders>
              <w:top w:val="nil"/>
              <w:left w:val="nil"/>
              <w:bottom w:val="nil"/>
              <w:right w:val="nil"/>
            </w:tcBorders>
            <w:shd w:val="clear" w:color="auto" w:fill="auto"/>
            <w:vAlign w:val="center"/>
            <w:hideMark/>
          </w:tcPr>
          <w:p w:rsidR="00EB5E5E" w:rsidRPr="00FD022B" w:rsidP="00EB5E5E" w14:paraId="7C84B9B7" w14:textId="77777777">
            <w:pPr>
              <w:rPr>
                <w:rFonts w:ascii="Arial" w:hAnsi="Arial" w:cs="Arial"/>
                <w:color w:val="000000"/>
                <w:sz w:val="18"/>
                <w:szCs w:val="18"/>
              </w:rPr>
            </w:pPr>
            <w:r w:rsidRPr="00FD022B">
              <w:rPr>
                <w:rFonts w:ascii="Arial" w:hAnsi="Arial" w:cs="Arial"/>
                <w:color w:val="000000"/>
                <w:sz w:val="18"/>
                <w:szCs w:val="18"/>
              </w:rPr>
              <w:t>NPSAS Survey respondents</w:t>
            </w:r>
          </w:p>
        </w:tc>
        <w:tc>
          <w:tcPr>
            <w:tcW w:w="1710" w:type="dxa"/>
            <w:tcBorders>
              <w:top w:val="nil"/>
              <w:left w:val="nil"/>
              <w:bottom w:val="nil"/>
              <w:right w:val="nil"/>
            </w:tcBorders>
            <w:shd w:val="clear" w:color="auto" w:fill="auto"/>
            <w:vAlign w:val="bottom"/>
            <w:hideMark/>
          </w:tcPr>
          <w:p w:rsidR="00EB5E5E" w:rsidRPr="00FD022B" w:rsidP="00EB5E5E" w14:paraId="0AD5A38F" w14:textId="77777777">
            <w:pPr>
              <w:jc w:val="right"/>
              <w:rPr>
                <w:rFonts w:ascii="Arial" w:hAnsi="Arial" w:cs="Arial"/>
                <w:color w:val="000000"/>
                <w:sz w:val="18"/>
                <w:szCs w:val="18"/>
              </w:rPr>
            </w:pPr>
            <w:r w:rsidRPr="00FD022B">
              <w:rPr>
                <w:rFonts w:ascii="Arial" w:hAnsi="Arial" w:cs="Arial"/>
                <w:color w:val="000000"/>
                <w:sz w:val="18"/>
                <w:szCs w:val="18"/>
              </w:rPr>
              <w:t>No</w:t>
            </w:r>
          </w:p>
        </w:tc>
        <w:tc>
          <w:tcPr>
            <w:tcW w:w="1350" w:type="dxa"/>
            <w:tcBorders>
              <w:top w:val="nil"/>
              <w:left w:val="nil"/>
              <w:bottom w:val="nil"/>
              <w:right w:val="nil"/>
            </w:tcBorders>
            <w:shd w:val="clear" w:color="auto" w:fill="auto"/>
            <w:noWrap/>
            <w:vAlign w:val="bottom"/>
            <w:hideMark/>
          </w:tcPr>
          <w:p w:rsidR="00EB5E5E" w:rsidRPr="00FD022B" w:rsidP="00EB5E5E" w14:paraId="40F06503" w14:textId="3A6114EC">
            <w:pPr>
              <w:jc w:val="right"/>
              <w:rPr>
                <w:rFonts w:ascii="Arial" w:hAnsi="Arial" w:cs="Arial"/>
                <w:color w:val="000000"/>
                <w:sz w:val="18"/>
                <w:szCs w:val="18"/>
              </w:rPr>
            </w:pPr>
            <w:r w:rsidRPr="00FD022B">
              <w:rPr>
                <w:rFonts w:ascii="Arial" w:hAnsi="Arial" w:cs="Arial"/>
                <w:color w:val="000000"/>
                <w:sz w:val="18"/>
                <w:szCs w:val="18"/>
              </w:rPr>
              <w:t>6,3</w:t>
            </w:r>
            <w:r w:rsidR="00032565">
              <w:rPr>
                <w:rFonts w:ascii="Arial" w:hAnsi="Arial" w:cs="Arial"/>
                <w:color w:val="000000"/>
                <w:sz w:val="18"/>
                <w:szCs w:val="18"/>
              </w:rPr>
              <w:t>3</w:t>
            </w:r>
            <w:r w:rsidRPr="00FD022B">
              <w:rPr>
                <w:rFonts w:ascii="Arial" w:hAnsi="Arial" w:cs="Arial"/>
                <w:color w:val="000000"/>
                <w:sz w:val="18"/>
                <w:szCs w:val="18"/>
              </w:rPr>
              <w:t>0</w:t>
            </w:r>
          </w:p>
        </w:tc>
        <w:tc>
          <w:tcPr>
            <w:tcW w:w="2790" w:type="dxa"/>
            <w:tcBorders>
              <w:top w:val="nil"/>
              <w:left w:val="nil"/>
              <w:bottom w:val="nil"/>
              <w:right w:val="nil"/>
            </w:tcBorders>
            <w:shd w:val="clear" w:color="auto" w:fill="auto"/>
            <w:vAlign w:val="bottom"/>
            <w:hideMark/>
          </w:tcPr>
          <w:p w:rsidR="00EB5E5E" w:rsidRPr="00FD022B" w:rsidP="00EB5E5E" w14:paraId="6160098B" w14:textId="77777777">
            <w:pPr>
              <w:jc w:val="right"/>
              <w:rPr>
                <w:rFonts w:ascii="Arial" w:hAnsi="Arial" w:cs="Arial"/>
                <w:color w:val="000000"/>
                <w:sz w:val="18"/>
                <w:szCs w:val="18"/>
              </w:rPr>
            </w:pPr>
            <w:r w:rsidRPr="00FD022B">
              <w:rPr>
                <w:rFonts w:ascii="Arial" w:hAnsi="Arial" w:cs="Arial"/>
                <w:color w:val="000000"/>
                <w:sz w:val="18"/>
                <w:szCs w:val="18"/>
              </w:rPr>
              <w:t>Yes</w:t>
            </w:r>
          </w:p>
        </w:tc>
      </w:tr>
      <w:tr w14:paraId="7DAA2702" w14:textId="77777777" w:rsidTr="00FD4122">
        <w:tblPrEx>
          <w:tblW w:w="10170" w:type="dxa"/>
          <w:tblLook w:val="04A0"/>
        </w:tblPrEx>
        <w:trPr>
          <w:trHeight w:val="270"/>
        </w:trPr>
        <w:tc>
          <w:tcPr>
            <w:tcW w:w="960" w:type="dxa"/>
            <w:tcBorders>
              <w:top w:val="nil"/>
              <w:left w:val="nil"/>
              <w:bottom w:val="nil"/>
              <w:right w:val="nil"/>
            </w:tcBorders>
            <w:shd w:val="clear" w:color="auto" w:fill="auto"/>
            <w:vAlign w:val="center"/>
            <w:hideMark/>
          </w:tcPr>
          <w:p w:rsidR="00EB5E5E" w:rsidRPr="00FD022B" w:rsidP="00EB5E5E" w14:paraId="07DFBFCC" w14:textId="77777777">
            <w:pPr>
              <w:rPr>
                <w:rFonts w:ascii="Arial" w:hAnsi="Arial" w:cs="Arial"/>
                <w:b/>
                <w:bCs/>
                <w:color w:val="000000"/>
                <w:sz w:val="18"/>
                <w:szCs w:val="18"/>
              </w:rPr>
            </w:pPr>
            <w:r w:rsidRPr="00FD022B">
              <w:rPr>
                <w:rFonts w:ascii="Arial" w:hAnsi="Arial" w:cs="Arial"/>
                <w:b/>
                <w:bCs/>
                <w:color w:val="000000"/>
                <w:sz w:val="18"/>
                <w:szCs w:val="18"/>
              </w:rPr>
              <w:t>5</w:t>
            </w:r>
            <w:r w:rsidRPr="00FD022B">
              <w:rPr>
                <w:rFonts w:ascii="Arial" w:hAnsi="Arial" w:cs="Arial"/>
                <w:b/>
                <w:bCs/>
                <w:color w:val="000000"/>
                <w:sz w:val="18"/>
                <w:szCs w:val="18"/>
                <w:vertAlign w:val="superscript"/>
              </w:rPr>
              <w:t>1</w:t>
            </w:r>
          </w:p>
        </w:tc>
        <w:tc>
          <w:tcPr>
            <w:tcW w:w="3360" w:type="dxa"/>
            <w:tcBorders>
              <w:top w:val="nil"/>
              <w:left w:val="nil"/>
              <w:bottom w:val="nil"/>
              <w:right w:val="nil"/>
            </w:tcBorders>
            <w:shd w:val="clear" w:color="auto" w:fill="auto"/>
            <w:vAlign w:val="center"/>
            <w:hideMark/>
          </w:tcPr>
          <w:p w:rsidR="00EB5E5E" w:rsidRPr="00FD022B" w:rsidP="00EB5E5E" w14:paraId="2DCDB0AE" w14:textId="77777777">
            <w:pPr>
              <w:rPr>
                <w:rFonts w:ascii="Arial" w:hAnsi="Arial" w:cs="Arial"/>
                <w:color w:val="000000"/>
                <w:sz w:val="18"/>
                <w:szCs w:val="18"/>
              </w:rPr>
            </w:pPr>
            <w:r w:rsidRPr="00FD022B">
              <w:rPr>
                <w:rFonts w:ascii="Arial" w:hAnsi="Arial" w:cs="Arial"/>
                <w:color w:val="000000"/>
                <w:sz w:val="18"/>
                <w:szCs w:val="18"/>
              </w:rPr>
              <w:t>NPSAS Survey nonrespondents</w:t>
            </w:r>
          </w:p>
        </w:tc>
        <w:tc>
          <w:tcPr>
            <w:tcW w:w="1710" w:type="dxa"/>
            <w:tcBorders>
              <w:top w:val="nil"/>
              <w:left w:val="nil"/>
              <w:bottom w:val="nil"/>
              <w:right w:val="nil"/>
            </w:tcBorders>
            <w:shd w:val="clear" w:color="auto" w:fill="auto"/>
            <w:vAlign w:val="bottom"/>
            <w:hideMark/>
          </w:tcPr>
          <w:p w:rsidR="00EB5E5E" w:rsidRPr="00FD022B" w:rsidP="00EB5E5E" w14:paraId="46FFC632" w14:textId="77777777">
            <w:pPr>
              <w:jc w:val="right"/>
              <w:rPr>
                <w:rFonts w:ascii="Arial" w:hAnsi="Arial" w:cs="Arial"/>
                <w:color w:val="000000"/>
                <w:sz w:val="18"/>
                <w:szCs w:val="18"/>
              </w:rPr>
            </w:pPr>
            <w:r w:rsidRPr="00FD022B">
              <w:rPr>
                <w:rFonts w:ascii="Arial" w:hAnsi="Arial" w:cs="Arial"/>
                <w:color w:val="000000"/>
                <w:sz w:val="18"/>
                <w:szCs w:val="18"/>
              </w:rPr>
              <w:t>No</w:t>
            </w:r>
          </w:p>
        </w:tc>
        <w:tc>
          <w:tcPr>
            <w:tcW w:w="1350" w:type="dxa"/>
            <w:tcBorders>
              <w:top w:val="nil"/>
              <w:left w:val="nil"/>
              <w:bottom w:val="nil"/>
              <w:right w:val="nil"/>
            </w:tcBorders>
            <w:shd w:val="clear" w:color="auto" w:fill="auto"/>
            <w:noWrap/>
            <w:vAlign w:val="bottom"/>
            <w:hideMark/>
          </w:tcPr>
          <w:p w:rsidR="00EB5E5E" w:rsidRPr="00FD022B" w:rsidP="00EB5E5E" w14:paraId="5D6354D6" w14:textId="77777777">
            <w:pPr>
              <w:jc w:val="right"/>
              <w:rPr>
                <w:rFonts w:ascii="Arial" w:hAnsi="Arial" w:cs="Arial"/>
                <w:color w:val="000000"/>
                <w:sz w:val="18"/>
                <w:szCs w:val="18"/>
              </w:rPr>
            </w:pPr>
            <w:r w:rsidRPr="00FD022B">
              <w:rPr>
                <w:rFonts w:ascii="Arial" w:hAnsi="Arial" w:cs="Arial"/>
                <w:color w:val="000000"/>
                <w:sz w:val="18"/>
                <w:szCs w:val="18"/>
              </w:rPr>
              <w:t>3,490</w:t>
            </w:r>
          </w:p>
        </w:tc>
        <w:tc>
          <w:tcPr>
            <w:tcW w:w="2790" w:type="dxa"/>
            <w:tcBorders>
              <w:top w:val="nil"/>
              <w:left w:val="nil"/>
              <w:bottom w:val="nil"/>
              <w:right w:val="nil"/>
            </w:tcBorders>
            <w:shd w:val="clear" w:color="auto" w:fill="auto"/>
            <w:vAlign w:val="bottom"/>
            <w:hideMark/>
          </w:tcPr>
          <w:p w:rsidR="00EB5E5E" w:rsidRPr="00FD022B" w:rsidP="00EB5E5E" w14:paraId="46BA8C6E" w14:textId="77777777">
            <w:pPr>
              <w:jc w:val="right"/>
              <w:rPr>
                <w:rFonts w:ascii="Arial" w:hAnsi="Arial" w:cs="Arial"/>
                <w:color w:val="000000"/>
                <w:sz w:val="18"/>
                <w:szCs w:val="18"/>
              </w:rPr>
            </w:pPr>
            <w:r w:rsidRPr="00FD022B">
              <w:rPr>
                <w:rFonts w:ascii="Arial" w:hAnsi="Arial" w:cs="Arial"/>
                <w:color w:val="000000"/>
                <w:sz w:val="18"/>
                <w:szCs w:val="18"/>
              </w:rPr>
              <w:t>No</w:t>
            </w:r>
          </w:p>
        </w:tc>
      </w:tr>
      <w:tr w14:paraId="46FF0DC3" w14:textId="77777777" w:rsidTr="00FD4122">
        <w:tblPrEx>
          <w:tblW w:w="10170" w:type="dxa"/>
          <w:tblLook w:val="04A0"/>
        </w:tblPrEx>
        <w:trPr>
          <w:trHeight w:val="333"/>
        </w:trPr>
        <w:tc>
          <w:tcPr>
            <w:tcW w:w="960" w:type="dxa"/>
            <w:tcBorders>
              <w:top w:val="nil"/>
              <w:left w:val="nil"/>
              <w:bottom w:val="single" w:sz="4" w:space="0" w:color="auto"/>
              <w:right w:val="nil"/>
            </w:tcBorders>
            <w:shd w:val="clear" w:color="auto" w:fill="auto"/>
            <w:vAlign w:val="center"/>
            <w:hideMark/>
          </w:tcPr>
          <w:p w:rsidR="00EB5E5E" w:rsidRPr="00FD022B" w:rsidP="00EB5E5E" w14:paraId="03A769C5" w14:textId="77777777">
            <w:pPr>
              <w:rPr>
                <w:rFonts w:ascii="Arial" w:hAnsi="Arial" w:cs="Arial"/>
                <w:b/>
                <w:bCs/>
                <w:color w:val="000000"/>
                <w:sz w:val="18"/>
                <w:szCs w:val="18"/>
              </w:rPr>
            </w:pPr>
            <w:r w:rsidRPr="00FD022B">
              <w:rPr>
                <w:rFonts w:ascii="Arial" w:hAnsi="Arial" w:cs="Arial"/>
                <w:b/>
                <w:bCs/>
                <w:color w:val="000000"/>
                <w:sz w:val="18"/>
                <w:szCs w:val="18"/>
              </w:rPr>
              <w:t>6</w:t>
            </w:r>
            <w:r w:rsidRPr="00FD022B">
              <w:rPr>
                <w:rFonts w:ascii="Arial" w:hAnsi="Arial" w:cs="Arial"/>
                <w:b/>
                <w:bCs/>
                <w:color w:val="000000"/>
                <w:sz w:val="18"/>
                <w:szCs w:val="18"/>
                <w:vertAlign w:val="superscript"/>
              </w:rPr>
              <w:t>1</w:t>
            </w:r>
          </w:p>
        </w:tc>
        <w:tc>
          <w:tcPr>
            <w:tcW w:w="3360" w:type="dxa"/>
            <w:tcBorders>
              <w:top w:val="nil"/>
              <w:left w:val="nil"/>
              <w:bottom w:val="single" w:sz="4" w:space="0" w:color="auto"/>
              <w:right w:val="nil"/>
            </w:tcBorders>
            <w:shd w:val="clear" w:color="auto" w:fill="auto"/>
            <w:vAlign w:val="center"/>
            <w:hideMark/>
          </w:tcPr>
          <w:p w:rsidR="00EB5E5E" w:rsidRPr="00FD022B" w:rsidP="00EB5E5E" w14:paraId="48916FBA" w14:textId="77777777">
            <w:pPr>
              <w:rPr>
                <w:rFonts w:ascii="Arial" w:hAnsi="Arial" w:cs="Arial"/>
                <w:color w:val="000000"/>
                <w:sz w:val="18"/>
                <w:szCs w:val="18"/>
              </w:rPr>
            </w:pPr>
            <w:r w:rsidRPr="00FD022B">
              <w:rPr>
                <w:rFonts w:ascii="Arial" w:hAnsi="Arial" w:cs="Arial"/>
                <w:color w:val="000000"/>
                <w:sz w:val="18"/>
                <w:szCs w:val="18"/>
              </w:rPr>
              <w:t>NPSAS Administrative-only students</w:t>
            </w:r>
          </w:p>
        </w:tc>
        <w:tc>
          <w:tcPr>
            <w:tcW w:w="1710" w:type="dxa"/>
            <w:tcBorders>
              <w:top w:val="nil"/>
              <w:left w:val="nil"/>
              <w:bottom w:val="single" w:sz="4" w:space="0" w:color="auto"/>
              <w:right w:val="nil"/>
            </w:tcBorders>
            <w:shd w:val="clear" w:color="auto" w:fill="auto"/>
            <w:vAlign w:val="bottom"/>
            <w:hideMark/>
          </w:tcPr>
          <w:p w:rsidR="00EB5E5E" w:rsidRPr="00FD022B" w:rsidP="00EB5E5E" w14:paraId="0E77FF26" w14:textId="77777777">
            <w:pPr>
              <w:jc w:val="right"/>
              <w:rPr>
                <w:rFonts w:ascii="Arial" w:hAnsi="Arial" w:cs="Arial"/>
                <w:color w:val="000000"/>
                <w:sz w:val="18"/>
                <w:szCs w:val="18"/>
              </w:rPr>
            </w:pPr>
            <w:r w:rsidRPr="00FD022B">
              <w:rPr>
                <w:rFonts w:ascii="Arial" w:hAnsi="Arial" w:cs="Arial"/>
                <w:color w:val="000000"/>
                <w:sz w:val="18"/>
                <w:szCs w:val="18"/>
              </w:rPr>
              <w:t>No</w:t>
            </w:r>
          </w:p>
        </w:tc>
        <w:tc>
          <w:tcPr>
            <w:tcW w:w="1350" w:type="dxa"/>
            <w:tcBorders>
              <w:top w:val="nil"/>
              <w:left w:val="nil"/>
              <w:bottom w:val="single" w:sz="4" w:space="0" w:color="auto"/>
              <w:right w:val="nil"/>
            </w:tcBorders>
            <w:shd w:val="clear" w:color="auto" w:fill="auto"/>
            <w:noWrap/>
            <w:vAlign w:val="bottom"/>
            <w:hideMark/>
          </w:tcPr>
          <w:p w:rsidR="00EB5E5E" w:rsidRPr="00FD022B" w:rsidP="00EB5E5E" w14:paraId="2C8420B5" w14:textId="470FB911">
            <w:pPr>
              <w:jc w:val="right"/>
              <w:rPr>
                <w:rFonts w:ascii="Arial" w:hAnsi="Arial" w:cs="Arial"/>
                <w:color w:val="000000"/>
                <w:sz w:val="18"/>
                <w:szCs w:val="18"/>
              </w:rPr>
            </w:pPr>
            <w:r w:rsidRPr="00FD022B">
              <w:rPr>
                <w:rFonts w:ascii="Arial" w:hAnsi="Arial" w:cs="Arial"/>
                <w:color w:val="000000"/>
                <w:sz w:val="18"/>
                <w:szCs w:val="18"/>
              </w:rPr>
              <w:t>2,</w:t>
            </w:r>
            <w:r w:rsidR="0049429F">
              <w:rPr>
                <w:rFonts w:ascii="Arial" w:hAnsi="Arial" w:cs="Arial"/>
                <w:color w:val="000000"/>
                <w:sz w:val="18"/>
                <w:szCs w:val="18"/>
              </w:rPr>
              <w:t>10</w:t>
            </w:r>
            <w:r w:rsidRPr="00FD022B">
              <w:rPr>
                <w:rFonts w:ascii="Arial" w:hAnsi="Arial" w:cs="Arial"/>
                <w:color w:val="000000"/>
                <w:sz w:val="18"/>
                <w:szCs w:val="18"/>
              </w:rPr>
              <w:t>0</w:t>
            </w:r>
          </w:p>
        </w:tc>
        <w:tc>
          <w:tcPr>
            <w:tcW w:w="2790" w:type="dxa"/>
            <w:tcBorders>
              <w:top w:val="nil"/>
              <w:left w:val="nil"/>
              <w:bottom w:val="single" w:sz="4" w:space="0" w:color="auto"/>
              <w:right w:val="nil"/>
            </w:tcBorders>
            <w:shd w:val="clear" w:color="auto" w:fill="auto"/>
            <w:vAlign w:val="bottom"/>
            <w:hideMark/>
          </w:tcPr>
          <w:p w:rsidR="00EB5E5E" w:rsidRPr="00FD022B" w:rsidP="00EB5E5E" w14:paraId="63E799AA" w14:textId="77777777">
            <w:pPr>
              <w:jc w:val="right"/>
              <w:rPr>
                <w:rFonts w:ascii="Arial" w:hAnsi="Arial" w:cs="Arial"/>
                <w:color w:val="000000"/>
                <w:sz w:val="18"/>
                <w:szCs w:val="18"/>
              </w:rPr>
            </w:pPr>
            <w:r w:rsidRPr="00FD022B">
              <w:rPr>
                <w:rFonts w:ascii="Arial" w:hAnsi="Arial" w:cs="Arial"/>
                <w:color w:val="000000"/>
                <w:sz w:val="18"/>
                <w:szCs w:val="18"/>
              </w:rPr>
              <w:t>No</w:t>
            </w:r>
          </w:p>
        </w:tc>
      </w:tr>
    </w:tbl>
    <w:p w:rsidR="00617108" w:rsidRPr="00EB5E5E" w:rsidP="00CB5872" w14:paraId="127F82D2" w14:textId="51B59589">
      <w:pPr>
        <w:ind w:right="342"/>
        <w:rPr>
          <w:rFonts w:asciiTheme="majorHAnsi" w:hAnsiTheme="majorHAnsi" w:cstheme="majorHAnsi"/>
          <w:color w:val="000000"/>
          <w:sz w:val="15"/>
          <w:szCs w:val="15"/>
        </w:rPr>
      </w:pPr>
      <w:r w:rsidRPr="00EB5E5E">
        <w:rPr>
          <w:rFonts w:asciiTheme="majorHAnsi" w:hAnsiTheme="majorHAnsi" w:cstheme="majorHAnsi"/>
          <w:color w:val="000000"/>
          <w:sz w:val="15"/>
          <w:szCs w:val="15"/>
        </w:rPr>
        <w:t>1 Groups 5 and 6 are not included as they did not respond to either the NPSAS:20 survey or the BPS:20/22 survey.</w:t>
      </w:r>
      <w:r w:rsidRPr="00EB5E5E">
        <w:rPr>
          <w:rFonts w:asciiTheme="majorHAnsi" w:hAnsiTheme="majorHAnsi" w:cstheme="majorHAnsi"/>
          <w:color w:val="000000"/>
          <w:sz w:val="15"/>
          <w:szCs w:val="15"/>
        </w:rPr>
        <w:br/>
        <w:t xml:space="preserve">NOTE: Sample sizes rounded to the nearest 10. </w:t>
      </w:r>
      <w:r w:rsidRPr="00FD4122" w:rsidR="00CF567C">
        <w:rPr>
          <w:rFonts w:ascii="Arial" w:hAnsi="Arial" w:cs="Arial"/>
          <w:bCs/>
          <w:color w:val="000000"/>
          <w:sz w:val="15"/>
          <w:szCs w:val="15"/>
        </w:rPr>
        <w:t>Detail may not sum to totals because of rounding.</w:t>
      </w:r>
      <w:r w:rsidRPr="00EB5E5E">
        <w:rPr>
          <w:rFonts w:asciiTheme="majorHAnsi" w:hAnsiTheme="majorHAnsi" w:cstheme="majorHAnsi"/>
          <w:color w:val="000000"/>
          <w:sz w:val="15"/>
          <w:szCs w:val="15"/>
        </w:rPr>
        <w:br/>
        <w:t>SOURCE: U.S. Department of Education, National Center for Education Statistics, 2020/22 Beginning Postsecondary Students Longitudinal Study (BPS:20/22).</w:t>
      </w:r>
    </w:p>
    <w:p w:rsidR="00617108" w:rsidRPr="001C2BC1" w:rsidP="00617108" w14:paraId="309A9746" w14:textId="5C360D73">
      <w:pPr>
        <w:pStyle w:val="NormalWeb"/>
        <w:rPr>
          <w:rFonts w:ascii="Garamond" w:hAnsi="Garamond" w:eastAsiaTheme="minorEastAsia" w:cs="Calibri"/>
          <w:color w:val="000000"/>
        </w:rPr>
      </w:pPr>
      <w:bookmarkStart w:id="49" w:name="_Hlk511145932"/>
      <w:r w:rsidRPr="001C2BC1">
        <w:rPr>
          <w:rFonts w:ascii="Garamond" w:hAnsi="Garamond" w:eastAsiaTheme="minorEastAsia" w:cs="Calibri"/>
          <w:color w:val="000000"/>
        </w:rPr>
        <w:t xml:space="preserve">While BPS:20/25 sample members who did not respond to either the NPSAS:20 student survey nor the BPS:20/22 survey are eligible for BPS:20/25, these sample members (groups </w:t>
      </w:r>
      <w:r w:rsidR="008632FF">
        <w:rPr>
          <w:rFonts w:ascii="Garamond" w:hAnsi="Garamond" w:eastAsiaTheme="minorEastAsia" w:cs="Calibri"/>
          <w:color w:val="000000"/>
        </w:rPr>
        <w:t>5</w:t>
      </w:r>
      <w:r w:rsidRPr="001C2BC1">
        <w:rPr>
          <w:rFonts w:ascii="Garamond" w:hAnsi="Garamond" w:eastAsiaTheme="minorEastAsia" w:cs="Calibri"/>
          <w:color w:val="000000"/>
        </w:rPr>
        <w:t xml:space="preserve"> and 6 in Table 5) will not be fielded as they have responded at very low rates in previous administrations. This results in approximately 5,5</w:t>
      </w:r>
      <w:r w:rsidR="007F09EB">
        <w:rPr>
          <w:rFonts w:ascii="Garamond" w:hAnsi="Garamond" w:eastAsiaTheme="minorEastAsia" w:cs="Calibri"/>
          <w:color w:val="000000"/>
        </w:rPr>
        <w:t>9</w:t>
      </w:r>
      <w:r w:rsidRPr="001C2BC1">
        <w:rPr>
          <w:rFonts w:ascii="Garamond" w:hAnsi="Garamond" w:eastAsiaTheme="minorEastAsia" w:cs="Calibri"/>
          <w:color w:val="000000"/>
        </w:rPr>
        <w:t xml:space="preserve">0 BPS:20/25 sample members not being fielded. </w:t>
      </w:r>
      <w:bookmarkEnd w:id="49"/>
      <w:r w:rsidRPr="001C2BC1">
        <w:rPr>
          <w:rFonts w:ascii="Garamond" w:hAnsi="Garamond" w:eastAsiaTheme="minorEastAsia" w:cs="Calibri"/>
          <w:color w:val="000000"/>
        </w:rPr>
        <w:t xml:space="preserve">Instead, they will be treated as study nonrespondents for purposes of response rate calculation and accounted for with weight adjustments. </w:t>
      </w:r>
    </w:p>
    <w:p w:rsidR="00617108" w:rsidRPr="00CB5872" w:rsidP="00CB5872" w14:paraId="58A0090E" w14:textId="07546F4B">
      <w:pPr>
        <w:pStyle w:val="NormalWeb"/>
        <w:rPr>
          <w:rFonts w:ascii="Garamond" w:hAnsi="Garamond" w:eastAsiaTheme="minorEastAsia" w:cs="Calibri"/>
          <w:color w:val="000000"/>
        </w:rPr>
      </w:pPr>
      <w:r w:rsidRPr="001C2BC1">
        <w:rPr>
          <w:rFonts w:ascii="Garamond" w:hAnsi="Garamond" w:eastAsiaTheme="minorEastAsia" w:cs="Calibri"/>
          <w:color w:val="000000"/>
        </w:rPr>
        <w:t>Table 6 presents the BPS:20/25 sampled and expected responding individuals, by NPSAS:20 outcome and BPS:20/22 response status. Based on administrative data, all BPS:20/25 sample members are considered eligible. The response rate estimates are based on the BPS:20/22 data collection and the BPS:12 longitudinal cohort that followed the NPSAS:12 data collection (Bryan et al. 2016).</w:t>
      </w:r>
    </w:p>
    <w:p w:rsidR="00617108" w:rsidRPr="00261774" w:rsidP="00261774" w14:paraId="1B7189CA" w14:textId="24AD91FE">
      <w:pPr>
        <w:pStyle w:val="TableTitle"/>
        <w:ind w:left="810" w:hanging="810"/>
      </w:pPr>
      <w:bookmarkStart w:id="50" w:name="_Ref516573178"/>
      <w:bookmarkStart w:id="51" w:name="_Toc10118333"/>
      <w:bookmarkStart w:id="52" w:name="_Toc140075250"/>
      <w:bookmarkStart w:id="53" w:name="_Toc140136674"/>
      <w:r>
        <w:t xml:space="preserve">Table </w:t>
      </w:r>
      <w:r w:rsidR="00252FFE">
        <w:fldChar w:fldCharType="begin"/>
      </w:r>
      <w:r w:rsidR="00252FFE">
        <w:instrText xml:space="preserve"> SEQ Table \* ARABIC </w:instrText>
      </w:r>
      <w:r w:rsidR="00252FFE">
        <w:fldChar w:fldCharType="separate"/>
      </w:r>
      <w:r>
        <w:rPr>
          <w:noProof/>
        </w:rPr>
        <w:t>6</w:t>
      </w:r>
      <w:r w:rsidR="00252FFE">
        <w:rPr>
          <w:noProof/>
        </w:rPr>
        <w:fldChar w:fldCharType="end"/>
      </w:r>
      <w:r>
        <w:t xml:space="preserve">. </w:t>
      </w:r>
      <w:bookmarkEnd w:id="50"/>
      <w:bookmarkEnd w:id="51"/>
      <w:r>
        <w:t xml:space="preserve">Expected </w:t>
      </w:r>
      <w:r w:rsidRPr="00C21CF0">
        <w:t>BPS:20/2</w:t>
      </w:r>
      <w:r>
        <w:t>5</w:t>
      </w:r>
      <w:r w:rsidRPr="00C21CF0">
        <w:t xml:space="preserve"> full-scale study response rates by base-year</w:t>
      </w:r>
      <w:r>
        <w:t xml:space="preserve"> and BPS:20/22</w:t>
      </w:r>
      <w:r w:rsidRPr="00C21CF0">
        <w:t xml:space="preserve"> </w:t>
      </w:r>
      <w:r>
        <w:t>outcome</w:t>
      </w:r>
      <w:r w:rsidRPr="00C21CF0">
        <w:t xml:space="preserve"> status</w:t>
      </w:r>
      <w:r>
        <w:t>: 2020-22</w:t>
      </w:r>
      <w:bookmarkEnd w:id="52"/>
      <w:bookmarkEnd w:id="53"/>
    </w:p>
    <w:tbl>
      <w:tblPr>
        <w:tblW w:w="10530" w:type="dxa"/>
        <w:tblLook w:val="04A0"/>
      </w:tblPr>
      <w:tblGrid>
        <w:gridCol w:w="3690"/>
        <w:gridCol w:w="1260"/>
        <w:gridCol w:w="1440"/>
        <w:gridCol w:w="1890"/>
        <w:gridCol w:w="2250"/>
      </w:tblGrid>
      <w:tr w14:paraId="4A0C6AFE" w14:textId="77777777" w:rsidTr="00FD4122">
        <w:tblPrEx>
          <w:tblW w:w="10530" w:type="dxa"/>
          <w:tblLook w:val="04A0"/>
        </w:tblPrEx>
        <w:trPr>
          <w:trHeight w:val="430"/>
        </w:trPr>
        <w:tc>
          <w:tcPr>
            <w:tcW w:w="3690" w:type="dxa"/>
            <w:tcBorders>
              <w:top w:val="single" w:sz="8" w:space="0" w:color="auto"/>
              <w:left w:val="nil"/>
              <w:bottom w:val="single" w:sz="8" w:space="0" w:color="auto"/>
              <w:right w:val="nil"/>
            </w:tcBorders>
            <w:shd w:val="clear" w:color="auto" w:fill="auto"/>
            <w:vAlign w:val="bottom"/>
            <w:hideMark/>
          </w:tcPr>
          <w:p w:rsidR="00617108" w:rsidRPr="00DC55AE" w:rsidP="007868A9" w14:paraId="6DBFC50D" w14:textId="77777777">
            <w:pPr>
              <w:rPr>
                <w:rFonts w:ascii="Arial" w:hAnsi="Arial" w:cs="Arial"/>
                <w:b/>
                <w:bCs/>
                <w:color w:val="000000"/>
                <w:sz w:val="18"/>
                <w:szCs w:val="18"/>
              </w:rPr>
            </w:pPr>
            <w:r w:rsidRPr="00DC55AE">
              <w:rPr>
                <w:rFonts w:ascii="Arial" w:hAnsi="Arial" w:cs="Arial"/>
                <w:b/>
                <w:bCs/>
                <w:color w:val="000000"/>
                <w:sz w:val="18"/>
                <w:szCs w:val="18"/>
              </w:rPr>
              <w:t>NPSAS:20 data collection outcomes</w:t>
            </w:r>
          </w:p>
        </w:tc>
        <w:tc>
          <w:tcPr>
            <w:tcW w:w="1260" w:type="dxa"/>
            <w:tcBorders>
              <w:top w:val="single" w:sz="8" w:space="0" w:color="auto"/>
              <w:left w:val="nil"/>
              <w:bottom w:val="single" w:sz="8" w:space="0" w:color="auto"/>
              <w:right w:val="nil"/>
            </w:tcBorders>
            <w:shd w:val="clear" w:color="auto" w:fill="auto"/>
            <w:vAlign w:val="bottom"/>
            <w:hideMark/>
          </w:tcPr>
          <w:p w:rsidR="00617108" w:rsidRPr="00DC55AE" w:rsidP="007868A9" w14:paraId="70F7662D" w14:textId="77777777">
            <w:pPr>
              <w:rPr>
                <w:rFonts w:ascii="Arial" w:hAnsi="Arial" w:cs="Arial"/>
                <w:b/>
                <w:bCs/>
                <w:color w:val="000000"/>
                <w:sz w:val="18"/>
                <w:szCs w:val="18"/>
              </w:rPr>
            </w:pPr>
            <w:r w:rsidRPr="00DC55AE">
              <w:rPr>
                <w:rFonts w:ascii="Arial" w:hAnsi="Arial" w:cs="Arial"/>
                <w:b/>
                <w:bCs/>
                <w:color w:val="000000"/>
                <w:sz w:val="18"/>
                <w:szCs w:val="18"/>
              </w:rPr>
              <w:t>BPS:20/22 Respondent</w:t>
            </w:r>
          </w:p>
        </w:tc>
        <w:tc>
          <w:tcPr>
            <w:tcW w:w="1440" w:type="dxa"/>
            <w:tcBorders>
              <w:top w:val="single" w:sz="8" w:space="0" w:color="auto"/>
              <w:left w:val="nil"/>
              <w:bottom w:val="single" w:sz="8" w:space="0" w:color="auto"/>
              <w:right w:val="nil"/>
            </w:tcBorders>
            <w:shd w:val="clear" w:color="auto" w:fill="auto"/>
            <w:vAlign w:val="bottom"/>
            <w:hideMark/>
          </w:tcPr>
          <w:p w:rsidR="00617108" w:rsidRPr="00DC55AE" w:rsidP="007868A9" w14:paraId="5E17C043" w14:textId="0697F05D">
            <w:pPr>
              <w:rPr>
                <w:rFonts w:ascii="Arial" w:hAnsi="Arial" w:cs="Arial"/>
                <w:b/>
                <w:bCs/>
                <w:color w:val="000000"/>
                <w:sz w:val="18"/>
                <w:szCs w:val="18"/>
              </w:rPr>
            </w:pPr>
            <w:r w:rsidRPr="00DC55AE">
              <w:rPr>
                <w:rFonts w:ascii="Arial" w:hAnsi="Arial" w:cs="Arial"/>
                <w:b/>
                <w:bCs/>
                <w:color w:val="000000"/>
                <w:sz w:val="18"/>
                <w:szCs w:val="18"/>
              </w:rPr>
              <w:t>Sample Size</w:t>
            </w:r>
          </w:p>
        </w:tc>
        <w:tc>
          <w:tcPr>
            <w:tcW w:w="1890" w:type="dxa"/>
            <w:tcBorders>
              <w:top w:val="single" w:sz="8" w:space="0" w:color="auto"/>
              <w:left w:val="nil"/>
              <w:bottom w:val="single" w:sz="8" w:space="0" w:color="auto"/>
              <w:right w:val="nil"/>
            </w:tcBorders>
            <w:shd w:val="clear" w:color="auto" w:fill="auto"/>
            <w:vAlign w:val="bottom"/>
            <w:hideMark/>
          </w:tcPr>
          <w:p w:rsidR="00617108" w:rsidRPr="00DC55AE" w:rsidP="007868A9" w14:paraId="5037A42E" w14:textId="77777777">
            <w:pPr>
              <w:rPr>
                <w:rFonts w:ascii="Arial" w:hAnsi="Arial" w:cs="Arial"/>
                <w:b/>
                <w:bCs/>
                <w:color w:val="000000"/>
                <w:sz w:val="18"/>
                <w:szCs w:val="18"/>
              </w:rPr>
            </w:pPr>
            <w:r w:rsidRPr="00DC55AE">
              <w:rPr>
                <w:rFonts w:ascii="Arial" w:hAnsi="Arial" w:cs="Arial"/>
                <w:b/>
                <w:bCs/>
                <w:color w:val="000000"/>
                <w:sz w:val="18"/>
                <w:szCs w:val="18"/>
              </w:rPr>
              <w:t>Expected Response Rate</w:t>
            </w:r>
          </w:p>
        </w:tc>
        <w:tc>
          <w:tcPr>
            <w:tcW w:w="2250" w:type="dxa"/>
            <w:tcBorders>
              <w:top w:val="single" w:sz="8" w:space="0" w:color="auto"/>
              <w:left w:val="nil"/>
              <w:bottom w:val="single" w:sz="8" w:space="0" w:color="auto"/>
              <w:right w:val="nil"/>
            </w:tcBorders>
            <w:shd w:val="clear" w:color="auto" w:fill="auto"/>
            <w:vAlign w:val="bottom"/>
            <w:hideMark/>
          </w:tcPr>
          <w:p w:rsidR="00617108" w:rsidRPr="00DC55AE" w:rsidP="007868A9" w14:paraId="01A24A63" w14:textId="77777777">
            <w:pPr>
              <w:rPr>
                <w:rFonts w:ascii="Arial" w:hAnsi="Arial" w:cs="Arial"/>
                <w:b/>
                <w:bCs/>
                <w:color w:val="000000"/>
                <w:sz w:val="18"/>
                <w:szCs w:val="18"/>
              </w:rPr>
            </w:pPr>
            <w:r w:rsidRPr="00DC55AE">
              <w:rPr>
                <w:rFonts w:ascii="Arial" w:hAnsi="Arial" w:cs="Arial"/>
                <w:b/>
                <w:bCs/>
                <w:color w:val="000000"/>
                <w:sz w:val="18"/>
                <w:szCs w:val="18"/>
              </w:rPr>
              <w:t>Expected Completes</w:t>
            </w:r>
          </w:p>
        </w:tc>
      </w:tr>
      <w:tr w14:paraId="35044880" w14:textId="77777777" w:rsidTr="00FD4122">
        <w:tblPrEx>
          <w:tblW w:w="10530" w:type="dxa"/>
          <w:tblLook w:val="04A0"/>
        </w:tblPrEx>
        <w:trPr>
          <w:trHeight w:val="277"/>
        </w:trPr>
        <w:tc>
          <w:tcPr>
            <w:tcW w:w="3690" w:type="dxa"/>
            <w:tcBorders>
              <w:top w:val="single" w:sz="8" w:space="0" w:color="auto"/>
              <w:left w:val="nil"/>
              <w:bottom w:val="single" w:sz="4" w:space="0" w:color="auto"/>
              <w:right w:val="nil"/>
            </w:tcBorders>
            <w:shd w:val="clear" w:color="auto" w:fill="auto"/>
            <w:vAlign w:val="center"/>
          </w:tcPr>
          <w:p w:rsidR="00FD4122" w:rsidRPr="00DC55AE" w:rsidP="00FD4122" w14:paraId="5965E804" w14:textId="1186DBC5">
            <w:pPr>
              <w:rPr>
                <w:rFonts w:ascii="Arial" w:hAnsi="Arial" w:cs="Arial"/>
                <w:b/>
                <w:bCs/>
                <w:color w:val="000000"/>
                <w:sz w:val="18"/>
                <w:szCs w:val="18"/>
              </w:rPr>
            </w:pPr>
            <w:r w:rsidRPr="00DC55AE">
              <w:rPr>
                <w:rFonts w:ascii="Arial" w:hAnsi="Arial" w:cs="Arial"/>
                <w:b/>
                <w:bCs/>
                <w:color w:val="000000"/>
                <w:sz w:val="18"/>
                <w:szCs w:val="18"/>
              </w:rPr>
              <w:t>Total</w:t>
            </w:r>
          </w:p>
        </w:tc>
        <w:tc>
          <w:tcPr>
            <w:tcW w:w="1260" w:type="dxa"/>
            <w:tcBorders>
              <w:top w:val="single" w:sz="8" w:space="0" w:color="auto"/>
              <w:left w:val="nil"/>
              <w:bottom w:val="single" w:sz="4" w:space="0" w:color="auto"/>
              <w:right w:val="nil"/>
            </w:tcBorders>
            <w:shd w:val="clear" w:color="auto" w:fill="auto"/>
            <w:vAlign w:val="center"/>
          </w:tcPr>
          <w:p w:rsidR="00FD4122" w:rsidRPr="00DC55AE" w:rsidP="00FD4122" w14:paraId="3582CEB3" w14:textId="7DA9CB43">
            <w:pPr>
              <w:rPr>
                <w:rFonts w:ascii="Arial" w:hAnsi="Arial" w:cs="Arial"/>
                <w:b/>
                <w:bCs/>
                <w:color w:val="000000"/>
                <w:sz w:val="18"/>
                <w:szCs w:val="18"/>
              </w:rPr>
            </w:pPr>
            <w:r w:rsidRPr="00DC55AE">
              <w:rPr>
                <w:rFonts w:ascii="Arial" w:hAnsi="Arial" w:cs="Arial"/>
                <w:b/>
                <w:bCs/>
                <w:color w:val="000000"/>
                <w:sz w:val="18"/>
                <w:szCs w:val="18"/>
              </w:rPr>
              <w:t> </w:t>
            </w:r>
          </w:p>
        </w:tc>
        <w:tc>
          <w:tcPr>
            <w:tcW w:w="1440" w:type="dxa"/>
            <w:tcBorders>
              <w:top w:val="single" w:sz="8" w:space="0" w:color="auto"/>
              <w:left w:val="nil"/>
              <w:bottom w:val="single" w:sz="4" w:space="0" w:color="auto"/>
              <w:right w:val="nil"/>
            </w:tcBorders>
            <w:shd w:val="clear" w:color="auto" w:fill="auto"/>
            <w:noWrap/>
            <w:vAlign w:val="center"/>
          </w:tcPr>
          <w:p w:rsidR="00FD4122" w:rsidRPr="00DC55AE" w:rsidP="00FD4122" w14:paraId="76407C6B" w14:textId="75E7BA1B">
            <w:pPr>
              <w:jc w:val="right"/>
              <w:rPr>
                <w:rFonts w:ascii="Calibri" w:hAnsi="Calibri" w:cs="Calibri"/>
                <w:color w:val="000000"/>
              </w:rPr>
            </w:pPr>
            <w:r w:rsidRPr="00DC55AE">
              <w:rPr>
                <w:rFonts w:ascii="Arial" w:hAnsi="Arial" w:cs="Arial"/>
                <w:b/>
                <w:bCs/>
                <w:color w:val="000000"/>
                <w:sz w:val="18"/>
                <w:szCs w:val="18"/>
              </w:rPr>
              <w:t>34,240</w:t>
            </w:r>
          </w:p>
        </w:tc>
        <w:tc>
          <w:tcPr>
            <w:tcW w:w="1890" w:type="dxa"/>
            <w:tcBorders>
              <w:top w:val="single" w:sz="8" w:space="0" w:color="auto"/>
              <w:left w:val="nil"/>
              <w:bottom w:val="single" w:sz="4" w:space="0" w:color="auto"/>
              <w:right w:val="nil"/>
            </w:tcBorders>
            <w:shd w:val="clear" w:color="auto" w:fill="auto"/>
            <w:noWrap/>
            <w:vAlign w:val="center"/>
          </w:tcPr>
          <w:p w:rsidR="00FD4122" w:rsidRPr="00DC55AE" w:rsidP="00FD4122" w14:paraId="22F21B72" w14:textId="55DB85E2">
            <w:pPr>
              <w:jc w:val="right"/>
              <w:rPr>
                <w:rFonts w:ascii="Arial" w:hAnsi="Arial" w:cs="Arial"/>
                <w:color w:val="000000"/>
                <w:sz w:val="18"/>
                <w:szCs w:val="18"/>
              </w:rPr>
            </w:pPr>
            <w:r w:rsidRPr="00DC55AE">
              <w:rPr>
                <w:rFonts w:ascii="Arial" w:hAnsi="Arial" w:cs="Arial"/>
                <w:b/>
                <w:bCs/>
                <w:color w:val="000000"/>
                <w:sz w:val="18"/>
                <w:szCs w:val="18"/>
              </w:rPr>
              <w:t>0.59</w:t>
            </w:r>
          </w:p>
        </w:tc>
        <w:tc>
          <w:tcPr>
            <w:tcW w:w="2250" w:type="dxa"/>
            <w:tcBorders>
              <w:top w:val="single" w:sz="8" w:space="0" w:color="auto"/>
              <w:left w:val="nil"/>
              <w:bottom w:val="single" w:sz="4" w:space="0" w:color="auto"/>
              <w:right w:val="nil"/>
            </w:tcBorders>
            <w:shd w:val="clear" w:color="auto" w:fill="auto"/>
            <w:noWrap/>
            <w:vAlign w:val="center"/>
          </w:tcPr>
          <w:p w:rsidR="00FD4122" w:rsidRPr="00DC55AE" w:rsidP="00FD4122" w14:paraId="3D13A095" w14:textId="00F18CE6">
            <w:pPr>
              <w:jc w:val="right"/>
              <w:rPr>
                <w:rFonts w:ascii="Arial" w:hAnsi="Arial" w:cs="Arial"/>
                <w:color w:val="000000"/>
                <w:sz w:val="18"/>
                <w:szCs w:val="18"/>
              </w:rPr>
            </w:pPr>
            <w:r w:rsidRPr="00DC55AE">
              <w:rPr>
                <w:rFonts w:ascii="Arial" w:hAnsi="Arial" w:cs="Arial"/>
                <w:b/>
                <w:bCs/>
                <w:color w:val="000000"/>
                <w:sz w:val="18"/>
                <w:szCs w:val="18"/>
              </w:rPr>
              <w:t>20,0</w:t>
            </w:r>
            <w:r w:rsidR="00BB0CD2">
              <w:rPr>
                <w:rFonts w:ascii="Arial" w:hAnsi="Arial" w:cs="Arial"/>
                <w:b/>
                <w:bCs/>
                <w:color w:val="000000"/>
                <w:sz w:val="18"/>
                <w:szCs w:val="18"/>
              </w:rPr>
              <w:t>2</w:t>
            </w:r>
            <w:r w:rsidRPr="00DC55AE">
              <w:rPr>
                <w:rFonts w:ascii="Arial" w:hAnsi="Arial" w:cs="Arial"/>
                <w:b/>
                <w:bCs/>
                <w:color w:val="000000"/>
                <w:sz w:val="18"/>
                <w:szCs w:val="18"/>
              </w:rPr>
              <w:t>0</w:t>
            </w:r>
          </w:p>
        </w:tc>
      </w:tr>
      <w:tr w14:paraId="5DF4F6B3" w14:textId="77777777" w:rsidTr="00FD4122">
        <w:tblPrEx>
          <w:tblW w:w="10530" w:type="dxa"/>
          <w:tblLook w:val="04A0"/>
        </w:tblPrEx>
        <w:trPr>
          <w:trHeight w:val="332"/>
        </w:trPr>
        <w:tc>
          <w:tcPr>
            <w:tcW w:w="3690" w:type="dxa"/>
            <w:tcBorders>
              <w:top w:val="single" w:sz="4" w:space="0" w:color="auto"/>
              <w:left w:val="nil"/>
              <w:bottom w:val="nil"/>
              <w:right w:val="nil"/>
            </w:tcBorders>
            <w:shd w:val="clear" w:color="auto" w:fill="auto"/>
            <w:vAlign w:val="center"/>
            <w:hideMark/>
          </w:tcPr>
          <w:p w:rsidR="00FD4122" w:rsidRPr="00FD4122" w:rsidP="00FD4122" w14:paraId="59716080" w14:textId="77777777">
            <w:pPr>
              <w:rPr>
                <w:rFonts w:asciiTheme="majorHAnsi" w:hAnsiTheme="majorHAnsi" w:cstheme="majorHAnsi"/>
                <w:color w:val="000000"/>
                <w:sz w:val="16"/>
                <w:szCs w:val="16"/>
              </w:rPr>
            </w:pPr>
            <w:r w:rsidRPr="00FD4122">
              <w:rPr>
                <w:rFonts w:asciiTheme="majorHAnsi" w:hAnsiTheme="majorHAnsi" w:cstheme="majorHAnsi"/>
                <w:color w:val="000000"/>
                <w:sz w:val="16"/>
                <w:szCs w:val="16"/>
              </w:rPr>
              <w:t>NPSAS Survey respondents</w:t>
            </w:r>
          </w:p>
        </w:tc>
        <w:tc>
          <w:tcPr>
            <w:tcW w:w="1260" w:type="dxa"/>
            <w:tcBorders>
              <w:top w:val="single" w:sz="4" w:space="0" w:color="auto"/>
              <w:left w:val="nil"/>
              <w:bottom w:val="nil"/>
              <w:right w:val="nil"/>
            </w:tcBorders>
            <w:shd w:val="clear" w:color="auto" w:fill="auto"/>
            <w:vAlign w:val="bottom"/>
            <w:hideMark/>
          </w:tcPr>
          <w:p w:rsidR="00FD4122" w:rsidRPr="00FD4122" w:rsidP="00FD4122" w14:paraId="6D8FE5B7" w14:textId="77777777">
            <w:pPr>
              <w:rPr>
                <w:rFonts w:asciiTheme="majorHAnsi" w:hAnsiTheme="majorHAnsi" w:cstheme="majorHAnsi"/>
                <w:color w:val="000000"/>
                <w:sz w:val="16"/>
                <w:szCs w:val="16"/>
              </w:rPr>
            </w:pPr>
            <w:r w:rsidRPr="00FD4122">
              <w:rPr>
                <w:rFonts w:asciiTheme="majorHAnsi" w:hAnsiTheme="majorHAnsi" w:cstheme="majorHAnsi"/>
                <w:color w:val="000000"/>
                <w:sz w:val="16"/>
                <w:szCs w:val="16"/>
              </w:rPr>
              <w:t>Yes</w:t>
            </w:r>
          </w:p>
        </w:tc>
        <w:tc>
          <w:tcPr>
            <w:tcW w:w="1440" w:type="dxa"/>
            <w:tcBorders>
              <w:top w:val="single" w:sz="4" w:space="0" w:color="auto"/>
              <w:left w:val="nil"/>
              <w:bottom w:val="nil"/>
              <w:right w:val="nil"/>
            </w:tcBorders>
            <w:shd w:val="clear" w:color="auto" w:fill="auto"/>
            <w:noWrap/>
            <w:vAlign w:val="bottom"/>
            <w:hideMark/>
          </w:tcPr>
          <w:p w:rsidR="00FD4122" w:rsidRPr="00FD4122" w:rsidP="00FD4122" w14:paraId="446C87CE" w14:textId="35A9B438">
            <w:pPr>
              <w:jc w:val="right"/>
              <w:rPr>
                <w:rFonts w:asciiTheme="majorHAnsi" w:hAnsiTheme="majorHAnsi" w:cstheme="majorHAnsi"/>
                <w:color w:val="000000"/>
                <w:sz w:val="16"/>
                <w:szCs w:val="16"/>
              </w:rPr>
            </w:pPr>
            <w:r w:rsidRPr="00FD4122">
              <w:rPr>
                <w:rFonts w:asciiTheme="majorHAnsi" w:hAnsiTheme="majorHAnsi" w:cstheme="majorHAnsi"/>
                <w:color w:val="000000"/>
                <w:sz w:val="16"/>
                <w:szCs w:val="16"/>
              </w:rPr>
              <w:t>18,9</w:t>
            </w:r>
            <w:r w:rsidR="001523A9">
              <w:rPr>
                <w:rFonts w:asciiTheme="majorHAnsi" w:hAnsiTheme="majorHAnsi" w:cstheme="majorHAnsi"/>
                <w:color w:val="000000"/>
                <w:sz w:val="16"/>
                <w:szCs w:val="16"/>
              </w:rPr>
              <w:t>0</w:t>
            </w:r>
            <w:r w:rsidRPr="00FD4122">
              <w:rPr>
                <w:rFonts w:asciiTheme="majorHAnsi" w:hAnsiTheme="majorHAnsi" w:cstheme="majorHAnsi"/>
                <w:color w:val="000000"/>
                <w:sz w:val="16"/>
                <w:szCs w:val="16"/>
              </w:rPr>
              <w:t>0</w:t>
            </w:r>
          </w:p>
        </w:tc>
        <w:tc>
          <w:tcPr>
            <w:tcW w:w="1890" w:type="dxa"/>
            <w:tcBorders>
              <w:top w:val="single" w:sz="4" w:space="0" w:color="auto"/>
              <w:left w:val="nil"/>
              <w:bottom w:val="nil"/>
              <w:right w:val="nil"/>
            </w:tcBorders>
            <w:shd w:val="clear" w:color="auto" w:fill="auto"/>
            <w:noWrap/>
            <w:vAlign w:val="bottom"/>
            <w:hideMark/>
          </w:tcPr>
          <w:p w:rsidR="00FD4122" w:rsidRPr="00FD4122" w:rsidP="00FD4122" w14:paraId="12A2BA16" w14:textId="77777777">
            <w:pPr>
              <w:jc w:val="right"/>
              <w:rPr>
                <w:rFonts w:asciiTheme="majorHAnsi" w:hAnsiTheme="majorHAnsi" w:cstheme="majorHAnsi"/>
                <w:color w:val="000000"/>
                <w:sz w:val="16"/>
                <w:szCs w:val="16"/>
              </w:rPr>
            </w:pPr>
            <w:r w:rsidRPr="00FD4122">
              <w:rPr>
                <w:rFonts w:asciiTheme="majorHAnsi" w:hAnsiTheme="majorHAnsi" w:cstheme="majorHAnsi"/>
                <w:color w:val="000000"/>
                <w:sz w:val="16"/>
                <w:szCs w:val="16"/>
              </w:rPr>
              <w:t>0.81</w:t>
            </w:r>
          </w:p>
        </w:tc>
        <w:tc>
          <w:tcPr>
            <w:tcW w:w="2250" w:type="dxa"/>
            <w:tcBorders>
              <w:top w:val="single" w:sz="4" w:space="0" w:color="auto"/>
              <w:left w:val="nil"/>
              <w:bottom w:val="nil"/>
              <w:right w:val="nil"/>
            </w:tcBorders>
            <w:shd w:val="clear" w:color="auto" w:fill="auto"/>
            <w:noWrap/>
            <w:vAlign w:val="bottom"/>
            <w:hideMark/>
          </w:tcPr>
          <w:p w:rsidR="00FD4122" w:rsidRPr="00FD4122" w:rsidP="00FD4122" w14:paraId="07C9A614" w14:textId="599D83FF">
            <w:pPr>
              <w:jc w:val="right"/>
              <w:rPr>
                <w:rFonts w:asciiTheme="majorHAnsi" w:hAnsiTheme="majorHAnsi" w:cstheme="majorHAnsi"/>
                <w:color w:val="000000"/>
                <w:sz w:val="16"/>
                <w:szCs w:val="16"/>
              </w:rPr>
            </w:pPr>
            <w:r w:rsidRPr="00FD4122">
              <w:rPr>
                <w:rFonts w:asciiTheme="majorHAnsi" w:hAnsiTheme="majorHAnsi" w:cstheme="majorHAnsi"/>
                <w:color w:val="000000"/>
                <w:sz w:val="16"/>
                <w:szCs w:val="16"/>
              </w:rPr>
              <w:t>15,3</w:t>
            </w:r>
            <w:r w:rsidR="00BB0CD2">
              <w:rPr>
                <w:rFonts w:asciiTheme="majorHAnsi" w:hAnsiTheme="majorHAnsi" w:cstheme="majorHAnsi"/>
                <w:color w:val="000000"/>
                <w:sz w:val="16"/>
                <w:szCs w:val="16"/>
              </w:rPr>
              <w:t>1</w:t>
            </w:r>
            <w:r w:rsidRPr="00FD4122">
              <w:rPr>
                <w:rFonts w:asciiTheme="majorHAnsi" w:hAnsiTheme="majorHAnsi" w:cstheme="majorHAnsi"/>
                <w:color w:val="000000"/>
                <w:sz w:val="16"/>
                <w:szCs w:val="16"/>
              </w:rPr>
              <w:t>0</w:t>
            </w:r>
          </w:p>
        </w:tc>
      </w:tr>
      <w:tr w14:paraId="4733E61A" w14:textId="77777777" w:rsidTr="00FD4122">
        <w:tblPrEx>
          <w:tblW w:w="10530" w:type="dxa"/>
          <w:tblLook w:val="04A0"/>
        </w:tblPrEx>
        <w:trPr>
          <w:trHeight w:val="270"/>
        </w:trPr>
        <w:tc>
          <w:tcPr>
            <w:tcW w:w="3690" w:type="dxa"/>
            <w:tcBorders>
              <w:top w:val="nil"/>
              <w:left w:val="nil"/>
              <w:bottom w:val="nil"/>
              <w:right w:val="nil"/>
            </w:tcBorders>
            <w:shd w:val="clear" w:color="auto" w:fill="auto"/>
            <w:vAlign w:val="center"/>
            <w:hideMark/>
          </w:tcPr>
          <w:p w:rsidR="00FD4122" w:rsidRPr="00FD4122" w:rsidP="00FD4122" w14:paraId="19A91C07" w14:textId="77777777">
            <w:pPr>
              <w:rPr>
                <w:rFonts w:asciiTheme="majorHAnsi" w:hAnsiTheme="majorHAnsi" w:cstheme="majorHAnsi"/>
                <w:color w:val="000000"/>
                <w:sz w:val="16"/>
                <w:szCs w:val="16"/>
              </w:rPr>
            </w:pPr>
            <w:r w:rsidRPr="00FD4122">
              <w:rPr>
                <w:rFonts w:asciiTheme="majorHAnsi" w:hAnsiTheme="majorHAnsi" w:cstheme="majorHAnsi"/>
                <w:color w:val="000000"/>
                <w:sz w:val="16"/>
                <w:szCs w:val="16"/>
              </w:rPr>
              <w:t>NPSAS Survey nonrespondents</w:t>
            </w:r>
          </w:p>
        </w:tc>
        <w:tc>
          <w:tcPr>
            <w:tcW w:w="1260" w:type="dxa"/>
            <w:tcBorders>
              <w:top w:val="nil"/>
              <w:left w:val="nil"/>
              <w:bottom w:val="nil"/>
              <w:right w:val="nil"/>
            </w:tcBorders>
            <w:shd w:val="clear" w:color="auto" w:fill="auto"/>
            <w:vAlign w:val="bottom"/>
            <w:hideMark/>
          </w:tcPr>
          <w:p w:rsidR="00FD4122" w:rsidRPr="00FD4122" w:rsidP="00FD4122" w14:paraId="07A4FAB5" w14:textId="77777777">
            <w:pPr>
              <w:rPr>
                <w:rFonts w:asciiTheme="majorHAnsi" w:hAnsiTheme="majorHAnsi" w:cstheme="majorHAnsi"/>
                <w:color w:val="000000"/>
                <w:sz w:val="16"/>
                <w:szCs w:val="16"/>
              </w:rPr>
            </w:pPr>
            <w:r w:rsidRPr="00FD4122">
              <w:rPr>
                <w:rFonts w:asciiTheme="majorHAnsi" w:hAnsiTheme="majorHAnsi" w:cstheme="majorHAnsi"/>
                <w:color w:val="000000"/>
                <w:sz w:val="16"/>
                <w:szCs w:val="16"/>
              </w:rPr>
              <w:t>Yes</w:t>
            </w:r>
          </w:p>
        </w:tc>
        <w:tc>
          <w:tcPr>
            <w:tcW w:w="1440" w:type="dxa"/>
            <w:tcBorders>
              <w:top w:val="nil"/>
              <w:left w:val="nil"/>
              <w:bottom w:val="nil"/>
              <w:right w:val="nil"/>
            </w:tcBorders>
            <w:shd w:val="clear" w:color="auto" w:fill="auto"/>
            <w:noWrap/>
            <w:vAlign w:val="bottom"/>
            <w:hideMark/>
          </w:tcPr>
          <w:p w:rsidR="00FD4122" w:rsidRPr="00FD4122" w:rsidP="00FD4122" w14:paraId="5F32B424" w14:textId="1D7C4ECE">
            <w:pPr>
              <w:jc w:val="right"/>
              <w:rPr>
                <w:rFonts w:asciiTheme="majorHAnsi" w:hAnsiTheme="majorHAnsi" w:cstheme="majorHAnsi"/>
                <w:color w:val="000000"/>
                <w:sz w:val="16"/>
                <w:szCs w:val="16"/>
              </w:rPr>
            </w:pPr>
            <w:r w:rsidRPr="00FD4122">
              <w:rPr>
                <w:rFonts w:asciiTheme="majorHAnsi" w:hAnsiTheme="majorHAnsi" w:cstheme="majorHAnsi"/>
                <w:color w:val="000000"/>
                <w:sz w:val="16"/>
                <w:szCs w:val="16"/>
              </w:rPr>
              <w:t>9</w:t>
            </w:r>
            <w:r w:rsidR="00590A26">
              <w:rPr>
                <w:rFonts w:asciiTheme="majorHAnsi" w:hAnsiTheme="majorHAnsi" w:cstheme="majorHAnsi"/>
                <w:color w:val="000000"/>
                <w:sz w:val="16"/>
                <w:szCs w:val="16"/>
              </w:rPr>
              <w:t>8</w:t>
            </w:r>
            <w:r w:rsidRPr="00FD4122">
              <w:rPr>
                <w:rFonts w:asciiTheme="majorHAnsi" w:hAnsiTheme="majorHAnsi" w:cstheme="majorHAnsi"/>
                <w:color w:val="000000"/>
                <w:sz w:val="16"/>
                <w:szCs w:val="16"/>
              </w:rPr>
              <w:t>0</w:t>
            </w:r>
          </w:p>
        </w:tc>
        <w:tc>
          <w:tcPr>
            <w:tcW w:w="1890" w:type="dxa"/>
            <w:tcBorders>
              <w:top w:val="nil"/>
              <w:left w:val="nil"/>
              <w:bottom w:val="nil"/>
              <w:right w:val="nil"/>
            </w:tcBorders>
            <w:shd w:val="clear" w:color="auto" w:fill="auto"/>
            <w:noWrap/>
            <w:vAlign w:val="bottom"/>
            <w:hideMark/>
          </w:tcPr>
          <w:p w:rsidR="00FD4122" w:rsidRPr="00FD4122" w:rsidP="00FD4122" w14:paraId="3735A05F" w14:textId="77777777">
            <w:pPr>
              <w:jc w:val="right"/>
              <w:rPr>
                <w:rFonts w:asciiTheme="majorHAnsi" w:hAnsiTheme="majorHAnsi" w:cstheme="majorHAnsi"/>
                <w:color w:val="000000"/>
                <w:sz w:val="16"/>
                <w:szCs w:val="16"/>
              </w:rPr>
            </w:pPr>
            <w:r w:rsidRPr="00FD4122">
              <w:rPr>
                <w:rFonts w:asciiTheme="majorHAnsi" w:hAnsiTheme="majorHAnsi" w:cstheme="majorHAnsi"/>
                <w:color w:val="000000"/>
                <w:sz w:val="16"/>
                <w:szCs w:val="16"/>
              </w:rPr>
              <w:t>0.55</w:t>
            </w:r>
          </w:p>
        </w:tc>
        <w:tc>
          <w:tcPr>
            <w:tcW w:w="2250" w:type="dxa"/>
            <w:tcBorders>
              <w:top w:val="nil"/>
              <w:left w:val="nil"/>
              <w:bottom w:val="nil"/>
              <w:right w:val="nil"/>
            </w:tcBorders>
            <w:shd w:val="clear" w:color="auto" w:fill="auto"/>
            <w:noWrap/>
            <w:vAlign w:val="bottom"/>
            <w:hideMark/>
          </w:tcPr>
          <w:p w:rsidR="00FD4122" w:rsidRPr="00FD4122" w:rsidP="00FD4122" w14:paraId="1F562771" w14:textId="10818932">
            <w:pPr>
              <w:jc w:val="right"/>
              <w:rPr>
                <w:rFonts w:asciiTheme="majorHAnsi" w:hAnsiTheme="majorHAnsi" w:cstheme="majorHAnsi"/>
                <w:color w:val="000000"/>
                <w:sz w:val="16"/>
                <w:szCs w:val="16"/>
              </w:rPr>
            </w:pPr>
            <w:r w:rsidRPr="00FD4122">
              <w:rPr>
                <w:rFonts w:asciiTheme="majorHAnsi" w:hAnsiTheme="majorHAnsi" w:cstheme="majorHAnsi"/>
                <w:color w:val="000000"/>
                <w:sz w:val="16"/>
                <w:szCs w:val="16"/>
              </w:rPr>
              <w:t>5</w:t>
            </w:r>
            <w:r w:rsidR="00BB0CD2">
              <w:rPr>
                <w:rFonts w:asciiTheme="majorHAnsi" w:hAnsiTheme="majorHAnsi" w:cstheme="majorHAnsi"/>
                <w:color w:val="000000"/>
                <w:sz w:val="16"/>
                <w:szCs w:val="16"/>
              </w:rPr>
              <w:t>4</w:t>
            </w:r>
            <w:r w:rsidRPr="00FD4122">
              <w:rPr>
                <w:rFonts w:asciiTheme="majorHAnsi" w:hAnsiTheme="majorHAnsi" w:cstheme="majorHAnsi"/>
                <w:color w:val="000000"/>
                <w:sz w:val="16"/>
                <w:szCs w:val="16"/>
              </w:rPr>
              <w:t>0</w:t>
            </w:r>
          </w:p>
        </w:tc>
      </w:tr>
      <w:tr w14:paraId="4498FD17" w14:textId="77777777" w:rsidTr="00FD4122">
        <w:tblPrEx>
          <w:tblW w:w="10530" w:type="dxa"/>
          <w:tblLook w:val="04A0"/>
        </w:tblPrEx>
        <w:trPr>
          <w:trHeight w:val="360"/>
        </w:trPr>
        <w:tc>
          <w:tcPr>
            <w:tcW w:w="3690" w:type="dxa"/>
            <w:tcBorders>
              <w:top w:val="nil"/>
              <w:left w:val="nil"/>
              <w:bottom w:val="nil"/>
              <w:right w:val="nil"/>
            </w:tcBorders>
            <w:shd w:val="clear" w:color="auto" w:fill="auto"/>
            <w:vAlign w:val="center"/>
            <w:hideMark/>
          </w:tcPr>
          <w:p w:rsidR="00FD4122" w:rsidRPr="00FD4122" w:rsidP="00FD4122" w14:paraId="2D0F5B4C" w14:textId="77777777">
            <w:pPr>
              <w:rPr>
                <w:rFonts w:asciiTheme="majorHAnsi" w:hAnsiTheme="majorHAnsi" w:cstheme="majorHAnsi"/>
                <w:color w:val="000000"/>
                <w:sz w:val="16"/>
                <w:szCs w:val="16"/>
              </w:rPr>
            </w:pPr>
            <w:r w:rsidRPr="00FD4122">
              <w:rPr>
                <w:rFonts w:asciiTheme="majorHAnsi" w:hAnsiTheme="majorHAnsi" w:cstheme="majorHAnsi"/>
                <w:color w:val="000000"/>
                <w:sz w:val="16"/>
                <w:szCs w:val="16"/>
              </w:rPr>
              <w:t>NPSAS Administrative-only students</w:t>
            </w:r>
          </w:p>
        </w:tc>
        <w:tc>
          <w:tcPr>
            <w:tcW w:w="1260" w:type="dxa"/>
            <w:tcBorders>
              <w:top w:val="nil"/>
              <w:left w:val="nil"/>
              <w:bottom w:val="nil"/>
              <w:right w:val="nil"/>
            </w:tcBorders>
            <w:shd w:val="clear" w:color="auto" w:fill="auto"/>
            <w:vAlign w:val="bottom"/>
            <w:hideMark/>
          </w:tcPr>
          <w:p w:rsidR="00FD4122" w:rsidRPr="00FD4122" w:rsidP="00FD4122" w14:paraId="412E4302" w14:textId="77777777">
            <w:pPr>
              <w:rPr>
                <w:rFonts w:asciiTheme="majorHAnsi" w:hAnsiTheme="majorHAnsi" w:cstheme="majorHAnsi"/>
                <w:color w:val="000000"/>
                <w:sz w:val="16"/>
                <w:szCs w:val="16"/>
              </w:rPr>
            </w:pPr>
            <w:r w:rsidRPr="00FD4122">
              <w:rPr>
                <w:rFonts w:asciiTheme="majorHAnsi" w:hAnsiTheme="majorHAnsi" w:cstheme="majorHAnsi"/>
                <w:color w:val="000000"/>
                <w:sz w:val="16"/>
                <w:szCs w:val="16"/>
              </w:rPr>
              <w:t>Yes</w:t>
            </w:r>
          </w:p>
        </w:tc>
        <w:tc>
          <w:tcPr>
            <w:tcW w:w="1440" w:type="dxa"/>
            <w:tcBorders>
              <w:top w:val="nil"/>
              <w:left w:val="nil"/>
              <w:bottom w:val="nil"/>
              <w:right w:val="nil"/>
            </w:tcBorders>
            <w:shd w:val="clear" w:color="auto" w:fill="auto"/>
            <w:noWrap/>
            <w:vAlign w:val="bottom"/>
            <w:hideMark/>
          </w:tcPr>
          <w:p w:rsidR="00FD4122" w:rsidRPr="00FD4122" w:rsidP="00FD4122" w14:paraId="26CD79BF" w14:textId="77777777">
            <w:pPr>
              <w:jc w:val="right"/>
              <w:rPr>
                <w:rFonts w:asciiTheme="majorHAnsi" w:hAnsiTheme="majorHAnsi" w:cstheme="majorHAnsi"/>
                <w:color w:val="000000"/>
                <w:sz w:val="16"/>
                <w:szCs w:val="16"/>
              </w:rPr>
            </w:pPr>
            <w:r w:rsidRPr="00FD4122">
              <w:rPr>
                <w:rFonts w:asciiTheme="majorHAnsi" w:hAnsiTheme="majorHAnsi" w:cstheme="majorHAnsi"/>
                <w:color w:val="000000"/>
                <w:sz w:val="16"/>
                <w:szCs w:val="16"/>
              </w:rPr>
              <w:t>2,450</w:t>
            </w:r>
          </w:p>
        </w:tc>
        <w:tc>
          <w:tcPr>
            <w:tcW w:w="1890" w:type="dxa"/>
            <w:tcBorders>
              <w:top w:val="nil"/>
              <w:left w:val="nil"/>
              <w:bottom w:val="nil"/>
              <w:right w:val="nil"/>
            </w:tcBorders>
            <w:shd w:val="clear" w:color="auto" w:fill="auto"/>
            <w:noWrap/>
            <w:vAlign w:val="bottom"/>
            <w:hideMark/>
          </w:tcPr>
          <w:p w:rsidR="00FD4122" w:rsidRPr="00FD4122" w:rsidP="00FD4122" w14:paraId="33C45BF2" w14:textId="77777777">
            <w:pPr>
              <w:jc w:val="right"/>
              <w:rPr>
                <w:rFonts w:asciiTheme="majorHAnsi" w:hAnsiTheme="majorHAnsi" w:cstheme="majorHAnsi"/>
                <w:color w:val="000000"/>
                <w:sz w:val="16"/>
                <w:szCs w:val="16"/>
              </w:rPr>
            </w:pPr>
            <w:r w:rsidRPr="00FD4122">
              <w:rPr>
                <w:rFonts w:asciiTheme="majorHAnsi" w:hAnsiTheme="majorHAnsi" w:cstheme="majorHAnsi"/>
                <w:color w:val="000000"/>
                <w:sz w:val="16"/>
                <w:szCs w:val="16"/>
              </w:rPr>
              <w:t>0.75</w:t>
            </w:r>
          </w:p>
        </w:tc>
        <w:tc>
          <w:tcPr>
            <w:tcW w:w="2250" w:type="dxa"/>
            <w:tcBorders>
              <w:top w:val="nil"/>
              <w:left w:val="nil"/>
              <w:bottom w:val="nil"/>
              <w:right w:val="nil"/>
            </w:tcBorders>
            <w:shd w:val="clear" w:color="auto" w:fill="auto"/>
            <w:noWrap/>
            <w:vAlign w:val="bottom"/>
            <w:hideMark/>
          </w:tcPr>
          <w:p w:rsidR="00FD4122" w:rsidRPr="00FD4122" w:rsidP="00FD4122" w14:paraId="0F08184D" w14:textId="61536E4D">
            <w:pPr>
              <w:jc w:val="right"/>
              <w:rPr>
                <w:rFonts w:asciiTheme="majorHAnsi" w:hAnsiTheme="majorHAnsi" w:cstheme="majorHAnsi"/>
                <w:color w:val="000000"/>
                <w:sz w:val="16"/>
                <w:szCs w:val="16"/>
              </w:rPr>
            </w:pPr>
            <w:r w:rsidRPr="00FD4122">
              <w:rPr>
                <w:rFonts w:asciiTheme="majorHAnsi" w:hAnsiTheme="majorHAnsi" w:cstheme="majorHAnsi"/>
                <w:color w:val="000000"/>
                <w:sz w:val="16"/>
                <w:szCs w:val="16"/>
              </w:rPr>
              <w:t>1,8</w:t>
            </w:r>
            <w:r w:rsidR="007541F5">
              <w:rPr>
                <w:rFonts w:asciiTheme="majorHAnsi" w:hAnsiTheme="majorHAnsi" w:cstheme="majorHAnsi"/>
                <w:color w:val="000000"/>
                <w:sz w:val="16"/>
                <w:szCs w:val="16"/>
              </w:rPr>
              <w:t>3</w:t>
            </w:r>
            <w:r w:rsidRPr="00FD4122">
              <w:rPr>
                <w:rFonts w:asciiTheme="majorHAnsi" w:hAnsiTheme="majorHAnsi" w:cstheme="majorHAnsi"/>
                <w:color w:val="000000"/>
                <w:sz w:val="16"/>
                <w:szCs w:val="16"/>
              </w:rPr>
              <w:t>0</w:t>
            </w:r>
          </w:p>
        </w:tc>
      </w:tr>
      <w:tr w14:paraId="35C0D42A" w14:textId="77777777" w:rsidTr="00FD4122">
        <w:tblPrEx>
          <w:tblW w:w="10530" w:type="dxa"/>
          <w:tblLook w:val="04A0"/>
        </w:tblPrEx>
        <w:trPr>
          <w:trHeight w:val="270"/>
        </w:trPr>
        <w:tc>
          <w:tcPr>
            <w:tcW w:w="3690" w:type="dxa"/>
            <w:tcBorders>
              <w:top w:val="nil"/>
              <w:left w:val="nil"/>
              <w:bottom w:val="nil"/>
              <w:right w:val="nil"/>
            </w:tcBorders>
            <w:shd w:val="clear" w:color="auto" w:fill="auto"/>
            <w:vAlign w:val="center"/>
            <w:hideMark/>
          </w:tcPr>
          <w:p w:rsidR="00FD4122" w:rsidRPr="00FD4122" w:rsidP="00FD4122" w14:paraId="3C324142" w14:textId="77777777">
            <w:pPr>
              <w:rPr>
                <w:rFonts w:asciiTheme="majorHAnsi" w:hAnsiTheme="majorHAnsi" w:cstheme="majorHAnsi"/>
                <w:color w:val="000000"/>
                <w:sz w:val="16"/>
                <w:szCs w:val="16"/>
              </w:rPr>
            </w:pPr>
            <w:r w:rsidRPr="00FD4122">
              <w:rPr>
                <w:rFonts w:asciiTheme="majorHAnsi" w:hAnsiTheme="majorHAnsi" w:cstheme="majorHAnsi"/>
                <w:color w:val="000000"/>
                <w:sz w:val="16"/>
                <w:szCs w:val="16"/>
              </w:rPr>
              <w:t>NPSAS Survey respondents</w:t>
            </w:r>
          </w:p>
        </w:tc>
        <w:tc>
          <w:tcPr>
            <w:tcW w:w="1260" w:type="dxa"/>
            <w:tcBorders>
              <w:top w:val="nil"/>
              <w:left w:val="nil"/>
              <w:bottom w:val="nil"/>
              <w:right w:val="nil"/>
            </w:tcBorders>
            <w:shd w:val="clear" w:color="auto" w:fill="auto"/>
            <w:vAlign w:val="bottom"/>
            <w:hideMark/>
          </w:tcPr>
          <w:p w:rsidR="00FD4122" w:rsidRPr="00FD4122" w:rsidP="00FD4122" w14:paraId="6EFE5C03" w14:textId="77777777">
            <w:pPr>
              <w:rPr>
                <w:rFonts w:asciiTheme="majorHAnsi" w:hAnsiTheme="majorHAnsi" w:cstheme="majorHAnsi"/>
                <w:color w:val="000000"/>
                <w:sz w:val="16"/>
                <w:szCs w:val="16"/>
              </w:rPr>
            </w:pPr>
            <w:r w:rsidRPr="00FD4122">
              <w:rPr>
                <w:rFonts w:asciiTheme="majorHAnsi" w:hAnsiTheme="majorHAnsi" w:cstheme="majorHAnsi"/>
                <w:color w:val="000000"/>
                <w:sz w:val="16"/>
                <w:szCs w:val="16"/>
              </w:rPr>
              <w:t>No</w:t>
            </w:r>
          </w:p>
        </w:tc>
        <w:tc>
          <w:tcPr>
            <w:tcW w:w="1440" w:type="dxa"/>
            <w:tcBorders>
              <w:top w:val="nil"/>
              <w:left w:val="nil"/>
              <w:bottom w:val="nil"/>
              <w:right w:val="nil"/>
            </w:tcBorders>
            <w:shd w:val="clear" w:color="auto" w:fill="auto"/>
            <w:noWrap/>
            <w:vAlign w:val="bottom"/>
            <w:hideMark/>
          </w:tcPr>
          <w:p w:rsidR="00FD4122" w:rsidRPr="00FD4122" w:rsidP="00FD4122" w14:paraId="2F1CD388" w14:textId="4B8B9468">
            <w:pPr>
              <w:jc w:val="right"/>
              <w:rPr>
                <w:rFonts w:asciiTheme="majorHAnsi" w:hAnsiTheme="majorHAnsi" w:cstheme="majorHAnsi"/>
                <w:color w:val="000000"/>
                <w:sz w:val="16"/>
                <w:szCs w:val="16"/>
              </w:rPr>
            </w:pPr>
            <w:r w:rsidRPr="00FD4122">
              <w:rPr>
                <w:rFonts w:asciiTheme="majorHAnsi" w:hAnsiTheme="majorHAnsi" w:cstheme="majorHAnsi"/>
                <w:color w:val="000000"/>
                <w:sz w:val="16"/>
                <w:szCs w:val="16"/>
              </w:rPr>
              <w:t>6,3</w:t>
            </w:r>
            <w:r w:rsidR="00590A26">
              <w:rPr>
                <w:rFonts w:asciiTheme="majorHAnsi" w:hAnsiTheme="majorHAnsi" w:cstheme="majorHAnsi"/>
                <w:color w:val="000000"/>
                <w:sz w:val="16"/>
                <w:szCs w:val="16"/>
              </w:rPr>
              <w:t>3</w:t>
            </w:r>
            <w:r w:rsidRPr="00FD4122">
              <w:rPr>
                <w:rFonts w:asciiTheme="majorHAnsi" w:hAnsiTheme="majorHAnsi" w:cstheme="majorHAnsi"/>
                <w:color w:val="000000"/>
                <w:sz w:val="16"/>
                <w:szCs w:val="16"/>
              </w:rPr>
              <w:t>0</w:t>
            </w:r>
          </w:p>
        </w:tc>
        <w:tc>
          <w:tcPr>
            <w:tcW w:w="1890" w:type="dxa"/>
            <w:tcBorders>
              <w:top w:val="nil"/>
              <w:left w:val="nil"/>
              <w:bottom w:val="nil"/>
              <w:right w:val="nil"/>
            </w:tcBorders>
            <w:shd w:val="clear" w:color="auto" w:fill="auto"/>
            <w:noWrap/>
            <w:vAlign w:val="bottom"/>
            <w:hideMark/>
          </w:tcPr>
          <w:p w:rsidR="00FD4122" w:rsidRPr="00FD4122" w:rsidP="00FD4122" w14:paraId="7FEBC65E" w14:textId="77777777">
            <w:pPr>
              <w:jc w:val="right"/>
              <w:rPr>
                <w:rFonts w:asciiTheme="majorHAnsi" w:hAnsiTheme="majorHAnsi" w:cstheme="majorHAnsi"/>
                <w:color w:val="000000"/>
                <w:sz w:val="16"/>
                <w:szCs w:val="16"/>
              </w:rPr>
            </w:pPr>
            <w:r w:rsidRPr="00FD4122">
              <w:rPr>
                <w:rFonts w:asciiTheme="majorHAnsi" w:hAnsiTheme="majorHAnsi" w:cstheme="majorHAnsi"/>
                <w:color w:val="000000"/>
                <w:sz w:val="16"/>
                <w:szCs w:val="16"/>
              </w:rPr>
              <w:t>0.37</w:t>
            </w:r>
          </w:p>
        </w:tc>
        <w:tc>
          <w:tcPr>
            <w:tcW w:w="2250" w:type="dxa"/>
            <w:tcBorders>
              <w:top w:val="nil"/>
              <w:left w:val="nil"/>
              <w:bottom w:val="nil"/>
              <w:right w:val="nil"/>
            </w:tcBorders>
            <w:shd w:val="clear" w:color="auto" w:fill="auto"/>
            <w:noWrap/>
            <w:vAlign w:val="bottom"/>
            <w:hideMark/>
          </w:tcPr>
          <w:p w:rsidR="00FD4122" w:rsidRPr="00FD4122" w:rsidP="00FD4122" w14:paraId="13260CAC" w14:textId="3346E731">
            <w:pPr>
              <w:jc w:val="right"/>
              <w:rPr>
                <w:rFonts w:asciiTheme="majorHAnsi" w:hAnsiTheme="majorHAnsi" w:cstheme="majorHAnsi"/>
                <w:color w:val="000000"/>
                <w:sz w:val="16"/>
                <w:szCs w:val="16"/>
              </w:rPr>
            </w:pPr>
            <w:r w:rsidRPr="00FD4122">
              <w:rPr>
                <w:rFonts w:asciiTheme="majorHAnsi" w:hAnsiTheme="majorHAnsi" w:cstheme="majorHAnsi"/>
                <w:color w:val="000000"/>
                <w:sz w:val="16"/>
                <w:szCs w:val="16"/>
              </w:rPr>
              <w:t>2,3</w:t>
            </w:r>
            <w:r w:rsidR="007541F5">
              <w:rPr>
                <w:rFonts w:asciiTheme="majorHAnsi" w:hAnsiTheme="majorHAnsi" w:cstheme="majorHAnsi"/>
                <w:color w:val="000000"/>
                <w:sz w:val="16"/>
                <w:szCs w:val="16"/>
              </w:rPr>
              <w:t>4</w:t>
            </w:r>
            <w:r w:rsidRPr="00FD4122">
              <w:rPr>
                <w:rFonts w:asciiTheme="majorHAnsi" w:hAnsiTheme="majorHAnsi" w:cstheme="majorHAnsi"/>
                <w:color w:val="000000"/>
                <w:sz w:val="16"/>
                <w:szCs w:val="16"/>
              </w:rPr>
              <w:t>0</w:t>
            </w:r>
          </w:p>
        </w:tc>
      </w:tr>
      <w:tr w14:paraId="43CE41DC" w14:textId="77777777" w:rsidTr="00FD4122">
        <w:tblPrEx>
          <w:tblW w:w="10530" w:type="dxa"/>
          <w:tblLook w:val="04A0"/>
        </w:tblPrEx>
        <w:trPr>
          <w:trHeight w:val="360"/>
        </w:trPr>
        <w:tc>
          <w:tcPr>
            <w:tcW w:w="3690" w:type="dxa"/>
            <w:tcBorders>
              <w:top w:val="nil"/>
              <w:left w:val="nil"/>
              <w:bottom w:val="nil"/>
              <w:right w:val="nil"/>
            </w:tcBorders>
            <w:shd w:val="clear" w:color="auto" w:fill="auto"/>
            <w:vAlign w:val="center"/>
            <w:hideMark/>
          </w:tcPr>
          <w:p w:rsidR="00FD4122" w:rsidRPr="00FD4122" w:rsidP="00FD4122" w14:paraId="41981325" w14:textId="77777777">
            <w:pPr>
              <w:rPr>
                <w:rFonts w:asciiTheme="majorHAnsi" w:hAnsiTheme="majorHAnsi" w:cstheme="majorHAnsi"/>
                <w:color w:val="000000"/>
                <w:sz w:val="16"/>
                <w:szCs w:val="16"/>
              </w:rPr>
            </w:pPr>
            <w:r w:rsidRPr="00FD4122">
              <w:rPr>
                <w:rFonts w:asciiTheme="majorHAnsi" w:hAnsiTheme="majorHAnsi" w:cstheme="majorHAnsi"/>
                <w:color w:val="000000"/>
                <w:sz w:val="16"/>
                <w:szCs w:val="16"/>
              </w:rPr>
              <w:t>NPSAS Survey nonrespondents</w:t>
            </w:r>
            <w:r w:rsidRPr="00FD4122">
              <w:rPr>
                <w:rFonts w:asciiTheme="majorHAnsi" w:hAnsiTheme="majorHAnsi" w:cstheme="majorHAnsi"/>
                <w:color w:val="000000"/>
                <w:sz w:val="16"/>
                <w:szCs w:val="16"/>
                <w:vertAlign w:val="superscript"/>
              </w:rPr>
              <w:t>1</w:t>
            </w:r>
          </w:p>
        </w:tc>
        <w:tc>
          <w:tcPr>
            <w:tcW w:w="1260" w:type="dxa"/>
            <w:tcBorders>
              <w:top w:val="nil"/>
              <w:left w:val="nil"/>
              <w:bottom w:val="nil"/>
              <w:right w:val="nil"/>
            </w:tcBorders>
            <w:shd w:val="clear" w:color="auto" w:fill="auto"/>
            <w:vAlign w:val="bottom"/>
            <w:hideMark/>
          </w:tcPr>
          <w:p w:rsidR="00FD4122" w:rsidRPr="00FD4122" w:rsidP="00FD4122" w14:paraId="02233BA7" w14:textId="77777777">
            <w:pPr>
              <w:rPr>
                <w:rFonts w:asciiTheme="majorHAnsi" w:hAnsiTheme="majorHAnsi" w:cstheme="majorHAnsi"/>
                <w:color w:val="000000"/>
                <w:sz w:val="16"/>
                <w:szCs w:val="16"/>
              </w:rPr>
            </w:pPr>
            <w:r w:rsidRPr="00FD4122">
              <w:rPr>
                <w:rFonts w:asciiTheme="majorHAnsi" w:hAnsiTheme="majorHAnsi" w:cstheme="majorHAnsi"/>
                <w:color w:val="000000"/>
                <w:sz w:val="16"/>
                <w:szCs w:val="16"/>
              </w:rPr>
              <w:t>No</w:t>
            </w:r>
          </w:p>
        </w:tc>
        <w:tc>
          <w:tcPr>
            <w:tcW w:w="1440" w:type="dxa"/>
            <w:tcBorders>
              <w:top w:val="nil"/>
              <w:left w:val="nil"/>
              <w:bottom w:val="nil"/>
              <w:right w:val="nil"/>
            </w:tcBorders>
            <w:shd w:val="clear" w:color="auto" w:fill="auto"/>
            <w:noWrap/>
            <w:vAlign w:val="bottom"/>
            <w:hideMark/>
          </w:tcPr>
          <w:p w:rsidR="00FD4122" w:rsidRPr="00FD4122" w:rsidP="00FD4122" w14:paraId="1CB4148A" w14:textId="77777777">
            <w:pPr>
              <w:jc w:val="right"/>
              <w:rPr>
                <w:rFonts w:asciiTheme="majorHAnsi" w:hAnsiTheme="majorHAnsi" w:cstheme="majorHAnsi"/>
                <w:color w:val="000000"/>
                <w:sz w:val="16"/>
                <w:szCs w:val="16"/>
              </w:rPr>
            </w:pPr>
            <w:r w:rsidRPr="00FD4122">
              <w:rPr>
                <w:rFonts w:asciiTheme="majorHAnsi" w:hAnsiTheme="majorHAnsi" w:cstheme="majorHAnsi"/>
                <w:color w:val="000000"/>
                <w:sz w:val="16"/>
                <w:szCs w:val="16"/>
              </w:rPr>
              <w:t>3,490</w:t>
            </w:r>
          </w:p>
        </w:tc>
        <w:tc>
          <w:tcPr>
            <w:tcW w:w="1890" w:type="dxa"/>
            <w:tcBorders>
              <w:top w:val="nil"/>
              <w:left w:val="nil"/>
              <w:bottom w:val="nil"/>
              <w:right w:val="nil"/>
            </w:tcBorders>
            <w:shd w:val="clear" w:color="auto" w:fill="auto"/>
            <w:noWrap/>
            <w:vAlign w:val="bottom"/>
            <w:hideMark/>
          </w:tcPr>
          <w:p w:rsidR="00FD4122" w:rsidRPr="00FD4122" w:rsidP="00FD4122" w14:paraId="4384C5AE" w14:textId="77777777">
            <w:pPr>
              <w:jc w:val="right"/>
              <w:rPr>
                <w:rFonts w:asciiTheme="majorHAnsi" w:hAnsiTheme="majorHAnsi" w:cstheme="majorHAnsi"/>
                <w:color w:val="000000"/>
                <w:sz w:val="16"/>
                <w:szCs w:val="16"/>
              </w:rPr>
            </w:pPr>
            <w:r w:rsidRPr="00FD4122">
              <w:rPr>
                <w:rFonts w:asciiTheme="majorHAnsi" w:hAnsiTheme="majorHAnsi" w:cstheme="majorHAnsi"/>
                <w:color w:val="000000"/>
                <w:sz w:val="16"/>
                <w:szCs w:val="16"/>
              </w:rPr>
              <w:t>0.00</w:t>
            </w:r>
          </w:p>
        </w:tc>
        <w:tc>
          <w:tcPr>
            <w:tcW w:w="2250" w:type="dxa"/>
            <w:tcBorders>
              <w:top w:val="nil"/>
              <w:left w:val="nil"/>
              <w:bottom w:val="nil"/>
              <w:right w:val="nil"/>
            </w:tcBorders>
            <w:shd w:val="clear" w:color="auto" w:fill="auto"/>
            <w:noWrap/>
            <w:vAlign w:val="bottom"/>
            <w:hideMark/>
          </w:tcPr>
          <w:p w:rsidR="00FD4122" w:rsidRPr="00FD4122" w:rsidP="00FD4122" w14:paraId="57A082FE" w14:textId="77777777">
            <w:pPr>
              <w:jc w:val="right"/>
              <w:rPr>
                <w:rFonts w:asciiTheme="majorHAnsi" w:hAnsiTheme="majorHAnsi" w:cstheme="majorHAnsi"/>
                <w:color w:val="000000"/>
                <w:sz w:val="16"/>
                <w:szCs w:val="16"/>
              </w:rPr>
            </w:pPr>
            <w:r w:rsidRPr="00FD4122">
              <w:rPr>
                <w:rFonts w:asciiTheme="majorHAnsi" w:hAnsiTheme="majorHAnsi" w:cstheme="majorHAnsi"/>
                <w:color w:val="000000"/>
                <w:sz w:val="16"/>
                <w:szCs w:val="16"/>
              </w:rPr>
              <w:t>0</w:t>
            </w:r>
          </w:p>
        </w:tc>
      </w:tr>
      <w:tr w14:paraId="068B1C7A" w14:textId="77777777" w:rsidTr="00FD4122">
        <w:tblPrEx>
          <w:tblW w:w="10530" w:type="dxa"/>
          <w:tblLook w:val="04A0"/>
        </w:tblPrEx>
        <w:trPr>
          <w:trHeight w:val="180"/>
        </w:trPr>
        <w:tc>
          <w:tcPr>
            <w:tcW w:w="3690" w:type="dxa"/>
            <w:tcBorders>
              <w:top w:val="nil"/>
              <w:left w:val="nil"/>
              <w:bottom w:val="single" w:sz="4" w:space="0" w:color="auto"/>
              <w:right w:val="nil"/>
            </w:tcBorders>
            <w:shd w:val="clear" w:color="auto" w:fill="auto"/>
            <w:vAlign w:val="center"/>
            <w:hideMark/>
          </w:tcPr>
          <w:p w:rsidR="00FD4122" w:rsidRPr="00FD4122" w:rsidP="00FD4122" w14:paraId="5AC16ADD" w14:textId="77777777">
            <w:pPr>
              <w:rPr>
                <w:rFonts w:asciiTheme="majorHAnsi" w:hAnsiTheme="majorHAnsi" w:cstheme="majorHAnsi"/>
                <w:color w:val="000000"/>
                <w:sz w:val="16"/>
                <w:szCs w:val="16"/>
              </w:rPr>
            </w:pPr>
            <w:r w:rsidRPr="00FD4122">
              <w:rPr>
                <w:rFonts w:asciiTheme="majorHAnsi" w:hAnsiTheme="majorHAnsi" w:cstheme="majorHAnsi"/>
                <w:color w:val="000000"/>
                <w:sz w:val="16"/>
                <w:szCs w:val="16"/>
              </w:rPr>
              <w:t>NPSAS Administrative-only students</w:t>
            </w:r>
            <w:r w:rsidRPr="00FD4122">
              <w:rPr>
                <w:rFonts w:asciiTheme="majorHAnsi" w:hAnsiTheme="majorHAnsi" w:cstheme="majorHAnsi"/>
                <w:color w:val="000000"/>
                <w:sz w:val="16"/>
                <w:szCs w:val="16"/>
                <w:vertAlign w:val="superscript"/>
              </w:rPr>
              <w:t>1</w:t>
            </w:r>
          </w:p>
        </w:tc>
        <w:tc>
          <w:tcPr>
            <w:tcW w:w="1260" w:type="dxa"/>
            <w:tcBorders>
              <w:top w:val="nil"/>
              <w:left w:val="nil"/>
              <w:bottom w:val="single" w:sz="4" w:space="0" w:color="auto"/>
              <w:right w:val="nil"/>
            </w:tcBorders>
            <w:shd w:val="clear" w:color="auto" w:fill="auto"/>
            <w:vAlign w:val="bottom"/>
            <w:hideMark/>
          </w:tcPr>
          <w:p w:rsidR="00FD4122" w:rsidRPr="00FD4122" w:rsidP="00FD4122" w14:paraId="492D873D" w14:textId="77777777">
            <w:pPr>
              <w:rPr>
                <w:rFonts w:asciiTheme="majorHAnsi" w:hAnsiTheme="majorHAnsi" w:cstheme="majorHAnsi"/>
                <w:color w:val="000000"/>
                <w:sz w:val="16"/>
                <w:szCs w:val="16"/>
              </w:rPr>
            </w:pPr>
            <w:r w:rsidRPr="00FD4122">
              <w:rPr>
                <w:rFonts w:asciiTheme="majorHAnsi" w:hAnsiTheme="majorHAnsi" w:cstheme="majorHAnsi"/>
                <w:color w:val="000000"/>
                <w:sz w:val="16"/>
                <w:szCs w:val="16"/>
              </w:rPr>
              <w:t>No</w:t>
            </w:r>
          </w:p>
        </w:tc>
        <w:tc>
          <w:tcPr>
            <w:tcW w:w="1440" w:type="dxa"/>
            <w:tcBorders>
              <w:top w:val="nil"/>
              <w:left w:val="nil"/>
              <w:bottom w:val="single" w:sz="4" w:space="0" w:color="auto"/>
              <w:right w:val="nil"/>
            </w:tcBorders>
            <w:shd w:val="clear" w:color="auto" w:fill="auto"/>
            <w:noWrap/>
            <w:vAlign w:val="bottom"/>
            <w:hideMark/>
          </w:tcPr>
          <w:p w:rsidR="00FD4122" w:rsidRPr="00FD4122" w:rsidP="00FD4122" w14:paraId="72A9F8A9" w14:textId="250311E8">
            <w:pPr>
              <w:jc w:val="right"/>
              <w:rPr>
                <w:rFonts w:asciiTheme="majorHAnsi" w:hAnsiTheme="majorHAnsi" w:cstheme="majorHAnsi"/>
                <w:color w:val="000000"/>
                <w:sz w:val="16"/>
                <w:szCs w:val="16"/>
              </w:rPr>
            </w:pPr>
            <w:r w:rsidRPr="00FD4122">
              <w:rPr>
                <w:rFonts w:asciiTheme="majorHAnsi" w:hAnsiTheme="majorHAnsi" w:cstheme="majorHAnsi"/>
                <w:color w:val="000000"/>
                <w:sz w:val="16"/>
                <w:szCs w:val="16"/>
              </w:rPr>
              <w:t>2,</w:t>
            </w:r>
            <w:r w:rsidR="00CF567C">
              <w:rPr>
                <w:rFonts w:asciiTheme="majorHAnsi" w:hAnsiTheme="majorHAnsi" w:cstheme="majorHAnsi"/>
                <w:color w:val="000000"/>
                <w:sz w:val="16"/>
                <w:szCs w:val="16"/>
              </w:rPr>
              <w:t>10</w:t>
            </w:r>
            <w:r w:rsidRPr="00FD4122">
              <w:rPr>
                <w:rFonts w:asciiTheme="majorHAnsi" w:hAnsiTheme="majorHAnsi" w:cstheme="majorHAnsi"/>
                <w:color w:val="000000"/>
                <w:sz w:val="16"/>
                <w:szCs w:val="16"/>
              </w:rPr>
              <w:t>0</w:t>
            </w:r>
          </w:p>
        </w:tc>
        <w:tc>
          <w:tcPr>
            <w:tcW w:w="1890" w:type="dxa"/>
            <w:tcBorders>
              <w:top w:val="nil"/>
              <w:left w:val="nil"/>
              <w:bottom w:val="single" w:sz="4" w:space="0" w:color="auto"/>
              <w:right w:val="nil"/>
            </w:tcBorders>
            <w:shd w:val="clear" w:color="auto" w:fill="auto"/>
            <w:noWrap/>
            <w:vAlign w:val="bottom"/>
            <w:hideMark/>
          </w:tcPr>
          <w:p w:rsidR="00FD4122" w:rsidRPr="00FD4122" w:rsidP="00FD4122" w14:paraId="7DB572DD" w14:textId="77777777">
            <w:pPr>
              <w:jc w:val="right"/>
              <w:rPr>
                <w:rFonts w:asciiTheme="majorHAnsi" w:hAnsiTheme="majorHAnsi" w:cstheme="majorHAnsi"/>
                <w:color w:val="000000"/>
                <w:sz w:val="16"/>
                <w:szCs w:val="16"/>
              </w:rPr>
            </w:pPr>
            <w:r w:rsidRPr="00FD4122">
              <w:rPr>
                <w:rFonts w:asciiTheme="majorHAnsi" w:hAnsiTheme="majorHAnsi" w:cstheme="majorHAnsi"/>
                <w:color w:val="000000"/>
                <w:sz w:val="16"/>
                <w:szCs w:val="16"/>
              </w:rPr>
              <w:t>0.00</w:t>
            </w:r>
          </w:p>
        </w:tc>
        <w:tc>
          <w:tcPr>
            <w:tcW w:w="2250" w:type="dxa"/>
            <w:tcBorders>
              <w:top w:val="nil"/>
              <w:left w:val="nil"/>
              <w:bottom w:val="single" w:sz="4" w:space="0" w:color="auto"/>
              <w:right w:val="nil"/>
            </w:tcBorders>
            <w:shd w:val="clear" w:color="auto" w:fill="auto"/>
            <w:noWrap/>
            <w:vAlign w:val="bottom"/>
            <w:hideMark/>
          </w:tcPr>
          <w:p w:rsidR="00FD4122" w:rsidRPr="00FD4122" w:rsidP="00FD4122" w14:paraId="350471B6" w14:textId="77777777">
            <w:pPr>
              <w:jc w:val="right"/>
              <w:rPr>
                <w:rFonts w:asciiTheme="majorHAnsi" w:hAnsiTheme="majorHAnsi" w:cstheme="majorHAnsi"/>
                <w:color w:val="000000"/>
                <w:sz w:val="16"/>
                <w:szCs w:val="16"/>
              </w:rPr>
            </w:pPr>
            <w:r w:rsidRPr="00FD4122">
              <w:rPr>
                <w:rFonts w:asciiTheme="majorHAnsi" w:hAnsiTheme="majorHAnsi" w:cstheme="majorHAnsi"/>
                <w:color w:val="000000"/>
                <w:sz w:val="16"/>
                <w:szCs w:val="16"/>
              </w:rPr>
              <w:t>0</w:t>
            </w:r>
          </w:p>
        </w:tc>
      </w:tr>
    </w:tbl>
    <w:p w:rsidR="00617108" w:rsidRPr="00FD4122" w:rsidP="00617108" w14:paraId="0C41DD6D" w14:textId="24E484AD">
      <w:pPr>
        <w:rPr>
          <w:rFonts w:ascii="Arial" w:hAnsi="Arial" w:cs="Arial"/>
          <w:color w:val="000000"/>
          <w:sz w:val="15"/>
          <w:szCs w:val="15"/>
        </w:rPr>
      </w:pPr>
      <w:r w:rsidRPr="00FD4122">
        <w:rPr>
          <w:rFonts w:ascii="Arial" w:hAnsi="Arial" w:cs="Arial"/>
          <w:bCs/>
          <w:color w:val="000000"/>
          <w:sz w:val="15"/>
          <w:szCs w:val="15"/>
        </w:rPr>
        <w:t>1 Expected response rate for these groups is zero as they will not be fielded for data collection.</w:t>
      </w:r>
      <w:r w:rsidRPr="00FD4122">
        <w:rPr>
          <w:rFonts w:ascii="Arial" w:hAnsi="Arial" w:cs="Arial"/>
          <w:bCs/>
          <w:color w:val="000000"/>
          <w:sz w:val="15"/>
          <w:szCs w:val="15"/>
        </w:rPr>
        <w:br/>
        <w:t xml:space="preserve">NOTE: Sample sizes rounded to the nearest </w:t>
      </w:r>
      <w:r w:rsidRPr="00FD4122">
        <w:rPr>
          <w:rFonts w:ascii="Arial" w:hAnsi="Arial" w:cs="Arial"/>
          <w:bCs/>
          <w:color w:val="000000"/>
          <w:sz w:val="15"/>
          <w:szCs w:val="15"/>
        </w:rPr>
        <w:t>10..</w:t>
      </w:r>
      <w:r w:rsidRPr="00FD4122">
        <w:rPr>
          <w:rFonts w:ascii="Arial" w:hAnsi="Arial" w:cs="Arial"/>
          <w:bCs/>
          <w:color w:val="000000"/>
          <w:sz w:val="15"/>
          <w:szCs w:val="15"/>
        </w:rPr>
        <w:t xml:space="preserve"> Detail may not sum to totals because of rounding.</w:t>
      </w:r>
      <w:r w:rsidRPr="00FD4122">
        <w:rPr>
          <w:rFonts w:ascii="Arial" w:hAnsi="Arial" w:cs="Arial"/>
          <w:bCs/>
          <w:color w:val="000000"/>
          <w:sz w:val="15"/>
          <w:szCs w:val="15"/>
        </w:rPr>
        <w:br/>
        <w:t>SOURCE: U.S. Department of Education, National Center for Education Statistics, 2020/22 Beginning Postsecondary Students Longitudinal Study (BPS:20/22).</w:t>
      </w:r>
    </w:p>
    <w:p w:rsidR="005F5184" w:rsidP="0099084B" w14:paraId="0BAA9CE1" w14:textId="77777777">
      <w:pPr>
        <w:pStyle w:val="Heading2"/>
      </w:pPr>
      <w:bookmarkStart w:id="54" w:name="_Toc135923531"/>
      <w:bookmarkStart w:id="55" w:name="_Toc140136658"/>
      <w:r w:rsidRPr="00917365">
        <w:t>Methods for Maximizing Response Rates</w:t>
      </w:r>
      <w:bookmarkEnd w:id="54"/>
      <w:bookmarkEnd w:id="55"/>
    </w:p>
    <w:p w:rsidR="00CB5872" w:rsidRPr="00CB5872" w:rsidP="00CB5872" w14:paraId="0C4BDA35" w14:textId="40CC927F">
      <w:pPr>
        <w:pStyle w:val="BodyText"/>
      </w:pPr>
      <w:r w:rsidRPr="001C2BC1">
        <w:rPr>
          <w:rFonts w:cs="Calibri"/>
          <w:color w:val="000000"/>
        </w:rPr>
        <w:t>Achieving high response rates in the BPS:20/25 field test study data collection will depend on successfully identifying and locating sample members and being able to contact them and gain their cooperation. As was used successfully in prior NCES longitudinal studies, shortly before data collection begins, we will send an initial contact mailing/e-mail to remind sample members of their inclusion in the study.</w:t>
      </w:r>
    </w:p>
    <w:p w:rsidR="0099084B" w:rsidRPr="00A04774" w:rsidP="00A04774" w14:paraId="15C51100" w14:textId="524E5C7B">
      <w:pPr>
        <w:pStyle w:val="Heading3"/>
        <w:tabs>
          <w:tab w:val="clear" w:pos="1440"/>
        </w:tabs>
      </w:pPr>
      <w:bookmarkStart w:id="56" w:name="_Toc135923532"/>
      <w:bookmarkStart w:id="57" w:name="_Toc140136659"/>
      <w:r>
        <w:t>Tracing of Sample Members</w:t>
      </w:r>
      <w:bookmarkEnd w:id="56"/>
      <w:bookmarkEnd w:id="57"/>
    </w:p>
    <w:p w:rsidR="00003953" w:rsidRPr="00003953" w:rsidP="00003953" w14:paraId="13CDC5E0" w14:textId="0E75F6B7">
      <w:pPr>
        <w:pStyle w:val="BodyText"/>
        <w:spacing w:before="0" w:after="0"/>
      </w:pPr>
      <w:r w:rsidRPr="001C2BC1">
        <w:rPr>
          <w:rFonts w:cs="Calibri"/>
          <w:color w:val="000000"/>
        </w:rPr>
        <w:t xml:space="preserve">To yield the maximum number of located cases with the least expense, we designed an integrated tracing approach with the following elements. Advance tracing activities, which will occur prior to the start of data collection, include initial batch database searches, such as to the National Change of Address (NCOA) databases, for cases with sufficient contact information to be matched. To handle cases for which contact information is </w:t>
      </w:r>
      <w:r w:rsidRPr="001C2BC1">
        <w:rPr>
          <w:rFonts w:cs="Calibri"/>
          <w:color w:val="000000"/>
        </w:rPr>
        <w:t xml:space="preserve">invalid or unavailable, additional advance tracing through proprietary interactive databases will expand on leads found. </w:t>
      </w:r>
    </w:p>
    <w:p w:rsidR="00003953" w:rsidRPr="001C2BC1" w:rsidP="00003953" w14:paraId="582CE3DC" w14:textId="77777777">
      <w:pPr>
        <w:pStyle w:val="NormalWeb"/>
        <w:numPr>
          <w:ilvl w:val="0"/>
          <w:numId w:val="27"/>
        </w:numPr>
        <w:rPr>
          <w:rFonts w:ascii="Garamond" w:hAnsi="Garamond" w:cs="Calibri"/>
          <w:color w:val="000000"/>
        </w:rPr>
      </w:pPr>
      <w:r w:rsidRPr="001C2BC1">
        <w:rPr>
          <w:rFonts w:ascii="Garamond" w:hAnsi="Garamond" w:cs="Calibri"/>
          <w:color w:val="000000"/>
        </w:rPr>
        <w:t>Hard copy mailings, e-mails, and text messages will be used to maintain ongoing contact with sample members, prior to and throughout data collection. The contacting materials, which will be developed with a design appealing to sample members in 2024, are provided in Appendix C. The data collection mailing to sample members will include a letter announcing the start of data collection, requesting that the sample member complete the web survey, and including a toll-free number, the study</w:t>
      </w:r>
      <w:r w:rsidRPr="6A1E5066">
        <w:rPr>
          <w:rFonts w:ascii="Calibri" w:hAnsi="Calibri" w:cs="Calibri"/>
          <w:color w:val="000000" w:themeColor="text1"/>
        </w:rPr>
        <w:t xml:space="preserve"> </w:t>
      </w:r>
      <w:r w:rsidRPr="001C2BC1">
        <w:rPr>
          <w:rFonts w:ascii="Garamond" w:hAnsi="Garamond" w:cs="Calibri"/>
          <w:color w:val="000000"/>
        </w:rPr>
        <w:t>website</w:t>
      </w:r>
      <w:r w:rsidRPr="6A1E5066">
        <w:rPr>
          <w:rFonts w:ascii="Calibri" w:hAnsi="Calibri" w:cs="Calibri"/>
          <w:color w:val="000000" w:themeColor="text1"/>
        </w:rPr>
        <w:t xml:space="preserve"> </w:t>
      </w:r>
      <w:r w:rsidRPr="001C2BC1">
        <w:rPr>
          <w:rFonts w:ascii="Garamond" w:hAnsi="Garamond" w:cs="Calibri"/>
          <w:color w:val="000000" w:themeColor="text1"/>
        </w:rPr>
        <w:t xml:space="preserve">address, a Study ID and password, and a study brochure. We will send a similar e-mail message mirroring the information provided in the mailing. </w:t>
      </w:r>
    </w:p>
    <w:p w:rsidR="00003953" w:rsidRPr="001C2BC1" w:rsidP="00003953" w14:paraId="4D2E65AF" w14:textId="55A5B972">
      <w:pPr>
        <w:pStyle w:val="NormalWeb"/>
        <w:numPr>
          <w:ilvl w:val="0"/>
          <w:numId w:val="27"/>
        </w:numPr>
        <w:rPr>
          <w:rFonts w:ascii="Garamond" w:hAnsi="Garamond" w:cs="Calibri"/>
          <w:color w:val="000000"/>
        </w:rPr>
      </w:pPr>
      <w:r w:rsidRPr="001C2BC1">
        <w:rPr>
          <w:rFonts w:ascii="Garamond" w:hAnsi="Garamond" w:cs="Calibri"/>
          <w:color w:val="000000" w:themeColor="text1"/>
        </w:rPr>
        <w:t>Sample members will have a variety of means to provide updated contact information and contact preferences. Students can use an Update Contact Information page on the secure BPS:20/25 website to provide their contact information, including cell phone number, as well as provide contacting preferences with respect to phone calls, mailings, e</w:t>
      </w:r>
      <w:r w:rsidR="00DB6A32">
        <w:rPr>
          <w:rFonts w:ascii="Garamond" w:hAnsi="Garamond" w:cs="Calibri"/>
          <w:color w:val="000000" w:themeColor="text1"/>
        </w:rPr>
        <w:t>-</w:t>
      </w:r>
      <w:r w:rsidRPr="001C2BC1">
        <w:rPr>
          <w:rFonts w:ascii="Garamond" w:hAnsi="Garamond" w:cs="Calibri"/>
          <w:color w:val="000000" w:themeColor="text1"/>
        </w:rPr>
        <w:t xml:space="preserve">mails, and text messages. Help Desk calls and e-mails providing information about a sample member’s text message preferences will be monitored and the sample member’s data record updated as soon as the information becomes known. </w:t>
      </w:r>
    </w:p>
    <w:p w:rsidR="00003953" w:rsidRPr="001C2BC1" w:rsidP="00003953" w14:paraId="07FFC098" w14:textId="77777777">
      <w:pPr>
        <w:pStyle w:val="NormalWeb"/>
        <w:numPr>
          <w:ilvl w:val="0"/>
          <w:numId w:val="27"/>
        </w:numPr>
        <w:rPr>
          <w:rFonts w:ascii="Garamond" w:hAnsi="Garamond" w:cs="Calibri"/>
          <w:color w:val="000000"/>
        </w:rPr>
      </w:pPr>
      <w:r w:rsidRPr="001C2BC1">
        <w:rPr>
          <w:rFonts w:ascii="Garamond" w:hAnsi="Garamond" w:cs="Calibri"/>
          <w:color w:val="000000"/>
        </w:rPr>
        <w:t xml:space="preserve">The BPS:20/25 field test will include an experiment where a randomly selected group of sample members will be asked to confirm contacting information at the start of the data collection, for which they will be paid $5. Once they have provided the contact information, they can continue with the survey. </w:t>
      </w:r>
    </w:p>
    <w:p w:rsidR="00003953" w:rsidRPr="001C2BC1" w:rsidP="00003953" w14:paraId="798C4EC6" w14:textId="77777777">
      <w:pPr>
        <w:pStyle w:val="NormalWeb"/>
        <w:numPr>
          <w:ilvl w:val="0"/>
          <w:numId w:val="27"/>
        </w:numPr>
        <w:rPr>
          <w:rFonts w:ascii="Garamond" w:hAnsi="Garamond" w:cs="Calibri"/>
          <w:color w:val="000000"/>
        </w:rPr>
      </w:pPr>
      <w:r w:rsidRPr="001C2BC1">
        <w:rPr>
          <w:rFonts w:ascii="Garamond" w:hAnsi="Garamond" w:cs="Calibri"/>
          <w:color w:val="000000"/>
        </w:rPr>
        <w:t xml:space="preserve">The telephone locating and surveying stage includes calling all available telephone numbers and following up on leads provided by parents and other contacts. </w:t>
      </w:r>
    </w:p>
    <w:p w:rsidR="00003953" w:rsidRPr="001C2BC1" w:rsidP="00003953" w14:paraId="16B6EDAE" w14:textId="77777777">
      <w:pPr>
        <w:pStyle w:val="NormalWeb"/>
        <w:numPr>
          <w:ilvl w:val="0"/>
          <w:numId w:val="27"/>
        </w:numPr>
        <w:rPr>
          <w:rFonts w:ascii="Garamond" w:hAnsi="Garamond" w:cs="Calibri"/>
          <w:color w:val="000000"/>
        </w:rPr>
      </w:pPr>
      <w:r w:rsidRPr="001C2BC1">
        <w:rPr>
          <w:rFonts w:ascii="Garamond" w:hAnsi="Garamond" w:cs="Calibri"/>
          <w:color w:val="000000"/>
        </w:rPr>
        <w:t xml:space="preserve">The pre-intensive batch tracing stage consists of the LexisNexis SSN and Premium Phone batch searches that will be conducted between the telephone locating and surveying stage and the intensive tracing stage. </w:t>
      </w:r>
    </w:p>
    <w:p w:rsidR="00003953" w:rsidRPr="00003953" w:rsidP="007868A9" w14:paraId="07F2E3B6" w14:textId="77777777">
      <w:pPr>
        <w:pStyle w:val="NormalWeb"/>
        <w:numPr>
          <w:ilvl w:val="0"/>
          <w:numId w:val="27"/>
        </w:numPr>
        <w:spacing w:before="0" w:after="0"/>
      </w:pPr>
      <w:r w:rsidRPr="00003953">
        <w:rPr>
          <w:rFonts w:ascii="Garamond" w:hAnsi="Garamond" w:cs="Calibri"/>
          <w:color w:val="000000"/>
        </w:rPr>
        <w:t xml:space="preserve">Once all known telephone numbers are exhausted, a case will move into the intensive tracing stage during which tracers will conduct interactive database searches using all known contact information for a sample member. With interactive tracing, a tracer assesses each case on an individual basis to determine which resources are most appropriate and the order in which each should be used. Sources that may be used, as appropriate, include credit database searches, such as Experian, various public websites, and other integrated database services. </w:t>
      </w:r>
    </w:p>
    <w:p w:rsidR="00DF2E5A" w:rsidP="00FE377F" w14:paraId="0D1657D6" w14:textId="08D29FB5">
      <w:pPr>
        <w:pStyle w:val="NormalWeb"/>
        <w:numPr>
          <w:ilvl w:val="0"/>
          <w:numId w:val="27"/>
        </w:numPr>
        <w:spacing w:before="0" w:after="0"/>
      </w:pPr>
      <w:r w:rsidRPr="00003953">
        <w:rPr>
          <w:rFonts w:ascii="Garamond" w:hAnsi="Garamond" w:cs="Calibri"/>
          <w:color w:val="000000" w:themeColor="text1"/>
        </w:rPr>
        <w:t>Other locating activities will take place as needed, including a LexisNexis e-mail search conducted for nonrespondents toward the end of data collection</w:t>
      </w:r>
      <w:r w:rsidRPr="00003953">
        <w:rPr>
          <w:rFonts w:cs="Calibri"/>
          <w:color w:val="000000" w:themeColor="text1"/>
        </w:rPr>
        <w:t xml:space="preserve">. </w:t>
      </w:r>
    </w:p>
    <w:p w:rsidR="008D7E61" w:rsidP="008D7E61" w14:paraId="19DB1354" w14:textId="658342BC">
      <w:pPr>
        <w:pStyle w:val="Heading3"/>
      </w:pPr>
      <w:bookmarkStart w:id="58" w:name="_Toc135923533"/>
      <w:bookmarkStart w:id="59" w:name="_Toc140136660"/>
      <w:r>
        <w:t xml:space="preserve">Training </w:t>
      </w:r>
      <w:r w:rsidR="009C4D90">
        <w:t>for Data Collection Staff</w:t>
      </w:r>
      <w:bookmarkEnd w:id="58"/>
      <w:bookmarkEnd w:id="59"/>
    </w:p>
    <w:p w:rsidR="0049468A" w:rsidRPr="001C2BC1" w:rsidP="0049468A" w14:paraId="489DDDBF" w14:textId="77777777">
      <w:pPr>
        <w:pStyle w:val="NormalWeb"/>
        <w:rPr>
          <w:rFonts w:ascii="Garamond" w:hAnsi="Garamond" w:cs="Calibri"/>
          <w:color w:val="000000"/>
        </w:rPr>
      </w:pPr>
      <w:r w:rsidRPr="001C2BC1">
        <w:rPr>
          <w:rFonts w:ascii="Garamond" w:hAnsi="Garamond" w:cs="Calibri"/>
          <w:color w:val="000000"/>
        </w:rPr>
        <w:t xml:space="preserve">Telephone data collection will include supervisors and interviewers. Training programs for these staff members are critical to maximizing response rates and collecting accurate and reliable data. </w:t>
      </w:r>
    </w:p>
    <w:p w:rsidR="0049468A" w:rsidRPr="001C2BC1" w:rsidP="0049468A" w14:paraId="6B50C299" w14:textId="77777777">
      <w:pPr>
        <w:pStyle w:val="NormalWeb"/>
        <w:rPr>
          <w:rFonts w:ascii="Garamond" w:hAnsi="Garamond" w:cs="Calibri"/>
          <w:color w:val="000000"/>
        </w:rPr>
      </w:pPr>
      <w:r w:rsidRPr="001C2BC1">
        <w:rPr>
          <w:rFonts w:ascii="Garamond" w:hAnsi="Garamond" w:cs="Calibri"/>
          <w:color w:val="000000"/>
        </w:rPr>
        <w:t>Team supervisors, who are responsible for all supervisory tasks, will attend their own project-specific training, in addition to the interviewer training. They will receive an overview of the study, background and objectives, and the data collection instrument through a question-by-question review. Supervisors will also receive training in the following areas: providing direct supervision during data collection; handling refusals; monitoring interviews and maintaining records of monitoring results; problem resolution; case review; specific project procedures and protocols; reviewing reports generated from the ongoing Computer Assisted Telephone Interviewing (CATI); and monitoring data collection progress.</w:t>
      </w:r>
    </w:p>
    <w:p w:rsidR="005F5184" w:rsidP="0049468A" w14:paraId="797E9024" w14:textId="14465C19">
      <w:pPr>
        <w:pStyle w:val="BodyText"/>
      </w:pPr>
      <w:r w:rsidRPr="001C2BC1">
        <w:rPr>
          <w:rFonts w:cs="Calibri"/>
          <w:color w:val="000000"/>
        </w:rPr>
        <w:t xml:space="preserve">Training for interviewers is designed to help staff become familiar with and practice using the CATI case management system and the survey instrument, as well as to learn project procedures and requirements. Particular attention will be paid to quality control initiatives, including refusal avoidance and methods to ensure that quality data are collected. Interviewers will receive project-specific training on telephone interviewing and answering questions from web participants regarding the study or related to specific items within the survey. At </w:t>
      </w:r>
      <w:r w:rsidRPr="001C2BC1">
        <w:rPr>
          <w:rFonts w:cs="Calibri"/>
          <w:color w:val="000000"/>
        </w:rPr>
        <w:t>the conclusion of training, all data collection staff must meet certification requirements by successfully completing a certification interview. This evaluation consists of a full-length interview with project staff observing and evaluating interviewers, as well as an oral evaluation of interviewers’ knowledge of the study’s Frequently Asked Questions</w:t>
      </w:r>
      <w:r w:rsidR="00A50F84">
        <w:t>.</w:t>
      </w:r>
    </w:p>
    <w:p w:rsidR="008D7E61" w:rsidP="008D7E61" w14:paraId="470BBE03" w14:textId="6E33C9C0">
      <w:pPr>
        <w:pStyle w:val="Heading3"/>
      </w:pPr>
      <w:bookmarkStart w:id="60" w:name="_Toc135923534"/>
      <w:bookmarkStart w:id="61" w:name="_Toc140136661"/>
      <w:r>
        <w:t>Case Management System</w:t>
      </w:r>
      <w:bookmarkEnd w:id="60"/>
      <w:bookmarkEnd w:id="61"/>
    </w:p>
    <w:p w:rsidR="005512EA" w:rsidRPr="001C2BC1" w:rsidP="005512EA" w14:paraId="3BB02012" w14:textId="5DA74E8E">
      <w:pPr>
        <w:pStyle w:val="NormalWeb"/>
        <w:rPr>
          <w:rFonts w:ascii="Garamond" w:hAnsi="Garamond" w:cs="Calibri"/>
          <w:color w:val="000000"/>
        </w:rPr>
      </w:pPr>
      <w:r w:rsidRPr="001C2BC1">
        <w:rPr>
          <w:rFonts w:ascii="Garamond" w:hAnsi="Garamond" w:cs="Calibri"/>
          <w:color w:val="000000"/>
        </w:rPr>
        <w:t>Surveys will be conducted using a single web-based survey instrument for both web (including mobile devices) and CATI data collection. Control of data collection activities will be accomplished through a CATI case management system, which is equipped with the numerous capabilities, including: on-line access to locating information and histories of locating efforts for each case; a questionnaire administration module with full “front-end cleaning” capabilities (i.e., editing as information is obtained from respondents); sample management module for tracking case progress and status; and automated scheduling module which delivers cases to interviewers. The automated scheduling module incorporates the following features:</w:t>
      </w:r>
    </w:p>
    <w:p w:rsidR="005512EA" w:rsidRPr="001C2BC1" w:rsidP="005512EA" w14:paraId="6ECB37EA" w14:textId="77777777">
      <w:pPr>
        <w:pStyle w:val="NormalWeb"/>
        <w:numPr>
          <w:ilvl w:val="0"/>
          <w:numId w:val="28"/>
        </w:numPr>
        <w:rPr>
          <w:rFonts w:ascii="Garamond" w:hAnsi="Garamond" w:cs="Calibri"/>
          <w:color w:val="000000"/>
        </w:rPr>
      </w:pPr>
      <w:r w:rsidRPr="001C2BC1">
        <w:rPr>
          <w:rFonts w:ascii="Garamond" w:hAnsi="Garamond" w:cs="Calibri"/>
          <w:iCs/>
          <w:color w:val="000000"/>
        </w:rPr>
        <w:t xml:space="preserve">Automatic delivery of appointment and call-back cases at specified times. </w:t>
      </w:r>
      <w:r w:rsidRPr="001C2BC1">
        <w:rPr>
          <w:rFonts w:ascii="Garamond" w:hAnsi="Garamond" w:cs="Calibri"/>
          <w:color w:val="000000"/>
        </w:rPr>
        <w:t>This reduces the need for tracking appointments and helps ensure the interviewer is punctual. The scheduler automatically calculates the delivery time of the case in reference to the appropriate time zone.</w:t>
      </w:r>
    </w:p>
    <w:p w:rsidR="005512EA" w:rsidRPr="001C2BC1" w:rsidP="005512EA" w14:paraId="052D02FF" w14:textId="77777777">
      <w:pPr>
        <w:pStyle w:val="NormalWeb"/>
        <w:numPr>
          <w:ilvl w:val="0"/>
          <w:numId w:val="28"/>
        </w:numPr>
        <w:rPr>
          <w:rFonts w:ascii="Garamond" w:hAnsi="Garamond" w:cs="Calibri"/>
          <w:color w:val="000000"/>
        </w:rPr>
      </w:pPr>
      <w:r w:rsidRPr="001C2BC1">
        <w:rPr>
          <w:rFonts w:ascii="Garamond" w:hAnsi="Garamond" w:cs="Calibri"/>
          <w:iCs/>
          <w:color w:val="000000"/>
        </w:rPr>
        <w:t>Sorting of non-appointment cases according to parameters and priorities set by project staff.</w:t>
      </w:r>
      <w:r w:rsidRPr="001C2BC1">
        <w:rPr>
          <w:rFonts w:ascii="Garamond" w:hAnsi="Garamond" w:cs="Calibri"/>
          <w:color w:val="000000"/>
        </w:rPr>
        <w:t xml:space="preserve"> For instance, priorities may be set to give first preference to cases within certain sub-samples or geographic areas; cases may be sorted to establish priorities between cases of differing status. Furthermore, the historic pattern of calling outcomes may be used to set priorities (e.g., cases with more than a certain number of unsuccessful attempts during a given time of day may be passed over until the next </w:t>
      </w:r>
      <w:r w:rsidRPr="001C2BC1">
        <w:rPr>
          <w:rFonts w:ascii="Garamond" w:hAnsi="Garamond" w:cs="Calibri"/>
          <w:color w:val="000000"/>
        </w:rPr>
        <w:t>time period</w:t>
      </w:r>
      <w:r w:rsidRPr="001C2BC1">
        <w:rPr>
          <w:rFonts w:ascii="Garamond" w:hAnsi="Garamond" w:cs="Calibri"/>
          <w:color w:val="000000"/>
        </w:rPr>
        <w:t>). These parameters ensure that cases are delivered to interviewers in a consistent manner according to specified project priorities.</w:t>
      </w:r>
    </w:p>
    <w:p w:rsidR="005512EA" w:rsidRPr="001C2BC1" w:rsidP="005512EA" w14:paraId="2AD8B533" w14:textId="77777777">
      <w:pPr>
        <w:pStyle w:val="NormalWeb"/>
        <w:numPr>
          <w:ilvl w:val="0"/>
          <w:numId w:val="28"/>
        </w:numPr>
        <w:rPr>
          <w:rFonts w:ascii="Garamond" w:hAnsi="Garamond" w:cs="Calibri"/>
          <w:color w:val="000000"/>
        </w:rPr>
      </w:pPr>
      <w:r w:rsidRPr="001C2BC1">
        <w:rPr>
          <w:rFonts w:ascii="Garamond" w:hAnsi="Garamond" w:cs="Calibri"/>
          <w:iCs/>
          <w:color w:val="000000"/>
        </w:rPr>
        <w:t>Restriction on allowable interviewers.</w:t>
      </w:r>
      <w:r w:rsidRPr="001C2BC1">
        <w:rPr>
          <w:rFonts w:ascii="Garamond" w:hAnsi="Garamond" w:cs="Calibri"/>
          <w:color w:val="000000"/>
        </w:rPr>
        <w:t xml:space="preserve"> Groups of cases (or individual cases) may be designated for delivery to specific interviewers or groups of interviewers. This feature is </w:t>
      </w:r>
      <w:r w:rsidRPr="001C2BC1">
        <w:rPr>
          <w:rFonts w:ascii="Garamond" w:hAnsi="Garamond" w:cs="Calibri"/>
          <w:color w:val="000000"/>
        </w:rPr>
        <w:t>most commonly used</w:t>
      </w:r>
      <w:r w:rsidRPr="001C2BC1">
        <w:rPr>
          <w:rFonts w:ascii="Garamond" w:hAnsi="Garamond" w:cs="Calibri"/>
          <w:color w:val="000000"/>
        </w:rPr>
        <w:t xml:space="preserve"> in filtering refusal cases, locating problems, or foreign language cases to specific interviewers with specialized skills.</w:t>
      </w:r>
    </w:p>
    <w:p w:rsidR="005512EA" w:rsidRPr="001C2BC1" w:rsidP="005512EA" w14:paraId="56AC20B8" w14:textId="77777777">
      <w:pPr>
        <w:pStyle w:val="NormalWeb"/>
        <w:numPr>
          <w:ilvl w:val="0"/>
          <w:numId w:val="28"/>
        </w:numPr>
        <w:rPr>
          <w:rFonts w:ascii="Garamond" w:hAnsi="Garamond" w:cs="Calibri"/>
          <w:color w:val="000000"/>
        </w:rPr>
      </w:pPr>
      <w:r w:rsidRPr="001C2BC1">
        <w:rPr>
          <w:rFonts w:ascii="Garamond" w:hAnsi="Garamond" w:cs="Calibri"/>
          <w:iCs/>
          <w:color w:val="000000"/>
        </w:rPr>
        <w:t xml:space="preserve">Complete records of calls and tracking of all previous outcomes. </w:t>
      </w:r>
      <w:r w:rsidRPr="001C2BC1">
        <w:rPr>
          <w:rFonts w:ascii="Garamond" w:hAnsi="Garamond" w:cs="Calibri"/>
          <w:color w:val="000000"/>
        </w:rPr>
        <w:t>The scheduler tracks all outcomes for each case, labeling each with type, date, and time. These are easily accessed by the interviewer upon entering the individual case, along with interviewer notes.</w:t>
      </w:r>
    </w:p>
    <w:p w:rsidR="005512EA" w:rsidRPr="001C2BC1" w:rsidP="005512EA" w14:paraId="24701FB7" w14:textId="77777777">
      <w:pPr>
        <w:pStyle w:val="NormalWeb"/>
        <w:numPr>
          <w:ilvl w:val="0"/>
          <w:numId w:val="28"/>
        </w:numPr>
        <w:rPr>
          <w:rFonts w:ascii="Garamond" w:hAnsi="Garamond" w:cs="Calibri"/>
          <w:color w:val="000000"/>
        </w:rPr>
      </w:pPr>
      <w:r w:rsidRPr="001C2BC1">
        <w:rPr>
          <w:rFonts w:ascii="Garamond" w:hAnsi="Garamond" w:cs="Calibri"/>
          <w:iCs/>
          <w:color w:val="000000"/>
        </w:rPr>
        <w:t>Flagging of problem cases for supervisor action or supervisor review.</w:t>
      </w:r>
      <w:r w:rsidRPr="001C2BC1">
        <w:rPr>
          <w:rFonts w:ascii="Garamond" w:hAnsi="Garamond" w:cs="Calibri"/>
          <w:color w:val="000000"/>
        </w:rPr>
        <w:t xml:space="preserve"> For example, refusal cases may be routed to supervisors for decisions about whether and when a refusal letter should be mailed, or whether another interviewer should be assigned.</w:t>
      </w:r>
    </w:p>
    <w:p w:rsidR="005512EA" w:rsidRPr="001C2BC1" w:rsidP="005512EA" w14:paraId="7C7D8665" w14:textId="77777777">
      <w:pPr>
        <w:pStyle w:val="NormalWeb"/>
        <w:numPr>
          <w:ilvl w:val="0"/>
          <w:numId w:val="28"/>
        </w:numPr>
        <w:rPr>
          <w:rFonts w:ascii="Garamond" w:hAnsi="Garamond" w:cs="Calibri"/>
          <w:color w:val="000000"/>
        </w:rPr>
      </w:pPr>
      <w:r w:rsidRPr="001C2BC1">
        <w:rPr>
          <w:rFonts w:ascii="Garamond" w:hAnsi="Garamond" w:cs="Calibri"/>
          <w:iCs/>
          <w:color w:val="000000"/>
        </w:rPr>
        <w:t>Complete reporting capabilities.</w:t>
      </w:r>
      <w:r w:rsidRPr="001C2BC1">
        <w:rPr>
          <w:rFonts w:ascii="Garamond" w:hAnsi="Garamond" w:cs="Calibri"/>
          <w:color w:val="000000"/>
        </w:rPr>
        <w:t xml:space="preserve"> These include default reports on the aggregate status of cases and custom report generation capabilities.</w:t>
      </w:r>
    </w:p>
    <w:p w:rsidR="008109C1" w:rsidRPr="008109C1" w:rsidP="008109C1" w14:paraId="09B8AC9E" w14:textId="76602E0F">
      <w:pPr>
        <w:pStyle w:val="BodyText"/>
        <w:rPr>
          <w:rFonts w:cs="Calibri"/>
          <w:color w:val="000000" w:themeColor="text1"/>
        </w:rPr>
      </w:pPr>
      <w:r w:rsidRPr="001C2BC1">
        <w:rPr>
          <w:rFonts w:cs="Calibri"/>
          <w:color w:val="000000" w:themeColor="text1"/>
        </w:rPr>
        <w:t>The integration of these capabilities reduces the number of discrete stages required in data collection and data preparation activities and increases capabilities for immediate error reconciliation, which results in better data quality and reduced cost. Overall, the scheduler provides an efficient case assignment and delivery function by reducing supervisory and clerical time, improving execution on the part of interviewers and supervisors by automatically monitoring appointments and call-backs, and reducing variation in implementing survey priorities and objectives</w:t>
      </w:r>
      <w:r>
        <w:t>.</w:t>
      </w:r>
    </w:p>
    <w:p w:rsidR="008109C1" w:rsidP="008109C1" w14:paraId="0CC2D59C" w14:textId="5501D747">
      <w:pPr>
        <w:pStyle w:val="Heading3"/>
      </w:pPr>
      <w:bookmarkStart w:id="62" w:name="_Toc140136662"/>
      <w:r>
        <w:t>Survey Instrument Design</w:t>
      </w:r>
      <w:bookmarkEnd w:id="62"/>
    </w:p>
    <w:p w:rsidR="009C7FB0" w:rsidRPr="001C2BC1" w:rsidP="009C7FB0" w14:paraId="59DD768F" w14:textId="77777777">
      <w:pPr>
        <w:pStyle w:val="NormalWeb"/>
        <w:rPr>
          <w:rFonts w:ascii="Garamond" w:hAnsi="Garamond" w:cs="Calibri"/>
          <w:color w:val="000000"/>
        </w:rPr>
      </w:pPr>
      <w:r w:rsidRPr="001C2BC1">
        <w:rPr>
          <w:rFonts w:ascii="Garamond" w:hAnsi="Garamond" w:cs="Calibri"/>
          <w:color w:val="000000" w:themeColor="text1"/>
        </w:rPr>
        <w:t>The survey will employ a web-based instrument and deployment system, which has been in use since NPSAS:08. The system provides multimode functionality that can be used for self-administration, including on mobile devices, CATI, or data entry. The survey instrument can be found in Appendix E.</w:t>
      </w:r>
      <w:r w:rsidRPr="001C2BC1">
        <w:rPr>
          <w:rFonts w:ascii="Garamond" w:hAnsi="Garamond"/>
        </w:rPr>
        <w:br/>
      </w:r>
      <w:r w:rsidRPr="001C2BC1">
        <w:rPr>
          <w:rFonts w:ascii="Garamond" w:hAnsi="Garamond"/>
        </w:rPr>
        <w:br/>
      </w:r>
      <w:r w:rsidRPr="001C2BC1">
        <w:rPr>
          <w:rFonts w:ascii="Garamond" w:hAnsi="Garamond" w:cs="Calibri"/>
          <w:color w:val="000000" w:themeColor="text1"/>
        </w:rPr>
        <w:t xml:space="preserve">In addition to the functional capabilities of the case management system and web survey instruments described </w:t>
      </w:r>
      <w:r w:rsidRPr="001C2BC1">
        <w:rPr>
          <w:rFonts w:ascii="Garamond" w:hAnsi="Garamond" w:cs="Calibri"/>
          <w:color w:val="000000" w:themeColor="text1"/>
        </w:rPr>
        <w:t xml:space="preserve">above, our efforts to achieve the desired response rate will include using established procedures proven effective in other large-scale studies. These include: </w:t>
      </w:r>
    </w:p>
    <w:p w:rsidR="009C7FB0" w:rsidRPr="001C2BC1" w:rsidP="009C7FB0" w14:paraId="201A2C29" w14:textId="77777777">
      <w:pPr>
        <w:pStyle w:val="NormalWeb"/>
        <w:numPr>
          <w:ilvl w:val="0"/>
          <w:numId w:val="31"/>
        </w:numPr>
        <w:rPr>
          <w:rFonts w:ascii="Garamond" w:hAnsi="Garamond" w:cs="Calibri"/>
          <w:color w:val="000000"/>
        </w:rPr>
      </w:pPr>
      <w:r w:rsidRPr="001C2BC1">
        <w:rPr>
          <w:rFonts w:ascii="Garamond" w:hAnsi="Garamond" w:cs="Calibri"/>
          <w:color w:val="000000"/>
        </w:rPr>
        <w:t>P</w:t>
      </w:r>
      <w:r w:rsidRPr="001C2BC1">
        <w:rPr>
          <w:rFonts w:ascii="Garamond" w:hAnsi="Garamond"/>
        </w:rPr>
        <w:t xml:space="preserve">roviding multiple response modes, including mobile-friendly self-administered and interviewer-administered options. </w:t>
      </w:r>
    </w:p>
    <w:p w:rsidR="009C7FB0" w:rsidRPr="001C2BC1" w:rsidP="009C7FB0" w14:paraId="271CDD10" w14:textId="77777777">
      <w:pPr>
        <w:pStyle w:val="NormalWeb"/>
        <w:numPr>
          <w:ilvl w:val="0"/>
          <w:numId w:val="31"/>
        </w:numPr>
        <w:rPr>
          <w:rFonts w:ascii="Garamond" w:hAnsi="Garamond" w:cs="Calibri"/>
          <w:color w:val="000000"/>
        </w:rPr>
      </w:pPr>
      <w:r w:rsidRPr="001C2BC1">
        <w:rPr>
          <w:rFonts w:ascii="Garamond" w:hAnsi="Garamond"/>
        </w:rPr>
        <w:t xml:space="preserve">Offering incentives to encourage response. </w:t>
      </w:r>
    </w:p>
    <w:p w:rsidR="009C7FB0" w:rsidRPr="001C2BC1" w:rsidP="009C7FB0" w14:paraId="1959832F" w14:textId="77777777">
      <w:pPr>
        <w:pStyle w:val="NormalWeb"/>
        <w:numPr>
          <w:ilvl w:val="0"/>
          <w:numId w:val="31"/>
        </w:numPr>
        <w:rPr>
          <w:rFonts w:ascii="Garamond" w:hAnsi="Garamond" w:cs="Calibri"/>
          <w:color w:val="000000"/>
        </w:rPr>
      </w:pPr>
      <w:r w:rsidRPr="001C2BC1">
        <w:rPr>
          <w:rFonts w:ascii="Garamond" w:hAnsi="Garamond"/>
        </w:rPr>
        <w:t xml:space="preserve">Assigning experienced CATI interviewers </w:t>
      </w:r>
      <w:r w:rsidRPr="001C2BC1">
        <w:rPr>
          <w:rFonts w:ascii="Garamond" w:hAnsi="Garamond" w:eastAsiaTheme="minorHAnsi"/>
        </w:rPr>
        <w:t>who have proven their ability to contact and obtain cooperation from a high proportion of sample members</w:t>
      </w:r>
      <w:r w:rsidRPr="001C2BC1">
        <w:rPr>
          <w:rFonts w:ascii="Garamond" w:hAnsi="Garamond"/>
        </w:rPr>
        <w:t xml:space="preserve">. </w:t>
      </w:r>
    </w:p>
    <w:p w:rsidR="009C7FB0" w:rsidRPr="001C2BC1" w:rsidP="009C7FB0" w14:paraId="1A0A69C9" w14:textId="77777777">
      <w:pPr>
        <w:pStyle w:val="NormalWeb"/>
        <w:numPr>
          <w:ilvl w:val="0"/>
          <w:numId w:val="31"/>
        </w:numPr>
        <w:rPr>
          <w:rFonts w:ascii="Garamond" w:hAnsi="Garamond" w:cs="Calibri"/>
          <w:color w:val="000000"/>
        </w:rPr>
      </w:pPr>
      <w:r w:rsidRPr="001C2BC1">
        <w:rPr>
          <w:rFonts w:ascii="Garamond" w:hAnsi="Garamond" w:eastAsiaTheme="minorHAnsi"/>
        </w:rPr>
        <w:t>Training the interviewers thoroughly on study objectives, study population characteristics, and approaches that will</w:t>
      </w:r>
      <w:r w:rsidRPr="001C2BC1">
        <w:rPr>
          <w:rFonts w:ascii="Garamond" w:hAnsi="Garamond"/>
        </w:rPr>
        <w:t xml:space="preserve"> </w:t>
      </w:r>
      <w:r w:rsidRPr="001C2BC1">
        <w:rPr>
          <w:rFonts w:ascii="Garamond" w:hAnsi="Garamond" w:eastAsiaTheme="minorHAnsi"/>
        </w:rPr>
        <w:t>help gain cooperation from sample members</w:t>
      </w:r>
      <w:r w:rsidRPr="001C2BC1">
        <w:rPr>
          <w:rFonts w:ascii="Garamond" w:hAnsi="Garamond"/>
        </w:rPr>
        <w:t xml:space="preserve">. </w:t>
      </w:r>
    </w:p>
    <w:p w:rsidR="009C7FB0" w:rsidRPr="00C512B2" w:rsidP="009C7FB0" w14:paraId="1C88F0FB" w14:textId="77777777">
      <w:pPr>
        <w:pStyle w:val="NormalWeb"/>
        <w:numPr>
          <w:ilvl w:val="0"/>
          <w:numId w:val="31"/>
        </w:numPr>
        <w:rPr>
          <w:rFonts w:asciiTheme="minorHAnsi" w:hAnsiTheme="minorHAnsi" w:cs="Calibri"/>
          <w:color w:val="000000"/>
        </w:rPr>
      </w:pPr>
      <w:r w:rsidRPr="001C2BC1">
        <w:rPr>
          <w:rFonts w:ascii="Garamond" w:hAnsi="Garamond" w:eastAsiaTheme="minorHAnsi"/>
        </w:rPr>
        <w:t xml:space="preserve">Maintaining a high level of monitoring and direct supervision so that interviewers who are experiencing low </w:t>
      </w:r>
      <w:r w:rsidRPr="00C512B2">
        <w:rPr>
          <w:rFonts w:asciiTheme="minorHAnsi" w:eastAsiaTheme="minorHAnsi" w:hAnsiTheme="minorHAnsi"/>
        </w:rPr>
        <w:t>cooperation</w:t>
      </w:r>
      <w:r w:rsidRPr="00C512B2">
        <w:rPr>
          <w:rFonts w:asciiTheme="minorHAnsi" w:hAnsiTheme="minorHAnsi"/>
        </w:rPr>
        <w:t xml:space="preserve"> </w:t>
      </w:r>
      <w:r w:rsidRPr="00C512B2">
        <w:rPr>
          <w:rFonts w:asciiTheme="minorHAnsi" w:eastAsiaTheme="minorHAnsi" w:hAnsiTheme="minorHAnsi"/>
        </w:rPr>
        <w:t>rates are identified quickly and corrective action is taken</w:t>
      </w:r>
      <w:r w:rsidRPr="00C512B2">
        <w:rPr>
          <w:rFonts w:asciiTheme="minorHAnsi" w:hAnsiTheme="minorHAnsi"/>
        </w:rPr>
        <w:t xml:space="preserve">. </w:t>
      </w:r>
    </w:p>
    <w:p w:rsidR="009C7FB0" w:rsidRPr="00C512B2" w:rsidP="009C7FB0" w14:paraId="4C91800F" w14:textId="77777777">
      <w:pPr>
        <w:pStyle w:val="NormalWeb"/>
        <w:numPr>
          <w:ilvl w:val="0"/>
          <w:numId w:val="31"/>
        </w:numPr>
        <w:rPr>
          <w:rFonts w:asciiTheme="minorHAnsi" w:hAnsiTheme="minorHAnsi" w:cs="Calibri"/>
          <w:color w:val="000000"/>
        </w:rPr>
      </w:pPr>
      <w:r w:rsidRPr="00C512B2">
        <w:rPr>
          <w:rFonts w:asciiTheme="minorHAnsi" w:eastAsiaTheme="minorHAnsi" w:hAnsiTheme="minorHAnsi"/>
        </w:rPr>
        <w:t xml:space="preserve">Making every reasonable effort to obtain a completed interview at the initial </w:t>
      </w:r>
      <w:r w:rsidRPr="00C512B2">
        <w:rPr>
          <w:rFonts w:asciiTheme="minorHAnsi" w:eastAsiaTheme="minorHAnsi" w:hAnsiTheme="minorHAnsi"/>
        </w:rPr>
        <w:t>contact, but</w:t>
      </w:r>
      <w:r w:rsidRPr="00C512B2">
        <w:rPr>
          <w:rFonts w:asciiTheme="minorHAnsi" w:eastAsiaTheme="minorHAnsi" w:hAnsiTheme="minorHAnsi"/>
        </w:rPr>
        <w:t xml:space="preserve"> allowing respondent flexibility in scheduling appointments to be interviewed</w:t>
      </w:r>
      <w:r w:rsidRPr="00C512B2">
        <w:rPr>
          <w:rFonts w:asciiTheme="minorHAnsi" w:hAnsiTheme="minorHAnsi"/>
        </w:rPr>
        <w:t xml:space="preserve">. </w:t>
      </w:r>
    </w:p>
    <w:p w:rsidR="009C7FB0" w:rsidRPr="00C512B2" w:rsidP="00DC7183" w14:paraId="51422711" w14:textId="008160A6">
      <w:pPr>
        <w:pStyle w:val="NormalWeb"/>
        <w:numPr>
          <w:ilvl w:val="0"/>
          <w:numId w:val="31"/>
        </w:numPr>
        <w:spacing w:after="0" w:afterAutospacing="0"/>
        <w:rPr>
          <w:rFonts w:asciiTheme="minorHAnsi" w:hAnsiTheme="minorHAnsi" w:cs="Calibri"/>
          <w:color w:val="000000"/>
        </w:rPr>
      </w:pPr>
      <w:r w:rsidRPr="00C512B2">
        <w:rPr>
          <w:rFonts w:asciiTheme="minorHAnsi" w:hAnsiTheme="minorHAnsi"/>
        </w:rPr>
        <w:t>T</w:t>
      </w:r>
      <w:r w:rsidRPr="00C512B2">
        <w:rPr>
          <w:rFonts w:asciiTheme="minorHAnsi" w:eastAsiaTheme="minorHAnsi" w:hAnsiTheme="minorHAnsi"/>
        </w:rPr>
        <w:t>horoughly reviewing all refusal cases and making special conversion efforts whenever feasible</w:t>
      </w:r>
      <w:r w:rsidR="00DC7183">
        <w:rPr>
          <w:rFonts w:asciiTheme="minorHAnsi" w:eastAsiaTheme="minorHAnsi" w:hAnsiTheme="minorHAnsi"/>
        </w:rPr>
        <w:t>.</w:t>
      </w:r>
    </w:p>
    <w:p w:rsidR="00DC7183" w:rsidP="00DC7183" w14:paraId="40B3819F" w14:textId="77777777">
      <w:pPr>
        <w:pStyle w:val="NormalWeb"/>
        <w:numPr>
          <w:ilvl w:val="0"/>
          <w:numId w:val="31"/>
        </w:numPr>
        <w:spacing w:after="0" w:afterAutospacing="0"/>
        <w:rPr>
          <w:rFonts w:asciiTheme="minorHAnsi" w:hAnsiTheme="minorHAnsi"/>
        </w:rPr>
      </w:pPr>
      <w:r w:rsidRPr="00B85287">
        <w:rPr>
          <w:rFonts w:asciiTheme="minorHAnsi" w:hAnsiTheme="minorHAnsi"/>
        </w:rPr>
        <w:t xml:space="preserve">Implementing and assuring participants of confidentiality procedures, including: </w:t>
      </w:r>
    </w:p>
    <w:p w:rsidR="009C7FB0" w:rsidRPr="00B85287" w:rsidP="00DC7183" w14:paraId="5E714547" w14:textId="157B9298">
      <w:pPr>
        <w:pStyle w:val="NormalWeb"/>
        <w:numPr>
          <w:ilvl w:val="1"/>
          <w:numId w:val="31"/>
        </w:numPr>
        <w:spacing w:after="0" w:afterAutospacing="0"/>
        <w:rPr>
          <w:rFonts w:asciiTheme="minorHAnsi" w:hAnsiTheme="minorHAnsi"/>
        </w:rPr>
      </w:pPr>
      <w:r w:rsidRPr="00B85287">
        <w:rPr>
          <w:rFonts w:asciiTheme="minorHAnsi" w:hAnsiTheme="minorHAnsi"/>
        </w:rPr>
        <w:t xml:space="preserve">Requiring respondents to answer security questions before obtaining and resuming access to the </w:t>
      </w:r>
      <w:r w:rsidRPr="00B85287">
        <w:rPr>
          <w:rFonts w:asciiTheme="minorHAnsi" w:hAnsiTheme="minorHAnsi"/>
        </w:rPr>
        <w:t>survey;</w:t>
      </w:r>
      <w:r w:rsidRPr="00B85287">
        <w:rPr>
          <w:rFonts w:asciiTheme="minorHAnsi" w:hAnsiTheme="minorHAnsi"/>
        </w:rPr>
        <w:t xml:space="preserve"> </w:t>
      </w:r>
    </w:p>
    <w:p w:rsidR="009C7FB0" w:rsidRPr="00DC7183" w:rsidP="00DC7183" w14:paraId="3A7B9CB8" w14:textId="77777777">
      <w:pPr>
        <w:pStyle w:val="NormalWeb"/>
        <w:numPr>
          <w:ilvl w:val="1"/>
          <w:numId w:val="31"/>
        </w:numPr>
        <w:spacing w:after="0" w:afterAutospacing="0"/>
        <w:rPr>
          <w:rFonts w:asciiTheme="minorHAnsi" w:hAnsiTheme="minorHAnsi"/>
        </w:rPr>
      </w:pPr>
      <w:r w:rsidRPr="00C512B2">
        <w:rPr>
          <w:rFonts w:asciiTheme="minorHAnsi" w:hAnsiTheme="minorHAnsi"/>
        </w:rPr>
        <w:t>Restricting the ability</w:t>
      </w:r>
      <w:r w:rsidRPr="00DC7183">
        <w:rPr>
          <w:rFonts w:asciiTheme="minorHAnsi" w:hAnsiTheme="minorHAnsi"/>
        </w:rPr>
        <w:t xml:space="preserve"> for the respondent to view survey responses from prior log in sessions (i.e., no ability to use navigation buttons to go to “Previous” survey questions from another log in session); and</w:t>
      </w:r>
    </w:p>
    <w:p w:rsidR="009C7FB0" w:rsidRPr="00DC7183" w:rsidP="00DC7183" w14:paraId="5C027198" w14:textId="3D3E6E0E">
      <w:pPr>
        <w:pStyle w:val="NormalWeb"/>
        <w:numPr>
          <w:ilvl w:val="1"/>
          <w:numId w:val="31"/>
        </w:numPr>
        <w:spacing w:after="0" w:afterAutospacing="0"/>
        <w:rPr>
          <w:rFonts w:asciiTheme="minorHAnsi" w:hAnsiTheme="minorHAnsi"/>
        </w:rPr>
      </w:pPr>
      <w:r w:rsidRPr="00DC7183">
        <w:rPr>
          <w:rFonts w:asciiTheme="minorHAnsi" w:hAnsiTheme="minorHAnsi"/>
        </w:rPr>
        <w:t>The survey automatically logging out of a session after 10 minutes of inactivity.</w:t>
      </w:r>
    </w:p>
    <w:p w:rsidR="008109C1" w:rsidP="00C512B2" w14:paraId="640A9FEF" w14:textId="7C9234A2">
      <w:pPr>
        <w:pStyle w:val="Heading3"/>
      </w:pPr>
      <w:bookmarkStart w:id="63" w:name="_Toc140136663"/>
      <w:r>
        <w:t>Refusal Aversion and Conversion</w:t>
      </w:r>
      <w:bookmarkEnd w:id="63"/>
    </w:p>
    <w:p w:rsidR="00C512B2" w:rsidP="00C512B2" w14:paraId="0BF38298" w14:textId="77777777"/>
    <w:p w:rsidR="00EF5502" w:rsidRPr="001C2BC1" w:rsidP="00EF5502" w14:paraId="746B534A" w14:textId="77777777">
      <w:pPr>
        <w:rPr>
          <w:rFonts w:cs="Calibri"/>
          <w:color w:val="000000"/>
          <w:szCs w:val="24"/>
        </w:rPr>
      </w:pPr>
      <w:r w:rsidRPr="001C2BC1">
        <w:rPr>
          <w:rFonts w:cs="Calibri"/>
          <w:color w:val="000000"/>
          <w:szCs w:val="24"/>
        </w:rPr>
        <w:t xml:space="preserve">Recognizing and avoiding refusals is important to maximize the response rate. We will emphasize </w:t>
      </w:r>
      <w:r w:rsidRPr="001C2BC1">
        <w:rPr>
          <w:rFonts w:cs="Calibri"/>
          <w:color w:val="000000"/>
          <w:szCs w:val="24"/>
        </w:rPr>
        <w:t>this</w:t>
      </w:r>
      <w:r w:rsidRPr="001C2BC1">
        <w:rPr>
          <w:rFonts w:cs="Calibri"/>
          <w:color w:val="000000"/>
          <w:szCs w:val="24"/>
        </w:rPr>
        <w:t xml:space="preserve"> and other topics related to obtaining cooperation during interviewer training. Supervisors will monitor interviewers intensely during the early days of outbound calling and provide retraining as necessary. In addition, the supervisors will review daily interviewer production reports produced by the CATI system to identify and retrain any data collectors who are producing unacceptable numbers of refusals or other problems.</w:t>
      </w:r>
    </w:p>
    <w:p w:rsidR="00EF5502" w:rsidRPr="001C2BC1" w:rsidP="00EF5502" w14:paraId="54673B50" w14:textId="77777777">
      <w:pPr>
        <w:rPr>
          <w:rFonts w:cs="Calibri"/>
          <w:color w:val="000000"/>
          <w:szCs w:val="24"/>
        </w:rPr>
      </w:pPr>
    </w:p>
    <w:p w:rsidR="00C512B2" w:rsidRPr="00EF5502" w:rsidP="00C512B2" w14:paraId="6334F81E" w14:textId="28DEC51B">
      <w:pPr>
        <w:rPr>
          <w:rFonts w:cs="Calibri"/>
          <w:color w:val="000000"/>
          <w:szCs w:val="24"/>
        </w:rPr>
      </w:pPr>
      <w:r w:rsidRPr="001C2BC1">
        <w:rPr>
          <w:rFonts w:cs="Calibri"/>
          <w:color w:val="000000"/>
          <w:szCs w:val="24"/>
        </w:rPr>
        <w:t>Refusal conversion efforts will be delayed for at least 1 week to give the respondent time after the initial refusal. Attempts at refusal conversion will not be made with individuals who become verbally aggressive or who threaten to take legal or other action. Refusal conversion efforts will not be conducted to a degree that would constitute harassment. We will respect a sample member’s right to decide not to participate and will not impinge this right by carrying conversion efforts beyond the bounds of propriety.</w:t>
      </w:r>
    </w:p>
    <w:p w:rsidR="00C512B2" w:rsidRPr="00C512B2" w:rsidP="00C512B2" w14:paraId="1E45851A" w14:textId="77777777"/>
    <w:p w:rsidR="0072259E" w:rsidRPr="002277CD" w:rsidP="000F00C0" w14:paraId="71BFC2E3" w14:textId="65461578">
      <w:pPr>
        <w:pStyle w:val="Heading2"/>
      </w:pPr>
      <w:bookmarkStart w:id="64" w:name="_Toc135923535"/>
      <w:bookmarkStart w:id="65" w:name="_Toc140136664"/>
      <w:r w:rsidRPr="0072259E">
        <w:t xml:space="preserve">Tests of </w:t>
      </w:r>
      <w:r w:rsidRPr="0099084B">
        <w:t>Procedures</w:t>
      </w:r>
      <w:r w:rsidRPr="0072259E">
        <w:t xml:space="preserve"> or Methods</w:t>
      </w:r>
      <w:bookmarkEnd w:id="64"/>
      <w:bookmarkEnd w:id="65"/>
    </w:p>
    <w:p w:rsidR="00CB156D" w:rsidRPr="002F1BDA" w:rsidP="00CB156D" w14:paraId="738807BA" w14:textId="77777777">
      <w:pPr>
        <w:pStyle w:val="BodyText"/>
        <w:keepNext/>
        <w:rPr>
          <w:rFonts w:asciiTheme="minorHAnsi" w:hAnsiTheme="minorHAnsi" w:cs="Calibri"/>
          <w:color w:val="000000"/>
          <w:szCs w:val="24"/>
        </w:rPr>
      </w:pPr>
      <w:r w:rsidRPr="002F1BDA">
        <w:rPr>
          <w:rFonts w:asciiTheme="minorHAnsi" w:hAnsiTheme="minorHAnsi" w:cs="Calibri"/>
          <w:color w:val="000000"/>
          <w:szCs w:val="24"/>
        </w:rPr>
        <w:t xml:space="preserve">The BPS:20/25 field test will include two data collection experiments focused on survey participation: </w:t>
      </w:r>
    </w:p>
    <w:p w:rsidR="00CB156D" w:rsidRPr="002F1BDA" w:rsidP="00CB156D" w14:paraId="449D677A" w14:textId="6F23C888">
      <w:pPr>
        <w:pStyle w:val="BodyText"/>
        <w:keepNext/>
        <w:ind w:left="720"/>
        <w:rPr>
          <w:rFonts w:asciiTheme="minorHAnsi" w:hAnsiTheme="minorHAnsi" w:cs="Calibri"/>
          <w:color w:val="000000"/>
          <w:szCs w:val="24"/>
        </w:rPr>
      </w:pPr>
      <w:r w:rsidRPr="002F1BDA">
        <w:rPr>
          <w:rFonts w:asciiTheme="minorHAnsi" w:hAnsiTheme="minorHAnsi" w:cs="Calibri"/>
          <w:color w:val="000000"/>
          <w:szCs w:val="24"/>
        </w:rPr>
        <w:t xml:space="preserve">1) an “address confirmation” incentive experiment where respondents receive an additional $5 if they confirm their phone number, mailing and </w:t>
      </w:r>
      <w:r w:rsidR="002668CC">
        <w:rPr>
          <w:rFonts w:asciiTheme="minorHAnsi" w:hAnsiTheme="minorHAnsi" w:cs="Calibri"/>
          <w:color w:val="000000"/>
          <w:szCs w:val="24"/>
        </w:rPr>
        <w:t>e-mail</w:t>
      </w:r>
      <w:r w:rsidRPr="002F1BDA">
        <w:rPr>
          <w:rFonts w:asciiTheme="minorHAnsi" w:hAnsiTheme="minorHAnsi" w:cs="Calibri"/>
          <w:color w:val="000000"/>
          <w:szCs w:val="24"/>
        </w:rPr>
        <w:t xml:space="preserve"> address before the start of the survey, and </w:t>
      </w:r>
    </w:p>
    <w:p w:rsidR="00CB156D" w:rsidRPr="002F1BDA" w:rsidP="00CB156D" w14:paraId="6597855D" w14:textId="4190DD2A">
      <w:pPr>
        <w:pStyle w:val="BodyText"/>
        <w:keepNext/>
        <w:ind w:left="720"/>
        <w:rPr>
          <w:rFonts w:asciiTheme="minorHAnsi" w:hAnsiTheme="minorHAnsi" w:cs="Calibri"/>
          <w:color w:val="000000"/>
          <w:szCs w:val="24"/>
        </w:rPr>
      </w:pPr>
      <w:r w:rsidRPr="002F1BDA">
        <w:rPr>
          <w:rFonts w:asciiTheme="minorHAnsi" w:hAnsiTheme="minorHAnsi" w:cs="Calibri"/>
          <w:color w:val="000000"/>
          <w:szCs w:val="24"/>
        </w:rPr>
        <w:t xml:space="preserve">2) a reminder mode experiment where we explore the implications of eliminating telephone reminders for sample members </w:t>
      </w:r>
      <w:r w:rsidR="00356805">
        <w:rPr>
          <w:rFonts w:asciiTheme="minorHAnsi" w:hAnsiTheme="minorHAnsi" w:cs="Calibri"/>
          <w:color w:val="000000"/>
          <w:szCs w:val="24"/>
        </w:rPr>
        <w:t>who</w:t>
      </w:r>
      <w:r w:rsidRPr="002F1BDA">
        <w:rPr>
          <w:rFonts w:asciiTheme="minorHAnsi" w:hAnsiTheme="minorHAnsi" w:cs="Calibri"/>
          <w:color w:val="000000"/>
          <w:szCs w:val="24"/>
        </w:rPr>
        <w:t xml:space="preserve"> have responded to NPSAS:20 </w:t>
      </w:r>
      <w:r w:rsidRPr="002F1BDA">
        <w:rPr>
          <w:rFonts w:asciiTheme="minorHAnsi" w:hAnsiTheme="minorHAnsi" w:cs="Calibri"/>
          <w:i/>
          <w:color w:val="000000"/>
          <w:szCs w:val="24"/>
        </w:rPr>
        <w:t>and</w:t>
      </w:r>
      <w:r w:rsidRPr="002F1BDA">
        <w:rPr>
          <w:rFonts w:asciiTheme="minorHAnsi" w:hAnsiTheme="minorHAnsi" w:cs="Calibri"/>
          <w:color w:val="000000"/>
          <w:szCs w:val="24"/>
        </w:rPr>
        <w:t xml:space="preserve"> BPS:20/22. </w:t>
      </w:r>
    </w:p>
    <w:p w:rsidR="00CB156D" w:rsidP="00CB156D" w14:paraId="165BE101" w14:textId="3E2DFC3F">
      <w:pPr>
        <w:pStyle w:val="BodyText"/>
        <w:rPr>
          <w:rFonts w:cs="Calibri"/>
          <w:color w:val="000000"/>
        </w:rPr>
      </w:pPr>
      <w:r w:rsidRPr="002F1BDA">
        <w:rPr>
          <w:rFonts w:asciiTheme="minorHAnsi" w:hAnsiTheme="minorHAnsi" w:cs="Calibri"/>
          <w:color w:val="000000" w:themeColor="text1"/>
          <w:szCs w:val="24"/>
        </w:rPr>
        <w:t>The following section describes the two data collection experiments, followed by a description of the field test data collection procedures. We will evaluate the generalizability of the results from these experiments by assessing the representativeness of the BPS:20/25 field test sample. Even limited generalizability will provide valuable insight on the potential of implementing the address confirmation incentive and reducing CATI reminders as enhancements</w:t>
      </w:r>
      <w:r w:rsidRPr="001C2BC1">
        <w:rPr>
          <w:rFonts w:cs="Calibri"/>
          <w:color w:val="000000" w:themeColor="text1"/>
        </w:rPr>
        <w:t xml:space="preserve"> for the BPS:20/25 full-scale study. </w:t>
      </w:r>
      <w:r w:rsidRPr="00423276">
        <w:br/>
      </w:r>
      <w:r w:rsidRPr="00423276">
        <w:br/>
      </w:r>
      <w:r w:rsidRPr="001C2BC1">
        <w:rPr>
          <w:rFonts w:cs="Calibri"/>
          <w:color w:val="000000" w:themeColor="text1"/>
        </w:rPr>
        <w:t>Appendix C provides materials designed for contacting student sample members (e.g.</w:t>
      </w:r>
      <w:r w:rsidR="00DB6A32">
        <w:rPr>
          <w:rFonts w:cs="Calibri"/>
          <w:color w:val="000000" w:themeColor="text1"/>
        </w:rPr>
        <w:t>,</w:t>
      </w:r>
      <w:r w:rsidRPr="001C2BC1">
        <w:rPr>
          <w:rFonts w:cs="Calibri"/>
          <w:color w:val="000000" w:themeColor="text1"/>
        </w:rPr>
        <w:t xml:space="preserve"> letter</w:t>
      </w:r>
      <w:r w:rsidR="00DB6A32">
        <w:rPr>
          <w:rFonts w:cs="Calibri"/>
          <w:color w:val="000000" w:themeColor="text1"/>
        </w:rPr>
        <w:t>s</w:t>
      </w:r>
      <w:r w:rsidRPr="001C2BC1">
        <w:rPr>
          <w:rFonts w:cs="Calibri"/>
          <w:color w:val="000000" w:themeColor="text1"/>
        </w:rPr>
        <w:t xml:space="preserve">, brochures, </w:t>
      </w:r>
      <w:r w:rsidR="002668CC">
        <w:rPr>
          <w:rFonts w:cs="Calibri"/>
          <w:color w:val="000000" w:themeColor="text1"/>
        </w:rPr>
        <w:t>e-mail</w:t>
      </w:r>
      <w:r w:rsidRPr="001C2BC1">
        <w:rPr>
          <w:rFonts w:cs="Calibri"/>
          <w:color w:val="000000" w:themeColor="text1"/>
        </w:rPr>
        <w:t>s, text messages).</w:t>
      </w:r>
    </w:p>
    <w:p w:rsidR="00CB156D" w:rsidP="00CB156D" w14:paraId="5DD38EF8" w14:textId="652BE8FD">
      <w:pPr>
        <w:pStyle w:val="Heading3"/>
      </w:pPr>
      <w:bookmarkStart w:id="66" w:name="_Toc140136665"/>
      <w:r>
        <w:t>Experiment #1, Data Collection: Address Confirmation Incentive</w:t>
      </w:r>
      <w:bookmarkEnd w:id="66"/>
    </w:p>
    <w:p w:rsidR="009A1629" w:rsidRPr="001C2BC1" w:rsidP="009A1629" w14:paraId="027F5B4D" w14:textId="41F229C6">
      <w:pPr>
        <w:pStyle w:val="BodyText"/>
        <w:keepNext/>
        <w:rPr>
          <w:rFonts w:cs="Calibri"/>
          <w:color w:val="000000"/>
        </w:rPr>
      </w:pPr>
      <w:r w:rsidRPr="001C2BC1">
        <w:rPr>
          <w:rFonts w:cs="Calibri"/>
          <w:color w:val="000000" w:themeColor="text1"/>
        </w:rPr>
        <w:t xml:space="preserve">Input from NPSAS and BPS focus groups (Appendix D), open-ended questions in NPSAS and BPS surveys, as well as posts on social media platforms have indicated that some sample members question the legitimacy of NPSAS/BPS survey invitations and therefore may be hesitant to complete the survey. Previous NPSAS-family studies (e.g., NPSAS:20 calibration, NPSAS:20 </w:t>
      </w:r>
      <w:r w:rsidRPr="001C2BC1" w:rsidR="00D925A0">
        <w:rPr>
          <w:rFonts w:cs="Calibri"/>
          <w:color w:val="000000" w:themeColor="text1"/>
        </w:rPr>
        <w:t>full</w:t>
      </w:r>
      <w:r w:rsidR="00D925A0">
        <w:rPr>
          <w:rFonts w:cs="Calibri"/>
          <w:color w:val="000000" w:themeColor="text1"/>
        </w:rPr>
        <w:t>-</w:t>
      </w:r>
      <w:r w:rsidRPr="001C2BC1">
        <w:rPr>
          <w:rFonts w:cs="Calibri"/>
          <w:color w:val="000000" w:themeColor="text1"/>
        </w:rPr>
        <w:t>scale, and BPS:</w:t>
      </w:r>
      <w:r w:rsidR="00D925A0">
        <w:rPr>
          <w:rFonts w:cs="Calibri"/>
          <w:color w:val="000000" w:themeColor="text1"/>
        </w:rPr>
        <w:t>20/</w:t>
      </w:r>
      <w:r w:rsidRPr="001C2BC1">
        <w:rPr>
          <w:rFonts w:cs="Calibri"/>
          <w:color w:val="000000" w:themeColor="text1"/>
        </w:rPr>
        <w:t xml:space="preserve">22) have used prepaid incentives via PayPal </w:t>
      </w:r>
      <w:r w:rsidRPr="001C2BC1">
        <w:rPr>
          <w:rFonts w:cs="Calibri"/>
          <w:color w:val="000000" w:themeColor="text1"/>
        </w:rPr>
        <w:t>in an attempt to</w:t>
      </w:r>
      <w:r w:rsidRPr="001C2BC1">
        <w:rPr>
          <w:rFonts w:cs="Calibri"/>
          <w:color w:val="000000" w:themeColor="text1"/>
        </w:rPr>
        <w:t xml:space="preserve"> increase sample members</w:t>
      </w:r>
      <w:r w:rsidR="00D925A0">
        <w:rPr>
          <w:rFonts w:cs="Calibri"/>
          <w:color w:val="000000" w:themeColor="text1"/>
        </w:rPr>
        <w:t>’</w:t>
      </w:r>
      <w:r w:rsidRPr="001C2BC1">
        <w:rPr>
          <w:rFonts w:cs="Calibri"/>
          <w:color w:val="000000" w:themeColor="text1"/>
        </w:rPr>
        <w:t xml:space="preserve"> perceived legitimacy of the survey invitation. However, in these studies, the incentive was automatically deposited into a sample member’s PayPal account without any action from the sample member (i.e., separate from the survey invitation itself). This may have limited a sample member’s ability to make a connection between the incentive delivered to their PayPal account and the survey request. </w:t>
      </w:r>
    </w:p>
    <w:p w:rsidR="009A1629" w:rsidRPr="001C2BC1" w:rsidP="009A1629" w14:paraId="6ADE48C6" w14:textId="657F9EFF">
      <w:pPr>
        <w:pStyle w:val="BodyText"/>
        <w:keepNext/>
        <w:rPr>
          <w:rFonts w:cs="Calibri"/>
          <w:color w:val="000000"/>
        </w:rPr>
      </w:pPr>
      <w:r w:rsidRPr="001C2BC1">
        <w:rPr>
          <w:rFonts w:cs="Calibri"/>
          <w:color w:val="000000"/>
        </w:rPr>
        <w:t>Experiment 1 will build on this methodology by investigating the effects of offering sample members a monetary incentive in exchange for verifying their address information (e.g., phone number, mailing</w:t>
      </w:r>
      <w:r w:rsidR="00D925A0">
        <w:rPr>
          <w:rFonts w:cs="Calibri"/>
          <w:color w:val="000000"/>
        </w:rPr>
        <w:t>,</w:t>
      </w:r>
      <w:r w:rsidRPr="001C2BC1">
        <w:rPr>
          <w:rFonts w:cs="Calibri"/>
          <w:color w:val="000000"/>
        </w:rPr>
        <w:t xml:space="preserve"> and e</w:t>
      </w:r>
      <w:r w:rsidR="00D925A0">
        <w:rPr>
          <w:rFonts w:cs="Calibri"/>
          <w:color w:val="000000"/>
        </w:rPr>
        <w:t>-</w:t>
      </w:r>
      <w:r w:rsidRPr="001C2BC1">
        <w:rPr>
          <w:rFonts w:cs="Calibri"/>
          <w:color w:val="000000"/>
        </w:rPr>
        <w:t>mail address) at the beginning of the survey. Immediately upon completion of this address confirmation (i.e., before the survey starts), sample members in the experimental group will receive a $5 incentive payment via their method of choice (PayPal or check), while sample members in the control group will receive no incentive for completing this confirmation. This immediate payment may increase the salience of the connection between the incentive and the survey request, increasing the legitimacy of the study: giving sample members $5 at the beginning of the survey may give them more confidence that they will receive their post-paid incentive at the end of the survey.</w:t>
      </w:r>
    </w:p>
    <w:p w:rsidR="009A1629" w:rsidP="009A1629" w14:paraId="6ADB6E9A" w14:textId="35A5B26C">
      <w:pPr>
        <w:pStyle w:val="BodyText"/>
        <w:keepNext/>
        <w:rPr>
          <w:rFonts w:cs="Calibri"/>
          <w:color w:val="000000"/>
        </w:rPr>
      </w:pPr>
      <w:r w:rsidRPr="001C2BC1">
        <w:rPr>
          <w:rFonts w:cs="Calibri"/>
          <w:color w:val="000000"/>
        </w:rPr>
        <w:t>All BPS:20/25 field test sample members will receive a request to confirm their phone number, mailing address, and e</w:t>
      </w:r>
      <w:r w:rsidR="00D925A0">
        <w:rPr>
          <w:rFonts w:cs="Calibri"/>
          <w:color w:val="000000"/>
        </w:rPr>
        <w:t>-</w:t>
      </w:r>
      <w:r w:rsidRPr="001C2BC1">
        <w:rPr>
          <w:rFonts w:cs="Calibri"/>
          <w:color w:val="000000"/>
        </w:rPr>
        <w:t xml:space="preserve">mail address. However, the incentive </w:t>
      </w:r>
      <w:r w:rsidRPr="001C2BC1">
        <w:rPr>
          <w:rFonts w:cs="Calibri"/>
          <w:color w:val="000000"/>
        </w:rPr>
        <w:t>offer</w:t>
      </w:r>
      <w:r w:rsidRPr="001C2BC1">
        <w:rPr>
          <w:rFonts w:cs="Calibri"/>
          <w:color w:val="000000"/>
        </w:rPr>
        <w:t xml:space="preserve"> in exchange for completing this address confirmation involves splitting the BPS:20/25 field test sample into two randomly assigned groups:</w:t>
      </w:r>
    </w:p>
    <w:p w:rsidR="009A1629" w:rsidP="009A1629" w14:paraId="4D9BAD63" w14:textId="77777777">
      <w:pPr>
        <w:pStyle w:val="BodyText"/>
        <w:keepNext/>
        <w:numPr>
          <w:ilvl w:val="0"/>
          <w:numId w:val="33"/>
        </w:numPr>
        <w:rPr>
          <w:rFonts w:cs="Calibri"/>
          <w:color w:val="000000"/>
        </w:rPr>
      </w:pPr>
      <w:r w:rsidRPr="001C2BC1">
        <w:rPr>
          <w:rFonts w:cs="Calibri"/>
          <w:color w:val="000000"/>
        </w:rPr>
        <w:t>Control Group (n = 1,331): Sample members will receive no incentive for completing the address confirmation.</w:t>
      </w:r>
    </w:p>
    <w:p w:rsidR="009A1629" w:rsidRPr="001C2BC1" w:rsidP="009A1629" w14:paraId="0A224C88" w14:textId="74B48D3F">
      <w:pPr>
        <w:pStyle w:val="BodyText"/>
        <w:keepNext/>
        <w:numPr>
          <w:ilvl w:val="0"/>
          <w:numId w:val="33"/>
        </w:numPr>
        <w:rPr>
          <w:rFonts w:cs="Calibri"/>
          <w:color w:val="000000"/>
        </w:rPr>
      </w:pPr>
      <w:r w:rsidRPr="001C2BC1">
        <w:rPr>
          <w:rFonts w:cs="Calibri"/>
          <w:color w:val="000000"/>
        </w:rPr>
        <w:t>Experimental Group (n = 1,331): Sample members will receive a $5 incentive if they complete the address confirmation.</w:t>
      </w:r>
    </w:p>
    <w:p w:rsidR="009A1629" w:rsidRPr="001C2BC1" w:rsidP="009A1629" w14:paraId="60DEB048" w14:textId="5E9EF68F">
      <w:pPr>
        <w:pStyle w:val="BodyText"/>
        <w:keepNext/>
        <w:rPr>
          <w:rFonts w:cs="Calibri"/>
          <w:color w:val="000000"/>
        </w:rPr>
      </w:pPr>
      <w:r w:rsidRPr="001C2BC1">
        <w:rPr>
          <w:rFonts w:cs="Calibri"/>
          <w:color w:val="000000"/>
        </w:rPr>
        <w:t xml:space="preserve">This </w:t>
      </w:r>
      <w:r w:rsidR="00356805">
        <w:rPr>
          <w:rFonts w:cs="Calibri"/>
          <w:color w:val="000000"/>
        </w:rPr>
        <w:t>design</w:t>
      </w:r>
      <w:r w:rsidRPr="001C2BC1">
        <w:rPr>
          <w:rFonts w:cs="Calibri"/>
          <w:color w:val="000000"/>
        </w:rPr>
        <w:t xml:space="preserve"> will allow for a comparison of response rates among </w:t>
      </w:r>
      <w:r w:rsidRPr="001C2BC1">
        <w:rPr>
          <w:rFonts w:cs="Calibri"/>
          <w:color w:val="000000"/>
        </w:rPr>
        <w:t>equally-sized</w:t>
      </w:r>
      <w:r w:rsidRPr="001C2BC1">
        <w:rPr>
          <w:rFonts w:cs="Calibri"/>
          <w:color w:val="000000"/>
        </w:rPr>
        <w:t xml:space="preserve"> experimental groups and provide enough power to detect a 4 percentage point difference in response rates assuming 80 percent power, type I error of 5 percent, and a base response rate of 66 percent. This calculation assumes a 2-sided chi-square test of response proportions.</w:t>
      </w:r>
    </w:p>
    <w:p w:rsidR="009A1629" w:rsidP="009A1629" w14:paraId="723A876B" w14:textId="77777777">
      <w:pPr>
        <w:pStyle w:val="BodyText"/>
        <w:keepNext/>
        <w:rPr>
          <w:rFonts w:cs="Calibri"/>
          <w:color w:val="000000"/>
        </w:rPr>
      </w:pPr>
      <w:r w:rsidRPr="001C2BC1">
        <w:rPr>
          <w:rFonts w:cs="Calibri"/>
          <w:color w:val="000000"/>
        </w:rPr>
        <w:t>The experiment described above will allow us to test the following hypotheses:</w:t>
      </w:r>
    </w:p>
    <w:p w:rsidR="009A1629" w:rsidP="009A1629" w14:paraId="0BD9A742" w14:textId="77777777">
      <w:pPr>
        <w:pStyle w:val="BodyText"/>
        <w:keepNext/>
        <w:numPr>
          <w:ilvl w:val="0"/>
          <w:numId w:val="34"/>
        </w:numPr>
        <w:rPr>
          <w:rFonts w:cs="Calibri"/>
          <w:color w:val="000000"/>
        </w:rPr>
      </w:pPr>
      <w:r w:rsidRPr="001C2BC1">
        <w:rPr>
          <w:rFonts w:cs="Calibri"/>
          <w:color w:val="000000"/>
        </w:rPr>
        <w:t>H1a. There is no statistically significant difference in response rates between the Control and the Experimental Group.</w:t>
      </w:r>
    </w:p>
    <w:p w:rsidR="009A1629" w:rsidP="009A1629" w14:paraId="6F3E8CC9" w14:textId="77777777">
      <w:pPr>
        <w:pStyle w:val="BodyText"/>
        <w:keepNext/>
        <w:numPr>
          <w:ilvl w:val="0"/>
          <w:numId w:val="34"/>
        </w:numPr>
        <w:rPr>
          <w:rFonts w:cs="Calibri"/>
          <w:color w:val="000000"/>
        </w:rPr>
      </w:pPr>
      <w:r w:rsidRPr="009A1629">
        <w:rPr>
          <w:rFonts w:cs="Calibri"/>
          <w:color w:val="000000"/>
        </w:rPr>
        <w:t>H1b. There are no statistically significant differences in representativeness (demographic characteristics) between the Control and the Experimental Group.</w:t>
      </w:r>
    </w:p>
    <w:p w:rsidR="002F1BDA" w:rsidRPr="002F1BDA" w:rsidP="002F1BDA" w14:paraId="1740DFD9" w14:textId="77777777">
      <w:pPr>
        <w:pStyle w:val="BodyText"/>
        <w:keepNext/>
        <w:numPr>
          <w:ilvl w:val="0"/>
          <w:numId w:val="34"/>
        </w:numPr>
        <w:rPr>
          <w:rFonts w:cs="Calibri"/>
          <w:color w:val="000000"/>
        </w:rPr>
      </w:pPr>
      <w:r w:rsidRPr="009A1629">
        <w:rPr>
          <w:rFonts w:eastAsia="SimSun" w:cs="Calibri"/>
          <w:color w:val="000000"/>
        </w:rPr>
        <w:t>H1c. There are no statistically significant differences in timeliness of responses (days to complete) between the Control and the Experimental Group.</w:t>
      </w:r>
    </w:p>
    <w:p w:rsidR="002F1BDA" w:rsidP="002F1BDA" w14:paraId="38F7D0E8" w14:textId="31727A1E">
      <w:pPr>
        <w:pStyle w:val="Heading3"/>
        <w:rPr>
          <w:rFonts w:eastAsia="SimSun"/>
        </w:rPr>
      </w:pPr>
      <w:bookmarkStart w:id="67" w:name="_Toc140136666"/>
      <w:r>
        <w:rPr>
          <w:rFonts w:eastAsia="SimSun"/>
        </w:rPr>
        <w:t>Experiment #2, Data Collection: CATI Reminders</w:t>
      </w:r>
      <w:bookmarkEnd w:id="67"/>
    </w:p>
    <w:p w:rsidR="0008113D" w:rsidRPr="002F1BDA" w:rsidP="002F1BDA" w14:paraId="765EB276" w14:textId="56875FB4">
      <w:pPr>
        <w:pStyle w:val="BodyText"/>
        <w:keepNext/>
        <w:rPr>
          <w:rFonts w:cs="Calibri"/>
          <w:color w:val="000000"/>
        </w:rPr>
      </w:pPr>
      <w:r w:rsidRPr="002F1BDA">
        <w:rPr>
          <w:rFonts w:cs="Calibri"/>
          <w:color w:val="000000"/>
        </w:rPr>
        <w:t>Survey interviews conducted via CATI calls represent a small percentage of completes in recent NPSAS-family studies (4</w:t>
      </w:r>
      <w:r w:rsidR="00D925A0">
        <w:rPr>
          <w:rFonts w:cs="Calibri"/>
          <w:color w:val="000000"/>
        </w:rPr>
        <w:t xml:space="preserve"> percent</w:t>
      </w:r>
      <w:r w:rsidRPr="002F1BDA" w:rsidR="00D925A0">
        <w:rPr>
          <w:rFonts w:cs="Calibri"/>
          <w:color w:val="000000"/>
        </w:rPr>
        <w:t xml:space="preserve"> </w:t>
      </w:r>
      <w:r w:rsidRPr="002F1BDA">
        <w:rPr>
          <w:rFonts w:cs="Calibri"/>
          <w:color w:val="000000"/>
        </w:rPr>
        <w:t>of completes in NPSAS:20, 5</w:t>
      </w:r>
      <w:r w:rsidR="00D925A0">
        <w:rPr>
          <w:rFonts w:cs="Calibri"/>
          <w:color w:val="000000"/>
        </w:rPr>
        <w:t xml:space="preserve"> percent</w:t>
      </w:r>
      <w:r w:rsidRPr="002F1BDA">
        <w:rPr>
          <w:rFonts w:cs="Calibri"/>
          <w:color w:val="000000"/>
        </w:rPr>
        <w:t xml:space="preserve"> of completes in the BPS:20/22 full</w:t>
      </w:r>
      <w:r w:rsidR="00D925A0">
        <w:rPr>
          <w:rFonts w:cs="Calibri"/>
          <w:color w:val="000000"/>
        </w:rPr>
        <w:t>-</w:t>
      </w:r>
      <w:r w:rsidRPr="002F1BDA">
        <w:rPr>
          <w:rFonts w:cs="Calibri"/>
          <w:color w:val="000000"/>
        </w:rPr>
        <w:t xml:space="preserve">scale). CATI is also the most expensive mode as it requires a human interviewer. Eliminating CATI prompting for certain groups of sample members (e.g., sample members who have responded to survey requests in previous waves like </w:t>
      </w:r>
      <w:r w:rsidRPr="002F1BDA">
        <w:rPr>
          <w:rFonts w:cs="Calibri"/>
          <w:color w:val="000000"/>
        </w:rPr>
        <w:t xml:space="preserve">NPSAS:20 </w:t>
      </w:r>
      <w:r w:rsidRPr="002F1BDA">
        <w:rPr>
          <w:rFonts w:cs="Calibri"/>
          <w:iCs/>
          <w:color w:val="000000"/>
        </w:rPr>
        <w:t>and</w:t>
      </w:r>
      <w:r w:rsidRPr="002F1BDA">
        <w:rPr>
          <w:rFonts w:cs="Calibri"/>
          <w:color w:val="000000"/>
        </w:rPr>
        <w:t xml:space="preserve"> BPS:20/22) may present an opportunity to reduce data collection costs in BPS:20/25 without adversely affecting response rates or representativeness. </w:t>
      </w:r>
    </w:p>
    <w:p w:rsidR="0008113D" w:rsidRPr="00D71DBF" w:rsidP="0008113D" w14:paraId="29F13D33" w14:textId="57AF4BE9">
      <w:pPr>
        <w:pStyle w:val="NormalWeb"/>
        <w:spacing w:before="0" w:beforeAutospacing="0" w:after="120" w:afterAutospacing="0"/>
        <w:rPr>
          <w:rFonts w:asciiTheme="minorHAnsi" w:hAnsiTheme="minorHAnsi" w:cs="Calibri"/>
          <w:color w:val="000000"/>
        </w:rPr>
      </w:pPr>
      <w:r w:rsidRPr="001C2BC1">
        <w:rPr>
          <w:rFonts w:ascii="Garamond" w:hAnsi="Garamond" w:cs="Calibri"/>
          <w:color w:val="000000"/>
        </w:rPr>
        <w:t>Experiment 2 will explore this idea in BPS:20/25 by investigating the effects of eliminating CATI reminders for sample members who are NPSAS:20 and BPS:20/22 interview respondents, excluding final partials (i.e., the default data collection group; see Field Test Data Collection Procedures below for more information about this data collection group). Eight weeks into data collection, nonresponding sample members in the default group will either receive CATI prompting as usual (control group) or not receive any CATI prompting (experimental group). All other data collection activities (e.g., sending reminder e</w:t>
      </w:r>
      <w:r w:rsidR="00D925A0">
        <w:rPr>
          <w:rFonts w:ascii="Garamond" w:hAnsi="Garamond" w:cs="Calibri"/>
          <w:color w:val="000000"/>
        </w:rPr>
        <w:t>-</w:t>
      </w:r>
      <w:r w:rsidRPr="001C2BC1">
        <w:rPr>
          <w:rFonts w:ascii="Garamond" w:hAnsi="Garamond" w:cs="Calibri"/>
          <w:color w:val="000000"/>
        </w:rPr>
        <w:t>mails and</w:t>
      </w:r>
      <w:r w:rsidRPr="00D71DBF">
        <w:rPr>
          <w:rFonts w:asciiTheme="minorHAnsi" w:hAnsiTheme="minorHAnsi" w:cs="Calibri"/>
          <w:color w:val="000000"/>
        </w:rPr>
        <w:t xml:space="preserve"> texts) will continue throughout the experiment for both groups.</w:t>
      </w:r>
    </w:p>
    <w:p w:rsidR="0008113D" w:rsidRPr="00D71DBF" w:rsidP="0008113D" w14:paraId="3D6BC182" w14:textId="77777777">
      <w:pPr>
        <w:pStyle w:val="NormalWeb"/>
        <w:spacing w:before="0" w:beforeAutospacing="0" w:after="120" w:afterAutospacing="0"/>
        <w:rPr>
          <w:rFonts w:asciiTheme="minorHAnsi" w:hAnsiTheme="minorHAnsi" w:cs="Calibri"/>
          <w:color w:val="000000"/>
        </w:rPr>
      </w:pPr>
      <w:r w:rsidRPr="00D71DBF">
        <w:rPr>
          <w:rFonts w:asciiTheme="minorHAnsi" w:hAnsiTheme="minorHAnsi" w:cs="Calibri"/>
          <w:color w:val="000000"/>
        </w:rPr>
        <w:t>Eight weeks into data collection, nonresponding sample members in the default data collection group will be split into two randomly assigned groups:</w:t>
      </w:r>
    </w:p>
    <w:p w:rsidR="0008113D" w:rsidRPr="00D71DBF" w:rsidP="0008113D" w14:paraId="75BC5CA6" w14:textId="1D4211B7">
      <w:pPr>
        <w:pStyle w:val="NormalWeb"/>
        <w:numPr>
          <w:ilvl w:val="0"/>
          <w:numId w:val="37"/>
        </w:numPr>
        <w:spacing w:before="0" w:beforeAutospacing="0" w:after="120" w:afterAutospacing="0"/>
        <w:rPr>
          <w:rFonts w:asciiTheme="minorHAnsi" w:hAnsiTheme="minorHAnsi" w:cs="Calibri"/>
          <w:color w:val="000000"/>
        </w:rPr>
      </w:pPr>
      <w:r w:rsidRPr="00D71DBF">
        <w:rPr>
          <w:rFonts w:asciiTheme="minorHAnsi" w:hAnsiTheme="minorHAnsi" w:cs="Calibri"/>
          <w:color w:val="000000"/>
        </w:rPr>
        <w:t>Control Group (n ~= 368; assuming a 63</w:t>
      </w:r>
      <w:r w:rsidR="00D925A0">
        <w:rPr>
          <w:rFonts w:asciiTheme="minorHAnsi" w:hAnsiTheme="minorHAnsi" w:cs="Calibri"/>
          <w:color w:val="000000"/>
        </w:rPr>
        <w:t xml:space="preserve"> percent</w:t>
      </w:r>
      <w:r w:rsidRPr="00D71DBF" w:rsidR="00D925A0">
        <w:rPr>
          <w:rFonts w:asciiTheme="minorHAnsi" w:hAnsiTheme="minorHAnsi" w:cs="Calibri"/>
          <w:color w:val="000000"/>
        </w:rPr>
        <w:t xml:space="preserve"> </w:t>
      </w:r>
      <w:r w:rsidRPr="00D71DBF">
        <w:rPr>
          <w:rFonts w:asciiTheme="minorHAnsi" w:hAnsiTheme="minorHAnsi" w:cs="Calibri"/>
          <w:color w:val="000000"/>
        </w:rPr>
        <w:t>response rate at 8 weeks): Members of this group will receive telephone reminders until the end of data collection, in additional to all other reminders.</w:t>
      </w:r>
    </w:p>
    <w:p w:rsidR="0008113D" w:rsidRPr="00D71DBF" w:rsidP="0008113D" w14:paraId="1AB1E76A" w14:textId="0427D006">
      <w:pPr>
        <w:pStyle w:val="NormalWeb"/>
        <w:numPr>
          <w:ilvl w:val="0"/>
          <w:numId w:val="37"/>
        </w:numPr>
        <w:spacing w:before="0" w:beforeAutospacing="0" w:after="120" w:afterAutospacing="0"/>
        <w:rPr>
          <w:rFonts w:asciiTheme="minorHAnsi" w:hAnsiTheme="minorHAnsi" w:cs="Calibri"/>
          <w:color w:val="000000"/>
        </w:rPr>
      </w:pPr>
      <w:r w:rsidRPr="00D71DBF">
        <w:rPr>
          <w:rFonts w:asciiTheme="minorHAnsi" w:hAnsiTheme="minorHAnsi" w:cs="Calibri"/>
          <w:color w:val="000000"/>
        </w:rPr>
        <w:t>Experimental Group (n ~= 368; assuming a 63</w:t>
      </w:r>
      <w:r w:rsidR="00D925A0">
        <w:rPr>
          <w:rFonts w:asciiTheme="minorHAnsi" w:hAnsiTheme="minorHAnsi" w:cs="Calibri"/>
          <w:color w:val="000000"/>
        </w:rPr>
        <w:t xml:space="preserve"> percent</w:t>
      </w:r>
      <w:r w:rsidRPr="00D71DBF" w:rsidR="00D925A0">
        <w:rPr>
          <w:rFonts w:asciiTheme="minorHAnsi" w:hAnsiTheme="minorHAnsi" w:cs="Calibri"/>
          <w:color w:val="000000"/>
        </w:rPr>
        <w:t xml:space="preserve"> </w:t>
      </w:r>
      <w:r w:rsidRPr="00D71DBF">
        <w:rPr>
          <w:rFonts w:asciiTheme="minorHAnsi" w:hAnsiTheme="minorHAnsi" w:cs="Calibri"/>
          <w:color w:val="000000"/>
        </w:rPr>
        <w:t xml:space="preserve">response rate at 8 weeks): Members of this group will not receive </w:t>
      </w:r>
      <w:r w:rsidRPr="00D71DBF">
        <w:rPr>
          <w:rFonts w:asciiTheme="minorHAnsi" w:hAnsiTheme="minorHAnsi" w:cs="Calibri"/>
          <w:color w:val="000000"/>
        </w:rPr>
        <w:t>telephone</w:t>
      </w:r>
      <w:r w:rsidRPr="00D71DBF">
        <w:rPr>
          <w:rFonts w:asciiTheme="minorHAnsi" w:hAnsiTheme="minorHAnsi" w:cs="Calibri"/>
          <w:color w:val="000000"/>
        </w:rPr>
        <w:t xml:space="preserve"> reminders but will receive all other reminders.</w:t>
      </w:r>
    </w:p>
    <w:p w:rsidR="0008113D" w:rsidRPr="00D71DBF" w:rsidP="0008113D" w14:paraId="36079F55" w14:textId="0D729C98">
      <w:pPr>
        <w:pStyle w:val="NormalWeb"/>
        <w:spacing w:before="0" w:beforeAutospacing="0" w:after="120" w:afterAutospacing="0"/>
        <w:rPr>
          <w:rFonts w:asciiTheme="minorHAnsi" w:hAnsiTheme="minorHAnsi" w:cs="Calibri"/>
          <w:color w:val="000000"/>
        </w:rPr>
      </w:pPr>
      <w:r w:rsidRPr="00D71DBF">
        <w:rPr>
          <w:rFonts w:asciiTheme="minorHAnsi" w:hAnsiTheme="minorHAnsi" w:cs="Calibri"/>
          <w:color w:val="000000"/>
        </w:rPr>
        <w:t xml:space="preserve">This </w:t>
      </w:r>
      <w:r w:rsidR="00356805">
        <w:rPr>
          <w:rFonts w:asciiTheme="minorHAnsi" w:hAnsiTheme="minorHAnsi" w:cs="Calibri"/>
          <w:color w:val="000000"/>
        </w:rPr>
        <w:t>design</w:t>
      </w:r>
      <w:r w:rsidRPr="00D71DBF">
        <w:rPr>
          <w:rFonts w:asciiTheme="minorHAnsi" w:hAnsiTheme="minorHAnsi" w:cs="Calibri"/>
          <w:color w:val="000000"/>
        </w:rPr>
        <w:t xml:space="preserve"> will allow for a comparison of response rates among roughly </w:t>
      </w:r>
      <w:r w:rsidRPr="00D71DBF">
        <w:rPr>
          <w:rFonts w:asciiTheme="minorHAnsi" w:hAnsiTheme="minorHAnsi" w:cs="Calibri"/>
          <w:color w:val="000000"/>
        </w:rPr>
        <w:t>equally-sized</w:t>
      </w:r>
      <w:r w:rsidRPr="00D71DBF">
        <w:rPr>
          <w:rFonts w:asciiTheme="minorHAnsi" w:hAnsiTheme="minorHAnsi" w:cs="Calibri"/>
          <w:color w:val="000000"/>
        </w:rPr>
        <w:t xml:space="preserve"> experimental groups and provide enough power to detect a 7 percentage point difference in response rates assuming 80 percent power, type I error of 5 percent, and a base response rate of 34 percent. This calculation assumes a 2-sided chi-square test of the response proportions.</w:t>
      </w:r>
    </w:p>
    <w:p w:rsidR="0008113D" w:rsidRPr="00D71DBF" w:rsidP="0008113D" w14:paraId="01D1FA37" w14:textId="77777777">
      <w:pPr>
        <w:pStyle w:val="NormalWeb"/>
        <w:spacing w:before="0" w:beforeAutospacing="0" w:after="120" w:afterAutospacing="0"/>
        <w:rPr>
          <w:rFonts w:asciiTheme="minorHAnsi" w:hAnsiTheme="minorHAnsi" w:cs="Calibri"/>
          <w:color w:val="000000"/>
        </w:rPr>
      </w:pPr>
      <w:r w:rsidRPr="00D71DBF">
        <w:rPr>
          <w:rFonts w:asciiTheme="minorHAnsi" w:hAnsiTheme="minorHAnsi" w:cs="Calibri"/>
          <w:color w:val="000000"/>
        </w:rPr>
        <w:t>The experiment described above will allow us to test the following hypotheses:</w:t>
      </w:r>
    </w:p>
    <w:p w:rsidR="0008113D" w:rsidRPr="00D71DBF" w:rsidP="0008113D" w14:paraId="5D59533B" w14:textId="77777777">
      <w:pPr>
        <w:pStyle w:val="NormalWeb"/>
        <w:numPr>
          <w:ilvl w:val="0"/>
          <w:numId w:val="38"/>
        </w:numPr>
        <w:spacing w:before="0" w:beforeAutospacing="0" w:after="120" w:afterAutospacing="0"/>
        <w:rPr>
          <w:rFonts w:asciiTheme="minorHAnsi" w:hAnsiTheme="minorHAnsi" w:cs="Calibri"/>
          <w:color w:val="000000"/>
        </w:rPr>
      </w:pPr>
      <w:r w:rsidRPr="00D71DBF">
        <w:rPr>
          <w:rFonts w:asciiTheme="minorHAnsi" w:hAnsiTheme="minorHAnsi" w:cs="Calibri"/>
          <w:color w:val="000000"/>
        </w:rPr>
        <w:t>H2a. There is no statistically significant difference in response rates between the Control and the Experimental Group.</w:t>
      </w:r>
    </w:p>
    <w:p w:rsidR="0010D34D" w:rsidRPr="00DF13A1" w:rsidP="00D71DBF" w14:paraId="2080D3BB" w14:textId="20259C53">
      <w:pPr>
        <w:pStyle w:val="NormalWeb"/>
        <w:numPr>
          <w:ilvl w:val="0"/>
          <w:numId w:val="38"/>
        </w:numPr>
        <w:spacing w:before="0" w:beforeAutospacing="0" w:after="120" w:afterAutospacing="0"/>
        <w:rPr>
          <w:rFonts w:ascii="Garamond" w:hAnsi="Garamond" w:cs="Calibri"/>
          <w:color w:val="000000"/>
        </w:rPr>
      </w:pPr>
      <w:r w:rsidRPr="00D71DBF">
        <w:rPr>
          <w:rFonts w:asciiTheme="minorHAnsi" w:eastAsiaTheme="minorEastAsia" w:hAnsiTheme="minorHAnsi" w:cs="Calibri"/>
          <w:color w:val="000000"/>
        </w:rPr>
        <w:t>H2b. There are no statistically significant differences in representativeness (demographic characteristics) between the Control and the Experimental Group</w:t>
      </w:r>
      <w:r w:rsidRPr="00D71DBF">
        <w:rPr>
          <w:rFonts w:eastAsia="Garamond" w:asciiTheme="minorHAnsi" w:hAnsiTheme="minorHAnsi" w:cs="Garamond"/>
        </w:rPr>
        <w:t>.</w:t>
      </w:r>
      <w:r w:rsidR="00FB3F40">
        <w:rPr>
          <w:rFonts w:eastAsia="Garamond" w:cs="Garamond"/>
        </w:rPr>
        <w:t xml:space="preserve"> </w:t>
      </w:r>
    </w:p>
    <w:p w:rsidR="002F1BDA" w:rsidRPr="002F1BDA" w:rsidP="002F1BDA" w14:paraId="6C00965D" w14:textId="4B4E2253">
      <w:pPr>
        <w:pStyle w:val="Heading3"/>
      </w:pPr>
      <w:bookmarkStart w:id="68" w:name="_Toc140136667"/>
      <w:r>
        <w:t>BPS:20/25 Field Test Data Collection Procedures</w:t>
      </w:r>
      <w:bookmarkEnd w:id="68"/>
      <w:r>
        <w:t xml:space="preserve"> </w:t>
      </w:r>
    </w:p>
    <w:p w:rsidR="002F1BDA" w:rsidRPr="001C2BC1" w:rsidP="002F1BDA" w14:paraId="23B23A0B" w14:textId="17CE1798">
      <w:pPr>
        <w:pStyle w:val="NormalWeb"/>
        <w:spacing w:before="0" w:beforeAutospacing="0" w:after="120" w:afterAutospacing="0"/>
        <w:rPr>
          <w:rFonts w:ascii="Garamond" w:hAnsi="Garamond" w:cs="Calibri"/>
          <w:color w:val="000000"/>
        </w:rPr>
      </w:pPr>
      <w:r w:rsidRPr="001C2BC1">
        <w:rPr>
          <w:rFonts w:ascii="Garamond" w:hAnsi="Garamond" w:cs="Calibri"/>
          <w:color w:val="000000"/>
        </w:rPr>
        <w:t xml:space="preserve">BPS:20/25 field test data collection will use two distinct data collection groups and three main data collection phases. This approach builds upon the designs implemented in other longitudinal studies where it has contributed to maximizing response rates and minimizing the potential for nonresponse bias (e.g., BPS:12/14, </w:t>
      </w:r>
      <w:r w:rsidR="00067D63">
        <w:rPr>
          <w:rFonts w:ascii="Garamond" w:hAnsi="Garamond" w:cs="Calibri"/>
          <w:color w:val="000000"/>
        </w:rPr>
        <w:t>B</w:t>
      </w:r>
      <w:r w:rsidRPr="001C2BC1">
        <w:rPr>
          <w:rFonts w:ascii="Garamond" w:hAnsi="Garamond" w:cs="Calibri"/>
          <w:color w:val="000000"/>
        </w:rPr>
        <w:t xml:space="preserve">PS:12/17, BPS: 20/22, B&amp;B:16/17, </w:t>
      </w:r>
      <w:r w:rsidR="00D925A0">
        <w:rPr>
          <w:rFonts w:ascii="Garamond" w:hAnsi="Garamond" w:cs="Calibri"/>
          <w:color w:val="000000"/>
        </w:rPr>
        <w:t xml:space="preserve">and </w:t>
      </w:r>
      <w:r w:rsidRPr="001C2BC1">
        <w:rPr>
          <w:rFonts w:ascii="Garamond" w:hAnsi="Garamond" w:cs="Calibri"/>
          <w:color w:val="000000"/>
        </w:rPr>
        <w:t>B&amp;B:08/18). In BPS:20/25, we plan to implement differential treatments based on prior round response status, an approach that was successfully implemented in the B&amp;B:16/17 field test, where NPSAS:16 field test nonrespondents received either an aggressive or a default protocol. The response rate among NPSAS:16 field test nonrespondents who received the aggressive protocol was about 12</w:t>
      </w:r>
      <w:r w:rsidR="00D925A0">
        <w:rPr>
          <w:rFonts w:ascii="Garamond" w:hAnsi="Garamond" w:cs="Calibri"/>
          <w:color w:val="000000"/>
        </w:rPr>
        <w:t xml:space="preserve"> </w:t>
      </w:r>
      <w:r w:rsidR="00356805">
        <w:rPr>
          <w:rFonts w:ascii="Garamond" w:hAnsi="Garamond" w:cs="Calibri"/>
          <w:color w:val="000000"/>
        </w:rPr>
        <w:t>percentage points</w:t>
      </w:r>
      <w:r w:rsidRPr="001C2BC1" w:rsidR="00D925A0">
        <w:rPr>
          <w:rFonts w:ascii="Garamond" w:hAnsi="Garamond" w:cs="Calibri"/>
          <w:color w:val="000000"/>
        </w:rPr>
        <w:t xml:space="preserve"> </w:t>
      </w:r>
      <w:r w:rsidRPr="001C2BC1">
        <w:rPr>
          <w:rFonts w:ascii="Garamond" w:hAnsi="Garamond" w:cs="Calibri"/>
          <w:color w:val="000000"/>
        </w:rPr>
        <w:t>higher than the group that received the default protocol (37</w:t>
      </w:r>
      <w:r w:rsidR="00D925A0">
        <w:rPr>
          <w:rFonts w:ascii="Garamond" w:hAnsi="Garamond" w:cs="Calibri"/>
          <w:color w:val="000000"/>
        </w:rPr>
        <w:t xml:space="preserve"> percent</w:t>
      </w:r>
      <w:r w:rsidRPr="001C2BC1">
        <w:rPr>
          <w:rFonts w:ascii="Garamond" w:hAnsi="Garamond" w:cs="Calibri"/>
          <w:color w:val="000000"/>
        </w:rPr>
        <w:t>; default 25</w:t>
      </w:r>
      <w:r w:rsidR="00D925A0">
        <w:rPr>
          <w:rFonts w:ascii="Garamond" w:hAnsi="Garamond" w:cs="Calibri"/>
          <w:color w:val="000000"/>
        </w:rPr>
        <w:t xml:space="preserve"> percent</w:t>
      </w:r>
      <w:r w:rsidRPr="001C2BC1" w:rsidR="00D925A0">
        <w:rPr>
          <w:rFonts w:ascii="Garamond" w:hAnsi="Garamond" w:cs="Calibri"/>
          <w:color w:val="000000"/>
        </w:rPr>
        <w:t xml:space="preserve"> </w:t>
      </w:r>
      <w:r w:rsidRPr="001C2BC1">
        <w:rPr>
          <w:rFonts w:ascii="Garamond" w:hAnsi="Garamond" w:cs="Calibri"/>
          <w:color w:val="000000"/>
        </w:rPr>
        <w:t xml:space="preserve">response rate </w:t>
      </w:r>
      <w:r w:rsidRPr="001C2BC1">
        <w:rPr>
          <w:rFonts w:ascii="Garamond" w:hAnsi="Garamond" w:cs="Calibri"/>
          <w:color w:val="000000"/>
        </w:rPr>
        <w:t>t(</w:t>
      </w:r>
      <w:r w:rsidRPr="001C2BC1">
        <w:rPr>
          <w:rFonts w:ascii="Garamond" w:hAnsi="Garamond" w:cs="Calibri"/>
          <w:color w:val="000000"/>
        </w:rPr>
        <w:t xml:space="preserve">2,097) = 3.52, p &lt; .001). </w:t>
      </w:r>
      <w:r w:rsidRPr="001C2BC1">
        <w:rPr>
          <w:rFonts w:ascii="Garamond" w:hAnsi="Garamond" w:cs="Calibri"/>
          <w:color w:val="000000"/>
        </w:rPr>
        <w:br/>
      </w:r>
      <w:r>
        <w:rPr>
          <w:rFonts w:ascii="Calibri" w:hAnsi="Calibri" w:cs="Calibri"/>
          <w:color w:val="000000"/>
        </w:rPr>
        <w:br/>
      </w:r>
      <w:r w:rsidRPr="001C2BC1">
        <w:rPr>
          <w:rFonts w:ascii="Garamond" w:hAnsi="Garamond" w:cs="Calibri"/>
          <w:color w:val="000000"/>
        </w:rPr>
        <w:t>For the BPS:20/25 field test design, we will use the following two data collection groups:</w:t>
      </w:r>
    </w:p>
    <w:p w:rsidR="00942E20" w:rsidRPr="00FB3F40" w:rsidP="002D5F12" w14:paraId="14993B64" w14:textId="4BBF5467">
      <w:pPr>
        <w:pStyle w:val="NormalWeb"/>
        <w:numPr>
          <w:ilvl w:val="0"/>
          <w:numId w:val="40"/>
        </w:numPr>
        <w:spacing w:before="0" w:beforeAutospacing="0" w:after="0" w:afterAutospacing="0"/>
        <w:ind w:left="720"/>
        <w:rPr>
          <w:rFonts w:ascii="Garamond" w:hAnsi="Garamond" w:cs="Calibri"/>
          <w:color w:val="000000"/>
        </w:rPr>
      </w:pPr>
      <w:r w:rsidRPr="001C2BC1">
        <w:rPr>
          <w:rFonts w:ascii="Garamond" w:hAnsi="Garamond" w:cs="Calibri"/>
          <w:color w:val="000000" w:themeColor="text1"/>
          <w:u w:val="single"/>
        </w:rPr>
        <w:t>Default Group</w:t>
      </w:r>
      <w:r w:rsidRPr="001C2BC1">
        <w:rPr>
          <w:rFonts w:ascii="Garamond" w:hAnsi="Garamond" w:cs="Calibri"/>
          <w:color w:val="000000" w:themeColor="text1"/>
        </w:rPr>
        <w:t xml:space="preserve">: </w:t>
      </w:r>
      <w:r>
        <w:rPr>
          <w:rFonts w:ascii="Garamond" w:hAnsi="Garamond" w:cs="Calibri"/>
          <w:color w:val="000000" w:themeColor="text1"/>
        </w:rPr>
        <w:t xml:space="preserve">Any sample member that </w:t>
      </w:r>
      <w:r w:rsidR="00E91441">
        <w:rPr>
          <w:rFonts w:ascii="Garamond" w:hAnsi="Garamond" w:cs="Calibri"/>
          <w:color w:val="000000" w:themeColor="text1"/>
        </w:rPr>
        <w:t>r</w:t>
      </w:r>
      <w:r w:rsidR="007631AE">
        <w:rPr>
          <w:rFonts w:ascii="Garamond" w:hAnsi="Garamond" w:cs="Calibri"/>
          <w:color w:val="000000" w:themeColor="text1"/>
        </w:rPr>
        <w:t>esponde</w:t>
      </w:r>
      <w:r w:rsidR="00E91441">
        <w:rPr>
          <w:rFonts w:ascii="Garamond" w:hAnsi="Garamond" w:cs="Calibri"/>
          <w:color w:val="000000" w:themeColor="text1"/>
        </w:rPr>
        <w:t>d</w:t>
      </w:r>
      <w:r>
        <w:rPr>
          <w:rFonts w:ascii="Garamond" w:hAnsi="Garamond" w:cs="Calibri"/>
          <w:color w:val="000000" w:themeColor="text1"/>
        </w:rPr>
        <w:t xml:space="preserve"> </w:t>
      </w:r>
      <w:r w:rsidR="004674DE">
        <w:rPr>
          <w:rFonts w:ascii="Garamond" w:hAnsi="Garamond" w:cs="Calibri"/>
          <w:color w:val="000000" w:themeColor="text1"/>
        </w:rPr>
        <w:t>to</w:t>
      </w:r>
      <w:r>
        <w:rPr>
          <w:rFonts w:ascii="Garamond" w:hAnsi="Garamond" w:cs="Calibri"/>
          <w:color w:val="000000" w:themeColor="text1"/>
        </w:rPr>
        <w:t xml:space="preserve"> </w:t>
      </w:r>
      <w:r w:rsidR="00913CB5">
        <w:rPr>
          <w:rFonts w:ascii="Garamond" w:hAnsi="Garamond" w:cs="Calibri"/>
          <w:color w:val="000000" w:themeColor="text1"/>
        </w:rPr>
        <w:t>all</w:t>
      </w:r>
      <w:r>
        <w:rPr>
          <w:rFonts w:ascii="Garamond" w:hAnsi="Garamond" w:cs="Calibri"/>
          <w:color w:val="000000" w:themeColor="text1"/>
        </w:rPr>
        <w:t xml:space="preserve"> </w:t>
      </w:r>
      <w:r w:rsidRPr="001C2BC1" w:rsidR="000D62FC">
        <w:rPr>
          <w:rFonts w:ascii="Garamond" w:hAnsi="Garamond" w:cs="Calibri"/>
          <w:color w:val="000000" w:themeColor="text1"/>
        </w:rPr>
        <w:t>NPSAS:20</w:t>
      </w:r>
      <w:r w:rsidR="000D62FC">
        <w:rPr>
          <w:rFonts w:ascii="Garamond" w:hAnsi="Garamond" w:cs="Calibri"/>
          <w:color w:val="000000" w:themeColor="text1"/>
        </w:rPr>
        <w:t xml:space="preserve"> and </w:t>
      </w:r>
      <w:r w:rsidRPr="001C2BC1" w:rsidR="000D62FC">
        <w:rPr>
          <w:rFonts w:ascii="Garamond" w:hAnsi="Garamond" w:cs="Calibri"/>
          <w:color w:val="000000" w:themeColor="text1"/>
        </w:rPr>
        <w:t xml:space="preserve">BPS:20/22 </w:t>
      </w:r>
      <w:r>
        <w:rPr>
          <w:rFonts w:ascii="Garamond" w:hAnsi="Garamond" w:cs="Calibri"/>
          <w:color w:val="000000" w:themeColor="text1"/>
        </w:rPr>
        <w:t>survey requests (n = 1,989), including:</w:t>
      </w:r>
    </w:p>
    <w:p w:rsidR="00942E20" w:rsidRPr="00FB3F40" w:rsidP="00942E20" w14:paraId="63E40CBC" w14:textId="76BDB623">
      <w:pPr>
        <w:pStyle w:val="NormalWeb"/>
        <w:numPr>
          <w:ilvl w:val="1"/>
          <w:numId w:val="40"/>
        </w:numPr>
        <w:spacing w:before="0" w:beforeAutospacing="0" w:after="0" w:afterAutospacing="0"/>
        <w:rPr>
          <w:rFonts w:ascii="Garamond" w:hAnsi="Garamond" w:cs="Calibri"/>
          <w:color w:val="000000"/>
        </w:rPr>
      </w:pPr>
      <w:r w:rsidRPr="001C2BC1">
        <w:rPr>
          <w:rFonts w:ascii="Garamond" w:hAnsi="Garamond" w:cs="Calibri"/>
          <w:color w:val="000000" w:themeColor="text1"/>
        </w:rPr>
        <w:t xml:space="preserve">NPSAS:20 </w:t>
      </w:r>
      <w:r w:rsidRPr="001C2BC1">
        <w:rPr>
          <w:rFonts w:ascii="Garamond" w:hAnsi="Garamond" w:cs="Calibri"/>
          <w:i/>
          <w:color w:val="000000" w:themeColor="text1"/>
        </w:rPr>
        <w:t>and</w:t>
      </w:r>
      <w:r w:rsidRPr="001C2BC1">
        <w:rPr>
          <w:rFonts w:ascii="Garamond" w:hAnsi="Garamond" w:cs="Calibri"/>
          <w:color w:val="000000" w:themeColor="text1"/>
        </w:rPr>
        <w:t xml:space="preserve"> BPS:20/22 </w:t>
      </w:r>
      <w:r w:rsidR="00D925A0">
        <w:rPr>
          <w:rFonts w:ascii="Garamond" w:hAnsi="Garamond" w:cs="Calibri"/>
          <w:color w:val="000000" w:themeColor="text1"/>
        </w:rPr>
        <w:t>survey</w:t>
      </w:r>
      <w:r w:rsidRPr="001C2BC1" w:rsidR="00D925A0">
        <w:rPr>
          <w:rFonts w:ascii="Garamond" w:hAnsi="Garamond" w:cs="Calibri"/>
          <w:color w:val="000000" w:themeColor="text1"/>
        </w:rPr>
        <w:t xml:space="preserve"> </w:t>
      </w:r>
      <w:r w:rsidRPr="001C2BC1">
        <w:rPr>
          <w:rFonts w:ascii="Garamond" w:hAnsi="Garamond" w:cs="Calibri"/>
          <w:color w:val="000000" w:themeColor="text1"/>
        </w:rPr>
        <w:t>respondents</w:t>
      </w:r>
      <w:r w:rsidRPr="00942E20">
        <w:rPr>
          <w:rFonts w:ascii="Garamond" w:hAnsi="Garamond" w:cs="Calibri"/>
          <w:color w:val="000000" w:themeColor="text1"/>
        </w:rPr>
        <w:t xml:space="preserve">, excluding </w:t>
      </w:r>
      <w:r w:rsidRPr="00F93B35" w:rsidR="00F93B35">
        <w:rPr>
          <w:rFonts w:ascii="Garamond" w:hAnsi="Garamond" w:cs="Calibri"/>
          <w:color w:val="000000" w:themeColor="text1"/>
        </w:rPr>
        <w:t xml:space="preserve">BPS:20/22 </w:t>
      </w:r>
      <w:r w:rsidRPr="00942E20">
        <w:rPr>
          <w:rFonts w:ascii="Garamond" w:hAnsi="Garamond" w:cs="Calibri"/>
          <w:color w:val="000000" w:themeColor="text1"/>
        </w:rPr>
        <w:t xml:space="preserve">final partials </w:t>
      </w:r>
      <w:r w:rsidRPr="001C2BC1">
        <w:rPr>
          <w:rFonts w:ascii="Garamond" w:hAnsi="Garamond" w:cs="Calibri"/>
          <w:color w:val="000000" w:themeColor="text1"/>
        </w:rPr>
        <w:t>(n = 1,</w:t>
      </w:r>
      <w:r>
        <w:rPr>
          <w:rFonts w:ascii="Garamond" w:hAnsi="Garamond" w:cs="Calibri"/>
          <w:color w:val="000000" w:themeColor="text1"/>
        </w:rPr>
        <w:t>741</w:t>
      </w:r>
      <w:r w:rsidRPr="001C2BC1">
        <w:rPr>
          <w:rFonts w:ascii="Garamond" w:hAnsi="Garamond" w:cs="Calibri"/>
          <w:color w:val="000000" w:themeColor="text1"/>
        </w:rPr>
        <w:t xml:space="preserve">) </w:t>
      </w:r>
    </w:p>
    <w:p w:rsidR="009B7455" w:rsidP="00E46BCF" w14:paraId="3C4D2C4C" w14:textId="40D48274">
      <w:pPr>
        <w:pStyle w:val="NormalWeb"/>
        <w:numPr>
          <w:ilvl w:val="1"/>
          <w:numId w:val="40"/>
        </w:numPr>
        <w:spacing w:before="0" w:beforeAutospacing="0" w:after="0" w:afterAutospacing="0"/>
        <w:rPr>
          <w:rFonts w:ascii="Garamond" w:hAnsi="Garamond" w:cs="Calibri"/>
          <w:color w:val="000000"/>
        </w:rPr>
      </w:pPr>
      <w:r w:rsidRPr="001C2BC1">
        <w:rPr>
          <w:rFonts w:ascii="Garamond" w:hAnsi="Garamond" w:cs="Calibri"/>
          <w:color w:val="000000" w:themeColor="text1"/>
        </w:rPr>
        <w:t>NPSAS:20</w:t>
      </w:r>
      <w:r>
        <w:rPr>
          <w:rFonts w:ascii="Garamond" w:hAnsi="Garamond" w:cs="Calibri"/>
          <w:color w:val="000000" w:themeColor="text1"/>
        </w:rPr>
        <w:t xml:space="preserve"> administrative only cases wh</w:t>
      </w:r>
      <w:r w:rsidR="00CD1E79">
        <w:rPr>
          <w:rFonts w:ascii="Garamond" w:hAnsi="Garamond" w:cs="Calibri"/>
          <w:color w:val="000000" w:themeColor="text1"/>
        </w:rPr>
        <w:t xml:space="preserve">o were also </w:t>
      </w:r>
      <w:r w:rsidRPr="001C2BC1" w:rsidR="00CD1E79">
        <w:rPr>
          <w:rFonts w:ascii="Garamond" w:hAnsi="Garamond" w:cs="Calibri"/>
          <w:color w:val="000000" w:themeColor="text1"/>
        </w:rPr>
        <w:t xml:space="preserve">BPS:20/22 </w:t>
      </w:r>
      <w:r w:rsidR="00CD1E79">
        <w:rPr>
          <w:rFonts w:ascii="Garamond" w:hAnsi="Garamond" w:cs="Calibri"/>
          <w:color w:val="000000" w:themeColor="text1"/>
        </w:rPr>
        <w:t>survey</w:t>
      </w:r>
      <w:r w:rsidRPr="001C2BC1" w:rsidR="00CD1E79">
        <w:rPr>
          <w:rFonts w:ascii="Garamond" w:hAnsi="Garamond" w:cs="Calibri"/>
          <w:color w:val="000000" w:themeColor="text1"/>
        </w:rPr>
        <w:t xml:space="preserve"> respondents</w:t>
      </w:r>
      <w:r w:rsidRPr="00942E20" w:rsidR="00CD1E79">
        <w:rPr>
          <w:rFonts w:ascii="Garamond" w:hAnsi="Garamond" w:cs="Calibri"/>
          <w:color w:val="000000" w:themeColor="text1"/>
        </w:rPr>
        <w:t xml:space="preserve">, excluding </w:t>
      </w:r>
      <w:r w:rsidRPr="00F93B35" w:rsidR="00F93B35">
        <w:rPr>
          <w:rFonts w:ascii="Garamond" w:hAnsi="Garamond" w:cs="Calibri"/>
          <w:color w:val="000000" w:themeColor="text1"/>
        </w:rPr>
        <w:t xml:space="preserve">BPS:20/22 </w:t>
      </w:r>
      <w:r w:rsidRPr="00942E20" w:rsidR="00CD1E79">
        <w:rPr>
          <w:rFonts w:ascii="Garamond" w:hAnsi="Garamond" w:cs="Calibri"/>
          <w:color w:val="000000" w:themeColor="text1"/>
        </w:rPr>
        <w:t xml:space="preserve">final partials </w:t>
      </w:r>
      <w:r w:rsidRPr="001C2BC1" w:rsidR="00CD1E79">
        <w:rPr>
          <w:rFonts w:ascii="Garamond" w:hAnsi="Garamond" w:cs="Calibri"/>
          <w:color w:val="000000" w:themeColor="text1"/>
        </w:rPr>
        <w:t xml:space="preserve">(n = </w:t>
      </w:r>
      <w:r w:rsidR="00626E41">
        <w:rPr>
          <w:rFonts w:ascii="Garamond" w:hAnsi="Garamond" w:cs="Calibri"/>
          <w:color w:val="000000" w:themeColor="text1"/>
        </w:rPr>
        <w:t>142)</w:t>
      </w:r>
    </w:p>
    <w:p w:rsidR="002F1BDA" w:rsidRPr="001C2BC1" w:rsidP="00FB3F40" w14:paraId="076977D7" w14:textId="56369146">
      <w:pPr>
        <w:pStyle w:val="NormalWeb"/>
        <w:numPr>
          <w:ilvl w:val="1"/>
          <w:numId w:val="40"/>
        </w:numPr>
        <w:spacing w:before="0" w:beforeAutospacing="0" w:after="0" w:afterAutospacing="0"/>
        <w:rPr>
          <w:rFonts w:ascii="Garamond" w:hAnsi="Garamond" w:cs="Calibri"/>
          <w:color w:val="000000"/>
        </w:rPr>
      </w:pPr>
      <w:r>
        <w:rPr>
          <w:rFonts w:ascii="Garamond" w:hAnsi="Garamond" w:cs="Calibri"/>
          <w:color w:val="000000"/>
        </w:rPr>
        <w:t xml:space="preserve">NPSAS:20 ineligible </w:t>
      </w:r>
      <w:r w:rsidR="00F93B35">
        <w:rPr>
          <w:rFonts w:ascii="Garamond" w:hAnsi="Garamond" w:cs="Calibri"/>
          <w:color w:val="000000"/>
        </w:rPr>
        <w:t>respondents who, via a screener,</w:t>
      </w:r>
      <w:r w:rsidRPr="001C2BC1">
        <w:rPr>
          <w:rFonts w:ascii="Garamond" w:hAnsi="Garamond" w:cs="Calibri"/>
          <w:color w:val="000000" w:themeColor="text1"/>
        </w:rPr>
        <w:t xml:space="preserve"> self-identified that they began their postsecondary education between July 1, </w:t>
      </w:r>
      <w:r w:rsidRPr="001C2BC1">
        <w:rPr>
          <w:rFonts w:ascii="Garamond" w:hAnsi="Garamond" w:cs="Calibri"/>
          <w:color w:val="000000" w:themeColor="text1"/>
        </w:rPr>
        <w:t>2018</w:t>
      </w:r>
      <w:r w:rsidRPr="001C2BC1">
        <w:rPr>
          <w:rFonts w:ascii="Garamond" w:hAnsi="Garamond" w:cs="Calibri"/>
          <w:color w:val="000000" w:themeColor="text1"/>
        </w:rPr>
        <w:t xml:space="preserve"> and April 30, 2019, excluding BPS:20/22 final partials</w:t>
      </w:r>
      <w:r w:rsidR="007631AE">
        <w:rPr>
          <w:rFonts w:ascii="Garamond" w:hAnsi="Garamond" w:cs="Calibri"/>
          <w:color w:val="000000" w:themeColor="text1"/>
        </w:rPr>
        <w:t xml:space="preserve"> (n =</w:t>
      </w:r>
      <w:r w:rsidR="00A22976">
        <w:rPr>
          <w:rFonts w:ascii="Garamond" w:hAnsi="Garamond" w:cs="Calibri"/>
          <w:color w:val="000000" w:themeColor="text1"/>
        </w:rPr>
        <w:t xml:space="preserve"> 106)</w:t>
      </w:r>
      <w:r w:rsidRPr="001C2BC1">
        <w:rPr>
          <w:rFonts w:ascii="Garamond" w:hAnsi="Garamond" w:cs="Calibri"/>
          <w:color w:val="000000" w:themeColor="text1"/>
        </w:rPr>
        <w:t xml:space="preserve">. </w:t>
      </w:r>
    </w:p>
    <w:p w:rsidR="002F1BDA" w:rsidRPr="001C2BC1" w:rsidP="002D5F12" w14:paraId="74271D4A" w14:textId="1A4C2753">
      <w:pPr>
        <w:pStyle w:val="NormalWeb"/>
        <w:numPr>
          <w:ilvl w:val="0"/>
          <w:numId w:val="40"/>
        </w:numPr>
        <w:spacing w:before="0" w:beforeAutospacing="0" w:after="0" w:afterAutospacing="0"/>
        <w:ind w:left="720"/>
        <w:rPr>
          <w:rFonts w:ascii="Garamond" w:hAnsi="Garamond" w:cs="Calibri"/>
          <w:color w:val="000000"/>
        </w:rPr>
      </w:pPr>
      <w:r w:rsidRPr="001C2BC1">
        <w:rPr>
          <w:rFonts w:ascii="Garamond" w:hAnsi="Garamond" w:cs="Calibri"/>
          <w:color w:val="000000" w:themeColor="text1"/>
          <w:u w:val="single"/>
        </w:rPr>
        <w:t>Aggressive Group</w:t>
      </w:r>
      <w:r w:rsidRPr="001C2BC1">
        <w:rPr>
          <w:rFonts w:ascii="Garamond" w:hAnsi="Garamond" w:cs="Calibri"/>
          <w:color w:val="000000" w:themeColor="text1"/>
        </w:rPr>
        <w:t xml:space="preserve">: NPSAS:20 </w:t>
      </w:r>
      <w:r w:rsidR="00D925A0">
        <w:rPr>
          <w:rFonts w:ascii="Garamond" w:hAnsi="Garamond" w:cs="Calibri"/>
          <w:color w:val="000000" w:themeColor="text1"/>
        </w:rPr>
        <w:t>survey</w:t>
      </w:r>
      <w:r w:rsidRPr="001C2BC1" w:rsidR="00D925A0">
        <w:rPr>
          <w:rFonts w:ascii="Garamond" w:hAnsi="Garamond" w:cs="Calibri"/>
          <w:color w:val="000000" w:themeColor="text1"/>
        </w:rPr>
        <w:t xml:space="preserve"> </w:t>
      </w:r>
      <w:r w:rsidRPr="001C2BC1">
        <w:rPr>
          <w:rFonts w:ascii="Garamond" w:hAnsi="Garamond" w:cs="Calibri"/>
          <w:color w:val="000000" w:themeColor="text1"/>
        </w:rPr>
        <w:t xml:space="preserve">nonrespondents (n = 50), BPS:20/22 </w:t>
      </w:r>
      <w:r w:rsidR="00D925A0">
        <w:rPr>
          <w:rFonts w:ascii="Garamond" w:hAnsi="Garamond" w:cs="Calibri"/>
          <w:color w:val="000000" w:themeColor="text1"/>
        </w:rPr>
        <w:t>survey</w:t>
      </w:r>
      <w:r w:rsidRPr="001C2BC1" w:rsidR="00D925A0">
        <w:rPr>
          <w:rFonts w:ascii="Garamond" w:hAnsi="Garamond" w:cs="Calibri"/>
          <w:color w:val="000000" w:themeColor="text1"/>
        </w:rPr>
        <w:t xml:space="preserve"> </w:t>
      </w:r>
      <w:r w:rsidRPr="001C2BC1">
        <w:rPr>
          <w:rFonts w:ascii="Garamond" w:hAnsi="Garamond" w:cs="Calibri"/>
          <w:color w:val="000000" w:themeColor="text1"/>
        </w:rPr>
        <w:t xml:space="preserve">nonrespondents (n = 547), or BPS:20/22 </w:t>
      </w:r>
      <w:r w:rsidR="00D925A0">
        <w:rPr>
          <w:rFonts w:ascii="Garamond" w:hAnsi="Garamond" w:cs="Calibri"/>
          <w:color w:val="000000" w:themeColor="text1"/>
        </w:rPr>
        <w:t xml:space="preserve">survey </w:t>
      </w:r>
      <w:r w:rsidRPr="001C2BC1">
        <w:rPr>
          <w:rFonts w:ascii="Garamond" w:hAnsi="Garamond" w:cs="Calibri"/>
          <w:color w:val="000000" w:themeColor="text1"/>
        </w:rPr>
        <w:t xml:space="preserve">final partials (n = 76). The goal of this treatment is to convert reluctant </w:t>
      </w:r>
      <w:r w:rsidRPr="001C2BC1">
        <w:rPr>
          <w:rFonts w:ascii="Garamond" w:hAnsi="Garamond" w:cs="Calibri"/>
          <w:color w:val="000000" w:themeColor="text1"/>
        </w:rPr>
        <w:t>sample members (i.e., those who have not responded to a previous survey request) to participate in the study as early in data collection as possible.</w:t>
      </w:r>
    </w:p>
    <w:p w:rsidR="002F1BDA" w:rsidP="002F1BDA" w14:paraId="294650F4" w14:textId="58A295BC">
      <w:pPr>
        <w:pStyle w:val="NormalWeb"/>
        <w:spacing w:before="120" w:beforeAutospacing="0" w:after="120" w:afterAutospacing="0"/>
      </w:pPr>
      <w:r w:rsidRPr="001C2BC1">
        <w:rPr>
          <w:rFonts w:ascii="Garamond" w:hAnsi="Garamond" w:cs="Calibri"/>
          <w:color w:val="000000"/>
        </w:rPr>
        <w:t>Table 7</w:t>
      </w:r>
      <w:r w:rsidRPr="001C2BC1">
        <w:rPr>
          <w:rFonts w:ascii="Garamond" w:hAnsi="Garamond" w:cs="Calibri"/>
          <w:b/>
          <w:bCs/>
          <w:color w:val="000000"/>
        </w:rPr>
        <w:t xml:space="preserve"> </w:t>
      </w:r>
      <w:r w:rsidRPr="001C2BC1">
        <w:rPr>
          <w:rFonts w:ascii="Garamond" w:hAnsi="Garamond" w:cs="Calibri"/>
          <w:color w:val="000000"/>
        </w:rPr>
        <w:t>below presents the type and timing of interventions to be applied in the field test data collection by groups and protocol and is described in more detail in the next section.</w:t>
      </w:r>
    </w:p>
    <w:p w:rsidR="002F1BDA" w:rsidRPr="002C4402" w:rsidP="00261774" w14:paraId="099C7863" w14:textId="77777777">
      <w:pPr>
        <w:pStyle w:val="TableTitle"/>
      </w:pPr>
      <w:bookmarkStart w:id="69" w:name="_Toc140075251"/>
      <w:bookmarkStart w:id="70" w:name="_Toc140136675"/>
      <w:r>
        <w:t xml:space="preserve">Table </w:t>
      </w:r>
      <w:r w:rsidR="00252FFE">
        <w:fldChar w:fldCharType="begin"/>
      </w:r>
      <w:r w:rsidR="00252FFE">
        <w:instrText xml:space="preserve"> SEQ T</w:instrText>
      </w:r>
      <w:r w:rsidR="00252FFE">
        <w:instrText xml:space="preserve">able \* ARABIC </w:instrText>
      </w:r>
      <w:r w:rsidR="00252FFE">
        <w:fldChar w:fldCharType="separate"/>
      </w:r>
      <w:r>
        <w:rPr>
          <w:noProof/>
        </w:rPr>
        <w:t>7</w:t>
      </w:r>
      <w:r w:rsidR="00252FFE">
        <w:rPr>
          <w:noProof/>
        </w:rPr>
        <w:fldChar w:fldCharType="end"/>
      </w:r>
      <w:r>
        <w:t>.</w:t>
      </w:r>
      <w:r w:rsidRPr="002C4402">
        <w:t xml:space="preserve"> BPS:20/25 field test data collection protocols by data collection phase and group assignment</w:t>
      </w:r>
      <w:bookmarkEnd w:id="69"/>
      <w:bookmarkEnd w:id="70"/>
    </w:p>
    <w:tbl>
      <w:tblPr>
        <w:tblStyle w:val="GridTableLight"/>
        <w:tblW w:w="9170"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35"/>
        <w:gridCol w:w="3240"/>
        <w:gridCol w:w="3595"/>
      </w:tblGrid>
      <w:tr w14:paraId="20F3F254" w14:textId="77777777" w:rsidTr="00067D63">
        <w:tblPrEx>
          <w:tblW w:w="9170"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468"/>
        </w:trPr>
        <w:tc>
          <w:tcPr>
            <w:tcW w:w="2335" w:type="dxa"/>
            <w:hideMark/>
          </w:tcPr>
          <w:p w:rsidR="002F1BDA" w:rsidRPr="002C4402" w:rsidP="007868A9" w14:paraId="52C315FA" w14:textId="77777777">
            <w:pPr>
              <w:pStyle w:val="BodyText"/>
              <w:spacing w:before="0" w:after="0"/>
              <w:rPr>
                <w:rFonts w:asciiTheme="minorHAnsi" w:hAnsiTheme="minorHAnsi" w:cstheme="minorHAnsi"/>
                <w:szCs w:val="24"/>
              </w:rPr>
            </w:pPr>
          </w:p>
        </w:tc>
        <w:tc>
          <w:tcPr>
            <w:tcW w:w="6835" w:type="dxa"/>
            <w:gridSpan w:val="2"/>
            <w:hideMark/>
          </w:tcPr>
          <w:p w:rsidR="002F1BDA" w:rsidRPr="002C4402" w:rsidP="007868A9" w14:paraId="212EF183" w14:textId="77777777">
            <w:pPr>
              <w:pStyle w:val="BodyText"/>
              <w:spacing w:before="0" w:after="0"/>
              <w:jc w:val="center"/>
              <w:rPr>
                <w:rFonts w:asciiTheme="minorHAnsi" w:hAnsiTheme="minorHAnsi" w:cstheme="minorHAnsi"/>
                <w:szCs w:val="24"/>
              </w:rPr>
            </w:pPr>
            <w:r w:rsidRPr="002C4402">
              <w:rPr>
                <w:rFonts w:asciiTheme="minorHAnsi" w:hAnsiTheme="minorHAnsi" w:cstheme="minorHAnsi"/>
                <w:b/>
                <w:szCs w:val="24"/>
              </w:rPr>
              <w:t>Data Collection Group Assignments</w:t>
            </w:r>
          </w:p>
        </w:tc>
      </w:tr>
      <w:tr w14:paraId="285B44A7" w14:textId="77777777" w:rsidTr="00067D63">
        <w:tblPrEx>
          <w:tblW w:w="9170" w:type="dxa"/>
          <w:tblInd w:w="0" w:type="dxa"/>
          <w:tblLook w:val="04A0"/>
        </w:tblPrEx>
        <w:trPr>
          <w:trHeight w:val="80"/>
        </w:trPr>
        <w:tc>
          <w:tcPr>
            <w:tcW w:w="2335" w:type="dxa"/>
          </w:tcPr>
          <w:p w:rsidR="002F1BDA" w:rsidRPr="002C4402" w:rsidP="007868A9" w14:paraId="49A43BC9" w14:textId="77777777">
            <w:pPr>
              <w:pStyle w:val="BodyText"/>
              <w:spacing w:before="0" w:after="0"/>
              <w:rPr>
                <w:rFonts w:asciiTheme="minorHAnsi" w:hAnsiTheme="minorHAnsi" w:cstheme="minorHAnsi"/>
                <w:b/>
                <w:szCs w:val="24"/>
              </w:rPr>
            </w:pPr>
          </w:p>
        </w:tc>
        <w:tc>
          <w:tcPr>
            <w:tcW w:w="3240" w:type="dxa"/>
          </w:tcPr>
          <w:p w:rsidR="002F1BDA" w:rsidRPr="002C4402" w:rsidP="007868A9" w14:paraId="3C965B7F" w14:textId="77777777">
            <w:pPr>
              <w:pStyle w:val="BodyText"/>
              <w:spacing w:before="0" w:after="0"/>
              <w:jc w:val="center"/>
              <w:rPr>
                <w:rFonts w:asciiTheme="minorHAnsi" w:hAnsiTheme="minorHAnsi" w:cstheme="minorHAnsi"/>
                <w:szCs w:val="24"/>
              </w:rPr>
            </w:pPr>
            <w:r w:rsidRPr="002C4402">
              <w:rPr>
                <w:rFonts w:asciiTheme="minorHAnsi" w:hAnsiTheme="minorHAnsi" w:cstheme="minorHAnsi"/>
                <w:b/>
                <w:szCs w:val="24"/>
              </w:rPr>
              <w:t>Default Group</w:t>
            </w:r>
          </w:p>
        </w:tc>
        <w:tc>
          <w:tcPr>
            <w:tcW w:w="3595" w:type="dxa"/>
          </w:tcPr>
          <w:p w:rsidR="002F1BDA" w:rsidRPr="002C4402" w:rsidP="007868A9" w14:paraId="6F40E9EE" w14:textId="77777777">
            <w:pPr>
              <w:pStyle w:val="BodyText"/>
              <w:spacing w:before="0" w:after="0"/>
              <w:jc w:val="center"/>
              <w:rPr>
                <w:rFonts w:asciiTheme="minorHAnsi" w:hAnsiTheme="minorHAnsi" w:cstheme="minorHAnsi"/>
                <w:szCs w:val="24"/>
              </w:rPr>
            </w:pPr>
            <w:r w:rsidRPr="002C4402">
              <w:rPr>
                <w:rFonts w:asciiTheme="minorHAnsi" w:hAnsiTheme="minorHAnsi" w:cstheme="minorHAnsi"/>
                <w:b/>
                <w:szCs w:val="24"/>
              </w:rPr>
              <w:t>Aggressive Group</w:t>
            </w:r>
          </w:p>
        </w:tc>
      </w:tr>
      <w:tr w14:paraId="4C02E0A8" w14:textId="77777777" w:rsidTr="00067D63">
        <w:tblPrEx>
          <w:tblW w:w="9170" w:type="dxa"/>
          <w:tblInd w:w="0" w:type="dxa"/>
          <w:tblLook w:val="04A0"/>
        </w:tblPrEx>
        <w:trPr>
          <w:trHeight w:val="836"/>
        </w:trPr>
        <w:tc>
          <w:tcPr>
            <w:tcW w:w="2335" w:type="dxa"/>
            <w:hideMark/>
          </w:tcPr>
          <w:p w:rsidR="002F1BDA" w:rsidRPr="00FD4122" w:rsidP="00FD4122" w14:paraId="50657171" w14:textId="77777777">
            <w:pPr>
              <w:pStyle w:val="BodyText"/>
              <w:spacing w:before="0" w:after="0"/>
              <w:rPr>
                <w:rFonts w:ascii="Arial" w:hAnsi="Arial" w:cs="Arial"/>
                <w:sz w:val="16"/>
                <w:szCs w:val="16"/>
              </w:rPr>
            </w:pPr>
            <w:r w:rsidRPr="00FD4122">
              <w:rPr>
                <w:rFonts w:ascii="Arial" w:hAnsi="Arial" w:cs="Arial"/>
                <w:b/>
                <w:sz w:val="16"/>
                <w:szCs w:val="16"/>
              </w:rPr>
              <w:t> Sample</w:t>
            </w:r>
          </w:p>
        </w:tc>
        <w:tc>
          <w:tcPr>
            <w:tcW w:w="3240" w:type="dxa"/>
            <w:hideMark/>
          </w:tcPr>
          <w:p w:rsidR="002F1BDA" w:rsidRPr="00FD4122" w:rsidP="002F1BDA" w14:paraId="5EBDCD6C" w14:textId="055CCAEA">
            <w:pPr>
              <w:pStyle w:val="BodyText"/>
              <w:numPr>
                <w:ilvl w:val="0"/>
                <w:numId w:val="39"/>
              </w:numPr>
              <w:tabs>
                <w:tab w:val="clear" w:pos="720"/>
              </w:tabs>
              <w:spacing w:before="0" w:after="0"/>
              <w:ind w:left="303" w:hanging="270"/>
              <w:rPr>
                <w:rFonts w:ascii="Arial" w:hAnsi="Arial" w:cs="Arial"/>
                <w:sz w:val="16"/>
                <w:szCs w:val="16"/>
              </w:rPr>
            </w:pPr>
            <w:r w:rsidRPr="00FD4122">
              <w:rPr>
                <w:rFonts w:ascii="Arial" w:hAnsi="Arial" w:cs="Arial"/>
                <w:sz w:val="16"/>
                <w:szCs w:val="16"/>
              </w:rPr>
              <w:t xml:space="preserve">NPSAS:20 and BPS:20/22 </w:t>
            </w:r>
            <w:r w:rsidR="00D925A0">
              <w:rPr>
                <w:rFonts w:ascii="Arial" w:hAnsi="Arial" w:cs="Arial"/>
                <w:sz w:val="16"/>
                <w:szCs w:val="16"/>
              </w:rPr>
              <w:t>survey</w:t>
            </w:r>
            <w:r w:rsidRPr="00FD4122" w:rsidR="00D925A0">
              <w:rPr>
                <w:rFonts w:ascii="Arial" w:hAnsi="Arial" w:cs="Arial"/>
                <w:sz w:val="16"/>
                <w:szCs w:val="16"/>
              </w:rPr>
              <w:t xml:space="preserve"> </w:t>
            </w:r>
            <w:r w:rsidRPr="00FD4122">
              <w:rPr>
                <w:rFonts w:ascii="Arial" w:hAnsi="Arial" w:cs="Arial"/>
                <w:sz w:val="16"/>
                <w:szCs w:val="16"/>
              </w:rPr>
              <w:t>respondents, excluding final partials (n = 1,</w:t>
            </w:r>
            <w:r w:rsidR="000723ED">
              <w:rPr>
                <w:rFonts w:ascii="Arial" w:hAnsi="Arial" w:cs="Arial"/>
                <w:sz w:val="16"/>
                <w:szCs w:val="16"/>
              </w:rPr>
              <w:t>741)</w:t>
            </w:r>
          </w:p>
          <w:p w:rsidR="000F1ECB" w:rsidP="002F1BDA" w14:paraId="546FC951" w14:textId="09D781E4">
            <w:pPr>
              <w:pStyle w:val="BodyText"/>
              <w:numPr>
                <w:ilvl w:val="0"/>
                <w:numId w:val="39"/>
              </w:numPr>
              <w:tabs>
                <w:tab w:val="clear" w:pos="720"/>
              </w:tabs>
              <w:spacing w:before="0" w:after="0"/>
              <w:ind w:left="303" w:hanging="270"/>
              <w:rPr>
                <w:rFonts w:ascii="Arial" w:hAnsi="Arial" w:cs="Arial"/>
                <w:sz w:val="16"/>
                <w:szCs w:val="16"/>
              </w:rPr>
            </w:pPr>
            <w:r w:rsidRPr="005F6B40">
              <w:rPr>
                <w:rFonts w:ascii="Arial" w:hAnsi="Arial" w:cs="Arial"/>
                <w:sz w:val="16"/>
                <w:szCs w:val="16"/>
              </w:rPr>
              <w:t>NPSAS:20</w:t>
            </w:r>
            <w:r w:rsidR="00CB3E22">
              <w:rPr>
                <w:rFonts w:ascii="Arial" w:hAnsi="Arial" w:cs="Arial"/>
                <w:sz w:val="16"/>
                <w:szCs w:val="16"/>
              </w:rPr>
              <w:t xml:space="preserve"> </w:t>
            </w:r>
            <w:r w:rsidRPr="005F6B40">
              <w:rPr>
                <w:rFonts w:ascii="Arial" w:hAnsi="Arial" w:cs="Arial"/>
                <w:sz w:val="16"/>
                <w:szCs w:val="16"/>
              </w:rPr>
              <w:t>administrative only</w:t>
            </w:r>
            <w:r>
              <w:rPr>
                <w:rFonts w:ascii="Arial" w:hAnsi="Arial" w:cs="Arial"/>
                <w:sz w:val="16"/>
                <w:szCs w:val="16"/>
              </w:rPr>
              <w:t xml:space="preserve"> </w:t>
            </w:r>
            <w:r w:rsidR="007F46BF">
              <w:rPr>
                <w:rFonts w:ascii="Arial" w:hAnsi="Arial" w:cs="Arial"/>
                <w:sz w:val="16"/>
                <w:szCs w:val="16"/>
              </w:rPr>
              <w:t xml:space="preserve">cases </w:t>
            </w:r>
            <w:r>
              <w:rPr>
                <w:rFonts w:ascii="Arial" w:hAnsi="Arial" w:cs="Arial"/>
                <w:sz w:val="16"/>
                <w:szCs w:val="16"/>
              </w:rPr>
              <w:t>and BPS:20/22 survey respondents, excluding final partial</w:t>
            </w:r>
            <w:r w:rsidR="00F1555B">
              <w:rPr>
                <w:rFonts w:ascii="Arial" w:hAnsi="Arial" w:cs="Arial"/>
                <w:sz w:val="16"/>
                <w:szCs w:val="16"/>
              </w:rPr>
              <w:t>s</w:t>
            </w:r>
            <w:r>
              <w:rPr>
                <w:rFonts w:ascii="Arial" w:hAnsi="Arial" w:cs="Arial"/>
                <w:sz w:val="16"/>
                <w:szCs w:val="16"/>
              </w:rPr>
              <w:t xml:space="preserve"> (n = </w:t>
            </w:r>
            <w:r>
              <w:rPr>
                <w:rFonts w:ascii="Arial" w:hAnsi="Arial" w:cs="Arial"/>
                <w:sz w:val="16"/>
                <w:szCs w:val="16"/>
              </w:rPr>
              <w:t>142)</w:t>
            </w:r>
          </w:p>
          <w:p w:rsidR="00502541" w:rsidP="002F1BDA" w14:paraId="37C837C9" w14:textId="0BFF6D6C">
            <w:pPr>
              <w:pStyle w:val="BodyText"/>
              <w:numPr>
                <w:ilvl w:val="0"/>
                <w:numId w:val="39"/>
              </w:numPr>
              <w:tabs>
                <w:tab w:val="clear" w:pos="720"/>
              </w:tabs>
              <w:spacing w:before="0" w:after="0"/>
              <w:ind w:left="303" w:hanging="270"/>
              <w:rPr>
                <w:rFonts w:ascii="Arial" w:hAnsi="Arial" w:cs="Arial"/>
                <w:sz w:val="16"/>
                <w:szCs w:val="16"/>
              </w:rPr>
            </w:pPr>
            <w:r w:rsidRPr="00867D04">
              <w:rPr>
                <w:rFonts w:ascii="Arial" w:hAnsi="Arial" w:cs="Arial"/>
                <w:sz w:val="16"/>
                <w:szCs w:val="16"/>
              </w:rPr>
              <w:t xml:space="preserve">NPSAS:20-ineligible </w:t>
            </w:r>
            <w:r w:rsidR="00F1555B">
              <w:rPr>
                <w:rFonts w:ascii="Arial" w:hAnsi="Arial" w:cs="Arial"/>
                <w:sz w:val="16"/>
                <w:szCs w:val="16"/>
              </w:rPr>
              <w:t>screener</w:t>
            </w:r>
            <w:r w:rsidRPr="00867D04">
              <w:rPr>
                <w:rFonts w:ascii="Arial" w:hAnsi="Arial" w:cs="Arial"/>
                <w:sz w:val="16"/>
                <w:szCs w:val="16"/>
              </w:rPr>
              <w:t xml:space="preserve"> respondents </w:t>
            </w:r>
            <w:r w:rsidR="00F1555B">
              <w:rPr>
                <w:rFonts w:ascii="Arial" w:hAnsi="Arial" w:cs="Arial"/>
                <w:sz w:val="16"/>
                <w:szCs w:val="16"/>
              </w:rPr>
              <w:t xml:space="preserve">and BPS/22 survey respondents, excluding final partials </w:t>
            </w:r>
            <w:r w:rsidRPr="00867D04">
              <w:rPr>
                <w:rFonts w:ascii="Arial" w:hAnsi="Arial" w:cs="Arial"/>
                <w:sz w:val="16"/>
                <w:szCs w:val="16"/>
              </w:rPr>
              <w:t>(n = 1</w:t>
            </w:r>
            <w:r w:rsidR="00E97627">
              <w:rPr>
                <w:rFonts w:ascii="Arial" w:hAnsi="Arial" w:cs="Arial"/>
                <w:sz w:val="16"/>
                <w:szCs w:val="16"/>
              </w:rPr>
              <w:t>06</w:t>
            </w:r>
            <w:r w:rsidRPr="00867D04">
              <w:rPr>
                <w:rFonts w:ascii="Arial" w:hAnsi="Arial" w:cs="Arial"/>
                <w:sz w:val="16"/>
                <w:szCs w:val="16"/>
              </w:rPr>
              <w:t>)</w:t>
            </w:r>
          </w:p>
          <w:p w:rsidR="00E91F6E" w:rsidRPr="005532CC" w:rsidP="005532CC" w14:paraId="66F83305" w14:textId="75F04701">
            <w:pPr>
              <w:pStyle w:val="BodyText"/>
              <w:numPr>
                <w:ilvl w:val="0"/>
                <w:numId w:val="39"/>
              </w:numPr>
              <w:tabs>
                <w:tab w:val="clear" w:pos="720"/>
              </w:tabs>
              <w:spacing w:before="0" w:after="0"/>
              <w:ind w:left="303" w:hanging="270"/>
              <w:rPr>
                <w:rFonts w:ascii="Arial" w:hAnsi="Arial" w:cs="Arial"/>
                <w:sz w:val="16"/>
                <w:szCs w:val="16"/>
              </w:rPr>
            </w:pPr>
            <w:r>
              <w:rPr>
                <w:rFonts w:ascii="Arial" w:hAnsi="Arial" w:cs="Arial"/>
                <w:sz w:val="16"/>
                <w:szCs w:val="16"/>
              </w:rPr>
              <w:t>Total n = 1,989</w:t>
            </w:r>
          </w:p>
          <w:p w:rsidR="00E97627" w:rsidRPr="00FD4122" w:rsidP="00FB3F40" w14:paraId="06BC05AE" w14:textId="77777777">
            <w:pPr>
              <w:pStyle w:val="BodyText"/>
              <w:spacing w:before="0" w:after="0"/>
              <w:ind w:left="303"/>
              <w:rPr>
                <w:rFonts w:ascii="Arial" w:hAnsi="Arial" w:cs="Arial"/>
                <w:sz w:val="16"/>
                <w:szCs w:val="16"/>
              </w:rPr>
            </w:pPr>
          </w:p>
          <w:p w:rsidR="002F1BDA" w:rsidRPr="00FD4122" w:rsidP="007868A9" w14:paraId="327E8C1D" w14:textId="77777777">
            <w:pPr>
              <w:pStyle w:val="BodyText"/>
              <w:spacing w:before="0" w:after="0"/>
              <w:ind w:left="303"/>
              <w:rPr>
                <w:rFonts w:ascii="Arial" w:hAnsi="Arial" w:cs="Arial"/>
                <w:sz w:val="16"/>
                <w:szCs w:val="16"/>
              </w:rPr>
            </w:pPr>
          </w:p>
        </w:tc>
        <w:tc>
          <w:tcPr>
            <w:tcW w:w="3595" w:type="dxa"/>
            <w:hideMark/>
          </w:tcPr>
          <w:p w:rsidR="002F1BDA" w:rsidRPr="00FD4122" w:rsidP="002F1BDA" w14:paraId="3BD2133F" w14:textId="07682B6D">
            <w:pPr>
              <w:pStyle w:val="BodyText"/>
              <w:numPr>
                <w:ilvl w:val="0"/>
                <w:numId w:val="39"/>
              </w:numPr>
              <w:tabs>
                <w:tab w:val="clear" w:pos="720"/>
              </w:tabs>
              <w:spacing w:before="0" w:after="0"/>
              <w:ind w:left="303" w:hanging="270"/>
              <w:rPr>
                <w:rFonts w:ascii="Arial" w:hAnsi="Arial" w:cs="Arial"/>
                <w:sz w:val="16"/>
                <w:szCs w:val="16"/>
              </w:rPr>
            </w:pPr>
            <w:r w:rsidRPr="00FD4122">
              <w:rPr>
                <w:rFonts w:ascii="Arial" w:hAnsi="Arial" w:cs="Arial"/>
                <w:sz w:val="16"/>
                <w:szCs w:val="16"/>
              </w:rPr>
              <w:t xml:space="preserve">NPSAS:20 </w:t>
            </w:r>
            <w:r w:rsidR="00D925A0">
              <w:rPr>
                <w:rFonts w:ascii="Arial" w:hAnsi="Arial" w:cs="Arial"/>
                <w:sz w:val="16"/>
                <w:szCs w:val="16"/>
              </w:rPr>
              <w:t>survey</w:t>
            </w:r>
            <w:r w:rsidRPr="00FD4122" w:rsidR="00D925A0">
              <w:rPr>
                <w:rFonts w:ascii="Arial" w:hAnsi="Arial" w:cs="Arial"/>
                <w:sz w:val="16"/>
                <w:szCs w:val="16"/>
              </w:rPr>
              <w:t xml:space="preserve"> </w:t>
            </w:r>
            <w:r w:rsidRPr="00FD4122">
              <w:rPr>
                <w:rFonts w:ascii="Arial" w:hAnsi="Arial" w:cs="Arial"/>
                <w:sz w:val="16"/>
                <w:szCs w:val="16"/>
              </w:rPr>
              <w:t>nonrespondents (n = 50)</w:t>
            </w:r>
          </w:p>
          <w:p w:rsidR="002F1BDA" w:rsidRPr="00FD4122" w:rsidP="002F1BDA" w14:paraId="05392225" w14:textId="13751D28">
            <w:pPr>
              <w:pStyle w:val="BodyText"/>
              <w:numPr>
                <w:ilvl w:val="0"/>
                <w:numId w:val="39"/>
              </w:numPr>
              <w:tabs>
                <w:tab w:val="clear" w:pos="720"/>
              </w:tabs>
              <w:spacing w:before="0" w:after="0"/>
              <w:ind w:left="303" w:hanging="270"/>
              <w:rPr>
                <w:rFonts w:ascii="Arial" w:hAnsi="Arial" w:cs="Arial"/>
                <w:sz w:val="16"/>
                <w:szCs w:val="16"/>
              </w:rPr>
            </w:pPr>
            <w:r w:rsidRPr="00FD4122">
              <w:rPr>
                <w:rFonts w:ascii="Arial" w:hAnsi="Arial" w:cs="Arial"/>
                <w:sz w:val="16"/>
                <w:szCs w:val="16"/>
              </w:rPr>
              <w:t>BPS:20/22</w:t>
            </w:r>
            <w:r w:rsidR="00D925A0">
              <w:rPr>
                <w:rFonts w:ascii="Arial" w:hAnsi="Arial" w:cs="Arial"/>
                <w:sz w:val="16"/>
                <w:szCs w:val="16"/>
              </w:rPr>
              <w:t xml:space="preserve"> survey </w:t>
            </w:r>
            <w:r w:rsidRPr="00FD4122">
              <w:rPr>
                <w:rFonts w:ascii="Arial" w:hAnsi="Arial" w:cs="Arial"/>
                <w:sz w:val="16"/>
                <w:szCs w:val="16"/>
              </w:rPr>
              <w:t>nonrespondents (n = 547)</w:t>
            </w:r>
          </w:p>
          <w:p w:rsidR="002F1BDA" w:rsidP="002F1BDA" w14:paraId="377295F7" w14:textId="77777777">
            <w:pPr>
              <w:pStyle w:val="BodyText"/>
              <w:numPr>
                <w:ilvl w:val="0"/>
                <w:numId w:val="39"/>
              </w:numPr>
              <w:tabs>
                <w:tab w:val="clear" w:pos="720"/>
              </w:tabs>
              <w:spacing w:before="0" w:after="0"/>
              <w:ind w:left="303" w:hanging="270"/>
              <w:rPr>
                <w:rFonts w:ascii="Arial" w:hAnsi="Arial" w:cs="Arial"/>
                <w:sz w:val="16"/>
                <w:szCs w:val="16"/>
              </w:rPr>
            </w:pPr>
            <w:r w:rsidRPr="00FD4122">
              <w:rPr>
                <w:rFonts w:ascii="Arial" w:hAnsi="Arial" w:cs="Arial"/>
                <w:sz w:val="16"/>
                <w:szCs w:val="16"/>
              </w:rPr>
              <w:t xml:space="preserve">BPS:20/22 </w:t>
            </w:r>
            <w:r w:rsidR="00D925A0">
              <w:rPr>
                <w:rFonts w:ascii="Arial" w:hAnsi="Arial" w:cs="Arial"/>
                <w:sz w:val="16"/>
                <w:szCs w:val="16"/>
              </w:rPr>
              <w:t xml:space="preserve">survey </w:t>
            </w:r>
            <w:r w:rsidRPr="00FD4122">
              <w:rPr>
                <w:rFonts w:ascii="Arial" w:hAnsi="Arial" w:cs="Arial"/>
                <w:sz w:val="16"/>
                <w:szCs w:val="16"/>
              </w:rPr>
              <w:t>final partials (n = 76)</w:t>
            </w:r>
          </w:p>
          <w:p w:rsidR="002F1BDA" w:rsidRPr="00FD4122" w:rsidP="002F1BDA" w14:paraId="7BDF9923" w14:textId="394A6897">
            <w:pPr>
              <w:pStyle w:val="BodyText"/>
              <w:numPr>
                <w:ilvl w:val="0"/>
                <w:numId w:val="39"/>
              </w:numPr>
              <w:tabs>
                <w:tab w:val="clear" w:pos="720"/>
              </w:tabs>
              <w:spacing w:before="0" w:after="0"/>
              <w:ind w:left="303" w:hanging="270"/>
              <w:rPr>
                <w:rFonts w:ascii="Arial" w:hAnsi="Arial" w:cs="Arial"/>
                <w:sz w:val="16"/>
                <w:szCs w:val="16"/>
              </w:rPr>
            </w:pPr>
            <w:r>
              <w:rPr>
                <w:rFonts w:ascii="Arial" w:hAnsi="Arial" w:cs="Arial"/>
                <w:sz w:val="16"/>
                <w:szCs w:val="16"/>
              </w:rPr>
              <w:t xml:space="preserve">Total n = </w:t>
            </w:r>
            <w:r w:rsidR="00636C7A">
              <w:rPr>
                <w:rFonts w:ascii="Arial" w:hAnsi="Arial" w:cs="Arial"/>
                <w:sz w:val="16"/>
                <w:szCs w:val="16"/>
              </w:rPr>
              <w:t>673</w:t>
            </w:r>
          </w:p>
        </w:tc>
      </w:tr>
      <w:tr w14:paraId="36E2337C" w14:textId="77777777" w:rsidTr="00067D63">
        <w:tblPrEx>
          <w:tblW w:w="9170" w:type="dxa"/>
          <w:tblInd w:w="0" w:type="dxa"/>
          <w:tblLook w:val="04A0"/>
        </w:tblPrEx>
        <w:trPr>
          <w:trHeight w:val="278"/>
        </w:trPr>
        <w:tc>
          <w:tcPr>
            <w:tcW w:w="2335" w:type="dxa"/>
          </w:tcPr>
          <w:p w:rsidR="002F1BDA" w:rsidRPr="00FD4122" w:rsidP="00FD4122" w14:paraId="25715A22" w14:textId="77777777">
            <w:pPr>
              <w:pStyle w:val="BodyText"/>
              <w:spacing w:before="0" w:after="0"/>
              <w:rPr>
                <w:rFonts w:ascii="Arial" w:hAnsi="Arial" w:cs="Arial"/>
                <w:b/>
                <w:sz w:val="16"/>
                <w:szCs w:val="16"/>
              </w:rPr>
            </w:pPr>
            <w:r w:rsidRPr="00FD4122">
              <w:rPr>
                <w:rFonts w:ascii="Arial" w:hAnsi="Arial" w:cs="Arial"/>
                <w:b/>
                <w:sz w:val="16"/>
                <w:szCs w:val="16"/>
              </w:rPr>
              <w:t>Data Collection Protocols </w:t>
            </w:r>
          </w:p>
        </w:tc>
        <w:tc>
          <w:tcPr>
            <w:tcW w:w="3240" w:type="dxa"/>
          </w:tcPr>
          <w:p w:rsidR="002F1BDA" w:rsidRPr="00FD4122" w:rsidP="007868A9" w14:paraId="089BA0AC" w14:textId="77777777">
            <w:pPr>
              <w:pStyle w:val="BodyText"/>
              <w:spacing w:before="0" w:after="0"/>
              <w:ind w:left="303"/>
              <w:rPr>
                <w:rFonts w:ascii="Arial" w:hAnsi="Arial" w:cs="Arial"/>
                <w:sz w:val="16"/>
                <w:szCs w:val="16"/>
              </w:rPr>
            </w:pPr>
          </w:p>
        </w:tc>
        <w:tc>
          <w:tcPr>
            <w:tcW w:w="3595" w:type="dxa"/>
          </w:tcPr>
          <w:p w:rsidR="002F1BDA" w:rsidRPr="00FD4122" w:rsidP="007868A9" w14:paraId="556FA38D" w14:textId="77777777">
            <w:pPr>
              <w:pStyle w:val="BodyText"/>
              <w:spacing w:before="0" w:after="0"/>
              <w:ind w:left="303"/>
              <w:rPr>
                <w:rFonts w:ascii="Arial" w:hAnsi="Arial" w:cs="Arial"/>
                <w:sz w:val="16"/>
                <w:szCs w:val="16"/>
              </w:rPr>
            </w:pPr>
          </w:p>
        </w:tc>
      </w:tr>
      <w:tr w14:paraId="391399C6" w14:textId="77777777" w:rsidTr="00067D63">
        <w:tblPrEx>
          <w:tblW w:w="9170" w:type="dxa"/>
          <w:tblInd w:w="0" w:type="dxa"/>
          <w:tblLook w:val="04A0"/>
        </w:tblPrEx>
        <w:trPr>
          <w:trHeight w:val="170"/>
        </w:trPr>
        <w:tc>
          <w:tcPr>
            <w:tcW w:w="2335" w:type="dxa"/>
            <w:hideMark/>
          </w:tcPr>
          <w:p w:rsidR="002F1BDA" w:rsidRPr="00FD4122" w:rsidP="00FD4122" w14:paraId="1EDDFF08" w14:textId="77777777">
            <w:pPr>
              <w:pStyle w:val="BodyText"/>
              <w:spacing w:before="0" w:after="0"/>
              <w:ind w:left="157"/>
              <w:rPr>
                <w:rFonts w:ascii="Arial" w:hAnsi="Arial" w:cs="Arial"/>
                <w:sz w:val="16"/>
                <w:szCs w:val="16"/>
              </w:rPr>
            </w:pPr>
            <w:r w:rsidRPr="00FD4122">
              <w:rPr>
                <w:rFonts w:ascii="Arial" w:hAnsi="Arial" w:cs="Arial"/>
                <w:b/>
                <w:sz w:val="16"/>
                <w:szCs w:val="16"/>
              </w:rPr>
              <w:t>Prior to data collection</w:t>
            </w:r>
          </w:p>
        </w:tc>
        <w:tc>
          <w:tcPr>
            <w:tcW w:w="3240" w:type="dxa"/>
            <w:hideMark/>
          </w:tcPr>
          <w:p w:rsidR="002F1BDA" w:rsidRPr="00FD4122" w:rsidP="002F1BDA" w14:paraId="458D875C" w14:textId="77777777">
            <w:pPr>
              <w:pStyle w:val="BodyText"/>
              <w:numPr>
                <w:ilvl w:val="0"/>
                <w:numId w:val="39"/>
              </w:numPr>
              <w:tabs>
                <w:tab w:val="clear" w:pos="720"/>
              </w:tabs>
              <w:spacing w:before="0" w:after="0"/>
              <w:ind w:left="303" w:hanging="270"/>
              <w:rPr>
                <w:rFonts w:ascii="Arial" w:hAnsi="Arial" w:cs="Arial"/>
                <w:sz w:val="16"/>
                <w:szCs w:val="16"/>
              </w:rPr>
            </w:pPr>
            <w:r w:rsidRPr="00FD4122">
              <w:rPr>
                <w:rFonts w:ascii="Arial" w:hAnsi="Arial" w:cs="Arial"/>
                <w:sz w:val="16"/>
                <w:szCs w:val="16"/>
              </w:rPr>
              <w:t>Greeting card</w:t>
            </w:r>
          </w:p>
        </w:tc>
        <w:tc>
          <w:tcPr>
            <w:tcW w:w="3595" w:type="dxa"/>
          </w:tcPr>
          <w:p w:rsidR="002F1BDA" w:rsidRPr="00FD4122" w:rsidP="002F1BDA" w14:paraId="618EA9C3" w14:textId="77777777">
            <w:pPr>
              <w:pStyle w:val="BodyText"/>
              <w:numPr>
                <w:ilvl w:val="0"/>
                <w:numId w:val="39"/>
              </w:numPr>
              <w:tabs>
                <w:tab w:val="clear" w:pos="720"/>
              </w:tabs>
              <w:spacing w:before="0" w:after="0"/>
              <w:ind w:left="303" w:hanging="270"/>
              <w:rPr>
                <w:rFonts w:ascii="Arial" w:hAnsi="Arial" w:cs="Arial"/>
                <w:sz w:val="16"/>
                <w:szCs w:val="16"/>
              </w:rPr>
            </w:pPr>
            <w:r w:rsidRPr="00FD4122">
              <w:rPr>
                <w:rFonts w:ascii="Arial" w:hAnsi="Arial" w:cs="Arial"/>
                <w:sz w:val="16"/>
                <w:szCs w:val="16"/>
              </w:rPr>
              <w:t>Greeting card</w:t>
            </w:r>
          </w:p>
        </w:tc>
      </w:tr>
      <w:tr w14:paraId="2856E890" w14:textId="77777777" w:rsidTr="00067D63">
        <w:tblPrEx>
          <w:tblW w:w="9170" w:type="dxa"/>
          <w:tblInd w:w="0" w:type="dxa"/>
          <w:tblLook w:val="04A0"/>
        </w:tblPrEx>
        <w:trPr>
          <w:trHeight w:val="593"/>
        </w:trPr>
        <w:tc>
          <w:tcPr>
            <w:tcW w:w="2335" w:type="dxa"/>
            <w:hideMark/>
          </w:tcPr>
          <w:p w:rsidR="002F1BDA" w:rsidRPr="00FD4122" w:rsidP="00FD4122" w14:paraId="3FFF050A" w14:textId="77777777">
            <w:pPr>
              <w:pStyle w:val="BodyText"/>
              <w:spacing w:before="0" w:after="0"/>
              <w:ind w:left="157"/>
              <w:rPr>
                <w:rFonts w:ascii="Arial" w:hAnsi="Arial" w:cs="Arial"/>
                <w:b/>
                <w:sz w:val="16"/>
                <w:szCs w:val="16"/>
              </w:rPr>
            </w:pPr>
            <w:r w:rsidRPr="00FD4122">
              <w:rPr>
                <w:rFonts w:ascii="Arial" w:hAnsi="Arial" w:cs="Arial"/>
                <w:b/>
                <w:sz w:val="16"/>
                <w:szCs w:val="16"/>
              </w:rPr>
              <w:t>Early completion phase (Weeks 1-4)</w:t>
            </w:r>
          </w:p>
          <w:p w:rsidR="002F1BDA" w:rsidRPr="00FD4122" w:rsidP="00FD4122" w14:paraId="35712EBE" w14:textId="77777777">
            <w:pPr>
              <w:pStyle w:val="BodyText"/>
              <w:spacing w:before="0" w:after="0"/>
              <w:ind w:left="157"/>
              <w:rPr>
                <w:rFonts w:ascii="Arial" w:hAnsi="Arial" w:cs="Arial"/>
                <w:sz w:val="16"/>
                <w:szCs w:val="16"/>
              </w:rPr>
            </w:pPr>
          </w:p>
        </w:tc>
        <w:tc>
          <w:tcPr>
            <w:tcW w:w="3240" w:type="dxa"/>
            <w:hideMark/>
          </w:tcPr>
          <w:p w:rsidR="002F1BDA" w:rsidRPr="00FD4122" w:rsidP="002F1BDA" w14:paraId="521B0E42" w14:textId="4B2E0981">
            <w:pPr>
              <w:pStyle w:val="BodyText"/>
              <w:numPr>
                <w:ilvl w:val="0"/>
                <w:numId w:val="39"/>
              </w:numPr>
              <w:tabs>
                <w:tab w:val="clear" w:pos="720"/>
              </w:tabs>
              <w:spacing w:before="0" w:after="0"/>
              <w:ind w:left="303" w:hanging="270"/>
              <w:rPr>
                <w:rFonts w:ascii="Arial" w:hAnsi="Arial" w:cs="Arial"/>
                <w:sz w:val="16"/>
                <w:szCs w:val="16"/>
              </w:rPr>
            </w:pPr>
            <w:r w:rsidRPr="00FD4122">
              <w:rPr>
                <w:rFonts w:ascii="Arial" w:hAnsi="Arial" w:cs="Arial"/>
                <w:sz w:val="16"/>
                <w:szCs w:val="16"/>
              </w:rPr>
              <w:t xml:space="preserve">DC announcement mail, text, and </w:t>
            </w:r>
            <w:r w:rsidR="002668CC">
              <w:rPr>
                <w:rFonts w:ascii="Arial" w:hAnsi="Arial" w:cs="Arial"/>
                <w:sz w:val="16"/>
                <w:szCs w:val="16"/>
              </w:rPr>
              <w:t>e-mail</w:t>
            </w:r>
          </w:p>
          <w:p w:rsidR="002F1BDA" w:rsidRPr="00FD4122" w:rsidP="007868A9" w14:paraId="72FECEA5" w14:textId="77777777">
            <w:pPr>
              <w:pStyle w:val="BodyText"/>
              <w:spacing w:before="0" w:after="0"/>
              <w:ind w:left="303"/>
              <w:rPr>
                <w:rFonts w:ascii="Arial" w:hAnsi="Arial" w:cs="Arial"/>
                <w:sz w:val="16"/>
                <w:szCs w:val="16"/>
              </w:rPr>
            </w:pPr>
          </w:p>
        </w:tc>
        <w:tc>
          <w:tcPr>
            <w:tcW w:w="3595" w:type="dxa"/>
            <w:hideMark/>
          </w:tcPr>
          <w:p w:rsidR="002F1BDA" w:rsidRPr="00FD4122" w:rsidP="002F1BDA" w14:paraId="344A7386" w14:textId="1A96FBF2">
            <w:pPr>
              <w:pStyle w:val="BodyText"/>
              <w:numPr>
                <w:ilvl w:val="0"/>
                <w:numId w:val="39"/>
              </w:numPr>
              <w:tabs>
                <w:tab w:val="clear" w:pos="720"/>
              </w:tabs>
              <w:spacing w:before="0" w:after="0"/>
              <w:ind w:left="303" w:hanging="270"/>
              <w:rPr>
                <w:rFonts w:ascii="Arial" w:hAnsi="Arial" w:cs="Arial"/>
                <w:sz w:val="16"/>
                <w:szCs w:val="16"/>
              </w:rPr>
            </w:pPr>
            <w:r w:rsidRPr="00FD4122">
              <w:rPr>
                <w:rFonts w:ascii="Arial" w:hAnsi="Arial" w:cs="Arial"/>
                <w:sz w:val="16"/>
                <w:szCs w:val="16"/>
              </w:rPr>
              <w:t xml:space="preserve">DC announcement mail, text, and </w:t>
            </w:r>
            <w:r w:rsidR="002668CC">
              <w:rPr>
                <w:rFonts w:ascii="Arial" w:hAnsi="Arial" w:cs="Arial"/>
                <w:sz w:val="16"/>
                <w:szCs w:val="16"/>
              </w:rPr>
              <w:t>e-mail</w:t>
            </w:r>
            <w:r w:rsidRPr="00FD4122">
              <w:rPr>
                <w:rFonts w:ascii="Arial" w:hAnsi="Arial" w:cs="Arial"/>
                <w:sz w:val="16"/>
                <w:szCs w:val="16"/>
              </w:rPr>
              <w:t xml:space="preserve"> </w:t>
            </w:r>
          </w:p>
          <w:p w:rsidR="002F1BDA" w:rsidRPr="00FD4122" w:rsidP="002F1BDA" w14:paraId="273E9E98" w14:textId="77777777">
            <w:pPr>
              <w:pStyle w:val="BodyText"/>
              <w:numPr>
                <w:ilvl w:val="0"/>
                <w:numId w:val="39"/>
              </w:numPr>
              <w:tabs>
                <w:tab w:val="clear" w:pos="720"/>
              </w:tabs>
              <w:spacing w:before="0" w:after="0"/>
              <w:ind w:left="303" w:hanging="270"/>
              <w:rPr>
                <w:rFonts w:ascii="Arial" w:hAnsi="Arial" w:cs="Arial"/>
                <w:sz w:val="16"/>
                <w:szCs w:val="16"/>
              </w:rPr>
            </w:pPr>
            <w:r w:rsidRPr="00FD4122">
              <w:rPr>
                <w:rFonts w:ascii="Arial" w:hAnsi="Arial" w:cs="Arial"/>
                <w:sz w:val="16"/>
                <w:szCs w:val="16"/>
              </w:rPr>
              <w:t>CATI begins 2 weeks after mail outs – continued throughout</w:t>
            </w:r>
          </w:p>
        </w:tc>
      </w:tr>
      <w:tr w14:paraId="3122D3BD" w14:textId="77777777" w:rsidTr="00067D63">
        <w:tblPrEx>
          <w:tblW w:w="9170" w:type="dxa"/>
          <w:tblInd w:w="0" w:type="dxa"/>
          <w:tblLook w:val="04A0"/>
        </w:tblPrEx>
        <w:trPr>
          <w:trHeight w:val="557"/>
        </w:trPr>
        <w:tc>
          <w:tcPr>
            <w:tcW w:w="2335" w:type="dxa"/>
            <w:hideMark/>
          </w:tcPr>
          <w:p w:rsidR="002F1BDA" w:rsidRPr="00FD4122" w:rsidP="00FD4122" w14:paraId="2924B0C2" w14:textId="77777777">
            <w:pPr>
              <w:pStyle w:val="BodyText"/>
              <w:spacing w:before="0" w:after="0"/>
              <w:ind w:left="157"/>
              <w:rPr>
                <w:rFonts w:ascii="Arial" w:hAnsi="Arial" w:cs="Arial"/>
                <w:sz w:val="16"/>
                <w:szCs w:val="16"/>
              </w:rPr>
            </w:pPr>
            <w:r w:rsidRPr="00FD4122">
              <w:rPr>
                <w:rFonts w:ascii="Arial" w:hAnsi="Arial" w:cs="Arial"/>
                <w:b/>
                <w:sz w:val="16"/>
                <w:szCs w:val="16"/>
              </w:rPr>
              <w:t>Production Phase (Weeks 5-10)</w:t>
            </w:r>
          </w:p>
          <w:p w:rsidR="002F1BDA" w:rsidRPr="00FD4122" w:rsidP="00FD4122" w14:paraId="7F9DD126" w14:textId="77777777">
            <w:pPr>
              <w:pStyle w:val="BodyText"/>
              <w:spacing w:before="0" w:after="0"/>
              <w:ind w:left="157"/>
              <w:rPr>
                <w:rFonts w:ascii="Arial" w:hAnsi="Arial" w:cs="Arial"/>
                <w:sz w:val="16"/>
                <w:szCs w:val="16"/>
              </w:rPr>
            </w:pPr>
          </w:p>
        </w:tc>
        <w:tc>
          <w:tcPr>
            <w:tcW w:w="3240" w:type="dxa"/>
            <w:hideMark/>
          </w:tcPr>
          <w:p w:rsidR="002F1BDA" w:rsidRPr="00FD4122" w:rsidP="002F1BDA" w14:paraId="646D945E" w14:textId="77777777">
            <w:pPr>
              <w:pStyle w:val="BodyText"/>
              <w:numPr>
                <w:ilvl w:val="0"/>
                <w:numId w:val="39"/>
              </w:numPr>
              <w:tabs>
                <w:tab w:val="clear" w:pos="720"/>
              </w:tabs>
              <w:spacing w:before="0" w:after="0"/>
              <w:ind w:left="303" w:hanging="270"/>
              <w:rPr>
                <w:rFonts w:ascii="Arial" w:hAnsi="Arial" w:cs="Arial"/>
                <w:sz w:val="16"/>
                <w:szCs w:val="16"/>
              </w:rPr>
            </w:pPr>
            <w:r w:rsidRPr="00FD4122">
              <w:rPr>
                <w:rFonts w:ascii="Arial" w:hAnsi="Arial" w:cs="Arial"/>
                <w:sz w:val="16"/>
                <w:szCs w:val="16"/>
              </w:rPr>
              <w:t xml:space="preserve">Light CATI outbound begins for sample members in Experiment 2 control </w:t>
            </w:r>
            <w:r w:rsidRPr="00FD4122">
              <w:rPr>
                <w:rFonts w:ascii="Arial" w:hAnsi="Arial" w:cs="Arial"/>
                <w:sz w:val="16"/>
                <w:szCs w:val="16"/>
              </w:rPr>
              <w:t>group</w:t>
            </w:r>
          </w:p>
          <w:p w:rsidR="002F1BDA" w:rsidRPr="00FD4122" w:rsidP="002F1BDA" w14:paraId="5AE1B3D6" w14:textId="2229311A">
            <w:pPr>
              <w:pStyle w:val="BodyText"/>
              <w:numPr>
                <w:ilvl w:val="0"/>
                <w:numId w:val="39"/>
              </w:numPr>
              <w:tabs>
                <w:tab w:val="clear" w:pos="720"/>
              </w:tabs>
              <w:spacing w:before="0" w:after="0"/>
              <w:ind w:left="303" w:hanging="270"/>
              <w:rPr>
                <w:rFonts w:ascii="Arial" w:hAnsi="Arial" w:cs="Arial"/>
                <w:sz w:val="16"/>
                <w:szCs w:val="16"/>
              </w:rPr>
            </w:pPr>
            <w:r w:rsidRPr="00FD4122">
              <w:rPr>
                <w:rFonts w:ascii="Arial" w:hAnsi="Arial" w:cs="Arial"/>
                <w:sz w:val="16"/>
                <w:szCs w:val="16"/>
              </w:rPr>
              <w:t xml:space="preserve">Postcard, </w:t>
            </w:r>
            <w:r w:rsidR="002668CC">
              <w:rPr>
                <w:rFonts w:ascii="Arial" w:hAnsi="Arial" w:cs="Arial"/>
                <w:sz w:val="16"/>
                <w:szCs w:val="16"/>
              </w:rPr>
              <w:t>e-mail</w:t>
            </w:r>
            <w:r w:rsidRPr="00FD4122">
              <w:rPr>
                <w:rFonts w:ascii="Arial" w:hAnsi="Arial" w:cs="Arial"/>
                <w:sz w:val="16"/>
                <w:szCs w:val="16"/>
              </w:rPr>
              <w:t>, text message reminders – continued throughout</w:t>
            </w:r>
          </w:p>
        </w:tc>
        <w:tc>
          <w:tcPr>
            <w:tcW w:w="3595" w:type="dxa"/>
            <w:hideMark/>
          </w:tcPr>
          <w:p w:rsidR="002F1BDA" w:rsidRPr="00FD4122" w:rsidP="002F1BDA" w14:paraId="1FBD02D8" w14:textId="044219DB">
            <w:pPr>
              <w:pStyle w:val="BodyText"/>
              <w:numPr>
                <w:ilvl w:val="0"/>
                <w:numId w:val="39"/>
              </w:numPr>
              <w:tabs>
                <w:tab w:val="clear" w:pos="720"/>
              </w:tabs>
              <w:spacing w:before="0" w:after="0"/>
              <w:ind w:left="303" w:hanging="270"/>
              <w:rPr>
                <w:rFonts w:ascii="Arial" w:hAnsi="Arial" w:cs="Arial"/>
                <w:sz w:val="16"/>
                <w:szCs w:val="16"/>
              </w:rPr>
            </w:pPr>
            <w:r w:rsidRPr="00FD4122">
              <w:rPr>
                <w:rFonts w:ascii="Arial" w:hAnsi="Arial" w:cs="Arial"/>
                <w:sz w:val="16"/>
                <w:szCs w:val="16"/>
              </w:rPr>
              <w:t xml:space="preserve">Postcard, </w:t>
            </w:r>
            <w:r w:rsidR="002668CC">
              <w:rPr>
                <w:rFonts w:ascii="Arial" w:hAnsi="Arial" w:cs="Arial"/>
                <w:sz w:val="16"/>
                <w:szCs w:val="16"/>
              </w:rPr>
              <w:t>e-mail</w:t>
            </w:r>
            <w:r w:rsidRPr="00FD4122">
              <w:rPr>
                <w:rFonts w:ascii="Arial" w:hAnsi="Arial" w:cs="Arial"/>
                <w:sz w:val="16"/>
                <w:szCs w:val="16"/>
              </w:rPr>
              <w:t>, text message reminders – continued throughout</w:t>
            </w:r>
          </w:p>
        </w:tc>
      </w:tr>
      <w:tr w14:paraId="0B15A2F2" w14:textId="77777777" w:rsidTr="00067D63">
        <w:tblPrEx>
          <w:tblW w:w="9170" w:type="dxa"/>
          <w:tblInd w:w="0" w:type="dxa"/>
          <w:tblLook w:val="04A0"/>
        </w:tblPrEx>
        <w:trPr>
          <w:trHeight w:val="107"/>
        </w:trPr>
        <w:tc>
          <w:tcPr>
            <w:tcW w:w="2335" w:type="dxa"/>
            <w:hideMark/>
          </w:tcPr>
          <w:p w:rsidR="002F1BDA" w:rsidRPr="00FD4122" w:rsidP="00FD4122" w14:paraId="2021C723" w14:textId="77777777">
            <w:pPr>
              <w:pStyle w:val="BodyText"/>
              <w:spacing w:before="0" w:after="0"/>
              <w:ind w:left="157"/>
              <w:rPr>
                <w:rFonts w:ascii="Arial" w:hAnsi="Arial" w:cs="Arial"/>
                <w:b/>
                <w:sz w:val="16"/>
                <w:szCs w:val="16"/>
              </w:rPr>
            </w:pPr>
            <w:r w:rsidRPr="00FD4122">
              <w:rPr>
                <w:rFonts w:ascii="Arial" w:hAnsi="Arial" w:cs="Arial"/>
                <w:b/>
                <w:sz w:val="16"/>
                <w:szCs w:val="16"/>
              </w:rPr>
              <w:t>Nonresponse Follow-Up (Weeks 11 – 16)</w:t>
            </w:r>
          </w:p>
        </w:tc>
        <w:tc>
          <w:tcPr>
            <w:tcW w:w="3240" w:type="dxa"/>
            <w:hideMark/>
          </w:tcPr>
          <w:p w:rsidR="002F1BDA" w:rsidRPr="00FD4122" w:rsidP="002F1BDA" w14:paraId="4AE15C83" w14:textId="77777777">
            <w:pPr>
              <w:pStyle w:val="BodyText"/>
              <w:numPr>
                <w:ilvl w:val="0"/>
                <w:numId w:val="39"/>
              </w:numPr>
              <w:tabs>
                <w:tab w:val="clear" w:pos="720"/>
              </w:tabs>
              <w:spacing w:before="0" w:after="0"/>
              <w:ind w:left="303" w:hanging="270"/>
              <w:rPr>
                <w:rFonts w:ascii="Arial" w:hAnsi="Arial" w:cs="Arial"/>
                <w:sz w:val="16"/>
                <w:szCs w:val="16"/>
              </w:rPr>
            </w:pPr>
            <w:r w:rsidRPr="00FD4122">
              <w:rPr>
                <w:rFonts w:ascii="Arial" w:hAnsi="Arial" w:cs="Arial"/>
                <w:sz w:val="16"/>
                <w:szCs w:val="16"/>
              </w:rPr>
              <w:t xml:space="preserve">$10 boost </w:t>
            </w:r>
            <w:r w:rsidRPr="00FD4122">
              <w:rPr>
                <w:rFonts w:ascii="Arial" w:hAnsi="Arial" w:cs="Arial"/>
                <w:sz w:val="16"/>
                <w:szCs w:val="16"/>
              </w:rPr>
              <w:t>post-paid</w:t>
            </w:r>
          </w:p>
          <w:p w:rsidR="002F1BDA" w:rsidRPr="00FD4122" w:rsidP="007868A9" w14:paraId="42A6DC6A" w14:textId="77777777">
            <w:pPr>
              <w:pStyle w:val="BodyText"/>
              <w:spacing w:before="0" w:after="0"/>
              <w:ind w:left="33"/>
              <w:rPr>
                <w:rFonts w:ascii="Arial" w:hAnsi="Arial" w:cs="Arial"/>
                <w:sz w:val="16"/>
                <w:szCs w:val="16"/>
              </w:rPr>
            </w:pPr>
          </w:p>
        </w:tc>
        <w:tc>
          <w:tcPr>
            <w:tcW w:w="3595" w:type="dxa"/>
            <w:hideMark/>
          </w:tcPr>
          <w:p w:rsidR="002F1BDA" w:rsidRPr="00FD4122" w:rsidP="002F1BDA" w14:paraId="1662ABA6" w14:textId="77777777">
            <w:pPr>
              <w:pStyle w:val="BodyText"/>
              <w:numPr>
                <w:ilvl w:val="0"/>
                <w:numId w:val="39"/>
              </w:numPr>
              <w:tabs>
                <w:tab w:val="clear" w:pos="720"/>
              </w:tabs>
              <w:spacing w:before="0" w:after="0"/>
              <w:ind w:left="303" w:hanging="270"/>
              <w:rPr>
                <w:rFonts w:ascii="Arial" w:hAnsi="Arial" w:cs="Arial"/>
                <w:sz w:val="16"/>
                <w:szCs w:val="16"/>
              </w:rPr>
            </w:pPr>
            <w:r w:rsidRPr="00FD4122">
              <w:rPr>
                <w:rFonts w:ascii="Arial" w:hAnsi="Arial" w:cs="Arial"/>
                <w:sz w:val="16"/>
                <w:szCs w:val="16"/>
              </w:rPr>
              <w:t xml:space="preserve">$20 boost </w:t>
            </w:r>
            <w:r w:rsidRPr="00FD4122">
              <w:rPr>
                <w:rFonts w:ascii="Arial" w:hAnsi="Arial" w:cs="Arial"/>
                <w:sz w:val="16"/>
                <w:szCs w:val="16"/>
              </w:rPr>
              <w:t>post-paid</w:t>
            </w:r>
          </w:p>
          <w:p w:rsidR="002F1BDA" w:rsidRPr="00FD4122" w:rsidP="007868A9" w14:paraId="625FAA50" w14:textId="77777777">
            <w:pPr>
              <w:pStyle w:val="BodyText"/>
              <w:spacing w:before="0" w:after="0"/>
              <w:ind w:left="303"/>
              <w:rPr>
                <w:rFonts w:ascii="Arial" w:hAnsi="Arial" w:cs="Arial"/>
                <w:sz w:val="16"/>
                <w:szCs w:val="16"/>
              </w:rPr>
            </w:pPr>
          </w:p>
        </w:tc>
      </w:tr>
      <w:tr w14:paraId="160E78DA" w14:textId="77777777" w:rsidTr="00067D63">
        <w:tblPrEx>
          <w:tblW w:w="9170" w:type="dxa"/>
          <w:tblInd w:w="0" w:type="dxa"/>
          <w:tblLook w:val="04A0"/>
        </w:tblPrEx>
        <w:trPr>
          <w:trHeight w:val="60"/>
        </w:trPr>
        <w:tc>
          <w:tcPr>
            <w:tcW w:w="2335" w:type="dxa"/>
            <w:hideMark/>
          </w:tcPr>
          <w:p w:rsidR="002F1BDA" w:rsidRPr="00FD4122" w:rsidP="00FD4122" w14:paraId="5818D642" w14:textId="77777777">
            <w:pPr>
              <w:pStyle w:val="BodyText"/>
              <w:spacing w:before="0" w:after="0"/>
              <w:ind w:left="157"/>
              <w:rPr>
                <w:rFonts w:ascii="Arial" w:hAnsi="Arial" w:cs="Arial"/>
                <w:sz w:val="16"/>
                <w:szCs w:val="16"/>
              </w:rPr>
            </w:pPr>
            <w:r w:rsidRPr="00FD4122">
              <w:rPr>
                <w:rFonts w:ascii="Arial" w:hAnsi="Arial" w:cs="Arial"/>
                <w:b/>
                <w:sz w:val="16"/>
                <w:szCs w:val="16"/>
              </w:rPr>
              <w:t>Total incentives</w:t>
            </w:r>
          </w:p>
        </w:tc>
        <w:tc>
          <w:tcPr>
            <w:tcW w:w="3240" w:type="dxa"/>
            <w:hideMark/>
          </w:tcPr>
          <w:p w:rsidR="002F1BDA" w:rsidRPr="00FD4122" w:rsidP="002F1BDA" w14:paraId="4BE09298" w14:textId="77777777">
            <w:pPr>
              <w:pStyle w:val="BodyText"/>
              <w:numPr>
                <w:ilvl w:val="0"/>
                <w:numId w:val="39"/>
              </w:numPr>
              <w:tabs>
                <w:tab w:val="clear" w:pos="720"/>
              </w:tabs>
              <w:spacing w:before="0" w:after="0"/>
              <w:ind w:left="303" w:hanging="270"/>
              <w:rPr>
                <w:rFonts w:ascii="Arial" w:hAnsi="Arial" w:cs="Arial"/>
                <w:sz w:val="16"/>
                <w:szCs w:val="16"/>
              </w:rPr>
            </w:pPr>
            <w:r w:rsidRPr="00FD4122">
              <w:rPr>
                <w:rFonts w:ascii="Arial" w:hAnsi="Arial" w:cs="Arial"/>
                <w:sz w:val="16"/>
                <w:szCs w:val="16"/>
              </w:rPr>
              <w:t>$5 address confirmation incentive for sample members in Experiment 1 experimental group</w:t>
            </w:r>
          </w:p>
          <w:p w:rsidR="002F1BDA" w:rsidRPr="00FD4122" w:rsidP="002F1BDA" w14:paraId="0164AB49" w14:textId="77777777">
            <w:pPr>
              <w:pStyle w:val="BodyText"/>
              <w:numPr>
                <w:ilvl w:val="0"/>
                <w:numId w:val="39"/>
              </w:numPr>
              <w:tabs>
                <w:tab w:val="clear" w:pos="720"/>
              </w:tabs>
              <w:spacing w:before="0" w:after="0"/>
              <w:ind w:left="303" w:hanging="270"/>
              <w:rPr>
                <w:rFonts w:ascii="Arial" w:hAnsi="Arial" w:cs="Arial"/>
                <w:sz w:val="16"/>
                <w:szCs w:val="16"/>
              </w:rPr>
            </w:pPr>
            <w:r w:rsidRPr="00FD4122">
              <w:rPr>
                <w:rFonts w:ascii="Arial" w:hAnsi="Arial" w:cs="Arial"/>
                <w:sz w:val="16"/>
                <w:szCs w:val="16"/>
              </w:rPr>
              <w:t>$30 baseline</w:t>
            </w:r>
          </w:p>
          <w:p w:rsidR="002F1BDA" w:rsidRPr="00FD4122" w:rsidP="002F1BDA" w14:paraId="0E0BCFBD" w14:textId="77777777">
            <w:pPr>
              <w:pStyle w:val="BodyText"/>
              <w:numPr>
                <w:ilvl w:val="0"/>
                <w:numId w:val="39"/>
              </w:numPr>
              <w:tabs>
                <w:tab w:val="clear" w:pos="720"/>
              </w:tabs>
              <w:spacing w:before="0" w:after="0"/>
              <w:ind w:left="303" w:hanging="270"/>
              <w:rPr>
                <w:rFonts w:ascii="Arial" w:hAnsi="Arial" w:cs="Arial"/>
                <w:sz w:val="16"/>
                <w:szCs w:val="16"/>
              </w:rPr>
            </w:pPr>
            <w:r w:rsidRPr="00FD4122">
              <w:rPr>
                <w:rFonts w:ascii="Arial" w:hAnsi="Arial" w:cs="Arial"/>
                <w:sz w:val="16"/>
                <w:szCs w:val="16"/>
              </w:rPr>
              <w:t>$10 boost</w:t>
            </w:r>
          </w:p>
          <w:p w:rsidR="002F1BDA" w:rsidRPr="00FD4122" w:rsidP="002F1BDA" w14:paraId="762D2C52" w14:textId="77777777">
            <w:pPr>
              <w:pStyle w:val="BodyText"/>
              <w:numPr>
                <w:ilvl w:val="0"/>
                <w:numId w:val="39"/>
              </w:numPr>
              <w:tabs>
                <w:tab w:val="clear" w:pos="720"/>
              </w:tabs>
              <w:spacing w:before="0" w:after="0"/>
              <w:ind w:left="303" w:hanging="270"/>
              <w:rPr>
                <w:rFonts w:ascii="Arial" w:hAnsi="Arial" w:cs="Arial"/>
                <w:sz w:val="16"/>
                <w:szCs w:val="16"/>
              </w:rPr>
            </w:pPr>
            <w:r w:rsidRPr="00FD4122">
              <w:rPr>
                <w:rFonts w:ascii="Arial" w:hAnsi="Arial" w:cs="Arial"/>
                <w:sz w:val="16"/>
                <w:szCs w:val="16"/>
              </w:rPr>
              <w:t>Maximum = $45</w:t>
            </w:r>
          </w:p>
        </w:tc>
        <w:tc>
          <w:tcPr>
            <w:tcW w:w="3595" w:type="dxa"/>
            <w:hideMark/>
          </w:tcPr>
          <w:p w:rsidR="002F1BDA" w:rsidRPr="00FD4122" w:rsidP="002F1BDA" w14:paraId="3E0A4701" w14:textId="77777777">
            <w:pPr>
              <w:pStyle w:val="BodyText"/>
              <w:numPr>
                <w:ilvl w:val="0"/>
                <w:numId w:val="39"/>
              </w:numPr>
              <w:tabs>
                <w:tab w:val="clear" w:pos="720"/>
              </w:tabs>
              <w:spacing w:before="0" w:after="0"/>
              <w:ind w:left="303" w:hanging="270"/>
              <w:rPr>
                <w:rFonts w:ascii="Arial" w:hAnsi="Arial" w:cs="Arial"/>
                <w:sz w:val="16"/>
                <w:szCs w:val="16"/>
              </w:rPr>
            </w:pPr>
            <w:r w:rsidRPr="00FD4122">
              <w:rPr>
                <w:rFonts w:ascii="Arial" w:hAnsi="Arial" w:cs="Arial"/>
                <w:sz w:val="16"/>
                <w:szCs w:val="16"/>
              </w:rPr>
              <w:t>$5 address confirmation incentive for sample members in Experiment 1 experimental group</w:t>
            </w:r>
          </w:p>
          <w:p w:rsidR="002F1BDA" w:rsidRPr="00FD4122" w:rsidP="002F1BDA" w14:paraId="2B52C150" w14:textId="77777777">
            <w:pPr>
              <w:pStyle w:val="BodyText"/>
              <w:numPr>
                <w:ilvl w:val="0"/>
                <w:numId w:val="39"/>
              </w:numPr>
              <w:tabs>
                <w:tab w:val="clear" w:pos="720"/>
              </w:tabs>
              <w:spacing w:before="0" w:after="0"/>
              <w:ind w:left="303" w:hanging="270"/>
              <w:rPr>
                <w:rFonts w:ascii="Arial" w:hAnsi="Arial" w:cs="Arial"/>
                <w:sz w:val="16"/>
                <w:szCs w:val="16"/>
              </w:rPr>
            </w:pPr>
            <w:r w:rsidRPr="00FD4122">
              <w:rPr>
                <w:rFonts w:ascii="Arial" w:hAnsi="Arial" w:cs="Arial"/>
                <w:sz w:val="16"/>
                <w:szCs w:val="16"/>
              </w:rPr>
              <w:t xml:space="preserve">$45 baseline </w:t>
            </w:r>
          </w:p>
          <w:p w:rsidR="002F1BDA" w:rsidRPr="00FD4122" w:rsidP="002F1BDA" w14:paraId="20CEECA3" w14:textId="77777777">
            <w:pPr>
              <w:pStyle w:val="BodyText"/>
              <w:numPr>
                <w:ilvl w:val="0"/>
                <w:numId w:val="39"/>
              </w:numPr>
              <w:tabs>
                <w:tab w:val="clear" w:pos="720"/>
              </w:tabs>
              <w:spacing w:before="0" w:after="0"/>
              <w:ind w:left="303" w:hanging="270"/>
              <w:rPr>
                <w:rFonts w:ascii="Arial" w:hAnsi="Arial" w:cs="Arial"/>
                <w:sz w:val="16"/>
                <w:szCs w:val="16"/>
              </w:rPr>
            </w:pPr>
            <w:r w:rsidRPr="00FD4122">
              <w:rPr>
                <w:rFonts w:ascii="Arial" w:hAnsi="Arial" w:cs="Arial"/>
                <w:sz w:val="16"/>
                <w:szCs w:val="16"/>
              </w:rPr>
              <w:t>$20 boost</w:t>
            </w:r>
          </w:p>
          <w:p w:rsidR="002F1BDA" w:rsidRPr="00FD4122" w:rsidP="002F1BDA" w14:paraId="3D58E323" w14:textId="77777777">
            <w:pPr>
              <w:pStyle w:val="BodyText"/>
              <w:numPr>
                <w:ilvl w:val="0"/>
                <w:numId w:val="39"/>
              </w:numPr>
              <w:tabs>
                <w:tab w:val="clear" w:pos="720"/>
              </w:tabs>
              <w:spacing w:before="0" w:after="0"/>
              <w:ind w:left="303" w:hanging="270"/>
              <w:rPr>
                <w:rFonts w:ascii="Arial" w:hAnsi="Arial" w:cs="Arial"/>
                <w:sz w:val="16"/>
                <w:szCs w:val="16"/>
              </w:rPr>
            </w:pPr>
            <w:r w:rsidRPr="00FD4122">
              <w:rPr>
                <w:rFonts w:ascii="Arial" w:hAnsi="Arial" w:cs="Arial"/>
                <w:sz w:val="16"/>
                <w:szCs w:val="16"/>
              </w:rPr>
              <w:t>Maximum = $70</w:t>
            </w:r>
          </w:p>
        </w:tc>
      </w:tr>
    </w:tbl>
    <w:p w:rsidR="002F1BDA" w:rsidRPr="001C2BC1" w:rsidP="002F1BDA" w14:paraId="443F1372" w14:textId="77777777">
      <w:pPr>
        <w:pStyle w:val="NormalWeb"/>
        <w:rPr>
          <w:rFonts w:ascii="Garamond" w:hAnsi="Garamond" w:cs="Calibri"/>
          <w:color w:val="000000"/>
        </w:rPr>
      </w:pPr>
      <w:r w:rsidRPr="001C2BC1">
        <w:rPr>
          <w:rFonts w:ascii="Garamond" w:hAnsi="Garamond" w:cstheme="minorHAnsi"/>
          <w:color w:val="000000"/>
        </w:rPr>
        <w:t>Turning to incentives, the baseline</w:t>
      </w:r>
      <w:r w:rsidRPr="001C2BC1">
        <w:rPr>
          <w:rFonts w:ascii="Garamond" w:hAnsi="Garamond" w:cs="Calibri"/>
          <w:color w:val="000000"/>
        </w:rPr>
        <w:t xml:space="preserve"> incentive for the prior year respondents in the default group will be $30. Including the possible $5 address confirmation incentive (if a sample member is in the experimental group discussed above), and a $10 boost postpaid incentive (see incentive boosts section below), yields a maximum total incentive of $45 for sample members in the default group. </w:t>
      </w:r>
    </w:p>
    <w:p w:rsidR="000D4CA4" w:rsidP="000D4CA4" w14:paraId="260589F6" w14:textId="68106814">
      <w:pPr>
        <w:pStyle w:val="NormalWeb"/>
        <w:rPr>
          <w:rFonts w:ascii="Garamond" w:hAnsi="Garamond" w:cs="Calibri"/>
          <w:color w:val="000000" w:themeColor="text1"/>
        </w:rPr>
      </w:pPr>
      <w:r w:rsidRPr="001C2BC1">
        <w:rPr>
          <w:rFonts w:ascii="Garamond" w:hAnsi="Garamond" w:cs="Calibri"/>
          <w:color w:val="000000" w:themeColor="text1"/>
        </w:rPr>
        <w:t>The baseline incentive for sample members in the aggressive group will be $45. An experiment conducted in BPS:12/14 showed that a $45 baseline incentive yielded the highest response rates</w:t>
      </w:r>
      <w:r w:rsidR="002668CC">
        <w:rPr>
          <w:rFonts w:ascii="Garamond" w:hAnsi="Garamond" w:cs="Calibri"/>
          <w:color w:val="000000" w:themeColor="text1"/>
        </w:rPr>
        <w:t>;</w:t>
      </w:r>
      <w:r w:rsidRPr="001C2BC1">
        <w:rPr>
          <w:rFonts w:ascii="Garamond" w:hAnsi="Garamond" w:cs="Calibri"/>
          <w:color w:val="000000" w:themeColor="text1"/>
        </w:rPr>
        <w:t xml:space="preserve"> however, this was</w:t>
      </w:r>
      <w:r w:rsidRPr="7B9A20BD">
        <w:rPr>
          <w:rFonts w:ascii="Calibri" w:hAnsi="Calibri" w:cs="Calibri"/>
          <w:color w:val="000000" w:themeColor="text1"/>
        </w:rPr>
        <w:t xml:space="preserve"> </w:t>
      </w:r>
      <w:r w:rsidRPr="001C2BC1">
        <w:rPr>
          <w:rFonts w:ascii="Garamond" w:hAnsi="Garamond" w:cs="Calibri"/>
          <w:color w:val="000000" w:themeColor="text1"/>
        </w:rPr>
        <w:t xml:space="preserve">underpowered to detect differences from $30 in the lower propensity response groups (Wilson et al. 2015). Nonetheless, </w:t>
      </w:r>
      <w:r w:rsidR="005C2C0B">
        <w:rPr>
          <w:rFonts w:ascii="Garamond" w:hAnsi="Garamond" w:cs="Calibri"/>
          <w:color w:val="000000" w:themeColor="text1"/>
        </w:rPr>
        <w:t>the</w:t>
      </w:r>
      <w:r w:rsidR="00E67409">
        <w:rPr>
          <w:rFonts w:ascii="Garamond" w:hAnsi="Garamond" w:cs="Calibri"/>
          <w:color w:val="000000" w:themeColor="text1"/>
        </w:rPr>
        <w:t xml:space="preserve"> $30</w:t>
      </w:r>
      <w:r w:rsidR="005C2C0B">
        <w:rPr>
          <w:rFonts w:ascii="Garamond" w:hAnsi="Garamond" w:cs="Calibri"/>
          <w:color w:val="000000" w:themeColor="text1"/>
        </w:rPr>
        <w:t xml:space="preserve"> </w:t>
      </w:r>
      <w:r w:rsidR="00670C66">
        <w:rPr>
          <w:rFonts w:ascii="Garamond" w:hAnsi="Garamond" w:cs="Calibri"/>
          <w:color w:val="000000" w:themeColor="text1"/>
        </w:rPr>
        <w:t xml:space="preserve">baseline incentive </w:t>
      </w:r>
      <w:r w:rsidR="0024536A">
        <w:rPr>
          <w:rFonts w:ascii="Garamond" w:hAnsi="Garamond" w:cs="Calibri"/>
          <w:color w:val="000000" w:themeColor="text1"/>
        </w:rPr>
        <w:t xml:space="preserve">offered </w:t>
      </w:r>
      <w:r w:rsidR="00540005">
        <w:rPr>
          <w:rFonts w:ascii="Garamond" w:hAnsi="Garamond" w:cs="Calibri"/>
          <w:color w:val="000000" w:themeColor="text1"/>
        </w:rPr>
        <w:t>to these sample members in</w:t>
      </w:r>
      <w:r w:rsidR="0024536A">
        <w:rPr>
          <w:rFonts w:ascii="Garamond" w:hAnsi="Garamond" w:cs="Calibri"/>
          <w:color w:val="000000" w:themeColor="text1"/>
        </w:rPr>
        <w:t xml:space="preserve"> </w:t>
      </w:r>
      <w:r w:rsidR="00333454">
        <w:rPr>
          <w:rFonts w:ascii="Garamond" w:hAnsi="Garamond" w:cs="Calibri"/>
          <w:color w:val="000000" w:themeColor="text1"/>
        </w:rPr>
        <w:t xml:space="preserve">prior studies </w:t>
      </w:r>
      <w:r w:rsidR="00EB286F">
        <w:rPr>
          <w:rFonts w:ascii="Garamond" w:hAnsi="Garamond" w:cs="Calibri"/>
          <w:color w:val="000000" w:themeColor="text1"/>
        </w:rPr>
        <w:t>was not sufficient</w:t>
      </w:r>
      <w:r w:rsidR="00333454">
        <w:rPr>
          <w:rFonts w:ascii="Garamond" w:hAnsi="Garamond" w:cs="Calibri"/>
          <w:color w:val="000000" w:themeColor="text1"/>
        </w:rPr>
        <w:t xml:space="preserve"> </w:t>
      </w:r>
      <w:r w:rsidR="00EB286F">
        <w:rPr>
          <w:rFonts w:ascii="Garamond" w:hAnsi="Garamond" w:cs="Calibri"/>
          <w:color w:val="000000" w:themeColor="text1"/>
        </w:rPr>
        <w:t xml:space="preserve">to </w:t>
      </w:r>
      <w:r w:rsidR="00333454">
        <w:rPr>
          <w:rFonts w:ascii="Garamond" w:hAnsi="Garamond" w:cs="Calibri"/>
          <w:color w:val="000000" w:themeColor="text1"/>
        </w:rPr>
        <w:t xml:space="preserve">encourage response (i.e., </w:t>
      </w:r>
      <w:r w:rsidR="00670C66">
        <w:rPr>
          <w:rFonts w:ascii="Garamond" w:hAnsi="Garamond" w:cs="Calibri"/>
          <w:color w:val="000000" w:themeColor="text1"/>
        </w:rPr>
        <w:t xml:space="preserve">n = 50 </w:t>
      </w:r>
      <w:r w:rsidR="00974A77">
        <w:rPr>
          <w:rFonts w:ascii="Garamond" w:hAnsi="Garamond" w:cs="Calibri"/>
          <w:color w:val="000000" w:themeColor="text1"/>
        </w:rPr>
        <w:t xml:space="preserve">Field Test sample members </w:t>
      </w:r>
      <w:r w:rsidR="00540005">
        <w:rPr>
          <w:rFonts w:ascii="Garamond" w:hAnsi="Garamond" w:cs="Calibri"/>
          <w:color w:val="000000" w:themeColor="text1"/>
        </w:rPr>
        <w:t xml:space="preserve">did not </w:t>
      </w:r>
      <w:r w:rsidR="0091659A">
        <w:rPr>
          <w:rFonts w:ascii="Garamond" w:hAnsi="Garamond" w:cs="Calibri"/>
          <w:color w:val="000000" w:themeColor="text1"/>
        </w:rPr>
        <w:t xml:space="preserve">respond </w:t>
      </w:r>
      <w:r w:rsidR="00102934">
        <w:rPr>
          <w:rFonts w:ascii="Garamond" w:hAnsi="Garamond" w:cs="Calibri"/>
          <w:color w:val="000000" w:themeColor="text1"/>
        </w:rPr>
        <w:t>to</w:t>
      </w:r>
      <w:r w:rsidR="0091659A">
        <w:rPr>
          <w:rFonts w:ascii="Garamond" w:hAnsi="Garamond" w:cs="Calibri"/>
          <w:color w:val="000000" w:themeColor="text1"/>
        </w:rPr>
        <w:t xml:space="preserve"> NPSAS:20 and n = </w:t>
      </w:r>
      <w:r w:rsidR="00170392">
        <w:rPr>
          <w:rFonts w:ascii="Garamond" w:hAnsi="Garamond" w:cs="Calibri"/>
          <w:color w:val="000000" w:themeColor="text1"/>
        </w:rPr>
        <w:t>623</w:t>
      </w:r>
      <w:r w:rsidR="0091659A">
        <w:rPr>
          <w:rFonts w:ascii="Garamond" w:hAnsi="Garamond" w:cs="Calibri"/>
          <w:color w:val="000000" w:themeColor="text1"/>
        </w:rPr>
        <w:t xml:space="preserve"> did not </w:t>
      </w:r>
      <w:r w:rsidR="00170392">
        <w:rPr>
          <w:rFonts w:ascii="Garamond" w:hAnsi="Garamond" w:cs="Calibri"/>
          <w:color w:val="000000" w:themeColor="text1"/>
        </w:rPr>
        <w:t>provide complete responses</w:t>
      </w:r>
      <w:r w:rsidR="0091659A">
        <w:rPr>
          <w:rFonts w:ascii="Garamond" w:hAnsi="Garamond" w:cs="Calibri"/>
          <w:color w:val="000000" w:themeColor="text1"/>
        </w:rPr>
        <w:t xml:space="preserve"> </w:t>
      </w:r>
      <w:r w:rsidR="00170392">
        <w:rPr>
          <w:rFonts w:ascii="Garamond" w:hAnsi="Garamond" w:cs="Calibri"/>
          <w:color w:val="000000" w:themeColor="text1"/>
        </w:rPr>
        <w:t>to</w:t>
      </w:r>
      <w:r w:rsidR="0091659A">
        <w:rPr>
          <w:rFonts w:ascii="Garamond" w:hAnsi="Garamond" w:cs="Calibri"/>
          <w:color w:val="000000" w:themeColor="text1"/>
        </w:rPr>
        <w:t xml:space="preserve"> </w:t>
      </w:r>
      <w:r w:rsidR="0070177B">
        <w:rPr>
          <w:rFonts w:ascii="Garamond" w:hAnsi="Garamond" w:cs="Calibri"/>
          <w:color w:val="000000" w:themeColor="text1"/>
        </w:rPr>
        <w:t>BPS:</w:t>
      </w:r>
      <w:r w:rsidR="003C1439">
        <w:rPr>
          <w:rFonts w:ascii="Garamond" w:hAnsi="Garamond" w:cs="Calibri"/>
          <w:color w:val="000000" w:themeColor="text1"/>
        </w:rPr>
        <w:t>20/22).</w:t>
      </w:r>
      <w:r w:rsidR="002D638A">
        <w:rPr>
          <w:rFonts w:ascii="Garamond" w:hAnsi="Garamond" w:cs="Calibri"/>
          <w:color w:val="000000" w:themeColor="text1"/>
        </w:rPr>
        <w:t xml:space="preserve"> Therefore</w:t>
      </w:r>
      <w:r w:rsidRPr="001C2BC1">
        <w:rPr>
          <w:rFonts w:ascii="Garamond" w:hAnsi="Garamond" w:cs="Calibri"/>
          <w:color w:val="000000" w:themeColor="text1"/>
        </w:rPr>
        <w:t xml:space="preserve">, we recommend implementing a higher baseline incentive given that the $30 baseline incentive was not enough to encourage </w:t>
      </w:r>
      <w:r w:rsidR="001815DA">
        <w:rPr>
          <w:rFonts w:ascii="Garamond" w:hAnsi="Garamond" w:cs="Calibri"/>
          <w:color w:val="000000" w:themeColor="text1"/>
        </w:rPr>
        <w:t xml:space="preserve">these sample members to respond in </w:t>
      </w:r>
      <w:r w:rsidRPr="001C2BC1">
        <w:rPr>
          <w:rFonts w:ascii="Garamond" w:hAnsi="Garamond" w:cs="Calibri"/>
          <w:color w:val="000000" w:themeColor="text1"/>
        </w:rPr>
        <w:t>prior year</w:t>
      </w:r>
      <w:r w:rsidR="001815DA">
        <w:rPr>
          <w:rFonts w:ascii="Garamond" w:hAnsi="Garamond" w:cs="Calibri"/>
          <w:color w:val="000000" w:themeColor="text1"/>
        </w:rPr>
        <w:t>s</w:t>
      </w:r>
      <w:r w:rsidRPr="001C2BC1">
        <w:rPr>
          <w:rFonts w:ascii="Garamond" w:hAnsi="Garamond" w:cs="Calibri"/>
          <w:color w:val="000000" w:themeColor="text1"/>
        </w:rPr>
        <w:t xml:space="preserve">. Further, the $40 BPS:20/22 field test incentive yielded a completion rate of only 23 percent among sample members in the aggressive group, while a $45 baseline incentive for the aggressive group in the BPS:20/22 </w:t>
      </w:r>
      <w:r w:rsidRPr="001C2BC1" w:rsidR="002668CC">
        <w:rPr>
          <w:rFonts w:ascii="Garamond" w:hAnsi="Garamond" w:cs="Calibri"/>
          <w:color w:val="000000" w:themeColor="text1"/>
        </w:rPr>
        <w:t>full</w:t>
      </w:r>
      <w:r w:rsidR="002668CC">
        <w:rPr>
          <w:rFonts w:ascii="Garamond" w:hAnsi="Garamond" w:cs="Calibri"/>
          <w:color w:val="000000" w:themeColor="text1"/>
        </w:rPr>
        <w:t>-</w:t>
      </w:r>
      <w:r w:rsidRPr="001C2BC1">
        <w:rPr>
          <w:rFonts w:ascii="Garamond" w:hAnsi="Garamond" w:cs="Calibri"/>
          <w:color w:val="000000" w:themeColor="text1"/>
        </w:rPr>
        <w:t>scale yielded a completion rate of 38 percent. The baseline incentive will be paid in addition to a possible $5 address confirmation incentive (if in the experimental group as discussed above), and a $20 boost postpaid incentive (see incentive boosts section below). The maximum possible total incentive is $70 in this aggressive data collection protocol.</w:t>
      </w:r>
      <w:r w:rsidRPr="7B9A20BD">
        <w:rPr>
          <w:rFonts w:ascii="Calibri" w:hAnsi="Calibri" w:cs="Calibri"/>
          <w:color w:val="000000" w:themeColor="text1"/>
        </w:rPr>
        <w:t xml:space="preserve"> </w:t>
      </w:r>
      <w:r>
        <w:br/>
      </w:r>
      <w:r>
        <w:br/>
      </w:r>
      <w:r w:rsidRPr="001C2BC1">
        <w:rPr>
          <w:rFonts w:ascii="Garamond" w:hAnsi="Garamond" w:cs="Calibri"/>
          <w:color w:val="000000" w:themeColor="text1"/>
        </w:rPr>
        <w:t>Beyond the baseline incentives, both survey data collection protocols employ similar interventions, although the timing of these interventions differs across groups: interventions occur sooner in the aggressive protocol</w:t>
      </w:r>
      <w:r>
        <w:rPr>
          <w:rFonts w:ascii="Garamond" w:hAnsi="Garamond" w:cs="Calibri"/>
          <w:color w:val="000000" w:themeColor="text1"/>
        </w:rPr>
        <w:t xml:space="preserve">. </w:t>
      </w:r>
    </w:p>
    <w:p w:rsidR="002F1BDA" w:rsidRPr="000D4CA4" w:rsidP="000D4CA4" w14:paraId="42D9C47F" w14:textId="360B1F74">
      <w:pPr>
        <w:pStyle w:val="NormalWeb"/>
        <w:rPr>
          <w:rFonts w:ascii="Garamond" w:hAnsi="Garamond" w:cs="Calibri"/>
          <w:color w:val="000000" w:themeColor="text1"/>
        </w:rPr>
      </w:pPr>
      <w:r w:rsidRPr="00A719A7">
        <w:rPr>
          <w:rFonts w:ascii="Garamond" w:hAnsi="Garamond" w:cs="Calibri"/>
          <w:b/>
          <w:bCs/>
          <w:color w:val="000000" w:themeColor="text1"/>
        </w:rPr>
        <w:t>Field Test Data Collection Protocol Design Elements:</w:t>
      </w:r>
      <w:r w:rsidRPr="00A719A7">
        <w:rPr>
          <w:b/>
          <w:bCs/>
        </w:rPr>
        <w:br/>
      </w:r>
      <w:r>
        <w:br/>
      </w:r>
      <w:r w:rsidRPr="001C2BC1">
        <w:rPr>
          <w:rFonts w:ascii="Garamond" w:hAnsi="Garamond" w:cs="Calibri"/>
          <w:color w:val="000000" w:themeColor="text1"/>
          <w:u w:val="single"/>
        </w:rPr>
        <w:t>Greeting card</w:t>
      </w:r>
      <w:r w:rsidRPr="001C2BC1">
        <w:rPr>
          <w:rFonts w:ascii="Garamond" w:hAnsi="Garamond" w:cs="Calibri"/>
          <w:color w:val="000000" w:themeColor="text1"/>
        </w:rPr>
        <w:t>. The first mailing that individuals in the default and aggressive data collection protocols will receive is a greeting card expressing gratitude for being part of the study and announcing the upcoming data collection. Greeting cards have been shown to significantly increase response rates in longitudinal studies (Griggs et al. 2019) and we will use this method as a precursor to the invitation letter for both groups. The greeting card will be mailed a few weeks in advance of data collection, upon OMB approval.</w:t>
      </w:r>
      <w:r w:rsidRPr="001C2BC1">
        <w:rPr>
          <w:rFonts w:ascii="Garamond" w:hAnsi="Garamond"/>
        </w:rPr>
        <w:br/>
      </w:r>
      <w:r>
        <w:br/>
      </w:r>
      <w:r w:rsidRPr="001C2BC1">
        <w:rPr>
          <w:rFonts w:ascii="Garamond" w:hAnsi="Garamond" w:cs="Calibri"/>
          <w:color w:val="000000" w:themeColor="text1"/>
          <w:u w:val="single"/>
        </w:rPr>
        <w:t>Contact information confirmation incentive</w:t>
      </w:r>
      <w:r w:rsidRPr="001C2BC1">
        <w:rPr>
          <w:rFonts w:ascii="Garamond" w:hAnsi="Garamond" w:cs="Calibri"/>
          <w:color w:val="000000" w:themeColor="text1"/>
        </w:rPr>
        <w:t>. We will implement a $5 contact information confirmation incentive experiment as described above.</w:t>
      </w:r>
      <w:r w:rsidRPr="001C2BC1">
        <w:rPr>
          <w:rFonts w:ascii="Garamond" w:hAnsi="Garamond"/>
        </w:rPr>
        <w:br/>
      </w:r>
      <w:r>
        <w:br/>
      </w:r>
      <w:r w:rsidRPr="001C2BC1">
        <w:rPr>
          <w:rFonts w:ascii="Garamond" w:hAnsi="Garamond" w:cs="Calibri"/>
          <w:color w:val="000000" w:themeColor="text1"/>
          <w:u w:val="single"/>
        </w:rPr>
        <w:t>Reminders</w:t>
      </w:r>
      <w:r w:rsidRPr="001C2BC1">
        <w:rPr>
          <w:rFonts w:ascii="Garamond" w:hAnsi="Garamond" w:cs="Calibri"/>
          <w:color w:val="000000" w:themeColor="text1"/>
        </w:rPr>
        <w:t xml:space="preserve">. Text messaging has been shown to significantly increase response rates in different survey modes (e.g., </w:t>
      </w:r>
      <w:r w:rsidRPr="001C2BC1">
        <w:rPr>
          <w:rFonts w:ascii="Garamond" w:hAnsi="Garamond" w:cs="Calibri"/>
          <w:color w:val="000000" w:themeColor="text1"/>
        </w:rPr>
        <w:t>Callegaro</w:t>
      </w:r>
      <w:r w:rsidRPr="001C2BC1">
        <w:rPr>
          <w:rFonts w:ascii="Garamond" w:hAnsi="Garamond" w:cs="Calibri"/>
          <w:color w:val="000000" w:themeColor="text1"/>
        </w:rPr>
        <w:t xml:space="preserve"> et al. 2011; Schober et al. 2015). Results from the BPS:20/22 field test showed that the response rate for sample members </w:t>
      </w:r>
      <w:r w:rsidR="00CC5170">
        <w:rPr>
          <w:rFonts w:ascii="Garamond" w:hAnsi="Garamond" w:cs="Calibri"/>
          <w:color w:val="000000" w:themeColor="text1"/>
        </w:rPr>
        <w:t>who</w:t>
      </w:r>
      <w:r w:rsidRPr="001C2BC1">
        <w:rPr>
          <w:rFonts w:ascii="Garamond" w:hAnsi="Garamond" w:cs="Calibri"/>
          <w:color w:val="000000" w:themeColor="text1"/>
        </w:rPr>
        <w:t xml:space="preserve"> received only text message reminders w</w:t>
      </w:r>
      <w:r w:rsidR="003A2C29">
        <w:rPr>
          <w:rFonts w:ascii="Garamond" w:hAnsi="Garamond" w:cs="Calibri"/>
          <w:color w:val="000000" w:themeColor="text1"/>
        </w:rPr>
        <w:t xml:space="preserve">as </w:t>
      </w:r>
      <w:r w:rsidRPr="001C2BC1">
        <w:rPr>
          <w:rFonts w:ascii="Garamond" w:hAnsi="Garamond" w:cs="Calibri"/>
          <w:color w:val="000000" w:themeColor="text1"/>
        </w:rPr>
        <w:t xml:space="preserve">not statistically significantly different from the response rate of sample members </w:t>
      </w:r>
      <w:r w:rsidR="00CC5170">
        <w:rPr>
          <w:rFonts w:ascii="Garamond" w:hAnsi="Garamond" w:cs="Calibri"/>
          <w:color w:val="000000" w:themeColor="text1"/>
        </w:rPr>
        <w:t>who</w:t>
      </w:r>
      <w:r w:rsidRPr="001C2BC1">
        <w:rPr>
          <w:rFonts w:ascii="Garamond" w:hAnsi="Garamond" w:cs="Calibri"/>
          <w:color w:val="000000" w:themeColor="text1"/>
        </w:rPr>
        <w:t xml:space="preserve"> received only telephone reminders. Therefore, both data collection groups will receive text message reminders. Hard copy mailings, </w:t>
      </w:r>
      <w:r w:rsidR="002668CC">
        <w:rPr>
          <w:rFonts w:ascii="Garamond" w:hAnsi="Garamond" w:cs="Calibri"/>
          <w:color w:val="000000" w:themeColor="text1"/>
        </w:rPr>
        <w:t>e-mail</w:t>
      </w:r>
      <w:r w:rsidRPr="001C2BC1">
        <w:rPr>
          <w:rFonts w:ascii="Garamond" w:hAnsi="Garamond" w:cs="Calibri"/>
          <w:color w:val="000000" w:themeColor="text1"/>
        </w:rPr>
        <w:t>s, and text messages will be used to maintain ongoing contact with sample members in both data collection groups, prior to and throughout data collection.</w:t>
      </w:r>
    </w:p>
    <w:p w:rsidR="002F1BDA" w:rsidRPr="001C2BC1" w:rsidP="000D4CA4" w14:paraId="37540BF0" w14:textId="77777777">
      <w:pPr>
        <w:pStyle w:val="NormalWeb"/>
        <w:rPr>
          <w:rFonts w:ascii="Garamond" w:hAnsi="Garamond" w:cs="Calibri"/>
          <w:color w:val="000000"/>
          <w:u w:val="single"/>
        </w:rPr>
      </w:pPr>
      <w:r w:rsidRPr="001C2BC1">
        <w:rPr>
          <w:rFonts w:ascii="Garamond" w:hAnsi="Garamond" w:cs="Calibri"/>
          <w:color w:val="000000"/>
          <w:u w:val="single"/>
        </w:rPr>
        <w:t>CATI calling</w:t>
      </w:r>
      <w:r w:rsidRPr="001C2BC1">
        <w:rPr>
          <w:rFonts w:ascii="Garamond" w:hAnsi="Garamond" w:cs="Calibri"/>
          <w:color w:val="000000"/>
        </w:rPr>
        <w:t>. Sample members in the default group will not receive any CATI calling if they are in the Experiment 2 experimental group. Sample members in the default group will receive light outbound CATI calling at 8 weeks (during the Production phase) if they are in the Experiment 2 control group. Light CATI involves a minimal number of phone calls, used mainly to prompt web response (as opposed to regular CATI efforts that involve more frequent phone efforts, with the goal to locate sample members and encourage their participation). All cases in the aggressive group will receive earlier (during the Early Completion phase) and more intense telephone prompting than eligible cases in the default group.</w:t>
      </w:r>
      <w:r w:rsidRPr="001C2BC1">
        <w:rPr>
          <w:rFonts w:ascii="Garamond" w:hAnsi="Garamond" w:cs="Calibri"/>
          <w:color w:val="000000"/>
          <w:u w:val="single"/>
        </w:rPr>
        <w:t xml:space="preserve"> </w:t>
      </w:r>
      <w:r w:rsidRPr="001C2BC1">
        <w:rPr>
          <w:rFonts w:ascii="Garamond" w:hAnsi="Garamond" w:cs="Calibri"/>
          <w:color w:val="000000"/>
        </w:rPr>
        <w:br/>
      </w:r>
      <w:r>
        <w:rPr>
          <w:rFonts w:ascii="Calibri" w:hAnsi="Calibri" w:cs="Calibri"/>
          <w:color w:val="000000"/>
        </w:rPr>
        <w:br/>
      </w:r>
      <w:r w:rsidRPr="001C2BC1">
        <w:rPr>
          <w:rFonts w:ascii="Garamond" w:hAnsi="Garamond" w:cs="Calibri"/>
          <w:color w:val="000000"/>
          <w:u w:val="single"/>
        </w:rPr>
        <w:t xml:space="preserve">Incentive boosts. </w:t>
      </w:r>
      <w:r w:rsidRPr="001C2BC1">
        <w:rPr>
          <w:rFonts w:ascii="Garamond" w:hAnsi="Garamond" w:cs="Calibri"/>
          <w:color w:val="000000"/>
        </w:rPr>
        <w:t xml:space="preserve">Researchers have used incentive boosts as a nonresponse conversion strategy for sample members who have implicitly or explicitly refused to complete the survey (e.g., Groves and </w:t>
      </w:r>
      <w:r w:rsidRPr="001C2BC1">
        <w:rPr>
          <w:rFonts w:ascii="Garamond" w:hAnsi="Garamond" w:cs="Calibri"/>
          <w:color w:val="000000"/>
        </w:rPr>
        <w:t>Heeringa</w:t>
      </w:r>
      <w:r w:rsidRPr="001C2BC1">
        <w:rPr>
          <w:rFonts w:ascii="Garamond" w:hAnsi="Garamond" w:cs="Calibri"/>
          <w:color w:val="000000"/>
        </w:rPr>
        <w:t xml:space="preserve"> 2006; Singer and Ye 2013). These boosts are especially common in large federal surveys during their nonresponse follow-up phase (e.g., The Center for Disease Control and Prevention's National Survey of Family Growth) and have been implemented successfully in other postsecondary education surveys (e.g., HSLS:09 second follow-up; BPS:12/17; NPSAS:20). In NPSAS:20, a $10 incentive boost increased the overall response rate by about 3.2 percentage points above the projected response rate. Therefore, a $10 incentive boost increase to the BPS:20/25 baseline incentive is planned during the Nonresponse Follow-Up phase for all remaining nonrespondents in the default data collection protocol. Remaining nonrespondents in the aggressive data collection protocol will be offered a $20 incentive boost increase to the baseline incentive. This is because the $10 incentive boost in NPSAS:20 did not show any effect on this group. If necessary, incentive boosts may be targeted only at certain groups of nonrespondents to achieve response goals (e.g., targeting nonrespondents from certain states to ensure representativeness, targeting aggressive group nonrespondents to reduce the potential for nonresponse bias).</w:t>
      </w:r>
    </w:p>
    <w:p w:rsidR="00DF13A1" w:rsidRPr="00D71DBF" w:rsidP="000D4CA4" w14:paraId="5676E534" w14:textId="13601481">
      <w:pPr>
        <w:pStyle w:val="NormalWeb"/>
        <w:rPr>
          <w:rFonts w:ascii="Garamond" w:hAnsi="Garamond" w:cs="Calibri"/>
          <w:color w:val="000000"/>
        </w:rPr>
      </w:pPr>
      <w:r w:rsidRPr="001C2BC1">
        <w:rPr>
          <w:rFonts w:ascii="Garamond" w:hAnsi="Garamond" w:cs="Calibri"/>
          <w:color w:val="000000"/>
          <w:u w:val="single"/>
        </w:rPr>
        <w:t>Other interventions</w:t>
      </w:r>
      <w:r w:rsidRPr="001C2BC1">
        <w:rPr>
          <w:rFonts w:ascii="Garamond" w:hAnsi="Garamond" w:cs="Calibri"/>
          <w:color w:val="000000"/>
        </w:rPr>
        <w:t>. While all BPS studies are conducted by NCES, the data collection contractor, RTI International, has typically used the study-specific e-mail “@rti.org” to contact and support sample members. Changing the e-mail sender to the NCES project officer or the RTI project director may increase the perceived importance of the survey and help personalize the contact materials, thereby potentially increasing relevance. Switching the sender during data collection also increases the chance that the survey invitation is delivered to the sample member rather than to a spam filter.</w:t>
      </w:r>
    </w:p>
    <w:p w:rsidR="00185D28" w:rsidRPr="002277CD" w:rsidP="000F00C0" w14:paraId="4032B1F9" w14:textId="6DDB30D9">
      <w:pPr>
        <w:pStyle w:val="Heading2"/>
      </w:pPr>
      <w:bookmarkStart w:id="71" w:name="_Toc268593752"/>
      <w:bookmarkStart w:id="72" w:name="_Toc135923536"/>
      <w:bookmarkStart w:id="73" w:name="_Toc140136668"/>
      <w:bookmarkEnd w:id="42"/>
      <w:bookmarkEnd w:id="43"/>
      <w:r w:rsidRPr="002277CD">
        <w:t xml:space="preserve">Reviewing Statisticians </w:t>
      </w:r>
      <w:r w:rsidRPr="008D7E61">
        <w:t>and</w:t>
      </w:r>
      <w:r w:rsidRPr="002277CD">
        <w:t xml:space="preserve"> Individuals Responsible for Designing and Conducting the Study</w:t>
      </w:r>
      <w:bookmarkEnd w:id="71"/>
      <w:bookmarkEnd w:id="72"/>
      <w:bookmarkEnd w:id="73"/>
    </w:p>
    <w:p w:rsidR="003B7127" w:rsidP="002F1BDA" w14:paraId="5FF8EF94" w14:textId="3ED72BCA">
      <w:pPr>
        <w:pStyle w:val="NormalWeb"/>
        <w:rPr>
          <w:rFonts w:ascii="Garamond" w:hAnsi="Garamond" w:cs="Calibri"/>
          <w:color w:val="000000"/>
        </w:rPr>
      </w:pPr>
      <w:r w:rsidRPr="001C2BC1">
        <w:rPr>
          <w:rFonts w:ascii="Garamond" w:hAnsi="Garamond" w:cs="Calibri"/>
          <w:color w:val="000000"/>
        </w:rPr>
        <w:t>BPS:20/25 is being conducted by NCES. The following statisticians at NCES are responsible for the statistical aspects of the study: Dr. David Richards, Dr. Tracy Hunt-White, Dr. Sean Simone, Dr. Elise Christopher, and Dr. Gail Mulligan. NCES's prime contractor for BPS:20/25 is RTI International (</w:t>
      </w:r>
      <w:r w:rsidRPr="00AF6B55">
        <w:rPr>
          <w:rFonts w:ascii="Garamond" w:hAnsi="Garamond"/>
          <w:color w:val="000000"/>
        </w:rPr>
        <w:t>Contract# 919900-18-C-0039</w:t>
      </w:r>
      <w:r w:rsidRPr="001C2BC1">
        <w:rPr>
          <w:rFonts w:ascii="Garamond" w:hAnsi="Garamond" w:cs="Calibri"/>
          <w:color w:val="000000"/>
        </w:rPr>
        <w:t xml:space="preserve">), and subcontractors include Activate Research; </w:t>
      </w:r>
      <w:r w:rsidRPr="001C2BC1">
        <w:rPr>
          <w:rFonts w:ascii="Garamond" w:hAnsi="Garamond" w:cs="Calibri"/>
          <w:color w:val="000000"/>
        </w:rPr>
        <w:t>EurekaFacts</w:t>
      </w:r>
      <w:r w:rsidRPr="001C2BC1">
        <w:rPr>
          <w:rFonts w:ascii="Garamond" w:hAnsi="Garamond" w:cs="Calibri"/>
          <w:color w:val="000000"/>
        </w:rPr>
        <w:t xml:space="preserve">; HR Directions; Leonard Resource Group; Research Support Services; and Strategic Communications, Inc. The following staff members at RTI are working on the statistical aspects of the study design: Dr. Joshua Pretlow, Dr. Jennifer Wine, Dr. Nestor Ramirez, Mr. Darryl Cooney, Mr. Michael Bryan, Dr. T. Austin Lacy, Dr. Emilia </w:t>
      </w:r>
      <w:r w:rsidRPr="001C2BC1">
        <w:rPr>
          <w:rFonts w:ascii="Garamond" w:hAnsi="Garamond" w:cs="Calibri"/>
          <w:color w:val="000000"/>
        </w:rPr>
        <w:t>Peytcheva</w:t>
      </w:r>
      <w:r w:rsidRPr="001C2BC1">
        <w:rPr>
          <w:rFonts w:ascii="Garamond" w:hAnsi="Garamond" w:cs="Calibri"/>
          <w:color w:val="000000"/>
        </w:rPr>
        <w:t>, and Mr. Peter Siegel. Principal professional RTI staff not listed above, who are assigned to the study include: Ms. Ashley Wilson, Ms. Kristin Dudley, Mr. Jeff Franklin, Ms. Chris Rasmussen, and Ms. Donna Anderson.</w:t>
      </w:r>
    </w:p>
    <w:p w:rsidR="002F1BDA" w:rsidRPr="000D4CA4" w:rsidP="002F1BDA" w14:paraId="4E7419BD" w14:textId="77777777">
      <w:pPr>
        <w:pStyle w:val="NormalWeb"/>
        <w:rPr>
          <w:rFonts w:asciiTheme="minorHAnsi" w:hAnsiTheme="minorHAnsi" w:cs="Calibri"/>
          <w:color w:val="000000"/>
        </w:rPr>
      </w:pPr>
      <w:r w:rsidRPr="0091049D">
        <w:rPr>
          <w:rFonts w:ascii="Calibri" w:hAnsi="Calibri" w:cs="Calibri"/>
          <w:b/>
          <w:bCs/>
          <w:color w:val="000000"/>
          <w:sz w:val="28"/>
          <w:szCs w:val="28"/>
        </w:rPr>
        <w:t xml:space="preserve">References </w:t>
      </w:r>
      <w:r w:rsidRPr="00E25589">
        <w:rPr>
          <w:rFonts w:ascii="Calibri" w:hAnsi="Calibri"/>
          <w:b/>
          <w:color w:val="000000"/>
          <w:sz w:val="28"/>
        </w:rPr>
        <w:br/>
      </w:r>
      <w:r>
        <w:rPr>
          <w:rFonts w:ascii="Calibri" w:hAnsi="Calibri" w:cs="Calibri"/>
          <w:color w:val="000000"/>
        </w:rPr>
        <w:br/>
      </w:r>
      <w:r w:rsidRPr="001C2BC1">
        <w:rPr>
          <w:rFonts w:ascii="Garamond" w:hAnsi="Garamond" w:cs="Calibri"/>
          <w:color w:val="000000"/>
        </w:rPr>
        <w:t xml:space="preserve">Bryan, M., Cooney, D., Elliot, B., and Richards, D. (2019). 2012/17 Beginning Postsecondary Students Longitudinal Study (BPS:12/17): Data File Documentation (NCES 2020-522). U.S. Department of Education. Washington, DC: </w:t>
      </w:r>
      <w:r w:rsidRPr="000D4CA4">
        <w:rPr>
          <w:rFonts w:asciiTheme="minorHAnsi" w:hAnsiTheme="minorHAnsi" w:cs="Calibri"/>
          <w:color w:val="000000"/>
        </w:rPr>
        <w:t xml:space="preserve">National Center for Education Statistics. Retrieved from </w:t>
      </w:r>
      <w:r w:rsidRPr="000D4CA4">
        <w:rPr>
          <w:rFonts w:asciiTheme="minorHAnsi" w:hAnsiTheme="minorHAnsi" w:cs="Calibri"/>
          <w:color w:val="000000"/>
        </w:rPr>
        <w:t>https://nces.ed.gov/pubsearch</w:t>
      </w:r>
    </w:p>
    <w:p w:rsidR="000D4CA4" w:rsidRPr="000D4CA4" w:rsidP="002F1BDA" w14:paraId="5893217F" w14:textId="1F78D9CF">
      <w:pPr>
        <w:pStyle w:val="NormalWeb"/>
        <w:rPr>
          <w:rFonts w:asciiTheme="minorHAnsi" w:hAnsiTheme="minorHAnsi" w:cs="Calibri"/>
          <w:color w:val="000000"/>
        </w:rPr>
      </w:pPr>
      <w:r w:rsidRPr="000D4CA4">
        <w:rPr>
          <w:rFonts w:asciiTheme="minorHAnsi" w:hAnsiTheme="minorHAnsi" w:cs="Calibri"/>
          <w:color w:val="000000"/>
        </w:rPr>
        <w:t>Callegaro</w:t>
      </w:r>
      <w:r w:rsidRPr="000D4CA4">
        <w:rPr>
          <w:rFonts w:asciiTheme="minorHAnsi" w:hAnsiTheme="minorHAnsi" w:cs="Calibri"/>
          <w:color w:val="000000"/>
        </w:rPr>
        <w:t xml:space="preserve">, M. </w:t>
      </w:r>
      <w:r w:rsidRPr="000D4CA4">
        <w:rPr>
          <w:rFonts w:asciiTheme="minorHAnsi" w:hAnsiTheme="minorHAnsi" w:cs="Calibri"/>
          <w:color w:val="000000"/>
        </w:rPr>
        <w:t>Ayhan</w:t>
      </w:r>
      <w:r w:rsidRPr="000D4CA4">
        <w:rPr>
          <w:rFonts w:asciiTheme="minorHAnsi" w:hAnsiTheme="minorHAnsi" w:cs="Calibri"/>
          <w:color w:val="000000"/>
        </w:rPr>
        <w:t xml:space="preserve">, O., Gabler, S., </w:t>
      </w:r>
      <w:r w:rsidRPr="000D4CA4">
        <w:rPr>
          <w:rFonts w:asciiTheme="minorHAnsi" w:hAnsiTheme="minorHAnsi" w:cs="Calibri"/>
          <w:color w:val="000000"/>
        </w:rPr>
        <w:t>Haeder</w:t>
      </w:r>
      <w:r w:rsidRPr="000D4CA4">
        <w:rPr>
          <w:rFonts w:asciiTheme="minorHAnsi" w:hAnsiTheme="minorHAnsi" w:cs="Calibri"/>
          <w:color w:val="000000"/>
        </w:rPr>
        <w:t xml:space="preserve">, S., &amp; Villar, A. (2011). Combining landline and mobile phone samples. A dual frame </w:t>
      </w:r>
      <w:r w:rsidRPr="000D4CA4">
        <w:rPr>
          <w:rFonts w:asciiTheme="minorHAnsi" w:hAnsiTheme="minorHAnsi" w:cs="Calibri"/>
          <w:color w:val="000000"/>
        </w:rPr>
        <w:t>approach</w:t>
      </w:r>
      <w:r w:rsidRPr="000D4CA4">
        <w:rPr>
          <w:rFonts w:asciiTheme="minorHAnsi" w:hAnsiTheme="minorHAnsi" w:cs="Calibri"/>
          <w:color w:val="000000"/>
        </w:rPr>
        <w:t xml:space="preserve">. Working Papers 2011/13. </w:t>
      </w:r>
      <w:r w:rsidRPr="000D4CA4">
        <w:rPr>
          <w:rFonts w:asciiTheme="minorHAnsi" w:hAnsiTheme="minorHAnsi" w:cs="Calibri"/>
          <w:color w:val="000000"/>
        </w:rPr>
        <w:t>Gesis</w:t>
      </w:r>
      <w:r w:rsidRPr="000D4CA4">
        <w:rPr>
          <w:rFonts w:asciiTheme="minorHAnsi" w:hAnsiTheme="minorHAnsi" w:cs="Calibri"/>
          <w:color w:val="000000"/>
        </w:rPr>
        <w:t xml:space="preserve"> Leibniz-</w:t>
      </w:r>
      <w:r w:rsidRPr="000D4CA4">
        <w:rPr>
          <w:rFonts w:asciiTheme="minorHAnsi" w:hAnsiTheme="minorHAnsi" w:cs="Calibri"/>
          <w:color w:val="000000"/>
        </w:rPr>
        <w:t>Institut</w:t>
      </w:r>
      <w:r w:rsidRPr="000D4CA4">
        <w:rPr>
          <w:rFonts w:asciiTheme="minorHAnsi" w:hAnsiTheme="minorHAnsi" w:cs="Calibri"/>
          <w:color w:val="000000"/>
        </w:rPr>
        <w:t xml:space="preserve"> </w:t>
      </w:r>
      <w:r w:rsidRPr="000D4CA4">
        <w:rPr>
          <w:rFonts w:asciiTheme="minorHAnsi" w:hAnsiTheme="minorHAnsi" w:cs="Calibri"/>
          <w:color w:val="000000"/>
        </w:rPr>
        <w:t>fuer</w:t>
      </w:r>
      <w:r w:rsidRPr="000D4CA4">
        <w:rPr>
          <w:rFonts w:asciiTheme="minorHAnsi" w:hAnsiTheme="minorHAnsi" w:cs="Calibri"/>
          <w:color w:val="000000"/>
        </w:rPr>
        <w:t xml:space="preserve"> </w:t>
      </w:r>
      <w:r w:rsidRPr="000D4CA4">
        <w:rPr>
          <w:rFonts w:asciiTheme="minorHAnsi" w:hAnsiTheme="minorHAnsi" w:cs="Calibri"/>
          <w:color w:val="000000"/>
        </w:rPr>
        <w:t>Sozialwissenschaften</w:t>
      </w:r>
      <w:r w:rsidRPr="000D4CA4">
        <w:rPr>
          <w:rFonts w:asciiTheme="minorHAnsi" w:hAnsiTheme="minorHAnsi" w:cs="Calibri"/>
          <w:color w:val="000000"/>
        </w:rPr>
        <w:t>.</w:t>
      </w:r>
    </w:p>
    <w:p w:rsidR="000D4CA4" w:rsidP="002F1BDA" w14:paraId="613715E3" w14:textId="77777777">
      <w:pPr>
        <w:pStyle w:val="NormalWeb"/>
        <w:rPr>
          <w:rFonts w:ascii="Garamond" w:hAnsi="Garamond" w:cs="Calibri"/>
          <w:color w:val="000000"/>
        </w:rPr>
      </w:pPr>
      <w:r w:rsidRPr="000D4CA4">
        <w:rPr>
          <w:rFonts w:asciiTheme="minorHAnsi" w:hAnsiTheme="minorHAnsi" w:cs="Calibri"/>
          <w:color w:val="000000"/>
        </w:rPr>
        <w:t>Griggs, A., Powell, R., Keeney, J., Waggy, M., Harris, K., Halpern, C. and Dean, S. (2019) Research Note: A Prenotice Greeting Card's Impact on</w:t>
      </w:r>
      <w:r w:rsidRPr="001C2BC1">
        <w:rPr>
          <w:rFonts w:ascii="Garamond" w:hAnsi="Garamond" w:cs="Calibri"/>
          <w:color w:val="000000"/>
        </w:rPr>
        <w:t xml:space="preserve"> Response Rates and Response Time, Longitudinal and Life Course Studies, 10(4): 421-432.</w:t>
      </w:r>
      <w:r w:rsidRPr="001C2BC1">
        <w:rPr>
          <w:rFonts w:ascii="Garamond" w:hAnsi="Garamond" w:cs="Calibri"/>
          <w:color w:val="000000"/>
        </w:rPr>
        <w:br/>
      </w:r>
      <w:r w:rsidRPr="001C2BC1">
        <w:rPr>
          <w:rFonts w:ascii="Garamond" w:hAnsi="Garamond" w:cs="Calibri"/>
          <w:color w:val="000000"/>
        </w:rPr>
        <w:br/>
        <w:t xml:space="preserve">Groves R.M., and </w:t>
      </w:r>
      <w:r w:rsidRPr="001C2BC1">
        <w:rPr>
          <w:rFonts w:ascii="Garamond" w:hAnsi="Garamond" w:cs="Calibri"/>
          <w:color w:val="000000"/>
        </w:rPr>
        <w:t>Heeringa</w:t>
      </w:r>
      <w:r w:rsidRPr="001C2BC1">
        <w:rPr>
          <w:rFonts w:ascii="Garamond" w:hAnsi="Garamond" w:cs="Calibri"/>
          <w:color w:val="000000"/>
        </w:rPr>
        <w:t>, S.G. (2006). Responsive Design for Household Surveys: Tools for Actively Controlling Survey Errors and Costs. Journal of the Royal Statistical Society Series A-Statistics in Society, 169(3): 439-457.</w:t>
      </w:r>
    </w:p>
    <w:p w:rsidR="002F1BDA" w:rsidRPr="001C2BC1" w:rsidP="002F1BDA" w14:paraId="570C5714" w14:textId="42A58494">
      <w:pPr>
        <w:pStyle w:val="NormalWeb"/>
        <w:rPr>
          <w:rFonts w:ascii="Garamond" w:hAnsi="Garamond" w:cstheme="minorHAnsi"/>
          <w:sz w:val="32"/>
          <w:szCs w:val="32"/>
        </w:rPr>
      </w:pPr>
      <w:r w:rsidRPr="000D4CA4">
        <w:rPr>
          <w:rFonts w:ascii="Garamond" w:hAnsi="Garamond" w:cs="Calibri"/>
          <w:color w:val="000000"/>
        </w:rPr>
        <w:t xml:space="preserve">Schober, </w:t>
      </w:r>
      <w:r w:rsidRPr="000D4CA4">
        <w:rPr>
          <w:rFonts w:ascii="Garamond" w:hAnsi="Garamond" w:cs="Calibri"/>
          <w:color w:val="000000"/>
        </w:rPr>
        <w:t>M.F,.</w:t>
      </w:r>
      <w:r w:rsidRPr="000D4CA4">
        <w:rPr>
          <w:rFonts w:ascii="Garamond" w:hAnsi="Garamond" w:cs="Calibri"/>
          <w:color w:val="000000"/>
        </w:rPr>
        <w:t xml:space="preserve"> Conrad, F.G., </w:t>
      </w:r>
      <w:r w:rsidRPr="000D4CA4">
        <w:rPr>
          <w:rFonts w:ascii="Garamond" w:hAnsi="Garamond" w:cs="Calibri"/>
          <w:color w:val="000000"/>
        </w:rPr>
        <w:t>Antoun</w:t>
      </w:r>
      <w:r w:rsidRPr="000D4CA4">
        <w:rPr>
          <w:rFonts w:ascii="Garamond" w:hAnsi="Garamond" w:cs="Calibri"/>
          <w:color w:val="000000"/>
        </w:rPr>
        <w:t xml:space="preserve">, C., </w:t>
      </w:r>
      <w:r w:rsidRPr="000D4CA4">
        <w:rPr>
          <w:rFonts w:ascii="Garamond" w:hAnsi="Garamond" w:cs="Calibri"/>
          <w:color w:val="000000"/>
        </w:rPr>
        <w:t>Ehlen</w:t>
      </w:r>
      <w:r w:rsidRPr="000D4CA4">
        <w:rPr>
          <w:rFonts w:ascii="Garamond" w:hAnsi="Garamond" w:cs="Calibri"/>
          <w:color w:val="000000"/>
        </w:rPr>
        <w:t xml:space="preserve">, P., Fail, S., Hupp, A.L., Johnston, M., Vickers, L., Yan, Y.H., and Zhang, C. (2015). Precision and Disclosure in Text and Voice Interviews on Smartphones. </w:t>
      </w:r>
      <w:r w:rsidRPr="000D4CA4">
        <w:rPr>
          <w:rFonts w:ascii="Garamond" w:hAnsi="Garamond" w:cs="Calibri"/>
          <w:color w:val="000000"/>
        </w:rPr>
        <w:t>PLoS</w:t>
      </w:r>
      <w:r w:rsidRPr="000D4CA4">
        <w:rPr>
          <w:rFonts w:ascii="Garamond" w:hAnsi="Garamond" w:cs="Calibri"/>
          <w:color w:val="000000"/>
        </w:rPr>
        <w:t xml:space="preserve"> ONE 10(6): e0128337. </w:t>
      </w:r>
      <w:r w:rsidRPr="000D4CA4">
        <w:rPr>
          <w:rFonts w:ascii="Garamond" w:hAnsi="Garamond" w:cs="Calibri"/>
          <w:color w:val="000000"/>
        </w:rPr>
        <w:t>doi:10.1371/journal.pone</w:t>
      </w:r>
      <w:r w:rsidRPr="000D4CA4">
        <w:rPr>
          <w:rFonts w:ascii="Garamond" w:hAnsi="Garamond" w:cs="Calibri"/>
          <w:color w:val="000000"/>
        </w:rPr>
        <w:t>.0128337</w:t>
      </w:r>
      <w:r w:rsidRPr="001C2BC1">
        <w:rPr>
          <w:rFonts w:ascii="Garamond" w:hAnsi="Garamond" w:cs="Calibri"/>
          <w:color w:val="000000"/>
        </w:rPr>
        <w:br/>
      </w:r>
      <w:r w:rsidRPr="001C2BC1">
        <w:rPr>
          <w:rFonts w:ascii="Garamond" w:hAnsi="Garamond" w:cs="Calibri"/>
          <w:color w:val="000000"/>
        </w:rPr>
        <w:br/>
        <w:t>Singer, E. and Ye, C. (2013). The Use and Effects of Incentives in Surveys. Annals. Annals of the American Academy of Political and Social Science, 645(1): 112-141.</w:t>
      </w:r>
    </w:p>
    <w:p w:rsidR="002F1BDA" w:rsidRPr="002F1BDA" w:rsidP="002F1BDA" w14:paraId="47E1976C" w14:textId="77777777">
      <w:pPr>
        <w:pStyle w:val="NormalWeb"/>
        <w:rPr>
          <w:rFonts w:ascii="Garamond" w:hAnsi="Garamond" w:cs="Calibri"/>
          <w:color w:val="000000"/>
        </w:rPr>
      </w:pPr>
    </w:p>
    <w:sectPr w:rsidSect="00D43A80">
      <w:footerReference w:type="even" r:id="rId7"/>
      <w:footerReference w:type="default" r:id="rId8"/>
      <w:type w:val="continuous"/>
      <w:pgSz w:w="12240" w:h="15840" w:code="1"/>
      <w:pgMar w:top="720" w:right="864" w:bottom="720" w:left="864" w:header="432" w:footer="288" w:gutter="0"/>
      <w:cols w:sep="1"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mbria">
    <w:altName w:val="Cambria"/>
    <w:panose1 w:val="02040503050406030204"/>
    <w:charset w:val="00"/>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Arial Narrow">
    <w:panose1 w:val="020B0606020202030204"/>
    <w:charset w:val="00"/>
    <w:family w:val="swiss"/>
    <w:pitch w:val="variable"/>
    <w:sig w:usb0="00000287" w:usb1="00000800" w:usb2="00000000" w:usb3="00000000" w:csb0="0000009F" w:csb1="00000000"/>
  </w:font>
  <w:font w:name="ITC Avant Garde Std Bk">
    <w:altName w:val="Century Gothic"/>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Myriad Pro">
    <w:altName w:val="Times New Roman"/>
    <w:panose1 w:val="00000000000000000000"/>
    <w:charset w:val="00"/>
    <w:family w:val="swiss"/>
    <w:notTrueType/>
    <w:pitch w:val="variable"/>
    <w:sig w:usb0="A00002AF" w:usb1="5000204B" w:usb2="00000000" w:usb3="00000000" w:csb0="0000019F" w:csb1="00000000"/>
  </w:font>
  <w:font w:name="Britannic Bold">
    <w:panose1 w:val="020B0903060703020204"/>
    <w:charset w:val="00"/>
    <w:family w:val="swiss"/>
    <w:pitch w:val="variable"/>
    <w:sig w:usb0="00000003" w:usb1="00000000" w:usb2="00000000" w:usb3="00000000" w:csb0="00000001" w:csb1="00000000"/>
  </w:font>
  <w:font w:name="Adobe Garamond Pro">
    <w:altName w:val="Georgia"/>
    <w:panose1 w:val="00000000000000000000"/>
    <w:charset w:val="00"/>
    <w:family w:val="roman"/>
    <w:notTrueType/>
    <w:pitch w:val="variable"/>
    <w:sig w:usb0="800000AF" w:usb1="5000205B" w:usb2="00000000" w:usb3="00000000" w:csb0="0000009B"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74A17" w:rsidP="00A56C4F" w14:paraId="6252D3D7" w14:textId="4894DEA7">
    <w:pPr>
      <w:pStyle w:val="Footer"/>
      <w:jc w:val="center"/>
    </w:pPr>
    <w:r>
      <w:rPr>
        <w:color w:val="2B579A"/>
        <w:shd w:val="clear" w:color="auto" w:fill="E6E6E6"/>
      </w:rPr>
      <w:fldChar w:fldCharType="begin"/>
    </w:r>
    <w:r>
      <w:instrText xml:space="preserve"> PAGE   \* MERGEFORMAT </w:instrText>
    </w:r>
    <w:r>
      <w:rPr>
        <w:color w:val="2B579A"/>
        <w:shd w:val="clear" w:color="auto" w:fill="E6E6E6"/>
      </w:rPr>
      <w:fldChar w:fldCharType="separate"/>
    </w:r>
    <w:r>
      <w:rPr>
        <w:noProof/>
      </w:rPr>
      <w:t>2</w:t>
    </w:r>
    <w:r>
      <w:rPr>
        <w:noProof/>
        <w:color w:val="2B579A"/>
        <w:shd w:val="clear" w:color="auto" w:fill="E6E6E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74A17" w14:paraId="3FD89C29" w14:textId="6627929D">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74A17" w:rsidP="008D3581" w14:paraId="0F02DD56"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13</w:t>
    </w:r>
    <w:r>
      <w:rPr>
        <w:rStyle w:val="PageNumber"/>
      </w:rPr>
      <w:fldChar w:fldCharType="end"/>
    </w:r>
  </w:p>
  <w:p w:rsidR="00174A17" w14:paraId="7BF1D453"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290315619"/>
      <w:docPartObj>
        <w:docPartGallery w:val="Page Numbers (Bottom of Page)"/>
        <w:docPartUnique/>
      </w:docPartObj>
    </w:sdtPr>
    <w:sdtEndPr>
      <w:rPr>
        <w:noProof/>
        <w:sz w:val="18"/>
        <w:szCs w:val="18"/>
      </w:rPr>
    </w:sdtEndPr>
    <w:sdtContent>
      <w:p w:rsidR="00174A17" w:rsidRPr="006536E3" w:rsidP="00803802" w14:paraId="41612D1D" w14:textId="6A3A158D">
        <w:pPr>
          <w:pStyle w:val="Footer"/>
          <w:jc w:val="center"/>
          <w:rPr>
            <w:sz w:val="18"/>
            <w:szCs w:val="18"/>
          </w:rPr>
        </w:pPr>
        <w:r w:rsidRPr="006536E3">
          <w:rPr>
            <w:color w:val="2B579A"/>
            <w:sz w:val="18"/>
            <w:szCs w:val="18"/>
            <w:shd w:val="clear" w:color="auto" w:fill="E6E6E6"/>
          </w:rPr>
          <w:fldChar w:fldCharType="begin"/>
        </w:r>
        <w:r w:rsidRPr="006536E3">
          <w:rPr>
            <w:sz w:val="18"/>
            <w:szCs w:val="18"/>
          </w:rPr>
          <w:instrText xml:space="preserve"> PAGE   \* MERGEFORMAT </w:instrText>
        </w:r>
        <w:r w:rsidRPr="006536E3">
          <w:rPr>
            <w:color w:val="2B579A"/>
            <w:sz w:val="18"/>
            <w:szCs w:val="18"/>
            <w:shd w:val="clear" w:color="auto" w:fill="E6E6E6"/>
          </w:rPr>
          <w:fldChar w:fldCharType="separate"/>
        </w:r>
        <w:r w:rsidRPr="006536E3">
          <w:rPr>
            <w:noProof/>
            <w:sz w:val="18"/>
            <w:szCs w:val="18"/>
          </w:rPr>
          <w:t>16</w:t>
        </w:r>
        <w:r w:rsidRPr="006536E3">
          <w:rPr>
            <w:noProof/>
            <w:color w:val="2B579A"/>
            <w:sz w:val="18"/>
            <w:szCs w:val="18"/>
            <w:shd w:val="clear" w:color="auto" w:fill="E6E6E6"/>
          </w:rPr>
          <w:fldChar w:fldCharType="end"/>
        </w:r>
      </w:p>
    </w:sdtContent>
  </w:sdt>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F"/>
    <w:multiLevelType w:val="singleLevel"/>
    <w:tmpl w:val="39A274E6"/>
    <w:lvl w:ilvl="0">
      <w:start w:val="1"/>
      <w:numFmt w:val="decimal"/>
      <w:pStyle w:val="ListNumber2"/>
      <w:lvlText w:val="%1."/>
      <w:lvlJc w:val="left"/>
      <w:pPr>
        <w:tabs>
          <w:tab w:val="num" w:pos="720"/>
        </w:tabs>
        <w:ind w:left="720" w:hanging="360"/>
      </w:pPr>
    </w:lvl>
  </w:abstractNum>
  <w:abstractNum w:abstractNumId="1">
    <w:nsid w:val="FFFFFF88"/>
    <w:multiLevelType w:val="multilevel"/>
    <w:tmpl w:val="94A2A068"/>
    <w:lvl w:ilvl="0">
      <w:start w:val="1"/>
      <w:numFmt w:val="decimal"/>
      <w:pStyle w:val="ListNumber"/>
      <w:lvlText w:val="%1."/>
      <w:lvlJc w:val="left"/>
      <w:pPr>
        <w:tabs>
          <w:tab w:val="num" w:pos="1440"/>
        </w:tabs>
        <w:ind w:left="1440" w:hanging="360"/>
      </w:pPr>
      <w:rPr>
        <w:rFonts w:hint="default"/>
      </w:rPr>
    </w:lvl>
    <w:lvl w:ilvl="1">
      <w:start w:val="1"/>
      <w:numFmt w:val="bullet"/>
      <w:lvlText w:val=""/>
      <w:lvlJc w:val="left"/>
      <w:pPr>
        <w:tabs>
          <w:tab w:val="num" w:pos="1800"/>
        </w:tabs>
        <w:ind w:left="180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
      <w:lvlJc w:val="left"/>
      <w:pPr>
        <w:tabs>
          <w:tab w:val="num" w:pos="2880"/>
        </w:tabs>
        <w:ind w:left="2880" w:hanging="360"/>
      </w:pPr>
      <w:rPr>
        <w:rFonts w:ascii="Symbol" w:hAnsi="Symbol" w:hint="default"/>
      </w:rPr>
    </w:lvl>
    <w:lvl w:ilvl="5">
      <w:start w:val="1"/>
      <w:numFmt w:val="bullet"/>
      <w:lvlText w:val=""/>
      <w:lvlJc w:val="left"/>
      <w:pPr>
        <w:tabs>
          <w:tab w:val="num" w:pos="3240"/>
        </w:tabs>
        <w:ind w:left="3240" w:hanging="360"/>
      </w:pPr>
      <w:rPr>
        <w:rFonts w:ascii="Wingdings" w:hAnsi="Wingdings" w:hint="default"/>
      </w:rPr>
    </w:lvl>
    <w:lvl w:ilvl="6">
      <w:start w:val="1"/>
      <w:numFmt w:val="bullet"/>
      <w:lvlText w:val=""/>
      <w:lvlJc w:val="left"/>
      <w:pPr>
        <w:tabs>
          <w:tab w:val="num" w:pos="3600"/>
        </w:tabs>
        <w:ind w:left="3600" w:hanging="360"/>
      </w:pPr>
      <w:rPr>
        <w:rFonts w:ascii="Wingdings" w:hAnsi="Wingdings" w:hint="default"/>
      </w:rPr>
    </w:lvl>
    <w:lvl w:ilvl="7">
      <w:start w:val="1"/>
      <w:numFmt w:val="bullet"/>
      <w:lvlText w:val=""/>
      <w:lvlJc w:val="left"/>
      <w:pPr>
        <w:tabs>
          <w:tab w:val="num" w:pos="3960"/>
        </w:tabs>
        <w:ind w:left="3960" w:hanging="360"/>
      </w:pPr>
      <w:rPr>
        <w:rFonts w:ascii="Symbol" w:hAnsi="Symbol" w:hint="default"/>
      </w:rPr>
    </w:lvl>
    <w:lvl w:ilvl="8">
      <w:start w:val="1"/>
      <w:numFmt w:val="bullet"/>
      <w:lvlText w:val=""/>
      <w:lvlJc w:val="left"/>
      <w:pPr>
        <w:tabs>
          <w:tab w:val="num" w:pos="4320"/>
        </w:tabs>
        <w:ind w:left="4320" w:hanging="360"/>
      </w:pPr>
      <w:rPr>
        <w:rFonts w:ascii="Symbol" w:hAnsi="Symbol" w:hint="default"/>
      </w:rPr>
    </w:lvl>
  </w:abstractNum>
  <w:abstractNum w:abstractNumId="2">
    <w:nsid w:val="05FD5E80"/>
    <w:multiLevelType w:val="hybridMultilevel"/>
    <w:tmpl w:val="7F14A742"/>
    <w:lvl w:ilvl="0">
      <w:start w:val="1"/>
      <w:numFmt w:val="bullet"/>
      <w:lvlText w:val=""/>
      <w:lvlJc w:val="left"/>
      <w:pPr>
        <w:ind w:left="540" w:firstLine="0"/>
      </w:pPr>
      <w:rPr>
        <w:rFonts w:ascii="Symbol" w:hAnsi="Symbol" w:hint="default"/>
      </w:rPr>
    </w:lvl>
    <w:lvl w:ilvl="1">
      <w:start w:val="0"/>
      <w:numFmt w:val="decimal"/>
      <w:lvlJc w:val="left"/>
      <w:pPr>
        <w:ind w:left="540" w:firstLine="0"/>
      </w:pPr>
    </w:lvl>
    <w:lvl w:ilvl="2">
      <w:start w:val="0"/>
      <w:numFmt w:val="decimal"/>
      <w:lvlJc w:val="left"/>
      <w:pPr>
        <w:ind w:left="540" w:firstLine="0"/>
      </w:pPr>
    </w:lvl>
    <w:lvl w:ilvl="3">
      <w:start w:val="0"/>
      <w:numFmt w:val="decimal"/>
      <w:lvlJc w:val="left"/>
      <w:pPr>
        <w:ind w:left="540" w:firstLine="0"/>
      </w:pPr>
    </w:lvl>
    <w:lvl w:ilvl="4">
      <w:start w:val="0"/>
      <w:numFmt w:val="decimal"/>
      <w:lvlJc w:val="left"/>
      <w:pPr>
        <w:ind w:left="540" w:firstLine="0"/>
      </w:pPr>
    </w:lvl>
    <w:lvl w:ilvl="5">
      <w:start w:val="0"/>
      <w:numFmt w:val="decimal"/>
      <w:lvlJc w:val="left"/>
      <w:pPr>
        <w:ind w:left="540" w:firstLine="0"/>
      </w:pPr>
    </w:lvl>
    <w:lvl w:ilvl="6">
      <w:start w:val="0"/>
      <w:numFmt w:val="decimal"/>
      <w:lvlJc w:val="left"/>
      <w:pPr>
        <w:ind w:left="540" w:firstLine="0"/>
      </w:pPr>
    </w:lvl>
    <w:lvl w:ilvl="7">
      <w:start w:val="0"/>
      <w:numFmt w:val="decimal"/>
      <w:lvlJc w:val="left"/>
      <w:pPr>
        <w:ind w:left="540" w:firstLine="0"/>
      </w:pPr>
    </w:lvl>
    <w:lvl w:ilvl="8">
      <w:start w:val="0"/>
      <w:numFmt w:val="decimal"/>
      <w:lvlJc w:val="left"/>
      <w:pPr>
        <w:ind w:left="540" w:firstLine="0"/>
      </w:pPr>
    </w:lvl>
  </w:abstractNum>
  <w:abstractNum w:abstractNumId="3">
    <w:nsid w:val="09A5369D"/>
    <w:multiLevelType w:val="hybridMultilevel"/>
    <w:tmpl w:val="ECD4248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0A045DB5"/>
    <w:multiLevelType w:val="hybridMultilevel"/>
    <w:tmpl w:val="88709DD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114D7A80"/>
    <w:multiLevelType w:val="hybridMultilevel"/>
    <w:tmpl w:val="DA22E2DE"/>
    <w:lvl w:ilvl="0">
      <w:start w:val="1"/>
      <w:numFmt w:val="bullet"/>
      <w:pStyle w:val="List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12BA20B9"/>
    <w:multiLevelType w:val="hybridMultilevel"/>
    <w:tmpl w:val="27848026"/>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7">
    <w:nsid w:val="26147436"/>
    <w:multiLevelType w:val="hybridMultilevel"/>
    <w:tmpl w:val="61FC8754"/>
    <w:lvl w:ilvl="0">
      <w:start w:val="1"/>
      <w:numFmt w:val="decimal"/>
      <w:pStyle w:val="Style2"/>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8">
    <w:nsid w:val="27486E01"/>
    <w:multiLevelType w:val="multilevel"/>
    <w:tmpl w:val="EA1A8868"/>
    <w:lvl w:ilvl="0">
      <w:start w:val="1"/>
      <w:numFmt w:val="decimal"/>
      <w:lvlText w:val="%1."/>
      <w:lvlJc w:val="left"/>
      <w:pPr>
        <w:ind w:left="720" w:hanging="360"/>
      </w:pPr>
    </w:lvl>
    <w:lvl w:ilvl="1">
      <w:start w:val="1"/>
      <w:numFmt w:val="lowerLetter"/>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288660C5"/>
    <w:multiLevelType w:val="multilevel"/>
    <w:tmpl w:val="86C83CCE"/>
    <w:lvl w:ilvl="0">
      <w:start w:val="1"/>
      <w:numFmt w:val="bullet"/>
      <w:lvlText w:val=""/>
      <w:lvlJc w:val="left"/>
      <w:pPr>
        <w:tabs>
          <w:tab w:val="num" w:pos="0"/>
        </w:tabs>
        <w:ind w:left="0" w:firstLine="360"/>
      </w:pPr>
      <w:rPr>
        <w:rFonts w:ascii="Symbol" w:hAnsi="Symbol" w:hint="default"/>
        <w:sz w:val="24"/>
      </w:rPr>
    </w:lvl>
    <w:lvl w:ilvl="1">
      <w:start w:val="1"/>
      <w:numFmt w:val="bullet"/>
      <w:lvlText w:val=""/>
      <w:lvlJc w:val="left"/>
      <w:pPr>
        <w:tabs>
          <w:tab w:val="num" w:pos="720"/>
        </w:tabs>
        <w:ind w:left="720" w:hanging="360"/>
      </w:pPr>
      <w:rPr>
        <w:rFonts w:ascii="Symbol" w:hAnsi="Symbol" w:hint="default"/>
      </w:rPr>
    </w:lvl>
    <w:lvl w:ilvl="2">
      <w:start w:val="1"/>
      <w:numFmt w:val="bullet"/>
      <w:pStyle w:val="bullet3rdlevel"/>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0">
    <w:nsid w:val="2A326B69"/>
    <w:multiLevelType w:val="hybridMultilevel"/>
    <w:tmpl w:val="0DE43FC8"/>
    <w:lvl w:ilvl="0">
      <w:start w:val="1"/>
      <w:numFmt w:val="decimal"/>
      <w:pStyle w:val="ListParagraph"/>
      <w:lvlText w:val="%1."/>
      <w:lvlJc w:val="left"/>
      <w:pPr>
        <w:ind w:left="1080" w:hanging="360"/>
      </w:pPr>
    </w:lvl>
    <w:lvl w:ilvl="1">
      <w:start w:val="1"/>
      <w:numFmt w:val="lowerLetter"/>
      <w:lvlText w:val="%2."/>
      <w:lvlJc w:val="left"/>
      <w:pPr>
        <w:ind w:left="1440" w:hanging="360"/>
      </w:pPr>
      <w:rPr>
        <w:rFonts w:hint="default"/>
      </w:r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1">
    <w:nsid w:val="2B4B219E"/>
    <w:multiLevelType w:val="hybridMultilevel"/>
    <w:tmpl w:val="233C30C6"/>
    <w:lvl w:ilvl="0">
      <w:start w:val="1"/>
      <w:numFmt w:val="bullet"/>
      <w:pStyle w:val="bulletslast"/>
      <w:lvlText w:val="■"/>
      <w:lvlJc w:val="left"/>
      <w:pPr>
        <w:tabs>
          <w:tab w:val="num" w:pos="360"/>
        </w:tabs>
        <w:ind w:left="360" w:hanging="360"/>
      </w:pPr>
      <w:rPr>
        <w:rFonts w:ascii="Times New Roman" w:hAnsi="Times New Roman" w:cs="Times New Roman"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12">
    <w:nsid w:val="2BC010CA"/>
    <w:multiLevelType w:val="hybridMultilevel"/>
    <w:tmpl w:val="6DD03B5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2D6F2EFB"/>
    <w:multiLevelType w:val="hybridMultilevel"/>
    <w:tmpl w:val="32182A1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2EA22ABC"/>
    <w:multiLevelType w:val="hybridMultilevel"/>
    <w:tmpl w:val="605E73AA"/>
    <w:lvl w:ilvl="0">
      <w:start w:val="1"/>
      <w:numFmt w:val="bullet"/>
      <w:pStyle w:val="bulletround"/>
      <w:lvlText w:val=""/>
      <w:lvlJc w:val="left"/>
      <w:pPr>
        <w:tabs>
          <w:tab w:val="num" w:pos="1440"/>
        </w:tabs>
        <w:ind w:left="1080" w:hanging="360"/>
      </w:pPr>
      <w:rPr>
        <w:rFonts w:ascii="Symbol" w:hAnsi="Symbol" w:hint="default"/>
      </w:rPr>
    </w:lvl>
    <w:lvl w:ilvl="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15">
    <w:nsid w:val="32D54313"/>
    <w:multiLevelType w:val="hybridMultilevel"/>
    <w:tmpl w:val="F9AC06A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3453024E"/>
    <w:multiLevelType w:val="hybridMultilevel"/>
    <w:tmpl w:val="943A16AC"/>
    <w:lvl w:ilvl="0">
      <w:start w:val="1"/>
      <w:numFmt w:val="bullet"/>
      <w:pStyle w:val="bullets-2ndlevel"/>
      <w:lvlText w:val=""/>
      <w:lvlJc w:val="left"/>
      <w:pPr>
        <w:tabs>
          <w:tab w:val="num" w:pos="720"/>
        </w:tabs>
        <w:ind w:left="720" w:hanging="360"/>
      </w:pPr>
      <w:rPr>
        <w:rFonts w:ascii="Wingdings" w:hAnsi="Wingdings" w:hint="default"/>
      </w:rPr>
    </w:lvl>
    <w:lvl w:ilvl="1">
      <w:start w:val="3"/>
      <w:numFmt w:val="decimal"/>
      <w:lvlText w:val="%2."/>
      <w:lvlJc w:val="left"/>
      <w:pPr>
        <w:tabs>
          <w:tab w:val="num" w:pos="1440"/>
        </w:tabs>
        <w:ind w:left="1440" w:hanging="360"/>
      </w:pPr>
      <w:rPr>
        <w:rFonts w:ascii="Times New Roman" w:eastAsia="Times New Roman" w:hAnsi="Times New Roman" w:cs="Times New Roman"/>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7">
    <w:nsid w:val="36E830F0"/>
    <w:multiLevelType w:val="hybridMultilevel"/>
    <w:tmpl w:val="08A84EE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3F060CFE"/>
    <w:multiLevelType w:val="hybrid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nsid w:val="41CC0037"/>
    <w:multiLevelType w:val="hybridMultilevel"/>
    <w:tmpl w:val="E23A4A86"/>
    <w:lvl w:ilvl="0">
      <w:start w:val="1"/>
      <w:numFmt w:val="bullet"/>
      <w:lvlText w:val=""/>
      <w:lvlJc w:val="left"/>
      <w:pPr>
        <w:tabs>
          <w:tab w:val="num" w:pos="360"/>
        </w:tabs>
        <w:ind w:left="360" w:hanging="360"/>
      </w:pPr>
      <w:rPr>
        <w:rFonts w:ascii="Symbol" w:hAnsi="Symbol" w:hint="default"/>
        <w:sz w:val="24"/>
      </w:rPr>
    </w:lvl>
    <w:lvl w:ilvl="1">
      <w:start w:val="1"/>
      <w:numFmt w:val="bullet"/>
      <w:pStyle w:val="bullet2ndlevel"/>
      <w:lvlText w:val=""/>
      <w:lvlJc w:val="left"/>
      <w:pPr>
        <w:tabs>
          <w:tab w:val="num" w:pos="720"/>
        </w:tabs>
        <w:ind w:left="720" w:hanging="360"/>
      </w:pPr>
      <w:rPr>
        <w:rFonts w:ascii="Symbol" w:hAnsi="Symbol" w:hint="default"/>
        <w:sz w:val="24"/>
      </w:rPr>
    </w:lvl>
    <w:lvl w:ilvl="2">
      <w:start w:val="1"/>
      <w:numFmt w:val="bullet"/>
      <w:lvlText w:val=""/>
      <w:lvlJc w:val="left"/>
      <w:pPr>
        <w:tabs>
          <w:tab w:val="num" w:pos="1440"/>
        </w:tabs>
        <w:ind w:left="1440" w:hanging="360"/>
      </w:pPr>
      <w:rPr>
        <w:rFonts w:ascii="Wingdings" w:hAnsi="Wingdings" w:hint="default"/>
      </w:rPr>
    </w:lvl>
    <w:lvl w:ilvl="3">
      <w:start w:val="1"/>
      <w:numFmt w:val="bullet"/>
      <w:lvlText w:val=""/>
      <w:lvlJc w:val="left"/>
      <w:pPr>
        <w:tabs>
          <w:tab w:val="num" w:pos="2160"/>
        </w:tabs>
        <w:ind w:left="2160" w:hanging="360"/>
      </w:pPr>
      <w:rPr>
        <w:rFonts w:ascii="Symbol" w:hAnsi="Symbol" w:hint="default"/>
      </w:rPr>
    </w:lvl>
    <w:lvl w:ilvl="4">
      <w:start w:val="1"/>
      <w:numFmt w:val="bullet"/>
      <w:lvlText w:val="o"/>
      <w:lvlJc w:val="left"/>
      <w:pPr>
        <w:tabs>
          <w:tab w:val="num" w:pos="2880"/>
        </w:tabs>
        <w:ind w:left="2880" w:hanging="360"/>
      </w:pPr>
      <w:rPr>
        <w:rFonts w:ascii="Courier New" w:hAnsi="Courier New" w:hint="default"/>
      </w:rPr>
    </w:lvl>
    <w:lvl w:ilvl="5">
      <w:start w:val="1"/>
      <w:numFmt w:val="bullet"/>
      <w:lvlText w:val=""/>
      <w:lvlJc w:val="left"/>
      <w:pPr>
        <w:tabs>
          <w:tab w:val="num" w:pos="3600"/>
        </w:tabs>
        <w:ind w:left="3600" w:hanging="360"/>
      </w:pPr>
      <w:rPr>
        <w:rFonts w:ascii="Wingdings" w:hAnsi="Wingdings" w:hint="default"/>
      </w:rPr>
    </w:lvl>
    <w:lvl w:ilvl="6">
      <w:start w:val="1"/>
      <w:numFmt w:val="bullet"/>
      <w:lvlText w:val=""/>
      <w:lvlJc w:val="left"/>
      <w:pPr>
        <w:tabs>
          <w:tab w:val="num" w:pos="4320"/>
        </w:tabs>
        <w:ind w:left="4320" w:hanging="360"/>
      </w:pPr>
      <w:rPr>
        <w:rFonts w:ascii="Symbol" w:hAnsi="Symbol" w:hint="default"/>
      </w:rPr>
    </w:lvl>
    <w:lvl w:ilvl="7">
      <w:start w:val="1"/>
      <w:numFmt w:val="bullet"/>
      <w:lvlText w:val="o"/>
      <w:lvlJc w:val="left"/>
      <w:pPr>
        <w:tabs>
          <w:tab w:val="num" w:pos="5040"/>
        </w:tabs>
        <w:ind w:left="5040" w:hanging="360"/>
      </w:pPr>
      <w:rPr>
        <w:rFonts w:ascii="Courier New" w:hAnsi="Courier New" w:hint="default"/>
      </w:rPr>
    </w:lvl>
    <w:lvl w:ilvl="8">
      <w:start w:val="1"/>
      <w:numFmt w:val="bullet"/>
      <w:lvlText w:val=""/>
      <w:lvlJc w:val="left"/>
      <w:pPr>
        <w:tabs>
          <w:tab w:val="num" w:pos="5760"/>
        </w:tabs>
        <w:ind w:left="5760" w:hanging="360"/>
      </w:pPr>
      <w:rPr>
        <w:rFonts w:ascii="Wingdings" w:hAnsi="Wingdings" w:hint="default"/>
      </w:rPr>
    </w:lvl>
  </w:abstractNum>
  <w:abstractNum w:abstractNumId="20">
    <w:nsid w:val="48134CAA"/>
    <w:multiLevelType w:val="hybridMultilevel"/>
    <w:tmpl w:val="D7F6A488"/>
    <w:lvl w:ilvl="0">
      <w:start w:val="1"/>
      <w:numFmt w:val="bullet"/>
      <w:lvlText w:val="•"/>
      <w:lvlJc w:val="left"/>
      <w:pPr>
        <w:tabs>
          <w:tab w:val="num" w:pos="720"/>
        </w:tabs>
        <w:ind w:left="720" w:hanging="360"/>
      </w:pPr>
      <w:rPr>
        <w:rFonts w:ascii="Arial" w:hAnsi="Arial" w:cs="Times New Roman" w:hint="default"/>
      </w:rPr>
    </w:lvl>
    <w:lvl w:ilvl="1">
      <w:start w:val="1"/>
      <w:numFmt w:val="bullet"/>
      <w:lvlText w:val="•"/>
      <w:lvlJc w:val="left"/>
      <w:pPr>
        <w:tabs>
          <w:tab w:val="num" w:pos="1440"/>
        </w:tabs>
        <w:ind w:left="1440" w:hanging="360"/>
      </w:pPr>
      <w:rPr>
        <w:rFonts w:ascii="Arial" w:hAnsi="Arial" w:cs="Times New Roman" w:hint="default"/>
      </w:rPr>
    </w:lvl>
    <w:lvl w:ilvl="2">
      <w:start w:val="1"/>
      <w:numFmt w:val="bullet"/>
      <w:lvlText w:val="•"/>
      <w:lvlJc w:val="left"/>
      <w:pPr>
        <w:tabs>
          <w:tab w:val="num" w:pos="2160"/>
        </w:tabs>
        <w:ind w:left="2160" w:hanging="360"/>
      </w:pPr>
      <w:rPr>
        <w:rFonts w:ascii="Arial" w:hAnsi="Arial" w:cs="Times New Roman" w:hint="default"/>
      </w:rPr>
    </w:lvl>
    <w:lvl w:ilvl="3">
      <w:start w:val="1"/>
      <w:numFmt w:val="bullet"/>
      <w:lvlText w:val="•"/>
      <w:lvlJc w:val="left"/>
      <w:pPr>
        <w:tabs>
          <w:tab w:val="num" w:pos="2880"/>
        </w:tabs>
        <w:ind w:left="2880" w:hanging="360"/>
      </w:pPr>
      <w:rPr>
        <w:rFonts w:ascii="Arial" w:hAnsi="Arial" w:cs="Times New Roman" w:hint="default"/>
      </w:rPr>
    </w:lvl>
    <w:lvl w:ilvl="4">
      <w:start w:val="1"/>
      <w:numFmt w:val="bullet"/>
      <w:lvlText w:val="•"/>
      <w:lvlJc w:val="left"/>
      <w:pPr>
        <w:tabs>
          <w:tab w:val="num" w:pos="3600"/>
        </w:tabs>
        <w:ind w:left="3600" w:hanging="360"/>
      </w:pPr>
      <w:rPr>
        <w:rFonts w:ascii="Arial" w:hAnsi="Arial" w:cs="Times New Roman" w:hint="default"/>
      </w:rPr>
    </w:lvl>
    <w:lvl w:ilvl="5">
      <w:start w:val="1"/>
      <w:numFmt w:val="bullet"/>
      <w:lvlText w:val="•"/>
      <w:lvlJc w:val="left"/>
      <w:pPr>
        <w:tabs>
          <w:tab w:val="num" w:pos="4320"/>
        </w:tabs>
        <w:ind w:left="4320" w:hanging="360"/>
      </w:pPr>
      <w:rPr>
        <w:rFonts w:ascii="Arial" w:hAnsi="Arial" w:cs="Times New Roman" w:hint="default"/>
      </w:rPr>
    </w:lvl>
    <w:lvl w:ilvl="6">
      <w:start w:val="1"/>
      <w:numFmt w:val="bullet"/>
      <w:lvlText w:val="•"/>
      <w:lvlJc w:val="left"/>
      <w:pPr>
        <w:tabs>
          <w:tab w:val="num" w:pos="5040"/>
        </w:tabs>
        <w:ind w:left="5040" w:hanging="360"/>
      </w:pPr>
      <w:rPr>
        <w:rFonts w:ascii="Arial" w:hAnsi="Arial" w:cs="Times New Roman" w:hint="default"/>
      </w:rPr>
    </w:lvl>
    <w:lvl w:ilvl="7">
      <w:start w:val="1"/>
      <w:numFmt w:val="bullet"/>
      <w:lvlText w:val="•"/>
      <w:lvlJc w:val="left"/>
      <w:pPr>
        <w:tabs>
          <w:tab w:val="num" w:pos="5760"/>
        </w:tabs>
        <w:ind w:left="5760" w:hanging="360"/>
      </w:pPr>
      <w:rPr>
        <w:rFonts w:ascii="Arial" w:hAnsi="Arial" w:cs="Times New Roman" w:hint="default"/>
      </w:rPr>
    </w:lvl>
    <w:lvl w:ilvl="8">
      <w:start w:val="1"/>
      <w:numFmt w:val="bullet"/>
      <w:lvlText w:val="•"/>
      <w:lvlJc w:val="left"/>
      <w:pPr>
        <w:tabs>
          <w:tab w:val="num" w:pos="6480"/>
        </w:tabs>
        <w:ind w:left="6480" w:hanging="360"/>
      </w:pPr>
      <w:rPr>
        <w:rFonts w:ascii="Arial" w:hAnsi="Arial" w:cs="Times New Roman" w:hint="default"/>
      </w:rPr>
    </w:lvl>
  </w:abstractNum>
  <w:abstractNum w:abstractNumId="21">
    <w:nsid w:val="4BDD3541"/>
    <w:multiLevelType w:val="hybridMultilevel"/>
    <w:tmpl w:val="9BF4617A"/>
    <w:lvl w:ilvl="0">
      <w:start w:val="178"/>
      <w:numFmt w:val="bullet"/>
      <w:lvlText w:val="-"/>
      <w:lvlJc w:val="left"/>
      <w:pPr>
        <w:ind w:left="1440" w:hanging="360"/>
      </w:pPr>
      <w:rPr>
        <w:rFonts w:ascii="Calibri" w:hAnsi="Calibri" w:eastAsiaTheme="minorHAnsi"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2">
    <w:nsid w:val="4E653F17"/>
    <w:multiLevelType w:val="hybridMultilevel"/>
    <w:tmpl w:val="F19CA802"/>
    <w:lvl w:ilvl="0">
      <w:start w:val="1"/>
      <w:numFmt w:val="bullet"/>
      <w:pStyle w:val="bullets"/>
      <w:lvlText w:val="■"/>
      <w:lvlJc w:val="left"/>
      <w:pPr>
        <w:tabs>
          <w:tab w:val="num" w:pos="720"/>
        </w:tabs>
        <w:ind w:left="720" w:hanging="360"/>
      </w:pPr>
      <w:rPr>
        <w:rFonts w:ascii="Times New Roman" w:hAnsi="Times New Roman" w:cs="Times New Roman" w:hint="default"/>
        <w:lang w:val="en-US"/>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3">
    <w:nsid w:val="511C6AF5"/>
    <w:multiLevelType w:val="hybridMultilevel"/>
    <w:tmpl w:val="21308AA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528B77FE"/>
    <w:multiLevelType w:val="hybridMultilevel"/>
    <w:tmpl w:val="606C776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56DF3E72"/>
    <w:multiLevelType w:val="multilevel"/>
    <w:tmpl w:val="94BEA216"/>
    <w:lvl w:ilvl="0">
      <w:start w:val="1"/>
      <w:numFmt w:val="decimal"/>
      <w:lvlText w:val="%1."/>
      <w:lvlJc w:val="left"/>
      <w:pPr>
        <w:ind w:left="720" w:hanging="360"/>
      </w:pPr>
    </w:lvl>
    <w:lvl w:ilvl="1">
      <w:start w:val="1"/>
      <w:numFmt w:val="lowerLetter"/>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nsid w:val="5B330D57"/>
    <w:multiLevelType w:val="multilevel"/>
    <w:tmpl w:val="008EB1A2"/>
    <w:lvl w:ilvl="0">
      <w:start w:val="2"/>
      <w:numFmt w:val="upperLetter"/>
      <w:pStyle w:val="Heading1"/>
      <w:lvlText w:val="%1."/>
      <w:lvlJc w:val="left"/>
      <w:pPr>
        <w:tabs>
          <w:tab w:val="num" w:pos="360"/>
        </w:tabs>
        <w:ind w:left="360" w:hanging="360"/>
      </w:pPr>
      <w:rPr>
        <w:rFonts w:hint="default"/>
      </w:rPr>
    </w:lvl>
    <w:lvl w:ilvl="1">
      <w:start w:val="1"/>
      <w:numFmt w:val="decimal"/>
      <w:pStyle w:val="Heading2"/>
      <w:lvlText w:val="%2."/>
      <w:lvlJc w:val="left"/>
      <w:pPr>
        <w:tabs>
          <w:tab w:val="num" w:pos="1080"/>
        </w:tabs>
        <w:ind w:left="792" w:hanging="432"/>
      </w:pPr>
      <w:rPr>
        <w:rFonts w:cs="Times New Roman" w:hint="default"/>
        <w:b/>
        <w:bCs w:val="0"/>
        <w:i w:val="0"/>
        <w:iCs w:val="0"/>
        <w:caps w:val="0"/>
        <w:smallCaps w:val="0"/>
        <w:strike w:val="0"/>
        <w:dstrike w:val="0"/>
        <w:noProof w:val="0"/>
        <w:vanish w:val="0"/>
        <w:color w:val="000000"/>
        <w:spacing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noFill/>
          <w14:prstDash w14:val="solid"/>
          <w14:bevel/>
        </w14:textOutline>
        <w14:scene3d>
          <w14:camera w14:prst="orthographicFront"/>
          <w14:lightRig w14:rig="threePt" w14:dir="t">
            <w14:rot w14:lat="0" w14:lon="0" w14:rev="0"/>
          </w14:lightRig>
        </w14:scene3d>
        <w14:props3d/>
        <w14:ligatures w14:val="none"/>
        <w14:numForm w14:val="default"/>
        <w14:numSpacing w14:val="default"/>
        <w14:stylisticSets xmlns:w14="http://schemas.microsoft.com/office/word/2010/wordml"/>
        <w14:cntxtAlts w14:val="0"/>
      </w:rPr>
    </w:lvl>
    <w:lvl w:ilvl="2">
      <w:start w:val="1"/>
      <w:numFmt w:val="lowerLetter"/>
      <w:pStyle w:val="Heading3"/>
      <w:lvlText w:val="%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7">
    <w:nsid w:val="5CFC068A"/>
    <w:multiLevelType w:val="hybridMultilevel"/>
    <w:tmpl w:val="3190BA2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5E5B1888"/>
    <w:multiLevelType w:val="hybridMultilevel"/>
    <w:tmpl w:val="BA445C94"/>
    <w:lvl w:ilvl="0">
      <w:start w:val="178"/>
      <w:numFmt w:val="bullet"/>
      <w:lvlText w:val="-"/>
      <w:lvlJc w:val="left"/>
      <w:pPr>
        <w:ind w:left="1440" w:hanging="360"/>
      </w:pPr>
      <w:rPr>
        <w:rFonts w:ascii="Calibri" w:hAnsi="Calibri" w:eastAsiaTheme="minorHAnsi"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9">
    <w:nsid w:val="66576418"/>
    <w:multiLevelType w:val="hybridMultilevel"/>
    <w:tmpl w:val="83EC54E0"/>
    <w:lvl w:ilvl="0">
      <w:start w:val="1"/>
      <w:numFmt w:val="bullet"/>
      <w:lvlText w:val=""/>
      <w:lvlJc w:val="left"/>
      <w:pPr>
        <w:ind w:left="810" w:hanging="360"/>
      </w:pPr>
      <w:rPr>
        <w:rFonts w:ascii="Symbol" w:hAnsi="Symbol" w:hint="default"/>
      </w:rPr>
    </w:lvl>
    <w:lvl w:ilvl="1" w:tentative="1">
      <w:start w:val="1"/>
      <w:numFmt w:val="bullet"/>
      <w:lvlText w:val="o"/>
      <w:lvlJc w:val="left"/>
      <w:pPr>
        <w:ind w:left="1530" w:hanging="360"/>
      </w:pPr>
      <w:rPr>
        <w:rFonts w:ascii="Courier New" w:hAnsi="Courier New" w:cs="Courier New" w:hint="default"/>
      </w:rPr>
    </w:lvl>
    <w:lvl w:ilvl="2" w:tentative="1">
      <w:start w:val="1"/>
      <w:numFmt w:val="bullet"/>
      <w:lvlText w:val=""/>
      <w:lvlJc w:val="left"/>
      <w:pPr>
        <w:ind w:left="2250" w:hanging="360"/>
      </w:pPr>
      <w:rPr>
        <w:rFonts w:ascii="Wingdings" w:hAnsi="Wingdings" w:hint="default"/>
      </w:rPr>
    </w:lvl>
    <w:lvl w:ilvl="3" w:tentative="1">
      <w:start w:val="1"/>
      <w:numFmt w:val="bullet"/>
      <w:lvlText w:val=""/>
      <w:lvlJc w:val="left"/>
      <w:pPr>
        <w:ind w:left="2970" w:hanging="360"/>
      </w:pPr>
      <w:rPr>
        <w:rFonts w:ascii="Symbol" w:hAnsi="Symbol" w:hint="default"/>
      </w:rPr>
    </w:lvl>
    <w:lvl w:ilvl="4" w:tentative="1">
      <w:start w:val="1"/>
      <w:numFmt w:val="bullet"/>
      <w:lvlText w:val="o"/>
      <w:lvlJc w:val="left"/>
      <w:pPr>
        <w:ind w:left="3690" w:hanging="360"/>
      </w:pPr>
      <w:rPr>
        <w:rFonts w:ascii="Courier New" w:hAnsi="Courier New" w:cs="Courier New" w:hint="default"/>
      </w:rPr>
    </w:lvl>
    <w:lvl w:ilvl="5" w:tentative="1">
      <w:start w:val="1"/>
      <w:numFmt w:val="bullet"/>
      <w:lvlText w:val=""/>
      <w:lvlJc w:val="left"/>
      <w:pPr>
        <w:ind w:left="4410" w:hanging="360"/>
      </w:pPr>
      <w:rPr>
        <w:rFonts w:ascii="Wingdings" w:hAnsi="Wingdings" w:hint="default"/>
      </w:rPr>
    </w:lvl>
    <w:lvl w:ilvl="6" w:tentative="1">
      <w:start w:val="1"/>
      <w:numFmt w:val="bullet"/>
      <w:lvlText w:val=""/>
      <w:lvlJc w:val="left"/>
      <w:pPr>
        <w:ind w:left="5130" w:hanging="360"/>
      </w:pPr>
      <w:rPr>
        <w:rFonts w:ascii="Symbol" w:hAnsi="Symbol" w:hint="default"/>
      </w:rPr>
    </w:lvl>
    <w:lvl w:ilvl="7" w:tentative="1">
      <w:start w:val="1"/>
      <w:numFmt w:val="bullet"/>
      <w:lvlText w:val="o"/>
      <w:lvlJc w:val="left"/>
      <w:pPr>
        <w:ind w:left="5850" w:hanging="360"/>
      </w:pPr>
      <w:rPr>
        <w:rFonts w:ascii="Courier New" w:hAnsi="Courier New" w:cs="Courier New" w:hint="default"/>
      </w:rPr>
    </w:lvl>
    <w:lvl w:ilvl="8" w:tentative="1">
      <w:start w:val="1"/>
      <w:numFmt w:val="bullet"/>
      <w:lvlText w:val=""/>
      <w:lvlJc w:val="left"/>
      <w:pPr>
        <w:ind w:left="6570" w:hanging="360"/>
      </w:pPr>
      <w:rPr>
        <w:rFonts w:ascii="Wingdings" w:hAnsi="Wingdings" w:hint="default"/>
      </w:rPr>
    </w:lvl>
  </w:abstractNum>
  <w:abstractNum w:abstractNumId="30">
    <w:nsid w:val="70C514BC"/>
    <w:multiLevelType w:val="hybridMultilevel"/>
    <w:tmpl w:val="4D80B1EC"/>
    <w:lvl w:ilvl="0">
      <w:start w:val="1"/>
      <w:numFmt w:val="bullet"/>
      <w:lvlText w:val="‒"/>
      <w:lvlJc w:val="left"/>
      <w:pPr>
        <w:ind w:left="720" w:hanging="360"/>
      </w:pPr>
      <w:rPr>
        <w:rFonts w:ascii="Calibri" w:hAnsi="Calibri" w:hint="default"/>
        <w:color w:val="auto"/>
        <w:sz w:val="24"/>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1">
    <w:nsid w:val="70E145D6"/>
    <w:multiLevelType w:val="hybridMultilevel"/>
    <w:tmpl w:val="EFE4C06C"/>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2">
    <w:nsid w:val="72E160F6"/>
    <w:multiLevelType w:val="hybridMultilevel"/>
    <w:tmpl w:val="17BE19F4"/>
    <w:lvl w:ilvl="0">
      <w:start w:val="1"/>
      <w:numFmt w:val="bullet"/>
      <w:lvlText w:val=""/>
      <w:lvlJc w:val="left"/>
      <w:pPr>
        <w:tabs>
          <w:tab w:val="num" w:pos="720"/>
        </w:tabs>
        <w:ind w:left="720" w:hanging="360"/>
      </w:pPr>
      <w:rPr>
        <w:rFonts w:ascii="Symbol" w:hAnsi="Symbol" w:hint="default"/>
        <w:lang w:val="en-US"/>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3">
    <w:nsid w:val="75A22160"/>
    <w:multiLevelType w:val="hybridMultilevel"/>
    <w:tmpl w:val="474EE63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nsid w:val="7B071A3F"/>
    <w:multiLevelType w:val="hybridMultilevel"/>
    <w:tmpl w:val="400EC440"/>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5">
    <w:nsid w:val="7E44542F"/>
    <w:multiLevelType w:val="hybridMultilevel"/>
    <w:tmpl w:val="B57021A8"/>
    <w:lvl w:ilvl="0">
      <w:start w:val="178"/>
      <w:numFmt w:val="bullet"/>
      <w:lvlText w:val="-"/>
      <w:lvlJc w:val="left"/>
      <w:pPr>
        <w:ind w:left="1440" w:hanging="360"/>
      </w:pPr>
      <w:rPr>
        <w:rFonts w:ascii="Calibri" w:hAnsi="Calibri" w:eastAsiaTheme="minorHAnsi"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num w:numId="1" w16cid:durableId="678236360">
    <w:abstractNumId w:val="25"/>
  </w:num>
  <w:num w:numId="2" w16cid:durableId="1186096384">
    <w:abstractNumId w:val="8"/>
  </w:num>
  <w:num w:numId="3" w16cid:durableId="1181354041">
    <w:abstractNumId w:val="33"/>
  </w:num>
  <w:num w:numId="4" w16cid:durableId="1180587895">
    <w:abstractNumId w:val="9"/>
  </w:num>
  <w:num w:numId="5" w16cid:durableId="1979725366">
    <w:abstractNumId w:val="26"/>
  </w:num>
  <w:num w:numId="6" w16cid:durableId="712997705">
    <w:abstractNumId w:val="7"/>
  </w:num>
  <w:num w:numId="7" w16cid:durableId="847406646">
    <w:abstractNumId w:val="19"/>
  </w:num>
  <w:num w:numId="8" w16cid:durableId="545024958">
    <w:abstractNumId w:val="14"/>
  </w:num>
  <w:num w:numId="9" w16cid:durableId="738940944">
    <w:abstractNumId w:val="10"/>
  </w:num>
  <w:num w:numId="10" w16cid:durableId="1435516202">
    <w:abstractNumId w:val="1"/>
  </w:num>
  <w:num w:numId="11" w16cid:durableId="695740166">
    <w:abstractNumId w:val="0"/>
  </w:num>
  <w:num w:numId="12" w16cid:durableId="570120877">
    <w:abstractNumId w:val="5"/>
  </w:num>
  <w:num w:numId="13" w16cid:durableId="836116628">
    <w:abstractNumId w:val="31"/>
  </w:num>
  <w:num w:numId="14" w16cid:durableId="260073157">
    <w:abstractNumId w:val="34"/>
  </w:num>
  <w:num w:numId="15" w16cid:durableId="250702830">
    <w:abstractNumId w:val="22"/>
  </w:num>
  <w:num w:numId="16" w16cid:durableId="530994816">
    <w:abstractNumId w:val="11"/>
  </w:num>
  <w:num w:numId="17" w16cid:durableId="37900237">
    <w:abstractNumId w:val="16"/>
  </w:num>
  <w:num w:numId="18" w16cid:durableId="93201218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105807988">
    <w:abstractNumId w:val="2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40954210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23608980">
    <w:abstractNumId w:val="30"/>
  </w:num>
  <w:num w:numId="22" w16cid:durableId="1565876484">
    <w:abstractNumId w:val="18"/>
  </w:num>
  <w:num w:numId="23" w16cid:durableId="1429472341">
    <w:abstractNumId w:val="4"/>
  </w:num>
  <w:num w:numId="24" w16cid:durableId="1425565717">
    <w:abstractNumId w:val="32"/>
  </w:num>
  <w:num w:numId="25" w16cid:durableId="1966111669">
    <w:abstractNumId w:val="26"/>
  </w:num>
  <w:num w:numId="26" w16cid:durableId="1650860823">
    <w:abstractNumId w:val="24"/>
  </w:num>
  <w:num w:numId="27" w16cid:durableId="652181316">
    <w:abstractNumId w:val="29"/>
  </w:num>
  <w:num w:numId="28" w16cid:durableId="1928805127">
    <w:abstractNumId w:val="13"/>
  </w:num>
  <w:num w:numId="29" w16cid:durableId="424768206">
    <w:abstractNumId w:val="2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754353303">
    <w:abstractNumId w:val="2"/>
  </w:num>
  <w:num w:numId="31" w16cid:durableId="1168246884">
    <w:abstractNumId w:val="27"/>
  </w:num>
  <w:num w:numId="32" w16cid:durableId="363794945">
    <w:abstractNumId w:val="28"/>
  </w:num>
  <w:num w:numId="33" w16cid:durableId="1934239692">
    <w:abstractNumId w:val="3"/>
  </w:num>
  <w:num w:numId="34" w16cid:durableId="1811556796">
    <w:abstractNumId w:val="23"/>
  </w:num>
  <w:num w:numId="35" w16cid:durableId="231042403">
    <w:abstractNumId w:val="21"/>
  </w:num>
  <w:num w:numId="36" w16cid:durableId="933439147">
    <w:abstractNumId w:val="35"/>
  </w:num>
  <w:num w:numId="37" w16cid:durableId="1176842567">
    <w:abstractNumId w:val="12"/>
  </w:num>
  <w:num w:numId="38" w16cid:durableId="1095128077">
    <w:abstractNumId w:val="15"/>
  </w:num>
  <w:num w:numId="39" w16cid:durableId="404961303">
    <w:abstractNumId w:val="20"/>
  </w:num>
  <w:num w:numId="40" w16cid:durableId="34282253">
    <w:abstractNumId w:val="6"/>
  </w:num>
  <w:num w:numId="41" w16cid:durableId="1068769048">
    <w:abstractNumId w:val="17"/>
  </w:num>
  <w:numIdMacAtCleanup w:val="1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15:person w15:author="Clarady, Carrie">
    <w15:presenceInfo w15:providerId="AD" w15:userId="S::Carrie.Clarady@ed.gov::8b66d92f-04ea-4e9e-b1af-462d7e9e16c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removeDateAndTime/>
  <w:embedSystemFonts/>
  <w:proofState w:spelling="clean" w:grammar="clean"/>
  <w:stylePaneFormatFilter w:val="3801" w:allStyles="1" w:alternateStyleNames="0" w:clearFormatting="1" w:customStyles="0" w:directFormattingOnNumbering="0" w:directFormattingOnParagraphs="0" w:directFormattingOnRuns="0" w:directFormattingOnTables="1" w:headingStyles="0" w:latentStyles="0" w:numberingStyles="0" w:stylesInUse="0" w:tableStyles="0" w:top3HeadingStyles="1" w:visibleStyles="0"/>
  <w:stylePaneSortMethod w:val="name"/>
  <w:defaultTabStop w:val="720"/>
  <w:doNotHyphenateCaps/>
  <w:drawingGridHorizontalSpacing w:val="120"/>
  <w:drawingGridVerticalSpacing w:val="187"/>
  <w:displayHorizontalDrawingGridEvery w:val="2"/>
  <w:noPunctuationKerning/>
  <w:characterSpacingControl w:val="doNotCompress"/>
  <w:doNotEmbedSmartTag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0A33"/>
    <w:rsid w:val="00000234"/>
    <w:rsid w:val="00000386"/>
    <w:rsid w:val="00000630"/>
    <w:rsid w:val="000017D7"/>
    <w:rsid w:val="00002236"/>
    <w:rsid w:val="0000228F"/>
    <w:rsid w:val="00002700"/>
    <w:rsid w:val="00002FA7"/>
    <w:rsid w:val="0000307B"/>
    <w:rsid w:val="00003694"/>
    <w:rsid w:val="00003953"/>
    <w:rsid w:val="00003AB6"/>
    <w:rsid w:val="00004C74"/>
    <w:rsid w:val="00004D46"/>
    <w:rsid w:val="0000562B"/>
    <w:rsid w:val="000056D7"/>
    <w:rsid w:val="00005F72"/>
    <w:rsid w:val="00006190"/>
    <w:rsid w:val="00006839"/>
    <w:rsid w:val="000068C9"/>
    <w:rsid w:val="00006992"/>
    <w:rsid w:val="00006A86"/>
    <w:rsid w:val="00006DD2"/>
    <w:rsid w:val="00006ECC"/>
    <w:rsid w:val="000071C1"/>
    <w:rsid w:val="0000745D"/>
    <w:rsid w:val="00007541"/>
    <w:rsid w:val="000077C9"/>
    <w:rsid w:val="00007ADD"/>
    <w:rsid w:val="000110B7"/>
    <w:rsid w:val="0001147D"/>
    <w:rsid w:val="0001207D"/>
    <w:rsid w:val="00012201"/>
    <w:rsid w:val="00012301"/>
    <w:rsid w:val="000123C3"/>
    <w:rsid w:val="00012483"/>
    <w:rsid w:val="00013400"/>
    <w:rsid w:val="00013480"/>
    <w:rsid w:val="000135CF"/>
    <w:rsid w:val="00013BB3"/>
    <w:rsid w:val="00013C7D"/>
    <w:rsid w:val="000142EE"/>
    <w:rsid w:val="00014705"/>
    <w:rsid w:val="00014D25"/>
    <w:rsid w:val="00014EAB"/>
    <w:rsid w:val="00014EE0"/>
    <w:rsid w:val="000156F8"/>
    <w:rsid w:val="00015B29"/>
    <w:rsid w:val="00015CD5"/>
    <w:rsid w:val="00016217"/>
    <w:rsid w:val="000166A8"/>
    <w:rsid w:val="00016A6E"/>
    <w:rsid w:val="00016DC5"/>
    <w:rsid w:val="00017480"/>
    <w:rsid w:val="0001749A"/>
    <w:rsid w:val="00017C1E"/>
    <w:rsid w:val="000200D9"/>
    <w:rsid w:val="00020456"/>
    <w:rsid w:val="00020E1D"/>
    <w:rsid w:val="00021107"/>
    <w:rsid w:val="00021560"/>
    <w:rsid w:val="00021623"/>
    <w:rsid w:val="00022672"/>
    <w:rsid w:val="00022F74"/>
    <w:rsid w:val="00023398"/>
    <w:rsid w:val="00023D50"/>
    <w:rsid w:val="00023EA0"/>
    <w:rsid w:val="00024A14"/>
    <w:rsid w:val="00024C64"/>
    <w:rsid w:val="00024CF8"/>
    <w:rsid w:val="00024EFF"/>
    <w:rsid w:val="00025729"/>
    <w:rsid w:val="00025CF8"/>
    <w:rsid w:val="000264DC"/>
    <w:rsid w:val="00026500"/>
    <w:rsid w:val="00026AB5"/>
    <w:rsid w:val="00027A18"/>
    <w:rsid w:val="000307E7"/>
    <w:rsid w:val="00030AA0"/>
    <w:rsid w:val="00031915"/>
    <w:rsid w:val="00032565"/>
    <w:rsid w:val="00033AF2"/>
    <w:rsid w:val="00033B77"/>
    <w:rsid w:val="00033DF5"/>
    <w:rsid w:val="000345A0"/>
    <w:rsid w:val="00034B40"/>
    <w:rsid w:val="00034CD1"/>
    <w:rsid w:val="00034D7D"/>
    <w:rsid w:val="00035743"/>
    <w:rsid w:val="00035C74"/>
    <w:rsid w:val="00036052"/>
    <w:rsid w:val="00036511"/>
    <w:rsid w:val="000368B0"/>
    <w:rsid w:val="00037631"/>
    <w:rsid w:val="00037845"/>
    <w:rsid w:val="00037B0E"/>
    <w:rsid w:val="00037C3A"/>
    <w:rsid w:val="0004025E"/>
    <w:rsid w:val="00040851"/>
    <w:rsid w:val="00041238"/>
    <w:rsid w:val="00041240"/>
    <w:rsid w:val="0004183B"/>
    <w:rsid w:val="00041D5A"/>
    <w:rsid w:val="00042A85"/>
    <w:rsid w:val="00043DC0"/>
    <w:rsid w:val="0004428C"/>
    <w:rsid w:val="00044904"/>
    <w:rsid w:val="00044C62"/>
    <w:rsid w:val="00045A2D"/>
    <w:rsid w:val="00045D04"/>
    <w:rsid w:val="00045E1F"/>
    <w:rsid w:val="000461E8"/>
    <w:rsid w:val="000462E2"/>
    <w:rsid w:val="00046419"/>
    <w:rsid w:val="000468DB"/>
    <w:rsid w:val="00046E26"/>
    <w:rsid w:val="000518B1"/>
    <w:rsid w:val="00051FCD"/>
    <w:rsid w:val="000526B1"/>
    <w:rsid w:val="00052F28"/>
    <w:rsid w:val="00054262"/>
    <w:rsid w:val="000545B0"/>
    <w:rsid w:val="000545DF"/>
    <w:rsid w:val="00054E68"/>
    <w:rsid w:val="0005514E"/>
    <w:rsid w:val="000554B6"/>
    <w:rsid w:val="00055EDB"/>
    <w:rsid w:val="0005687D"/>
    <w:rsid w:val="0005749D"/>
    <w:rsid w:val="00057596"/>
    <w:rsid w:val="00057E39"/>
    <w:rsid w:val="00057F84"/>
    <w:rsid w:val="00060019"/>
    <w:rsid w:val="000604CC"/>
    <w:rsid w:val="00060932"/>
    <w:rsid w:val="00060CE2"/>
    <w:rsid w:val="00060D38"/>
    <w:rsid w:val="000611BF"/>
    <w:rsid w:val="00061737"/>
    <w:rsid w:val="00061BB0"/>
    <w:rsid w:val="00062105"/>
    <w:rsid w:val="00062BB0"/>
    <w:rsid w:val="00062EF6"/>
    <w:rsid w:val="000634B7"/>
    <w:rsid w:val="00063BE4"/>
    <w:rsid w:val="00064457"/>
    <w:rsid w:val="00064F1D"/>
    <w:rsid w:val="00064F6B"/>
    <w:rsid w:val="00064F7D"/>
    <w:rsid w:val="00065379"/>
    <w:rsid w:val="0006553C"/>
    <w:rsid w:val="00066A3E"/>
    <w:rsid w:val="00066DB4"/>
    <w:rsid w:val="000675AA"/>
    <w:rsid w:val="00067C4E"/>
    <w:rsid w:val="00067D63"/>
    <w:rsid w:val="0007064F"/>
    <w:rsid w:val="00070D9D"/>
    <w:rsid w:val="00071674"/>
    <w:rsid w:val="0007178A"/>
    <w:rsid w:val="000718D6"/>
    <w:rsid w:val="00071DD8"/>
    <w:rsid w:val="00071F74"/>
    <w:rsid w:val="00072248"/>
    <w:rsid w:val="000723ED"/>
    <w:rsid w:val="0007244B"/>
    <w:rsid w:val="00072D1A"/>
    <w:rsid w:val="00073232"/>
    <w:rsid w:val="00073248"/>
    <w:rsid w:val="00073C6B"/>
    <w:rsid w:val="00074FEE"/>
    <w:rsid w:val="00075A85"/>
    <w:rsid w:val="00075FE9"/>
    <w:rsid w:val="000769D8"/>
    <w:rsid w:val="00077412"/>
    <w:rsid w:val="000775AB"/>
    <w:rsid w:val="0008113D"/>
    <w:rsid w:val="00081707"/>
    <w:rsid w:val="000830C6"/>
    <w:rsid w:val="0008334E"/>
    <w:rsid w:val="00083935"/>
    <w:rsid w:val="00083A8A"/>
    <w:rsid w:val="0008434D"/>
    <w:rsid w:val="000844EE"/>
    <w:rsid w:val="00084F0A"/>
    <w:rsid w:val="00086659"/>
    <w:rsid w:val="0008668A"/>
    <w:rsid w:val="00086AD0"/>
    <w:rsid w:val="0008770F"/>
    <w:rsid w:val="0009020F"/>
    <w:rsid w:val="000907DE"/>
    <w:rsid w:val="00090CF2"/>
    <w:rsid w:val="00090FCA"/>
    <w:rsid w:val="00091671"/>
    <w:rsid w:val="00091D90"/>
    <w:rsid w:val="00092AA2"/>
    <w:rsid w:val="00093489"/>
    <w:rsid w:val="00093F25"/>
    <w:rsid w:val="0009412E"/>
    <w:rsid w:val="00094CF4"/>
    <w:rsid w:val="00096138"/>
    <w:rsid w:val="000967CB"/>
    <w:rsid w:val="00096E71"/>
    <w:rsid w:val="00097961"/>
    <w:rsid w:val="000A086D"/>
    <w:rsid w:val="000A11D3"/>
    <w:rsid w:val="000A509C"/>
    <w:rsid w:val="000A5159"/>
    <w:rsid w:val="000A5792"/>
    <w:rsid w:val="000A5CE0"/>
    <w:rsid w:val="000A730B"/>
    <w:rsid w:val="000A7C84"/>
    <w:rsid w:val="000A7DA0"/>
    <w:rsid w:val="000B03CB"/>
    <w:rsid w:val="000B05CA"/>
    <w:rsid w:val="000B0B33"/>
    <w:rsid w:val="000B0E7E"/>
    <w:rsid w:val="000B114D"/>
    <w:rsid w:val="000B25B8"/>
    <w:rsid w:val="000B364C"/>
    <w:rsid w:val="000B3827"/>
    <w:rsid w:val="000B3D69"/>
    <w:rsid w:val="000B3F61"/>
    <w:rsid w:val="000B3F6D"/>
    <w:rsid w:val="000B443B"/>
    <w:rsid w:val="000B456E"/>
    <w:rsid w:val="000B4691"/>
    <w:rsid w:val="000B4E13"/>
    <w:rsid w:val="000B5868"/>
    <w:rsid w:val="000B5B47"/>
    <w:rsid w:val="000B6FFA"/>
    <w:rsid w:val="000B71FB"/>
    <w:rsid w:val="000B7888"/>
    <w:rsid w:val="000B7AC2"/>
    <w:rsid w:val="000C0281"/>
    <w:rsid w:val="000C0355"/>
    <w:rsid w:val="000C1041"/>
    <w:rsid w:val="000C1187"/>
    <w:rsid w:val="000C133D"/>
    <w:rsid w:val="000C1A1D"/>
    <w:rsid w:val="000C3189"/>
    <w:rsid w:val="000C3C96"/>
    <w:rsid w:val="000C456C"/>
    <w:rsid w:val="000C45E6"/>
    <w:rsid w:val="000C54B5"/>
    <w:rsid w:val="000C63EA"/>
    <w:rsid w:val="000C650A"/>
    <w:rsid w:val="000C6A71"/>
    <w:rsid w:val="000C75E2"/>
    <w:rsid w:val="000C7F75"/>
    <w:rsid w:val="000D0591"/>
    <w:rsid w:val="000D0D78"/>
    <w:rsid w:val="000D1AE6"/>
    <w:rsid w:val="000D2303"/>
    <w:rsid w:val="000D230A"/>
    <w:rsid w:val="000D25AD"/>
    <w:rsid w:val="000D3C0C"/>
    <w:rsid w:val="000D4376"/>
    <w:rsid w:val="000D4786"/>
    <w:rsid w:val="000D49B4"/>
    <w:rsid w:val="000D4CA4"/>
    <w:rsid w:val="000D556C"/>
    <w:rsid w:val="000D56FE"/>
    <w:rsid w:val="000D57A5"/>
    <w:rsid w:val="000D62FC"/>
    <w:rsid w:val="000D6535"/>
    <w:rsid w:val="000D69D6"/>
    <w:rsid w:val="000D7BC4"/>
    <w:rsid w:val="000D7D39"/>
    <w:rsid w:val="000E0220"/>
    <w:rsid w:val="000E06C8"/>
    <w:rsid w:val="000E227E"/>
    <w:rsid w:val="000E32AA"/>
    <w:rsid w:val="000E3F17"/>
    <w:rsid w:val="000E4EB2"/>
    <w:rsid w:val="000E5818"/>
    <w:rsid w:val="000E5DE0"/>
    <w:rsid w:val="000E6B4C"/>
    <w:rsid w:val="000E70B9"/>
    <w:rsid w:val="000E779A"/>
    <w:rsid w:val="000E794B"/>
    <w:rsid w:val="000E7C3E"/>
    <w:rsid w:val="000F00C0"/>
    <w:rsid w:val="000F02ED"/>
    <w:rsid w:val="000F1B15"/>
    <w:rsid w:val="000F1ECB"/>
    <w:rsid w:val="000F2948"/>
    <w:rsid w:val="000F2BD0"/>
    <w:rsid w:val="000F2CAB"/>
    <w:rsid w:val="000F38FB"/>
    <w:rsid w:val="000F3CBF"/>
    <w:rsid w:val="000F574F"/>
    <w:rsid w:val="000F578D"/>
    <w:rsid w:val="000F6337"/>
    <w:rsid w:val="000F64A4"/>
    <w:rsid w:val="000F68CB"/>
    <w:rsid w:val="000F6BB8"/>
    <w:rsid w:val="000F725A"/>
    <w:rsid w:val="000F738E"/>
    <w:rsid w:val="000F7BF3"/>
    <w:rsid w:val="00100F59"/>
    <w:rsid w:val="00101040"/>
    <w:rsid w:val="001026C1"/>
    <w:rsid w:val="00102934"/>
    <w:rsid w:val="00103799"/>
    <w:rsid w:val="00103C4A"/>
    <w:rsid w:val="001044FB"/>
    <w:rsid w:val="00104567"/>
    <w:rsid w:val="00104B38"/>
    <w:rsid w:val="001056C6"/>
    <w:rsid w:val="001056CA"/>
    <w:rsid w:val="001056CB"/>
    <w:rsid w:val="00105FCB"/>
    <w:rsid w:val="001067CB"/>
    <w:rsid w:val="00106E2A"/>
    <w:rsid w:val="001071B0"/>
    <w:rsid w:val="001079B0"/>
    <w:rsid w:val="00107A15"/>
    <w:rsid w:val="00107A83"/>
    <w:rsid w:val="0010D34D"/>
    <w:rsid w:val="00110465"/>
    <w:rsid w:val="0011094F"/>
    <w:rsid w:val="00110A18"/>
    <w:rsid w:val="00110D31"/>
    <w:rsid w:val="001117CC"/>
    <w:rsid w:val="00111E00"/>
    <w:rsid w:val="00111E4E"/>
    <w:rsid w:val="001123CA"/>
    <w:rsid w:val="00113104"/>
    <w:rsid w:val="001140DA"/>
    <w:rsid w:val="00114457"/>
    <w:rsid w:val="001144A0"/>
    <w:rsid w:val="001144D4"/>
    <w:rsid w:val="001147B2"/>
    <w:rsid w:val="00115048"/>
    <w:rsid w:val="00115438"/>
    <w:rsid w:val="00115805"/>
    <w:rsid w:val="00115FCE"/>
    <w:rsid w:val="00116395"/>
    <w:rsid w:val="00116D15"/>
    <w:rsid w:val="0011706B"/>
    <w:rsid w:val="00117191"/>
    <w:rsid w:val="001173D4"/>
    <w:rsid w:val="0011778A"/>
    <w:rsid w:val="00117B27"/>
    <w:rsid w:val="00117D29"/>
    <w:rsid w:val="00120034"/>
    <w:rsid w:val="00120AF7"/>
    <w:rsid w:val="00121744"/>
    <w:rsid w:val="00121786"/>
    <w:rsid w:val="00122D4F"/>
    <w:rsid w:val="00122EC9"/>
    <w:rsid w:val="00122FC2"/>
    <w:rsid w:val="00123689"/>
    <w:rsid w:val="001237E1"/>
    <w:rsid w:val="001239D8"/>
    <w:rsid w:val="001244B3"/>
    <w:rsid w:val="00124938"/>
    <w:rsid w:val="00124B13"/>
    <w:rsid w:val="001254B1"/>
    <w:rsid w:val="00125893"/>
    <w:rsid w:val="00125C3E"/>
    <w:rsid w:val="0012602E"/>
    <w:rsid w:val="00126924"/>
    <w:rsid w:val="00126B64"/>
    <w:rsid w:val="00127BDB"/>
    <w:rsid w:val="00130DB5"/>
    <w:rsid w:val="00131B31"/>
    <w:rsid w:val="00131BE8"/>
    <w:rsid w:val="001320F9"/>
    <w:rsid w:val="0013244D"/>
    <w:rsid w:val="00132CB2"/>
    <w:rsid w:val="001330AD"/>
    <w:rsid w:val="0013322B"/>
    <w:rsid w:val="00133FDC"/>
    <w:rsid w:val="001340C7"/>
    <w:rsid w:val="00134EE9"/>
    <w:rsid w:val="00135384"/>
    <w:rsid w:val="00135820"/>
    <w:rsid w:val="00136579"/>
    <w:rsid w:val="00137344"/>
    <w:rsid w:val="00137C0A"/>
    <w:rsid w:val="001402EA"/>
    <w:rsid w:val="00140399"/>
    <w:rsid w:val="001403D5"/>
    <w:rsid w:val="00140597"/>
    <w:rsid w:val="00141A6B"/>
    <w:rsid w:val="001422C8"/>
    <w:rsid w:val="00142488"/>
    <w:rsid w:val="00142A4B"/>
    <w:rsid w:val="00142B8C"/>
    <w:rsid w:val="00142E11"/>
    <w:rsid w:val="00143041"/>
    <w:rsid w:val="001431A7"/>
    <w:rsid w:val="001433F6"/>
    <w:rsid w:val="00143ACC"/>
    <w:rsid w:val="00143C1C"/>
    <w:rsid w:val="00144A25"/>
    <w:rsid w:val="00144F49"/>
    <w:rsid w:val="00145190"/>
    <w:rsid w:val="001458ED"/>
    <w:rsid w:val="0014606E"/>
    <w:rsid w:val="0014645F"/>
    <w:rsid w:val="00146498"/>
    <w:rsid w:val="00146944"/>
    <w:rsid w:val="00146964"/>
    <w:rsid w:val="00147448"/>
    <w:rsid w:val="0015037C"/>
    <w:rsid w:val="00150741"/>
    <w:rsid w:val="0015192D"/>
    <w:rsid w:val="001521C0"/>
    <w:rsid w:val="00152327"/>
    <w:rsid w:val="001523A9"/>
    <w:rsid w:val="00152482"/>
    <w:rsid w:val="001524E2"/>
    <w:rsid w:val="00152766"/>
    <w:rsid w:val="00152AB9"/>
    <w:rsid w:val="00152AD3"/>
    <w:rsid w:val="00152BB3"/>
    <w:rsid w:val="00152FDD"/>
    <w:rsid w:val="001530C3"/>
    <w:rsid w:val="001530EC"/>
    <w:rsid w:val="00153442"/>
    <w:rsid w:val="00153595"/>
    <w:rsid w:val="00153802"/>
    <w:rsid w:val="001539B7"/>
    <w:rsid w:val="00153FEF"/>
    <w:rsid w:val="001545A5"/>
    <w:rsid w:val="00155314"/>
    <w:rsid w:val="00155782"/>
    <w:rsid w:val="001557B6"/>
    <w:rsid w:val="00155890"/>
    <w:rsid w:val="00155D19"/>
    <w:rsid w:val="00156286"/>
    <w:rsid w:val="00157807"/>
    <w:rsid w:val="00160371"/>
    <w:rsid w:val="0016046F"/>
    <w:rsid w:val="001606E7"/>
    <w:rsid w:val="00160714"/>
    <w:rsid w:val="00160740"/>
    <w:rsid w:val="00161407"/>
    <w:rsid w:val="00161CCC"/>
    <w:rsid w:val="00162DE5"/>
    <w:rsid w:val="001632BD"/>
    <w:rsid w:val="00163938"/>
    <w:rsid w:val="00163FF2"/>
    <w:rsid w:val="001641A4"/>
    <w:rsid w:val="001653BF"/>
    <w:rsid w:val="0016557F"/>
    <w:rsid w:val="001657E2"/>
    <w:rsid w:val="00165BCC"/>
    <w:rsid w:val="00166933"/>
    <w:rsid w:val="00166D14"/>
    <w:rsid w:val="00167A3D"/>
    <w:rsid w:val="00167B91"/>
    <w:rsid w:val="00167DF7"/>
    <w:rsid w:val="00170392"/>
    <w:rsid w:val="00170641"/>
    <w:rsid w:val="00170652"/>
    <w:rsid w:val="001708C0"/>
    <w:rsid w:val="00170C78"/>
    <w:rsid w:val="00171277"/>
    <w:rsid w:val="00171DD2"/>
    <w:rsid w:val="001728C0"/>
    <w:rsid w:val="00172941"/>
    <w:rsid w:val="00172CCA"/>
    <w:rsid w:val="001743C6"/>
    <w:rsid w:val="001747B9"/>
    <w:rsid w:val="00174873"/>
    <w:rsid w:val="00174A17"/>
    <w:rsid w:val="0017561E"/>
    <w:rsid w:val="00176538"/>
    <w:rsid w:val="00176938"/>
    <w:rsid w:val="00176A41"/>
    <w:rsid w:val="00176F4B"/>
    <w:rsid w:val="001771C3"/>
    <w:rsid w:val="001775C0"/>
    <w:rsid w:val="00177F97"/>
    <w:rsid w:val="00177FD8"/>
    <w:rsid w:val="00180123"/>
    <w:rsid w:val="001804B1"/>
    <w:rsid w:val="001804FD"/>
    <w:rsid w:val="00181271"/>
    <w:rsid w:val="001815DA"/>
    <w:rsid w:val="00181884"/>
    <w:rsid w:val="0018216E"/>
    <w:rsid w:val="0018259F"/>
    <w:rsid w:val="00182F79"/>
    <w:rsid w:val="0018309C"/>
    <w:rsid w:val="001835E8"/>
    <w:rsid w:val="001843FF"/>
    <w:rsid w:val="00185923"/>
    <w:rsid w:val="00185D28"/>
    <w:rsid w:val="00185FCE"/>
    <w:rsid w:val="001861A4"/>
    <w:rsid w:val="001865CC"/>
    <w:rsid w:val="00186C7F"/>
    <w:rsid w:val="00186D4C"/>
    <w:rsid w:val="00187ACD"/>
    <w:rsid w:val="001904CA"/>
    <w:rsid w:val="001907BC"/>
    <w:rsid w:val="00191509"/>
    <w:rsid w:val="00191E9C"/>
    <w:rsid w:val="001923AC"/>
    <w:rsid w:val="001924FF"/>
    <w:rsid w:val="0019274B"/>
    <w:rsid w:val="00192901"/>
    <w:rsid w:val="00193D1C"/>
    <w:rsid w:val="00193DCC"/>
    <w:rsid w:val="00193DD9"/>
    <w:rsid w:val="00193F8B"/>
    <w:rsid w:val="001948F9"/>
    <w:rsid w:val="00194F9E"/>
    <w:rsid w:val="00195334"/>
    <w:rsid w:val="00195846"/>
    <w:rsid w:val="00196AAB"/>
    <w:rsid w:val="001976CB"/>
    <w:rsid w:val="00197A33"/>
    <w:rsid w:val="00197E75"/>
    <w:rsid w:val="001A054D"/>
    <w:rsid w:val="001A0A4E"/>
    <w:rsid w:val="001A0C6F"/>
    <w:rsid w:val="001A126A"/>
    <w:rsid w:val="001A1405"/>
    <w:rsid w:val="001A192A"/>
    <w:rsid w:val="001A1ED0"/>
    <w:rsid w:val="001A3382"/>
    <w:rsid w:val="001A4EB0"/>
    <w:rsid w:val="001A4FE3"/>
    <w:rsid w:val="001A548C"/>
    <w:rsid w:val="001A5C20"/>
    <w:rsid w:val="001A6144"/>
    <w:rsid w:val="001A6277"/>
    <w:rsid w:val="001A671D"/>
    <w:rsid w:val="001A6C33"/>
    <w:rsid w:val="001A6F28"/>
    <w:rsid w:val="001A7D2E"/>
    <w:rsid w:val="001B096F"/>
    <w:rsid w:val="001B0AFE"/>
    <w:rsid w:val="001B108D"/>
    <w:rsid w:val="001B1A91"/>
    <w:rsid w:val="001B1F50"/>
    <w:rsid w:val="001B251D"/>
    <w:rsid w:val="001B27F1"/>
    <w:rsid w:val="001B39DE"/>
    <w:rsid w:val="001B3AF9"/>
    <w:rsid w:val="001B433D"/>
    <w:rsid w:val="001B4F8B"/>
    <w:rsid w:val="001B5343"/>
    <w:rsid w:val="001B5431"/>
    <w:rsid w:val="001B62C1"/>
    <w:rsid w:val="001B792F"/>
    <w:rsid w:val="001C0FB8"/>
    <w:rsid w:val="001C11DD"/>
    <w:rsid w:val="001C14FE"/>
    <w:rsid w:val="001C1602"/>
    <w:rsid w:val="001C19AE"/>
    <w:rsid w:val="001C19FA"/>
    <w:rsid w:val="001C21F6"/>
    <w:rsid w:val="001C2224"/>
    <w:rsid w:val="001C2607"/>
    <w:rsid w:val="001C2BC1"/>
    <w:rsid w:val="001C32A7"/>
    <w:rsid w:val="001C34DD"/>
    <w:rsid w:val="001C3516"/>
    <w:rsid w:val="001C3BFB"/>
    <w:rsid w:val="001C4184"/>
    <w:rsid w:val="001C483E"/>
    <w:rsid w:val="001C4CDA"/>
    <w:rsid w:val="001C4DEE"/>
    <w:rsid w:val="001C568A"/>
    <w:rsid w:val="001C5C35"/>
    <w:rsid w:val="001C60BE"/>
    <w:rsid w:val="001C6283"/>
    <w:rsid w:val="001C635C"/>
    <w:rsid w:val="001C6AAC"/>
    <w:rsid w:val="001C6D72"/>
    <w:rsid w:val="001C72CD"/>
    <w:rsid w:val="001C735C"/>
    <w:rsid w:val="001C7770"/>
    <w:rsid w:val="001C7A22"/>
    <w:rsid w:val="001C7BE3"/>
    <w:rsid w:val="001D010E"/>
    <w:rsid w:val="001D0E45"/>
    <w:rsid w:val="001D196A"/>
    <w:rsid w:val="001D2005"/>
    <w:rsid w:val="001D2204"/>
    <w:rsid w:val="001D3088"/>
    <w:rsid w:val="001D30FC"/>
    <w:rsid w:val="001D34C3"/>
    <w:rsid w:val="001D35EC"/>
    <w:rsid w:val="001D3DC6"/>
    <w:rsid w:val="001D4604"/>
    <w:rsid w:val="001D4E6F"/>
    <w:rsid w:val="001D5262"/>
    <w:rsid w:val="001D542A"/>
    <w:rsid w:val="001D680B"/>
    <w:rsid w:val="001D6CFC"/>
    <w:rsid w:val="001D7BF6"/>
    <w:rsid w:val="001D7F88"/>
    <w:rsid w:val="001E0439"/>
    <w:rsid w:val="001E0AA3"/>
    <w:rsid w:val="001E0E9C"/>
    <w:rsid w:val="001E1669"/>
    <w:rsid w:val="001E20E3"/>
    <w:rsid w:val="001E2639"/>
    <w:rsid w:val="001E2909"/>
    <w:rsid w:val="001E290B"/>
    <w:rsid w:val="001E31AC"/>
    <w:rsid w:val="001E3631"/>
    <w:rsid w:val="001E3E8C"/>
    <w:rsid w:val="001E4325"/>
    <w:rsid w:val="001E5D86"/>
    <w:rsid w:val="001E687F"/>
    <w:rsid w:val="001E78C7"/>
    <w:rsid w:val="001E7A49"/>
    <w:rsid w:val="001E7B14"/>
    <w:rsid w:val="001E7EE6"/>
    <w:rsid w:val="001E7F74"/>
    <w:rsid w:val="001F00DA"/>
    <w:rsid w:val="001F018E"/>
    <w:rsid w:val="001F0499"/>
    <w:rsid w:val="001F11ED"/>
    <w:rsid w:val="001F1817"/>
    <w:rsid w:val="001F196C"/>
    <w:rsid w:val="001F20F8"/>
    <w:rsid w:val="001F2121"/>
    <w:rsid w:val="001F3188"/>
    <w:rsid w:val="001F37DD"/>
    <w:rsid w:val="001F3C27"/>
    <w:rsid w:val="001F4218"/>
    <w:rsid w:val="001F4387"/>
    <w:rsid w:val="001F4877"/>
    <w:rsid w:val="001F4E16"/>
    <w:rsid w:val="001F5506"/>
    <w:rsid w:val="001F5547"/>
    <w:rsid w:val="001F5925"/>
    <w:rsid w:val="001F59D0"/>
    <w:rsid w:val="001F5D38"/>
    <w:rsid w:val="001F74A0"/>
    <w:rsid w:val="0020029C"/>
    <w:rsid w:val="00200742"/>
    <w:rsid w:val="002012F3"/>
    <w:rsid w:val="002015C0"/>
    <w:rsid w:val="00201EEE"/>
    <w:rsid w:val="00202AC1"/>
    <w:rsid w:val="00202FC3"/>
    <w:rsid w:val="00203584"/>
    <w:rsid w:val="002036CF"/>
    <w:rsid w:val="00203FDF"/>
    <w:rsid w:val="00204A71"/>
    <w:rsid w:val="00204B2D"/>
    <w:rsid w:val="00204E1A"/>
    <w:rsid w:val="00204EC3"/>
    <w:rsid w:val="00204FD6"/>
    <w:rsid w:val="002069F2"/>
    <w:rsid w:val="00207040"/>
    <w:rsid w:val="00207821"/>
    <w:rsid w:val="0020790A"/>
    <w:rsid w:val="002106A6"/>
    <w:rsid w:val="00210843"/>
    <w:rsid w:val="00211048"/>
    <w:rsid w:val="0021121B"/>
    <w:rsid w:val="00211EB0"/>
    <w:rsid w:val="00212E18"/>
    <w:rsid w:val="00213C38"/>
    <w:rsid w:val="00213D75"/>
    <w:rsid w:val="00214275"/>
    <w:rsid w:val="00214985"/>
    <w:rsid w:val="00214A7F"/>
    <w:rsid w:val="00214BB6"/>
    <w:rsid w:val="002153F5"/>
    <w:rsid w:val="002155D7"/>
    <w:rsid w:val="0021582F"/>
    <w:rsid w:val="00215DA0"/>
    <w:rsid w:val="00215F16"/>
    <w:rsid w:val="00216D4B"/>
    <w:rsid w:val="002176F2"/>
    <w:rsid w:val="0021789D"/>
    <w:rsid w:val="00217A53"/>
    <w:rsid w:val="00220BFB"/>
    <w:rsid w:val="00220D2A"/>
    <w:rsid w:val="0022144B"/>
    <w:rsid w:val="00221455"/>
    <w:rsid w:val="00221C87"/>
    <w:rsid w:val="00221DEF"/>
    <w:rsid w:val="00222853"/>
    <w:rsid w:val="002233A7"/>
    <w:rsid w:val="00223484"/>
    <w:rsid w:val="00223F36"/>
    <w:rsid w:val="002241E3"/>
    <w:rsid w:val="002245DB"/>
    <w:rsid w:val="00224A40"/>
    <w:rsid w:val="00224C11"/>
    <w:rsid w:val="00225128"/>
    <w:rsid w:val="00226A4E"/>
    <w:rsid w:val="00227100"/>
    <w:rsid w:val="002277CD"/>
    <w:rsid w:val="002279F5"/>
    <w:rsid w:val="002302A0"/>
    <w:rsid w:val="00230393"/>
    <w:rsid w:val="00230681"/>
    <w:rsid w:val="002309C4"/>
    <w:rsid w:val="00231A4A"/>
    <w:rsid w:val="002320FF"/>
    <w:rsid w:val="00232944"/>
    <w:rsid w:val="00232D74"/>
    <w:rsid w:val="0023427C"/>
    <w:rsid w:val="002346ED"/>
    <w:rsid w:val="00234FBE"/>
    <w:rsid w:val="0023549E"/>
    <w:rsid w:val="002355AA"/>
    <w:rsid w:val="00235AFA"/>
    <w:rsid w:val="00235E9E"/>
    <w:rsid w:val="00236014"/>
    <w:rsid w:val="0023649F"/>
    <w:rsid w:val="0023667D"/>
    <w:rsid w:val="00241842"/>
    <w:rsid w:val="00241D5E"/>
    <w:rsid w:val="00242FA4"/>
    <w:rsid w:val="0024318E"/>
    <w:rsid w:val="00243719"/>
    <w:rsid w:val="00243CAC"/>
    <w:rsid w:val="00243FE7"/>
    <w:rsid w:val="002442A7"/>
    <w:rsid w:val="002447B5"/>
    <w:rsid w:val="002449DA"/>
    <w:rsid w:val="0024511F"/>
    <w:rsid w:val="0024536A"/>
    <w:rsid w:val="00245507"/>
    <w:rsid w:val="002456CD"/>
    <w:rsid w:val="00246715"/>
    <w:rsid w:val="00246905"/>
    <w:rsid w:val="002474C4"/>
    <w:rsid w:val="00247F4C"/>
    <w:rsid w:val="00250436"/>
    <w:rsid w:val="00251D8E"/>
    <w:rsid w:val="00252791"/>
    <w:rsid w:val="00252A45"/>
    <w:rsid w:val="00252FFE"/>
    <w:rsid w:val="00253084"/>
    <w:rsid w:val="00253D60"/>
    <w:rsid w:val="00254BA2"/>
    <w:rsid w:val="00254CED"/>
    <w:rsid w:val="00255253"/>
    <w:rsid w:val="00255CBA"/>
    <w:rsid w:val="002560F3"/>
    <w:rsid w:val="00256245"/>
    <w:rsid w:val="0025744B"/>
    <w:rsid w:val="00260226"/>
    <w:rsid w:val="0026144D"/>
    <w:rsid w:val="00261774"/>
    <w:rsid w:val="00261A0E"/>
    <w:rsid w:val="00262A02"/>
    <w:rsid w:val="00262A30"/>
    <w:rsid w:val="00263A0C"/>
    <w:rsid w:val="00263B64"/>
    <w:rsid w:val="00263D6A"/>
    <w:rsid w:val="00264DFF"/>
    <w:rsid w:val="002656C7"/>
    <w:rsid w:val="002658B9"/>
    <w:rsid w:val="002659A1"/>
    <w:rsid w:val="00265C5F"/>
    <w:rsid w:val="00265D69"/>
    <w:rsid w:val="002668CC"/>
    <w:rsid w:val="00266A4B"/>
    <w:rsid w:val="00266B75"/>
    <w:rsid w:val="00266DEE"/>
    <w:rsid w:val="0026703F"/>
    <w:rsid w:val="0026724A"/>
    <w:rsid w:val="0026788D"/>
    <w:rsid w:val="00267DEE"/>
    <w:rsid w:val="00267F90"/>
    <w:rsid w:val="0027047D"/>
    <w:rsid w:val="00271F23"/>
    <w:rsid w:val="00272C43"/>
    <w:rsid w:val="00272E77"/>
    <w:rsid w:val="002732CC"/>
    <w:rsid w:val="0027343C"/>
    <w:rsid w:val="00273B93"/>
    <w:rsid w:val="00275006"/>
    <w:rsid w:val="0027560C"/>
    <w:rsid w:val="002758DC"/>
    <w:rsid w:val="00275919"/>
    <w:rsid w:val="00275B68"/>
    <w:rsid w:val="00275D72"/>
    <w:rsid w:val="002764D4"/>
    <w:rsid w:val="00276AD2"/>
    <w:rsid w:val="00277039"/>
    <w:rsid w:val="0027709A"/>
    <w:rsid w:val="002770D7"/>
    <w:rsid w:val="002771BB"/>
    <w:rsid w:val="00280124"/>
    <w:rsid w:val="0028098C"/>
    <w:rsid w:val="002822FD"/>
    <w:rsid w:val="00282BF8"/>
    <w:rsid w:val="002834E4"/>
    <w:rsid w:val="0028476A"/>
    <w:rsid w:val="00285517"/>
    <w:rsid w:val="002855DF"/>
    <w:rsid w:val="0028588D"/>
    <w:rsid w:val="00285A1E"/>
    <w:rsid w:val="00286C3F"/>
    <w:rsid w:val="00286EE5"/>
    <w:rsid w:val="0029035C"/>
    <w:rsid w:val="00290396"/>
    <w:rsid w:val="00290768"/>
    <w:rsid w:val="00290FA2"/>
    <w:rsid w:val="00291509"/>
    <w:rsid w:val="002916B9"/>
    <w:rsid w:val="0029236F"/>
    <w:rsid w:val="002935A2"/>
    <w:rsid w:val="002936F5"/>
    <w:rsid w:val="00293AF4"/>
    <w:rsid w:val="00294332"/>
    <w:rsid w:val="00294A61"/>
    <w:rsid w:val="00294D8A"/>
    <w:rsid w:val="002954E2"/>
    <w:rsid w:val="00295A5F"/>
    <w:rsid w:val="002966E1"/>
    <w:rsid w:val="00296B80"/>
    <w:rsid w:val="00296DD1"/>
    <w:rsid w:val="00296F54"/>
    <w:rsid w:val="00297E2F"/>
    <w:rsid w:val="002A0082"/>
    <w:rsid w:val="002A0F6D"/>
    <w:rsid w:val="002A2298"/>
    <w:rsid w:val="002A29C7"/>
    <w:rsid w:val="002A29DE"/>
    <w:rsid w:val="002A2ABC"/>
    <w:rsid w:val="002A2B44"/>
    <w:rsid w:val="002A3268"/>
    <w:rsid w:val="002A34AF"/>
    <w:rsid w:val="002A4BDF"/>
    <w:rsid w:val="002A622E"/>
    <w:rsid w:val="002A6545"/>
    <w:rsid w:val="002A6C43"/>
    <w:rsid w:val="002A72F8"/>
    <w:rsid w:val="002A7371"/>
    <w:rsid w:val="002A7C18"/>
    <w:rsid w:val="002B0491"/>
    <w:rsid w:val="002B1037"/>
    <w:rsid w:val="002B177B"/>
    <w:rsid w:val="002B285B"/>
    <w:rsid w:val="002B2F7E"/>
    <w:rsid w:val="002B34DC"/>
    <w:rsid w:val="002B3613"/>
    <w:rsid w:val="002B4186"/>
    <w:rsid w:val="002B57C8"/>
    <w:rsid w:val="002B6216"/>
    <w:rsid w:val="002B64D5"/>
    <w:rsid w:val="002B6D41"/>
    <w:rsid w:val="002B7C94"/>
    <w:rsid w:val="002C0158"/>
    <w:rsid w:val="002C0A0F"/>
    <w:rsid w:val="002C227E"/>
    <w:rsid w:val="002C2499"/>
    <w:rsid w:val="002C279A"/>
    <w:rsid w:val="002C2EBD"/>
    <w:rsid w:val="002C351A"/>
    <w:rsid w:val="002C4402"/>
    <w:rsid w:val="002C4CA0"/>
    <w:rsid w:val="002C6569"/>
    <w:rsid w:val="002C6603"/>
    <w:rsid w:val="002C6E2B"/>
    <w:rsid w:val="002C701C"/>
    <w:rsid w:val="002C7398"/>
    <w:rsid w:val="002D0870"/>
    <w:rsid w:val="002D0AF0"/>
    <w:rsid w:val="002D1C17"/>
    <w:rsid w:val="002D1DA1"/>
    <w:rsid w:val="002D2120"/>
    <w:rsid w:val="002D24EF"/>
    <w:rsid w:val="002D2EDA"/>
    <w:rsid w:val="002D3078"/>
    <w:rsid w:val="002D30E0"/>
    <w:rsid w:val="002D3439"/>
    <w:rsid w:val="002D4C3B"/>
    <w:rsid w:val="002D4F60"/>
    <w:rsid w:val="002D5061"/>
    <w:rsid w:val="002D5553"/>
    <w:rsid w:val="002D5D3B"/>
    <w:rsid w:val="002D5F12"/>
    <w:rsid w:val="002D5FE2"/>
    <w:rsid w:val="002D631F"/>
    <w:rsid w:val="002D6339"/>
    <w:rsid w:val="002D638A"/>
    <w:rsid w:val="002D696B"/>
    <w:rsid w:val="002D6AAB"/>
    <w:rsid w:val="002D6F61"/>
    <w:rsid w:val="002D73B3"/>
    <w:rsid w:val="002D7E3C"/>
    <w:rsid w:val="002E0200"/>
    <w:rsid w:val="002E0E8F"/>
    <w:rsid w:val="002E164E"/>
    <w:rsid w:val="002E1BC3"/>
    <w:rsid w:val="002E263C"/>
    <w:rsid w:val="002E2BBF"/>
    <w:rsid w:val="002E2D50"/>
    <w:rsid w:val="002E2EB3"/>
    <w:rsid w:val="002E3132"/>
    <w:rsid w:val="002E33FB"/>
    <w:rsid w:val="002E36E9"/>
    <w:rsid w:val="002E44CA"/>
    <w:rsid w:val="002E51A7"/>
    <w:rsid w:val="002E54DD"/>
    <w:rsid w:val="002E61AA"/>
    <w:rsid w:val="002E6327"/>
    <w:rsid w:val="002E6461"/>
    <w:rsid w:val="002E65D3"/>
    <w:rsid w:val="002E6B0A"/>
    <w:rsid w:val="002E6C81"/>
    <w:rsid w:val="002E7552"/>
    <w:rsid w:val="002F008F"/>
    <w:rsid w:val="002F0963"/>
    <w:rsid w:val="002F0D15"/>
    <w:rsid w:val="002F1BDA"/>
    <w:rsid w:val="002F1DC9"/>
    <w:rsid w:val="002F26D0"/>
    <w:rsid w:val="002F3813"/>
    <w:rsid w:val="002F3DCD"/>
    <w:rsid w:val="002F41C9"/>
    <w:rsid w:val="002F432B"/>
    <w:rsid w:val="002F46F4"/>
    <w:rsid w:val="002F4A39"/>
    <w:rsid w:val="002F4B64"/>
    <w:rsid w:val="002F5143"/>
    <w:rsid w:val="002F5188"/>
    <w:rsid w:val="002F56A0"/>
    <w:rsid w:val="002F5760"/>
    <w:rsid w:val="002F580B"/>
    <w:rsid w:val="002F58BF"/>
    <w:rsid w:val="002F640D"/>
    <w:rsid w:val="002F6A0B"/>
    <w:rsid w:val="002F6E82"/>
    <w:rsid w:val="002F7049"/>
    <w:rsid w:val="002F70E1"/>
    <w:rsid w:val="00300034"/>
    <w:rsid w:val="003000FB"/>
    <w:rsid w:val="00300114"/>
    <w:rsid w:val="00300C77"/>
    <w:rsid w:val="00300E80"/>
    <w:rsid w:val="00301AF5"/>
    <w:rsid w:val="00303543"/>
    <w:rsid w:val="0030382F"/>
    <w:rsid w:val="00303C33"/>
    <w:rsid w:val="0030432F"/>
    <w:rsid w:val="003043DF"/>
    <w:rsid w:val="00305675"/>
    <w:rsid w:val="003063B6"/>
    <w:rsid w:val="00306BAD"/>
    <w:rsid w:val="00307021"/>
    <w:rsid w:val="003072A5"/>
    <w:rsid w:val="0030760F"/>
    <w:rsid w:val="00307785"/>
    <w:rsid w:val="003077AF"/>
    <w:rsid w:val="00307F9D"/>
    <w:rsid w:val="0031059A"/>
    <w:rsid w:val="00310B2A"/>
    <w:rsid w:val="003112E3"/>
    <w:rsid w:val="00311B92"/>
    <w:rsid w:val="0031203F"/>
    <w:rsid w:val="0031253A"/>
    <w:rsid w:val="0031256C"/>
    <w:rsid w:val="00312794"/>
    <w:rsid w:val="003129AB"/>
    <w:rsid w:val="00313956"/>
    <w:rsid w:val="00313FDD"/>
    <w:rsid w:val="00314C6C"/>
    <w:rsid w:val="003150F2"/>
    <w:rsid w:val="00315729"/>
    <w:rsid w:val="00315C1E"/>
    <w:rsid w:val="00316BBE"/>
    <w:rsid w:val="003174F9"/>
    <w:rsid w:val="00317920"/>
    <w:rsid w:val="00320857"/>
    <w:rsid w:val="00321169"/>
    <w:rsid w:val="003212F5"/>
    <w:rsid w:val="003214A7"/>
    <w:rsid w:val="003224F8"/>
    <w:rsid w:val="0032258C"/>
    <w:rsid w:val="003226CB"/>
    <w:rsid w:val="00322FF8"/>
    <w:rsid w:val="00324333"/>
    <w:rsid w:val="003247F6"/>
    <w:rsid w:val="00324B6B"/>
    <w:rsid w:val="0032537F"/>
    <w:rsid w:val="0032552F"/>
    <w:rsid w:val="0032607E"/>
    <w:rsid w:val="00327285"/>
    <w:rsid w:val="0032758A"/>
    <w:rsid w:val="003279EA"/>
    <w:rsid w:val="00327A0C"/>
    <w:rsid w:val="00327D55"/>
    <w:rsid w:val="003301DA"/>
    <w:rsid w:val="0033087B"/>
    <w:rsid w:val="00331A7D"/>
    <w:rsid w:val="00331ADC"/>
    <w:rsid w:val="00331BC0"/>
    <w:rsid w:val="0033209B"/>
    <w:rsid w:val="0033269A"/>
    <w:rsid w:val="00332C07"/>
    <w:rsid w:val="00333454"/>
    <w:rsid w:val="00334786"/>
    <w:rsid w:val="00334BA3"/>
    <w:rsid w:val="00334E47"/>
    <w:rsid w:val="00336346"/>
    <w:rsid w:val="003370A8"/>
    <w:rsid w:val="00337634"/>
    <w:rsid w:val="00337824"/>
    <w:rsid w:val="00337CC0"/>
    <w:rsid w:val="003409D5"/>
    <w:rsid w:val="00341075"/>
    <w:rsid w:val="00342308"/>
    <w:rsid w:val="00342CBB"/>
    <w:rsid w:val="00343065"/>
    <w:rsid w:val="00343E8D"/>
    <w:rsid w:val="00345762"/>
    <w:rsid w:val="00346080"/>
    <w:rsid w:val="00346186"/>
    <w:rsid w:val="00346705"/>
    <w:rsid w:val="00346809"/>
    <w:rsid w:val="00346BA2"/>
    <w:rsid w:val="003478A4"/>
    <w:rsid w:val="00347C8A"/>
    <w:rsid w:val="00350244"/>
    <w:rsid w:val="003515F6"/>
    <w:rsid w:val="00353916"/>
    <w:rsid w:val="00353BCA"/>
    <w:rsid w:val="00353DA4"/>
    <w:rsid w:val="00354128"/>
    <w:rsid w:val="00356805"/>
    <w:rsid w:val="00356870"/>
    <w:rsid w:val="00356ECF"/>
    <w:rsid w:val="00357BD5"/>
    <w:rsid w:val="00360445"/>
    <w:rsid w:val="00360D03"/>
    <w:rsid w:val="00361EB3"/>
    <w:rsid w:val="00361FFB"/>
    <w:rsid w:val="00362401"/>
    <w:rsid w:val="00362FEC"/>
    <w:rsid w:val="00363188"/>
    <w:rsid w:val="0036352C"/>
    <w:rsid w:val="003638AF"/>
    <w:rsid w:val="00363EDB"/>
    <w:rsid w:val="00363F9E"/>
    <w:rsid w:val="00364598"/>
    <w:rsid w:val="003651C8"/>
    <w:rsid w:val="00365502"/>
    <w:rsid w:val="003661F1"/>
    <w:rsid w:val="0036649D"/>
    <w:rsid w:val="003668F3"/>
    <w:rsid w:val="003673A2"/>
    <w:rsid w:val="00367FB0"/>
    <w:rsid w:val="00370178"/>
    <w:rsid w:val="0037043E"/>
    <w:rsid w:val="00370E12"/>
    <w:rsid w:val="003712B0"/>
    <w:rsid w:val="00372B92"/>
    <w:rsid w:val="00373020"/>
    <w:rsid w:val="003730D5"/>
    <w:rsid w:val="003731B0"/>
    <w:rsid w:val="003735C8"/>
    <w:rsid w:val="00373D70"/>
    <w:rsid w:val="00373FE7"/>
    <w:rsid w:val="003740FB"/>
    <w:rsid w:val="003748E6"/>
    <w:rsid w:val="0037514F"/>
    <w:rsid w:val="0037562A"/>
    <w:rsid w:val="00375850"/>
    <w:rsid w:val="00375B64"/>
    <w:rsid w:val="00376272"/>
    <w:rsid w:val="0037698C"/>
    <w:rsid w:val="0037768A"/>
    <w:rsid w:val="0038040F"/>
    <w:rsid w:val="00380B71"/>
    <w:rsid w:val="00381E63"/>
    <w:rsid w:val="0038211A"/>
    <w:rsid w:val="003825FC"/>
    <w:rsid w:val="003829A9"/>
    <w:rsid w:val="00382BC3"/>
    <w:rsid w:val="00383B17"/>
    <w:rsid w:val="00383E47"/>
    <w:rsid w:val="00383E67"/>
    <w:rsid w:val="00384755"/>
    <w:rsid w:val="003851CC"/>
    <w:rsid w:val="00385C88"/>
    <w:rsid w:val="00385F2F"/>
    <w:rsid w:val="00386221"/>
    <w:rsid w:val="00386A2C"/>
    <w:rsid w:val="00386F70"/>
    <w:rsid w:val="00387262"/>
    <w:rsid w:val="00387281"/>
    <w:rsid w:val="0038732A"/>
    <w:rsid w:val="00387444"/>
    <w:rsid w:val="003874BB"/>
    <w:rsid w:val="003874DF"/>
    <w:rsid w:val="0038773B"/>
    <w:rsid w:val="0039035E"/>
    <w:rsid w:val="00390668"/>
    <w:rsid w:val="00390BF3"/>
    <w:rsid w:val="003911C3"/>
    <w:rsid w:val="003913C5"/>
    <w:rsid w:val="00391C33"/>
    <w:rsid w:val="00393042"/>
    <w:rsid w:val="0039317D"/>
    <w:rsid w:val="0039385A"/>
    <w:rsid w:val="00394BB0"/>
    <w:rsid w:val="00394C8C"/>
    <w:rsid w:val="0039527D"/>
    <w:rsid w:val="0039579D"/>
    <w:rsid w:val="0039655D"/>
    <w:rsid w:val="0039675C"/>
    <w:rsid w:val="003967B8"/>
    <w:rsid w:val="00396F06"/>
    <w:rsid w:val="00397085"/>
    <w:rsid w:val="00397707"/>
    <w:rsid w:val="00397BF1"/>
    <w:rsid w:val="003A006F"/>
    <w:rsid w:val="003A0C1A"/>
    <w:rsid w:val="003A1A03"/>
    <w:rsid w:val="003A216F"/>
    <w:rsid w:val="003A2242"/>
    <w:rsid w:val="003A22C6"/>
    <w:rsid w:val="003A2C29"/>
    <w:rsid w:val="003A369F"/>
    <w:rsid w:val="003A3A89"/>
    <w:rsid w:val="003A45B4"/>
    <w:rsid w:val="003A6A82"/>
    <w:rsid w:val="003A75FA"/>
    <w:rsid w:val="003B008F"/>
    <w:rsid w:val="003B0C51"/>
    <w:rsid w:val="003B12D9"/>
    <w:rsid w:val="003B1559"/>
    <w:rsid w:val="003B2440"/>
    <w:rsid w:val="003B32CA"/>
    <w:rsid w:val="003B371D"/>
    <w:rsid w:val="003B417C"/>
    <w:rsid w:val="003B4B55"/>
    <w:rsid w:val="003B50F6"/>
    <w:rsid w:val="003B5238"/>
    <w:rsid w:val="003B5304"/>
    <w:rsid w:val="003B536B"/>
    <w:rsid w:val="003B6B60"/>
    <w:rsid w:val="003B6F9D"/>
    <w:rsid w:val="003B7127"/>
    <w:rsid w:val="003B794A"/>
    <w:rsid w:val="003B7A12"/>
    <w:rsid w:val="003C0312"/>
    <w:rsid w:val="003C0A31"/>
    <w:rsid w:val="003C0ACC"/>
    <w:rsid w:val="003C0FCB"/>
    <w:rsid w:val="003C1158"/>
    <w:rsid w:val="003C1439"/>
    <w:rsid w:val="003C3249"/>
    <w:rsid w:val="003C35A9"/>
    <w:rsid w:val="003C397A"/>
    <w:rsid w:val="003C3B5B"/>
    <w:rsid w:val="003C3E33"/>
    <w:rsid w:val="003C40DE"/>
    <w:rsid w:val="003C42F0"/>
    <w:rsid w:val="003C468E"/>
    <w:rsid w:val="003C46D5"/>
    <w:rsid w:val="003C499F"/>
    <w:rsid w:val="003C5252"/>
    <w:rsid w:val="003C6227"/>
    <w:rsid w:val="003C6733"/>
    <w:rsid w:val="003C6D2B"/>
    <w:rsid w:val="003C6FB9"/>
    <w:rsid w:val="003C74F9"/>
    <w:rsid w:val="003C75FE"/>
    <w:rsid w:val="003C7C54"/>
    <w:rsid w:val="003D0197"/>
    <w:rsid w:val="003D0A0E"/>
    <w:rsid w:val="003D1503"/>
    <w:rsid w:val="003D1722"/>
    <w:rsid w:val="003D1AC5"/>
    <w:rsid w:val="003D1CBC"/>
    <w:rsid w:val="003D22D4"/>
    <w:rsid w:val="003D2BAE"/>
    <w:rsid w:val="003D3026"/>
    <w:rsid w:val="003D3496"/>
    <w:rsid w:val="003D3B20"/>
    <w:rsid w:val="003D3EEA"/>
    <w:rsid w:val="003D63E1"/>
    <w:rsid w:val="003D6A40"/>
    <w:rsid w:val="003D6BDB"/>
    <w:rsid w:val="003D6EFA"/>
    <w:rsid w:val="003D7955"/>
    <w:rsid w:val="003E0233"/>
    <w:rsid w:val="003E11AD"/>
    <w:rsid w:val="003E199C"/>
    <w:rsid w:val="003E2464"/>
    <w:rsid w:val="003E2E9E"/>
    <w:rsid w:val="003E2EBB"/>
    <w:rsid w:val="003E3C90"/>
    <w:rsid w:val="003E4188"/>
    <w:rsid w:val="003E4895"/>
    <w:rsid w:val="003E4EF3"/>
    <w:rsid w:val="003E5129"/>
    <w:rsid w:val="003E52FC"/>
    <w:rsid w:val="003E5548"/>
    <w:rsid w:val="003E6831"/>
    <w:rsid w:val="003E79BA"/>
    <w:rsid w:val="003E7AC9"/>
    <w:rsid w:val="003F0082"/>
    <w:rsid w:val="003F0478"/>
    <w:rsid w:val="003F0E49"/>
    <w:rsid w:val="003F100A"/>
    <w:rsid w:val="003F11E9"/>
    <w:rsid w:val="003F1F6C"/>
    <w:rsid w:val="003F3046"/>
    <w:rsid w:val="003F3317"/>
    <w:rsid w:val="003F3DAA"/>
    <w:rsid w:val="003F45D2"/>
    <w:rsid w:val="003F4F87"/>
    <w:rsid w:val="003F5106"/>
    <w:rsid w:val="003F5291"/>
    <w:rsid w:val="003F54AB"/>
    <w:rsid w:val="003F5643"/>
    <w:rsid w:val="003F5810"/>
    <w:rsid w:val="003F5F08"/>
    <w:rsid w:val="003F6787"/>
    <w:rsid w:val="003F753B"/>
    <w:rsid w:val="003F78AD"/>
    <w:rsid w:val="003F7AAC"/>
    <w:rsid w:val="003F7CA9"/>
    <w:rsid w:val="00400080"/>
    <w:rsid w:val="004000C2"/>
    <w:rsid w:val="00401A45"/>
    <w:rsid w:val="004027BC"/>
    <w:rsid w:val="00402B03"/>
    <w:rsid w:val="00402E10"/>
    <w:rsid w:val="004033A1"/>
    <w:rsid w:val="00403786"/>
    <w:rsid w:val="0040384C"/>
    <w:rsid w:val="00403910"/>
    <w:rsid w:val="004047D5"/>
    <w:rsid w:val="00404BF1"/>
    <w:rsid w:val="00404C88"/>
    <w:rsid w:val="00405360"/>
    <w:rsid w:val="0040589B"/>
    <w:rsid w:val="00405AC6"/>
    <w:rsid w:val="004064EF"/>
    <w:rsid w:val="004066C0"/>
    <w:rsid w:val="00406758"/>
    <w:rsid w:val="00407556"/>
    <w:rsid w:val="00407793"/>
    <w:rsid w:val="00407905"/>
    <w:rsid w:val="00410CD6"/>
    <w:rsid w:val="00411A9A"/>
    <w:rsid w:val="0041228E"/>
    <w:rsid w:val="00413E37"/>
    <w:rsid w:val="004141D1"/>
    <w:rsid w:val="00414564"/>
    <w:rsid w:val="00414FF5"/>
    <w:rsid w:val="0041532A"/>
    <w:rsid w:val="00415938"/>
    <w:rsid w:val="00415A1E"/>
    <w:rsid w:val="00415D09"/>
    <w:rsid w:val="00416732"/>
    <w:rsid w:val="00416859"/>
    <w:rsid w:val="004169AC"/>
    <w:rsid w:val="0041703F"/>
    <w:rsid w:val="00417136"/>
    <w:rsid w:val="00417457"/>
    <w:rsid w:val="004177E0"/>
    <w:rsid w:val="004177F1"/>
    <w:rsid w:val="00417D32"/>
    <w:rsid w:val="00420432"/>
    <w:rsid w:val="004205D1"/>
    <w:rsid w:val="00420F90"/>
    <w:rsid w:val="00420FB4"/>
    <w:rsid w:val="00421C42"/>
    <w:rsid w:val="00421D77"/>
    <w:rsid w:val="0042224C"/>
    <w:rsid w:val="0042245B"/>
    <w:rsid w:val="00422914"/>
    <w:rsid w:val="004229D7"/>
    <w:rsid w:val="00422F5E"/>
    <w:rsid w:val="0042325B"/>
    <w:rsid w:val="00423276"/>
    <w:rsid w:val="00423329"/>
    <w:rsid w:val="00423D5F"/>
    <w:rsid w:val="00423DDC"/>
    <w:rsid w:val="00423F6D"/>
    <w:rsid w:val="004240CF"/>
    <w:rsid w:val="0042432B"/>
    <w:rsid w:val="0042512C"/>
    <w:rsid w:val="00425613"/>
    <w:rsid w:val="004257E4"/>
    <w:rsid w:val="004260BF"/>
    <w:rsid w:val="00426AAC"/>
    <w:rsid w:val="00426B16"/>
    <w:rsid w:val="004272F5"/>
    <w:rsid w:val="004275C7"/>
    <w:rsid w:val="00430745"/>
    <w:rsid w:val="00430FA1"/>
    <w:rsid w:val="004316EE"/>
    <w:rsid w:val="00431EA1"/>
    <w:rsid w:val="00431FF9"/>
    <w:rsid w:val="00432214"/>
    <w:rsid w:val="004322C0"/>
    <w:rsid w:val="00432E1F"/>
    <w:rsid w:val="004335CB"/>
    <w:rsid w:val="00433772"/>
    <w:rsid w:val="0043377D"/>
    <w:rsid w:val="004337D2"/>
    <w:rsid w:val="00434CCA"/>
    <w:rsid w:val="004352C1"/>
    <w:rsid w:val="00435DE9"/>
    <w:rsid w:val="0043671D"/>
    <w:rsid w:val="004405DF"/>
    <w:rsid w:val="00440799"/>
    <w:rsid w:val="00442247"/>
    <w:rsid w:val="00442734"/>
    <w:rsid w:val="0044323C"/>
    <w:rsid w:val="00443340"/>
    <w:rsid w:val="00443DCA"/>
    <w:rsid w:val="0044428F"/>
    <w:rsid w:val="00444D65"/>
    <w:rsid w:val="00444DB3"/>
    <w:rsid w:val="00444F10"/>
    <w:rsid w:val="00444F82"/>
    <w:rsid w:val="0044521D"/>
    <w:rsid w:val="00445A49"/>
    <w:rsid w:val="004474C4"/>
    <w:rsid w:val="004478B3"/>
    <w:rsid w:val="00450987"/>
    <w:rsid w:val="00450BBC"/>
    <w:rsid w:val="00451B9B"/>
    <w:rsid w:val="00453725"/>
    <w:rsid w:val="00453E6B"/>
    <w:rsid w:val="00453EDA"/>
    <w:rsid w:val="004543F7"/>
    <w:rsid w:val="00454C1D"/>
    <w:rsid w:val="00454EF2"/>
    <w:rsid w:val="00455680"/>
    <w:rsid w:val="004556A9"/>
    <w:rsid w:val="00455877"/>
    <w:rsid w:val="00455B39"/>
    <w:rsid w:val="004572C4"/>
    <w:rsid w:val="00457651"/>
    <w:rsid w:val="00460210"/>
    <w:rsid w:val="00460DFB"/>
    <w:rsid w:val="00461133"/>
    <w:rsid w:val="00461DF5"/>
    <w:rsid w:val="00461EB3"/>
    <w:rsid w:val="00462295"/>
    <w:rsid w:val="00462551"/>
    <w:rsid w:val="00462839"/>
    <w:rsid w:val="00462AAB"/>
    <w:rsid w:val="00464CDE"/>
    <w:rsid w:val="00465698"/>
    <w:rsid w:val="004658DB"/>
    <w:rsid w:val="00466A53"/>
    <w:rsid w:val="00466CEB"/>
    <w:rsid w:val="00466E20"/>
    <w:rsid w:val="00467437"/>
    <w:rsid w:val="0046745E"/>
    <w:rsid w:val="004674BE"/>
    <w:rsid w:val="004674DE"/>
    <w:rsid w:val="00467769"/>
    <w:rsid w:val="004679AA"/>
    <w:rsid w:val="00467E74"/>
    <w:rsid w:val="00467FFC"/>
    <w:rsid w:val="004707AF"/>
    <w:rsid w:val="0047089B"/>
    <w:rsid w:val="00471437"/>
    <w:rsid w:val="00471563"/>
    <w:rsid w:val="00471607"/>
    <w:rsid w:val="00471A1C"/>
    <w:rsid w:val="0047222B"/>
    <w:rsid w:val="0047387F"/>
    <w:rsid w:val="004746C2"/>
    <w:rsid w:val="004752F4"/>
    <w:rsid w:val="004755B7"/>
    <w:rsid w:val="00475771"/>
    <w:rsid w:val="00475B0B"/>
    <w:rsid w:val="00476C96"/>
    <w:rsid w:val="00477529"/>
    <w:rsid w:val="00477A4D"/>
    <w:rsid w:val="00477E52"/>
    <w:rsid w:val="00480AF9"/>
    <w:rsid w:val="00480E49"/>
    <w:rsid w:val="00480F8F"/>
    <w:rsid w:val="00481583"/>
    <w:rsid w:val="00484818"/>
    <w:rsid w:val="00484CE4"/>
    <w:rsid w:val="00484EE6"/>
    <w:rsid w:val="004860F7"/>
    <w:rsid w:val="004862A3"/>
    <w:rsid w:val="00487288"/>
    <w:rsid w:val="00490841"/>
    <w:rsid w:val="004908DC"/>
    <w:rsid w:val="004914A0"/>
    <w:rsid w:val="00491817"/>
    <w:rsid w:val="00491A3F"/>
    <w:rsid w:val="0049297B"/>
    <w:rsid w:val="004936C4"/>
    <w:rsid w:val="0049429F"/>
    <w:rsid w:val="0049468A"/>
    <w:rsid w:val="00494F73"/>
    <w:rsid w:val="004956A8"/>
    <w:rsid w:val="00495820"/>
    <w:rsid w:val="00495920"/>
    <w:rsid w:val="00495DDE"/>
    <w:rsid w:val="00497124"/>
    <w:rsid w:val="0049740D"/>
    <w:rsid w:val="004979C8"/>
    <w:rsid w:val="00497CF3"/>
    <w:rsid w:val="00497F3E"/>
    <w:rsid w:val="004A007E"/>
    <w:rsid w:val="004A00B2"/>
    <w:rsid w:val="004A02B4"/>
    <w:rsid w:val="004A0330"/>
    <w:rsid w:val="004A0420"/>
    <w:rsid w:val="004A0799"/>
    <w:rsid w:val="004A0819"/>
    <w:rsid w:val="004A16B6"/>
    <w:rsid w:val="004A17B2"/>
    <w:rsid w:val="004A290F"/>
    <w:rsid w:val="004A2D1A"/>
    <w:rsid w:val="004A3CC6"/>
    <w:rsid w:val="004A3D37"/>
    <w:rsid w:val="004A45C1"/>
    <w:rsid w:val="004A5199"/>
    <w:rsid w:val="004A79B7"/>
    <w:rsid w:val="004A7A79"/>
    <w:rsid w:val="004B0934"/>
    <w:rsid w:val="004B0E1C"/>
    <w:rsid w:val="004B0F98"/>
    <w:rsid w:val="004B1253"/>
    <w:rsid w:val="004B1367"/>
    <w:rsid w:val="004B14F5"/>
    <w:rsid w:val="004B1559"/>
    <w:rsid w:val="004B1999"/>
    <w:rsid w:val="004B1C86"/>
    <w:rsid w:val="004B217A"/>
    <w:rsid w:val="004B21B7"/>
    <w:rsid w:val="004B2788"/>
    <w:rsid w:val="004B40B0"/>
    <w:rsid w:val="004B5AE3"/>
    <w:rsid w:val="004B6916"/>
    <w:rsid w:val="004B6AD9"/>
    <w:rsid w:val="004B6F82"/>
    <w:rsid w:val="004B7367"/>
    <w:rsid w:val="004B76B0"/>
    <w:rsid w:val="004B77B2"/>
    <w:rsid w:val="004B7B3A"/>
    <w:rsid w:val="004C0EB2"/>
    <w:rsid w:val="004C1098"/>
    <w:rsid w:val="004C1250"/>
    <w:rsid w:val="004C14C6"/>
    <w:rsid w:val="004C203A"/>
    <w:rsid w:val="004C2B8E"/>
    <w:rsid w:val="004C3FC4"/>
    <w:rsid w:val="004C496B"/>
    <w:rsid w:val="004C4996"/>
    <w:rsid w:val="004C4DD1"/>
    <w:rsid w:val="004C5255"/>
    <w:rsid w:val="004C5D47"/>
    <w:rsid w:val="004C60E0"/>
    <w:rsid w:val="004C6D56"/>
    <w:rsid w:val="004C7173"/>
    <w:rsid w:val="004C7A10"/>
    <w:rsid w:val="004D0BC2"/>
    <w:rsid w:val="004D142B"/>
    <w:rsid w:val="004D157C"/>
    <w:rsid w:val="004D1761"/>
    <w:rsid w:val="004D1B5D"/>
    <w:rsid w:val="004D1DC7"/>
    <w:rsid w:val="004D22BC"/>
    <w:rsid w:val="004D2BB8"/>
    <w:rsid w:val="004D2C4C"/>
    <w:rsid w:val="004D2D04"/>
    <w:rsid w:val="004D2EC8"/>
    <w:rsid w:val="004D3056"/>
    <w:rsid w:val="004D32CF"/>
    <w:rsid w:val="004D40E1"/>
    <w:rsid w:val="004D424D"/>
    <w:rsid w:val="004D4848"/>
    <w:rsid w:val="004D586F"/>
    <w:rsid w:val="004D58CA"/>
    <w:rsid w:val="004D6131"/>
    <w:rsid w:val="004D6773"/>
    <w:rsid w:val="004D687F"/>
    <w:rsid w:val="004E073B"/>
    <w:rsid w:val="004E0C69"/>
    <w:rsid w:val="004E14C4"/>
    <w:rsid w:val="004E1AFF"/>
    <w:rsid w:val="004E2160"/>
    <w:rsid w:val="004E303C"/>
    <w:rsid w:val="004E32BC"/>
    <w:rsid w:val="004E355C"/>
    <w:rsid w:val="004E37FE"/>
    <w:rsid w:val="004E383E"/>
    <w:rsid w:val="004E485A"/>
    <w:rsid w:val="004E4968"/>
    <w:rsid w:val="004E4D80"/>
    <w:rsid w:val="004E4D92"/>
    <w:rsid w:val="004E4F8B"/>
    <w:rsid w:val="004E511A"/>
    <w:rsid w:val="004E5F80"/>
    <w:rsid w:val="004E6302"/>
    <w:rsid w:val="004E665A"/>
    <w:rsid w:val="004E6714"/>
    <w:rsid w:val="004E780F"/>
    <w:rsid w:val="004E7E0E"/>
    <w:rsid w:val="004F0911"/>
    <w:rsid w:val="004F0C5E"/>
    <w:rsid w:val="004F11E8"/>
    <w:rsid w:val="004F16C6"/>
    <w:rsid w:val="004F3826"/>
    <w:rsid w:val="004F3BE5"/>
    <w:rsid w:val="004F4E2F"/>
    <w:rsid w:val="004F6344"/>
    <w:rsid w:val="004F687C"/>
    <w:rsid w:val="004F70AF"/>
    <w:rsid w:val="004F767F"/>
    <w:rsid w:val="004F7729"/>
    <w:rsid w:val="00500095"/>
    <w:rsid w:val="005002B0"/>
    <w:rsid w:val="005003EA"/>
    <w:rsid w:val="00500BCD"/>
    <w:rsid w:val="00500DE4"/>
    <w:rsid w:val="005013EF"/>
    <w:rsid w:val="005014BA"/>
    <w:rsid w:val="00502541"/>
    <w:rsid w:val="00503E1F"/>
    <w:rsid w:val="00503F69"/>
    <w:rsid w:val="00503F9A"/>
    <w:rsid w:val="00504318"/>
    <w:rsid w:val="005047FF"/>
    <w:rsid w:val="00504C42"/>
    <w:rsid w:val="00506422"/>
    <w:rsid w:val="00506C81"/>
    <w:rsid w:val="0050703C"/>
    <w:rsid w:val="00507A07"/>
    <w:rsid w:val="00507AD8"/>
    <w:rsid w:val="00510540"/>
    <w:rsid w:val="00510681"/>
    <w:rsid w:val="005111E1"/>
    <w:rsid w:val="00511A5F"/>
    <w:rsid w:val="00511CAF"/>
    <w:rsid w:val="00511CEC"/>
    <w:rsid w:val="00511F6B"/>
    <w:rsid w:val="0051244B"/>
    <w:rsid w:val="00512DBE"/>
    <w:rsid w:val="0051310B"/>
    <w:rsid w:val="005139F7"/>
    <w:rsid w:val="00513A8D"/>
    <w:rsid w:val="00513C83"/>
    <w:rsid w:val="00514566"/>
    <w:rsid w:val="005166DB"/>
    <w:rsid w:val="00516BDE"/>
    <w:rsid w:val="00517F8B"/>
    <w:rsid w:val="005203D7"/>
    <w:rsid w:val="0052062D"/>
    <w:rsid w:val="00521D32"/>
    <w:rsid w:val="00521ECF"/>
    <w:rsid w:val="005227C9"/>
    <w:rsid w:val="00522889"/>
    <w:rsid w:val="00522EA7"/>
    <w:rsid w:val="00522F19"/>
    <w:rsid w:val="00523251"/>
    <w:rsid w:val="005232F6"/>
    <w:rsid w:val="005234EA"/>
    <w:rsid w:val="00523F1C"/>
    <w:rsid w:val="0052402F"/>
    <w:rsid w:val="0052474A"/>
    <w:rsid w:val="00524751"/>
    <w:rsid w:val="0052497C"/>
    <w:rsid w:val="00524A74"/>
    <w:rsid w:val="00524B91"/>
    <w:rsid w:val="00524BDE"/>
    <w:rsid w:val="00524DCE"/>
    <w:rsid w:val="005251AF"/>
    <w:rsid w:val="00526BC2"/>
    <w:rsid w:val="00526F61"/>
    <w:rsid w:val="00526FB8"/>
    <w:rsid w:val="005270FE"/>
    <w:rsid w:val="0053033C"/>
    <w:rsid w:val="00530BC2"/>
    <w:rsid w:val="00531991"/>
    <w:rsid w:val="00532054"/>
    <w:rsid w:val="00532F5B"/>
    <w:rsid w:val="00533494"/>
    <w:rsid w:val="005346B9"/>
    <w:rsid w:val="00535419"/>
    <w:rsid w:val="00535A1B"/>
    <w:rsid w:val="0053628C"/>
    <w:rsid w:val="00537283"/>
    <w:rsid w:val="005372C3"/>
    <w:rsid w:val="00540005"/>
    <w:rsid w:val="005400B9"/>
    <w:rsid w:val="005400D8"/>
    <w:rsid w:val="005401ED"/>
    <w:rsid w:val="0054101F"/>
    <w:rsid w:val="0054118B"/>
    <w:rsid w:val="00541926"/>
    <w:rsid w:val="005419D1"/>
    <w:rsid w:val="005420B9"/>
    <w:rsid w:val="00542336"/>
    <w:rsid w:val="005430A2"/>
    <w:rsid w:val="005434B9"/>
    <w:rsid w:val="005447FA"/>
    <w:rsid w:val="00544ECD"/>
    <w:rsid w:val="00544F23"/>
    <w:rsid w:val="00545109"/>
    <w:rsid w:val="005459A1"/>
    <w:rsid w:val="00546C1C"/>
    <w:rsid w:val="00547169"/>
    <w:rsid w:val="005473D5"/>
    <w:rsid w:val="00550741"/>
    <w:rsid w:val="00550AE9"/>
    <w:rsid w:val="005512EA"/>
    <w:rsid w:val="00551B24"/>
    <w:rsid w:val="0055274E"/>
    <w:rsid w:val="005530A6"/>
    <w:rsid w:val="005532CC"/>
    <w:rsid w:val="00553842"/>
    <w:rsid w:val="005549A5"/>
    <w:rsid w:val="00554ABE"/>
    <w:rsid w:val="00554CA7"/>
    <w:rsid w:val="00554CCB"/>
    <w:rsid w:val="00555222"/>
    <w:rsid w:val="005569A8"/>
    <w:rsid w:val="00557D9F"/>
    <w:rsid w:val="00557EAA"/>
    <w:rsid w:val="005600E1"/>
    <w:rsid w:val="00560779"/>
    <w:rsid w:val="00561429"/>
    <w:rsid w:val="00561869"/>
    <w:rsid w:val="00561CF9"/>
    <w:rsid w:val="00561FFE"/>
    <w:rsid w:val="00562AAC"/>
    <w:rsid w:val="00562B76"/>
    <w:rsid w:val="00563618"/>
    <w:rsid w:val="0056370D"/>
    <w:rsid w:val="00563D2A"/>
    <w:rsid w:val="0056433E"/>
    <w:rsid w:val="00564C70"/>
    <w:rsid w:val="00564E31"/>
    <w:rsid w:val="0056542E"/>
    <w:rsid w:val="00565929"/>
    <w:rsid w:val="005659CA"/>
    <w:rsid w:val="00565A4D"/>
    <w:rsid w:val="00565FFB"/>
    <w:rsid w:val="00570546"/>
    <w:rsid w:val="005705AD"/>
    <w:rsid w:val="005708A4"/>
    <w:rsid w:val="0057090F"/>
    <w:rsid w:val="0057105F"/>
    <w:rsid w:val="00571AAF"/>
    <w:rsid w:val="00571CCD"/>
    <w:rsid w:val="005721C3"/>
    <w:rsid w:val="005730C3"/>
    <w:rsid w:val="005743FD"/>
    <w:rsid w:val="005747B6"/>
    <w:rsid w:val="0057509B"/>
    <w:rsid w:val="00575306"/>
    <w:rsid w:val="0057598F"/>
    <w:rsid w:val="00575F0D"/>
    <w:rsid w:val="00575FBC"/>
    <w:rsid w:val="00577356"/>
    <w:rsid w:val="0057779B"/>
    <w:rsid w:val="00577C69"/>
    <w:rsid w:val="00580EC9"/>
    <w:rsid w:val="00581B84"/>
    <w:rsid w:val="005832F6"/>
    <w:rsid w:val="00583929"/>
    <w:rsid w:val="005858CD"/>
    <w:rsid w:val="005859FA"/>
    <w:rsid w:val="00585B33"/>
    <w:rsid w:val="005862A6"/>
    <w:rsid w:val="00587782"/>
    <w:rsid w:val="005878B9"/>
    <w:rsid w:val="00587C73"/>
    <w:rsid w:val="00587FB4"/>
    <w:rsid w:val="00590260"/>
    <w:rsid w:val="00590A26"/>
    <w:rsid w:val="00590B0E"/>
    <w:rsid w:val="00590EBC"/>
    <w:rsid w:val="00590FF9"/>
    <w:rsid w:val="00591634"/>
    <w:rsid w:val="00592471"/>
    <w:rsid w:val="00593371"/>
    <w:rsid w:val="005937D0"/>
    <w:rsid w:val="00593CCC"/>
    <w:rsid w:val="00594042"/>
    <w:rsid w:val="00594768"/>
    <w:rsid w:val="00594B5C"/>
    <w:rsid w:val="00595228"/>
    <w:rsid w:val="00595763"/>
    <w:rsid w:val="00595B3B"/>
    <w:rsid w:val="00595E9F"/>
    <w:rsid w:val="005963B5"/>
    <w:rsid w:val="0059671F"/>
    <w:rsid w:val="0059676F"/>
    <w:rsid w:val="00597124"/>
    <w:rsid w:val="00597910"/>
    <w:rsid w:val="00597911"/>
    <w:rsid w:val="0059791E"/>
    <w:rsid w:val="005A03A7"/>
    <w:rsid w:val="005A0C81"/>
    <w:rsid w:val="005A2127"/>
    <w:rsid w:val="005A34E3"/>
    <w:rsid w:val="005A3A05"/>
    <w:rsid w:val="005A4C23"/>
    <w:rsid w:val="005A4FCF"/>
    <w:rsid w:val="005A51AB"/>
    <w:rsid w:val="005A5251"/>
    <w:rsid w:val="005A65CA"/>
    <w:rsid w:val="005A6619"/>
    <w:rsid w:val="005A6788"/>
    <w:rsid w:val="005A6AB6"/>
    <w:rsid w:val="005A6FD9"/>
    <w:rsid w:val="005A706A"/>
    <w:rsid w:val="005B0237"/>
    <w:rsid w:val="005B0773"/>
    <w:rsid w:val="005B0A33"/>
    <w:rsid w:val="005B1286"/>
    <w:rsid w:val="005B1B38"/>
    <w:rsid w:val="005B1CB9"/>
    <w:rsid w:val="005B1E8A"/>
    <w:rsid w:val="005B1EA5"/>
    <w:rsid w:val="005B238B"/>
    <w:rsid w:val="005B27AA"/>
    <w:rsid w:val="005B29AE"/>
    <w:rsid w:val="005B3863"/>
    <w:rsid w:val="005B45BC"/>
    <w:rsid w:val="005B4E6C"/>
    <w:rsid w:val="005B51EC"/>
    <w:rsid w:val="005B61E6"/>
    <w:rsid w:val="005B691D"/>
    <w:rsid w:val="005B7129"/>
    <w:rsid w:val="005B76EE"/>
    <w:rsid w:val="005C0736"/>
    <w:rsid w:val="005C1772"/>
    <w:rsid w:val="005C2270"/>
    <w:rsid w:val="005C2C01"/>
    <w:rsid w:val="005C2C0B"/>
    <w:rsid w:val="005C3FAD"/>
    <w:rsid w:val="005C407D"/>
    <w:rsid w:val="005C4DAE"/>
    <w:rsid w:val="005C50B0"/>
    <w:rsid w:val="005C533A"/>
    <w:rsid w:val="005C5388"/>
    <w:rsid w:val="005C5765"/>
    <w:rsid w:val="005C5C56"/>
    <w:rsid w:val="005C6C98"/>
    <w:rsid w:val="005C6FFD"/>
    <w:rsid w:val="005C72BA"/>
    <w:rsid w:val="005C79E2"/>
    <w:rsid w:val="005D0071"/>
    <w:rsid w:val="005D0313"/>
    <w:rsid w:val="005D2406"/>
    <w:rsid w:val="005D2D17"/>
    <w:rsid w:val="005D3929"/>
    <w:rsid w:val="005D3E7E"/>
    <w:rsid w:val="005D3F81"/>
    <w:rsid w:val="005D5C06"/>
    <w:rsid w:val="005D657B"/>
    <w:rsid w:val="005D7134"/>
    <w:rsid w:val="005D7616"/>
    <w:rsid w:val="005E0508"/>
    <w:rsid w:val="005E050E"/>
    <w:rsid w:val="005E05BE"/>
    <w:rsid w:val="005E08A2"/>
    <w:rsid w:val="005E0B4E"/>
    <w:rsid w:val="005E0BA8"/>
    <w:rsid w:val="005E0DE2"/>
    <w:rsid w:val="005E1136"/>
    <w:rsid w:val="005E1A10"/>
    <w:rsid w:val="005E1DE2"/>
    <w:rsid w:val="005E353C"/>
    <w:rsid w:val="005E3FDA"/>
    <w:rsid w:val="005E52B1"/>
    <w:rsid w:val="005E52F6"/>
    <w:rsid w:val="005E5738"/>
    <w:rsid w:val="005E5767"/>
    <w:rsid w:val="005E5C36"/>
    <w:rsid w:val="005E792A"/>
    <w:rsid w:val="005E7A06"/>
    <w:rsid w:val="005F01B7"/>
    <w:rsid w:val="005F0DB2"/>
    <w:rsid w:val="005F1828"/>
    <w:rsid w:val="005F1B98"/>
    <w:rsid w:val="005F20FF"/>
    <w:rsid w:val="005F2479"/>
    <w:rsid w:val="005F285C"/>
    <w:rsid w:val="005F2C4D"/>
    <w:rsid w:val="005F3575"/>
    <w:rsid w:val="005F3E08"/>
    <w:rsid w:val="005F4129"/>
    <w:rsid w:val="005F421E"/>
    <w:rsid w:val="005F452E"/>
    <w:rsid w:val="005F45A9"/>
    <w:rsid w:val="005F496F"/>
    <w:rsid w:val="005F50DA"/>
    <w:rsid w:val="005F5184"/>
    <w:rsid w:val="005F5341"/>
    <w:rsid w:val="005F54A9"/>
    <w:rsid w:val="005F65BA"/>
    <w:rsid w:val="005F6921"/>
    <w:rsid w:val="005F6B40"/>
    <w:rsid w:val="005F6BCA"/>
    <w:rsid w:val="005F73F5"/>
    <w:rsid w:val="005F7540"/>
    <w:rsid w:val="005F76B4"/>
    <w:rsid w:val="00600198"/>
    <w:rsid w:val="00600B13"/>
    <w:rsid w:val="00602124"/>
    <w:rsid w:val="00602AB6"/>
    <w:rsid w:val="006031B3"/>
    <w:rsid w:val="00603B7C"/>
    <w:rsid w:val="00604BBD"/>
    <w:rsid w:val="00606E34"/>
    <w:rsid w:val="006075CF"/>
    <w:rsid w:val="00607B0B"/>
    <w:rsid w:val="00611266"/>
    <w:rsid w:val="006117BA"/>
    <w:rsid w:val="00611930"/>
    <w:rsid w:val="00611ACA"/>
    <w:rsid w:val="00612B0B"/>
    <w:rsid w:val="00612E4A"/>
    <w:rsid w:val="00612F03"/>
    <w:rsid w:val="00613103"/>
    <w:rsid w:val="00613CCC"/>
    <w:rsid w:val="00614465"/>
    <w:rsid w:val="0061528B"/>
    <w:rsid w:val="00616273"/>
    <w:rsid w:val="00617108"/>
    <w:rsid w:val="006174C2"/>
    <w:rsid w:val="00620237"/>
    <w:rsid w:val="0062100A"/>
    <w:rsid w:val="006232F6"/>
    <w:rsid w:val="00623C84"/>
    <w:rsid w:val="0062405E"/>
    <w:rsid w:val="006242AB"/>
    <w:rsid w:val="006242E9"/>
    <w:rsid w:val="00624A51"/>
    <w:rsid w:val="00624FDD"/>
    <w:rsid w:val="00625133"/>
    <w:rsid w:val="0062516F"/>
    <w:rsid w:val="00626331"/>
    <w:rsid w:val="00626D4C"/>
    <w:rsid w:val="00626D57"/>
    <w:rsid w:val="00626E41"/>
    <w:rsid w:val="0062738F"/>
    <w:rsid w:val="0063081A"/>
    <w:rsid w:val="00630CC6"/>
    <w:rsid w:val="0063156D"/>
    <w:rsid w:val="00631677"/>
    <w:rsid w:val="00631845"/>
    <w:rsid w:val="00631AC4"/>
    <w:rsid w:val="00632337"/>
    <w:rsid w:val="0063386F"/>
    <w:rsid w:val="0063394D"/>
    <w:rsid w:val="0063401E"/>
    <w:rsid w:val="00634876"/>
    <w:rsid w:val="00634930"/>
    <w:rsid w:val="00635313"/>
    <w:rsid w:val="00635F20"/>
    <w:rsid w:val="00636ADA"/>
    <w:rsid w:val="00636C7A"/>
    <w:rsid w:val="00637143"/>
    <w:rsid w:val="00640133"/>
    <w:rsid w:val="006402D6"/>
    <w:rsid w:val="00640422"/>
    <w:rsid w:val="006406A1"/>
    <w:rsid w:val="00641170"/>
    <w:rsid w:val="0064137C"/>
    <w:rsid w:val="006413C6"/>
    <w:rsid w:val="00641645"/>
    <w:rsid w:val="00641A6B"/>
    <w:rsid w:val="00641B0A"/>
    <w:rsid w:val="00642031"/>
    <w:rsid w:val="00642E48"/>
    <w:rsid w:val="00643CAF"/>
    <w:rsid w:val="006442B6"/>
    <w:rsid w:val="0064493B"/>
    <w:rsid w:val="0064503E"/>
    <w:rsid w:val="00645751"/>
    <w:rsid w:val="0064593D"/>
    <w:rsid w:val="006465AF"/>
    <w:rsid w:val="00646E15"/>
    <w:rsid w:val="00647BBA"/>
    <w:rsid w:val="00647E51"/>
    <w:rsid w:val="00647E8D"/>
    <w:rsid w:val="006504CF"/>
    <w:rsid w:val="006508D2"/>
    <w:rsid w:val="006516C3"/>
    <w:rsid w:val="0065180A"/>
    <w:rsid w:val="00651A44"/>
    <w:rsid w:val="00651C3B"/>
    <w:rsid w:val="006534EF"/>
    <w:rsid w:val="006536E3"/>
    <w:rsid w:val="006536FC"/>
    <w:rsid w:val="00653819"/>
    <w:rsid w:val="006544A8"/>
    <w:rsid w:val="006551B9"/>
    <w:rsid w:val="006551F7"/>
    <w:rsid w:val="00656568"/>
    <w:rsid w:val="00656724"/>
    <w:rsid w:val="00656997"/>
    <w:rsid w:val="00656F97"/>
    <w:rsid w:val="00657932"/>
    <w:rsid w:val="006579F6"/>
    <w:rsid w:val="00657B5A"/>
    <w:rsid w:val="0066023B"/>
    <w:rsid w:val="00660240"/>
    <w:rsid w:val="00661934"/>
    <w:rsid w:val="006628CA"/>
    <w:rsid w:val="00662C7F"/>
    <w:rsid w:val="00664278"/>
    <w:rsid w:val="00665923"/>
    <w:rsid w:val="00667ABE"/>
    <w:rsid w:val="006706A0"/>
    <w:rsid w:val="00670C66"/>
    <w:rsid w:val="00671720"/>
    <w:rsid w:val="00671953"/>
    <w:rsid w:val="00671D9B"/>
    <w:rsid w:val="006724F5"/>
    <w:rsid w:val="00672DBF"/>
    <w:rsid w:val="00675429"/>
    <w:rsid w:val="0067558D"/>
    <w:rsid w:val="0067606F"/>
    <w:rsid w:val="006761BC"/>
    <w:rsid w:val="00676899"/>
    <w:rsid w:val="00676916"/>
    <w:rsid w:val="0068007C"/>
    <w:rsid w:val="00680E51"/>
    <w:rsid w:val="00682089"/>
    <w:rsid w:val="00682A29"/>
    <w:rsid w:val="006832DE"/>
    <w:rsid w:val="00684359"/>
    <w:rsid w:val="006854C2"/>
    <w:rsid w:val="006855CF"/>
    <w:rsid w:val="0068655A"/>
    <w:rsid w:val="00686809"/>
    <w:rsid w:val="00687019"/>
    <w:rsid w:val="00687372"/>
    <w:rsid w:val="00687650"/>
    <w:rsid w:val="00687CE6"/>
    <w:rsid w:val="00690D4F"/>
    <w:rsid w:val="00690F5B"/>
    <w:rsid w:val="006911DC"/>
    <w:rsid w:val="00691204"/>
    <w:rsid w:val="006913E0"/>
    <w:rsid w:val="0069149A"/>
    <w:rsid w:val="00692F21"/>
    <w:rsid w:val="0069301B"/>
    <w:rsid w:val="0069323F"/>
    <w:rsid w:val="006941D0"/>
    <w:rsid w:val="00694556"/>
    <w:rsid w:val="00694B2F"/>
    <w:rsid w:val="00694DB5"/>
    <w:rsid w:val="0069553C"/>
    <w:rsid w:val="00695617"/>
    <w:rsid w:val="00696E29"/>
    <w:rsid w:val="00697931"/>
    <w:rsid w:val="006A0018"/>
    <w:rsid w:val="006A0327"/>
    <w:rsid w:val="006A0710"/>
    <w:rsid w:val="006A098A"/>
    <w:rsid w:val="006A1315"/>
    <w:rsid w:val="006A1342"/>
    <w:rsid w:val="006A1777"/>
    <w:rsid w:val="006A1875"/>
    <w:rsid w:val="006A18B7"/>
    <w:rsid w:val="006A2476"/>
    <w:rsid w:val="006A3701"/>
    <w:rsid w:val="006A3754"/>
    <w:rsid w:val="006A3D34"/>
    <w:rsid w:val="006A485A"/>
    <w:rsid w:val="006A4A88"/>
    <w:rsid w:val="006A4B5F"/>
    <w:rsid w:val="006A596B"/>
    <w:rsid w:val="006A5999"/>
    <w:rsid w:val="006A5B53"/>
    <w:rsid w:val="006A6147"/>
    <w:rsid w:val="006A6328"/>
    <w:rsid w:val="006A63B3"/>
    <w:rsid w:val="006A6811"/>
    <w:rsid w:val="006A68EE"/>
    <w:rsid w:val="006A6EA1"/>
    <w:rsid w:val="006A6ECB"/>
    <w:rsid w:val="006A74F9"/>
    <w:rsid w:val="006A7CB1"/>
    <w:rsid w:val="006A7CDA"/>
    <w:rsid w:val="006B0188"/>
    <w:rsid w:val="006B0591"/>
    <w:rsid w:val="006B06E1"/>
    <w:rsid w:val="006B0940"/>
    <w:rsid w:val="006B0A6A"/>
    <w:rsid w:val="006B0A92"/>
    <w:rsid w:val="006B15FB"/>
    <w:rsid w:val="006B18AE"/>
    <w:rsid w:val="006B1B55"/>
    <w:rsid w:val="006B2602"/>
    <w:rsid w:val="006B2A71"/>
    <w:rsid w:val="006B2FE8"/>
    <w:rsid w:val="006B3F93"/>
    <w:rsid w:val="006B45C4"/>
    <w:rsid w:val="006B4910"/>
    <w:rsid w:val="006B49BA"/>
    <w:rsid w:val="006B4A1C"/>
    <w:rsid w:val="006B4E8B"/>
    <w:rsid w:val="006B50B6"/>
    <w:rsid w:val="006B6586"/>
    <w:rsid w:val="006B6699"/>
    <w:rsid w:val="006B6C74"/>
    <w:rsid w:val="006B701F"/>
    <w:rsid w:val="006C18C5"/>
    <w:rsid w:val="006C2647"/>
    <w:rsid w:val="006C2F92"/>
    <w:rsid w:val="006C3274"/>
    <w:rsid w:val="006C3367"/>
    <w:rsid w:val="006C4952"/>
    <w:rsid w:val="006C4A0A"/>
    <w:rsid w:val="006C4AC5"/>
    <w:rsid w:val="006C574F"/>
    <w:rsid w:val="006C599C"/>
    <w:rsid w:val="006C67DE"/>
    <w:rsid w:val="006C687B"/>
    <w:rsid w:val="006D0819"/>
    <w:rsid w:val="006D14DC"/>
    <w:rsid w:val="006D175A"/>
    <w:rsid w:val="006D1C64"/>
    <w:rsid w:val="006D1E6A"/>
    <w:rsid w:val="006D1EA5"/>
    <w:rsid w:val="006D31C7"/>
    <w:rsid w:val="006D380A"/>
    <w:rsid w:val="006D421B"/>
    <w:rsid w:val="006D4607"/>
    <w:rsid w:val="006D478A"/>
    <w:rsid w:val="006D4B81"/>
    <w:rsid w:val="006D52CC"/>
    <w:rsid w:val="006D6A87"/>
    <w:rsid w:val="006E022F"/>
    <w:rsid w:val="006E1700"/>
    <w:rsid w:val="006E317C"/>
    <w:rsid w:val="006E497F"/>
    <w:rsid w:val="006E51F3"/>
    <w:rsid w:val="006E59C4"/>
    <w:rsid w:val="006E6748"/>
    <w:rsid w:val="006E674F"/>
    <w:rsid w:val="006E6765"/>
    <w:rsid w:val="006E7A3D"/>
    <w:rsid w:val="006F01E4"/>
    <w:rsid w:val="006F16D0"/>
    <w:rsid w:val="006F1748"/>
    <w:rsid w:val="006F1B68"/>
    <w:rsid w:val="006F1E80"/>
    <w:rsid w:val="006F2066"/>
    <w:rsid w:val="006F27D1"/>
    <w:rsid w:val="006F2E65"/>
    <w:rsid w:val="006F362C"/>
    <w:rsid w:val="006F4CBA"/>
    <w:rsid w:val="006F5D8E"/>
    <w:rsid w:val="006F5F1C"/>
    <w:rsid w:val="006F6220"/>
    <w:rsid w:val="006F62B0"/>
    <w:rsid w:val="006F6790"/>
    <w:rsid w:val="006F6CB2"/>
    <w:rsid w:val="006F6EC6"/>
    <w:rsid w:val="006F732E"/>
    <w:rsid w:val="006F7A68"/>
    <w:rsid w:val="00701197"/>
    <w:rsid w:val="0070177B"/>
    <w:rsid w:val="00701D4F"/>
    <w:rsid w:val="007035F5"/>
    <w:rsid w:val="00703F7A"/>
    <w:rsid w:val="0070408B"/>
    <w:rsid w:val="00704C2E"/>
    <w:rsid w:val="007065C0"/>
    <w:rsid w:val="007065E5"/>
    <w:rsid w:val="007069B5"/>
    <w:rsid w:val="00706CB7"/>
    <w:rsid w:val="00707932"/>
    <w:rsid w:val="0071011F"/>
    <w:rsid w:val="00710363"/>
    <w:rsid w:val="007109DE"/>
    <w:rsid w:val="007111B6"/>
    <w:rsid w:val="0071176B"/>
    <w:rsid w:val="0071348B"/>
    <w:rsid w:val="00714429"/>
    <w:rsid w:val="007146D9"/>
    <w:rsid w:val="00714C5E"/>
    <w:rsid w:val="007153E8"/>
    <w:rsid w:val="00715AA0"/>
    <w:rsid w:val="00715C2E"/>
    <w:rsid w:val="00715D12"/>
    <w:rsid w:val="007167F2"/>
    <w:rsid w:val="007171AF"/>
    <w:rsid w:val="007176F9"/>
    <w:rsid w:val="0071773A"/>
    <w:rsid w:val="00717970"/>
    <w:rsid w:val="00720771"/>
    <w:rsid w:val="00721352"/>
    <w:rsid w:val="00721970"/>
    <w:rsid w:val="00721B6C"/>
    <w:rsid w:val="0072259E"/>
    <w:rsid w:val="0072317D"/>
    <w:rsid w:val="0072344C"/>
    <w:rsid w:val="00723540"/>
    <w:rsid w:val="007235B8"/>
    <w:rsid w:val="007237D0"/>
    <w:rsid w:val="00724630"/>
    <w:rsid w:val="00724B49"/>
    <w:rsid w:val="00724B53"/>
    <w:rsid w:val="00724E33"/>
    <w:rsid w:val="007253E0"/>
    <w:rsid w:val="00725EA1"/>
    <w:rsid w:val="00725EB8"/>
    <w:rsid w:val="00725FB4"/>
    <w:rsid w:val="007270D4"/>
    <w:rsid w:val="00727650"/>
    <w:rsid w:val="00727A0B"/>
    <w:rsid w:val="00727B8D"/>
    <w:rsid w:val="00727B9C"/>
    <w:rsid w:val="00730A06"/>
    <w:rsid w:val="00730EBF"/>
    <w:rsid w:val="0073134B"/>
    <w:rsid w:val="00731381"/>
    <w:rsid w:val="007314D1"/>
    <w:rsid w:val="00732BB0"/>
    <w:rsid w:val="00732EDE"/>
    <w:rsid w:val="007345D9"/>
    <w:rsid w:val="00735043"/>
    <w:rsid w:val="0073551E"/>
    <w:rsid w:val="0073566D"/>
    <w:rsid w:val="00735BD4"/>
    <w:rsid w:val="00737268"/>
    <w:rsid w:val="00737B86"/>
    <w:rsid w:val="00737C36"/>
    <w:rsid w:val="00740ACD"/>
    <w:rsid w:val="00740E33"/>
    <w:rsid w:val="00740E8D"/>
    <w:rsid w:val="0074104C"/>
    <w:rsid w:val="00741186"/>
    <w:rsid w:val="0074139F"/>
    <w:rsid w:val="00741A8F"/>
    <w:rsid w:val="00741F64"/>
    <w:rsid w:val="00742362"/>
    <w:rsid w:val="0074239B"/>
    <w:rsid w:val="00742659"/>
    <w:rsid w:val="0074375C"/>
    <w:rsid w:val="0074384E"/>
    <w:rsid w:val="00743BA2"/>
    <w:rsid w:val="00744152"/>
    <w:rsid w:val="00744332"/>
    <w:rsid w:val="00744624"/>
    <w:rsid w:val="00745553"/>
    <w:rsid w:val="007458DB"/>
    <w:rsid w:val="00745ACA"/>
    <w:rsid w:val="0074607C"/>
    <w:rsid w:val="007461E3"/>
    <w:rsid w:val="007471F0"/>
    <w:rsid w:val="00747690"/>
    <w:rsid w:val="0074781F"/>
    <w:rsid w:val="00747C21"/>
    <w:rsid w:val="00747C97"/>
    <w:rsid w:val="00750328"/>
    <w:rsid w:val="00750701"/>
    <w:rsid w:val="0075088B"/>
    <w:rsid w:val="007508A0"/>
    <w:rsid w:val="007508BD"/>
    <w:rsid w:val="00750976"/>
    <w:rsid w:val="00750B01"/>
    <w:rsid w:val="00750C6F"/>
    <w:rsid w:val="00751B3A"/>
    <w:rsid w:val="00751B90"/>
    <w:rsid w:val="007521CA"/>
    <w:rsid w:val="00753093"/>
    <w:rsid w:val="0075340E"/>
    <w:rsid w:val="007541F5"/>
    <w:rsid w:val="00754699"/>
    <w:rsid w:val="00754B3D"/>
    <w:rsid w:val="00755553"/>
    <w:rsid w:val="00755A94"/>
    <w:rsid w:val="00755BAC"/>
    <w:rsid w:val="00755DBE"/>
    <w:rsid w:val="00756053"/>
    <w:rsid w:val="007560EF"/>
    <w:rsid w:val="0075656A"/>
    <w:rsid w:val="0075797C"/>
    <w:rsid w:val="00757F38"/>
    <w:rsid w:val="0076080E"/>
    <w:rsid w:val="00760928"/>
    <w:rsid w:val="00760959"/>
    <w:rsid w:val="00761661"/>
    <w:rsid w:val="007618D9"/>
    <w:rsid w:val="007631AE"/>
    <w:rsid w:val="00763979"/>
    <w:rsid w:val="00763EFC"/>
    <w:rsid w:val="0076423F"/>
    <w:rsid w:val="00764282"/>
    <w:rsid w:val="0076476B"/>
    <w:rsid w:val="00764E7F"/>
    <w:rsid w:val="00765B77"/>
    <w:rsid w:val="00766E98"/>
    <w:rsid w:val="007676E7"/>
    <w:rsid w:val="00767731"/>
    <w:rsid w:val="007701BB"/>
    <w:rsid w:val="007712D4"/>
    <w:rsid w:val="0077135E"/>
    <w:rsid w:val="00772AB8"/>
    <w:rsid w:val="00773321"/>
    <w:rsid w:val="0077432C"/>
    <w:rsid w:val="007748AF"/>
    <w:rsid w:val="00774966"/>
    <w:rsid w:val="00775F78"/>
    <w:rsid w:val="007761D9"/>
    <w:rsid w:val="00776CEF"/>
    <w:rsid w:val="00777450"/>
    <w:rsid w:val="00777668"/>
    <w:rsid w:val="00780342"/>
    <w:rsid w:val="00781000"/>
    <w:rsid w:val="007810E6"/>
    <w:rsid w:val="00781F16"/>
    <w:rsid w:val="00781FD3"/>
    <w:rsid w:val="007822FE"/>
    <w:rsid w:val="00783085"/>
    <w:rsid w:val="007836D1"/>
    <w:rsid w:val="00784B15"/>
    <w:rsid w:val="00785628"/>
    <w:rsid w:val="00785AF7"/>
    <w:rsid w:val="00785EC9"/>
    <w:rsid w:val="00786264"/>
    <w:rsid w:val="007868A9"/>
    <w:rsid w:val="007874B8"/>
    <w:rsid w:val="00787578"/>
    <w:rsid w:val="00787581"/>
    <w:rsid w:val="00787BF6"/>
    <w:rsid w:val="00790786"/>
    <w:rsid w:val="0079086C"/>
    <w:rsid w:val="00791536"/>
    <w:rsid w:val="00791545"/>
    <w:rsid w:val="007917F1"/>
    <w:rsid w:val="00791B35"/>
    <w:rsid w:val="0079362E"/>
    <w:rsid w:val="007937B8"/>
    <w:rsid w:val="00793DD1"/>
    <w:rsid w:val="007942DE"/>
    <w:rsid w:val="007946EF"/>
    <w:rsid w:val="007950E7"/>
    <w:rsid w:val="00795225"/>
    <w:rsid w:val="007959F6"/>
    <w:rsid w:val="00796800"/>
    <w:rsid w:val="00796A6D"/>
    <w:rsid w:val="00796DFF"/>
    <w:rsid w:val="00797ABF"/>
    <w:rsid w:val="007A008E"/>
    <w:rsid w:val="007A04D3"/>
    <w:rsid w:val="007A25FE"/>
    <w:rsid w:val="007A3DD2"/>
    <w:rsid w:val="007A400A"/>
    <w:rsid w:val="007A433A"/>
    <w:rsid w:val="007A59C5"/>
    <w:rsid w:val="007A5D60"/>
    <w:rsid w:val="007A5FA0"/>
    <w:rsid w:val="007A6768"/>
    <w:rsid w:val="007A6B5D"/>
    <w:rsid w:val="007A7039"/>
    <w:rsid w:val="007A75F9"/>
    <w:rsid w:val="007B0EDD"/>
    <w:rsid w:val="007B1238"/>
    <w:rsid w:val="007B1939"/>
    <w:rsid w:val="007B25CA"/>
    <w:rsid w:val="007B2FEC"/>
    <w:rsid w:val="007B4B9B"/>
    <w:rsid w:val="007B5154"/>
    <w:rsid w:val="007B5DCC"/>
    <w:rsid w:val="007B64F7"/>
    <w:rsid w:val="007C004C"/>
    <w:rsid w:val="007C05BA"/>
    <w:rsid w:val="007C0AD9"/>
    <w:rsid w:val="007C0B8D"/>
    <w:rsid w:val="007C0C66"/>
    <w:rsid w:val="007C127E"/>
    <w:rsid w:val="007C2BD5"/>
    <w:rsid w:val="007C403B"/>
    <w:rsid w:val="007C484E"/>
    <w:rsid w:val="007C55BA"/>
    <w:rsid w:val="007C624F"/>
    <w:rsid w:val="007C6E0C"/>
    <w:rsid w:val="007C776F"/>
    <w:rsid w:val="007C7D4B"/>
    <w:rsid w:val="007D0553"/>
    <w:rsid w:val="007D0EDA"/>
    <w:rsid w:val="007D12C1"/>
    <w:rsid w:val="007D13E7"/>
    <w:rsid w:val="007D1856"/>
    <w:rsid w:val="007D2747"/>
    <w:rsid w:val="007D2EC1"/>
    <w:rsid w:val="007D30B3"/>
    <w:rsid w:val="007D376D"/>
    <w:rsid w:val="007D3BED"/>
    <w:rsid w:val="007D3C83"/>
    <w:rsid w:val="007D3E8E"/>
    <w:rsid w:val="007D4EB3"/>
    <w:rsid w:val="007D590E"/>
    <w:rsid w:val="007D5A01"/>
    <w:rsid w:val="007D68F5"/>
    <w:rsid w:val="007D74ED"/>
    <w:rsid w:val="007D76AF"/>
    <w:rsid w:val="007D7768"/>
    <w:rsid w:val="007D7861"/>
    <w:rsid w:val="007D787A"/>
    <w:rsid w:val="007D7996"/>
    <w:rsid w:val="007E03CF"/>
    <w:rsid w:val="007E078F"/>
    <w:rsid w:val="007E1570"/>
    <w:rsid w:val="007E163C"/>
    <w:rsid w:val="007E23A9"/>
    <w:rsid w:val="007E28DC"/>
    <w:rsid w:val="007E2A42"/>
    <w:rsid w:val="007E2C59"/>
    <w:rsid w:val="007E2D5B"/>
    <w:rsid w:val="007E312F"/>
    <w:rsid w:val="007E3287"/>
    <w:rsid w:val="007E3793"/>
    <w:rsid w:val="007E3EE5"/>
    <w:rsid w:val="007E4510"/>
    <w:rsid w:val="007E4BAE"/>
    <w:rsid w:val="007E5F04"/>
    <w:rsid w:val="007E6064"/>
    <w:rsid w:val="007E6BFC"/>
    <w:rsid w:val="007E6E55"/>
    <w:rsid w:val="007E742A"/>
    <w:rsid w:val="007E7CC1"/>
    <w:rsid w:val="007E7DC0"/>
    <w:rsid w:val="007E7F3C"/>
    <w:rsid w:val="007F0559"/>
    <w:rsid w:val="007F06D0"/>
    <w:rsid w:val="007F084C"/>
    <w:rsid w:val="007F09EB"/>
    <w:rsid w:val="007F110B"/>
    <w:rsid w:val="007F3E14"/>
    <w:rsid w:val="007F46BF"/>
    <w:rsid w:val="007F4CA0"/>
    <w:rsid w:val="007F5B04"/>
    <w:rsid w:val="007F6FA0"/>
    <w:rsid w:val="007F74D3"/>
    <w:rsid w:val="007F768A"/>
    <w:rsid w:val="007F773E"/>
    <w:rsid w:val="007F7AE0"/>
    <w:rsid w:val="0080059A"/>
    <w:rsid w:val="00800EE3"/>
    <w:rsid w:val="00801EC6"/>
    <w:rsid w:val="0080245A"/>
    <w:rsid w:val="008027CB"/>
    <w:rsid w:val="008028E4"/>
    <w:rsid w:val="00802E69"/>
    <w:rsid w:val="00802FFF"/>
    <w:rsid w:val="00803802"/>
    <w:rsid w:val="00803B7D"/>
    <w:rsid w:val="00803BE5"/>
    <w:rsid w:val="00804B2B"/>
    <w:rsid w:val="00804F61"/>
    <w:rsid w:val="00805A33"/>
    <w:rsid w:val="00806782"/>
    <w:rsid w:val="00806930"/>
    <w:rsid w:val="008078FE"/>
    <w:rsid w:val="00807965"/>
    <w:rsid w:val="008108F5"/>
    <w:rsid w:val="008109C1"/>
    <w:rsid w:val="0081161A"/>
    <w:rsid w:val="00811FD6"/>
    <w:rsid w:val="00813612"/>
    <w:rsid w:val="008136F9"/>
    <w:rsid w:val="00813B52"/>
    <w:rsid w:val="00813EBE"/>
    <w:rsid w:val="008141D0"/>
    <w:rsid w:val="00814715"/>
    <w:rsid w:val="00815663"/>
    <w:rsid w:val="00815B90"/>
    <w:rsid w:val="0081630A"/>
    <w:rsid w:val="008164FB"/>
    <w:rsid w:val="00816B7E"/>
    <w:rsid w:val="00816E2A"/>
    <w:rsid w:val="00820A3C"/>
    <w:rsid w:val="00821092"/>
    <w:rsid w:val="008213D0"/>
    <w:rsid w:val="00821757"/>
    <w:rsid w:val="0082195E"/>
    <w:rsid w:val="00822048"/>
    <w:rsid w:val="008226DD"/>
    <w:rsid w:val="00822C4E"/>
    <w:rsid w:val="00822E3B"/>
    <w:rsid w:val="00822F40"/>
    <w:rsid w:val="00822F42"/>
    <w:rsid w:val="008234F9"/>
    <w:rsid w:val="00823811"/>
    <w:rsid w:val="00823B85"/>
    <w:rsid w:val="00824363"/>
    <w:rsid w:val="00824518"/>
    <w:rsid w:val="00824CA9"/>
    <w:rsid w:val="00825691"/>
    <w:rsid w:val="00825FCC"/>
    <w:rsid w:val="00826B2F"/>
    <w:rsid w:val="00827196"/>
    <w:rsid w:val="008274F1"/>
    <w:rsid w:val="00827544"/>
    <w:rsid w:val="00827E77"/>
    <w:rsid w:val="00831443"/>
    <w:rsid w:val="00831797"/>
    <w:rsid w:val="00831E55"/>
    <w:rsid w:val="00832156"/>
    <w:rsid w:val="00833208"/>
    <w:rsid w:val="00833918"/>
    <w:rsid w:val="00834821"/>
    <w:rsid w:val="008351B2"/>
    <w:rsid w:val="008353FD"/>
    <w:rsid w:val="00835F5E"/>
    <w:rsid w:val="00835FB4"/>
    <w:rsid w:val="008360FA"/>
    <w:rsid w:val="0083626E"/>
    <w:rsid w:val="00837051"/>
    <w:rsid w:val="00837329"/>
    <w:rsid w:val="008376C1"/>
    <w:rsid w:val="00837B6D"/>
    <w:rsid w:val="00837FD0"/>
    <w:rsid w:val="00840750"/>
    <w:rsid w:val="00840765"/>
    <w:rsid w:val="008409B5"/>
    <w:rsid w:val="00840A4C"/>
    <w:rsid w:val="00841569"/>
    <w:rsid w:val="008415FA"/>
    <w:rsid w:val="008418C9"/>
    <w:rsid w:val="00842AD3"/>
    <w:rsid w:val="00842DE4"/>
    <w:rsid w:val="008438B2"/>
    <w:rsid w:val="00843A8A"/>
    <w:rsid w:val="0084518D"/>
    <w:rsid w:val="008456F7"/>
    <w:rsid w:val="00846295"/>
    <w:rsid w:val="00846910"/>
    <w:rsid w:val="008477F8"/>
    <w:rsid w:val="00847AD0"/>
    <w:rsid w:val="0085035D"/>
    <w:rsid w:val="00850D60"/>
    <w:rsid w:val="0085122A"/>
    <w:rsid w:val="00851B62"/>
    <w:rsid w:val="00851E3B"/>
    <w:rsid w:val="00854228"/>
    <w:rsid w:val="008548DE"/>
    <w:rsid w:val="00854D24"/>
    <w:rsid w:val="00855464"/>
    <w:rsid w:val="008557D8"/>
    <w:rsid w:val="00855B8D"/>
    <w:rsid w:val="00856563"/>
    <w:rsid w:val="00856D8F"/>
    <w:rsid w:val="00856FC2"/>
    <w:rsid w:val="00857755"/>
    <w:rsid w:val="00857760"/>
    <w:rsid w:val="00857B7E"/>
    <w:rsid w:val="00857D8D"/>
    <w:rsid w:val="00860A77"/>
    <w:rsid w:val="00860CB1"/>
    <w:rsid w:val="00861E55"/>
    <w:rsid w:val="00861E95"/>
    <w:rsid w:val="00861EFA"/>
    <w:rsid w:val="00861FE0"/>
    <w:rsid w:val="0086256E"/>
    <w:rsid w:val="00862F41"/>
    <w:rsid w:val="008632FF"/>
    <w:rsid w:val="0086352F"/>
    <w:rsid w:val="00863A28"/>
    <w:rsid w:val="008640CC"/>
    <w:rsid w:val="00864362"/>
    <w:rsid w:val="00864462"/>
    <w:rsid w:val="008649F6"/>
    <w:rsid w:val="00864ACF"/>
    <w:rsid w:val="00864D12"/>
    <w:rsid w:val="008653E5"/>
    <w:rsid w:val="00865C5F"/>
    <w:rsid w:val="0086657E"/>
    <w:rsid w:val="008669C6"/>
    <w:rsid w:val="00866A02"/>
    <w:rsid w:val="00866D85"/>
    <w:rsid w:val="0086742B"/>
    <w:rsid w:val="00867BC8"/>
    <w:rsid w:val="00867D04"/>
    <w:rsid w:val="008705A8"/>
    <w:rsid w:val="0087216C"/>
    <w:rsid w:val="008722A5"/>
    <w:rsid w:val="00872BA1"/>
    <w:rsid w:val="00873C3B"/>
    <w:rsid w:val="00874095"/>
    <w:rsid w:val="008740E2"/>
    <w:rsid w:val="0087411A"/>
    <w:rsid w:val="00874D86"/>
    <w:rsid w:val="008753FB"/>
    <w:rsid w:val="008757B7"/>
    <w:rsid w:val="008759ED"/>
    <w:rsid w:val="00876353"/>
    <w:rsid w:val="00876FF5"/>
    <w:rsid w:val="00877601"/>
    <w:rsid w:val="00877761"/>
    <w:rsid w:val="00877798"/>
    <w:rsid w:val="00877B2B"/>
    <w:rsid w:val="00877B68"/>
    <w:rsid w:val="00877DCA"/>
    <w:rsid w:val="0088056F"/>
    <w:rsid w:val="00880A01"/>
    <w:rsid w:val="008810D8"/>
    <w:rsid w:val="0088155F"/>
    <w:rsid w:val="00882E04"/>
    <w:rsid w:val="008840ED"/>
    <w:rsid w:val="00884612"/>
    <w:rsid w:val="00884A62"/>
    <w:rsid w:val="00885797"/>
    <w:rsid w:val="00885C4F"/>
    <w:rsid w:val="00886ABE"/>
    <w:rsid w:val="00886AEE"/>
    <w:rsid w:val="008878E3"/>
    <w:rsid w:val="00887A8B"/>
    <w:rsid w:val="00887DBF"/>
    <w:rsid w:val="008902E3"/>
    <w:rsid w:val="008911AA"/>
    <w:rsid w:val="00891C9E"/>
    <w:rsid w:val="00892554"/>
    <w:rsid w:val="0089277D"/>
    <w:rsid w:val="00894867"/>
    <w:rsid w:val="008950D4"/>
    <w:rsid w:val="008959A0"/>
    <w:rsid w:val="00895D06"/>
    <w:rsid w:val="00896595"/>
    <w:rsid w:val="008966D3"/>
    <w:rsid w:val="00897332"/>
    <w:rsid w:val="00897342"/>
    <w:rsid w:val="008974AF"/>
    <w:rsid w:val="00897E5E"/>
    <w:rsid w:val="008A02A2"/>
    <w:rsid w:val="008A2C72"/>
    <w:rsid w:val="008A2CB9"/>
    <w:rsid w:val="008A2E26"/>
    <w:rsid w:val="008A2FD9"/>
    <w:rsid w:val="008A388E"/>
    <w:rsid w:val="008A3F9D"/>
    <w:rsid w:val="008A4380"/>
    <w:rsid w:val="008A45C0"/>
    <w:rsid w:val="008A53F8"/>
    <w:rsid w:val="008A54D9"/>
    <w:rsid w:val="008A601C"/>
    <w:rsid w:val="008A671D"/>
    <w:rsid w:val="008A74AF"/>
    <w:rsid w:val="008A7FD4"/>
    <w:rsid w:val="008B1D35"/>
    <w:rsid w:val="008B370A"/>
    <w:rsid w:val="008B3881"/>
    <w:rsid w:val="008B3BA6"/>
    <w:rsid w:val="008B3D80"/>
    <w:rsid w:val="008B3FF5"/>
    <w:rsid w:val="008B41D2"/>
    <w:rsid w:val="008B5729"/>
    <w:rsid w:val="008B62C9"/>
    <w:rsid w:val="008B6513"/>
    <w:rsid w:val="008B696D"/>
    <w:rsid w:val="008B6F85"/>
    <w:rsid w:val="008C146F"/>
    <w:rsid w:val="008C16E3"/>
    <w:rsid w:val="008C20E4"/>
    <w:rsid w:val="008C2464"/>
    <w:rsid w:val="008C26B8"/>
    <w:rsid w:val="008C2FBB"/>
    <w:rsid w:val="008C309F"/>
    <w:rsid w:val="008C3265"/>
    <w:rsid w:val="008C3647"/>
    <w:rsid w:val="008C3977"/>
    <w:rsid w:val="008C39A9"/>
    <w:rsid w:val="008C3ABE"/>
    <w:rsid w:val="008C3DD2"/>
    <w:rsid w:val="008C40D2"/>
    <w:rsid w:val="008C4301"/>
    <w:rsid w:val="008C511D"/>
    <w:rsid w:val="008C5951"/>
    <w:rsid w:val="008C5F47"/>
    <w:rsid w:val="008C640F"/>
    <w:rsid w:val="008C67F2"/>
    <w:rsid w:val="008C7638"/>
    <w:rsid w:val="008C7A2B"/>
    <w:rsid w:val="008C7C9F"/>
    <w:rsid w:val="008C7F50"/>
    <w:rsid w:val="008D0243"/>
    <w:rsid w:val="008D24C9"/>
    <w:rsid w:val="008D312F"/>
    <w:rsid w:val="008D3581"/>
    <w:rsid w:val="008D41FD"/>
    <w:rsid w:val="008D42B6"/>
    <w:rsid w:val="008D4CDD"/>
    <w:rsid w:val="008D5544"/>
    <w:rsid w:val="008D62A0"/>
    <w:rsid w:val="008D729C"/>
    <w:rsid w:val="008D79F2"/>
    <w:rsid w:val="008D7E61"/>
    <w:rsid w:val="008E0EF3"/>
    <w:rsid w:val="008E1B6E"/>
    <w:rsid w:val="008E1D76"/>
    <w:rsid w:val="008E1F65"/>
    <w:rsid w:val="008E2A77"/>
    <w:rsid w:val="008E3323"/>
    <w:rsid w:val="008E397C"/>
    <w:rsid w:val="008E41EF"/>
    <w:rsid w:val="008E4476"/>
    <w:rsid w:val="008E4826"/>
    <w:rsid w:val="008E57C7"/>
    <w:rsid w:val="008E5D0F"/>
    <w:rsid w:val="008E61E0"/>
    <w:rsid w:val="008E6B5D"/>
    <w:rsid w:val="008E7600"/>
    <w:rsid w:val="008F2704"/>
    <w:rsid w:val="008F2B32"/>
    <w:rsid w:val="008F2DA9"/>
    <w:rsid w:val="008F3887"/>
    <w:rsid w:val="008F39E6"/>
    <w:rsid w:val="008F3ADE"/>
    <w:rsid w:val="008F4A67"/>
    <w:rsid w:val="008F4E87"/>
    <w:rsid w:val="008F5747"/>
    <w:rsid w:val="008F5C33"/>
    <w:rsid w:val="008F6E99"/>
    <w:rsid w:val="008F7E60"/>
    <w:rsid w:val="009010B2"/>
    <w:rsid w:val="00901232"/>
    <w:rsid w:val="0090205B"/>
    <w:rsid w:val="00903248"/>
    <w:rsid w:val="00903E66"/>
    <w:rsid w:val="0090402B"/>
    <w:rsid w:val="009044F7"/>
    <w:rsid w:val="00904587"/>
    <w:rsid w:val="00904C41"/>
    <w:rsid w:val="00904D8A"/>
    <w:rsid w:val="00905499"/>
    <w:rsid w:val="00905892"/>
    <w:rsid w:val="00905DD7"/>
    <w:rsid w:val="0090640E"/>
    <w:rsid w:val="009064C5"/>
    <w:rsid w:val="0090718F"/>
    <w:rsid w:val="00907336"/>
    <w:rsid w:val="00907D9D"/>
    <w:rsid w:val="00907F7F"/>
    <w:rsid w:val="0091049D"/>
    <w:rsid w:val="009109DA"/>
    <w:rsid w:val="009111B4"/>
    <w:rsid w:val="009116F5"/>
    <w:rsid w:val="00911A99"/>
    <w:rsid w:val="00911E70"/>
    <w:rsid w:val="0091235D"/>
    <w:rsid w:val="00912BD4"/>
    <w:rsid w:val="00913BFB"/>
    <w:rsid w:val="00913CB5"/>
    <w:rsid w:val="00913F1A"/>
    <w:rsid w:val="00914527"/>
    <w:rsid w:val="00914C15"/>
    <w:rsid w:val="0091553A"/>
    <w:rsid w:val="0091584C"/>
    <w:rsid w:val="00915F79"/>
    <w:rsid w:val="00916363"/>
    <w:rsid w:val="009164DD"/>
    <w:rsid w:val="0091659A"/>
    <w:rsid w:val="00916E16"/>
    <w:rsid w:val="00917365"/>
    <w:rsid w:val="00917CA6"/>
    <w:rsid w:val="0092048C"/>
    <w:rsid w:val="0092056D"/>
    <w:rsid w:val="00920D4F"/>
    <w:rsid w:val="00920E7F"/>
    <w:rsid w:val="009214F4"/>
    <w:rsid w:val="009218DE"/>
    <w:rsid w:val="00921DB3"/>
    <w:rsid w:val="009222A7"/>
    <w:rsid w:val="0092238A"/>
    <w:rsid w:val="00922391"/>
    <w:rsid w:val="00922EC7"/>
    <w:rsid w:val="00923330"/>
    <w:rsid w:val="00924AE5"/>
    <w:rsid w:val="00925066"/>
    <w:rsid w:val="00925301"/>
    <w:rsid w:val="0092540D"/>
    <w:rsid w:val="00926234"/>
    <w:rsid w:val="0092671D"/>
    <w:rsid w:val="00926A3E"/>
    <w:rsid w:val="00926B0A"/>
    <w:rsid w:val="00926E04"/>
    <w:rsid w:val="0092702C"/>
    <w:rsid w:val="00927671"/>
    <w:rsid w:val="00927E5A"/>
    <w:rsid w:val="00931796"/>
    <w:rsid w:val="009324AF"/>
    <w:rsid w:val="00932636"/>
    <w:rsid w:val="00932B60"/>
    <w:rsid w:val="00932D4E"/>
    <w:rsid w:val="00932F12"/>
    <w:rsid w:val="00932F8C"/>
    <w:rsid w:val="00933133"/>
    <w:rsid w:val="00933470"/>
    <w:rsid w:val="00933949"/>
    <w:rsid w:val="00934AB8"/>
    <w:rsid w:val="00935499"/>
    <w:rsid w:val="00935852"/>
    <w:rsid w:val="00935DC1"/>
    <w:rsid w:val="009364F8"/>
    <w:rsid w:val="00936B50"/>
    <w:rsid w:val="0093774A"/>
    <w:rsid w:val="00940180"/>
    <w:rsid w:val="009404B4"/>
    <w:rsid w:val="00940DEC"/>
    <w:rsid w:val="00941462"/>
    <w:rsid w:val="00941B0A"/>
    <w:rsid w:val="00942519"/>
    <w:rsid w:val="00942E20"/>
    <w:rsid w:val="00943934"/>
    <w:rsid w:val="00943A33"/>
    <w:rsid w:val="00943AC0"/>
    <w:rsid w:val="009441B6"/>
    <w:rsid w:val="0094517F"/>
    <w:rsid w:val="00945192"/>
    <w:rsid w:val="009459A1"/>
    <w:rsid w:val="00945EE4"/>
    <w:rsid w:val="00946515"/>
    <w:rsid w:val="009466B6"/>
    <w:rsid w:val="0094690E"/>
    <w:rsid w:val="0094727E"/>
    <w:rsid w:val="00947CA0"/>
    <w:rsid w:val="00947D97"/>
    <w:rsid w:val="009501F1"/>
    <w:rsid w:val="00950257"/>
    <w:rsid w:val="00950ADF"/>
    <w:rsid w:val="0095141E"/>
    <w:rsid w:val="0095236F"/>
    <w:rsid w:val="0095290E"/>
    <w:rsid w:val="00952C21"/>
    <w:rsid w:val="00952D8B"/>
    <w:rsid w:val="009534B8"/>
    <w:rsid w:val="009538A5"/>
    <w:rsid w:val="00953E19"/>
    <w:rsid w:val="0095519E"/>
    <w:rsid w:val="00955681"/>
    <w:rsid w:val="00955E8F"/>
    <w:rsid w:val="00956126"/>
    <w:rsid w:val="00956411"/>
    <w:rsid w:val="00956908"/>
    <w:rsid w:val="00956C66"/>
    <w:rsid w:val="00957446"/>
    <w:rsid w:val="00957B99"/>
    <w:rsid w:val="00960CAC"/>
    <w:rsid w:val="0096107B"/>
    <w:rsid w:val="00962B5E"/>
    <w:rsid w:val="00963A40"/>
    <w:rsid w:val="009640AE"/>
    <w:rsid w:val="00964927"/>
    <w:rsid w:val="0096495F"/>
    <w:rsid w:val="009658F9"/>
    <w:rsid w:val="009659EA"/>
    <w:rsid w:val="009664E3"/>
    <w:rsid w:val="009664F0"/>
    <w:rsid w:val="00966FC8"/>
    <w:rsid w:val="00966FFE"/>
    <w:rsid w:val="009671B7"/>
    <w:rsid w:val="00967978"/>
    <w:rsid w:val="00970C63"/>
    <w:rsid w:val="00971041"/>
    <w:rsid w:val="00971692"/>
    <w:rsid w:val="00971978"/>
    <w:rsid w:val="00971C23"/>
    <w:rsid w:val="00972D69"/>
    <w:rsid w:val="00972FBC"/>
    <w:rsid w:val="00973C1F"/>
    <w:rsid w:val="00973C61"/>
    <w:rsid w:val="00974882"/>
    <w:rsid w:val="00974A77"/>
    <w:rsid w:val="009755EA"/>
    <w:rsid w:val="00976073"/>
    <w:rsid w:val="00977042"/>
    <w:rsid w:val="00977346"/>
    <w:rsid w:val="00977562"/>
    <w:rsid w:val="009802A9"/>
    <w:rsid w:val="00980988"/>
    <w:rsid w:val="00981089"/>
    <w:rsid w:val="00981092"/>
    <w:rsid w:val="00981331"/>
    <w:rsid w:val="00982D9A"/>
    <w:rsid w:val="00982F28"/>
    <w:rsid w:val="009837ED"/>
    <w:rsid w:val="00983DDE"/>
    <w:rsid w:val="00984CE7"/>
    <w:rsid w:val="00985852"/>
    <w:rsid w:val="00985F0B"/>
    <w:rsid w:val="00985F7D"/>
    <w:rsid w:val="00986B76"/>
    <w:rsid w:val="009872A0"/>
    <w:rsid w:val="0098733B"/>
    <w:rsid w:val="0099084B"/>
    <w:rsid w:val="00990B33"/>
    <w:rsid w:val="00991AD0"/>
    <w:rsid w:val="00991E86"/>
    <w:rsid w:val="009923B5"/>
    <w:rsid w:val="0099288C"/>
    <w:rsid w:val="00992B95"/>
    <w:rsid w:val="00992F65"/>
    <w:rsid w:val="009932A5"/>
    <w:rsid w:val="00993544"/>
    <w:rsid w:val="009946D0"/>
    <w:rsid w:val="00994AF3"/>
    <w:rsid w:val="00994E35"/>
    <w:rsid w:val="00994EA9"/>
    <w:rsid w:val="00995897"/>
    <w:rsid w:val="00995C5E"/>
    <w:rsid w:val="00996331"/>
    <w:rsid w:val="00996D47"/>
    <w:rsid w:val="0099777A"/>
    <w:rsid w:val="00997852"/>
    <w:rsid w:val="00997E3D"/>
    <w:rsid w:val="009A0466"/>
    <w:rsid w:val="009A0AAB"/>
    <w:rsid w:val="009A0B55"/>
    <w:rsid w:val="009A0CCF"/>
    <w:rsid w:val="009A0DBC"/>
    <w:rsid w:val="009A1629"/>
    <w:rsid w:val="009A1743"/>
    <w:rsid w:val="009A24FF"/>
    <w:rsid w:val="009A25F6"/>
    <w:rsid w:val="009A28E8"/>
    <w:rsid w:val="009A361E"/>
    <w:rsid w:val="009A3D01"/>
    <w:rsid w:val="009A420F"/>
    <w:rsid w:val="009A42FF"/>
    <w:rsid w:val="009A4348"/>
    <w:rsid w:val="009A58C6"/>
    <w:rsid w:val="009A58E8"/>
    <w:rsid w:val="009A60AA"/>
    <w:rsid w:val="009A7D36"/>
    <w:rsid w:val="009B0DC0"/>
    <w:rsid w:val="009B1753"/>
    <w:rsid w:val="009B1833"/>
    <w:rsid w:val="009B20B2"/>
    <w:rsid w:val="009B2536"/>
    <w:rsid w:val="009B2DAC"/>
    <w:rsid w:val="009B40DB"/>
    <w:rsid w:val="009B428B"/>
    <w:rsid w:val="009B4578"/>
    <w:rsid w:val="009B4678"/>
    <w:rsid w:val="009B4B64"/>
    <w:rsid w:val="009B4EFC"/>
    <w:rsid w:val="009B6139"/>
    <w:rsid w:val="009B632D"/>
    <w:rsid w:val="009B665F"/>
    <w:rsid w:val="009B70AC"/>
    <w:rsid w:val="009B7455"/>
    <w:rsid w:val="009B7474"/>
    <w:rsid w:val="009B7D46"/>
    <w:rsid w:val="009C0149"/>
    <w:rsid w:val="009C06D4"/>
    <w:rsid w:val="009C0C00"/>
    <w:rsid w:val="009C1157"/>
    <w:rsid w:val="009C1282"/>
    <w:rsid w:val="009C1306"/>
    <w:rsid w:val="009C151E"/>
    <w:rsid w:val="009C16B0"/>
    <w:rsid w:val="009C1C95"/>
    <w:rsid w:val="009C324F"/>
    <w:rsid w:val="009C3CB2"/>
    <w:rsid w:val="009C40AF"/>
    <w:rsid w:val="009C46BF"/>
    <w:rsid w:val="009C476E"/>
    <w:rsid w:val="009C4AB5"/>
    <w:rsid w:val="009C4D90"/>
    <w:rsid w:val="009C5386"/>
    <w:rsid w:val="009C6147"/>
    <w:rsid w:val="009C7D55"/>
    <w:rsid w:val="009C7FB0"/>
    <w:rsid w:val="009D076D"/>
    <w:rsid w:val="009D084E"/>
    <w:rsid w:val="009D08AB"/>
    <w:rsid w:val="009D0AF9"/>
    <w:rsid w:val="009D0E21"/>
    <w:rsid w:val="009D138F"/>
    <w:rsid w:val="009D17F9"/>
    <w:rsid w:val="009D18EF"/>
    <w:rsid w:val="009D3D07"/>
    <w:rsid w:val="009D47F7"/>
    <w:rsid w:val="009D4913"/>
    <w:rsid w:val="009D505F"/>
    <w:rsid w:val="009D5E72"/>
    <w:rsid w:val="009D707B"/>
    <w:rsid w:val="009D71D8"/>
    <w:rsid w:val="009D720A"/>
    <w:rsid w:val="009D738F"/>
    <w:rsid w:val="009D73DC"/>
    <w:rsid w:val="009D75E9"/>
    <w:rsid w:val="009D767A"/>
    <w:rsid w:val="009D7C88"/>
    <w:rsid w:val="009DF7BF"/>
    <w:rsid w:val="009E0579"/>
    <w:rsid w:val="009E0D40"/>
    <w:rsid w:val="009E15C9"/>
    <w:rsid w:val="009E1B5C"/>
    <w:rsid w:val="009E20C3"/>
    <w:rsid w:val="009E2466"/>
    <w:rsid w:val="009E31F7"/>
    <w:rsid w:val="009E3EBF"/>
    <w:rsid w:val="009E43B9"/>
    <w:rsid w:val="009E49E9"/>
    <w:rsid w:val="009E5497"/>
    <w:rsid w:val="009E5D7F"/>
    <w:rsid w:val="009E67DF"/>
    <w:rsid w:val="009E6949"/>
    <w:rsid w:val="009E7324"/>
    <w:rsid w:val="009F065F"/>
    <w:rsid w:val="009F07B3"/>
    <w:rsid w:val="009F0B3B"/>
    <w:rsid w:val="009F0E45"/>
    <w:rsid w:val="009F14BA"/>
    <w:rsid w:val="009F2899"/>
    <w:rsid w:val="009F2CF0"/>
    <w:rsid w:val="009F4286"/>
    <w:rsid w:val="009F496C"/>
    <w:rsid w:val="009F4AB0"/>
    <w:rsid w:val="009F5349"/>
    <w:rsid w:val="009F5FF8"/>
    <w:rsid w:val="009F6418"/>
    <w:rsid w:val="009F6466"/>
    <w:rsid w:val="009F678A"/>
    <w:rsid w:val="009F775C"/>
    <w:rsid w:val="009F7831"/>
    <w:rsid w:val="009F7890"/>
    <w:rsid w:val="009F7F61"/>
    <w:rsid w:val="00A00F08"/>
    <w:rsid w:val="00A01A7E"/>
    <w:rsid w:val="00A01D60"/>
    <w:rsid w:val="00A02178"/>
    <w:rsid w:val="00A036BB"/>
    <w:rsid w:val="00A0465E"/>
    <w:rsid w:val="00A04774"/>
    <w:rsid w:val="00A04850"/>
    <w:rsid w:val="00A04963"/>
    <w:rsid w:val="00A04BAD"/>
    <w:rsid w:val="00A04DC6"/>
    <w:rsid w:val="00A04F52"/>
    <w:rsid w:val="00A05734"/>
    <w:rsid w:val="00A05885"/>
    <w:rsid w:val="00A05A65"/>
    <w:rsid w:val="00A05E66"/>
    <w:rsid w:val="00A06199"/>
    <w:rsid w:val="00A062EA"/>
    <w:rsid w:val="00A06BCC"/>
    <w:rsid w:val="00A06E2A"/>
    <w:rsid w:val="00A0741B"/>
    <w:rsid w:val="00A076E4"/>
    <w:rsid w:val="00A07D92"/>
    <w:rsid w:val="00A11116"/>
    <w:rsid w:val="00A1159F"/>
    <w:rsid w:val="00A11DFE"/>
    <w:rsid w:val="00A128D5"/>
    <w:rsid w:val="00A129AD"/>
    <w:rsid w:val="00A12C8A"/>
    <w:rsid w:val="00A133BC"/>
    <w:rsid w:val="00A13419"/>
    <w:rsid w:val="00A13A53"/>
    <w:rsid w:val="00A1468B"/>
    <w:rsid w:val="00A14AD6"/>
    <w:rsid w:val="00A14E1A"/>
    <w:rsid w:val="00A1503A"/>
    <w:rsid w:val="00A15A7D"/>
    <w:rsid w:val="00A164D3"/>
    <w:rsid w:val="00A17214"/>
    <w:rsid w:val="00A17887"/>
    <w:rsid w:val="00A20208"/>
    <w:rsid w:val="00A211A0"/>
    <w:rsid w:val="00A21994"/>
    <w:rsid w:val="00A21C9D"/>
    <w:rsid w:val="00A22976"/>
    <w:rsid w:val="00A22B53"/>
    <w:rsid w:val="00A22D64"/>
    <w:rsid w:val="00A23780"/>
    <w:rsid w:val="00A23A9A"/>
    <w:rsid w:val="00A23FEE"/>
    <w:rsid w:val="00A24099"/>
    <w:rsid w:val="00A24258"/>
    <w:rsid w:val="00A244C6"/>
    <w:rsid w:val="00A25DF8"/>
    <w:rsid w:val="00A25E5D"/>
    <w:rsid w:val="00A26024"/>
    <w:rsid w:val="00A26375"/>
    <w:rsid w:val="00A268E6"/>
    <w:rsid w:val="00A269A6"/>
    <w:rsid w:val="00A27553"/>
    <w:rsid w:val="00A27B2B"/>
    <w:rsid w:val="00A30217"/>
    <w:rsid w:val="00A304DB"/>
    <w:rsid w:val="00A30C8D"/>
    <w:rsid w:val="00A30E95"/>
    <w:rsid w:val="00A30F28"/>
    <w:rsid w:val="00A31972"/>
    <w:rsid w:val="00A3200F"/>
    <w:rsid w:val="00A32109"/>
    <w:rsid w:val="00A322BC"/>
    <w:rsid w:val="00A33831"/>
    <w:rsid w:val="00A33D55"/>
    <w:rsid w:val="00A33FAA"/>
    <w:rsid w:val="00A34335"/>
    <w:rsid w:val="00A344D6"/>
    <w:rsid w:val="00A34561"/>
    <w:rsid w:val="00A3459F"/>
    <w:rsid w:val="00A34AC5"/>
    <w:rsid w:val="00A34E27"/>
    <w:rsid w:val="00A351C7"/>
    <w:rsid w:val="00A3584C"/>
    <w:rsid w:val="00A36CDB"/>
    <w:rsid w:val="00A374CC"/>
    <w:rsid w:val="00A3751B"/>
    <w:rsid w:val="00A37A40"/>
    <w:rsid w:val="00A403BD"/>
    <w:rsid w:val="00A40753"/>
    <w:rsid w:val="00A4144C"/>
    <w:rsid w:val="00A41535"/>
    <w:rsid w:val="00A41667"/>
    <w:rsid w:val="00A43445"/>
    <w:rsid w:val="00A437BA"/>
    <w:rsid w:val="00A4399D"/>
    <w:rsid w:val="00A44C18"/>
    <w:rsid w:val="00A44E32"/>
    <w:rsid w:val="00A45298"/>
    <w:rsid w:val="00A452BC"/>
    <w:rsid w:val="00A45A25"/>
    <w:rsid w:val="00A46692"/>
    <w:rsid w:val="00A47DC2"/>
    <w:rsid w:val="00A5073D"/>
    <w:rsid w:val="00A508D6"/>
    <w:rsid w:val="00A50F84"/>
    <w:rsid w:val="00A515E6"/>
    <w:rsid w:val="00A52835"/>
    <w:rsid w:val="00A5283E"/>
    <w:rsid w:val="00A52DCF"/>
    <w:rsid w:val="00A52DF6"/>
    <w:rsid w:val="00A54DBE"/>
    <w:rsid w:val="00A54EA0"/>
    <w:rsid w:val="00A561E1"/>
    <w:rsid w:val="00A56A71"/>
    <w:rsid w:val="00A56C4F"/>
    <w:rsid w:val="00A5747C"/>
    <w:rsid w:val="00A574C6"/>
    <w:rsid w:val="00A60547"/>
    <w:rsid w:val="00A61017"/>
    <w:rsid w:val="00A6112E"/>
    <w:rsid w:val="00A6118C"/>
    <w:rsid w:val="00A6215E"/>
    <w:rsid w:val="00A6270C"/>
    <w:rsid w:val="00A6303C"/>
    <w:rsid w:val="00A6358E"/>
    <w:rsid w:val="00A63AAE"/>
    <w:rsid w:val="00A63BC0"/>
    <w:rsid w:val="00A63CD1"/>
    <w:rsid w:val="00A63D54"/>
    <w:rsid w:val="00A641A0"/>
    <w:rsid w:val="00A641B9"/>
    <w:rsid w:val="00A64A5D"/>
    <w:rsid w:val="00A653E8"/>
    <w:rsid w:val="00A655BC"/>
    <w:rsid w:val="00A65886"/>
    <w:rsid w:val="00A658B5"/>
    <w:rsid w:val="00A659B5"/>
    <w:rsid w:val="00A662BB"/>
    <w:rsid w:val="00A66486"/>
    <w:rsid w:val="00A675D7"/>
    <w:rsid w:val="00A67A2C"/>
    <w:rsid w:val="00A67B2E"/>
    <w:rsid w:val="00A700B6"/>
    <w:rsid w:val="00A707FD"/>
    <w:rsid w:val="00A70F20"/>
    <w:rsid w:val="00A719A7"/>
    <w:rsid w:val="00A725B6"/>
    <w:rsid w:val="00A72A95"/>
    <w:rsid w:val="00A7307E"/>
    <w:rsid w:val="00A732A7"/>
    <w:rsid w:val="00A75380"/>
    <w:rsid w:val="00A75C48"/>
    <w:rsid w:val="00A75C76"/>
    <w:rsid w:val="00A7642C"/>
    <w:rsid w:val="00A76E35"/>
    <w:rsid w:val="00A776E8"/>
    <w:rsid w:val="00A779D4"/>
    <w:rsid w:val="00A8013E"/>
    <w:rsid w:val="00A81A72"/>
    <w:rsid w:val="00A8200D"/>
    <w:rsid w:val="00A82AB0"/>
    <w:rsid w:val="00A82EFE"/>
    <w:rsid w:val="00A83094"/>
    <w:rsid w:val="00A8355D"/>
    <w:rsid w:val="00A853E8"/>
    <w:rsid w:val="00A8543F"/>
    <w:rsid w:val="00A854A9"/>
    <w:rsid w:val="00A86285"/>
    <w:rsid w:val="00A868C0"/>
    <w:rsid w:val="00A86C55"/>
    <w:rsid w:val="00A87AD4"/>
    <w:rsid w:val="00A90704"/>
    <w:rsid w:val="00A90C46"/>
    <w:rsid w:val="00A91643"/>
    <w:rsid w:val="00A9173C"/>
    <w:rsid w:val="00A91A2A"/>
    <w:rsid w:val="00A91A62"/>
    <w:rsid w:val="00A9207D"/>
    <w:rsid w:val="00A9214C"/>
    <w:rsid w:val="00A92277"/>
    <w:rsid w:val="00A92929"/>
    <w:rsid w:val="00A92F1E"/>
    <w:rsid w:val="00A93193"/>
    <w:rsid w:val="00A9361D"/>
    <w:rsid w:val="00A93D54"/>
    <w:rsid w:val="00A950CA"/>
    <w:rsid w:val="00A9583E"/>
    <w:rsid w:val="00A95BAB"/>
    <w:rsid w:val="00A962B5"/>
    <w:rsid w:val="00A96885"/>
    <w:rsid w:val="00A96B13"/>
    <w:rsid w:val="00A96F04"/>
    <w:rsid w:val="00A97576"/>
    <w:rsid w:val="00A978CB"/>
    <w:rsid w:val="00A97A4D"/>
    <w:rsid w:val="00A97A57"/>
    <w:rsid w:val="00AA0A3C"/>
    <w:rsid w:val="00AA11B7"/>
    <w:rsid w:val="00AA1E15"/>
    <w:rsid w:val="00AA21D0"/>
    <w:rsid w:val="00AA2310"/>
    <w:rsid w:val="00AA233A"/>
    <w:rsid w:val="00AA361C"/>
    <w:rsid w:val="00AA40C2"/>
    <w:rsid w:val="00AA47B4"/>
    <w:rsid w:val="00AA4871"/>
    <w:rsid w:val="00AA5E46"/>
    <w:rsid w:val="00AA68ED"/>
    <w:rsid w:val="00AA6A77"/>
    <w:rsid w:val="00AA6CEC"/>
    <w:rsid w:val="00AA6EC9"/>
    <w:rsid w:val="00AA7C17"/>
    <w:rsid w:val="00AB0688"/>
    <w:rsid w:val="00AB0F1D"/>
    <w:rsid w:val="00AB106C"/>
    <w:rsid w:val="00AB141B"/>
    <w:rsid w:val="00AB1556"/>
    <w:rsid w:val="00AB1BEF"/>
    <w:rsid w:val="00AB1CEC"/>
    <w:rsid w:val="00AB1DD5"/>
    <w:rsid w:val="00AB2443"/>
    <w:rsid w:val="00AB29C0"/>
    <w:rsid w:val="00AB2CB1"/>
    <w:rsid w:val="00AB3643"/>
    <w:rsid w:val="00AB45B7"/>
    <w:rsid w:val="00AB4B06"/>
    <w:rsid w:val="00AB5D81"/>
    <w:rsid w:val="00AB5EA0"/>
    <w:rsid w:val="00AB61E7"/>
    <w:rsid w:val="00AB6FBD"/>
    <w:rsid w:val="00AB7867"/>
    <w:rsid w:val="00AB7C29"/>
    <w:rsid w:val="00AB7ED1"/>
    <w:rsid w:val="00AC0B1E"/>
    <w:rsid w:val="00AC0BDB"/>
    <w:rsid w:val="00AC155E"/>
    <w:rsid w:val="00AC1AE3"/>
    <w:rsid w:val="00AC22E6"/>
    <w:rsid w:val="00AC2536"/>
    <w:rsid w:val="00AC4214"/>
    <w:rsid w:val="00AC4D27"/>
    <w:rsid w:val="00AC5C54"/>
    <w:rsid w:val="00AC5CD3"/>
    <w:rsid w:val="00AC6007"/>
    <w:rsid w:val="00AC653C"/>
    <w:rsid w:val="00AC67BD"/>
    <w:rsid w:val="00AC67E7"/>
    <w:rsid w:val="00AC7551"/>
    <w:rsid w:val="00AC7671"/>
    <w:rsid w:val="00AC7EC0"/>
    <w:rsid w:val="00AC7F54"/>
    <w:rsid w:val="00AD0ABF"/>
    <w:rsid w:val="00AD1460"/>
    <w:rsid w:val="00AD1F90"/>
    <w:rsid w:val="00AD24F9"/>
    <w:rsid w:val="00AD26C0"/>
    <w:rsid w:val="00AD28BB"/>
    <w:rsid w:val="00AD2CF4"/>
    <w:rsid w:val="00AD3AC0"/>
    <w:rsid w:val="00AD49A8"/>
    <w:rsid w:val="00AD49C8"/>
    <w:rsid w:val="00AD49E4"/>
    <w:rsid w:val="00AD58D4"/>
    <w:rsid w:val="00AD5E24"/>
    <w:rsid w:val="00AD65A0"/>
    <w:rsid w:val="00AD6927"/>
    <w:rsid w:val="00AD6E69"/>
    <w:rsid w:val="00AD717C"/>
    <w:rsid w:val="00AD757F"/>
    <w:rsid w:val="00AE14EF"/>
    <w:rsid w:val="00AE1585"/>
    <w:rsid w:val="00AE28DE"/>
    <w:rsid w:val="00AE2D56"/>
    <w:rsid w:val="00AE2F18"/>
    <w:rsid w:val="00AE36BB"/>
    <w:rsid w:val="00AE3C98"/>
    <w:rsid w:val="00AE4A14"/>
    <w:rsid w:val="00AE4C10"/>
    <w:rsid w:val="00AE4E65"/>
    <w:rsid w:val="00AE5947"/>
    <w:rsid w:val="00AE60AB"/>
    <w:rsid w:val="00AE6ECD"/>
    <w:rsid w:val="00AE70A3"/>
    <w:rsid w:val="00AE7204"/>
    <w:rsid w:val="00AE7414"/>
    <w:rsid w:val="00AF028E"/>
    <w:rsid w:val="00AF0A90"/>
    <w:rsid w:val="00AF0DAA"/>
    <w:rsid w:val="00AF12AD"/>
    <w:rsid w:val="00AF14BB"/>
    <w:rsid w:val="00AF1ABB"/>
    <w:rsid w:val="00AF2F3C"/>
    <w:rsid w:val="00AF30C4"/>
    <w:rsid w:val="00AF3D3C"/>
    <w:rsid w:val="00AF4700"/>
    <w:rsid w:val="00AF4D6F"/>
    <w:rsid w:val="00AF4E9D"/>
    <w:rsid w:val="00AF535E"/>
    <w:rsid w:val="00AF5497"/>
    <w:rsid w:val="00AF5A82"/>
    <w:rsid w:val="00AF6276"/>
    <w:rsid w:val="00AF67E8"/>
    <w:rsid w:val="00AF6AEA"/>
    <w:rsid w:val="00AF6B55"/>
    <w:rsid w:val="00AF6D61"/>
    <w:rsid w:val="00B00304"/>
    <w:rsid w:val="00B00591"/>
    <w:rsid w:val="00B00F7A"/>
    <w:rsid w:val="00B01816"/>
    <w:rsid w:val="00B02D3B"/>
    <w:rsid w:val="00B0370E"/>
    <w:rsid w:val="00B03987"/>
    <w:rsid w:val="00B03D81"/>
    <w:rsid w:val="00B03DED"/>
    <w:rsid w:val="00B04ABA"/>
    <w:rsid w:val="00B0540A"/>
    <w:rsid w:val="00B0621B"/>
    <w:rsid w:val="00B069D5"/>
    <w:rsid w:val="00B073C8"/>
    <w:rsid w:val="00B11E31"/>
    <w:rsid w:val="00B128B0"/>
    <w:rsid w:val="00B12967"/>
    <w:rsid w:val="00B12A02"/>
    <w:rsid w:val="00B13A65"/>
    <w:rsid w:val="00B13D95"/>
    <w:rsid w:val="00B14241"/>
    <w:rsid w:val="00B145A4"/>
    <w:rsid w:val="00B14725"/>
    <w:rsid w:val="00B14D48"/>
    <w:rsid w:val="00B15F4B"/>
    <w:rsid w:val="00B16798"/>
    <w:rsid w:val="00B169C5"/>
    <w:rsid w:val="00B16B51"/>
    <w:rsid w:val="00B1750E"/>
    <w:rsid w:val="00B17B11"/>
    <w:rsid w:val="00B17F15"/>
    <w:rsid w:val="00B2012F"/>
    <w:rsid w:val="00B203F3"/>
    <w:rsid w:val="00B20BE7"/>
    <w:rsid w:val="00B21018"/>
    <w:rsid w:val="00B219A5"/>
    <w:rsid w:val="00B21D09"/>
    <w:rsid w:val="00B23485"/>
    <w:rsid w:val="00B23940"/>
    <w:rsid w:val="00B23DCD"/>
    <w:rsid w:val="00B24C88"/>
    <w:rsid w:val="00B2572C"/>
    <w:rsid w:val="00B25B9A"/>
    <w:rsid w:val="00B25CA3"/>
    <w:rsid w:val="00B263CD"/>
    <w:rsid w:val="00B26891"/>
    <w:rsid w:val="00B26AF5"/>
    <w:rsid w:val="00B26C3A"/>
    <w:rsid w:val="00B26C68"/>
    <w:rsid w:val="00B26D72"/>
    <w:rsid w:val="00B2798D"/>
    <w:rsid w:val="00B279BE"/>
    <w:rsid w:val="00B27C4C"/>
    <w:rsid w:val="00B30343"/>
    <w:rsid w:val="00B303B2"/>
    <w:rsid w:val="00B30B53"/>
    <w:rsid w:val="00B30F88"/>
    <w:rsid w:val="00B30FAD"/>
    <w:rsid w:val="00B3110D"/>
    <w:rsid w:val="00B31195"/>
    <w:rsid w:val="00B311DB"/>
    <w:rsid w:val="00B31A47"/>
    <w:rsid w:val="00B32399"/>
    <w:rsid w:val="00B32B83"/>
    <w:rsid w:val="00B32DE8"/>
    <w:rsid w:val="00B336A4"/>
    <w:rsid w:val="00B33847"/>
    <w:rsid w:val="00B34096"/>
    <w:rsid w:val="00B34298"/>
    <w:rsid w:val="00B343D1"/>
    <w:rsid w:val="00B34621"/>
    <w:rsid w:val="00B34C7E"/>
    <w:rsid w:val="00B34D18"/>
    <w:rsid w:val="00B35182"/>
    <w:rsid w:val="00B36077"/>
    <w:rsid w:val="00B36A0A"/>
    <w:rsid w:val="00B36A25"/>
    <w:rsid w:val="00B36B10"/>
    <w:rsid w:val="00B36C97"/>
    <w:rsid w:val="00B37574"/>
    <w:rsid w:val="00B409A1"/>
    <w:rsid w:val="00B41EF0"/>
    <w:rsid w:val="00B4263D"/>
    <w:rsid w:val="00B42711"/>
    <w:rsid w:val="00B42A44"/>
    <w:rsid w:val="00B42EEE"/>
    <w:rsid w:val="00B43BA8"/>
    <w:rsid w:val="00B445A9"/>
    <w:rsid w:val="00B447A4"/>
    <w:rsid w:val="00B447B5"/>
    <w:rsid w:val="00B449DD"/>
    <w:rsid w:val="00B45486"/>
    <w:rsid w:val="00B45565"/>
    <w:rsid w:val="00B457D6"/>
    <w:rsid w:val="00B45F03"/>
    <w:rsid w:val="00B478FE"/>
    <w:rsid w:val="00B47EC1"/>
    <w:rsid w:val="00B50AB5"/>
    <w:rsid w:val="00B50E4D"/>
    <w:rsid w:val="00B51196"/>
    <w:rsid w:val="00B51A02"/>
    <w:rsid w:val="00B5204C"/>
    <w:rsid w:val="00B52F7F"/>
    <w:rsid w:val="00B53366"/>
    <w:rsid w:val="00B533EF"/>
    <w:rsid w:val="00B536B2"/>
    <w:rsid w:val="00B541CE"/>
    <w:rsid w:val="00B55C1E"/>
    <w:rsid w:val="00B56759"/>
    <w:rsid w:val="00B56A98"/>
    <w:rsid w:val="00B57002"/>
    <w:rsid w:val="00B57643"/>
    <w:rsid w:val="00B579E6"/>
    <w:rsid w:val="00B57CD0"/>
    <w:rsid w:val="00B57F73"/>
    <w:rsid w:val="00B606CD"/>
    <w:rsid w:val="00B60D3C"/>
    <w:rsid w:val="00B61509"/>
    <w:rsid w:val="00B6176E"/>
    <w:rsid w:val="00B6245F"/>
    <w:rsid w:val="00B628D3"/>
    <w:rsid w:val="00B628EE"/>
    <w:rsid w:val="00B63DE9"/>
    <w:rsid w:val="00B6422E"/>
    <w:rsid w:val="00B649DA"/>
    <w:rsid w:val="00B64E10"/>
    <w:rsid w:val="00B66F70"/>
    <w:rsid w:val="00B671A8"/>
    <w:rsid w:val="00B6755E"/>
    <w:rsid w:val="00B700F3"/>
    <w:rsid w:val="00B71854"/>
    <w:rsid w:val="00B719C0"/>
    <w:rsid w:val="00B71B6C"/>
    <w:rsid w:val="00B71B7D"/>
    <w:rsid w:val="00B71E24"/>
    <w:rsid w:val="00B7259C"/>
    <w:rsid w:val="00B73107"/>
    <w:rsid w:val="00B7392A"/>
    <w:rsid w:val="00B73A60"/>
    <w:rsid w:val="00B73B61"/>
    <w:rsid w:val="00B74E15"/>
    <w:rsid w:val="00B75B5B"/>
    <w:rsid w:val="00B75F12"/>
    <w:rsid w:val="00B76C28"/>
    <w:rsid w:val="00B7723A"/>
    <w:rsid w:val="00B777DF"/>
    <w:rsid w:val="00B77CBA"/>
    <w:rsid w:val="00B77D9A"/>
    <w:rsid w:val="00B80060"/>
    <w:rsid w:val="00B80D03"/>
    <w:rsid w:val="00B81A20"/>
    <w:rsid w:val="00B82F85"/>
    <w:rsid w:val="00B83118"/>
    <w:rsid w:val="00B8356B"/>
    <w:rsid w:val="00B84A28"/>
    <w:rsid w:val="00B85287"/>
    <w:rsid w:val="00B85693"/>
    <w:rsid w:val="00B8582C"/>
    <w:rsid w:val="00B863DC"/>
    <w:rsid w:val="00B8663E"/>
    <w:rsid w:val="00B86ADC"/>
    <w:rsid w:val="00B86E93"/>
    <w:rsid w:val="00B87B37"/>
    <w:rsid w:val="00B87BEA"/>
    <w:rsid w:val="00B906C1"/>
    <w:rsid w:val="00B920BE"/>
    <w:rsid w:val="00B92592"/>
    <w:rsid w:val="00B926E1"/>
    <w:rsid w:val="00B92A79"/>
    <w:rsid w:val="00B93062"/>
    <w:rsid w:val="00B93E0D"/>
    <w:rsid w:val="00B945CC"/>
    <w:rsid w:val="00B94DAA"/>
    <w:rsid w:val="00B94DBA"/>
    <w:rsid w:val="00B961CF"/>
    <w:rsid w:val="00B965C0"/>
    <w:rsid w:val="00B9669B"/>
    <w:rsid w:val="00B966E7"/>
    <w:rsid w:val="00B96798"/>
    <w:rsid w:val="00B97087"/>
    <w:rsid w:val="00B970B3"/>
    <w:rsid w:val="00B97229"/>
    <w:rsid w:val="00B97669"/>
    <w:rsid w:val="00BA057D"/>
    <w:rsid w:val="00BA1597"/>
    <w:rsid w:val="00BA1A6A"/>
    <w:rsid w:val="00BA217F"/>
    <w:rsid w:val="00BA237D"/>
    <w:rsid w:val="00BA2C96"/>
    <w:rsid w:val="00BA3AE7"/>
    <w:rsid w:val="00BA3B8F"/>
    <w:rsid w:val="00BA44FA"/>
    <w:rsid w:val="00BA4531"/>
    <w:rsid w:val="00BA482E"/>
    <w:rsid w:val="00BA560B"/>
    <w:rsid w:val="00BA590F"/>
    <w:rsid w:val="00BA6049"/>
    <w:rsid w:val="00BA7C8D"/>
    <w:rsid w:val="00BB011C"/>
    <w:rsid w:val="00BB0B12"/>
    <w:rsid w:val="00BB0CD2"/>
    <w:rsid w:val="00BB1720"/>
    <w:rsid w:val="00BB3C64"/>
    <w:rsid w:val="00BB47BB"/>
    <w:rsid w:val="00BB5125"/>
    <w:rsid w:val="00BB5323"/>
    <w:rsid w:val="00BB5710"/>
    <w:rsid w:val="00BB5966"/>
    <w:rsid w:val="00BB5975"/>
    <w:rsid w:val="00BB7736"/>
    <w:rsid w:val="00BB7C7B"/>
    <w:rsid w:val="00BB7CE5"/>
    <w:rsid w:val="00BC05A8"/>
    <w:rsid w:val="00BC072C"/>
    <w:rsid w:val="00BC0C1A"/>
    <w:rsid w:val="00BC12FE"/>
    <w:rsid w:val="00BC42B8"/>
    <w:rsid w:val="00BC43FC"/>
    <w:rsid w:val="00BC48F2"/>
    <w:rsid w:val="00BC52CE"/>
    <w:rsid w:val="00BC5DCB"/>
    <w:rsid w:val="00BC6E55"/>
    <w:rsid w:val="00BC70BA"/>
    <w:rsid w:val="00BC7A5B"/>
    <w:rsid w:val="00BC7AC4"/>
    <w:rsid w:val="00BC7E9B"/>
    <w:rsid w:val="00BD059F"/>
    <w:rsid w:val="00BD0944"/>
    <w:rsid w:val="00BD09E9"/>
    <w:rsid w:val="00BD2635"/>
    <w:rsid w:val="00BD38FC"/>
    <w:rsid w:val="00BD440B"/>
    <w:rsid w:val="00BD4F2F"/>
    <w:rsid w:val="00BD52E8"/>
    <w:rsid w:val="00BD5383"/>
    <w:rsid w:val="00BD54C2"/>
    <w:rsid w:val="00BD5CF4"/>
    <w:rsid w:val="00BD62D7"/>
    <w:rsid w:val="00BE0623"/>
    <w:rsid w:val="00BE0840"/>
    <w:rsid w:val="00BE0861"/>
    <w:rsid w:val="00BE0D88"/>
    <w:rsid w:val="00BE1C98"/>
    <w:rsid w:val="00BE1CB9"/>
    <w:rsid w:val="00BE2321"/>
    <w:rsid w:val="00BE2390"/>
    <w:rsid w:val="00BE256E"/>
    <w:rsid w:val="00BE27BA"/>
    <w:rsid w:val="00BE27D8"/>
    <w:rsid w:val="00BE28D7"/>
    <w:rsid w:val="00BE32BE"/>
    <w:rsid w:val="00BE38E5"/>
    <w:rsid w:val="00BE3E23"/>
    <w:rsid w:val="00BE3E5B"/>
    <w:rsid w:val="00BE5129"/>
    <w:rsid w:val="00BE660C"/>
    <w:rsid w:val="00BE6EA0"/>
    <w:rsid w:val="00BE726F"/>
    <w:rsid w:val="00BE735F"/>
    <w:rsid w:val="00BE7A03"/>
    <w:rsid w:val="00BE7CED"/>
    <w:rsid w:val="00BE7EE6"/>
    <w:rsid w:val="00BF01FF"/>
    <w:rsid w:val="00BF035B"/>
    <w:rsid w:val="00BF0623"/>
    <w:rsid w:val="00BF2F49"/>
    <w:rsid w:val="00BF3609"/>
    <w:rsid w:val="00BF486C"/>
    <w:rsid w:val="00BF59A8"/>
    <w:rsid w:val="00BF5B67"/>
    <w:rsid w:val="00BF640F"/>
    <w:rsid w:val="00BF69EC"/>
    <w:rsid w:val="00BF709B"/>
    <w:rsid w:val="00BF7DC8"/>
    <w:rsid w:val="00C00051"/>
    <w:rsid w:val="00C00B9A"/>
    <w:rsid w:val="00C00FE5"/>
    <w:rsid w:val="00C01068"/>
    <w:rsid w:val="00C01ACC"/>
    <w:rsid w:val="00C0291D"/>
    <w:rsid w:val="00C03AF8"/>
    <w:rsid w:val="00C0433F"/>
    <w:rsid w:val="00C05E7B"/>
    <w:rsid w:val="00C06932"/>
    <w:rsid w:val="00C069B0"/>
    <w:rsid w:val="00C1045A"/>
    <w:rsid w:val="00C10776"/>
    <w:rsid w:val="00C10AAC"/>
    <w:rsid w:val="00C10B51"/>
    <w:rsid w:val="00C1126B"/>
    <w:rsid w:val="00C11555"/>
    <w:rsid w:val="00C1155B"/>
    <w:rsid w:val="00C118EE"/>
    <w:rsid w:val="00C119C5"/>
    <w:rsid w:val="00C11D3A"/>
    <w:rsid w:val="00C12069"/>
    <w:rsid w:val="00C12134"/>
    <w:rsid w:val="00C1266D"/>
    <w:rsid w:val="00C12897"/>
    <w:rsid w:val="00C12AAA"/>
    <w:rsid w:val="00C13446"/>
    <w:rsid w:val="00C13C17"/>
    <w:rsid w:val="00C14D93"/>
    <w:rsid w:val="00C158CA"/>
    <w:rsid w:val="00C15CDB"/>
    <w:rsid w:val="00C163F7"/>
    <w:rsid w:val="00C17538"/>
    <w:rsid w:val="00C179C9"/>
    <w:rsid w:val="00C179FB"/>
    <w:rsid w:val="00C17C38"/>
    <w:rsid w:val="00C203BC"/>
    <w:rsid w:val="00C20A2F"/>
    <w:rsid w:val="00C21CF0"/>
    <w:rsid w:val="00C22A49"/>
    <w:rsid w:val="00C231AF"/>
    <w:rsid w:val="00C238F9"/>
    <w:rsid w:val="00C24331"/>
    <w:rsid w:val="00C25175"/>
    <w:rsid w:val="00C263F6"/>
    <w:rsid w:val="00C2640C"/>
    <w:rsid w:val="00C2678D"/>
    <w:rsid w:val="00C26EB9"/>
    <w:rsid w:val="00C2728C"/>
    <w:rsid w:val="00C27BF7"/>
    <w:rsid w:val="00C27C57"/>
    <w:rsid w:val="00C30728"/>
    <w:rsid w:val="00C30B1B"/>
    <w:rsid w:val="00C31B15"/>
    <w:rsid w:val="00C31C9C"/>
    <w:rsid w:val="00C32FFE"/>
    <w:rsid w:val="00C330B9"/>
    <w:rsid w:val="00C33D5F"/>
    <w:rsid w:val="00C33DE9"/>
    <w:rsid w:val="00C343F9"/>
    <w:rsid w:val="00C35C5C"/>
    <w:rsid w:val="00C3631B"/>
    <w:rsid w:val="00C373A9"/>
    <w:rsid w:val="00C37914"/>
    <w:rsid w:val="00C37CC8"/>
    <w:rsid w:val="00C37ECE"/>
    <w:rsid w:val="00C40293"/>
    <w:rsid w:val="00C41198"/>
    <w:rsid w:val="00C420DD"/>
    <w:rsid w:val="00C44971"/>
    <w:rsid w:val="00C44A0E"/>
    <w:rsid w:val="00C44BE9"/>
    <w:rsid w:val="00C45450"/>
    <w:rsid w:val="00C4561A"/>
    <w:rsid w:val="00C45B4F"/>
    <w:rsid w:val="00C46957"/>
    <w:rsid w:val="00C46E18"/>
    <w:rsid w:val="00C5034A"/>
    <w:rsid w:val="00C512B2"/>
    <w:rsid w:val="00C5139D"/>
    <w:rsid w:val="00C51476"/>
    <w:rsid w:val="00C51C48"/>
    <w:rsid w:val="00C5213C"/>
    <w:rsid w:val="00C52412"/>
    <w:rsid w:val="00C52777"/>
    <w:rsid w:val="00C52855"/>
    <w:rsid w:val="00C52CEB"/>
    <w:rsid w:val="00C53189"/>
    <w:rsid w:val="00C53432"/>
    <w:rsid w:val="00C53D35"/>
    <w:rsid w:val="00C54296"/>
    <w:rsid w:val="00C5433D"/>
    <w:rsid w:val="00C54ECA"/>
    <w:rsid w:val="00C5534F"/>
    <w:rsid w:val="00C55451"/>
    <w:rsid w:val="00C5587D"/>
    <w:rsid w:val="00C55DC2"/>
    <w:rsid w:val="00C567EE"/>
    <w:rsid w:val="00C568D3"/>
    <w:rsid w:val="00C569BD"/>
    <w:rsid w:val="00C5767F"/>
    <w:rsid w:val="00C5785D"/>
    <w:rsid w:val="00C60BE4"/>
    <w:rsid w:val="00C60C91"/>
    <w:rsid w:val="00C611E2"/>
    <w:rsid w:val="00C618C5"/>
    <w:rsid w:val="00C61B87"/>
    <w:rsid w:val="00C620CB"/>
    <w:rsid w:val="00C6251A"/>
    <w:rsid w:val="00C62D18"/>
    <w:rsid w:val="00C63B0C"/>
    <w:rsid w:val="00C63BDB"/>
    <w:rsid w:val="00C64F3C"/>
    <w:rsid w:val="00C6581B"/>
    <w:rsid w:val="00C65AFF"/>
    <w:rsid w:val="00C65F56"/>
    <w:rsid w:val="00C67015"/>
    <w:rsid w:val="00C67A9E"/>
    <w:rsid w:val="00C67C90"/>
    <w:rsid w:val="00C7043A"/>
    <w:rsid w:val="00C70949"/>
    <w:rsid w:val="00C70F67"/>
    <w:rsid w:val="00C71B75"/>
    <w:rsid w:val="00C71E99"/>
    <w:rsid w:val="00C7229C"/>
    <w:rsid w:val="00C72502"/>
    <w:rsid w:val="00C72D7B"/>
    <w:rsid w:val="00C72EDB"/>
    <w:rsid w:val="00C73BD4"/>
    <w:rsid w:val="00C73CF0"/>
    <w:rsid w:val="00C73F2C"/>
    <w:rsid w:val="00C7404D"/>
    <w:rsid w:val="00C74CF1"/>
    <w:rsid w:val="00C7551A"/>
    <w:rsid w:val="00C76053"/>
    <w:rsid w:val="00C765FA"/>
    <w:rsid w:val="00C767EF"/>
    <w:rsid w:val="00C76CEA"/>
    <w:rsid w:val="00C77721"/>
    <w:rsid w:val="00C77AD5"/>
    <w:rsid w:val="00C77C96"/>
    <w:rsid w:val="00C77CB6"/>
    <w:rsid w:val="00C77F53"/>
    <w:rsid w:val="00C800FC"/>
    <w:rsid w:val="00C80833"/>
    <w:rsid w:val="00C8122B"/>
    <w:rsid w:val="00C8141B"/>
    <w:rsid w:val="00C81BAC"/>
    <w:rsid w:val="00C81CE3"/>
    <w:rsid w:val="00C82106"/>
    <w:rsid w:val="00C823B0"/>
    <w:rsid w:val="00C82844"/>
    <w:rsid w:val="00C82AC6"/>
    <w:rsid w:val="00C83588"/>
    <w:rsid w:val="00C838CB"/>
    <w:rsid w:val="00C83C5A"/>
    <w:rsid w:val="00C845F7"/>
    <w:rsid w:val="00C848DC"/>
    <w:rsid w:val="00C84BB2"/>
    <w:rsid w:val="00C84C69"/>
    <w:rsid w:val="00C84D62"/>
    <w:rsid w:val="00C84D84"/>
    <w:rsid w:val="00C85512"/>
    <w:rsid w:val="00C86C05"/>
    <w:rsid w:val="00C8702D"/>
    <w:rsid w:val="00C871C6"/>
    <w:rsid w:val="00C87E60"/>
    <w:rsid w:val="00C87FDE"/>
    <w:rsid w:val="00C909B1"/>
    <w:rsid w:val="00C90D8C"/>
    <w:rsid w:val="00C90E3D"/>
    <w:rsid w:val="00C91285"/>
    <w:rsid w:val="00C91548"/>
    <w:rsid w:val="00C91778"/>
    <w:rsid w:val="00C91EE1"/>
    <w:rsid w:val="00C92594"/>
    <w:rsid w:val="00C92B95"/>
    <w:rsid w:val="00C92CB3"/>
    <w:rsid w:val="00C93056"/>
    <w:rsid w:val="00C931DE"/>
    <w:rsid w:val="00C932FB"/>
    <w:rsid w:val="00C94041"/>
    <w:rsid w:val="00C941AE"/>
    <w:rsid w:val="00C9482C"/>
    <w:rsid w:val="00C9486F"/>
    <w:rsid w:val="00C94BA8"/>
    <w:rsid w:val="00C961DA"/>
    <w:rsid w:val="00C96307"/>
    <w:rsid w:val="00C965FE"/>
    <w:rsid w:val="00C96CB0"/>
    <w:rsid w:val="00C96E41"/>
    <w:rsid w:val="00C96E55"/>
    <w:rsid w:val="00C96F72"/>
    <w:rsid w:val="00CA03A6"/>
    <w:rsid w:val="00CA0B14"/>
    <w:rsid w:val="00CA0DA7"/>
    <w:rsid w:val="00CA0F5D"/>
    <w:rsid w:val="00CA104B"/>
    <w:rsid w:val="00CA1059"/>
    <w:rsid w:val="00CA1B0E"/>
    <w:rsid w:val="00CA1D84"/>
    <w:rsid w:val="00CA2BBA"/>
    <w:rsid w:val="00CA2C9F"/>
    <w:rsid w:val="00CA2D93"/>
    <w:rsid w:val="00CA3868"/>
    <w:rsid w:val="00CA41AF"/>
    <w:rsid w:val="00CA428B"/>
    <w:rsid w:val="00CA4734"/>
    <w:rsid w:val="00CA478E"/>
    <w:rsid w:val="00CA50B3"/>
    <w:rsid w:val="00CA699A"/>
    <w:rsid w:val="00CA7A47"/>
    <w:rsid w:val="00CA7C38"/>
    <w:rsid w:val="00CB0458"/>
    <w:rsid w:val="00CB0CF5"/>
    <w:rsid w:val="00CB1004"/>
    <w:rsid w:val="00CB14E9"/>
    <w:rsid w:val="00CB156D"/>
    <w:rsid w:val="00CB1905"/>
    <w:rsid w:val="00CB1FB2"/>
    <w:rsid w:val="00CB208E"/>
    <w:rsid w:val="00CB287C"/>
    <w:rsid w:val="00CB339C"/>
    <w:rsid w:val="00CB39FC"/>
    <w:rsid w:val="00CB3E22"/>
    <w:rsid w:val="00CB45D3"/>
    <w:rsid w:val="00CB5872"/>
    <w:rsid w:val="00CB65F9"/>
    <w:rsid w:val="00CB690F"/>
    <w:rsid w:val="00CB6B68"/>
    <w:rsid w:val="00CB7731"/>
    <w:rsid w:val="00CC03B0"/>
    <w:rsid w:val="00CC0422"/>
    <w:rsid w:val="00CC05E4"/>
    <w:rsid w:val="00CC0D0C"/>
    <w:rsid w:val="00CC1109"/>
    <w:rsid w:val="00CC1DE3"/>
    <w:rsid w:val="00CC2047"/>
    <w:rsid w:val="00CC2F5C"/>
    <w:rsid w:val="00CC3072"/>
    <w:rsid w:val="00CC30F8"/>
    <w:rsid w:val="00CC4124"/>
    <w:rsid w:val="00CC41B1"/>
    <w:rsid w:val="00CC4573"/>
    <w:rsid w:val="00CC4BDE"/>
    <w:rsid w:val="00CC4F63"/>
    <w:rsid w:val="00CC5166"/>
    <w:rsid w:val="00CC5170"/>
    <w:rsid w:val="00CC59C0"/>
    <w:rsid w:val="00CC748F"/>
    <w:rsid w:val="00CC79DA"/>
    <w:rsid w:val="00CD167A"/>
    <w:rsid w:val="00CD1973"/>
    <w:rsid w:val="00CD1A9F"/>
    <w:rsid w:val="00CD1E79"/>
    <w:rsid w:val="00CD2258"/>
    <w:rsid w:val="00CD2D4D"/>
    <w:rsid w:val="00CD3222"/>
    <w:rsid w:val="00CD334E"/>
    <w:rsid w:val="00CD358E"/>
    <w:rsid w:val="00CD3EE2"/>
    <w:rsid w:val="00CD4082"/>
    <w:rsid w:val="00CD4236"/>
    <w:rsid w:val="00CD4DE5"/>
    <w:rsid w:val="00CD4E2A"/>
    <w:rsid w:val="00CD4E6E"/>
    <w:rsid w:val="00CD50C2"/>
    <w:rsid w:val="00CD5A98"/>
    <w:rsid w:val="00CD5F5A"/>
    <w:rsid w:val="00CD7161"/>
    <w:rsid w:val="00CD76A3"/>
    <w:rsid w:val="00CD7CB1"/>
    <w:rsid w:val="00CD7DB6"/>
    <w:rsid w:val="00CE0EAE"/>
    <w:rsid w:val="00CE1672"/>
    <w:rsid w:val="00CE18AF"/>
    <w:rsid w:val="00CE1A13"/>
    <w:rsid w:val="00CE1B61"/>
    <w:rsid w:val="00CE1E4D"/>
    <w:rsid w:val="00CE25CB"/>
    <w:rsid w:val="00CE2998"/>
    <w:rsid w:val="00CE42C1"/>
    <w:rsid w:val="00CE4828"/>
    <w:rsid w:val="00CE4E50"/>
    <w:rsid w:val="00CE5A28"/>
    <w:rsid w:val="00CE669E"/>
    <w:rsid w:val="00CE6882"/>
    <w:rsid w:val="00CE6FB2"/>
    <w:rsid w:val="00CE6FBC"/>
    <w:rsid w:val="00CE7387"/>
    <w:rsid w:val="00CE774F"/>
    <w:rsid w:val="00CE792C"/>
    <w:rsid w:val="00CF1962"/>
    <w:rsid w:val="00CF1B4A"/>
    <w:rsid w:val="00CF1B99"/>
    <w:rsid w:val="00CF1DD9"/>
    <w:rsid w:val="00CF20DD"/>
    <w:rsid w:val="00CF257A"/>
    <w:rsid w:val="00CF3607"/>
    <w:rsid w:val="00CF3BC4"/>
    <w:rsid w:val="00CF4321"/>
    <w:rsid w:val="00CF452A"/>
    <w:rsid w:val="00CF4579"/>
    <w:rsid w:val="00CF45DA"/>
    <w:rsid w:val="00CF567C"/>
    <w:rsid w:val="00CF57E2"/>
    <w:rsid w:val="00CF5BA2"/>
    <w:rsid w:val="00CF5C3D"/>
    <w:rsid w:val="00CF64C4"/>
    <w:rsid w:val="00CF7425"/>
    <w:rsid w:val="00CF793C"/>
    <w:rsid w:val="00CF7FC5"/>
    <w:rsid w:val="00D00383"/>
    <w:rsid w:val="00D00885"/>
    <w:rsid w:val="00D02031"/>
    <w:rsid w:val="00D02182"/>
    <w:rsid w:val="00D0228D"/>
    <w:rsid w:val="00D02335"/>
    <w:rsid w:val="00D02572"/>
    <w:rsid w:val="00D02B00"/>
    <w:rsid w:val="00D03B10"/>
    <w:rsid w:val="00D0423E"/>
    <w:rsid w:val="00D04833"/>
    <w:rsid w:val="00D04D1D"/>
    <w:rsid w:val="00D04EDF"/>
    <w:rsid w:val="00D04FC2"/>
    <w:rsid w:val="00D054E8"/>
    <w:rsid w:val="00D056E8"/>
    <w:rsid w:val="00D05CF6"/>
    <w:rsid w:val="00D05D2A"/>
    <w:rsid w:val="00D06CC8"/>
    <w:rsid w:val="00D06F13"/>
    <w:rsid w:val="00D07DFE"/>
    <w:rsid w:val="00D100CE"/>
    <w:rsid w:val="00D101E5"/>
    <w:rsid w:val="00D10DCE"/>
    <w:rsid w:val="00D10FF6"/>
    <w:rsid w:val="00D11D84"/>
    <w:rsid w:val="00D12962"/>
    <w:rsid w:val="00D12CF9"/>
    <w:rsid w:val="00D1394E"/>
    <w:rsid w:val="00D14173"/>
    <w:rsid w:val="00D141F0"/>
    <w:rsid w:val="00D1436F"/>
    <w:rsid w:val="00D14457"/>
    <w:rsid w:val="00D1532C"/>
    <w:rsid w:val="00D15A75"/>
    <w:rsid w:val="00D164DC"/>
    <w:rsid w:val="00D17264"/>
    <w:rsid w:val="00D1742E"/>
    <w:rsid w:val="00D1752A"/>
    <w:rsid w:val="00D20398"/>
    <w:rsid w:val="00D203DC"/>
    <w:rsid w:val="00D2081D"/>
    <w:rsid w:val="00D217B6"/>
    <w:rsid w:val="00D22C56"/>
    <w:rsid w:val="00D230C1"/>
    <w:rsid w:val="00D23566"/>
    <w:rsid w:val="00D23AB5"/>
    <w:rsid w:val="00D23F72"/>
    <w:rsid w:val="00D2534E"/>
    <w:rsid w:val="00D25561"/>
    <w:rsid w:val="00D25928"/>
    <w:rsid w:val="00D26785"/>
    <w:rsid w:val="00D2724A"/>
    <w:rsid w:val="00D27CA2"/>
    <w:rsid w:val="00D31B84"/>
    <w:rsid w:val="00D31F77"/>
    <w:rsid w:val="00D323FB"/>
    <w:rsid w:val="00D327E0"/>
    <w:rsid w:val="00D32A44"/>
    <w:rsid w:val="00D32B1B"/>
    <w:rsid w:val="00D32C57"/>
    <w:rsid w:val="00D33834"/>
    <w:rsid w:val="00D344B7"/>
    <w:rsid w:val="00D34B46"/>
    <w:rsid w:val="00D3584D"/>
    <w:rsid w:val="00D36409"/>
    <w:rsid w:val="00D36A38"/>
    <w:rsid w:val="00D373CB"/>
    <w:rsid w:val="00D37568"/>
    <w:rsid w:val="00D37DDC"/>
    <w:rsid w:val="00D41074"/>
    <w:rsid w:val="00D413E8"/>
    <w:rsid w:val="00D4235B"/>
    <w:rsid w:val="00D424A7"/>
    <w:rsid w:val="00D43A80"/>
    <w:rsid w:val="00D43EC7"/>
    <w:rsid w:val="00D44116"/>
    <w:rsid w:val="00D441E9"/>
    <w:rsid w:val="00D44311"/>
    <w:rsid w:val="00D447DC"/>
    <w:rsid w:val="00D44C31"/>
    <w:rsid w:val="00D44D87"/>
    <w:rsid w:val="00D45E4D"/>
    <w:rsid w:val="00D45EBF"/>
    <w:rsid w:val="00D46261"/>
    <w:rsid w:val="00D46490"/>
    <w:rsid w:val="00D46C71"/>
    <w:rsid w:val="00D46C7E"/>
    <w:rsid w:val="00D47136"/>
    <w:rsid w:val="00D4730A"/>
    <w:rsid w:val="00D47BCA"/>
    <w:rsid w:val="00D47DB9"/>
    <w:rsid w:val="00D47E67"/>
    <w:rsid w:val="00D50008"/>
    <w:rsid w:val="00D50B14"/>
    <w:rsid w:val="00D518A6"/>
    <w:rsid w:val="00D51C93"/>
    <w:rsid w:val="00D51E48"/>
    <w:rsid w:val="00D52320"/>
    <w:rsid w:val="00D52C02"/>
    <w:rsid w:val="00D52D13"/>
    <w:rsid w:val="00D53B6F"/>
    <w:rsid w:val="00D548D0"/>
    <w:rsid w:val="00D556A0"/>
    <w:rsid w:val="00D5583A"/>
    <w:rsid w:val="00D564F6"/>
    <w:rsid w:val="00D572E4"/>
    <w:rsid w:val="00D5745B"/>
    <w:rsid w:val="00D57775"/>
    <w:rsid w:val="00D57E69"/>
    <w:rsid w:val="00D60518"/>
    <w:rsid w:val="00D60B86"/>
    <w:rsid w:val="00D60CA8"/>
    <w:rsid w:val="00D624AC"/>
    <w:rsid w:val="00D62900"/>
    <w:rsid w:val="00D62E43"/>
    <w:rsid w:val="00D63140"/>
    <w:rsid w:val="00D6392D"/>
    <w:rsid w:val="00D640C0"/>
    <w:rsid w:val="00D643AD"/>
    <w:rsid w:val="00D652C5"/>
    <w:rsid w:val="00D65D4F"/>
    <w:rsid w:val="00D66B22"/>
    <w:rsid w:val="00D66D42"/>
    <w:rsid w:val="00D66FF1"/>
    <w:rsid w:val="00D67D75"/>
    <w:rsid w:val="00D708C4"/>
    <w:rsid w:val="00D70F02"/>
    <w:rsid w:val="00D71DBF"/>
    <w:rsid w:val="00D71E33"/>
    <w:rsid w:val="00D7237E"/>
    <w:rsid w:val="00D7259A"/>
    <w:rsid w:val="00D727B0"/>
    <w:rsid w:val="00D72E7F"/>
    <w:rsid w:val="00D73EDC"/>
    <w:rsid w:val="00D74599"/>
    <w:rsid w:val="00D74A07"/>
    <w:rsid w:val="00D74C81"/>
    <w:rsid w:val="00D7649B"/>
    <w:rsid w:val="00D769DC"/>
    <w:rsid w:val="00D76A36"/>
    <w:rsid w:val="00D80592"/>
    <w:rsid w:val="00D80A02"/>
    <w:rsid w:val="00D80E38"/>
    <w:rsid w:val="00D81317"/>
    <w:rsid w:val="00D81A92"/>
    <w:rsid w:val="00D820A4"/>
    <w:rsid w:val="00D82141"/>
    <w:rsid w:val="00D83938"/>
    <w:rsid w:val="00D847B9"/>
    <w:rsid w:val="00D84891"/>
    <w:rsid w:val="00D84CB5"/>
    <w:rsid w:val="00D84D86"/>
    <w:rsid w:val="00D85E33"/>
    <w:rsid w:val="00D85EC2"/>
    <w:rsid w:val="00D86571"/>
    <w:rsid w:val="00D8690C"/>
    <w:rsid w:val="00D87D2F"/>
    <w:rsid w:val="00D87F53"/>
    <w:rsid w:val="00D90321"/>
    <w:rsid w:val="00D90572"/>
    <w:rsid w:val="00D91DE7"/>
    <w:rsid w:val="00D925A0"/>
    <w:rsid w:val="00D938CD"/>
    <w:rsid w:val="00D93F61"/>
    <w:rsid w:val="00D94034"/>
    <w:rsid w:val="00D94651"/>
    <w:rsid w:val="00D950F4"/>
    <w:rsid w:val="00D95178"/>
    <w:rsid w:val="00D95253"/>
    <w:rsid w:val="00D96A54"/>
    <w:rsid w:val="00D96B27"/>
    <w:rsid w:val="00D96D9F"/>
    <w:rsid w:val="00D9735F"/>
    <w:rsid w:val="00D97578"/>
    <w:rsid w:val="00D9774D"/>
    <w:rsid w:val="00D97DC0"/>
    <w:rsid w:val="00D97EB7"/>
    <w:rsid w:val="00D97EF6"/>
    <w:rsid w:val="00DA0299"/>
    <w:rsid w:val="00DA0964"/>
    <w:rsid w:val="00DA0B49"/>
    <w:rsid w:val="00DA0FF2"/>
    <w:rsid w:val="00DA1602"/>
    <w:rsid w:val="00DA17CB"/>
    <w:rsid w:val="00DA1E19"/>
    <w:rsid w:val="00DA3007"/>
    <w:rsid w:val="00DA3116"/>
    <w:rsid w:val="00DA3632"/>
    <w:rsid w:val="00DA36BF"/>
    <w:rsid w:val="00DA43A7"/>
    <w:rsid w:val="00DA4CC8"/>
    <w:rsid w:val="00DA4E29"/>
    <w:rsid w:val="00DA4E3D"/>
    <w:rsid w:val="00DA4E9A"/>
    <w:rsid w:val="00DA53E2"/>
    <w:rsid w:val="00DA560F"/>
    <w:rsid w:val="00DA5C4E"/>
    <w:rsid w:val="00DA5CEF"/>
    <w:rsid w:val="00DA600F"/>
    <w:rsid w:val="00DA6117"/>
    <w:rsid w:val="00DA753C"/>
    <w:rsid w:val="00DA771F"/>
    <w:rsid w:val="00DA78C1"/>
    <w:rsid w:val="00DA7904"/>
    <w:rsid w:val="00DA7E96"/>
    <w:rsid w:val="00DB0A0C"/>
    <w:rsid w:val="00DB1499"/>
    <w:rsid w:val="00DB1A8F"/>
    <w:rsid w:val="00DB34D5"/>
    <w:rsid w:val="00DB3659"/>
    <w:rsid w:val="00DB436A"/>
    <w:rsid w:val="00DB5615"/>
    <w:rsid w:val="00DB5903"/>
    <w:rsid w:val="00DB6A32"/>
    <w:rsid w:val="00DB706F"/>
    <w:rsid w:val="00DB7F61"/>
    <w:rsid w:val="00DC05E9"/>
    <w:rsid w:val="00DC0935"/>
    <w:rsid w:val="00DC11D6"/>
    <w:rsid w:val="00DC2966"/>
    <w:rsid w:val="00DC2E3B"/>
    <w:rsid w:val="00DC4814"/>
    <w:rsid w:val="00DC4C8E"/>
    <w:rsid w:val="00DC5099"/>
    <w:rsid w:val="00DC5195"/>
    <w:rsid w:val="00DC55AE"/>
    <w:rsid w:val="00DC6070"/>
    <w:rsid w:val="00DC66A8"/>
    <w:rsid w:val="00DC6DFD"/>
    <w:rsid w:val="00DC7183"/>
    <w:rsid w:val="00DC7B4F"/>
    <w:rsid w:val="00DC7FF4"/>
    <w:rsid w:val="00DD0360"/>
    <w:rsid w:val="00DD03E0"/>
    <w:rsid w:val="00DD0B49"/>
    <w:rsid w:val="00DD2E03"/>
    <w:rsid w:val="00DD348F"/>
    <w:rsid w:val="00DD449F"/>
    <w:rsid w:val="00DD4A69"/>
    <w:rsid w:val="00DD4FD3"/>
    <w:rsid w:val="00DD5332"/>
    <w:rsid w:val="00DD543A"/>
    <w:rsid w:val="00DD5526"/>
    <w:rsid w:val="00DD55CE"/>
    <w:rsid w:val="00DD5E59"/>
    <w:rsid w:val="00DD6DAF"/>
    <w:rsid w:val="00DD7149"/>
    <w:rsid w:val="00DD7814"/>
    <w:rsid w:val="00DD796D"/>
    <w:rsid w:val="00DD7E31"/>
    <w:rsid w:val="00DE0BC8"/>
    <w:rsid w:val="00DE14FC"/>
    <w:rsid w:val="00DE4603"/>
    <w:rsid w:val="00DE4C11"/>
    <w:rsid w:val="00DE50DF"/>
    <w:rsid w:val="00DE5317"/>
    <w:rsid w:val="00DE65DE"/>
    <w:rsid w:val="00DE68D8"/>
    <w:rsid w:val="00DF03AA"/>
    <w:rsid w:val="00DF05BC"/>
    <w:rsid w:val="00DF13A1"/>
    <w:rsid w:val="00DF185E"/>
    <w:rsid w:val="00DF19D7"/>
    <w:rsid w:val="00DF2045"/>
    <w:rsid w:val="00DF2B54"/>
    <w:rsid w:val="00DF2E5A"/>
    <w:rsid w:val="00DF2F3D"/>
    <w:rsid w:val="00DF394F"/>
    <w:rsid w:val="00DF40A7"/>
    <w:rsid w:val="00DF46C3"/>
    <w:rsid w:val="00DF4F0F"/>
    <w:rsid w:val="00DF62DB"/>
    <w:rsid w:val="00DF6DEF"/>
    <w:rsid w:val="00DF6E1C"/>
    <w:rsid w:val="00DF767A"/>
    <w:rsid w:val="00DF76E2"/>
    <w:rsid w:val="00DF791B"/>
    <w:rsid w:val="00DF79E5"/>
    <w:rsid w:val="00DF7E86"/>
    <w:rsid w:val="00E00312"/>
    <w:rsid w:val="00E00B2B"/>
    <w:rsid w:val="00E00E4D"/>
    <w:rsid w:val="00E00F20"/>
    <w:rsid w:val="00E0118D"/>
    <w:rsid w:val="00E02BE1"/>
    <w:rsid w:val="00E03096"/>
    <w:rsid w:val="00E033C6"/>
    <w:rsid w:val="00E0443B"/>
    <w:rsid w:val="00E05D45"/>
    <w:rsid w:val="00E1061B"/>
    <w:rsid w:val="00E10FEE"/>
    <w:rsid w:val="00E11B4D"/>
    <w:rsid w:val="00E1280A"/>
    <w:rsid w:val="00E14394"/>
    <w:rsid w:val="00E15840"/>
    <w:rsid w:val="00E159A7"/>
    <w:rsid w:val="00E15C38"/>
    <w:rsid w:val="00E162D6"/>
    <w:rsid w:val="00E163E7"/>
    <w:rsid w:val="00E166F4"/>
    <w:rsid w:val="00E16798"/>
    <w:rsid w:val="00E17216"/>
    <w:rsid w:val="00E2002F"/>
    <w:rsid w:val="00E20803"/>
    <w:rsid w:val="00E20F1F"/>
    <w:rsid w:val="00E21E57"/>
    <w:rsid w:val="00E226D7"/>
    <w:rsid w:val="00E2439E"/>
    <w:rsid w:val="00E24A92"/>
    <w:rsid w:val="00E251C8"/>
    <w:rsid w:val="00E25291"/>
    <w:rsid w:val="00E25589"/>
    <w:rsid w:val="00E25F41"/>
    <w:rsid w:val="00E26403"/>
    <w:rsid w:val="00E26657"/>
    <w:rsid w:val="00E26891"/>
    <w:rsid w:val="00E26A9E"/>
    <w:rsid w:val="00E27682"/>
    <w:rsid w:val="00E27933"/>
    <w:rsid w:val="00E2797A"/>
    <w:rsid w:val="00E27E90"/>
    <w:rsid w:val="00E27E91"/>
    <w:rsid w:val="00E3059B"/>
    <w:rsid w:val="00E30AB8"/>
    <w:rsid w:val="00E30BDC"/>
    <w:rsid w:val="00E31271"/>
    <w:rsid w:val="00E314A2"/>
    <w:rsid w:val="00E31659"/>
    <w:rsid w:val="00E32C5A"/>
    <w:rsid w:val="00E35223"/>
    <w:rsid w:val="00E356CA"/>
    <w:rsid w:val="00E35FEB"/>
    <w:rsid w:val="00E3608E"/>
    <w:rsid w:val="00E3708A"/>
    <w:rsid w:val="00E37395"/>
    <w:rsid w:val="00E40B2D"/>
    <w:rsid w:val="00E40CD6"/>
    <w:rsid w:val="00E4110A"/>
    <w:rsid w:val="00E414F0"/>
    <w:rsid w:val="00E41571"/>
    <w:rsid w:val="00E41592"/>
    <w:rsid w:val="00E41DD8"/>
    <w:rsid w:val="00E43C89"/>
    <w:rsid w:val="00E43E2C"/>
    <w:rsid w:val="00E4417C"/>
    <w:rsid w:val="00E4514E"/>
    <w:rsid w:val="00E45771"/>
    <w:rsid w:val="00E45E95"/>
    <w:rsid w:val="00E4611B"/>
    <w:rsid w:val="00E4623C"/>
    <w:rsid w:val="00E46B2B"/>
    <w:rsid w:val="00E46BCF"/>
    <w:rsid w:val="00E46D0E"/>
    <w:rsid w:val="00E47891"/>
    <w:rsid w:val="00E507DB"/>
    <w:rsid w:val="00E51164"/>
    <w:rsid w:val="00E51FB6"/>
    <w:rsid w:val="00E525E9"/>
    <w:rsid w:val="00E52775"/>
    <w:rsid w:val="00E52790"/>
    <w:rsid w:val="00E52AD2"/>
    <w:rsid w:val="00E53006"/>
    <w:rsid w:val="00E5316B"/>
    <w:rsid w:val="00E538DE"/>
    <w:rsid w:val="00E54063"/>
    <w:rsid w:val="00E547A5"/>
    <w:rsid w:val="00E5577F"/>
    <w:rsid w:val="00E5712B"/>
    <w:rsid w:val="00E57274"/>
    <w:rsid w:val="00E57BCB"/>
    <w:rsid w:val="00E6053D"/>
    <w:rsid w:val="00E605B7"/>
    <w:rsid w:val="00E61359"/>
    <w:rsid w:val="00E61E1F"/>
    <w:rsid w:val="00E62340"/>
    <w:rsid w:val="00E62FBA"/>
    <w:rsid w:val="00E631DE"/>
    <w:rsid w:val="00E640D6"/>
    <w:rsid w:val="00E64587"/>
    <w:rsid w:val="00E645CD"/>
    <w:rsid w:val="00E64AED"/>
    <w:rsid w:val="00E6573E"/>
    <w:rsid w:val="00E65976"/>
    <w:rsid w:val="00E66068"/>
    <w:rsid w:val="00E6610F"/>
    <w:rsid w:val="00E66929"/>
    <w:rsid w:val="00E66E65"/>
    <w:rsid w:val="00E67409"/>
    <w:rsid w:val="00E70103"/>
    <w:rsid w:val="00E70138"/>
    <w:rsid w:val="00E71DBE"/>
    <w:rsid w:val="00E72467"/>
    <w:rsid w:val="00E730D4"/>
    <w:rsid w:val="00E73320"/>
    <w:rsid w:val="00E73502"/>
    <w:rsid w:val="00E747D0"/>
    <w:rsid w:val="00E74C79"/>
    <w:rsid w:val="00E759BB"/>
    <w:rsid w:val="00E75C0C"/>
    <w:rsid w:val="00E75D12"/>
    <w:rsid w:val="00E7612B"/>
    <w:rsid w:val="00E77296"/>
    <w:rsid w:val="00E7731C"/>
    <w:rsid w:val="00E7742A"/>
    <w:rsid w:val="00E810C4"/>
    <w:rsid w:val="00E817AA"/>
    <w:rsid w:val="00E82E5C"/>
    <w:rsid w:val="00E8309F"/>
    <w:rsid w:val="00E84DB5"/>
    <w:rsid w:val="00E85634"/>
    <w:rsid w:val="00E85F67"/>
    <w:rsid w:val="00E866FA"/>
    <w:rsid w:val="00E87289"/>
    <w:rsid w:val="00E8767E"/>
    <w:rsid w:val="00E908A7"/>
    <w:rsid w:val="00E90AB8"/>
    <w:rsid w:val="00E90BD3"/>
    <w:rsid w:val="00E90E1D"/>
    <w:rsid w:val="00E91111"/>
    <w:rsid w:val="00E911C0"/>
    <w:rsid w:val="00E91441"/>
    <w:rsid w:val="00E91841"/>
    <w:rsid w:val="00E91F6E"/>
    <w:rsid w:val="00E926BA"/>
    <w:rsid w:val="00E9275B"/>
    <w:rsid w:val="00E92B15"/>
    <w:rsid w:val="00E93C24"/>
    <w:rsid w:val="00E93DD8"/>
    <w:rsid w:val="00E948DE"/>
    <w:rsid w:val="00E94C15"/>
    <w:rsid w:val="00E9554B"/>
    <w:rsid w:val="00E95BF8"/>
    <w:rsid w:val="00E95CDE"/>
    <w:rsid w:val="00E96280"/>
    <w:rsid w:val="00E96434"/>
    <w:rsid w:val="00E96C31"/>
    <w:rsid w:val="00E97528"/>
    <w:rsid w:val="00E97627"/>
    <w:rsid w:val="00E979EC"/>
    <w:rsid w:val="00E97D76"/>
    <w:rsid w:val="00E97DBC"/>
    <w:rsid w:val="00E97E4F"/>
    <w:rsid w:val="00EA0D21"/>
    <w:rsid w:val="00EA0D38"/>
    <w:rsid w:val="00EA142A"/>
    <w:rsid w:val="00EA1D42"/>
    <w:rsid w:val="00EA2278"/>
    <w:rsid w:val="00EA2B53"/>
    <w:rsid w:val="00EA3040"/>
    <w:rsid w:val="00EA318F"/>
    <w:rsid w:val="00EA3387"/>
    <w:rsid w:val="00EA360F"/>
    <w:rsid w:val="00EA3AF0"/>
    <w:rsid w:val="00EA3B03"/>
    <w:rsid w:val="00EA598D"/>
    <w:rsid w:val="00EA59A9"/>
    <w:rsid w:val="00EA5B3F"/>
    <w:rsid w:val="00EA5D6E"/>
    <w:rsid w:val="00EA6DCA"/>
    <w:rsid w:val="00EA6ED5"/>
    <w:rsid w:val="00EA71E2"/>
    <w:rsid w:val="00EA787F"/>
    <w:rsid w:val="00EA7B6E"/>
    <w:rsid w:val="00EB0198"/>
    <w:rsid w:val="00EB0483"/>
    <w:rsid w:val="00EB16A6"/>
    <w:rsid w:val="00EB16BE"/>
    <w:rsid w:val="00EB198F"/>
    <w:rsid w:val="00EB1C83"/>
    <w:rsid w:val="00EB24E1"/>
    <w:rsid w:val="00EB24F5"/>
    <w:rsid w:val="00EB286F"/>
    <w:rsid w:val="00EB29F6"/>
    <w:rsid w:val="00EB34D8"/>
    <w:rsid w:val="00EB3792"/>
    <w:rsid w:val="00EB38E3"/>
    <w:rsid w:val="00EB3DB0"/>
    <w:rsid w:val="00EB440A"/>
    <w:rsid w:val="00EB4491"/>
    <w:rsid w:val="00EB591C"/>
    <w:rsid w:val="00EB5ACE"/>
    <w:rsid w:val="00EB5B86"/>
    <w:rsid w:val="00EB5E5E"/>
    <w:rsid w:val="00EB60DD"/>
    <w:rsid w:val="00EB77F8"/>
    <w:rsid w:val="00EB7B74"/>
    <w:rsid w:val="00EB7BD5"/>
    <w:rsid w:val="00EC0151"/>
    <w:rsid w:val="00EC0982"/>
    <w:rsid w:val="00EC14D0"/>
    <w:rsid w:val="00EC1B99"/>
    <w:rsid w:val="00EC1D4D"/>
    <w:rsid w:val="00EC1F8F"/>
    <w:rsid w:val="00EC29CF"/>
    <w:rsid w:val="00EC2D22"/>
    <w:rsid w:val="00EC303B"/>
    <w:rsid w:val="00EC3634"/>
    <w:rsid w:val="00EC4770"/>
    <w:rsid w:val="00EC487F"/>
    <w:rsid w:val="00EC5112"/>
    <w:rsid w:val="00EC51A8"/>
    <w:rsid w:val="00EC5F7B"/>
    <w:rsid w:val="00EC61B9"/>
    <w:rsid w:val="00EC61F6"/>
    <w:rsid w:val="00EC645B"/>
    <w:rsid w:val="00EC6DA7"/>
    <w:rsid w:val="00EC6FC1"/>
    <w:rsid w:val="00EC7157"/>
    <w:rsid w:val="00EC74BF"/>
    <w:rsid w:val="00ED0159"/>
    <w:rsid w:val="00ED06FF"/>
    <w:rsid w:val="00ED129D"/>
    <w:rsid w:val="00ED19E8"/>
    <w:rsid w:val="00ED378F"/>
    <w:rsid w:val="00ED37B6"/>
    <w:rsid w:val="00ED3AA9"/>
    <w:rsid w:val="00ED3C35"/>
    <w:rsid w:val="00ED4273"/>
    <w:rsid w:val="00ED4BE0"/>
    <w:rsid w:val="00ED4D1B"/>
    <w:rsid w:val="00ED512D"/>
    <w:rsid w:val="00ED545C"/>
    <w:rsid w:val="00ED5540"/>
    <w:rsid w:val="00ED58BE"/>
    <w:rsid w:val="00ED5D3C"/>
    <w:rsid w:val="00ED5FBF"/>
    <w:rsid w:val="00ED61D5"/>
    <w:rsid w:val="00EE0167"/>
    <w:rsid w:val="00EE0658"/>
    <w:rsid w:val="00EE09E5"/>
    <w:rsid w:val="00EE0E2F"/>
    <w:rsid w:val="00EE0FE4"/>
    <w:rsid w:val="00EE15A6"/>
    <w:rsid w:val="00EE382B"/>
    <w:rsid w:val="00EE3D48"/>
    <w:rsid w:val="00EE4B43"/>
    <w:rsid w:val="00EE4B6F"/>
    <w:rsid w:val="00EE4EE1"/>
    <w:rsid w:val="00EE514C"/>
    <w:rsid w:val="00EE5A0A"/>
    <w:rsid w:val="00EE7716"/>
    <w:rsid w:val="00EE793D"/>
    <w:rsid w:val="00EF03D7"/>
    <w:rsid w:val="00EF0682"/>
    <w:rsid w:val="00EF0C22"/>
    <w:rsid w:val="00EF0ED4"/>
    <w:rsid w:val="00EF1FA4"/>
    <w:rsid w:val="00EF29E4"/>
    <w:rsid w:val="00EF2BD5"/>
    <w:rsid w:val="00EF34E0"/>
    <w:rsid w:val="00EF3A67"/>
    <w:rsid w:val="00EF3E1A"/>
    <w:rsid w:val="00EF41A0"/>
    <w:rsid w:val="00EF5227"/>
    <w:rsid w:val="00EF54D1"/>
    <w:rsid w:val="00EF5502"/>
    <w:rsid w:val="00EF5714"/>
    <w:rsid w:val="00EF57EB"/>
    <w:rsid w:val="00EF6ACC"/>
    <w:rsid w:val="00EF6BD8"/>
    <w:rsid w:val="00EF744C"/>
    <w:rsid w:val="00F0021A"/>
    <w:rsid w:val="00F009A7"/>
    <w:rsid w:val="00F00D8E"/>
    <w:rsid w:val="00F00DE8"/>
    <w:rsid w:val="00F011E6"/>
    <w:rsid w:val="00F01679"/>
    <w:rsid w:val="00F029AE"/>
    <w:rsid w:val="00F02BB7"/>
    <w:rsid w:val="00F03A93"/>
    <w:rsid w:val="00F03BBA"/>
    <w:rsid w:val="00F03BE2"/>
    <w:rsid w:val="00F04332"/>
    <w:rsid w:val="00F04774"/>
    <w:rsid w:val="00F04D2B"/>
    <w:rsid w:val="00F04EED"/>
    <w:rsid w:val="00F05862"/>
    <w:rsid w:val="00F06164"/>
    <w:rsid w:val="00F07124"/>
    <w:rsid w:val="00F10147"/>
    <w:rsid w:val="00F113BA"/>
    <w:rsid w:val="00F11BBD"/>
    <w:rsid w:val="00F11C79"/>
    <w:rsid w:val="00F12271"/>
    <w:rsid w:val="00F1234A"/>
    <w:rsid w:val="00F12547"/>
    <w:rsid w:val="00F12A00"/>
    <w:rsid w:val="00F12AB8"/>
    <w:rsid w:val="00F12DD5"/>
    <w:rsid w:val="00F135CF"/>
    <w:rsid w:val="00F13EDD"/>
    <w:rsid w:val="00F14472"/>
    <w:rsid w:val="00F145AA"/>
    <w:rsid w:val="00F148C8"/>
    <w:rsid w:val="00F1555B"/>
    <w:rsid w:val="00F156B9"/>
    <w:rsid w:val="00F15ED9"/>
    <w:rsid w:val="00F15FA1"/>
    <w:rsid w:val="00F16AB8"/>
    <w:rsid w:val="00F16E5D"/>
    <w:rsid w:val="00F1787A"/>
    <w:rsid w:val="00F178C4"/>
    <w:rsid w:val="00F20337"/>
    <w:rsid w:val="00F2033D"/>
    <w:rsid w:val="00F2118C"/>
    <w:rsid w:val="00F215C4"/>
    <w:rsid w:val="00F21E87"/>
    <w:rsid w:val="00F2258A"/>
    <w:rsid w:val="00F2271B"/>
    <w:rsid w:val="00F23302"/>
    <w:rsid w:val="00F2381F"/>
    <w:rsid w:val="00F23F32"/>
    <w:rsid w:val="00F2495A"/>
    <w:rsid w:val="00F24CDB"/>
    <w:rsid w:val="00F26B90"/>
    <w:rsid w:val="00F26F9A"/>
    <w:rsid w:val="00F2718B"/>
    <w:rsid w:val="00F2777B"/>
    <w:rsid w:val="00F27A0E"/>
    <w:rsid w:val="00F27A7F"/>
    <w:rsid w:val="00F27CD5"/>
    <w:rsid w:val="00F27D25"/>
    <w:rsid w:val="00F32250"/>
    <w:rsid w:val="00F32F8A"/>
    <w:rsid w:val="00F332D4"/>
    <w:rsid w:val="00F3351F"/>
    <w:rsid w:val="00F33BFA"/>
    <w:rsid w:val="00F33FF8"/>
    <w:rsid w:val="00F34A81"/>
    <w:rsid w:val="00F34FD9"/>
    <w:rsid w:val="00F35062"/>
    <w:rsid w:val="00F35AB3"/>
    <w:rsid w:val="00F35C68"/>
    <w:rsid w:val="00F35E56"/>
    <w:rsid w:val="00F360A2"/>
    <w:rsid w:val="00F3651A"/>
    <w:rsid w:val="00F36BA8"/>
    <w:rsid w:val="00F36BE7"/>
    <w:rsid w:val="00F3747B"/>
    <w:rsid w:val="00F37B7E"/>
    <w:rsid w:val="00F37BFD"/>
    <w:rsid w:val="00F40133"/>
    <w:rsid w:val="00F40B9E"/>
    <w:rsid w:val="00F4103B"/>
    <w:rsid w:val="00F41430"/>
    <w:rsid w:val="00F41E04"/>
    <w:rsid w:val="00F43B60"/>
    <w:rsid w:val="00F44163"/>
    <w:rsid w:val="00F441D0"/>
    <w:rsid w:val="00F4468D"/>
    <w:rsid w:val="00F44864"/>
    <w:rsid w:val="00F45341"/>
    <w:rsid w:val="00F4582F"/>
    <w:rsid w:val="00F45F64"/>
    <w:rsid w:val="00F464FB"/>
    <w:rsid w:val="00F4696C"/>
    <w:rsid w:val="00F46977"/>
    <w:rsid w:val="00F47B8C"/>
    <w:rsid w:val="00F47D39"/>
    <w:rsid w:val="00F47E39"/>
    <w:rsid w:val="00F5093A"/>
    <w:rsid w:val="00F511F8"/>
    <w:rsid w:val="00F512A9"/>
    <w:rsid w:val="00F517F8"/>
    <w:rsid w:val="00F51C97"/>
    <w:rsid w:val="00F5208D"/>
    <w:rsid w:val="00F523DD"/>
    <w:rsid w:val="00F52513"/>
    <w:rsid w:val="00F52D3B"/>
    <w:rsid w:val="00F52E19"/>
    <w:rsid w:val="00F5393A"/>
    <w:rsid w:val="00F53E0B"/>
    <w:rsid w:val="00F53FCF"/>
    <w:rsid w:val="00F54461"/>
    <w:rsid w:val="00F549CA"/>
    <w:rsid w:val="00F55228"/>
    <w:rsid w:val="00F5551E"/>
    <w:rsid w:val="00F55A0D"/>
    <w:rsid w:val="00F56161"/>
    <w:rsid w:val="00F565E5"/>
    <w:rsid w:val="00F57EE8"/>
    <w:rsid w:val="00F60825"/>
    <w:rsid w:val="00F611CD"/>
    <w:rsid w:val="00F61DF5"/>
    <w:rsid w:val="00F624D2"/>
    <w:rsid w:val="00F62B26"/>
    <w:rsid w:val="00F62DCF"/>
    <w:rsid w:val="00F630B6"/>
    <w:rsid w:val="00F639E6"/>
    <w:rsid w:val="00F63CFE"/>
    <w:rsid w:val="00F63E26"/>
    <w:rsid w:val="00F642C8"/>
    <w:rsid w:val="00F645ED"/>
    <w:rsid w:val="00F64A56"/>
    <w:rsid w:val="00F64A90"/>
    <w:rsid w:val="00F64D76"/>
    <w:rsid w:val="00F64D90"/>
    <w:rsid w:val="00F650AE"/>
    <w:rsid w:val="00F6594B"/>
    <w:rsid w:val="00F659EB"/>
    <w:rsid w:val="00F66B35"/>
    <w:rsid w:val="00F66B81"/>
    <w:rsid w:val="00F66CB3"/>
    <w:rsid w:val="00F672E7"/>
    <w:rsid w:val="00F6760C"/>
    <w:rsid w:val="00F70A77"/>
    <w:rsid w:val="00F71ECC"/>
    <w:rsid w:val="00F722B3"/>
    <w:rsid w:val="00F7277B"/>
    <w:rsid w:val="00F72EC3"/>
    <w:rsid w:val="00F73235"/>
    <w:rsid w:val="00F7353F"/>
    <w:rsid w:val="00F73854"/>
    <w:rsid w:val="00F73B3E"/>
    <w:rsid w:val="00F744BB"/>
    <w:rsid w:val="00F7541E"/>
    <w:rsid w:val="00F76351"/>
    <w:rsid w:val="00F7641F"/>
    <w:rsid w:val="00F76471"/>
    <w:rsid w:val="00F7686B"/>
    <w:rsid w:val="00F7708C"/>
    <w:rsid w:val="00F776C1"/>
    <w:rsid w:val="00F77E41"/>
    <w:rsid w:val="00F81389"/>
    <w:rsid w:val="00F81A8F"/>
    <w:rsid w:val="00F81FE5"/>
    <w:rsid w:val="00F821EE"/>
    <w:rsid w:val="00F82C30"/>
    <w:rsid w:val="00F82D95"/>
    <w:rsid w:val="00F8309A"/>
    <w:rsid w:val="00F831C0"/>
    <w:rsid w:val="00F832A4"/>
    <w:rsid w:val="00F8374B"/>
    <w:rsid w:val="00F83884"/>
    <w:rsid w:val="00F83BB2"/>
    <w:rsid w:val="00F845B4"/>
    <w:rsid w:val="00F84915"/>
    <w:rsid w:val="00F855A8"/>
    <w:rsid w:val="00F861EA"/>
    <w:rsid w:val="00F86220"/>
    <w:rsid w:val="00F86444"/>
    <w:rsid w:val="00F864E7"/>
    <w:rsid w:val="00F86712"/>
    <w:rsid w:val="00F8700C"/>
    <w:rsid w:val="00F87471"/>
    <w:rsid w:val="00F87624"/>
    <w:rsid w:val="00F87D2C"/>
    <w:rsid w:val="00F905CE"/>
    <w:rsid w:val="00F9112B"/>
    <w:rsid w:val="00F91245"/>
    <w:rsid w:val="00F91370"/>
    <w:rsid w:val="00F92842"/>
    <w:rsid w:val="00F936E8"/>
    <w:rsid w:val="00F93B35"/>
    <w:rsid w:val="00F93CD4"/>
    <w:rsid w:val="00F95D86"/>
    <w:rsid w:val="00F96606"/>
    <w:rsid w:val="00F97596"/>
    <w:rsid w:val="00F977A0"/>
    <w:rsid w:val="00F97919"/>
    <w:rsid w:val="00F97C0B"/>
    <w:rsid w:val="00F97D96"/>
    <w:rsid w:val="00FA0843"/>
    <w:rsid w:val="00FA0A6B"/>
    <w:rsid w:val="00FA0BA0"/>
    <w:rsid w:val="00FA10F6"/>
    <w:rsid w:val="00FA186C"/>
    <w:rsid w:val="00FA1C78"/>
    <w:rsid w:val="00FA3F04"/>
    <w:rsid w:val="00FA3F62"/>
    <w:rsid w:val="00FA4345"/>
    <w:rsid w:val="00FA5851"/>
    <w:rsid w:val="00FA5DCE"/>
    <w:rsid w:val="00FA647E"/>
    <w:rsid w:val="00FA6B11"/>
    <w:rsid w:val="00FA6D8A"/>
    <w:rsid w:val="00FA6E9B"/>
    <w:rsid w:val="00FA75B5"/>
    <w:rsid w:val="00FA78D3"/>
    <w:rsid w:val="00FB06E6"/>
    <w:rsid w:val="00FB10C0"/>
    <w:rsid w:val="00FB14C3"/>
    <w:rsid w:val="00FB2FEE"/>
    <w:rsid w:val="00FB30FA"/>
    <w:rsid w:val="00FB31E9"/>
    <w:rsid w:val="00FB3603"/>
    <w:rsid w:val="00FB3613"/>
    <w:rsid w:val="00FB3756"/>
    <w:rsid w:val="00FB3E8F"/>
    <w:rsid w:val="00FB3F40"/>
    <w:rsid w:val="00FB5083"/>
    <w:rsid w:val="00FB531C"/>
    <w:rsid w:val="00FB5C78"/>
    <w:rsid w:val="00FB5FE5"/>
    <w:rsid w:val="00FB60FB"/>
    <w:rsid w:val="00FB62C8"/>
    <w:rsid w:val="00FB675C"/>
    <w:rsid w:val="00FB6807"/>
    <w:rsid w:val="00FB6F6F"/>
    <w:rsid w:val="00FB72F5"/>
    <w:rsid w:val="00FB7314"/>
    <w:rsid w:val="00FB7602"/>
    <w:rsid w:val="00FC0113"/>
    <w:rsid w:val="00FC047F"/>
    <w:rsid w:val="00FC04BD"/>
    <w:rsid w:val="00FC1C52"/>
    <w:rsid w:val="00FC28BF"/>
    <w:rsid w:val="00FC3190"/>
    <w:rsid w:val="00FC34C5"/>
    <w:rsid w:val="00FC4374"/>
    <w:rsid w:val="00FC4D3A"/>
    <w:rsid w:val="00FC51AC"/>
    <w:rsid w:val="00FC54F8"/>
    <w:rsid w:val="00FC561F"/>
    <w:rsid w:val="00FC5690"/>
    <w:rsid w:val="00FC57BC"/>
    <w:rsid w:val="00FC581C"/>
    <w:rsid w:val="00FC6335"/>
    <w:rsid w:val="00FC6445"/>
    <w:rsid w:val="00FC6BEC"/>
    <w:rsid w:val="00FC7583"/>
    <w:rsid w:val="00FC77CA"/>
    <w:rsid w:val="00FD0173"/>
    <w:rsid w:val="00FD022B"/>
    <w:rsid w:val="00FD0939"/>
    <w:rsid w:val="00FD1559"/>
    <w:rsid w:val="00FD1B79"/>
    <w:rsid w:val="00FD1BBA"/>
    <w:rsid w:val="00FD1E9E"/>
    <w:rsid w:val="00FD2155"/>
    <w:rsid w:val="00FD21B4"/>
    <w:rsid w:val="00FD21F5"/>
    <w:rsid w:val="00FD2AE1"/>
    <w:rsid w:val="00FD2DF3"/>
    <w:rsid w:val="00FD3403"/>
    <w:rsid w:val="00FD36B8"/>
    <w:rsid w:val="00FD370F"/>
    <w:rsid w:val="00FD4122"/>
    <w:rsid w:val="00FD563C"/>
    <w:rsid w:val="00FD6C74"/>
    <w:rsid w:val="00FD6D7A"/>
    <w:rsid w:val="00FD798B"/>
    <w:rsid w:val="00FD7B02"/>
    <w:rsid w:val="00FD7B8C"/>
    <w:rsid w:val="00FE0450"/>
    <w:rsid w:val="00FE045F"/>
    <w:rsid w:val="00FE0853"/>
    <w:rsid w:val="00FE08D3"/>
    <w:rsid w:val="00FE0A83"/>
    <w:rsid w:val="00FE0F14"/>
    <w:rsid w:val="00FE1043"/>
    <w:rsid w:val="00FE178A"/>
    <w:rsid w:val="00FE1803"/>
    <w:rsid w:val="00FE187A"/>
    <w:rsid w:val="00FE1B47"/>
    <w:rsid w:val="00FE2AB8"/>
    <w:rsid w:val="00FE2F5D"/>
    <w:rsid w:val="00FE34B3"/>
    <w:rsid w:val="00FE377F"/>
    <w:rsid w:val="00FE3818"/>
    <w:rsid w:val="00FE3FCA"/>
    <w:rsid w:val="00FE4112"/>
    <w:rsid w:val="00FE4E84"/>
    <w:rsid w:val="00FE69F5"/>
    <w:rsid w:val="00FF0A5B"/>
    <w:rsid w:val="00FF15D7"/>
    <w:rsid w:val="00FF3887"/>
    <w:rsid w:val="00FF38D4"/>
    <w:rsid w:val="00FF3BBD"/>
    <w:rsid w:val="00FF3E86"/>
    <w:rsid w:val="00FF432D"/>
    <w:rsid w:val="00FF4E28"/>
    <w:rsid w:val="00FF4EF7"/>
    <w:rsid w:val="00FF5A93"/>
    <w:rsid w:val="00FF5B03"/>
    <w:rsid w:val="00FF5D8B"/>
    <w:rsid w:val="00FF5E3E"/>
    <w:rsid w:val="00FF5F18"/>
    <w:rsid w:val="00FF65BF"/>
    <w:rsid w:val="00FF6719"/>
    <w:rsid w:val="00FF75C9"/>
    <w:rsid w:val="00FF7BCB"/>
    <w:rsid w:val="00FF7EB9"/>
    <w:rsid w:val="01A2E68D"/>
    <w:rsid w:val="01C32997"/>
    <w:rsid w:val="01EE2C38"/>
    <w:rsid w:val="0245CA21"/>
    <w:rsid w:val="03304584"/>
    <w:rsid w:val="03B25D18"/>
    <w:rsid w:val="051FA6F8"/>
    <w:rsid w:val="0543356B"/>
    <w:rsid w:val="05D6C529"/>
    <w:rsid w:val="06D24275"/>
    <w:rsid w:val="07514915"/>
    <w:rsid w:val="07BA3F0F"/>
    <w:rsid w:val="0878965B"/>
    <w:rsid w:val="0A0881D2"/>
    <w:rsid w:val="0AF7FFBA"/>
    <w:rsid w:val="0BA02353"/>
    <w:rsid w:val="0BABA5CA"/>
    <w:rsid w:val="0CE3BF18"/>
    <w:rsid w:val="0D254C2E"/>
    <w:rsid w:val="0D605978"/>
    <w:rsid w:val="0DED6C14"/>
    <w:rsid w:val="0EE0AB2D"/>
    <w:rsid w:val="0FEC1891"/>
    <w:rsid w:val="100427C4"/>
    <w:rsid w:val="105FFC5E"/>
    <w:rsid w:val="106E91B0"/>
    <w:rsid w:val="10F41345"/>
    <w:rsid w:val="114D2CB5"/>
    <w:rsid w:val="11F1FEBB"/>
    <w:rsid w:val="1280F407"/>
    <w:rsid w:val="12DFE7D3"/>
    <w:rsid w:val="12FB445B"/>
    <w:rsid w:val="13207374"/>
    <w:rsid w:val="134DA56D"/>
    <w:rsid w:val="1387BEAF"/>
    <w:rsid w:val="13EF2570"/>
    <w:rsid w:val="13F48CDD"/>
    <w:rsid w:val="144172F8"/>
    <w:rsid w:val="147BB834"/>
    <w:rsid w:val="14A5249F"/>
    <w:rsid w:val="14F16DEC"/>
    <w:rsid w:val="15395FB3"/>
    <w:rsid w:val="158ACD98"/>
    <w:rsid w:val="158AF5D1"/>
    <w:rsid w:val="1610FCD0"/>
    <w:rsid w:val="161678EC"/>
    <w:rsid w:val="1661448A"/>
    <w:rsid w:val="174E658D"/>
    <w:rsid w:val="17F25100"/>
    <w:rsid w:val="18710075"/>
    <w:rsid w:val="18A1860B"/>
    <w:rsid w:val="1909BA37"/>
    <w:rsid w:val="193DA13D"/>
    <w:rsid w:val="19DF8125"/>
    <w:rsid w:val="1A845DDF"/>
    <w:rsid w:val="1AD3B469"/>
    <w:rsid w:val="1B76D248"/>
    <w:rsid w:val="1BEC7CC0"/>
    <w:rsid w:val="1BFF860B"/>
    <w:rsid w:val="1C7895AD"/>
    <w:rsid w:val="1C7E6609"/>
    <w:rsid w:val="1D174A0B"/>
    <w:rsid w:val="1D660F9A"/>
    <w:rsid w:val="1D7D9377"/>
    <w:rsid w:val="1DEED401"/>
    <w:rsid w:val="1E22B910"/>
    <w:rsid w:val="1E95B343"/>
    <w:rsid w:val="1FC09F06"/>
    <w:rsid w:val="1FEAED8B"/>
    <w:rsid w:val="20789A0F"/>
    <w:rsid w:val="2088CBC0"/>
    <w:rsid w:val="208BCFC5"/>
    <w:rsid w:val="215C6F67"/>
    <w:rsid w:val="218E46CB"/>
    <w:rsid w:val="21D20337"/>
    <w:rsid w:val="21F3579A"/>
    <w:rsid w:val="22D09B5A"/>
    <w:rsid w:val="23049630"/>
    <w:rsid w:val="23ACEC65"/>
    <w:rsid w:val="23B5E921"/>
    <w:rsid w:val="23FFAE01"/>
    <w:rsid w:val="24465EA5"/>
    <w:rsid w:val="24859FD0"/>
    <w:rsid w:val="24F663A5"/>
    <w:rsid w:val="2553473B"/>
    <w:rsid w:val="25AF0B5C"/>
    <w:rsid w:val="25E9ADCE"/>
    <w:rsid w:val="2629EC3D"/>
    <w:rsid w:val="262FE08A"/>
    <w:rsid w:val="26FD66E8"/>
    <w:rsid w:val="277238B0"/>
    <w:rsid w:val="27857E2F"/>
    <w:rsid w:val="27DF16D1"/>
    <w:rsid w:val="28DAA9A9"/>
    <w:rsid w:val="2925F7E6"/>
    <w:rsid w:val="297AE732"/>
    <w:rsid w:val="2A14B301"/>
    <w:rsid w:val="2A2FE0CF"/>
    <w:rsid w:val="2A41CAC5"/>
    <w:rsid w:val="2A42950E"/>
    <w:rsid w:val="2AE340DA"/>
    <w:rsid w:val="2B327773"/>
    <w:rsid w:val="2BFEF80F"/>
    <w:rsid w:val="2C27205A"/>
    <w:rsid w:val="2C97EB1D"/>
    <w:rsid w:val="2D436859"/>
    <w:rsid w:val="2E9B0B75"/>
    <w:rsid w:val="2F1FF14B"/>
    <w:rsid w:val="2F3698D1"/>
    <w:rsid w:val="2FC2968A"/>
    <w:rsid w:val="3005E896"/>
    <w:rsid w:val="3036DBD6"/>
    <w:rsid w:val="32487F6D"/>
    <w:rsid w:val="32919AA6"/>
    <w:rsid w:val="3386AD79"/>
    <w:rsid w:val="34159FF5"/>
    <w:rsid w:val="344F8DC3"/>
    <w:rsid w:val="34998853"/>
    <w:rsid w:val="34F0B55D"/>
    <w:rsid w:val="3561A1C5"/>
    <w:rsid w:val="35B17056"/>
    <w:rsid w:val="369010DB"/>
    <w:rsid w:val="36D65418"/>
    <w:rsid w:val="3741AAB6"/>
    <w:rsid w:val="37F1A5AA"/>
    <w:rsid w:val="38363897"/>
    <w:rsid w:val="391F4AD8"/>
    <w:rsid w:val="3985929C"/>
    <w:rsid w:val="399FC9A7"/>
    <w:rsid w:val="39A1C1E5"/>
    <w:rsid w:val="3A90061B"/>
    <w:rsid w:val="3A9C2B28"/>
    <w:rsid w:val="3ABD8B9F"/>
    <w:rsid w:val="3B7E2B20"/>
    <w:rsid w:val="3BE3A776"/>
    <w:rsid w:val="3BF4100D"/>
    <w:rsid w:val="3C3C5E30"/>
    <w:rsid w:val="3CA73354"/>
    <w:rsid w:val="3D51D1CA"/>
    <w:rsid w:val="3D89EC21"/>
    <w:rsid w:val="3E658E69"/>
    <w:rsid w:val="3E6A29E7"/>
    <w:rsid w:val="3E9E42AF"/>
    <w:rsid w:val="3EAB60DE"/>
    <w:rsid w:val="3EEBE023"/>
    <w:rsid w:val="3EF7D66B"/>
    <w:rsid w:val="3F37C31E"/>
    <w:rsid w:val="3F8DA675"/>
    <w:rsid w:val="3FF1D5AC"/>
    <w:rsid w:val="4085F7CA"/>
    <w:rsid w:val="40D76ECB"/>
    <w:rsid w:val="412C7D34"/>
    <w:rsid w:val="41F9D902"/>
    <w:rsid w:val="4252EBF9"/>
    <w:rsid w:val="429C6A7E"/>
    <w:rsid w:val="4304886E"/>
    <w:rsid w:val="440751D3"/>
    <w:rsid w:val="44092C53"/>
    <w:rsid w:val="44A7EF11"/>
    <w:rsid w:val="45F0AEF9"/>
    <w:rsid w:val="46096ED8"/>
    <w:rsid w:val="462A4899"/>
    <w:rsid w:val="4652D0B6"/>
    <w:rsid w:val="465ADAE2"/>
    <w:rsid w:val="466E88C9"/>
    <w:rsid w:val="46D34F85"/>
    <w:rsid w:val="474F71BB"/>
    <w:rsid w:val="47931CBD"/>
    <w:rsid w:val="48C83956"/>
    <w:rsid w:val="491E66BC"/>
    <w:rsid w:val="496BE1AE"/>
    <w:rsid w:val="49C061BB"/>
    <w:rsid w:val="49CF15CE"/>
    <w:rsid w:val="4A2418A4"/>
    <w:rsid w:val="4AA0815F"/>
    <w:rsid w:val="4ACABD7F"/>
    <w:rsid w:val="4AE98D3D"/>
    <w:rsid w:val="4C346B11"/>
    <w:rsid w:val="4C3D933F"/>
    <w:rsid w:val="4C3F080B"/>
    <w:rsid w:val="4C42E5A3"/>
    <w:rsid w:val="4CA4AC1E"/>
    <w:rsid w:val="4D3158D3"/>
    <w:rsid w:val="4D42D431"/>
    <w:rsid w:val="4D43EBB0"/>
    <w:rsid w:val="4DA7FD71"/>
    <w:rsid w:val="4DCFA9D8"/>
    <w:rsid w:val="4E29FDC9"/>
    <w:rsid w:val="4E5BB887"/>
    <w:rsid w:val="4EA286F1"/>
    <w:rsid w:val="4EDE616A"/>
    <w:rsid w:val="4F36CB78"/>
    <w:rsid w:val="4FD6B243"/>
    <w:rsid w:val="4FE7207B"/>
    <w:rsid w:val="5018156C"/>
    <w:rsid w:val="50FFC98B"/>
    <w:rsid w:val="5183B3AF"/>
    <w:rsid w:val="52407B8B"/>
    <w:rsid w:val="52B86449"/>
    <w:rsid w:val="52D50320"/>
    <w:rsid w:val="5354EE05"/>
    <w:rsid w:val="536A80FE"/>
    <w:rsid w:val="540D460B"/>
    <w:rsid w:val="554CF1AD"/>
    <w:rsid w:val="55803016"/>
    <w:rsid w:val="55865510"/>
    <w:rsid w:val="559FDB46"/>
    <w:rsid w:val="5602B6D3"/>
    <w:rsid w:val="563991C6"/>
    <w:rsid w:val="56ACC696"/>
    <w:rsid w:val="56F54D05"/>
    <w:rsid w:val="57648ECE"/>
    <w:rsid w:val="57FB11D1"/>
    <w:rsid w:val="58C71371"/>
    <w:rsid w:val="58E03BCE"/>
    <w:rsid w:val="58F887D4"/>
    <w:rsid w:val="59F2FC78"/>
    <w:rsid w:val="5A0B087B"/>
    <w:rsid w:val="5AB41573"/>
    <w:rsid w:val="5B569A12"/>
    <w:rsid w:val="5BB134CD"/>
    <w:rsid w:val="5BC8EA0E"/>
    <w:rsid w:val="5D2A9D3A"/>
    <w:rsid w:val="5D9A8494"/>
    <w:rsid w:val="5DCE88AD"/>
    <w:rsid w:val="5E2EAACF"/>
    <w:rsid w:val="5E556311"/>
    <w:rsid w:val="5E9B6C4A"/>
    <w:rsid w:val="5F743CAD"/>
    <w:rsid w:val="5F929133"/>
    <w:rsid w:val="5FC558F4"/>
    <w:rsid w:val="5FE7F469"/>
    <w:rsid w:val="5FE84827"/>
    <w:rsid w:val="603F7C75"/>
    <w:rsid w:val="6133C9A0"/>
    <w:rsid w:val="6139CF5C"/>
    <w:rsid w:val="61587095"/>
    <w:rsid w:val="62542353"/>
    <w:rsid w:val="627EC41A"/>
    <w:rsid w:val="63F6BCC1"/>
    <w:rsid w:val="64660256"/>
    <w:rsid w:val="6471701E"/>
    <w:rsid w:val="64F25861"/>
    <w:rsid w:val="65655834"/>
    <w:rsid w:val="66B1A572"/>
    <w:rsid w:val="67A5523A"/>
    <w:rsid w:val="67DB7FF2"/>
    <w:rsid w:val="6879B9A6"/>
    <w:rsid w:val="68A35500"/>
    <w:rsid w:val="68C84DB1"/>
    <w:rsid w:val="698AB7A9"/>
    <w:rsid w:val="69AD8861"/>
    <w:rsid w:val="69BD81E3"/>
    <w:rsid w:val="6A1DD827"/>
    <w:rsid w:val="6A1E5066"/>
    <w:rsid w:val="6A2B6A0F"/>
    <w:rsid w:val="6A2DEA8A"/>
    <w:rsid w:val="6AD543DA"/>
    <w:rsid w:val="6B3D0A86"/>
    <w:rsid w:val="6B894575"/>
    <w:rsid w:val="6C6BC1FE"/>
    <w:rsid w:val="6CD77A21"/>
    <w:rsid w:val="6D08292B"/>
    <w:rsid w:val="6D246AD4"/>
    <w:rsid w:val="6E0CE49C"/>
    <w:rsid w:val="6E208D8F"/>
    <w:rsid w:val="6E73EC92"/>
    <w:rsid w:val="6E91E08E"/>
    <w:rsid w:val="6F00A78F"/>
    <w:rsid w:val="6FA362C0"/>
    <w:rsid w:val="70B72EA2"/>
    <w:rsid w:val="713E18FF"/>
    <w:rsid w:val="7211A271"/>
    <w:rsid w:val="722B92AA"/>
    <w:rsid w:val="7274D6E8"/>
    <w:rsid w:val="727AE5C0"/>
    <w:rsid w:val="73924F6C"/>
    <w:rsid w:val="73D1F83B"/>
    <w:rsid w:val="73D353C4"/>
    <w:rsid w:val="743DB5DF"/>
    <w:rsid w:val="7593920C"/>
    <w:rsid w:val="75BD6A51"/>
    <w:rsid w:val="75DCCE14"/>
    <w:rsid w:val="7611E412"/>
    <w:rsid w:val="76B962FA"/>
    <w:rsid w:val="76E7775C"/>
    <w:rsid w:val="779D163B"/>
    <w:rsid w:val="77D00D7B"/>
    <w:rsid w:val="782CE1F9"/>
    <w:rsid w:val="7833AFC9"/>
    <w:rsid w:val="785B6742"/>
    <w:rsid w:val="788EE820"/>
    <w:rsid w:val="7901C4E3"/>
    <w:rsid w:val="793650C4"/>
    <w:rsid w:val="79F103BC"/>
    <w:rsid w:val="7AAA622C"/>
    <w:rsid w:val="7B9A20BD"/>
    <w:rsid w:val="7BBCBAC1"/>
    <w:rsid w:val="7C379D3B"/>
    <w:rsid w:val="7C8719E3"/>
    <w:rsid w:val="7CD5179E"/>
    <w:rsid w:val="7D25EC8F"/>
    <w:rsid w:val="7D514BE2"/>
    <w:rsid w:val="7DE202EE"/>
    <w:rsid w:val="7E6EBDEB"/>
    <w:rsid w:val="7E831EDE"/>
    <w:rsid w:val="7EB9BCDB"/>
    <w:rsid w:val="7ECA9A3F"/>
    <w:rsid w:val="7F448A32"/>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EmbedSmartTags/>
  <w14:docId w14:val="16BE6449"/>
  <w15:docId w15:val="{8D19666E-009A-4DB2-B8CC-83EB6B0C8E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uiPriority="9"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semiHidden="1" w:uiPriority="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qFormat="1"/>
    <w:lsdException w:name="toc 2" w:locked="1" w:semiHidden="1" w:uiPriority="39" w:unhideWhenUsed="1" w:qFormat="1"/>
    <w:lsdException w:name="toc 3" w:locked="1" w:semiHidden="1" w:uiPriority="39" w:unhideWhenUsed="1" w:qFormat="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iPriority="99" w:unhideWhenUsed="1" w:qFormat="1"/>
    <w:lsdException w:name="annotation text" w:locked="1" w:semiHidden="1" w:uiPriority="99" w:unhideWhenUsed="1"/>
    <w:lsdException w:name="header" w:locked="1" w:semiHidden="1" w:uiPriority="99" w:unhideWhenUsed="1"/>
    <w:lsdException w:name="footer" w:locked="1" w:semiHidden="1" w:uiPriority="99" w:unhideWhenUsed="1"/>
    <w:lsdException w:name="index heading" w:locked="1" w:semiHidden="1" w:uiPriority="1" w:unhideWhenUsed="1"/>
    <w:lsdException w:name="caption" w:locked="1" w:semiHidden="1" w:uiPriority="35" w:unhideWhenUsed="1" w:qFormat="1"/>
    <w:lsdException w:name="table of figures" w:locked="1" w:semiHidden="1" w:uiPriority="99" w:unhideWhenUsed="1"/>
    <w:lsdException w:name="envelope address" w:locked="1" w:semiHidden="1" w:unhideWhenUsed="1"/>
    <w:lsdException w:name="envelope return" w:locked="1" w:semiHidden="1" w:unhideWhenUsed="1"/>
    <w:lsdException w:name="footnote reference" w:locked="1" w:semiHidden="1" w:uiPriority="99" w:unhideWhenUsed="1"/>
    <w:lsdException w:name="annotation reference" w:locked="1" w:semiHidden="1" w:uiPriority="99"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qFormat="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qFormat="1"/>
    <w:lsdException w:name="List Number" w:locked="1" w:qFormat="1"/>
    <w:lsdException w:name="List 2" w:locked="1" w:semiHidden="1" w:unhideWhenUsed="1"/>
    <w:lsdException w:name="List 3" w:locked="1" w:semiHidden="1" w:unhideWhenUsed="1"/>
    <w:lsdException w:name="List 4" w:locked="1"/>
    <w:lsdException w:name="List 5" w:locked="1"/>
    <w:lsdException w:name="List Bullet 2" w:locked="1" w:semiHidden="1" w:unhideWhenUsed="1" w:qFormat="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qFormat="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iPriority="99" w:unhideWhenUsed="1" w:qFormat="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lsdException w:name="Date" w:locked="1"/>
    <w:lsdException w:name="Body Text First Indent" w:lock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qFormat="1"/>
    <w:lsdException w:name="Hyperlink" w:locked="1" w:semiHidden="1" w:uiPriority="99" w:unhideWhenUsed="1"/>
    <w:lsdException w:name="FollowedHyperlink" w:locked="1" w:semiHidden="1" w:uiPriority="1" w:unhideWhenUsed="1"/>
    <w:lsdException w:name="Strong" w:locked="1" w:qFormat="1"/>
    <w:lsdException w:name="Emphasis" w:locked="1" w:uiPriority="20" w:qFormat="1"/>
    <w:lsdException w:name="Document Map" w:locked="1" w:semiHidden="1" w:uiPriority="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iPriority="99" w:unhideWhenUsed="1"/>
    <w:lsdException w:name="HTML Acronym" w:locked="1" w:semiHidden="1" w:unhideWhenUsed="1"/>
    <w:lsdException w:name="HTML Address" w:locked="1" w:semiHidden="1" w:uiPriority="99"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iPriority="99" w:unhideWhenUsed="1"/>
    <w:lsdException w:name="No List" w:locked="1"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iPriority="99" w:unhideWhenUsed="1"/>
    <w:lsdException w:name="Table Grid" w:locked="1" w:uiPriority="39"/>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uiPriority="30" w:qFormat="1"/>
    <w:lsdException w:name="Medium List 2 Accent 1" w:uiPriority="66"/>
    <w:lsdException w:name="Medium Grid 1 Accent 1" w:uiPriority="67"/>
    <w:lsdException w:name="Medium Grid 2 Accent 1" w:uiPriority="68"/>
    <w:lsdException w:name="Medium Grid 3 Accent 1"/>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E631DE"/>
    <w:rPr>
      <w:rFonts w:ascii="Garamond" w:hAnsi="Garamond"/>
      <w:kern w:val="16"/>
      <w:sz w:val="24"/>
    </w:rPr>
  </w:style>
  <w:style w:type="paragraph" w:styleId="Heading1">
    <w:name w:val="heading 1"/>
    <w:basedOn w:val="Normal"/>
    <w:next w:val="BodyText"/>
    <w:link w:val="Heading1Char"/>
    <w:qFormat/>
    <w:rsid w:val="0057105F"/>
    <w:pPr>
      <w:keepNext/>
      <w:numPr>
        <w:numId w:val="5"/>
      </w:numPr>
      <w:tabs>
        <w:tab w:val="left" w:pos="540"/>
      </w:tabs>
      <w:spacing w:after="120"/>
      <w:outlineLvl w:val="0"/>
    </w:pPr>
    <w:rPr>
      <w:rFonts w:ascii="Arial" w:hAnsi="Arial" w:cs="Arial"/>
      <w:b/>
      <w:kern w:val="0"/>
      <w:sz w:val="28"/>
    </w:rPr>
  </w:style>
  <w:style w:type="paragraph" w:styleId="Heading2">
    <w:name w:val="heading 2"/>
    <w:basedOn w:val="Normal"/>
    <w:next w:val="BodyText"/>
    <w:link w:val="Heading2Char"/>
    <w:qFormat/>
    <w:rsid w:val="008D7E61"/>
    <w:pPr>
      <w:keepNext/>
      <w:numPr>
        <w:ilvl w:val="1"/>
        <w:numId w:val="5"/>
      </w:numPr>
      <w:overflowPunct w:val="0"/>
      <w:autoSpaceDE w:val="0"/>
      <w:autoSpaceDN w:val="0"/>
      <w:adjustRightInd w:val="0"/>
      <w:spacing w:before="120" w:after="120" w:line="320" w:lineRule="atLeast"/>
      <w:textAlignment w:val="baseline"/>
      <w:outlineLvl w:val="1"/>
    </w:pPr>
    <w:rPr>
      <w:rFonts w:ascii="Arial" w:hAnsi="Arial" w:cs="Arial"/>
      <w:b/>
      <w:bCs/>
      <w:iCs/>
      <w:kern w:val="0"/>
      <w:szCs w:val="28"/>
    </w:rPr>
  </w:style>
  <w:style w:type="paragraph" w:styleId="Heading3">
    <w:name w:val="heading 3"/>
    <w:basedOn w:val="Heading2"/>
    <w:next w:val="Normal"/>
    <w:link w:val="Heading3Char"/>
    <w:qFormat/>
    <w:rsid w:val="008D7E61"/>
    <w:pPr>
      <w:numPr>
        <w:ilvl w:val="2"/>
      </w:numPr>
      <w:tabs>
        <w:tab w:val="left" w:pos="1627"/>
      </w:tabs>
      <w:outlineLvl w:val="2"/>
    </w:pPr>
  </w:style>
  <w:style w:type="paragraph" w:styleId="Heading4">
    <w:name w:val="heading 4"/>
    <w:basedOn w:val="BodyText"/>
    <w:next w:val="Normal"/>
    <w:link w:val="Heading4Char"/>
    <w:qFormat/>
    <w:rsid w:val="009111B4"/>
    <w:pPr>
      <w:keepNext/>
      <w:keepLines/>
      <w:ind w:firstLine="720"/>
      <w:outlineLvl w:val="3"/>
    </w:pPr>
    <w:rPr>
      <w:b/>
    </w:rPr>
  </w:style>
  <w:style w:type="paragraph" w:styleId="Heading5">
    <w:name w:val="heading 5"/>
    <w:basedOn w:val="Normal"/>
    <w:next w:val="Normal"/>
    <w:link w:val="Heading5Char"/>
    <w:qFormat/>
    <w:rsid w:val="00B700F3"/>
    <w:pPr>
      <w:keepNext/>
      <w:spacing w:before="240"/>
      <w:ind w:left="360" w:firstLine="360"/>
      <w:outlineLvl w:val="4"/>
    </w:pPr>
    <w:rPr>
      <w:i/>
    </w:rPr>
  </w:style>
  <w:style w:type="paragraph" w:styleId="Heading6">
    <w:name w:val="heading 6"/>
    <w:basedOn w:val="Normal"/>
    <w:next w:val="Normal"/>
    <w:link w:val="Heading6Char"/>
    <w:uiPriority w:val="9"/>
    <w:qFormat/>
    <w:rsid w:val="001A126A"/>
    <w:pPr>
      <w:keepNext/>
      <w:tabs>
        <w:tab w:val="num" w:pos="1152"/>
      </w:tabs>
      <w:ind w:left="1152" w:hanging="1152"/>
      <w:outlineLvl w:val="5"/>
    </w:pPr>
    <w:rPr>
      <w:rFonts w:ascii="Arial" w:hAnsi="Arial"/>
      <w:b/>
      <w:kern w:val="0"/>
      <w:sz w:val="28"/>
    </w:rPr>
  </w:style>
  <w:style w:type="paragraph" w:styleId="Heading7">
    <w:name w:val="heading 7"/>
    <w:basedOn w:val="Normal"/>
    <w:next w:val="Normal"/>
    <w:link w:val="Heading7Char"/>
    <w:qFormat/>
    <w:rsid w:val="001A126A"/>
    <w:pPr>
      <w:keepNext/>
      <w:tabs>
        <w:tab w:val="num" w:pos="1296"/>
      </w:tabs>
      <w:ind w:left="1296" w:hanging="1296"/>
      <w:jc w:val="center"/>
      <w:outlineLvl w:val="6"/>
    </w:pPr>
    <w:rPr>
      <w:rFonts w:ascii="Arial" w:hAnsi="Arial"/>
      <w:b/>
      <w:kern w:val="0"/>
    </w:rPr>
  </w:style>
  <w:style w:type="paragraph" w:styleId="Heading8">
    <w:name w:val="heading 8"/>
    <w:basedOn w:val="Normal"/>
    <w:next w:val="Normal"/>
    <w:link w:val="Heading8Char"/>
    <w:qFormat/>
    <w:rsid w:val="001A126A"/>
    <w:pPr>
      <w:keepNext/>
      <w:tabs>
        <w:tab w:val="num" w:pos="1440"/>
      </w:tabs>
      <w:spacing w:before="100"/>
      <w:ind w:left="1440" w:hanging="1440"/>
      <w:outlineLvl w:val="7"/>
    </w:pPr>
    <w:rPr>
      <w:rFonts w:ascii="Arial" w:hAnsi="Arial"/>
      <w:b/>
      <w:kern w:val="0"/>
    </w:rPr>
  </w:style>
  <w:style w:type="paragraph" w:styleId="Heading9">
    <w:name w:val="heading 9"/>
    <w:basedOn w:val="Normal"/>
    <w:next w:val="Normal"/>
    <w:link w:val="Heading9Char"/>
    <w:qFormat/>
    <w:rsid w:val="001A126A"/>
    <w:pPr>
      <w:keepNext/>
      <w:tabs>
        <w:tab w:val="num" w:pos="1584"/>
      </w:tabs>
      <w:ind w:left="1584" w:hanging="1584"/>
      <w:jc w:val="right"/>
      <w:outlineLvl w:val="8"/>
    </w:pPr>
    <w:rPr>
      <w:rFonts w:ascii="Arial" w:hAnsi="Arial"/>
      <w:b/>
      <w:kern w:val="0"/>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sid w:val="0057105F"/>
    <w:rPr>
      <w:rFonts w:ascii="Arial" w:hAnsi="Arial" w:cs="Arial"/>
      <w:b/>
      <w:sz w:val="28"/>
    </w:rPr>
  </w:style>
  <w:style w:type="character" w:customStyle="1" w:styleId="Heading2Char">
    <w:name w:val="Heading 2 Char"/>
    <w:basedOn w:val="DefaultParagraphFont"/>
    <w:link w:val="Heading2"/>
    <w:locked/>
    <w:rsid w:val="008D7E61"/>
    <w:rPr>
      <w:rFonts w:ascii="Arial" w:hAnsi="Arial" w:cs="Arial"/>
      <w:b/>
      <w:bCs/>
      <w:iCs/>
      <w:sz w:val="24"/>
      <w:szCs w:val="28"/>
    </w:rPr>
  </w:style>
  <w:style w:type="character" w:customStyle="1" w:styleId="Heading3Char">
    <w:name w:val="Heading 3 Char"/>
    <w:basedOn w:val="DefaultParagraphFont"/>
    <w:link w:val="Heading3"/>
    <w:locked/>
    <w:rsid w:val="008D7E61"/>
    <w:rPr>
      <w:rFonts w:ascii="Arial" w:hAnsi="Arial" w:cs="Arial"/>
      <w:b/>
      <w:bCs/>
      <w:iCs/>
      <w:sz w:val="24"/>
      <w:szCs w:val="28"/>
    </w:rPr>
  </w:style>
  <w:style w:type="character" w:customStyle="1" w:styleId="Heading4Char">
    <w:name w:val="Heading 4 Char"/>
    <w:basedOn w:val="DefaultParagraphFont"/>
    <w:link w:val="Heading4"/>
    <w:locked/>
    <w:rsid w:val="009111B4"/>
    <w:rPr>
      <w:rFonts w:ascii="Garamond" w:hAnsi="Garamond"/>
      <w:b/>
      <w:sz w:val="24"/>
    </w:rPr>
  </w:style>
  <w:style w:type="character" w:customStyle="1" w:styleId="Heading5Char">
    <w:name w:val="Heading 5 Char"/>
    <w:basedOn w:val="DefaultParagraphFont"/>
    <w:link w:val="Heading5"/>
    <w:locked/>
    <w:rsid w:val="00B700F3"/>
    <w:rPr>
      <w:rFonts w:ascii="Garamond" w:hAnsi="Garamond"/>
      <w:i/>
      <w:kern w:val="16"/>
      <w:sz w:val="24"/>
    </w:rPr>
  </w:style>
  <w:style w:type="character" w:customStyle="1" w:styleId="Heading6Char">
    <w:name w:val="Heading 6 Char"/>
    <w:basedOn w:val="DefaultParagraphFont"/>
    <w:link w:val="Heading6"/>
    <w:uiPriority w:val="9"/>
    <w:locked/>
    <w:rsid w:val="001A126A"/>
    <w:rPr>
      <w:rFonts w:ascii="Arial" w:hAnsi="Arial"/>
      <w:b/>
      <w:sz w:val="28"/>
    </w:rPr>
  </w:style>
  <w:style w:type="character" w:customStyle="1" w:styleId="Heading7Char">
    <w:name w:val="Heading 7 Char"/>
    <w:basedOn w:val="DefaultParagraphFont"/>
    <w:link w:val="Heading7"/>
    <w:locked/>
    <w:rsid w:val="001A126A"/>
    <w:rPr>
      <w:rFonts w:ascii="Arial" w:hAnsi="Arial"/>
      <w:b/>
      <w:sz w:val="24"/>
    </w:rPr>
  </w:style>
  <w:style w:type="character" w:customStyle="1" w:styleId="Heading8Char">
    <w:name w:val="Heading 8 Char"/>
    <w:basedOn w:val="DefaultParagraphFont"/>
    <w:link w:val="Heading8"/>
    <w:locked/>
    <w:rsid w:val="001A126A"/>
    <w:rPr>
      <w:rFonts w:ascii="Arial" w:hAnsi="Arial"/>
      <w:b/>
      <w:sz w:val="24"/>
    </w:rPr>
  </w:style>
  <w:style w:type="character" w:customStyle="1" w:styleId="Heading9Char">
    <w:name w:val="Heading 9 Char"/>
    <w:basedOn w:val="DefaultParagraphFont"/>
    <w:link w:val="Heading9"/>
    <w:locked/>
    <w:rsid w:val="001A126A"/>
    <w:rPr>
      <w:rFonts w:ascii="Arial" w:hAnsi="Arial"/>
      <w:b/>
      <w:sz w:val="40"/>
    </w:rPr>
  </w:style>
  <w:style w:type="paragraph" w:styleId="BodyText">
    <w:name w:val="Body Text"/>
    <w:basedOn w:val="Normal"/>
    <w:link w:val="BodyTextChar"/>
    <w:uiPriority w:val="99"/>
    <w:qFormat/>
    <w:rsid w:val="002B6216"/>
    <w:pPr>
      <w:spacing w:before="120" w:after="120"/>
    </w:pPr>
    <w:rPr>
      <w:kern w:val="0"/>
    </w:rPr>
  </w:style>
  <w:style w:type="character" w:customStyle="1" w:styleId="BodyTextChar">
    <w:name w:val="Body Text Char"/>
    <w:basedOn w:val="DefaultParagraphFont"/>
    <w:link w:val="BodyText"/>
    <w:uiPriority w:val="99"/>
    <w:locked/>
    <w:rsid w:val="002B6216"/>
    <w:rPr>
      <w:rFonts w:ascii="Garamond" w:hAnsi="Garamond"/>
      <w:sz w:val="24"/>
    </w:rPr>
  </w:style>
  <w:style w:type="paragraph" w:styleId="BalloonText">
    <w:name w:val="Balloon Text"/>
    <w:basedOn w:val="Normal"/>
    <w:link w:val="BalloonTextChar"/>
    <w:uiPriority w:val="99"/>
    <w:semiHidden/>
    <w:rsid w:val="00D6290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E43C89"/>
    <w:rPr>
      <w:rFonts w:cs="Times New Roman"/>
      <w:sz w:val="2"/>
    </w:rPr>
  </w:style>
  <w:style w:type="character" w:styleId="FootnoteReference">
    <w:name w:val="footnote reference"/>
    <w:aliases w:val="footnote reference,fr"/>
    <w:basedOn w:val="DefaultParagraphFont"/>
    <w:uiPriority w:val="99"/>
    <w:rsid w:val="00D46261"/>
    <w:rPr>
      <w:szCs w:val="24"/>
      <w:vertAlign w:val="superscript"/>
    </w:rPr>
  </w:style>
  <w:style w:type="paragraph" w:styleId="FootnoteText">
    <w:name w:val="footnote text"/>
    <w:aliases w:val="fo,fo1,footnote text,footnote text Char,ft,ft1"/>
    <w:basedOn w:val="Normal"/>
    <w:link w:val="FootnoteTextChar0"/>
    <w:uiPriority w:val="99"/>
    <w:qFormat/>
    <w:rsid w:val="00926E04"/>
    <w:pPr>
      <w:keepLines/>
    </w:pPr>
    <w:rPr>
      <w:sz w:val="18"/>
    </w:rPr>
  </w:style>
  <w:style w:type="character" w:customStyle="1" w:styleId="FootnoteTextChar0">
    <w:name w:val="Footnote Text Char"/>
    <w:aliases w:val="fo Char,fo1 Char,footnote text Char Char,footnote text Char1,ft Char,ft1 Char"/>
    <w:basedOn w:val="DefaultParagraphFont"/>
    <w:link w:val="FootnoteText"/>
    <w:uiPriority w:val="99"/>
    <w:locked/>
    <w:rsid w:val="00926E04"/>
    <w:rPr>
      <w:rFonts w:cs="Times New Roman"/>
      <w:sz w:val="18"/>
      <w:lang w:val="en-US" w:eastAsia="en-US" w:bidi="ar-SA"/>
    </w:rPr>
  </w:style>
  <w:style w:type="paragraph" w:customStyle="1" w:styleId="5ensptotal">
    <w:name w:val="5 en sp (total)"/>
    <w:basedOn w:val="Normal"/>
    <w:rsid w:val="009111B4"/>
    <w:pPr>
      <w:keepNext/>
      <w:spacing w:before="40" w:after="40"/>
      <w:ind w:left="908" w:hanging="346"/>
    </w:pPr>
    <w:rPr>
      <w:rFonts w:ascii="Arial" w:hAnsi="Arial" w:cs="Arial"/>
      <w:kern w:val="2"/>
      <w:sz w:val="16"/>
    </w:rPr>
  </w:style>
  <w:style w:type="paragraph" w:customStyle="1" w:styleId="tabletitle-continued">
    <w:name w:val="table title - continued"/>
    <w:basedOn w:val="TableTitle"/>
    <w:rsid w:val="00CE4828"/>
  </w:style>
  <w:style w:type="paragraph" w:customStyle="1" w:styleId="TableTitle">
    <w:name w:val="Table Title"/>
    <w:basedOn w:val="Normal"/>
    <w:link w:val="TableTitleChar"/>
    <w:qFormat/>
    <w:rsid w:val="00000630"/>
    <w:pPr>
      <w:keepNext/>
      <w:spacing w:before="120" w:after="60"/>
      <w:ind w:left="994" w:hanging="994"/>
    </w:pPr>
    <w:rPr>
      <w:rFonts w:ascii="Arial" w:hAnsi="Arial"/>
      <w:b/>
      <w:sz w:val="20"/>
    </w:rPr>
  </w:style>
  <w:style w:type="character" w:customStyle="1" w:styleId="TableTitleChar">
    <w:name w:val="Table Title Char"/>
    <w:basedOn w:val="DefaultParagraphFont"/>
    <w:link w:val="TableTitle"/>
    <w:locked/>
    <w:rsid w:val="00000630"/>
    <w:rPr>
      <w:rFonts w:ascii="Arial" w:hAnsi="Arial"/>
      <w:b/>
      <w:kern w:val="16"/>
    </w:rPr>
  </w:style>
  <w:style w:type="paragraph" w:styleId="TOC1">
    <w:name w:val="toc 1"/>
    <w:basedOn w:val="Normal"/>
    <w:next w:val="Normal"/>
    <w:uiPriority w:val="39"/>
    <w:qFormat/>
    <w:rsid w:val="00140399"/>
    <w:pPr>
      <w:tabs>
        <w:tab w:val="right" w:leader="dot" w:pos="10224"/>
      </w:tabs>
      <w:ind w:left="360" w:right="778" w:hanging="360"/>
    </w:pPr>
    <w:rPr>
      <w:b/>
      <w:bCs/>
      <w:noProof/>
    </w:rPr>
  </w:style>
  <w:style w:type="paragraph" w:styleId="TOC2">
    <w:name w:val="toc 2"/>
    <w:basedOn w:val="Normal"/>
    <w:next w:val="Normal"/>
    <w:uiPriority w:val="39"/>
    <w:qFormat/>
    <w:rsid w:val="00140399"/>
    <w:pPr>
      <w:tabs>
        <w:tab w:val="left" w:pos="1080"/>
        <w:tab w:val="right" w:leader="dot" w:pos="10224"/>
      </w:tabs>
      <w:ind w:left="720" w:right="778" w:hanging="360"/>
    </w:pPr>
    <w:rPr>
      <w:bCs/>
      <w:noProof/>
      <w:sz w:val="22"/>
    </w:rPr>
  </w:style>
  <w:style w:type="paragraph" w:styleId="TOC3">
    <w:name w:val="toc 3"/>
    <w:basedOn w:val="Normal"/>
    <w:next w:val="Normal"/>
    <w:uiPriority w:val="39"/>
    <w:qFormat/>
    <w:rsid w:val="00140399"/>
    <w:pPr>
      <w:tabs>
        <w:tab w:val="left" w:pos="1440"/>
        <w:tab w:val="right" w:leader="dot" w:pos="10224"/>
      </w:tabs>
      <w:ind w:left="1080" w:hanging="360"/>
    </w:pPr>
    <w:rPr>
      <w:noProof/>
      <w:sz w:val="22"/>
    </w:rPr>
  </w:style>
  <w:style w:type="paragraph" w:styleId="TOC4">
    <w:name w:val="toc 4"/>
    <w:basedOn w:val="Normal"/>
    <w:next w:val="Normal"/>
    <w:autoRedefine/>
    <w:uiPriority w:val="39"/>
    <w:rsid w:val="0063081A"/>
    <w:pPr>
      <w:ind w:left="480"/>
    </w:pPr>
    <w:rPr>
      <w:sz w:val="20"/>
    </w:rPr>
  </w:style>
  <w:style w:type="paragraph" w:styleId="TOC5">
    <w:name w:val="toc 5"/>
    <w:basedOn w:val="Normal"/>
    <w:next w:val="Normal"/>
    <w:uiPriority w:val="39"/>
    <w:rsid w:val="00140399"/>
    <w:pPr>
      <w:tabs>
        <w:tab w:val="left" w:pos="1179"/>
        <w:tab w:val="right" w:leader="dot" w:pos="10224"/>
      </w:tabs>
      <w:ind w:left="1181" w:right="778" w:hanging="821"/>
    </w:pPr>
    <w:rPr>
      <w:bCs/>
      <w:noProof/>
      <w:sz w:val="22"/>
    </w:rPr>
  </w:style>
  <w:style w:type="paragraph" w:styleId="ListBullet2">
    <w:name w:val="List Bullet 2"/>
    <w:basedOn w:val="Normal"/>
    <w:qFormat/>
    <w:rsid w:val="007F4CA0"/>
    <w:pPr>
      <w:tabs>
        <w:tab w:val="num" w:pos="1080"/>
      </w:tabs>
      <w:spacing w:before="120"/>
      <w:ind w:left="1080" w:hanging="360"/>
    </w:pPr>
  </w:style>
  <w:style w:type="paragraph" w:customStyle="1" w:styleId="bulletround">
    <w:name w:val="bullet round"/>
    <w:basedOn w:val="Normal"/>
    <w:link w:val="bulletroundChar"/>
    <w:rsid w:val="00000630"/>
    <w:pPr>
      <w:keepLines/>
      <w:numPr>
        <w:numId w:val="8"/>
      </w:numPr>
      <w:tabs>
        <w:tab w:val="num" w:pos="1080"/>
        <w:tab w:val="clear" w:pos="1440"/>
      </w:tabs>
    </w:pPr>
    <w:rPr>
      <w:rFonts w:cs="Arial"/>
      <w:kern w:val="0"/>
    </w:rPr>
  </w:style>
  <w:style w:type="character" w:customStyle="1" w:styleId="bulletroundChar">
    <w:name w:val="bullet round Char"/>
    <w:basedOn w:val="DefaultParagraphFont"/>
    <w:link w:val="bulletround"/>
    <w:locked/>
    <w:rsid w:val="00000630"/>
    <w:rPr>
      <w:rFonts w:ascii="Garamond" w:hAnsi="Garamond" w:cs="Arial"/>
      <w:sz w:val="24"/>
    </w:rPr>
  </w:style>
  <w:style w:type="paragraph" w:customStyle="1" w:styleId="Number1">
    <w:name w:val="Number1"/>
    <w:semiHidden/>
    <w:rsid w:val="0063081A"/>
    <w:pPr>
      <w:tabs>
        <w:tab w:val="num" w:pos="720"/>
        <w:tab w:val="num" w:pos="1080"/>
      </w:tabs>
      <w:spacing w:before="240"/>
      <w:ind w:left="1080" w:hanging="360"/>
    </w:pPr>
    <w:rPr>
      <w:sz w:val="24"/>
    </w:rPr>
  </w:style>
  <w:style w:type="paragraph" w:customStyle="1" w:styleId="Figuretitle">
    <w:name w:val="Figure title"/>
    <w:basedOn w:val="Normal"/>
    <w:rsid w:val="008D7E61"/>
    <w:pPr>
      <w:keepNext/>
      <w:spacing w:before="240" w:after="120"/>
      <w:ind w:left="990" w:hanging="990"/>
    </w:pPr>
    <w:rPr>
      <w:rFonts w:ascii="Arial" w:hAnsi="Arial"/>
      <w:b/>
      <w:sz w:val="20"/>
    </w:rPr>
  </w:style>
  <w:style w:type="paragraph" w:customStyle="1" w:styleId="Cov-Subtitle">
    <w:name w:val="Cov-Subtitle"/>
    <w:basedOn w:val="Normal"/>
    <w:uiPriority w:val="99"/>
    <w:rsid w:val="006F6CB2"/>
    <w:pPr>
      <w:spacing w:before="120" w:after="120" w:line="320" w:lineRule="atLeast"/>
      <w:jc w:val="right"/>
    </w:pPr>
    <w:rPr>
      <w:rFonts w:ascii="Arial Black" w:hAnsi="Arial Black"/>
      <w:kern w:val="0"/>
      <w:sz w:val="28"/>
    </w:rPr>
  </w:style>
  <w:style w:type="paragraph" w:styleId="Footer">
    <w:name w:val="footer"/>
    <w:basedOn w:val="Normal"/>
    <w:link w:val="FooterChar"/>
    <w:uiPriority w:val="99"/>
    <w:rsid w:val="00BC6E55"/>
    <w:rPr>
      <w:rFonts w:ascii="Arial" w:hAnsi="Arial"/>
      <w:sz w:val="20"/>
    </w:rPr>
  </w:style>
  <w:style w:type="character" w:customStyle="1" w:styleId="FooterChar">
    <w:name w:val="Footer Char"/>
    <w:basedOn w:val="DefaultParagraphFont"/>
    <w:link w:val="Footer"/>
    <w:uiPriority w:val="99"/>
    <w:locked/>
    <w:rsid w:val="00BC6E55"/>
    <w:rPr>
      <w:rFonts w:ascii="Arial" w:hAnsi="Arial" w:cs="Times New Roman"/>
    </w:rPr>
  </w:style>
  <w:style w:type="paragraph" w:styleId="Header">
    <w:name w:val="header"/>
    <w:basedOn w:val="Normal"/>
    <w:link w:val="HeaderChar"/>
    <w:uiPriority w:val="99"/>
    <w:rsid w:val="0032258C"/>
    <w:pPr>
      <w:widowControl w:val="0"/>
      <w:tabs>
        <w:tab w:val="center" w:pos="4320"/>
        <w:tab w:val="right" w:pos="8640"/>
      </w:tabs>
    </w:pPr>
    <w:rPr>
      <w:sz w:val="20"/>
    </w:rPr>
  </w:style>
  <w:style w:type="character" w:customStyle="1" w:styleId="HeaderChar">
    <w:name w:val="Header Char"/>
    <w:basedOn w:val="DefaultParagraphFont"/>
    <w:link w:val="Header"/>
    <w:uiPriority w:val="99"/>
    <w:locked/>
    <w:rsid w:val="00E43C89"/>
    <w:rPr>
      <w:rFonts w:cs="Times New Roman"/>
      <w:sz w:val="20"/>
      <w:szCs w:val="20"/>
    </w:rPr>
  </w:style>
  <w:style w:type="paragraph" w:customStyle="1" w:styleId="figurewobox">
    <w:name w:val="figure w/o box"/>
    <w:basedOn w:val="Normal"/>
    <w:rsid w:val="00353DA4"/>
    <w:pPr>
      <w:jc w:val="center"/>
    </w:pPr>
    <w:rPr>
      <w:rFonts w:ascii="Arial" w:hAnsi="Arial"/>
      <w:sz w:val="20"/>
    </w:rPr>
  </w:style>
  <w:style w:type="paragraph" w:styleId="ListBullet">
    <w:name w:val="List Bullet"/>
    <w:basedOn w:val="Normal"/>
    <w:autoRedefine/>
    <w:qFormat/>
    <w:rsid w:val="008B41D2"/>
    <w:pPr>
      <w:widowControl w:val="0"/>
      <w:numPr>
        <w:numId w:val="12"/>
      </w:numPr>
    </w:pPr>
    <w:rPr>
      <w:szCs w:val="24"/>
    </w:rPr>
  </w:style>
  <w:style w:type="table" w:styleId="TableGrid">
    <w:name w:val="Table Grid"/>
    <w:aliases w:val="NCES_Table,RTI NCES Table"/>
    <w:basedOn w:val="TableNormal"/>
    <w:uiPriority w:val="39"/>
    <w:rsid w:val="00526BC2"/>
    <w:pPr>
      <w:spacing w:before="60" w:after="60"/>
      <w:jc w:val="right"/>
    </w:pPr>
    <w:rPr>
      <w:rFonts w:ascii="Arial" w:hAnsi="Arial"/>
    </w:rPr>
    <w:tblPr>
      <w:tblBorders>
        <w:top w:val="single" w:sz="12" w:space="0" w:color="auto"/>
        <w:bottom w:val="single" w:sz="12" w:space="0" w:color="auto"/>
      </w:tblBorders>
    </w:tblPr>
    <w:tblStylePr w:type="firstRow">
      <w:pPr>
        <w:jc w:val="right"/>
      </w:pPr>
      <w:rPr>
        <w:rFonts w:cs="Times New Roman"/>
      </w:rPr>
      <w:tblPr/>
      <w:tcPr>
        <w:tcBorders>
          <w:bottom w:val="single" w:sz="6" w:space="0" w:color="auto"/>
        </w:tcBorders>
      </w:tcPr>
    </w:tblStylePr>
    <w:tblStylePr w:type="firstCol">
      <w:pPr>
        <w:ind w:left="346" w:right="0" w:hanging="346" w:leftChars="0" w:rightChars="0" w:firstLineChars="0"/>
        <w:jc w:val="left"/>
      </w:pPr>
      <w:rPr>
        <w:rFonts w:cs="Times New Roman"/>
      </w:rPr>
    </w:tblStylePr>
    <w:tblStylePr w:type="nwCell">
      <w:pPr>
        <w:jc w:val="left"/>
      </w:pPr>
      <w:rPr>
        <w:rFonts w:cs="Times New Roman"/>
      </w:rPr>
    </w:tblStylePr>
  </w:style>
  <w:style w:type="paragraph" w:customStyle="1" w:styleId="Tabletext">
    <w:name w:val="Table text"/>
    <w:basedOn w:val="Normal"/>
    <w:link w:val="TabletextChar"/>
    <w:rsid w:val="005C72BA"/>
    <w:pPr>
      <w:keepNext/>
      <w:spacing w:before="20" w:after="20"/>
      <w:ind w:left="144" w:hanging="144"/>
    </w:pPr>
    <w:rPr>
      <w:rFonts w:ascii="Arial" w:hAnsi="Arial"/>
      <w:sz w:val="16"/>
    </w:rPr>
  </w:style>
  <w:style w:type="character" w:customStyle="1" w:styleId="TabletextChar">
    <w:name w:val="Table text Char"/>
    <w:basedOn w:val="DefaultParagraphFont"/>
    <w:link w:val="Tabletext"/>
    <w:locked/>
    <w:rsid w:val="005C72BA"/>
    <w:rPr>
      <w:rFonts w:ascii="Arial" w:hAnsi="Arial"/>
      <w:sz w:val="16"/>
    </w:rPr>
  </w:style>
  <w:style w:type="paragraph" w:customStyle="1" w:styleId="ESHeading2">
    <w:name w:val="ES Heading 2"/>
    <w:basedOn w:val="Heading2"/>
    <w:rsid w:val="00926B0A"/>
  </w:style>
  <w:style w:type="character" w:styleId="CommentReference">
    <w:name w:val="annotation reference"/>
    <w:basedOn w:val="DefaultParagraphFont"/>
    <w:uiPriority w:val="99"/>
    <w:rsid w:val="00160371"/>
    <w:rPr>
      <w:rFonts w:cs="Times New Roman"/>
      <w:sz w:val="16"/>
      <w:szCs w:val="16"/>
    </w:rPr>
  </w:style>
  <w:style w:type="paragraph" w:styleId="CommentText">
    <w:name w:val="annotation text"/>
    <w:basedOn w:val="Normal"/>
    <w:link w:val="CommentTextChar"/>
    <w:uiPriority w:val="99"/>
    <w:rsid w:val="00160371"/>
    <w:rPr>
      <w:sz w:val="20"/>
    </w:rPr>
  </w:style>
  <w:style w:type="character" w:customStyle="1" w:styleId="CommentTextChar">
    <w:name w:val="Comment Text Char"/>
    <w:basedOn w:val="DefaultParagraphFont"/>
    <w:link w:val="CommentText"/>
    <w:uiPriority w:val="99"/>
    <w:locked/>
    <w:rsid w:val="002245DB"/>
    <w:rPr>
      <w:rFonts w:cs="Times New Roman"/>
    </w:rPr>
  </w:style>
  <w:style w:type="paragraph" w:styleId="CommentSubject">
    <w:name w:val="annotation subject"/>
    <w:basedOn w:val="CommentText"/>
    <w:next w:val="CommentText"/>
    <w:link w:val="CommentSubjectChar"/>
    <w:uiPriority w:val="99"/>
    <w:semiHidden/>
    <w:rsid w:val="00160371"/>
    <w:rPr>
      <w:b/>
      <w:bCs/>
    </w:rPr>
  </w:style>
  <w:style w:type="character" w:customStyle="1" w:styleId="CommentSubjectChar">
    <w:name w:val="Comment Subject Char"/>
    <w:basedOn w:val="CommentTextChar"/>
    <w:link w:val="CommentSubject"/>
    <w:uiPriority w:val="99"/>
    <w:semiHidden/>
    <w:locked/>
    <w:rsid w:val="00E43C89"/>
    <w:rPr>
      <w:rFonts w:cs="Times New Roman"/>
      <w:b/>
      <w:bCs/>
      <w:sz w:val="20"/>
      <w:szCs w:val="20"/>
    </w:rPr>
  </w:style>
  <w:style w:type="paragraph" w:customStyle="1" w:styleId="2enspsubgroup1">
    <w:name w:val="2 en sp (subgroup 1)"/>
    <w:basedOn w:val="Tabletext"/>
    <w:rsid w:val="00EF1FA4"/>
    <w:pPr>
      <w:ind w:left="576" w:hanging="346"/>
    </w:pPr>
    <w:rPr>
      <w:kern w:val="2"/>
    </w:rPr>
  </w:style>
  <w:style w:type="paragraph" w:customStyle="1" w:styleId="4enspsubgroup2">
    <w:name w:val="4 en sp (subgroup 2)"/>
    <w:basedOn w:val="2enspsubgroup1"/>
    <w:rsid w:val="001A6277"/>
    <w:pPr>
      <w:ind w:left="794" w:hanging="351"/>
    </w:pPr>
  </w:style>
  <w:style w:type="paragraph" w:customStyle="1" w:styleId="ESHeading3">
    <w:name w:val="ES Heading 3"/>
    <w:basedOn w:val="Heading3"/>
    <w:rsid w:val="00CF5BA2"/>
  </w:style>
  <w:style w:type="paragraph" w:customStyle="1" w:styleId="ESHeading4">
    <w:name w:val="ES Heading 4"/>
    <w:basedOn w:val="Heading4"/>
    <w:rsid w:val="00CF5BA2"/>
  </w:style>
  <w:style w:type="paragraph" w:customStyle="1" w:styleId="6enspitem">
    <w:name w:val="6 en sp (item)"/>
    <w:basedOn w:val="4enspsubgroup2"/>
    <w:rsid w:val="009C1282"/>
    <w:pPr>
      <w:ind w:left="1019"/>
    </w:pPr>
  </w:style>
  <w:style w:type="character" w:styleId="Hyperlink">
    <w:name w:val="Hyperlink"/>
    <w:basedOn w:val="DefaultParagraphFont"/>
    <w:uiPriority w:val="99"/>
    <w:rsid w:val="00E84DB5"/>
    <w:rPr>
      <w:rFonts w:cs="Times New Roman"/>
      <w:color w:val="auto"/>
      <w:u w:val="single"/>
    </w:rPr>
  </w:style>
  <w:style w:type="paragraph" w:customStyle="1" w:styleId="Title2">
    <w:name w:val="Title2"/>
    <w:basedOn w:val="Title"/>
    <w:rsid w:val="004E073B"/>
    <w:pPr>
      <w:keepNext/>
      <w:jc w:val="center"/>
    </w:pPr>
    <w:rPr>
      <w:sz w:val="24"/>
    </w:rPr>
  </w:style>
  <w:style w:type="paragraph" w:styleId="Title">
    <w:name w:val="Title"/>
    <w:basedOn w:val="TOCHeading"/>
    <w:link w:val="TitleChar"/>
    <w:qFormat/>
    <w:rsid w:val="005B1E8A"/>
    <w:pPr>
      <w:outlineLvl w:val="0"/>
    </w:pPr>
  </w:style>
  <w:style w:type="character" w:customStyle="1" w:styleId="TitleChar">
    <w:name w:val="Title Char"/>
    <w:basedOn w:val="DefaultParagraphFont"/>
    <w:link w:val="Title"/>
    <w:locked/>
    <w:rsid w:val="00E43C89"/>
    <w:rPr>
      <w:rFonts w:ascii="Cambria" w:hAnsi="Cambria" w:cs="Times New Roman"/>
      <w:b/>
      <w:bCs/>
      <w:kern w:val="28"/>
      <w:sz w:val="32"/>
      <w:szCs w:val="32"/>
    </w:rPr>
  </w:style>
  <w:style w:type="paragraph" w:styleId="TOCHeading">
    <w:name w:val="TOC Heading"/>
    <w:basedOn w:val="TOC1"/>
    <w:uiPriority w:val="39"/>
    <w:qFormat/>
    <w:rsid w:val="0095141E"/>
    <w:rPr>
      <w:rFonts w:ascii="Arial" w:hAnsi="Arial" w:cs="Arial"/>
      <w:bCs w:val="0"/>
      <w:noProof w:val="0"/>
      <w:sz w:val="32"/>
    </w:rPr>
  </w:style>
  <w:style w:type="paragraph" w:customStyle="1" w:styleId="3ensptotalnosubgroup">
    <w:name w:val="3 en sp (total no subgroup)"/>
    <w:basedOn w:val="4enspsubgroup2"/>
    <w:rsid w:val="0043671D"/>
    <w:pPr>
      <w:ind w:left="675" w:hanging="342"/>
    </w:pPr>
    <w:rPr>
      <w:rFonts w:eastAsia="Arial Unicode MS"/>
    </w:rPr>
  </w:style>
  <w:style w:type="paragraph" w:customStyle="1" w:styleId="Tableheading">
    <w:name w:val="Table heading"/>
    <w:basedOn w:val="Tabletext"/>
    <w:link w:val="TableheadingChar"/>
    <w:rsid w:val="00EF1FA4"/>
    <w:pPr>
      <w:ind w:left="0" w:firstLine="0"/>
      <w:jc w:val="right"/>
    </w:pPr>
  </w:style>
  <w:style w:type="character" w:customStyle="1" w:styleId="TableheadingChar">
    <w:name w:val="Table heading Char"/>
    <w:basedOn w:val="TabletextChar"/>
    <w:link w:val="Tableheading"/>
    <w:locked/>
    <w:rsid w:val="00EF1FA4"/>
    <w:rPr>
      <w:rFonts w:ascii="Arial" w:hAnsi="Arial" w:cs="Times New Roman"/>
      <w:sz w:val="16"/>
      <w:lang w:val="en-US" w:eastAsia="en-US" w:bidi="ar-SA"/>
    </w:rPr>
  </w:style>
  <w:style w:type="paragraph" w:customStyle="1" w:styleId="Tablenotes">
    <w:name w:val="Table notes"/>
    <w:link w:val="TablenotesChar"/>
    <w:rsid w:val="009111B4"/>
    <w:rPr>
      <w:rFonts w:ascii="Arial" w:hAnsi="Arial"/>
      <w:noProof/>
      <w:sz w:val="15"/>
      <w:szCs w:val="18"/>
    </w:rPr>
  </w:style>
  <w:style w:type="character" w:customStyle="1" w:styleId="TablenotesChar">
    <w:name w:val="Table notes Char"/>
    <w:basedOn w:val="DefaultParagraphFont"/>
    <w:link w:val="Tablenotes"/>
    <w:locked/>
    <w:rsid w:val="009111B4"/>
    <w:rPr>
      <w:rFonts w:ascii="Arial" w:hAnsi="Arial"/>
      <w:noProof/>
      <w:sz w:val="15"/>
      <w:szCs w:val="18"/>
    </w:rPr>
  </w:style>
  <w:style w:type="paragraph" w:styleId="DocumentMap">
    <w:name w:val="Document Map"/>
    <w:basedOn w:val="Normal"/>
    <w:link w:val="DocumentMapChar"/>
    <w:uiPriority w:val="1"/>
    <w:rsid w:val="0087411A"/>
    <w:pPr>
      <w:shd w:val="clear" w:color="auto" w:fill="000080"/>
    </w:pPr>
    <w:rPr>
      <w:rFonts w:ascii="Tahoma" w:hAnsi="Tahoma" w:cs="Tahoma"/>
      <w:sz w:val="20"/>
    </w:rPr>
  </w:style>
  <w:style w:type="character" w:customStyle="1" w:styleId="DocumentMapChar">
    <w:name w:val="Document Map Char"/>
    <w:basedOn w:val="DefaultParagraphFont"/>
    <w:link w:val="DocumentMap"/>
    <w:uiPriority w:val="1"/>
    <w:locked/>
    <w:rsid w:val="00E43C89"/>
    <w:rPr>
      <w:rFonts w:cs="Times New Roman"/>
      <w:sz w:val="2"/>
    </w:rPr>
  </w:style>
  <w:style w:type="paragraph" w:customStyle="1" w:styleId="Biblio">
    <w:name w:val="Biblio"/>
    <w:basedOn w:val="Normal"/>
    <w:link w:val="BiblioChar"/>
    <w:rsid w:val="005B1E8A"/>
    <w:pPr>
      <w:keepLines/>
      <w:spacing w:after="240"/>
      <w:ind w:left="360" w:hanging="360"/>
    </w:pPr>
    <w:rPr>
      <w:kern w:val="2"/>
    </w:rPr>
  </w:style>
  <w:style w:type="paragraph" w:customStyle="1" w:styleId="Cov-Address">
    <w:name w:val="Cov-Address"/>
    <w:basedOn w:val="Normal"/>
    <w:rsid w:val="00E84DB5"/>
    <w:pPr>
      <w:jc w:val="right"/>
    </w:pPr>
    <w:rPr>
      <w:rFonts w:ascii="Arial" w:hAnsi="Arial"/>
    </w:rPr>
  </w:style>
  <w:style w:type="paragraph" w:customStyle="1" w:styleId="AppH2">
    <w:name w:val="App H2"/>
    <w:basedOn w:val="Heading2"/>
    <w:rsid w:val="00604BBD"/>
    <w:pPr>
      <w:numPr>
        <w:ilvl w:val="0"/>
        <w:numId w:val="0"/>
      </w:numPr>
    </w:pPr>
  </w:style>
  <w:style w:type="paragraph" w:customStyle="1" w:styleId="Cov-Author">
    <w:name w:val="Cov-Author"/>
    <w:basedOn w:val="Normal"/>
    <w:rsid w:val="00E84DB5"/>
    <w:pPr>
      <w:jc w:val="right"/>
    </w:pPr>
    <w:rPr>
      <w:rFonts w:ascii="Arial Black" w:hAnsi="Arial Black"/>
    </w:rPr>
  </w:style>
  <w:style w:type="paragraph" w:customStyle="1" w:styleId="Cov-Date">
    <w:name w:val="Cov-Date"/>
    <w:basedOn w:val="Normal"/>
    <w:rsid w:val="00E84DB5"/>
    <w:pPr>
      <w:jc w:val="right"/>
    </w:pPr>
    <w:rPr>
      <w:rFonts w:ascii="Arial" w:hAnsi="Arial"/>
      <w:b/>
      <w:sz w:val="28"/>
    </w:rPr>
  </w:style>
  <w:style w:type="paragraph" w:customStyle="1" w:styleId="Cov-Disclaimer">
    <w:name w:val="Cov-Disclaimer"/>
    <w:basedOn w:val="Normal"/>
    <w:rsid w:val="00E84DB5"/>
    <w:pPr>
      <w:jc w:val="right"/>
    </w:pPr>
    <w:rPr>
      <w:rFonts w:ascii="Arial" w:hAnsi="Arial" w:cs="Arial"/>
      <w:sz w:val="18"/>
      <w:szCs w:val="18"/>
    </w:rPr>
  </w:style>
  <w:style w:type="paragraph" w:customStyle="1" w:styleId="bullet3rdlevel">
    <w:name w:val="bullet 3rd level"/>
    <w:basedOn w:val="bullet2ndlevel"/>
    <w:qFormat/>
    <w:rsid w:val="006A4B5F"/>
    <w:pPr>
      <w:numPr>
        <w:ilvl w:val="2"/>
        <w:numId w:val="4"/>
      </w:numPr>
    </w:pPr>
    <w:rPr>
      <w:szCs w:val="24"/>
    </w:rPr>
  </w:style>
  <w:style w:type="paragraph" w:customStyle="1" w:styleId="Cov-Title">
    <w:name w:val="Cov-Title"/>
    <w:basedOn w:val="Normal"/>
    <w:rsid w:val="00B42A44"/>
    <w:pPr>
      <w:jc w:val="right"/>
    </w:pPr>
    <w:rPr>
      <w:rFonts w:ascii="Arial Black" w:hAnsi="Arial Black"/>
      <w:smallCaps/>
      <w:sz w:val="40"/>
    </w:rPr>
  </w:style>
  <w:style w:type="paragraph" w:styleId="Quote">
    <w:name w:val="Quote"/>
    <w:basedOn w:val="BodyText"/>
    <w:link w:val="QuoteChar"/>
    <w:qFormat/>
    <w:rsid w:val="00A72A95"/>
    <w:pPr>
      <w:ind w:left="720" w:right="720"/>
    </w:pPr>
    <w:rPr>
      <w:iCs/>
      <w:sz w:val="22"/>
    </w:rPr>
  </w:style>
  <w:style w:type="character" w:customStyle="1" w:styleId="QuoteChar">
    <w:name w:val="Quote Char"/>
    <w:basedOn w:val="DefaultParagraphFont"/>
    <w:link w:val="Quote"/>
    <w:locked/>
    <w:rsid w:val="00E43C89"/>
    <w:rPr>
      <w:rFonts w:cs="Times New Roman"/>
      <w:i/>
      <w:iCs/>
      <w:color w:val="000000"/>
      <w:sz w:val="20"/>
      <w:szCs w:val="20"/>
    </w:rPr>
  </w:style>
  <w:style w:type="paragraph" w:customStyle="1" w:styleId="Style2">
    <w:name w:val="Style2"/>
    <w:uiPriority w:val="99"/>
    <w:rsid w:val="00417457"/>
    <w:pPr>
      <w:numPr>
        <w:numId w:val="6"/>
      </w:numPr>
      <w:tabs>
        <w:tab w:val="clear" w:pos="720"/>
      </w:tabs>
      <w:spacing w:after="120"/>
      <w:ind w:left="1440"/>
    </w:pPr>
    <w:rPr>
      <w:sz w:val="24"/>
    </w:rPr>
  </w:style>
  <w:style w:type="paragraph" w:styleId="BodyText2">
    <w:name w:val="Body Text 2"/>
    <w:basedOn w:val="Normal"/>
    <w:link w:val="BodyText2Char"/>
    <w:rsid w:val="00ED129D"/>
    <w:pPr>
      <w:spacing w:before="120" w:after="120"/>
      <w:ind w:firstLine="720"/>
    </w:pPr>
    <w:rPr>
      <w:sz w:val="22"/>
    </w:rPr>
  </w:style>
  <w:style w:type="character" w:customStyle="1" w:styleId="BodyText2Char">
    <w:name w:val="Body Text 2 Char"/>
    <w:basedOn w:val="DefaultParagraphFont"/>
    <w:link w:val="BodyText2"/>
    <w:semiHidden/>
    <w:locked/>
    <w:rsid w:val="00E43C89"/>
    <w:rPr>
      <w:rFonts w:cs="Times New Roman"/>
      <w:sz w:val="20"/>
      <w:szCs w:val="20"/>
    </w:rPr>
  </w:style>
  <w:style w:type="paragraph" w:customStyle="1" w:styleId="Exhibit">
    <w:name w:val="Exhibit"/>
    <w:basedOn w:val="Normal"/>
    <w:rsid w:val="00F5093A"/>
    <w:pPr>
      <w:keepNext/>
      <w:widowControl w:val="0"/>
      <w:tabs>
        <w:tab w:val="left" w:pos="-1440"/>
        <w:tab w:val="left" w:pos="-720"/>
        <w:tab w:val="left" w:pos="0"/>
        <w:tab w:val="left" w:pos="432"/>
      </w:tabs>
      <w:spacing w:after="120"/>
      <w:ind w:left="1152" w:hanging="1152"/>
    </w:pPr>
    <w:rPr>
      <w:b/>
    </w:rPr>
  </w:style>
  <w:style w:type="paragraph" w:styleId="TOC6">
    <w:name w:val="toc 6"/>
    <w:basedOn w:val="Normal"/>
    <w:next w:val="Normal"/>
    <w:autoRedefine/>
    <w:uiPriority w:val="39"/>
    <w:rsid w:val="00316BBE"/>
    <w:pPr>
      <w:ind w:left="960"/>
    </w:pPr>
    <w:rPr>
      <w:sz w:val="20"/>
    </w:rPr>
  </w:style>
  <w:style w:type="paragraph" w:styleId="TOC7">
    <w:name w:val="toc 7"/>
    <w:basedOn w:val="Normal"/>
    <w:next w:val="Normal"/>
    <w:autoRedefine/>
    <w:uiPriority w:val="39"/>
    <w:rsid w:val="00316BBE"/>
    <w:pPr>
      <w:ind w:left="1200"/>
    </w:pPr>
    <w:rPr>
      <w:sz w:val="20"/>
    </w:rPr>
  </w:style>
  <w:style w:type="paragraph" w:styleId="TOC8">
    <w:name w:val="toc 8"/>
    <w:basedOn w:val="Normal"/>
    <w:next w:val="Normal"/>
    <w:autoRedefine/>
    <w:uiPriority w:val="39"/>
    <w:rsid w:val="00316BBE"/>
    <w:pPr>
      <w:ind w:left="1440"/>
    </w:pPr>
    <w:rPr>
      <w:sz w:val="20"/>
    </w:rPr>
  </w:style>
  <w:style w:type="paragraph" w:styleId="TOC9">
    <w:name w:val="toc 9"/>
    <w:basedOn w:val="Normal"/>
    <w:next w:val="Normal"/>
    <w:autoRedefine/>
    <w:uiPriority w:val="39"/>
    <w:rsid w:val="00316BBE"/>
    <w:pPr>
      <w:ind w:left="1680"/>
    </w:pPr>
    <w:rPr>
      <w:sz w:val="20"/>
    </w:rPr>
  </w:style>
  <w:style w:type="paragraph" w:styleId="Index1">
    <w:name w:val="index 1"/>
    <w:basedOn w:val="Normal"/>
    <w:next w:val="Normal"/>
    <w:autoRedefine/>
    <w:uiPriority w:val="1"/>
    <w:rsid w:val="00316BBE"/>
    <w:pPr>
      <w:ind w:left="240" w:hanging="240"/>
    </w:pPr>
    <w:rPr>
      <w:sz w:val="18"/>
    </w:rPr>
  </w:style>
  <w:style w:type="paragraph" w:styleId="Index2">
    <w:name w:val="index 2"/>
    <w:basedOn w:val="Normal"/>
    <w:next w:val="Normal"/>
    <w:autoRedefine/>
    <w:semiHidden/>
    <w:rsid w:val="00316BBE"/>
    <w:pPr>
      <w:ind w:left="480" w:hanging="240"/>
    </w:pPr>
    <w:rPr>
      <w:sz w:val="18"/>
    </w:rPr>
  </w:style>
  <w:style w:type="paragraph" w:styleId="Index3">
    <w:name w:val="index 3"/>
    <w:basedOn w:val="Normal"/>
    <w:next w:val="Normal"/>
    <w:autoRedefine/>
    <w:semiHidden/>
    <w:rsid w:val="00316BBE"/>
    <w:pPr>
      <w:ind w:left="720" w:hanging="240"/>
    </w:pPr>
    <w:rPr>
      <w:sz w:val="18"/>
    </w:rPr>
  </w:style>
  <w:style w:type="paragraph" w:styleId="Index4">
    <w:name w:val="index 4"/>
    <w:basedOn w:val="Normal"/>
    <w:next w:val="Normal"/>
    <w:autoRedefine/>
    <w:semiHidden/>
    <w:rsid w:val="00316BBE"/>
    <w:pPr>
      <w:ind w:left="960" w:hanging="240"/>
    </w:pPr>
    <w:rPr>
      <w:sz w:val="18"/>
    </w:rPr>
  </w:style>
  <w:style w:type="paragraph" w:styleId="Index5">
    <w:name w:val="index 5"/>
    <w:basedOn w:val="Normal"/>
    <w:next w:val="Normal"/>
    <w:autoRedefine/>
    <w:semiHidden/>
    <w:rsid w:val="00316BBE"/>
    <w:pPr>
      <w:ind w:left="1200" w:hanging="240"/>
    </w:pPr>
    <w:rPr>
      <w:sz w:val="18"/>
    </w:rPr>
  </w:style>
  <w:style w:type="paragraph" w:styleId="Index6">
    <w:name w:val="index 6"/>
    <w:basedOn w:val="Normal"/>
    <w:next w:val="Normal"/>
    <w:autoRedefine/>
    <w:semiHidden/>
    <w:rsid w:val="00316BBE"/>
    <w:pPr>
      <w:ind w:left="1440" w:hanging="240"/>
    </w:pPr>
    <w:rPr>
      <w:sz w:val="18"/>
    </w:rPr>
  </w:style>
  <w:style w:type="paragraph" w:styleId="Index7">
    <w:name w:val="index 7"/>
    <w:basedOn w:val="Normal"/>
    <w:next w:val="Normal"/>
    <w:autoRedefine/>
    <w:semiHidden/>
    <w:rsid w:val="00316BBE"/>
    <w:pPr>
      <w:ind w:left="1680" w:hanging="240"/>
    </w:pPr>
    <w:rPr>
      <w:sz w:val="18"/>
    </w:rPr>
  </w:style>
  <w:style w:type="paragraph" w:styleId="Index8">
    <w:name w:val="index 8"/>
    <w:basedOn w:val="Normal"/>
    <w:next w:val="Normal"/>
    <w:autoRedefine/>
    <w:semiHidden/>
    <w:rsid w:val="00316BBE"/>
    <w:pPr>
      <w:ind w:left="1920" w:hanging="240"/>
    </w:pPr>
    <w:rPr>
      <w:sz w:val="18"/>
    </w:rPr>
  </w:style>
  <w:style w:type="paragraph" w:styleId="Index9">
    <w:name w:val="index 9"/>
    <w:basedOn w:val="Normal"/>
    <w:next w:val="Normal"/>
    <w:autoRedefine/>
    <w:semiHidden/>
    <w:rsid w:val="00316BBE"/>
    <w:pPr>
      <w:ind w:left="2160" w:hanging="240"/>
    </w:pPr>
    <w:rPr>
      <w:sz w:val="18"/>
    </w:rPr>
  </w:style>
  <w:style w:type="paragraph" w:styleId="IndexHeading">
    <w:name w:val="index heading"/>
    <w:basedOn w:val="Normal"/>
    <w:next w:val="Index1"/>
    <w:uiPriority w:val="1"/>
    <w:rsid w:val="00316BBE"/>
    <w:pPr>
      <w:pBdr>
        <w:top w:val="single" w:sz="12" w:space="0" w:color="auto"/>
      </w:pBdr>
      <w:spacing w:before="360" w:after="240"/>
    </w:pPr>
    <w:rPr>
      <w:b/>
      <w:i/>
      <w:sz w:val="26"/>
    </w:rPr>
  </w:style>
  <w:style w:type="character" w:customStyle="1" w:styleId="Hd04run-in">
    <w:name w:val="Hd04 run-in"/>
    <w:rsid w:val="00316BBE"/>
    <w:rPr>
      <w:rFonts w:ascii="Arial" w:hAnsi="Arial"/>
      <w:b/>
      <w:i/>
    </w:rPr>
  </w:style>
  <w:style w:type="paragraph" w:styleId="BlockText">
    <w:name w:val="Block Text"/>
    <w:basedOn w:val="Normal"/>
    <w:qFormat/>
    <w:rsid w:val="00316BBE"/>
    <w:pPr>
      <w:spacing w:before="120"/>
      <w:ind w:left="720" w:right="720"/>
    </w:pPr>
  </w:style>
  <w:style w:type="paragraph" w:styleId="List">
    <w:name w:val="List"/>
    <w:basedOn w:val="Normal"/>
    <w:rsid w:val="00316BBE"/>
    <w:pPr>
      <w:ind w:left="360" w:hanging="360"/>
    </w:pPr>
  </w:style>
  <w:style w:type="paragraph" w:styleId="List2">
    <w:name w:val="List 2"/>
    <w:basedOn w:val="Normal"/>
    <w:rsid w:val="00316BBE"/>
    <w:pPr>
      <w:ind w:left="720" w:hanging="360"/>
    </w:pPr>
  </w:style>
  <w:style w:type="paragraph" w:customStyle="1" w:styleId="exhibitsource">
    <w:name w:val="exhibit source"/>
    <w:basedOn w:val="Normal"/>
    <w:rsid w:val="00316BBE"/>
    <w:pPr>
      <w:keepLines/>
      <w:spacing w:before="60"/>
      <w:ind w:left="187" w:hanging="187"/>
    </w:pPr>
    <w:rPr>
      <w:sz w:val="20"/>
    </w:rPr>
  </w:style>
  <w:style w:type="paragraph" w:customStyle="1" w:styleId="ExhibitTitle">
    <w:name w:val="Exhibit Title"/>
    <w:rsid w:val="00316BBE"/>
    <w:pPr>
      <w:keepNext/>
      <w:keepLines/>
      <w:spacing w:after="60"/>
      <w:ind w:left="1440" w:hanging="1440"/>
    </w:pPr>
    <w:rPr>
      <w:rFonts w:ascii="Arial" w:hAnsi="Arial"/>
      <w:b/>
      <w:sz w:val="22"/>
    </w:rPr>
  </w:style>
  <w:style w:type="paragraph" w:customStyle="1" w:styleId="TableHeaders">
    <w:name w:val="Table Headers"/>
    <w:basedOn w:val="Normal"/>
    <w:rsid w:val="00316BBE"/>
    <w:pPr>
      <w:keepNext/>
      <w:spacing w:before="80" w:after="80" w:line="240" w:lineRule="exact"/>
      <w:jc w:val="center"/>
    </w:pPr>
    <w:rPr>
      <w:rFonts w:ascii="Arial" w:hAnsi="Arial"/>
      <w:b/>
      <w:sz w:val="20"/>
    </w:rPr>
  </w:style>
  <w:style w:type="paragraph" w:customStyle="1" w:styleId="Blockedquote">
    <w:name w:val="Blocked quote"/>
    <w:basedOn w:val="BodyText"/>
    <w:link w:val="BlockedquoteChar"/>
    <w:rsid w:val="00316BBE"/>
    <w:pPr>
      <w:ind w:left="720" w:right="720"/>
    </w:pPr>
    <w:rPr>
      <w:i/>
      <w:iCs/>
    </w:rPr>
  </w:style>
  <w:style w:type="character" w:customStyle="1" w:styleId="BlockedquoteChar">
    <w:name w:val="Blocked quote Char"/>
    <w:basedOn w:val="BodyTextChar"/>
    <w:link w:val="Blockedquote"/>
    <w:locked/>
    <w:rsid w:val="00316BBE"/>
    <w:rPr>
      <w:rFonts w:ascii="Garamond" w:hAnsi="Garamond" w:cs="Times New Roman"/>
      <w:i/>
      <w:iCs/>
      <w:kern w:val="16"/>
      <w:sz w:val="24"/>
      <w:lang w:val="en-US" w:eastAsia="en-US" w:bidi="ar-SA"/>
    </w:rPr>
  </w:style>
  <w:style w:type="paragraph" w:customStyle="1" w:styleId="AppH3">
    <w:name w:val="App H3"/>
    <w:basedOn w:val="Heading3"/>
    <w:rsid w:val="00604BBD"/>
    <w:pPr>
      <w:numPr>
        <w:ilvl w:val="0"/>
        <w:numId w:val="0"/>
      </w:numPr>
    </w:pPr>
  </w:style>
  <w:style w:type="paragraph" w:customStyle="1" w:styleId="Apptabletitle">
    <w:name w:val="App table title"/>
    <w:basedOn w:val="TableTitle"/>
    <w:rsid w:val="00604BBD"/>
  </w:style>
  <w:style w:type="paragraph" w:customStyle="1" w:styleId="equation">
    <w:name w:val="equation"/>
    <w:basedOn w:val="BlockText"/>
    <w:rsid w:val="00C263F6"/>
    <w:pPr>
      <w:spacing w:before="200"/>
      <w:ind w:left="1440" w:right="0"/>
    </w:pPr>
  </w:style>
  <w:style w:type="character" w:styleId="FollowedHyperlink">
    <w:name w:val="FollowedHyperlink"/>
    <w:basedOn w:val="DefaultParagraphFont"/>
    <w:uiPriority w:val="1"/>
    <w:rsid w:val="00A3200F"/>
    <w:rPr>
      <w:rFonts w:cs="Times New Roman"/>
      <w:color w:val="800080"/>
      <w:u w:val="single"/>
    </w:rPr>
  </w:style>
  <w:style w:type="paragraph" w:customStyle="1" w:styleId="TableColumnHeads">
    <w:name w:val="Table Column Heads"/>
    <w:basedOn w:val="Tabletext"/>
    <w:qFormat/>
    <w:rsid w:val="009640AE"/>
    <w:pPr>
      <w:ind w:left="0" w:firstLine="0"/>
    </w:pPr>
    <w:rPr>
      <w:b/>
    </w:rPr>
  </w:style>
  <w:style w:type="character" w:customStyle="1" w:styleId="BiblioChar">
    <w:name w:val="Biblio Char"/>
    <w:basedOn w:val="DefaultParagraphFont"/>
    <w:link w:val="Biblio"/>
    <w:locked/>
    <w:rsid w:val="00613103"/>
    <w:rPr>
      <w:rFonts w:cs="Times New Roman"/>
      <w:kern w:val="2"/>
      <w:sz w:val="24"/>
      <w:lang w:val="en-US" w:eastAsia="en-US" w:bidi="ar-SA"/>
    </w:rPr>
  </w:style>
  <w:style w:type="paragraph" w:customStyle="1" w:styleId="Normaltext">
    <w:name w:val="Normal text"/>
    <w:basedOn w:val="Normal"/>
    <w:link w:val="NormaltextChar"/>
    <w:rsid w:val="007D376D"/>
    <w:pPr>
      <w:spacing w:before="240"/>
      <w:ind w:firstLine="720"/>
    </w:pPr>
  </w:style>
  <w:style w:type="character" w:customStyle="1" w:styleId="NormaltextChar">
    <w:name w:val="Normal text Char"/>
    <w:basedOn w:val="DefaultParagraphFont"/>
    <w:link w:val="Normaltext"/>
    <w:locked/>
    <w:rsid w:val="007D376D"/>
    <w:rPr>
      <w:rFonts w:cs="Times New Roman"/>
      <w:sz w:val="24"/>
      <w:lang w:val="en-US" w:eastAsia="en-US" w:bidi="ar-SA"/>
    </w:rPr>
  </w:style>
  <w:style w:type="paragraph" w:styleId="Revision">
    <w:name w:val="Revision"/>
    <w:hidden/>
    <w:uiPriority w:val="99"/>
    <w:semiHidden/>
    <w:rsid w:val="000526B1"/>
    <w:rPr>
      <w:sz w:val="24"/>
    </w:rPr>
  </w:style>
  <w:style w:type="paragraph" w:styleId="ListParagraph">
    <w:name w:val="List Paragraph"/>
    <w:basedOn w:val="Normal"/>
    <w:uiPriority w:val="34"/>
    <w:qFormat/>
    <w:rsid w:val="007836D1"/>
    <w:pPr>
      <w:numPr>
        <w:numId w:val="9"/>
      </w:numPr>
      <w:spacing w:after="60" w:line="280" w:lineRule="atLeast"/>
    </w:pPr>
    <w:rPr>
      <w:szCs w:val="24"/>
    </w:rPr>
  </w:style>
  <w:style w:type="paragraph" w:customStyle="1" w:styleId="Bulletblocked">
    <w:name w:val="Bullet blocked"/>
    <w:basedOn w:val="BodyText"/>
    <w:rsid w:val="00F60825"/>
    <w:pPr>
      <w:spacing w:line="280" w:lineRule="atLeast"/>
      <w:ind w:left="1080"/>
    </w:pPr>
  </w:style>
  <w:style w:type="paragraph" w:customStyle="1" w:styleId="bullet2ndlevel">
    <w:name w:val="bullet 2nd level"/>
    <w:basedOn w:val="BodyText"/>
    <w:rsid w:val="00F36BA8"/>
    <w:pPr>
      <w:numPr>
        <w:ilvl w:val="1"/>
        <w:numId w:val="7"/>
      </w:numPr>
      <w:spacing w:after="0" w:line="280" w:lineRule="atLeast"/>
    </w:pPr>
  </w:style>
  <w:style w:type="table" w:styleId="TableWeb3">
    <w:name w:val="Table Web 3"/>
    <w:basedOn w:val="TableNormal"/>
    <w:locked/>
    <w:rsid w:val="003E79BA"/>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Indent">
    <w:name w:val="Indent"/>
    <w:basedOn w:val="BodyText"/>
    <w:qFormat/>
    <w:rsid w:val="00045E1F"/>
    <w:pPr>
      <w:ind w:left="720" w:right="684"/>
    </w:pPr>
  </w:style>
  <w:style w:type="paragraph" w:customStyle="1" w:styleId="exhibitsource2">
    <w:name w:val="exhibit source2"/>
    <w:basedOn w:val="exhibitsource"/>
    <w:qFormat/>
    <w:rsid w:val="00045E1F"/>
    <w:pPr>
      <w:spacing w:before="0" w:after="240"/>
    </w:pPr>
    <w:rPr>
      <w:rFonts w:ascii="Arial" w:hAnsi="Arial"/>
      <w:noProof/>
      <w:sz w:val="18"/>
      <w:szCs w:val="18"/>
    </w:rPr>
  </w:style>
  <w:style w:type="paragraph" w:customStyle="1" w:styleId="TabletextTotalindented">
    <w:name w:val="Table text Total indented"/>
    <w:basedOn w:val="Tabletext"/>
    <w:qFormat/>
    <w:rsid w:val="00307F9D"/>
    <w:pPr>
      <w:spacing w:before="120"/>
      <w:ind w:left="351"/>
    </w:pPr>
    <w:rPr>
      <w:b/>
      <w:sz w:val="14"/>
      <w:szCs w:val="14"/>
    </w:rPr>
  </w:style>
  <w:style w:type="paragraph" w:styleId="ListNumber">
    <w:name w:val="List Number"/>
    <w:basedOn w:val="Normal"/>
    <w:qFormat/>
    <w:locked/>
    <w:rsid w:val="00000630"/>
    <w:pPr>
      <w:numPr>
        <w:numId w:val="10"/>
      </w:numPr>
    </w:pPr>
  </w:style>
  <w:style w:type="character" w:styleId="PageNumber">
    <w:name w:val="page number"/>
    <w:aliases w:val="pn"/>
    <w:basedOn w:val="DefaultParagraphFont"/>
    <w:locked/>
    <w:rsid w:val="00500095"/>
  </w:style>
  <w:style w:type="character" w:styleId="IntenseReference">
    <w:name w:val="Intense Reference"/>
    <w:aliases w:val="Body Text DFD"/>
    <w:uiPriority w:val="32"/>
    <w:qFormat/>
    <w:rsid w:val="008213D0"/>
    <w:rPr>
      <w:rFonts w:ascii="Garamond" w:hAnsi="Garamond"/>
    </w:rPr>
  </w:style>
  <w:style w:type="table" w:customStyle="1" w:styleId="GridTable1Light-Accent51">
    <w:name w:val="Grid Table 1 Light - Accent 51"/>
    <w:basedOn w:val="TableNormal"/>
    <w:uiPriority w:val="46"/>
    <w:rsid w:val="00F360A2"/>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paragraph" w:customStyle="1" w:styleId="BodyTextnoindent">
    <w:name w:val="Body Text no indent"/>
    <w:basedOn w:val="BodyText"/>
    <w:qFormat/>
    <w:rsid w:val="008E4476"/>
    <w:rPr>
      <w:rFonts w:ascii="Times New Roman" w:hAnsi="Times New Roman"/>
      <w:szCs w:val="24"/>
    </w:rPr>
  </w:style>
  <w:style w:type="paragraph" w:styleId="ListNumber2">
    <w:name w:val="List Number 2"/>
    <w:basedOn w:val="Normal"/>
    <w:unhideWhenUsed/>
    <w:qFormat/>
    <w:locked/>
    <w:rsid w:val="008E4476"/>
    <w:pPr>
      <w:numPr>
        <w:numId w:val="11"/>
      </w:numPr>
      <w:contextualSpacing/>
    </w:pPr>
  </w:style>
  <w:style w:type="paragraph" w:customStyle="1" w:styleId="TableTitle-continued0">
    <w:name w:val="Table Title - continued"/>
    <w:basedOn w:val="TableTitle"/>
    <w:rsid w:val="008E4476"/>
    <w:pPr>
      <w:spacing w:before="480" w:after="120" w:line="240" w:lineRule="atLeast"/>
      <w:ind w:left="1224" w:hanging="1224"/>
    </w:pPr>
    <w:rPr>
      <w:rFonts w:eastAsia="MS Mincho"/>
      <w:kern w:val="2"/>
    </w:rPr>
  </w:style>
  <w:style w:type="paragraph" w:customStyle="1" w:styleId="Source75">
    <w:name w:val="Source 7.5"/>
    <w:basedOn w:val="Normal"/>
    <w:rsid w:val="008E4476"/>
    <w:pPr>
      <w:keepLines/>
      <w:spacing w:before="40" w:after="480" w:line="180" w:lineRule="atLeast"/>
    </w:pPr>
    <w:rPr>
      <w:rFonts w:ascii="Arial" w:eastAsia="Batang" w:hAnsi="Arial"/>
      <w:kern w:val="0"/>
      <w:sz w:val="15"/>
      <w:szCs w:val="15"/>
    </w:rPr>
  </w:style>
  <w:style w:type="paragraph" w:customStyle="1" w:styleId="BodyTextkeepw-next">
    <w:name w:val="Body Text keep w-next"/>
    <w:basedOn w:val="BodyText"/>
    <w:rsid w:val="008E4476"/>
    <w:pPr>
      <w:keepNext/>
      <w:spacing w:before="240" w:after="240"/>
      <w:ind w:left="720" w:right="720"/>
    </w:pPr>
    <w:rPr>
      <w:rFonts w:eastAsia="Batang"/>
      <w:szCs w:val="24"/>
    </w:rPr>
  </w:style>
  <w:style w:type="paragraph" w:customStyle="1" w:styleId="Bullet1">
    <w:name w:val="Bullet1"/>
    <w:basedOn w:val="bulletround"/>
    <w:rsid w:val="00C620CB"/>
    <w:pPr>
      <w:keepLines w:val="0"/>
      <w:numPr>
        <w:numId w:val="0"/>
      </w:numPr>
      <w:tabs>
        <w:tab w:val="num" w:pos="1440"/>
      </w:tabs>
      <w:spacing w:before="120"/>
      <w:ind w:left="1440" w:hanging="360"/>
    </w:pPr>
  </w:style>
  <w:style w:type="character" w:customStyle="1" w:styleId="UnresolvedMention1">
    <w:name w:val="Unresolved Mention1"/>
    <w:basedOn w:val="DefaultParagraphFont"/>
    <w:uiPriority w:val="99"/>
    <w:semiHidden/>
    <w:unhideWhenUsed/>
    <w:rsid w:val="005B691D"/>
    <w:rPr>
      <w:color w:val="605E5C"/>
      <w:shd w:val="clear" w:color="auto" w:fill="E1DFDD"/>
    </w:rPr>
  </w:style>
  <w:style w:type="paragraph" w:customStyle="1" w:styleId="IESTitle">
    <w:name w:val="IES Title"/>
    <w:uiPriority w:val="54"/>
    <w:rsid w:val="00121786"/>
    <w:pPr>
      <w:spacing w:line="600" w:lineRule="exact"/>
      <w:outlineLvl w:val="0"/>
    </w:pPr>
    <w:rPr>
      <w:rFonts w:ascii="Arial" w:eastAsia="Batang" w:hAnsi="Arial" w:cs="Arial"/>
      <w:sz w:val="60"/>
      <w:szCs w:val="60"/>
    </w:rPr>
  </w:style>
  <w:style w:type="paragraph" w:customStyle="1" w:styleId="IESSubtitle">
    <w:name w:val="IES Subtitle"/>
    <w:uiPriority w:val="54"/>
    <w:rsid w:val="00121786"/>
    <w:pPr>
      <w:spacing w:line="480" w:lineRule="atLeast"/>
    </w:pPr>
    <w:rPr>
      <w:rFonts w:ascii="Arial" w:eastAsia="Batang" w:hAnsi="Arial" w:cs="Arial"/>
      <w:sz w:val="32"/>
      <w:szCs w:val="32"/>
    </w:rPr>
  </w:style>
  <w:style w:type="paragraph" w:customStyle="1" w:styleId="IESReportType">
    <w:name w:val="IES Report Type"/>
    <w:uiPriority w:val="54"/>
    <w:rsid w:val="00121786"/>
    <w:pPr>
      <w:spacing w:before="480" w:line="480" w:lineRule="atLeast"/>
    </w:pPr>
    <w:rPr>
      <w:rFonts w:ascii="Arial" w:eastAsia="Batang" w:hAnsi="Arial" w:cs="Arial"/>
      <w:sz w:val="32"/>
      <w:szCs w:val="32"/>
    </w:rPr>
  </w:style>
  <w:style w:type="paragraph" w:customStyle="1" w:styleId="IESDate">
    <w:name w:val="IES Date"/>
    <w:uiPriority w:val="54"/>
    <w:rsid w:val="00121786"/>
    <w:pPr>
      <w:spacing w:before="660" w:after="1240" w:line="360" w:lineRule="atLeast"/>
    </w:pPr>
    <w:rPr>
      <w:rFonts w:ascii="Arial" w:eastAsia="Batang" w:hAnsi="Arial" w:cs="Arial"/>
      <w:b/>
      <w:caps/>
      <w:sz w:val="32"/>
      <w:szCs w:val="32"/>
    </w:rPr>
  </w:style>
  <w:style w:type="paragraph" w:customStyle="1" w:styleId="IESAuthor">
    <w:name w:val="IES Author"/>
    <w:basedOn w:val="Default"/>
    <w:uiPriority w:val="54"/>
    <w:rsid w:val="00121786"/>
    <w:rPr>
      <w:rFonts w:ascii="Arial" w:eastAsia="Times New Roman" w:hAnsi="Arial" w:cs="Arial"/>
      <w:b/>
      <w:bCs/>
      <w:color w:val="000000"/>
      <w:lang w:eastAsia="en-US"/>
    </w:rPr>
  </w:style>
  <w:style w:type="paragraph" w:customStyle="1" w:styleId="IESAuthorAffiliation">
    <w:name w:val="IES Author Affiliation"/>
    <w:uiPriority w:val="54"/>
    <w:rsid w:val="00121786"/>
    <w:pPr>
      <w:spacing w:line="320" w:lineRule="atLeast"/>
    </w:pPr>
    <w:rPr>
      <w:rFonts w:ascii="Arial" w:eastAsia="Batang" w:hAnsi="Arial" w:cs="Arial"/>
      <w:sz w:val="24"/>
      <w:szCs w:val="24"/>
    </w:rPr>
  </w:style>
  <w:style w:type="paragraph" w:customStyle="1" w:styleId="IESBoilerplateText">
    <w:name w:val="IES Boilerplate Text"/>
    <w:rsid w:val="00121786"/>
    <w:pPr>
      <w:spacing w:before="120" w:line="240" w:lineRule="atLeast"/>
    </w:pPr>
    <w:rPr>
      <w:rFonts w:ascii="Garamond" w:eastAsia="Batang" w:hAnsi="Garamond"/>
      <w:szCs w:val="24"/>
    </w:rPr>
  </w:style>
  <w:style w:type="paragraph" w:customStyle="1" w:styleId="IESProductNumber">
    <w:name w:val="IES Product Number"/>
    <w:uiPriority w:val="54"/>
    <w:rsid w:val="00121786"/>
    <w:pPr>
      <w:spacing w:line="200" w:lineRule="exact"/>
      <w:ind w:left="-720"/>
    </w:pPr>
    <w:rPr>
      <w:rFonts w:ascii="Arial" w:eastAsia="Batang" w:hAnsi="Arial" w:cs="Arial"/>
      <w:b/>
      <w:caps/>
      <w:sz w:val="16"/>
      <w:szCs w:val="24"/>
    </w:rPr>
  </w:style>
  <w:style w:type="paragraph" w:customStyle="1" w:styleId="IESDepartment">
    <w:name w:val="IES Department"/>
    <w:uiPriority w:val="54"/>
    <w:rsid w:val="00121786"/>
    <w:pPr>
      <w:spacing w:line="320" w:lineRule="exact"/>
      <w:ind w:left="-720"/>
    </w:pPr>
    <w:rPr>
      <w:rFonts w:ascii="Arial" w:eastAsia="Batang" w:hAnsi="Arial" w:cs="Arial"/>
      <w:b/>
      <w:caps/>
      <w:sz w:val="24"/>
      <w:szCs w:val="24"/>
    </w:rPr>
  </w:style>
  <w:style w:type="character" w:customStyle="1" w:styleId="BalloonTextChar1">
    <w:name w:val="Balloon Text Char1"/>
    <w:uiPriority w:val="99"/>
    <w:semiHidden/>
    <w:rsid w:val="00121786"/>
    <w:rPr>
      <w:rFonts w:ascii="Tahoma" w:hAnsi="Tahoma" w:cs="Tahoma"/>
      <w:sz w:val="16"/>
      <w:szCs w:val="16"/>
    </w:rPr>
  </w:style>
  <w:style w:type="paragraph" w:customStyle="1" w:styleId="Legend">
    <w:name w:val="Legend"/>
    <w:next w:val="TOCPre"/>
    <w:uiPriority w:val="39"/>
    <w:rsid w:val="00121786"/>
    <w:pPr>
      <w:tabs>
        <w:tab w:val="right" w:pos="8640"/>
      </w:tabs>
      <w:spacing w:after="160" w:line="280" w:lineRule="atLeast"/>
      <w:ind w:left="720" w:right="720"/>
    </w:pPr>
    <w:rPr>
      <w:rFonts w:ascii="Arial Narrow" w:eastAsia="Batang" w:hAnsi="Arial Narrow"/>
      <w:caps/>
      <w:sz w:val="16"/>
      <w:szCs w:val="16"/>
    </w:rPr>
  </w:style>
  <w:style w:type="paragraph" w:customStyle="1" w:styleId="TOCPre">
    <w:name w:val="TOC Pre"/>
    <w:basedOn w:val="TOC1"/>
    <w:uiPriority w:val="39"/>
    <w:rsid w:val="00121786"/>
    <w:pPr>
      <w:keepNext/>
      <w:tabs>
        <w:tab w:val="right" w:leader="dot" w:pos="8640"/>
        <w:tab w:val="clear" w:pos="10224"/>
      </w:tabs>
      <w:ind w:left="1080" w:right="1260"/>
    </w:pPr>
    <w:rPr>
      <w:rFonts w:eastAsia="Batang"/>
      <w:b w:val="0"/>
      <w:bCs w:val="0"/>
      <w:kern w:val="0"/>
      <w:szCs w:val="24"/>
    </w:rPr>
  </w:style>
  <w:style w:type="paragraph" w:customStyle="1" w:styleId="References">
    <w:name w:val="References"/>
    <w:basedOn w:val="BodyText"/>
    <w:qFormat/>
    <w:rsid w:val="00121786"/>
    <w:pPr>
      <w:keepLines/>
      <w:spacing w:before="240" w:after="240"/>
      <w:ind w:left="1080" w:right="720" w:hanging="360"/>
    </w:pPr>
    <w:rPr>
      <w:rFonts w:eastAsia="Batang"/>
      <w:szCs w:val="24"/>
    </w:rPr>
  </w:style>
  <w:style w:type="paragraph" w:customStyle="1" w:styleId="TOCTables">
    <w:name w:val="TOC Tables"/>
    <w:basedOn w:val="TOC1"/>
    <w:uiPriority w:val="39"/>
    <w:rsid w:val="00121786"/>
    <w:pPr>
      <w:keepLines/>
      <w:tabs>
        <w:tab w:val="right" w:leader="dot" w:pos="8640"/>
        <w:tab w:val="clear" w:pos="10224"/>
      </w:tabs>
      <w:spacing w:after="240"/>
      <w:ind w:left="1080" w:right="1260"/>
    </w:pPr>
    <w:rPr>
      <w:rFonts w:eastAsia="Batang"/>
      <w:b w:val="0"/>
      <w:bCs w:val="0"/>
      <w:kern w:val="0"/>
      <w:szCs w:val="24"/>
    </w:rPr>
  </w:style>
  <w:style w:type="paragraph" w:customStyle="1" w:styleId="Glossary">
    <w:name w:val="Glossary"/>
    <w:basedOn w:val="Index1"/>
    <w:uiPriority w:val="1"/>
    <w:rsid w:val="00121786"/>
    <w:pPr>
      <w:tabs>
        <w:tab w:val="left" w:pos="1440"/>
      </w:tabs>
      <w:spacing w:before="240" w:after="240" w:line="240" w:lineRule="atLeast"/>
      <w:ind w:left="720" w:right="720" w:firstLine="0"/>
      <w:contextualSpacing/>
    </w:pPr>
    <w:rPr>
      <w:rFonts w:eastAsia="Batang"/>
      <w:kern w:val="0"/>
      <w:sz w:val="20"/>
    </w:rPr>
  </w:style>
  <w:style w:type="paragraph" w:customStyle="1" w:styleId="GlossaryIndent">
    <w:name w:val="Glossary Indent"/>
    <w:basedOn w:val="Glossary"/>
    <w:uiPriority w:val="1"/>
    <w:rsid w:val="00121786"/>
    <w:pPr>
      <w:tabs>
        <w:tab w:val="clear" w:pos="1440"/>
      </w:tabs>
      <w:ind w:left="4320" w:hanging="2880"/>
    </w:pPr>
  </w:style>
  <w:style w:type="paragraph" w:customStyle="1" w:styleId="GlossaryHeading">
    <w:name w:val="Glossary Heading"/>
    <w:basedOn w:val="IndexHeading"/>
    <w:next w:val="Glossary"/>
    <w:uiPriority w:val="1"/>
    <w:rsid w:val="00121786"/>
    <w:pPr>
      <w:keepNext/>
      <w:pBdr>
        <w:top w:val="none" w:sz="0" w:space="0" w:color="auto"/>
      </w:pBdr>
      <w:tabs>
        <w:tab w:val="right" w:pos="8640"/>
      </w:tabs>
      <w:spacing w:before="280" w:after="0" w:line="240" w:lineRule="atLeast"/>
      <w:ind w:left="720" w:right="720"/>
    </w:pPr>
    <w:rPr>
      <w:rFonts w:eastAsia="Batang"/>
      <w:bCs/>
      <w:i w:val="0"/>
      <w:kern w:val="0"/>
      <w:sz w:val="20"/>
    </w:rPr>
  </w:style>
  <w:style w:type="paragraph" w:customStyle="1" w:styleId="NCESBoilerplateText">
    <w:name w:val="NCES Boilerplate Text"/>
    <w:rsid w:val="00121786"/>
    <w:pPr>
      <w:tabs>
        <w:tab w:val="left" w:pos="720"/>
        <w:tab w:val="center" w:pos="4680"/>
      </w:tabs>
      <w:autoSpaceDE w:val="0"/>
      <w:autoSpaceDN w:val="0"/>
      <w:adjustRightInd w:val="0"/>
      <w:spacing w:before="180"/>
    </w:pPr>
    <w:rPr>
      <w:rFonts w:ascii="ITC Avant Garde Std Bk" w:eastAsia="Batang" w:hAnsi="ITC Avant Garde Std Bk"/>
      <w:color w:val="000000"/>
      <w:sz w:val="24"/>
      <w:szCs w:val="24"/>
    </w:rPr>
  </w:style>
  <w:style w:type="paragraph" w:customStyle="1" w:styleId="Default">
    <w:name w:val="Default"/>
    <w:rsid w:val="00121786"/>
    <w:pPr>
      <w:autoSpaceDE w:val="0"/>
      <w:autoSpaceDN w:val="0"/>
      <w:adjustRightInd w:val="0"/>
    </w:pPr>
    <w:rPr>
      <w:rFonts w:ascii="Garamond" w:eastAsia="SimSun" w:hAnsi="Garamond"/>
      <w:sz w:val="24"/>
      <w:szCs w:val="24"/>
      <w:lang w:eastAsia="zh-CN"/>
    </w:rPr>
  </w:style>
  <w:style w:type="paragraph" w:styleId="EndnoteText">
    <w:name w:val="endnote text"/>
    <w:basedOn w:val="BodyText"/>
    <w:link w:val="EndnoteTextChar"/>
    <w:qFormat/>
    <w:locked/>
    <w:rsid w:val="00121786"/>
    <w:pPr>
      <w:spacing w:before="240" w:after="0" w:line="240" w:lineRule="atLeast"/>
    </w:pPr>
    <w:rPr>
      <w:rFonts w:ascii="Myriad Pro" w:eastAsia="Batang" w:hAnsi="Myriad Pro"/>
      <w:sz w:val="16"/>
      <w:szCs w:val="22"/>
    </w:rPr>
  </w:style>
  <w:style w:type="character" w:customStyle="1" w:styleId="EndnoteTextChar">
    <w:name w:val="Endnote Text Char"/>
    <w:basedOn w:val="DefaultParagraphFont"/>
    <w:link w:val="EndnoteText"/>
    <w:rsid w:val="00121786"/>
    <w:rPr>
      <w:rFonts w:ascii="Myriad Pro" w:eastAsia="Batang" w:hAnsi="Myriad Pro"/>
      <w:sz w:val="16"/>
      <w:szCs w:val="22"/>
    </w:rPr>
  </w:style>
  <w:style w:type="character" w:styleId="EndnoteReference">
    <w:name w:val="endnote reference"/>
    <w:locked/>
    <w:rsid w:val="00121786"/>
    <w:rPr>
      <w:vertAlign w:val="superscript"/>
    </w:rPr>
  </w:style>
  <w:style w:type="paragraph" w:customStyle="1" w:styleId="CoverTitle">
    <w:name w:val="Cover Title"/>
    <w:basedOn w:val="Normal"/>
    <w:qFormat/>
    <w:rsid w:val="00121786"/>
    <w:pPr>
      <w:autoSpaceDE w:val="0"/>
      <w:autoSpaceDN w:val="0"/>
      <w:adjustRightInd w:val="0"/>
    </w:pPr>
    <w:rPr>
      <w:rFonts w:ascii="Arial" w:eastAsia="Calibri" w:hAnsi="Arial" w:cs="Arial"/>
      <w:bCs/>
      <w:kern w:val="0"/>
      <w:sz w:val="60"/>
      <w:szCs w:val="60"/>
    </w:rPr>
  </w:style>
  <w:style w:type="character" w:customStyle="1" w:styleId="pagecontentsubtitle">
    <w:name w:val="pagecontentsubtitle"/>
    <w:basedOn w:val="DefaultParagraphFont"/>
    <w:rsid w:val="00121786"/>
  </w:style>
  <w:style w:type="paragraph" w:customStyle="1" w:styleId="Variables">
    <w:name w:val="Variables"/>
    <w:basedOn w:val="Normal"/>
    <w:qFormat/>
    <w:rsid w:val="00121786"/>
    <w:pPr>
      <w:widowControl w:val="0"/>
      <w:tabs>
        <w:tab w:val="left" w:pos="4320"/>
      </w:tabs>
      <w:spacing w:line="200" w:lineRule="exact"/>
    </w:pPr>
    <w:rPr>
      <w:rFonts w:ascii="Calibri" w:eastAsia="Calibri" w:hAnsi="Calibri" w:cs="Arial"/>
      <w:kern w:val="0"/>
      <w:sz w:val="16"/>
    </w:rPr>
  </w:style>
  <w:style w:type="paragraph" w:styleId="NormalWeb">
    <w:name w:val="Normal (Web)"/>
    <w:basedOn w:val="Normal"/>
    <w:uiPriority w:val="99"/>
    <w:unhideWhenUsed/>
    <w:locked/>
    <w:rsid w:val="00121786"/>
    <w:pPr>
      <w:spacing w:before="100" w:beforeAutospacing="1" w:after="100" w:afterAutospacing="1"/>
    </w:pPr>
    <w:rPr>
      <w:rFonts w:ascii="Times New Roman" w:eastAsia="Batang" w:hAnsi="Times New Roman"/>
      <w:kern w:val="0"/>
      <w:szCs w:val="24"/>
      <w:lang w:eastAsia="zh-CN"/>
    </w:rPr>
  </w:style>
  <w:style w:type="paragraph" w:customStyle="1" w:styleId="BlockQuote">
    <w:name w:val="Block Quote"/>
    <w:basedOn w:val="Normal"/>
    <w:qFormat/>
    <w:rsid w:val="00121786"/>
    <w:pPr>
      <w:autoSpaceDE w:val="0"/>
      <w:autoSpaceDN w:val="0"/>
      <w:adjustRightInd w:val="0"/>
      <w:ind w:left="1440" w:right="1440"/>
    </w:pPr>
    <w:rPr>
      <w:rFonts w:eastAsia="Calibri"/>
      <w:bCs/>
      <w:kern w:val="0"/>
      <w:szCs w:val="24"/>
    </w:rPr>
  </w:style>
  <w:style w:type="paragraph" w:styleId="Date">
    <w:name w:val="Date"/>
    <w:basedOn w:val="Normal"/>
    <w:next w:val="Normal"/>
    <w:link w:val="DateChar"/>
    <w:locked/>
    <w:rsid w:val="00121786"/>
    <w:pPr>
      <w:spacing w:line="320" w:lineRule="atLeast"/>
    </w:pPr>
    <w:rPr>
      <w:rFonts w:eastAsia="Batang"/>
      <w:kern w:val="0"/>
      <w:szCs w:val="24"/>
    </w:rPr>
  </w:style>
  <w:style w:type="character" w:customStyle="1" w:styleId="DateChar">
    <w:name w:val="Date Char"/>
    <w:basedOn w:val="DefaultParagraphFont"/>
    <w:link w:val="Date"/>
    <w:rsid w:val="00121786"/>
    <w:rPr>
      <w:rFonts w:ascii="Garamond" w:eastAsia="Batang" w:hAnsi="Garamond"/>
      <w:sz w:val="24"/>
      <w:szCs w:val="24"/>
    </w:rPr>
  </w:style>
  <w:style w:type="character" w:styleId="LineNumber">
    <w:name w:val="line number"/>
    <w:basedOn w:val="DefaultParagraphFont"/>
    <w:locked/>
    <w:rsid w:val="00121786"/>
  </w:style>
  <w:style w:type="character" w:styleId="Emphasis">
    <w:name w:val="Emphasis"/>
    <w:uiPriority w:val="20"/>
    <w:qFormat/>
    <w:locked/>
    <w:rsid w:val="00121786"/>
    <w:rPr>
      <w:i/>
      <w:iCs/>
    </w:rPr>
  </w:style>
  <w:style w:type="paragraph" w:customStyle="1" w:styleId="Footnotefortable">
    <w:name w:val="Footnote for table"/>
    <w:basedOn w:val="Normal"/>
    <w:rsid w:val="00121786"/>
    <w:pPr>
      <w:tabs>
        <w:tab w:val="left" w:pos="3780"/>
      </w:tabs>
      <w:autoSpaceDE w:val="0"/>
      <w:autoSpaceDN w:val="0"/>
      <w:adjustRightInd w:val="0"/>
      <w:snapToGrid w:val="0"/>
      <w:spacing w:after="360"/>
    </w:pPr>
    <w:rPr>
      <w:rFonts w:eastAsia="Calibri"/>
      <w:kern w:val="0"/>
      <w:sz w:val="20"/>
    </w:rPr>
  </w:style>
  <w:style w:type="paragraph" w:customStyle="1" w:styleId="Tabletextcolumnheads">
    <w:name w:val="Table text column heads"/>
    <w:basedOn w:val="Tabletext"/>
    <w:rsid w:val="00121786"/>
    <w:pPr>
      <w:spacing w:line="320" w:lineRule="atLeast"/>
      <w:ind w:left="0" w:firstLine="0"/>
    </w:pPr>
    <w:rPr>
      <w:rFonts w:eastAsia="Batang"/>
      <w:b/>
      <w:kern w:val="0"/>
      <w:sz w:val="24"/>
      <w:szCs w:val="24"/>
    </w:rPr>
  </w:style>
  <w:style w:type="paragraph" w:customStyle="1" w:styleId="Tabletextindented">
    <w:name w:val="Table text indented"/>
    <w:basedOn w:val="Tabletext"/>
    <w:rsid w:val="00121786"/>
    <w:pPr>
      <w:spacing w:line="200" w:lineRule="atLeast"/>
      <w:ind w:left="228" w:firstLine="0"/>
    </w:pPr>
    <w:rPr>
      <w:rFonts w:eastAsia="Batang"/>
      <w:kern w:val="0"/>
    </w:rPr>
  </w:style>
  <w:style w:type="paragraph" w:customStyle="1" w:styleId="TabletextAppxD">
    <w:name w:val="Table text AppxD"/>
    <w:basedOn w:val="Tabletext"/>
    <w:rsid w:val="00121786"/>
    <w:pPr>
      <w:spacing w:line="200" w:lineRule="atLeast"/>
      <w:ind w:left="270" w:hanging="270"/>
    </w:pPr>
    <w:rPr>
      <w:rFonts w:eastAsia="Batang"/>
      <w:kern w:val="0"/>
    </w:rPr>
  </w:style>
  <w:style w:type="paragraph" w:customStyle="1" w:styleId="ContentsHeading">
    <w:name w:val="Contents Heading"/>
    <w:basedOn w:val="Heading1"/>
    <w:rsid w:val="00121786"/>
    <w:pPr>
      <w:numPr>
        <w:numId w:val="0"/>
      </w:numPr>
      <w:tabs>
        <w:tab w:val="clear" w:pos="540"/>
      </w:tabs>
      <w:spacing w:before="480" w:after="240" w:line="640" w:lineRule="atLeast"/>
    </w:pPr>
    <w:rPr>
      <w:rFonts w:ascii="Arial Narrow" w:eastAsia="Batang" w:hAnsi="Arial Narrow"/>
      <w:color w:val="1F497D" w:themeColor="text2"/>
      <w:sz w:val="48"/>
      <w:szCs w:val="48"/>
    </w:rPr>
  </w:style>
  <w:style w:type="paragraph" w:customStyle="1" w:styleId="FMHeading">
    <w:name w:val="FM Heading"/>
    <w:basedOn w:val="Heading1"/>
    <w:next w:val="BodyText"/>
    <w:rsid w:val="00121786"/>
    <w:pPr>
      <w:numPr>
        <w:numId w:val="0"/>
      </w:numPr>
      <w:tabs>
        <w:tab w:val="clear" w:pos="540"/>
      </w:tabs>
      <w:spacing w:before="640" w:after="640" w:line="640" w:lineRule="atLeast"/>
    </w:pPr>
    <w:rPr>
      <w:rFonts w:ascii="Arial Narrow" w:eastAsia="Batang" w:hAnsi="Arial Narrow"/>
      <w:color w:val="1F497D" w:themeColor="text2"/>
      <w:sz w:val="48"/>
      <w:szCs w:val="48"/>
    </w:rPr>
  </w:style>
  <w:style w:type="paragraph" w:styleId="HTMLAddress">
    <w:name w:val="HTML Address"/>
    <w:basedOn w:val="Normal"/>
    <w:link w:val="HTMLAddressChar"/>
    <w:uiPriority w:val="99"/>
    <w:unhideWhenUsed/>
    <w:locked/>
    <w:rsid w:val="00121786"/>
    <w:rPr>
      <w:rFonts w:ascii="Times New Roman" w:eastAsia="Batang" w:hAnsi="Times New Roman"/>
      <w:kern w:val="0"/>
      <w:szCs w:val="24"/>
    </w:rPr>
  </w:style>
  <w:style w:type="character" w:customStyle="1" w:styleId="HTMLAddressChar">
    <w:name w:val="HTML Address Char"/>
    <w:basedOn w:val="DefaultParagraphFont"/>
    <w:link w:val="HTMLAddress"/>
    <w:uiPriority w:val="99"/>
    <w:rsid w:val="00121786"/>
    <w:rPr>
      <w:rFonts w:eastAsia="Batang"/>
      <w:sz w:val="24"/>
      <w:szCs w:val="24"/>
    </w:rPr>
  </w:style>
  <w:style w:type="paragraph" w:customStyle="1" w:styleId="Source">
    <w:name w:val="Source"/>
    <w:basedOn w:val="Normal"/>
    <w:next w:val="BodyText"/>
    <w:link w:val="SourceChar"/>
    <w:rsid w:val="00121786"/>
    <w:pPr>
      <w:keepLines/>
      <w:spacing w:before="40" w:line="180" w:lineRule="atLeast"/>
      <w:contextualSpacing/>
    </w:pPr>
    <w:rPr>
      <w:rFonts w:ascii="Arial" w:eastAsia="Batang" w:hAnsi="Arial"/>
      <w:kern w:val="0"/>
      <w:sz w:val="16"/>
      <w:szCs w:val="18"/>
    </w:rPr>
  </w:style>
  <w:style w:type="paragraph" w:customStyle="1" w:styleId="Tableheadingcenter">
    <w:name w:val="Table heading center"/>
    <w:basedOn w:val="Tabletext"/>
    <w:qFormat/>
    <w:rsid w:val="00121786"/>
    <w:pPr>
      <w:spacing w:line="200" w:lineRule="atLeast"/>
      <w:ind w:left="0" w:firstLine="0"/>
      <w:jc w:val="center"/>
    </w:pPr>
    <w:rPr>
      <w:rFonts w:eastAsia="Batang"/>
      <w:kern w:val="0"/>
    </w:rPr>
  </w:style>
  <w:style w:type="paragraph" w:customStyle="1" w:styleId="Tablenumbers">
    <w:name w:val="Table numbers"/>
    <w:rsid w:val="009111B4"/>
    <w:pPr>
      <w:keepNext/>
      <w:spacing w:before="20" w:after="20" w:line="200" w:lineRule="atLeast"/>
      <w:jc w:val="right"/>
    </w:pPr>
    <w:rPr>
      <w:rFonts w:ascii="Arial" w:eastAsia="Batang" w:hAnsi="Arial" w:cs="Arial"/>
      <w:snapToGrid w:val="0"/>
      <w:sz w:val="16"/>
    </w:rPr>
  </w:style>
  <w:style w:type="paragraph" w:styleId="Caption">
    <w:name w:val="caption"/>
    <w:basedOn w:val="Equation0"/>
    <w:next w:val="Normal"/>
    <w:uiPriority w:val="35"/>
    <w:unhideWhenUsed/>
    <w:qFormat/>
    <w:locked/>
    <w:rsid w:val="00121786"/>
  </w:style>
  <w:style w:type="table" w:styleId="MediumGrid3Accent1">
    <w:name w:val="Medium Grid 3 Accent 1"/>
    <w:aliases w:val="NCES DFD"/>
    <w:basedOn w:val="TableNormal"/>
    <w:rsid w:val="00121786"/>
    <w:rPr>
      <w:rFonts w:ascii="Arial" w:eastAsia="Batang" w:hAnsi="Arial"/>
      <w:sz w:val="18"/>
    </w:rPr>
    <w:tblPr>
      <w:tblStyleRowBandSize w:val="1"/>
      <w:tblStyleColBandSize w:val="1"/>
      <w:tblInd w:w="864" w:type="dxa"/>
      <w:tblBorders>
        <w:bottom w:val="single" w:sz="24" w:space="0" w:color="07275E"/>
      </w:tblBorders>
    </w:tblPr>
    <w:tcPr>
      <w:shd w:val="clear" w:color="auto" w:fill="EEF2F8"/>
      <w:vAlign w:val="bottom"/>
    </w:tcPr>
    <w:tblStylePr w:type="firstRow">
      <w:rPr>
        <w:b w:val="0"/>
        <w:bCs/>
        <w:i w:val="0"/>
        <w:iCs w:val="0"/>
        <w:color w:val="FFFFFF"/>
      </w:rPr>
      <w:tblPr/>
      <w:tcPr>
        <w:shd w:val="clear" w:color="auto" w:fill="0A357E"/>
      </w:tcPr>
    </w:tblStylePr>
    <w:tblStylePr w:type="lastRow">
      <w:rPr>
        <w:b w:val="0"/>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A357E"/>
      </w:tcPr>
    </w:tblStylePr>
    <w:tblStylePr w:type="firstCol">
      <w:pPr>
        <w:jc w:val="left"/>
      </w:pPr>
      <w:rPr>
        <w:b w:val="0"/>
        <w:bCs/>
        <w:i w:val="0"/>
        <w:iCs w:val="0"/>
        <w:color w:val="FFFFFF"/>
        <w:sz w:val="20"/>
      </w:rPr>
      <w:tblPr/>
      <w:tcPr>
        <w:tcBorders>
          <w:top w:val="nil"/>
          <w:left w:val="nil"/>
          <w:bottom w:val="nil"/>
          <w:right w:val="nil"/>
          <w:insideH w:val="nil"/>
          <w:insideV w:val="nil"/>
          <w:tl2br w:val="nil"/>
          <w:tr2bl w:val="nil"/>
        </w:tcBorders>
        <w:shd w:val="clear" w:color="auto" w:fill="0A357E"/>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A357E"/>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528CF1"/>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528CF1"/>
      </w:tcPr>
    </w:tblStylePr>
  </w:style>
  <w:style w:type="character" w:customStyle="1" w:styleId="SourceChar">
    <w:name w:val="Source Char"/>
    <w:link w:val="Source"/>
    <w:locked/>
    <w:rsid w:val="00121786"/>
    <w:rPr>
      <w:rFonts w:ascii="Arial" w:eastAsia="Batang" w:hAnsi="Arial"/>
      <w:sz w:val="16"/>
      <w:szCs w:val="18"/>
    </w:rPr>
  </w:style>
  <w:style w:type="paragraph" w:customStyle="1" w:styleId="Tableheadingleft">
    <w:name w:val="Table heading left"/>
    <w:basedOn w:val="Tabletext"/>
    <w:qFormat/>
    <w:rsid w:val="00121786"/>
    <w:pPr>
      <w:spacing w:line="200" w:lineRule="atLeast"/>
      <w:ind w:left="0" w:firstLine="0"/>
    </w:pPr>
    <w:rPr>
      <w:rFonts w:eastAsia="Batang"/>
      <w:kern w:val="0"/>
    </w:rPr>
  </w:style>
  <w:style w:type="paragraph" w:customStyle="1" w:styleId="0blankrow">
    <w:name w:val="0_blank row"/>
    <w:basedOn w:val="Normal"/>
    <w:qFormat/>
    <w:rsid w:val="00121786"/>
    <w:pPr>
      <w:keepNext/>
      <w:spacing w:line="160" w:lineRule="exact"/>
      <w:ind w:left="317" w:hanging="317"/>
    </w:pPr>
    <w:rPr>
      <w:rFonts w:ascii="Arial" w:eastAsia="Batang" w:hAnsi="Arial"/>
      <w:kern w:val="0"/>
      <w:sz w:val="18"/>
    </w:rPr>
  </w:style>
  <w:style w:type="paragraph" w:customStyle="1" w:styleId="Source1">
    <w:name w:val="Source1"/>
    <w:basedOn w:val="Normal"/>
    <w:next w:val="BodyText"/>
    <w:link w:val="Source1Char"/>
    <w:rsid w:val="00121786"/>
    <w:pPr>
      <w:spacing w:before="20" w:line="240" w:lineRule="atLeast"/>
    </w:pPr>
    <w:rPr>
      <w:rFonts w:ascii="Arial" w:eastAsia="Batang" w:hAnsi="Arial"/>
      <w:kern w:val="0"/>
      <w:sz w:val="16"/>
      <w:szCs w:val="18"/>
    </w:rPr>
  </w:style>
  <w:style w:type="character" w:customStyle="1" w:styleId="Source1Char">
    <w:name w:val="Source1 Char"/>
    <w:link w:val="Source1"/>
    <w:rsid w:val="00121786"/>
    <w:rPr>
      <w:rFonts w:ascii="Arial" w:eastAsia="Batang" w:hAnsi="Arial"/>
      <w:sz w:val="16"/>
      <w:szCs w:val="18"/>
    </w:rPr>
  </w:style>
  <w:style w:type="paragraph" w:styleId="NoSpacing">
    <w:name w:val="No Spacing"/>
    <w:uiPriority w:val="1"/>
    <w:qFormat/>
    <w:rsid w:val="00121786"/>
    <w:rPr>
      <w:rFonts w:ascii="Garamond" w:eastAsia="Garamond" w:hAnsi="Garamond"/>
      <w:sz w:val="22"/>
      <w:szCs w:val="22"/>
    </w:rPr>
  </w:style>
  <w:style w:type="paragraph" w:customStyle="1" w:styleId="Equation0">
    <w:name w:val="Equation"/>
    <w:basedOn w:val="Normal"/>
    <w:uiPriority w:val="99"/>
    <w:qFormat/>
    <w:rsid w:val="00121786"/>
    <w:pPr>
      <w:keepNext/>
      <w:tabs>
        <w:tab w:val="center" w:pos="4680"/>
        <w:tab w:val="right" w:pos="9360"/>
      </w:tabs>
      <w:spacing w:before="120" w:after="120" w:line="281" w:lineRule="auto"/>
    </w:pPr>
    <w:rPr>
      <w:rFonts w:eastAsia="Batang" w:asciiTheme="minorHAnsi" w:hAnsiTheme="minorHAnsi"/>
      <w:kern w:val="0"/>
    </w:rPr>
  </w:style>
  <w:style w:type="table" w:customStyle="1" w:styleId="NCESDFD1">
    <w:name w:val="NCES DFD1"/>
    <w:basedOn w:val="TableNormal"/>
    <w:next w:val="MediumGrid3Accent1"/>
    <w:rsid w:val="00121786"/>
    <w:rPr>
      <w:rFonts w:ascii="Arial" w:eastAsia="Batang" w:hAnsi="Arial"/>
      <w:sz w:val="18"/>
    </w:rPr>
    <w:tblPr>
      <w:tblStyleRowBandSize w:val="1"/>
      <w:tblStyleColBandSize w:val="1"/>
      <w:tblInd w:w="864" w:type="dxa"/>
      <w:tblBorders>
        <w:bottom w:val="single" w:sz="24" w:space="0" w:color="07275E"/>
      </w:tblBorders>
    </w:tblPr>
    <w:tcPr>
      <w:shd w:val="clear" w:color="auto" w:fill="EEF2F8"/>
      <w:vAlign w:val="bottom"/>
    </w:tcPr>
    <w:tblStylePr w:type="firstRow">
      <w:rPr>
        <w:b w:val="0"/>
        <w:bCs/>
        <w:i w:val="0"/>
        <w:iCs w:val="0"/>
        <w:color w:val="FFFFFF"/>
      </w:rPr>
      <w:tblPr/>
      <w:tcPr>
        <w:shd w:val="clear" w:color="auto" w:fill="0A357E"/>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A357E"/>
      </w:tcPr>
    </w:tblStylePr>
    <w:tblStylePr w:type="firstCol">
      <w:pPr>
        <w:jc w:val="left"/>
      </w:pPr>
      <w:rPr>
        <w:b/>
        <w:bCs/>
        <w:i w:val="0"/>
        <w:iCs w:val="0"/>
        <w:color w:val="FFFFFF"/>
        <w:sz w:val="20"/>
      </w:rPr>
      <w:tblPr/>
      <w:tcPr>
        <w:tcBorders>
          <w:top w:val="nil"/>
          <w:left w:val="nil"/>
          <w:bottom w:val="nil"/>
          <w:right w:val="nil"/>
          <w:insideH w:val="nil"/>
          <w:insideV w:val="nil"/>
          <w:tl2br w:val="nil"/>
          <w:tr2bl w:val="nil"/>
        </w:tcBorders>
        <w:shd w:val="clear" w:color="auto" w:fill="0A357E"/>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A357E"/>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528CF1"/>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528CF1"/>
      </w:tcPr>
    </w:tblStylePr>
  </w:style>
  <w:style w:type="paragraph" w:customStyle="1" w:styleId="Source2">
    <w:name w:val="Source2"/>
    <w:basedOn w:val="Source"/>
    <w:qFormat/>
    <w:rsid w:val="00121786"/>
    <w:pPr>
      <w:keepLines w:val="0"/>
      <w:spacing w:after="360" w:line="240" w:lineRule="auto"/>
    </w:pPr>
  </w:style>
  <w:style w:type="paragraph" w:customStyle="1" w:styleId="Bodynoindent">
    <w:name w:val="Body no indent"/>
    <w:basedOn w:val="Normal"/>
    <w:rsid w:val="00121786"/>
    <w:pPr>
      <w:spacing w:before="120" w:after="120" w:line="253" w:lineRule="atLeast"/>
    </w:pPr>
    <w:rPr>
      <w:rFonts w:ascii="Times New Roman" w:eastAsia="Batang" w:hAnsi="Times New Roman"/>
      <w:kern w:val="0"/>
    </w:rPr>
  </w:style>
  <w:style w:type="paragraph" w:customStyle="1" w:styleId="tableheadingleft0">
    <w:name w:val="table heading_left"/>
    <w:basedOn w:val="Tableheading"/>
    <w:qFormat/>
    <w:rsid w:val="00121786"/>
    <w:pPr>
      <w:spacing w:line="240" w:lineRule="atLeast"/>
      <w:jc w:val="left"/>
    </w:pPr>
    <w:rPr>
      <w:rFonts w:eastAsia="Batang"/>
      <w:kern w:val="0"/>
    </w:rPr>
  </w:style>
  <w:style w:type="paragraph" w:styleId="BodyTextIndent2">
    <w:name w:val="Body Text Indent 2"/>
    <w:basedOn w:val="Normal"/>
    <w:link w:val="BodyTextIndent2Char"/>
    <w:locked/>
    <w:rsid w:val="00121786"/>
    <w:pPr>
      <w:spacing w:after="120" w:line="480" w:lineRule="auto"/>
      <w:ind w:left="360"/>
    </w:pPr>
    <w:rPr>
      <w:rFonts w:ascii="Times New Roman" w:eastAsia="Batang" w:hAnsi="Times New Roman"/>
      <w:kern w:val="0"/>
    </w:rPr>
  </w:style>
  <w:style w:type="character" w:customStyle="1" w:styleId="BodyTextIndent2Char">
    <w:name w:val="Body Text Indent 2 Char"/>
    <w:basedOn w:val="DefaultParagraphFont"/>
    <w:link w:val="BodyTextIndent2"/>
    <w:rsid w:val="00121786"/>
    <w:rPr>
      <w:rFonts w:eastAsia="Batang"/>
      <w:sz w:val="24"/>
    </w:rPr>
  </w:style>
  <w:style w:type="paragraph" w:customStyle="1" w:styleId="FigureCaption">
    <w:name w:val="Figure Caption"/>
    <w:basedOn w:val="Caption"/>
    <w:qFormat/>
    <w:rsid w:val="00121786"/>
    <w:pPr>
      <w:keepLines/>
      <w:tabs>
        <w:tab w:val="left" w:pos="1080"/>
      </w:tabs>
      <w:spacing w:before="240"/>
      <w:ind w:left="1080" w:hanging="1080"/>
    </w:pPr>
    <w:rPr>
      <w:rFonts w:ascii="Arial" w:hAnsi="Arial"/>
      <w:kern w:val="2"/>
      <w:sz w:val="20"/>
      <w:lang w:eastAsia="ko-KR"/>
    </w:rPr>
  </w:style>
  <w:style w:type="paragraph" w:customStyle="1" w:styleId="Headerevenpage">
    <w:name w:val="Header even page"/>
    <w:rsid w:val="00121786"/>
    <w:pPr>
      <w:ind w:left="230" w:right="230"/>
    </w:pPr>
    <w:rPr>
      <w:rFonts w:ascii="Arial Narrow" w:eastAsia="Calibri" w:hAnsi="Arial Narrow"/>
      <w:caps/>
      <w:sz w:val="16"/>
      <w:szCs w:val="24"/>
    </w:rPr>
  </w:style>
  <w:style w:type="table" w:customStyle="1" w:styleId="Headerevenpageastable">
    <w:name w:val="Header even page as table"/>
    <w:basedOn w:val="TableNormal"/>
    <w:uiPriority w:val="99"/>
    <w:rsid w:val="00121786"/>
    <w:pPr>
      <w:tabs>
        <w:tab w:val="left" w:pos="230"/>
      </w:tabs>
      <w:spacing w:line="200" w:lineRule="exact"/>
    </w:pPr>
    <w:rPr>
      <w:rFonts w:ascii="Arial Narrow" w:eastAsia="Calibri" w:hAnsi="Arial Narrow"/>
      <w:caps/>
      <w:sz w:val="16"/>
    </w:rPr>
    <w:tblPr/>
    <w:trPr>
      <w:cantSplit/>
    </w:trPr>
    <w:tcPr>
      <w:tcMar>
        <w:left w:w="0" w:type="dxa"/>
        <w:right w:w="0" w:type="dxa"/>
      </w:tcMar>
      <w:vAlign w:val="bottom"/>
    </w:tcPr>
    <w:tblStylePr w:type="firstCol">
      <w:pPr>
        <w:jc w:val="center"/>
      </w:pPr>
      <w:rPr>
        <w:rFonts w:ascii="Britannic Bold" w:hAnsi="Britannic Bold"/>
        <w:sz w:val="16"/>
      </w:rPr>
      <w:tblPr/>
      <w:tcPr>
        <w:tcBorders>
          <w:left w:val="single" w:sz="4" w:space="0" w:color="auto"/>
          <w:right w:val="single" w:sz="4" w:space="0" w:color="auto"/>
        </w:tcBorders>
      </w:tcPr>
    </w:tblStylePr>
  </w:style>
  <w:style w:type="paragraph" w:customStyle="1" w:styleId="Footeroddpage">
    <w:name w:val="Footer odd page"/>
    <w:basedOn w:val="Footer"/>
    <w:rsid w:val="00121786"/>
    <w:pPr>
      <w:spacing w:line="200" w:lineRule="exact"/>
      <w:jc w:val="right"/>
    </w:pPr>
    <w:rPr>
      <w:rFonts w:ascii="Arial Narrow" w:eastAsia="Batang" w:hAnsi="Arial Narrow"/>
      <w:caps/>
      <w:kern w:val="0"/>
      <w:sz w:val="16"/>
      <w:szCs w:val="24"/>
    </w:rPr>
  </w:style>
  <w:style w:type="paragraph" w:customStyle="1" w:styleId="Footerevenpage">
    <w:name w:val="Footer even page"/>
    <w:basedOn w:val="Footeroddpage"/>
    <w:rsid w:val="00121786"/>
    <w:pPr>
      <w:jc w:val="left"/>
    </w:pPr>
  </w:style>
  <w:style w:type="table" w:customStyle="1" w:styleId="GridTable4-Accent11">
    <w:name w:val="Grid Table 4 - Accent 11"/>
    <w:basedOn w:val="TableNormal"/>
    <w:uiPriority w:val="49"/>
    <w:rsid w:val="00121786"/>
    <w:rPr>
      <w:rFonts w:ascii="Adobe Garamond Pro" w:eastAsia="Batang" w:hAnsi="Adobe Garamond Pro"/>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val="0"/>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customStyle="1" w:styleId="HeaderOddPage">
    <w:name w:val="Header Odd Page"/>
    <w:basedOn w:val="Headerevenpage"/>
    <w:rsid w:val="00121786"/>
    <w:pPr>
      <w:jc w:val="right"/>
    </w:pPr>
  </w:style>
  <w:style w:type="paragraph" w:customStyle="1" w:styleId="Headeroddpage0">
    <w:name w:val="Header odd page"/>
    <w:basedOn w:val="Normal"/>
    <w:rsid w:val="00121786"/>
    <w:pPr>
      <w:tabs>
        <w:tab w:val="left" w:pos="230"/>
      </w:tabs>
      <w:spacing w:line="200" w:lineRule="exact"/>
      <w:ind w:left="230" w:right="230"/>
      <w:jc w:val="right"/>
    </w:pPr>
    <w:rPr>
      <w:rFonts w:ascii="Arial Narrow" w:eastAsia="Calibri" w:hAnsi="Arial Narrow"/>
      <w:caps/>
      <w:kern w:val="0"/>
      <w:sz w:val="16"/>
    </w:rPr>
  </w:style>
  <w:style w:type="paragraph" w:customStyle="1" w:styleId="Blankrow">
    <w:name w:val="Blank row"/>
    <w:basedOn w:val="Normal"/>
    <w:rsid w:val="00121786"/>
    <w:pPr>
      <w:keepNext/>
      <w:spacing w:line="180" w:lineRule="atLeast"/>
      <w:ind w:left="317" w:hanging="317"/>
    </w:pPr>
    <w:rPr>
      <w:rFonts w:ascii="Arial" w:hAnsi="Arial" w:eastAsiaTheme="minorHAnsi" w:cs="Arial"/>
      <w:kern w:val="0"/>
      <w:sz w:val="18"/>
      <w:szCs w:val="18"/>
      <w:lang w:bidi="he-IL"/>
    </w:rPr>
  </w:style>
  <w:style w:type="paragraph" w:styleId="ListContinue">
    <w:name w:val="List Continue"/>
    <w:basedOn w:val="Normal"/>
    <w:semiHidden/>
    <w:unhideWhenUsed/>
    <w:locked/>
    <w:rsid w:val="00121786"/>
    <w:pPr>
      <w:spacing w:after="120" w:line="320" w:lineRule="atLeast"/>
      <w:ind w:left="360"/>
      <w:contextualSpacing/>
    </w:pPr>
    <w:rPr>
      <w:rFonts w:eastAsia="Batang"/>
      <w:kern w:val="0"/>
      <w:szCs w:val="24"/>
    </w:rPr>
  </w:style>
  <w:style w:type="paragraph" w:customStyle="1" w:styleId="Nospace">
    <w:name w:val="No space"/>
    <w:basedOn w:val="BodyText"/>
    <w:next w:val="BlockText"/>
    <w:rsid w:val="00121786"/>
    <w:pPr>
      <w:spacing w:before="0" w:after="0"/>
      <w:ind w:left="720" w:right="720"/>
    </w:pPr>
    <w:rPr>
      <w:rFonts w:eastAsia="Batang"/>
      <w:sz w:val="8"/>
      <w:szCs w:val="8"/>
    </w:rPr>
  </w:style>
  <w:style w:type="paragraph" w:customStyle="1" w:styleId="blankrow0">
    <w:name w:val="blank row"/>
    <w:basedOn w:val="Normal"/>
    <w:qFormat/>
    <w:rsid w:val="00121786"/>
    <w:pPr>
      <w:keepNext/>
      <w:spacing w:line="160" w:lineRule="exact"/>
      <w:ind w:left="317" w:hanging="317"/>
    </w:pPr>
    <w:rPr>
      <w:rFonts w:ascii="Arial" w:eastAsia="Batang" w:hAnsi="Arial"/>
      <w:kern w:val="0"/>
      <w:sz w:val="18"/>
    </w:rPr>
  </w:style>
  <w:style w:type="paragraph" w:customStyle="1" w:styleId="Heading1Front-BackMatter">
    <w:name w:val="Heading 1 Front-Back Matter"/>
    <w:basedOn w:val="Heading1"/>
    <w:next w:val="BodyText"/>
    <w:rsid w:val="00121786"/>
    <w:pPr>
      <w:numPr>
        <w:numId w:val="0"/>
      </w:numPr>
      <w:tabs>
        <w:tab w:val="clear" w:pos="540"/>
      </w:tabs>
      <w:spacing w:before="640" w:after="640" w:line="640" w:lineRule="atLeast"/>
    </w:pPr>
    <w:rPr>
      <w:rFonts w:ascii="Arial Narrow" w:eastAsia="Batang" w:hAnsi="Arial Narrow"/>
      <w:color w:val="1F497D" w:themeColor="text2"/>
      <w:sz w:val="48"/>
      <w:szCs w:val="48"/>
    </w:rPr>
  </w:style>
  <w:style w:type="paragraph" w:customStyle="1" w:styleId="Reference">
    <w:name w:val="Reference"/>
    <w:basedOn w:val="BodyText"/>
    <w:qFormat/>
    <w:rsid w:val="00121786"/>
    <w:pPr>
      <w:spacing w:before="0" w:after="240"/>
      <w:ind w:left="1080" w:right="720" w:hanging="360"/>
    </w:pPr>
    <w:rPr>
      <w:rFonts w:asciiTheme="minorHAnsi" w:eastAsiaTheme="minorHAnsi" w:hAnsiTheme="minorHAnsi" w:cstheme="minorBidi"/>
      <w:sz w:val="22"/>
      <w:szCs w:val="22"/>
    </w:rPr>
  </w:style>
  <w:style w:type="paragraph" w:customStyle="1" w:styleId="Contents">
    <w:name w:val="Contents"/>
    <w:basedOn w:val="Heading1"/>
    <w:rsid w:val="00121786"/>
    <w:pPr>
      <w:keepLines/>
      <w:numPr>
        <w:numId w:val="0"/>
      </w:numPr>
      <w:tabs>
        <w:tab w:val="clear" w:pos="540"/>
      </w:tabs>
      <w:suppressAutoHyphens/>
      <w:spacing w:before="480" w:after="240" w:line="640" w:lineRule="atLeast"/>
      <w:ind w:left="720" w:right="720"/>
    </w:pPr>
    <w:rPr>
      <w:rFonts w:asciiTheme="majorHAnsi" w:eastAsiaTheme="majorEastAsia" w:hAnsiTheme="majorHAnsi" w:cstheme="majorBidi"/>
      <w:bCs/>
      <w:color w:val="1F497D" w:themeColor="text2"/>
      <w:sz w:val="36"/>
      <w:szCs w:val="28"/>
    </w:rPr>
  </w:style>
  <w:style w:type="paragraph" w:styleId="Subtitle">
    <w:name w:val="Subtitle"/>
    <w:basedOn w:val="Normal"/>
    <w:next w:val="Normal"/>
    <w:link w:val="SubtitleChar"/>
    <w:qFormat/>
    <w:locked/>
    <w:rsid w:val="00121786"/>
    <w:pPr>
      <w:spacing w:line="320" w:lineRule="atLeast"/>
      <w:ind w:left="1440"/>
      <w:outlineLvl w:val="0"/>
    </w:pPr>
    <w:rPr>
      <w:rFonts w:asciiTheme="majorHAnsi" w:eastAsiaTheme="minorHAnsi" w:hAnsiTheme="majorHAnsi" w:cstheme="minorBidi"/>
      <w:b/>
      <w:color w:val="000000" w:themeColor="text1"/>
      <w:kern w:val="0"/>
      <w:sz w:val="36"/>
      <w:szCs w:val="36"/>
    </w:rPr>
  </w:style>
  <w:style w:type="character" w:customStyle="1" w:styleId="SubtitleChar">
    <w:name w:val="Subtitle Char"/>
    <w:basedOn w:val="DefaultParagraphFont"/>
    <w:link w:val="Subtitle"/>
    <w:rsid w:val="00121786"/>
    <w:rPr>
      <w:rFonts w:asciiTheme="majorHAnsi" w:eastAsiaTheme="minorHAnsi" w:hAnsiTheme="majorHAnsi" w:cstheme="minorBidi"/>
      <w:b/>
      <w:color w:val="000000" w:themeColor="text1"/>
      <w:sz w:val="36"/>
      <w:szCs w:val="36"/>
    </w:rPr>
  </w:style>
  <w:style w:type="paragraph" w:customStyle="1" w:styleId="Author">
    <w:name w:val="Author"/>
    <w:basedOn w:val="BodyText"/>
    <w:rsid w:val="00121786"/>
    <w:pPr>
      <w:spacing w:before="0" w:after="0" w:line="280" w:lineRule="atLeast"/>
      <w:ind w:left="1440" w:right="720"/>
    </w:pPr>
    <w:rPr>
      <w:rFonts w:asciiTheme="majorHAnsi" w:eastAsiaTheme="minorHAnsi" w:hAnsiTheme="majorHAnsi" w:cstheme="minorBidi"/>
      <w:color w:val="4F81BD" w:themeColor="accent1"/>
      <w:sz w:val="20"/>
    </w:rPr>
  </w:style>
  <w:style w:type="paragraph" w:customStyle="1" w:styleId="AuthorCover">
    <w:name w:val="Author Cover"/>
    <w:basedOn w:val="BodyText"/>
    <w:link w:val="AuthorCoverChar"/>
    <w:semiHidden/>
    <w:rsid w:val="00121786"/>
    <w:pPr>
      <w:spacing w:before="0" w:after="0" w:line="280" w:lineRule="atLeast"/>
      <w:jc w:val="right"/>
    </w:pPr>
    <w:rPr>
      <w:rFonts w:asciiTheme="majorHAnsi" w:eastAsiaTheme="minorHAnsi" w:hAnsiTheme="majorHAnsi" w:cstheme="minorBidi"/>
      <w:color w:val="1F497D" w:themeColor="text2"/>
    </w:rPr>
  </w:style>
  <w:style w:type="character" w:customStyle="1" w:styleId="AuthorCoverChar">
    <w:name w:val="Author Cover Char"/>
    <w:basedOn w:val="BodyTextChar"/>
    <w:link w:val="AuthorCover"/>
    <w:semiHidden/>
    <w:rsid w:val="00121786"/>
    <w:rPr>
      <w:rFonts w:asciiTheme="majorHAnsi" w:eastAsiaTheme="minorHAnsi" w:hAnsiTheme="majorHAnsi" w:cstheme="minorBidi"/>
      <w:color w:val="1F497D" w:themeColor="text2"/>
      <w:kern w:val="16"/>
      <w:sz w:val="24"/>
    </w:rPr>
  </w:style>
  <w:style w:type="paragraph" w:customStyle="1" w:styleId="TitleCover">
    <w:name w:val="Title Cover"/>
    <w:semiHidden/>
    <w:rsid w:val="00121786"/>
    <w:pPr>
      <w:suppressAutoHyphens/>
      <w:spacing w:line="600" w:lineRule="exact"/>
    </w:pPr>
    <w:rPr>
      <w:rFonts w:asciiTheme="majorHAnsi" w:eastAsiaTheme="minorHAnsi" w:hAnsiTheme="majorHAnsi" w:cstheme="minorBidi"/>
      <w:b/>
      <w:color w:val="1F497D" w:themeColor="text2"/>
      <w:sz w:val="60"/>
      <w:szCs w:val="60"/>
    </w:rPr>
  </w:style>
  <w:style w:type="paragraph" w:customStyle="1" w:styleId="SubtitleCover">
    <w:name w:val="Subtitle Cover"/>
    <w:semiHidden/>
    <w:rsid w:val="00121786"/>
    <w:pPr>
      <w:suppressAutoHyphens/>
      <w:spacing w:line="320" w:lineRule="atLeast"/>
    </w:pPr>
    <w:rPr>
      <w:rFonts w:asciiTheme="majorHAnsi" w:eastAsiaTheme="minorHAnsi" w:hAnsiTheme="majorHAnsi" w:cstheme="minorBidi"/>
      <w:b/>
      <w:color w:val="000000" w:themeColor="text1"/>
      <w:sz w:val="36"/>
      <w:szCs w:val="36"/>
    </w:rPr>
  </w:style>
  <w:style w:type="paragraph" w:customStyle="1" w:styleId="FigureTitle0">
    <w:name w:val="Figure Title"/>
    <w:basedOn w:val="TableTitle"/>
    <w:link w:val="FigureTitleChar"/>
    <w:qFormat/>
    <w:rsid w:val="00121786"/>
    <w:pPr>
      <w:keepNext w:val="0"/>
      <w:spacing w:before="360" w:after="120" w:line="320" w:lineRule="atLeast"/>
      <w:ind w:left="720" w:right="720" w:firstLine="0"/>
    </w:pPr>
    <w:rPr>
      <w:rFonts w:asciiTheme="majorHAnsi" w:eastAsiaTheme="minorHAnsi" w:hAnsiTheme="majorHAnsi" w:cstheme="minorBidi"/>
      <w:kern w:val="2"/>
      <w:sz w:val="18"/>
    </w:rPr>
  </w:style>
  <w:style w:type="character" w:customStyle="1" w:styleId="FigureTitleChar">
    <w:name w:val="Figure Title Char"/>
    <w:basedOn w:val="TableTitleChar"/>
    <w:link w:val="FigureTitle0"/>
    <w:rsid w:val="00121786"/>
    <w:rPr>
      <w:rFonts w:asciiTheme="majorHAnsi" w:eastAsiaTheme="minorHAnsi" w:hAnsiTheme="majorHAnsi" w:cstheme="minorBidi"/>
      <w:b/>
      <w:kern w:val="2"/>
      <w:sz w:val="18"/>
      <w:lang w:val="en-US" w:eastAsia="en-US" w:bidi="ar-SA"/>
    </w:rPr>
  </w:style>
  <w:style w:type="table" w:customStyle="1" w:styleId="LightGrid-Accent11">
    <w:name w:val="Light Grid - Accent 11"/>
    <w:basedOn w:val="TableNormal"/>
    <w:rsid w:val="00121786"/>
    <w:rPr>
      <w:rFonts w:asciiTheme="minorHAnsi" w:eastAsiaTheme="minorHAnsi" w:hAnsiTheme="minorHAnsi" w:cstheme="minorBidi"/>
      <w:sz w:val="22"/>
      <w:szCs w:val="22"/>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customStyle="1" w:styleId="MediumShading1-Accent11">
    <w:name w:val="Medium Shading 1 - Accent 11"/>
    <w:basedOn w:val="TableNormal"/>
    <w:rsid w:val="00121786"/>
    <w:rPr>
      <w:rFonts w:asciiTheme="minorHAnsi" w:eastAsiaTheme="minorHAnsi" w:hAnsiTheme="minorHAnsi" w:cstheme="minorBidi"/>
      <w:sz w:val="22"/>
      <w:szCs w:val="22"/>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customStyle="1" w:styleId="Tablecolumnhead">
    <w:name w:val="Table column head"/>
    <w:basedOn w:val="Tabletext"/>
    <w:rsid w:val="00121786"/>
    <w:pPr>
      <w:spacing w:line="200" w:lineRule="atLeast"/>
      <w:ind w:left="0" w:firstLine="0"/>
    </w:pPr>
    <w:rPr>
      <w:rFonts w:eastAsia="Batang"/>
      <w:kern w:val="0"/>
    </w:rPr>
  </w:style>
  <w:style w:type="paragraph" w:customStyle="1" w:styleId="RTIlogotagline">
    <w:name w:val="RTI logo tagline"/>
    <w:rsid w:val="00121786"/>
    <w:pPr>
      <w:ind w:left="648"/>
    </w:pPr>
    <w:rPr>
      <w:rFonts w:asciiTheme="majorHAnsi" w:eastAsiaTheme="minorHAnsi" w:hAnsiTheme="majorHAnsi" w:cstheme="minorBidi"/>
      <w:color w:val="4F81BD" w:themeColor="accent1"/>
      <w:sz w:val="18"/>
      <w:szCs w:val="18"/>
    </w:rPr>
  </w:style>
  <w:style w:type="paragraph" w:customStyle="1" w:styleId="RTIlogobox">
    <w:name w:val="RTI logo box"/>
    <w:rsid w:val="00121786"/>
    <w:pPr>
      <w:ind w:left="648"/>
    </w:pPr>
    <w:rPr>
      <w:rFonts w:asciiTheme="majorHAnsi" w:eastAsiaTheme="minorHAnsi" w:hAnsiTheme="majorHAnsi" w:cstheme="minorBidi"/>
      <w:color w:val="4F81BD" w:themeColor="accent1"/>
    </w:rPr>
  </w:style>
  <w:style w:type="table" w:styleId="ColorfulListAccent3">
    <w:name w:val="Colorful List Accent 3"/>
    <w:basedOn w:val="TableNormal"/>
    <w:rsid w:val="00121786"/>
    <w:rPr>
      <w:rFonts w:asciiTheme="minorHAnsi" w:eastAsiaTheme="minorHAnsi" w:hAnsiTheme="minorHAnsi" w:cstheme="minorBidi"/>
      <w:color w:val="000000" w:themeColor="text1"/>
      <w:sz w:val="22"/>
      <w:szCs w:val="22"/>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paragraph" w:customStyle="1" w:styleId="bodytextpsg">
    <w:name w:val="body text_psg"/>
    <w:basedOn w:val="Normal"/>
    <w:link w:val="bodytextpsgChar"/>
    <w:rsid w:val="00121786"/>
    <w:pPr>
      <w:spacing w:after="240" w:line="320" w:lineRule="exact"/>
      <w:ind w:firstLine="720"/>
    </w:pPr>
    <w:rPr>
      <w:rFonts w:ascii="Times New Roman" w:hAnsi="Times New Roman"/>
      <w:kern w:val="0"/>
      <w:sz w:val="22"/>
    </w:rPr>
  </w:style>
  <w:style w:type="character" w:customStyle="1" w:styleId="bodytextpsgChar">
    <w:name w:val="body text_psg Char"/>
    <w:link w:val="bodytextpsg"/>
    <w:rsid w:val="00121786"/>
    <w:rPr>
      <w:sz w:val="22"/>
    </w:rPr>
  </w:style>
  <w:style w:type="paragraph" w:customStyle="1" w:styleId="BodyText1">
    <w:name w:val="Body Text1"/>
    <w:basedOn w:val="Normal"/>
    <w:rsid w:val="00121786"/>
    <w:pPr>
      <w:spacing w:after="240" w:line="320" w:lineRule="exact"/>
      <w:ind w:firstLine="720"/>
    </w:pPr>
    <w:rPr>
      <w:rFonts w:ascii="Times New Roman" w:hAnsi="Times New Roman"/>
      <w:kern w:val="0"/>
      <w:sz w:val="22"/>
    </w:rPr>
  </w:style>
  <w:style w:type="paragraph" w:customStyle="1" w:styleId="bullets">
    <w:name w:val="bullets"/>
    <w:basedOn w:val="Normal"/>
    <w:link w:val="bulletsChar"/>
    <w:rsid w:val="00121786"/>
    <w:pPr>
      <w:numPr>
        <w:numId w:val="15"/>
      </w:numPr>
      <w:tabs>
        <w:tab w:val="num" w:pos="-31680"/>
        <w:tab w:val="clear" w:pos="720"/>
      </w:tabs>
      <w:spacing w:after="60"/>
      <w:ind w:left="1080"/>
    </w:pPr>
    <w:rPr>
      <w:rFonts w:ascii="Times New Roman" w:hAnsi="Times New Roman"/>
      <w:kern w:val="0"/>
    </w:rPr>
  </w:style>
  <w:style w:type="character" w:customStyle="1" w:styleId="bulletsChar">
    <w:name w:val="bullets Char"/>
    <w:aliases w:val="bu Char,bu Char Char,bullets Char Char"/>
    <w:link w:val="bullets"/>
    <w:rsid w:val="00121786"/>
    <w:rPr>
      <w:sz w:val="24"/>
    </w:rPr>
  </w:style>
  <w:style w:type="paragraph" w:customStyle="1" w:styleId="a2colbul">
    <w:name w:val="a2col_bul"/>
    <w:basedOn w:val="bullets"/>
    <w:rsid w:val="00121786"/>
    <w:pPr>
      <w:ind w:left="342"/>
    </w:pPr>
  </w:style>
  <w:style w:type="paragraph" w:customStyle="1" w:styleId="aft-12-0">
    <w:name w:val="aft-12-0"/>
    <w:basedOn w:val="Normal"/>
    <w:rsid w:val="00121786"/>
    <w:pPr>
      <w:spacing w:before="240" w:after="240"/>
    </w:pPr>
    <w:rPr>
      <w:rFonts w:ascii="Times New Roman" w:hAnsi="Times New Roman"/>
      <w:kern w:val="0"/>
    </w:rPr>
  </w:style>
  <w:style w:type="paragraph" w:customStyle="1" w:styleId="bulletslast">
    <w:name w:val="bullets_last"/>
    <w:basedOn w:val="bullets"/>
    <w:next w:val="Normal"/>
    <w:qFormat/>
    <w:rsid w:val="00121786"/>
    <w:pPr>
      <w:numPr>
        <w:numId w:val="16"/>
      </w:numPr>
      <w:tabs>
        <w:tab w:val="clear" w:pos="360"/>
        <w:tab w:val="num" w:pos="720"/>
      </w:tabs>
      <w:spacing w:after="240"/>
      <w:ind w:left="1080"/>
    </w:pPr>
    <w:rPr>
      <w:sz w:val="22"/>
    </w:rPr>
  </w:style>
  <w:style w:type="paragraph" w:customStyle="1" w:styleId="bodytext-db">
    <w:name w:val="body text-db"/>
    <w:basedOn w:val="Normal"/>
    <w:rsid w:val="00121786"/>
    <w:pPr>
      <w:spacing w:after="240"/>
      <w:ind w:firstLine="720"/>
    </w:pPr>
    <w:rPr>
      <w:rFonts w:ascii="Times New Roman" w:hAnsi="Times New Roman"/>
      <w:kern w:val="0"/>
    </w:rPr>
  </w:style>
  <w:style w:type="paragraph" w:customStyle="1" w:styleId="aft-12">
    <w:name w:val="aft-12"/>
    <w:basedOn w:val="bodytext-db"/>
    <w:rsid w:val="00121786"/>
    <w:pPr>
      <w:spacing w:before="240"/>
    </w:pPr>
  </w:style>
  <w:style w:type="paragraph" w:customStyle="1" w:styleId="bullets-2ndlevel">
    <w:name w:val="bullets-2nd level"/>
    <w:basedOn w:val="Normal"/>
    <w:next w:val="Normal"/>
    <w:qFormat/>
    <w:rsid w:val="00121786"/>
    <w:pPr>
      <w:numPr>
        <w:numId w:val="17"/>
      </w:numPr>
      <w:ind w:left="1440"/>
    </w:pPr>
    <w:rPr>
      <w:rFonts w:ascii="Times New Roman" w:hAnsi="Times New Roman"/>
      <w:kern w:val="0"/>
      <w:sz w:val="22"/>
    </w:rPr>
  </w:style>
  <w:style w:type="paragraph" w:customStyle="1" w:styleId="TableExhibitSource">
    <w:name w:val="TableExhibitSource"/>
    <w:basedOn w:val="BodyText"/>
    <w:rsid w:val="00121786"/>
    <w:pPr>
      <w:keepLines/>
      <w:spacing w:before="40" w:after="360"/>
      <w:contextualSpacing/>
    </w:pPr>
    <w:rPr>
      <w:rFonts w:asciiTheme="majorHAnsi" w:eastAsiaTheme="minorHAnsi" w:hAnsiTheme="majorHAnsi" w:cs="Arial"/>
      <w:sz w:val="16"/>
      <w:szCs w:val="18"/>
    </w:rPr>
  </w:style>
  <w:style w:type="paragraph" w:customStyle="1" w:styleId="ExhbitTitlecontinued">
    <w:name w:val="Exhbit Title continued"/>
    <w:basedOn w:val="Normal"/>
    <w:rsid w:val="00121786"/>
    <w:pPr>
      <w:keepNext/>
      <w:keepLines/>
      <w:suppressAutoHyphens/>
      <w:spacing w:before="480" w:after="60"/>
    </w:pPr>
    <w:rPr>
      <w:rFonts w:asciiTheme="majorHAnsi" w:eastAsiaTheme="minorHAnsi" w:hAnsiTheme="majorHAnsi" w:cstheme="minorBidi"/>
      <w:b/>
      <w:kern w:val="0"/>
      <w:sz w:val="20"/>
    </w:rPr>
  </w:style>
  <w:style w:type="paragraph" w:customStyle="1" w:styleId="Tabletextcol1">
    <w:name w:val="Table text col.1"/>
    <w:basedOn w:val="Tabletext"/>
    <w:rsid w:val="00121786"/>
    <w:pPr>
      <w:spacing w:line="200" w:lineRule="atLeast"/>
      <w:ind w:left="0" w:firstLine="0"/>
    </w:pPr>
    <w:rPr>
      <w:rFonts w:eastAsia="Batang"/>
      <w:kern w:val="0"/>
    </w:rPr>
  </w:style>
  <w:style w:type="paragraph" w:customStyle="1" w:styleId="Source-8pt">
    <w:name w:val="Source - 8pt"/>
    <w:basedOn w:val="Normal"/>
    <w:qFormat/>
    <w:rsid w:val="00121786"/>
    <w:rPr>
      <w:rFonts w:ascii="Arial" w:hAnsi="Arial"/>
      <w:kern w:val="0"/>
      <w:sz w:val="16"/>
      <w:szCs w:val="16"/>
    </w:rPr>
  </w:style>
  <w:style w:type="paragraph" w:customStyle="1" w:styleId="Source-last8pt">
    <w:name w:val="Source - last 8pt"/>
    <w:basedOn w:val="Source-8pt"/>
    <w:qFormat/>
    <w:rsid w:val="00121786"/>
    <w:pPr>
      <w:spacing w:after="240"/>
    </w:pPr>
    <w:rPr>
      <w:szCs w:val="18"/>
    </w:rPr>
  </w:style>
  <w:style w:type="paragraph" w:customStyle="1" w:styleId="Source-last">
    <w:name w:val="Source - last"/>
    <w:basedOn w:val="Normal"/>
    <w:qFormat/>
    <w:rsid w:val="00121786"/>
    <w:pPr>
      <w:spacing w:after="240"/>
    </w:pPr>
    <w:rPr>
      <w:rFonts w:ascii="Arial" w:hAnsi="Arial"/>
      <w:kern w:val="0"/>
      <w:sz w:val="18"/>
      <w:szCs w:val="16"/>
    </w:rPr>
  </w:style>
  <w:style w:type="character" w:customStyle="1" w:styleId="UnresolvedMention2">
    <w:name w:val="Unresolved Mention2"/>
    <w:basedOn w:val="DefaultParagraphFont"/>
    <w:uiPriority w:val="99"/>
    <w:semiHidden/>
    <w:unhideWhenUsed/>
    <w:rsid w:val="000123C3"/>
    <w:rPr>
      <w:color w:val="605E5C"/>
      <w:shd w:val="clear" w:color="auto" w:fill="E1DFDD"/>
    </w:rPr>
  </w:style>
  <w:style w:type="character" w:customStyle="1" w:styleId="UnresolvedMention3">
    <w:name w:val="Unresolved Mention3"/>
    <w:basedOn w:val="DefaultParagraphFont"/>
    <w:uiPriority w:val="99"/>
    <w:semiHidden/>
    <w:unhideWhenUsed/>
    <w:rsid w:val="001D30FC"/>
    <w:rPr>
      <w:color w:val="605E5C"/>
      <w:shd w:val="clear" w:color="auto" w:fill="E1DFDD"/>
    </w:rPr>
  </w:style>
  <w:style w:type="character" w:customStyle="1" w:styleId="UnresolvedMention4">
    <w:name w:val="Unresolved Mention4"/>
    <w:basedOn w:val="DefaultParagraphFont"/>
    <w:uiPriority w:val="99"/>
    <w:semiHidden/>
    <w:unhideWhenUsed/>
    <w:rsid w:val="00690F5B"/>
    <w:rPr>
      <w:color w:val="605E5C"/>
      <w:shd w:val="clear" w:color="auto" w:fill="E1DFDD"/>
    </w:rPr>
  </w:style>
  <w:style w:type="character" w:styleId="UnresolvedMention">
    <w:name w:val="Unresolved Mention"/>
    <w:basedOn w:val="DefaultParagraphFont"/>
    <w:uiPriority w:val="99"/>
    <w:unhideWhenUsed/>
    <w:rsid w:val="001708C0"/>
    <w:rPr>
      <w:color w:val="605E5C"/>
      <w:shd w:val="clear" w:color="auto" w:fill="E1DFDD"/>
    </w:rPr>
  </w:style>
  <w:style w:type="character" w:styleId="Mention">
    <w:name w:val="Mention"/>
    <w:basedOn w:val="DefaultParagraphFont"/>
    <w:uiPriority w:val="99"/>
    <w:unhideWhenUsed/>
    <w:rPr>
      <w:color w:val="2B579A"/>
      <w:shd w:val="clear" w:color="auto" w:fill="E6E6E6"/>
    </w:rPr>
  </w:style>
  <w:style w:type="paragraph" w:customStyle="1" w:styleId="paragraph">
    <w:name w:val="paragraph"/>
    <w:basedOn w:val="Normal"/>
    <w:rsid w:val="00D43A80"/>
    <w:pPr>
      <w:spacing w:before="100" w:beforeAutospacing="1" w:after="100" w:afterAutospacing="1"/>
    </w:pPr>
    <w:rPr>
      <w:rFonts w:ascii="Times New Roman" w:hAnsi="Times New Roman"/>
      <w:kern w:val="0"/>
      <w:szCs w:val="24"/>
    </w:rPr>
  </w:style>
  <w:style w:type="character" w:customStyle="1" w:styleId="normaltextrun">
    <w:name w:val="normaltextrun"/>
    <w:basedOn w:val="DefaultParagraphFont"/>
    <w:rsid w:val="00D43A80"/>
  </w:style>
  <w:style w:type="character" w:customStyle="1" w:styleId="eop">
    <w:name w:val="eop"/>
    <w:basedOn w:val="DefaultParagraphFont"/>
    <w:rsid w:val="00D43A80"/>
  </w:style>
  <w:style w:type="paragraph" w:customStyle="1" w:styleId="bullets2nd-level">
    <w:name w:val="bullets_2nd-level"/>
    <w:basedOn w:val="Normal"/>
    <w:rsid w:val="00511A5F"/>
    <w:pPr>
      <w:spacing w:after="80"/>
      <w:ind w:left="990" w:hanging="288"/>
    </w:pPr>
    <w:rPr>
      <w:rFonts w:eastAsia="SimSun"/>
      <w:kern w:val="0"/>
      <w:szCs w:val="22"/>
      <w:lang w:eastAsia="zh-CN"/>
    </w:rPr>
  </w:style>
  <w:style w:type="paragraph" w:styleId="TableofFigures">
    <w:name w:val="table of figures"/>
    <w:basedOn w:val="Normal"/>
    <w:next w:val="Normal"/>
    <w:uiPriority w:val="99"/>
    <w:unhideWhenUsed/>
    <w:locked/>
    <w:rsid w:val="00B60D3C"/>
  </w:style>
  <w:style w:type="table" w:styleId="GridTableLight">
    <w:name w:val="Grid Table Light"/>
    <w:basedOn w:val="TableNormal"/>
    <w:uiPriority w:val="40"/>
    <w:rsid w:val="002F1BDA"/>
    <w:rPr>
      <w:rFonts w:asciiTheme="minorHAnsi" w:eastAsiaTheme="minorHAnsi" w:hAnsiTheme="minorHAnsi" w:cstheme="minorBidi"/>
      <w:sz w:val="22"/>
      <w:szCs w:val="22"/>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12" Type="http://schemas.microsoft.com/office/2011/relationships/people" Target="people.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footer" Target="footer4.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Arial - Garamon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230DF8-93B9-464C-9AA4-A2725A6D3A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15</Pages>
  <Words>7734</Words>
  <Characters>44087</Characters>
  <Application>Microsoft Office Word</Application>
  <DocSecurity>0</DocSecurity>
  <Lines>367</Lines>
  <Paragraphs>103</Paragraphs>
  <ScaleCrop>false</ScaleCrop>
  <Company/>
  <LinksUpToDate>false</LinksUpToDate>
  <CharactersWithSpaces>51718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Wilson, Ashley</dc:creator>
  <cp:lastModifiedBy>Clarady, Carrie</cp:lastModifiedBy>
  <cp:revision>5</cp:revision>
  <dcterms:created xsi:type="dcterms:W3CDTF">2023-08-03T19:08:00Z</dcterms:created>
  <dcterms:modified xsi:type="dcterms:W3CDTF">2023-08-15T21:15:00Z</dcterms:modified>
</cp:coreProperties>
</file>