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01E6" w:rsidP="009E08D8" w14:paraId="43481604" w14:textId="77777777">
      <w:pPr>
        <w:rPr>
          <w:rStyle w:val="Chapterhead"/>
          <w:b w:val="0"/>
          <w:bCs w:val="0"/>
          <w:sz w:val="24"/>
          <w:szCs w:val="24"/>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alt="&quot;&quot;" style="width:468pt;height:0.9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2C01E6" w:rsidP="009E08D8" w14:paraId="3F817497" w14:textId="77777777">
      <w:pPr>
        <w:rPr>
          <w:rStyle w:val="Chapterhead"/>
          <w:b w:val="0"/>
          <w:bCs w:val="0"/>
          <w:sz w:val="24"/>
          <w:szCs w:val="24"/>
        </w:rPr>
      </w:pPr>
    </w:p>
    <w:p w:rsidR="002C01E6" w:rsidP="009E08D8" w14:paraId="6462963A" w14:textId="77777777">
      <w:pPr>
        <w:rPr>
          <w:rStyle w:val="Chapterhead"/>
        </w:rPr>
      </w:pPr>
      <w:r>
        <w:rPr>
          <w:rStyle w:val="Chapterhead"/>
        </w:rPr>
        <w:t>SUPPORTING STATEMENT</w:t>
      </w:r>
    </w:p>
    <w:p w:rsidR="00B45661" w:rsidP="009E08D8" w14:paraId="6CD6BF35" w14:textId="77777777">
      <w:pPr>
        <w:rPr>
          <w:rStyle w:val="Chapterhead"/>
        </w:rPr>
      </w:pPr>
      <w:r>
        <w:rPr>
          <w:rStyle w:val="Chapterhead"/>
        </w:rPr>
        <w:t>Air Emissions Reporting Requirements</w:t>
      </w:r>
      <w:r w:rsidR="00711D13">
        <w:rPr>
          <w:rStyle w:val="Chapterhead"/>
        </w:rPr>
        <w:t xml:space="preserve"> (AERR)</w:t>
      </w:r>
      <w:r w:rsidR="00687858">
        <w:rPr>
          <w:rStyle w:val="Chapterhead"/>
        </w:rPr>
        <w:t xml:space="preserve"> </w:t>
      </w:r>
    </w:p>
    <w:p w:rsidR="002C01E6" w:rsidP="009E08D8" w14:paraId="2A25D2FD" w14:textId="0CBEA627">
      <w:pPr>
        <w:rPr>
          <w:rStyle w:val="Chapterhead"/>
        </w:rPr>
      </w:pPr>
      <w:r>
        <w:rPr>
          <w:rStyle w:val="Chapterhead"/>
        </w:rPr>
        <w:t>EPA ICR # 2170.</w:t>
      </w:r>
      <w:r w:rsidRPr="000D3375">
        <w:rPr>
          <w:rStyle w:val="Chapterhead"/>
        </w:rPr>
        <w:t>0</w:t>
      </w:r>
      <w:r w:rsidR="00C73413">
        <w:rPr>
          <w:rStyle w:val="Chapterhead"/>
        </w:rPr>
        <w:t>9</w:t>
      </w:r>
      <w:r w:rsidR="00B45661">
        <w:rPr>
          <w:rStyle w:val="Chapterhead"/>
        </w:rPr>
        <w:t xml:space="preserve"> OMB Control No. </w:t>
      </w:r>
      <w:bookmarkStart w:id="0" w:name="_Hlk94175077"/>
      <w:r w:rsidR="00B45661">
        <w:rPr>
          <w:rStyle w:val="Chapterhead"/>
        </w:rPr>
        <w:t>2060-</w:t>
      </w:r>
      <w:bookmarkEnd w:id="0"/>
      <w:r w:rsidR="00D3345B">
        <w:rPr>
          <w:rStyle w:val="Chapterhead"/>
        </w:rPr>
        <w:t>0580</w:t>
      </w:r>
    </w:p>
    <w:p w:rsidR="002C01E6" w:rsidP="009E08D8" w14:paraId="081BFE2B" w14:textId="77777777">
      <w:pPr>
        <w:rPr>
          <w:rStyle w:val="Chapterhead"/>
        </w:rPr>
      </w:pPr>
    </w:p>
    <w:p w:rsidR="00071D6C" w:rsidP="009E08D8" w14:paraId="34F26B53" w14:textId="77777777">
      <w:pPr>
        <w:rPr>
          <w:rStyle w:val="Chapterhead"/>
        </w:rPr>
      </w:pPr>
      <w:r>
        <w:rPr>
          <w:noProof/>
        </w:rPr>
        <mc:AlternateContent>
          <mc:Choice Requires="wps">
            <w:drawing>
              <wp:anchor distT="0" distB="0" distL="114300" distR="114300" simplePos="0" relativeHeight="25166028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alt="&quot;&quot;" style="width:468pt;height:0.95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5168" o:allowincell="f" fillcolor="black" stroked="f">
                <w10:anchorlock/>
              </v:rect>
            </w:pict>
          </mc:Fallback>
        </mc:AlternateContent>
      </w:r>
    </w:p>
    <w:p w:rsidR="002C01E6" w:rsidRPr="0019684E" w:rsidP="009E08D8" w14:paraId="4FEC37F6" w14:textId="176FBE4F">
      <w:pPr>
        <w:rPr>
          <w:rStyle w:val="Strong"/>
        </w:rPr>
      </w:pPr>
      <w:r w:rsidRPr="0019684E">
        <w:rPr>
          <w:rStyle w:val="Strong"/>
        </w:rPr>
        <w:t>Short Characterization/Abstract</w:t>
      </w:r>
    </w:p>
    <w:p w:rsidR="000B023E" w:rsidP="009E08D8" w14:paraId="342BB667" w14:textId="77777777">
      <w:pPr>
        <w:rPr>
          <w:rStyle w:val="2ndtier1"/>
        </w:rPr>
      </w:pPr>
    </w:p>
    <w:p w:rsidR="00FD64A2" w:rsidP="00373742" w14:paraId="62CB2AFF" w14:textId="2D843FBA">
      <w:r>
        <w:t xml:space="preserve">The Environmental Protection Agency (EPA) </w:t>
      </w:r>
      <w:r>
        <w:t xml:space="preserve">most recently </w:t>
      </w:r>
      <w:r>
        <w:t xml:space="preserve">promulgated revisions to the Air Emissions Reporting Requirements (AERR) </w:t>
      </w:r>
      <w:r>
        <w:t>on February 19, 2015 (FR Vol 80, No. 33, 8787). Since then, the Agency has twice renewed its Office of Management and Budget (OMB) clearance -- under OMB control number 2060-0580 -- to enforce reporting and recordkeeping requirements associated with the AERR regulations. The current term of approval for th</w:t>
      </w:r>
      <w:r w:rsidR="007D459F">
        <w:t>is</w:t>
      </w:r>
      <w:r>
        <w:t xml:space="preserve"> collection was approved via </w:t>
      </w:r>
      <w:r w:rsidR="007D459F">
        <w:t xml:space="preserve">EPA’s information collection request (ICR) </w:t>
      </w:r>
      <w:r>
        <w:t># 2170.08 on January 31, 2022.</w:t>
      </w:r>
    </w:p>
    <w:p w:rsidR="00373742" w:rsidP="00373742" w14:paraId="3F690780" w14:textId="77777777"/>
    <w:p w:rsidR="002C01E6" w:rsidP="00373742" w14:paraId="0C0165B0" w14:textId="1A15A77E">
      <w:r>
        <w:t>This supporting statement and ICR are being submitted in conjunction with proposed revisions to the AERR which</w:t>
      </w:r>
      <w:r w:rsidR="007D459F">
        <w:t>, if finalized,</w:t>
      </w:r>
      <w:r>
        <w:t xml:space="preserve"> would be effective </w:t>
      </w:r>
      <w:r w:rsidR="007D459F">
        <w:t xml:space="preserve">for three years </w:t>
      </w:r>
      <w:r>
        <w:t>starting with the 20</w:t>
      </w:r>
      <w:r w:rsidR="007D459F">
        <w:t>23</w:t>
      </w:r>
      <w:r>
        <w:t xml:space="preserve"> inventory year. </w:t>
      </w:r>
      <w:r w:rsidR="007D459F">
        <w:t>A</w:t>
      </w:r>
      <w:r w:rsidR="008F66F0">
        <w:t>ir emissions-related information</w:t>
      </w:r>
      <w:r w:rsidR="0066138E">
        <w:t xml:space="preserve"> </w:t>
      </w:r>
      <w:r w:rsidR="008A4B5D">
        <w:t xml:space="preserve">would be </w:t>
      </w:r>
      <w:r w:rsidR="00D22DDC">
        <w:t>due to be reported</w:t>
      </w:r>
      <w:r w:rsidR="008A4B5D">
        <w:t xml:space="preserve"> within </w:t>
      </w:r>
      <w:r w:rsidR="00394F41">
        <w:t>15 months</w:t>
      </w:r>
      <w:r w:rsidR="008A4B5D">
        <w:t xml:space="preserve"> after the inventory year, depending on the data category. Thus, this ICR covers the years 2024, 2025, and 2026.</w:t>
      </w:r>
      <w:r w:rsidR="00466C46">
        <w:t xml:space="preserve"> </w:t>
      </w:r>
      <w:r w:rsidR="00DF62FF">
        <w:t>The EPA has provided the detailed calculations used to estimate collection costs in the attachment “AERR Revision Burden Estimates v9 For Docket.xlsx.”</w:t>
      </w:r>
    </w:p>
    <w:p w:rsidR="00373742" w:rsidRPr="00E265D9" w:rsidP="00373742" w14:paraId="407AA5B7" w14:textId="77777777"/>
    <w:p w:rsidR="00373742" w:rsidP="00373742" w14:paraId="06B01916" w14:textId="77777777">
      <w:r>
        <w:t xml:space="preserve">Under the </w:t>
      </w:r>
      <w:r w:rsidR="00DC53E9">
        <w:t>current</w:t>
      </w:r>
      <w:r>
        <w:t xml:space="preserve"> </w:t>
      </w:r>
      <w:r w:rsidR="00A8268D">
        <w:t>A</w:t>
      </w:r>
      <w:r>
        <w:t>ERR ICR, 5</w:t>
      </w:r>
      <w:r w:rsidR="00D26110">
        <w:t>4</w:t>
      </w:r>
      <w:r>
        <w:t xml:space="preserve"> </w:t>
      </w:r>
      <w:r w:rsidR="005E0F6F">
        <w:t>s</w:t>
      </w:r>
      <w:r>
        <w:t xml:space="preserve">tate and </w:t>
      </w:r>
      <w:r w:rsidR="005E0F6F">
        <w:t>t</w:t>
      </w:r>
      <w:r>
        <w:t xml:space="preserve">erritorial air quality agencies, including the District of Columbia (DC), </w:t>
      </w:r>
      <w:r w:rsidR="008B5E76">
        <w:t>and</w:t>
      </w:r>
      <w:r>
        <w:t xml:space="preserve"> an estimated </w:t>
      </w:r>
      <w:r w:rsidR="00263B10">
        <w:t xml:space="preserve">annual average of </w:t>
      </w:r>
      <w:r w:rsidR="00D26110">
        <w:t>26</w:t>
      </w:r>
      <w:r>
        <w:rPr>
          <w:rStyle w:val="FootnoteReference"/>
          <w:vertAlign w:val="superscript"/>
        </w:rPr>
        <w:footnoteReference w:id="3"/>
      </w:r>
      <w:r w:rsidR="003D0D35">
        <w:t xml:space="preserve"> </w:t>
      </w:r>
      <w:r>
        <w:t xml:space="preserve">local </w:t>
      </w:r>
      <w:r w:rsidR="00EB29F0">
        <w:t xml:space="preserve">and tribal </w:t>
      </w:r>
      <w:r>
        <w:t>air quality agencies, must annually submit emissions data of oxides of nitrogen (NO</w:t>
      </w:r>
      <w:r w:rsidRPr="005E0F6F" w:rsidR="00A8268D">
        <w:rPr>
          <w:vertAlign w:val="subscript"/>
        </w:rPr>
        <w:t>x</w:t>
      </w:r>
      <w:r>
        <w:t>), carbon monoxide</w:t>
      </w:r>
      <w:r w:rsidRPr="00F40F41">
        <w:t xml:space="preserve"> </w:t>
      </w:r>
      <w:r>
        <w:t>(CO), sulfur dioxide (SO</w:t>
      </w:r>
      <w:r w:rsidRPr="005E0F6F" w:rsidR="00A8268D">
        <w:rPr>
          <w:vertAlign w:val="subscript"/>
        </w:rPr>
        <w:t>2</w:t>
      </w:r>
      <w:r>
        <w:t xml:space="preserve">), </w:t>
      </w:r>
      <w:r w:rsidR="00C86E4A">
        <w:t xml:space="preserve">volatile organic compounds (VOC), </w:t>
      </w:r>
      <w:r>
        <w:t>particulate matter less than or equal to 10 micrometers in diameter (PM</w:t>
      </w:r>
      <w:r w:rsidRPr="005E0F6F" w:rsidR="00A8268D">
        <w:rPr>
          <w:vertAlign w:val="subscript"/>
        </w:rPr>
        <w:t>10</w:t>
      </w:r>
      <w:r>
        <w:t>), particulate matter less than or equal to 2.5 micrometers in diameter (PM</w:t>
      </w:r>
      <w:r w:rsidRPr="005E0F6F" w:rsidR="00A8268D">
        <w:rPr>
          <w:vertAlign w:val="subscript"/>
        </w:rPr>
        <w:t>2.5</w:t>
      </w:r>
      <w:r>
        <w:t>),</w:t>
      </w:r>
      <w:r w:rsidR="004E7BEF">
        <w:t xml:space="preserve"> and</w:t>
      </w:r>
      <w:r>
        <w:t xml:space="preserve"> ammonia (NH</w:t>
      </w:r>
      <w:r w:rsidRPr="005E0F6F" w:rsidR="00A8268D">
        <w:rPr>
          <w:vertAlign w:val="subscript"/>
        </w:rPr>
        <w:t>3</w:t>
      </w:r>
      <w:r w:rsidR="00C86E4A">
        <w:t>)</w:t>
      </w:r>
      <w:r w:rsidR="004E7BEF">
        <w:t xml:space="preserve">. </w:t>
      </w:r>
      <w:r w:rsidR="00753B8D">
        <w:t>The current AERR</w:t>
      </w:r>
      <w:r w:rsidR="00A33231">
        <w:t>, which can be found at 40 CFR Part 51 Subpart A,</w:t>
      </w:r>
      <w:r w:rsidR="00753B8D">
        <w:t xml:space="preserve"> defines which emissions sources that state, local, and tribal (SLT) agencies must submit individually as “point sources.”</w:t>
      </w:r>
      <w:r w:rsidR="004E7BEF">
        <w:t xml:space="preserve"> </w:t>
      </w:r>
      <w:r w:rsidR="00753B8D">
        <w:t>The point source definitions are different depending on the year, and SLTs report more point sources every third year for the “triennial inventory</w:t>
      </w:r>
      <w:r w:rsidR="00AF5B6C">
        <w:t>.</w:t>
      </w:r>
      <w:r w:rsidR="00753B8D">
        <w:t xml:space="preserve">” For triennial inventory years, </w:t>
      </w:r>
      <w:r w:rsidR="00CC5782">
        <w:t>s</w:t>
      </w:r>
      <w:r>
        <w:t>tates</w:t>
      </w:r>
      <w:r>
        <w:rPr>
          <w:rStyle w:val="FootnoteReference"/>
          <w:vertAlign w:val="superscript"/>
        </w:rPr>
        <w:footnoteReference w:id="4"/>
      </w:r>
      <w:r>
        <w:t xml:space="preserve"> </w:t>
      </w:r>
      <w:r w:rsidR="008A4B5D">
        <w:t>must</w:t>
      </w:r>
      <w:r w:rsidR="00753B8D">
        <w:t xml:space="preserve"> also</w:t>
      </w:r>
      <w:r w:rsidR="008A4B5D">
        <w:t xml:space="preserve"> </w:t>
      </w:r>
      <w:r>
        <w:t xml:space="preserve">submit </w:t>
      </w:r>
      <w:r w:rsidR="005B3EDB">
        <w:t xml:space="preserve">emissions for </w:t>
      </w:r>
      <w:r>
        <w:t>stationary nonpoint</w:t>
      </w:r>
      <w:r w:rsidR="005B3EDB">
        <w:t xml:space="preserve"> and some nonroad mobile sources</w:t>
      </w:r>
      <w:r w:rsidR="00753B8D">
        <w:t xml:space="preserve">, and they </w:t>
      </w:r>
      <w:r w:rsidR="005B3EDB">
        <w:t xml:space="preserve">must submit model input data </w:t>
      </w:r>
      <w:r w:rsidR="00AF5B6C">
        <w:t xml:space="preserve">for </w:t>
      </w:r>
      <w:r w:rsidRPr="00F7706F" w:rsidR="005B3EDB">
        <w:t>onroad</w:t>
      </w:r>
      <w:r w:rsidR="005B3EDB">
        <w:rPr>
          <w:color w:val="008000"/>
        </w:rPr>
        <w:t xml:space="preserve"> </w:t>
      </w:r>
      <w:r w:rsidRPr="00F7706F" w:rsidR="005B3EDB">
        <w:t>mobile and nonroad mobil</w:t>
      </w:r>
      <w:r w:rsidR="005B3EDB">
        <w:t>e equipment</w:t>
      </w:r>
      <w:r w:rsidR="00753B8D">
        <w:t xml:space="preserve">. For mobile sources, </w:t>
      </w:r>
      <w:r w:rsidR="005B3EDB">
        <w:t>California</w:t>
      </w:r>
      <w:r w:rsidR="00753B8D">
        <w:t xml:space="preserve"> has different requirements because it uses different models, and California </w:t>
      </w:r>
      <w:r w:rsidR="005B3EDB">
        <w:t xml:space="preserve">must submit emissions </w:t>
      </w:r>
      <w:r w:rsidR="00753B8D">
        <w:t xml:space="preserve">(rather than model inputs) </w:t>
      </w:r>
      <w:r w:rsidR="005B3EDB">
        <w:t xml:space="preserve">for these data categories of the same pollutants listed </w:t>
      </w:r>
      <w:r w:rsidRPr="00373742" w:rsidR="005B3EDB">
        <w:t>above</w:t>
      </w:r>
      <w:r w:rsidRPr="00373742">
        <w:t>.</w:t>
      </w:r>
      <w:r w:rsidRPr="00373742" w:rsidR="00523CED">
        <w:t xml:space="preserve"> </w:t>
      </w:r>
    </w:p>
    <w:p w:rsidR="008A4B5D" w:rsidP="00373742" w14:paraId="6843F75D" w14:textId="62CDE873"/>
    <w:p w:rsidR="008A3EBD" w:rsidP="009E08D8" w14:paraId="35C9AAC2" w14:textId="0F217E42">
      <w:r>
        <w:t xml:space="preserve">The proposed revisions would continue the existing collection </w:t>
      </w:r>
      <w:r>
        <w:t xml:space="preserve">from states of </w:t>
      </w:r>
      <w:r>
        <w:t xml:space="preserve">these criteria air pollutants </w:t>
      </w:r>
      <w:r w:rsidR="00B56EFA">
        <w:t xml:space="preserve">and precursors </w:t>
      </w:r>
      <w:r>
        <w:t>(CAPs) described above</w:t>
      </w:r>
      <w:r>
        <w:t>.</w:t>
      </w:r>
      <w:r w:rsidR="00394F41">
        <w:t xml:space="preserve"> In addition, the proposed revisions</w:t>
      </w:r>
      <w:r w:rsidR="00AF5B6C">
        <w:t xml:space="preserve"> would</w:t>
      </w:r>
      <w:r w:rsidR="00394F41">
        <w:t xml:space="preserve"> </w:t>
      </w:r>
      <w:r w:rsidRPr="1B729BDD" w:rsidR="00E41496">
        <w:t xml:space="preserve">clarify expectations for </w:t>
      </w:r>
      <w:r w:rsidR="00E41496">
        <w:t xml:space="preserve">reporting data </w:t>
      </w:r>
      <w:r w:rsidRPr="1B729BDD" w:rsidR="00E41496">
        <w:t>for airports, rail yards, commercial marine vessels</w:t>
      </w:r>
      <w:r w:rsidR="00E41496">
        <w:t>, and locomotives</w:t>
      </w:r>
      <w:r w:rsidRPr="1B729BDD" w:rsidR="00E41496">
        <w:t xml:space="preserve">; change requirements for nonpoint sources </w:t>
      </w:r>
      <w:r w:rsidR="00E41496">
        <w:t>when</w:t>
      </w:r>
      <w:r w:rsidRPr="1B729BDD" w:rsidR="00E41496">
        <w:t xml:space="preserve"> EPA has published emissions methods; </w:t>
      </w:r>
      <w:r w:rsidR="00E41496">
        <w:t xml:space="preserve">add a requirement for </w:t>
      </w:r>
      <w:r w:rsidRPr="1B729BDD" w:rsidR="00E41496">
        <w:t>completing a nonpoint survey</w:t>
      </w:r>
      <w:r w:rsidR="00E41496">
        <w:t>;</w:t>
      </w:r>
      <w:r w:rsidRPr="1B729BDD" w:rsidR="00E41496">
        <w:t xml:space="preserve"> </w:t>
      </w:r>
      <w:r w:rsidR="00E41496">
        <w:t xml:space="preserve">change nonpoint source deadlines; </w:t>
      </w:r>
      <w:r w:rsidRPr="1B729BDD" w:rsidR="00E41496">
        <w:t>change reporting</w:t>
      </w:r>
      <w:r w:rsidR="00E41496">
        <w:t xml:space="preserve"> requirements</w:t>
      </w:r>
      <w:r w:rsidRPr="1B729BDD" w:rsidR="00E41496">
        <w:t xml:space="preserve"> for nonpoint </w:t>
      </w:r>
      <w:r w:rsidR="00E41496">
        <w:t>data</w:t>
      </w:r>
      <w:r w:rsidRPr="1B729BDD" w:rsidR="00E41496">
        <w:t xml:space="preserve"> when </w:t>
      </w:r>
      <w:r w:rsidR="00E41496">
        <w:t xml:space="preserve">an Indian </w:t>
      </w:r>
      <w:r w:rsidRPr="1B729BDD" w:rsidR="00E41496">
        <w:t>tribe report</w:t>
      </w:r>
      <w:r w:rsidR="00E41496">
        <w:t>s</w:t>
      </w:r>
      <w:r w:rsidRPr="1B729BDD" w:rsidR="00E41496">
        <w:t xml:space="preserve">; and make a variety of clarifications and administrative changes. </w:t>
      </w:r>
    </w:p>
    <w:p w:rsidR="00394F41" w:rsidP="009E08D8" w14:paraId="29CC87C1" w14:textId="2680CD22"/>
    <w:p w:rsidR="00394F41" w:rsidP="009E08D8" w14:paraId="7D654D87" w14:textId="337C2285">
      <w:r>
        <w:t xml:space="preserve">Some of the proposed AERR revisions would not take effect until 2027 but would require certain planning and preparation to occur during the period of this ICR. The primary proposed revision </w:t>
      </w:r>
      <w:r w:rsidR="00AF5B6C">
        <w:t>would</w:t>
      </w:r>
      <w:r w:rsidRPr="1B729BDD">
        <w:t xml:space="preserve"> define a new approach for </w:t>
      </w:r>
      <w:r w:rsidR="003D4EA2">
        <w:t>mandatory</w:t>
      </w:r>
      <w:r w:rsidRPr="1B729BDD">
        <w:t xml:space="preserve"> collection of hazardous air pollutants</w:t>
      </w:r>
      <w:r>
        <w:t xml:space="preserve"> (HAP)</w:t>
      </w:r>
      <w:r w:rsidRPr="1B729BDD">
        <w:t xml:space="preserve"> </w:t>
      </w:r>
      <w:r>
        <w:t>from facilities and provide air pollution control agencies</w:t>
      </w:r>
      <w:r w:rsidRPr="1B729BDD">
        <w:t xml:space="preserve"> </w:t>
      </w:r>
      <w:r>
        <w:t>the option to i</w:t>
      </w:r>
      <w:r w:rsidRPr="1B729BDD">
        <w:t xml:space="preserve">mplement requirements </w:t>
      </w:r>
      <w:r>
        <w:t xml:space="preserve">consistent with the proposed AERR </w:t>
      </w:r>
      <w:r w:rsidRPr="1B729BDD">
        <w:t>and report emissions on behalf of facilities</w:t>
      </w:r>
      <w:r>
        <w:t xml:space="preserve">. This proposed revision would </w:t>
      </w:r>
      <w:r w:rsidR="003D4EA2">
        <w:t xml:space="preserve">require mandatory emissions reporting by owners/operators </w:t>
      </w:r>
      <w:r w:rsidR="007C106F">
        <w:t>outside the states’ implementation planning authority (</w:t>
      </w:r>
      <w:r w:rsidRPr="007C106F" w:rsidR="007C106F">
        <w:rPr>
          <w:i/>
          <w:iCs/>
        </w:rPr>
        <w:t>e.g.</w:t>
      </w:r>
      <w:r w:rsidR="007C106F">
        <w:t>, within certain Indian country)</w:t>
      </w:r>
      <w:r w:rsidR="003D4EA2">
        <w:t xml:space="preserve"> in 2026</w:t>
      </w:r>
      <w:r w:rsidR="00F60F84">
        <w:t>.</w:t>
      </w:r>
      <w:r w:rsidR="00A746C8">
        <w:t xml:space="preserve"> </w:t>
      </w:r>
      <w:r w:rsidR="00F60F84">
        <w:t>Further,</w:t>
      </w:r>
      <w:r w:rsidR="003D4EA2">
        <w:t xml:space="preserve"> </w:t>
      </w:r>
      <w:r w:rsidR="00655940">
        <w:t>EPA</w:t>
      </w:r>
      <w:r w:rsidR="003D4EA2">
        <w:t xml:space="preserve"> would expect SLTs to prepare </w:t>
      </w:r>
      <w:r w:rsidR="00E84D73">
        <w:t xml:space="preserve">during the period of this ICR </w:t>
      </w:r>
      <w:r w:rsidR="003D4EA2">
        <w:t xml:space="preserve">for HAP reporting </w:t>
      </w:r>
      <w:r w:rsidR="00E84D73">
        <w:t>by</w:t>
      </w:r>
      <w:r w:rsidR="003D4EA2">
        <w:t xml:space="preserve"> those SLTs that would </w:t>
      </w:r>
      <w:r w:rsidR="00F77D3B">
        <w:t xml:space="preserve">choose to </w:t>
      </w:r>
      <w:r w:rsidR="003D4EA2">
        <w:t xml:space="preserve">report </w:t>
      </w:r>
      <w:r w:rsidR="00E84D73">
        <w:t xml:space="preserve">to fulfill the mandatory requirement for their </w:t>
      </w:r>
      <w:r w:rsidR="003D4EA2">
        <w:t>owners</w:t>
      </w:r>
      <w:r w:rsidR="006C3064">
        <w:t>/</w:t>
      </w:r>
      <w:r w:rsidR="003D4EA2">
        <w:t>operators in 2027.</w:t>
      </w:r>
      <w:r w:rsidR="007C106F">
        <w:t xml:space="preserve"> Also during this period, owners/operators would need to gather locations (</w:t>
      </w:r>
      <w:r w:rsidRPr="007C106F" w:rsidR="007C106F">
        <w:rPr>
          <w:i/>
          <w:iCs/>
        </w:rPr>
        <w:t>i.e.</w:t>
      </w:r>
      <w:r w:rsidR="007C106F">
        <w:t>, latitudes and longitudes) for each release point, in anticipation of reporting these starting in 2027.</w:t>
      </w:r>
    </w:p>
    <w:p w:rsidR="00394F41" w:rsidP="009E08D8" w14:paraId="261BBDC5" w14:textId="45A62585"/>
    <w:p w:rsidR="00394F41" w:rsidP="009E08D8" w14:paraId="364A58E9" w14:textId="0B137607">
      <w:r>
        <w:t>Similarly, the proposed AERR revisions would also</w:t>
      </w:r>
      <w:r w:rsidRPr="1B729BDD">
        <w:t xml:space="preserve"> add requirements for reporting activity data for prescribed fires</w:t>
      </w:r>
      <w:r>
        <w:t xml:space="preserve"> starting in 2027 (for the 2026 inventory year). </w:t>
      </w:r>
      <w:r w:rsidR="007C106F">
        <w:t xml:space="preserve">To be prepared for this requirement, during 2024-2026, </w:t>
      </w:r>
      <w:r w:rsidR="00D675CA">
        <w:t>SLTs would need to develop a collection approach</w:t>
      </w:r>
      <w:r w:rsidR="007C106F">
        <w:t xml:space="preserve"> for prescribed fires activity data</w:t>
      </w:r>
      <w:r w:rsidR="00D675CA">
        <w:t xml:space="preserve">. Other revisions proposed </w:t>
      </w:r>
      <w:r w:rsidR="003B2991">
        <w:t>to take</w:t>
      </w:r>
      <w:r w:rsidR="00D675CA">
        <w:t xml:space="preserve"> </w:t>
      </w:r>
      <w:r w:rsidR="00AF5B6C">
        <w:t>effect</w:t>
      </w:r>
      <w:r w:rsidR="00D675CA">
        <w:t xml:space="preserve"> in 2027 would </w:t>
      </w:r>
      <w:r w:rsidRPr="1B729BDD">
        <w:t>require</w:t>
      </w:r>
      <w:r w:rsidR="00D675CA">
        <w:t xml:space="preserve"> all</w:t>
      </w:r>
      <w:r w:rsidRPr="1B729BDD">
        <w:t xml:space="preserve"> point sources </w:t>
      </w:r>
      <w:r w:rsidR="00D675CA">
        <w:t>to be reported</w:t>
      </w:r>
      <w:r w:rsidRPr="1B729BDD">
        <w:t xml:space="preserve"> every year; phase in earlier deadlines for point source reporting;</w:t>
      </w:r>
      <w:r w:rsidRPr="00394F41">
        <w:t xml:space="preserve"> </w:t>
      </w:r>
      <w:r w:rsidR="00D675CA">
        <w:t xml:space="preserve">and </w:t>
      </w:r>
      <w:r w:rsidRPr="1B729BDD">
        <w:t xml:space="preserve">add requirements for reporting fuel use data for </w:t>
      </w:r>
      <w:r>
        <w:t xml:space="preserve">certain sources of </w:t>
      </w:r>
      <w:r w:rsidRPr="1B729BDD">
        <w:t>electrical generation</w:t>
      </w:r>
      <w:r>
        <w:t xml:space="preserve"> associated with peak electricity demand</w:t>
      </w:r>
      <w:r w:rsidR="00D675CA">
        <w:t>.</w:t>
      </w:r>
    </w:p>
    <w:p w:rsidR="008A3EBD" w:rsidP="009E08D8" w14:paraId="26A4460E" w14:textId="77777777"/>
    <w:p w:rsidR="008A4B5D" w:rsidP="009E08D8" w14:paraId="105B7586" w14:textId="036CAE96">
      <w:r w:rsidRPr="1B729BDD">
        <w:t xml:space="preserve">For </w:t>
      </w:r>
      <w:r>
        <w:t>owners/operators</w:t>
      </w:r>
      <w:r w:rsidRPr="1B729BDD">
        <w:t xml:space="preserve"> of facilities that meet criteria described by this proposal, the proposed revisions would require emissions reporting of </w:t>
      </w:r>
      <w:r w:rsidR="000A04D1">
        <w:t>HAP</w:t>
      </w:r>
      <w:r w:rsidR="007C106F">
        <w:t xml:space="preserve"> directly to EPA</w:t>
      </w:r>
      <w:r w:rsidR="000A04D1">
        <w:t xml:space="preserve"> </w:t>
      </w:r>
      <w:r w:rsidR="00D675CA">
        <w:t>starting in 2027 for most sources</w:t>
      </w:r>
      <w:r w:rsidRPr="1B729BDD">
        <w:t xml:space="preserve">, except when a state is </w:t>
      </w:r>
      <w:r>
        <w:t>approved to report</w:t>
      </w:r>
      <w:r w:rsidRPr="1B729BDD">
        <w:t xml:space="preserve"> on their behalf; would require </w:t>
      </w:r>
      <w:r w:rsidR="007C106F">
        <w:t>owners/operators of facilities that are located</w:t>
      </w:r>
      <w:r w:rsidRPr="1B729BDD">
        <w:t xml:space="preserve"> </w:t>
      </w:r>
      <w:r w:rsidR="007C106F">
        <w:t>outside of states’ implementation planning authority</w:t>
      </w:r>
      <w:r>
        <w:t xml:space="preserve"> </w:t>
      </w:r>
      <w:r w:rsidRPr="1B729BDD">
        <w:t xml:space="preserve">to report </w:t>
      </w:r>
      <w:r w:rsidR="007C106F">
        <w:t>emissions</w:t>
      </w:r>
      <w:r w:rsidRPr="1B729BDD">
        <w:t xml:space="preserve"> to </w:t>
      </w:r>
      <w:r>
        <w:t>EPA</w:t>
      </w:r>
      <w:r w:rsidR="00D675CA">
        <w:t xml:space="preserve"> starting in 2026</w:t>
      </w:r>
      <w:r w:rsidRPr="1B729BDD">
        <w:t xml:space="preserve">; and would require reporting of </w:t>
      </w:r>
      <w:r>
        <w:t>performance</w:t>
      </w:r>
      <w:r w:rsidRPr="1B729BDD">
        <w:t xml:space="preserve"> test and performance </w:t>
      </w:r>
      <w:r>
        <w:t>evaluation</w:t>
      </w:r>
      <w:r w:rsidRPr="1B729BDD">
        <w:t xml:space="preserve"> data to EPA </w:t>
      </w:r>
      <w:r w:rsidR="007C106F">
        <w:t xml:space="preserve">electronically </w:t>
      </w:r>
      <w:r>
        <w:t xml:space="preserve">for </w:t>
      </w:r>
      <w:r w:rsidR="007C106F">
        <w:t>certain</w:t>
      </w:r>
      <w:r w:rsidRPr="1B729BDD" w:rsidR="007C106F">
        <w:t xml:space="preserve"> </w:t>
      </w:r>
      <w:r w:rsidRPr="1B729BDD">
        <w:t>tests conducted</w:t>
      </w:r>
      <w:r>
        <w:t xml:space="preserve"> after the</w:t>
      </w:r>
      <w:r w:rsidRPr="1B729BDD">
        <w:t xml:space="preserve"> promulgation dat</w:t>
      </w:r>
      <w:r>
        <w:t>e of this proposed action</w:t>
      </w:r>
      <w:r w:rsidR="007C106F">
        <w:t xml:space="preserve"> that are otherwise not reported electronically to EPA</w:t>
      </w:r>
      <w:r>
        <w:t>.</w:t>
      </w:r>
    </w:p>
    <w:p w:rsidR="008A4B5D" w:rsidP="009E08D8" w14:paraId="5805E600" w14:textId="712B037E"/>
    <w:p w:rsidR="008A3EBD" w:rsidRPr="0019684E" w:rsidP="009E08D8" w14:paraId="1A31E3EC" w14:textId="1AF82155">
      <w:r>
        <w:t>The proposed AERR revisions would also clarify existing connections between the AERR and reporting requirements for State Implementation Plans (SIPs) for meeting the ozone and PM</w:t>
      </w:r>
      <w:r w:rsidRPr="0019684E">
        <w:rPr>
          <w:vertAlign w:val="subscript"/>
        </w:rPr>
        <w:t>2.5</w:t>
      </w:r>
      <w:r>
        <w:t xml:space="preserve"> national ambient air quality standards (</w:t>
      </w:r>
      <w:r w:rsidRPr="00E265D9">
        <w:t>NAAQS</w:t>
      </w:r>
      <w:r>
        <w:t>)</w:t>
      </w:r>
      <w:r w:rsidRPr="00E265D9">
        <w:t>.</w:t>
      </w:r>
      <w:r>
        <w:t xml:space="preserve"> While these connections between regulations </w:t>
      </w:r>
      <w:r w:rsidR="00545B88">
        <w:t>and statutory requirements</w:t>
      </w:r>
      <w:r>
        <w:t xml:space="preserve"> already exist, this proposed ICR includes</w:t>
      </w:r>
      <w:r w:rsidR="00932E35">
        <w:t xml:space="preserve"> (in</w:t>
      </w:r>
      <w:r w:rsidR="007C106F">
        <w:t xml:space="preserve"> </w:t>
      </w:r>
      <w:r w:rsidR="007C106F">
        <w:fldChar w:fldCharType="begin"/>
      </w:r>
      <w:r w:rsidR="007C106F">
        <w:instrText xml:space="preserve"> REF _Ref137218596 \r \h </w:instrText>
      </w:r>
      <w:r w:rsidR="007C106F">
        <w:fldChar w:fldCharType="separate"/>
      </w:r>
      <w:r w:rsidR="00646F0F">
        <w:t>Appendix C:</w:t>
      </w:r>
      <w:r w:rsidR="007C106F">
        <w:fldChar w:fldCharType="end"/>
      </w:r>
      <w:r w:rsidR="00932E35">
        <w:t>)</w:t>
      </w:r>
      <w:r>
        <w:t xml:space="preserve"> new estimates of burden </w:t>
      </w:r>
      <w:r>
        <w:t>associated with preparing emission</w:t>
      </w:r>
      <w:r w:rsidR="009765D7">
        <w:t>s</w:t>
      </w:r>
      <w:r>
        <w:t xml:space="preserve"> inventories for SIPs</w:t>
      </w:r>
      <w:r w:rsidR="00B95A3C">
        <w:t xml:space="preserve">. This represents an effort to move toward a clearer identification of the inventory preparation burden as a discrete </w:t>
      </w:r>
      <w:r w:rsidR="003543BA">
        <w:t>part</w:t>
      </w:r>
      <w:r w:rsidR="00B95A3C">
        <w:t xml:space="preserve"> of the SIP preparation burden, as that component </w:t>
      </w:r>
      <w:r>
        <w:t>ha</w:t>
      </w:r>
      <w:r w:rsidR="00B95A3C">
        <w:t>d</w:t>
      </w:r>
      <w:r>
        <w:t xml:space="preserve"> not been </w:t>
      </w:r>
      <w:r w:rsidR="00B95A3C">
        <w:t>expressly identified</w:t>
      </w:r>
      <w:r>
        <w:t xml:space="preserve"> in prior ICRs.</w:t>
      </w:r>
      <w:r w:rsidR="00932E35">
        <w:t xml:space="preserve"> It is provided as an </w:t>
      </w:r>
      <w:r w:rsidR="007C106F">
        <w:t>a</w:t>
      </w:r>
      <w:r w:rsidR="00932E35">
        <w:t xml:space="preserve">ppendix in this as part of the AERR process as a matter of convenience, to ensure public review of these additional SIP-related costs not previously </w:t>
      </w:r>
      <w:r w:rsidR="007C106F">
        <w:t>quantified</w:t>
      </w:r>
      <w:r w:rsidR="00932E35">
        <w:t xml:space="preserve"> as part of the</w:t>
      </w:r>
      <w:r w:rsidR="007C106F">
        <w:t xml:space="preserve"> ICRs developed for the</w:t>
      </w:r>
      <w:r w:rsidR="00932E35">
        <w:t xml:space="preserve"> SIP requirements regulations.</w:t>
      </w:r>
    </w:p>
    <w:p w:rsidR="008A3EBD" w:rsidP="009E08D8" w14:paraId="65231FA0" w14:textId="77777777"/>
    <w:p w:rsidR="00E41496" w:rsidP="009E08D8" w14:paraId="1DB7466A" w14:textId="1B5138C1">
      <w:r>
        <w:t xml:space="preserve">The </w:t>
      </w:r>
      <w:r>
        <w:t xml:space="preserve">annual </w:t>
      </w:r>
      <w:r>
        <w:t xml:space="preserve">emissions data </w:t>
      </w:r>
      <w:r>
        <w:t xml:space="preserve">collected through the AERR </w:t>
      </w:r>
      <w:r w:rsidR="003B4E99">
        <w:t>are</w:t>
      </w:r>
      <w:r w:rsidR="007C106F">
        <w:t>,</w:t>
      </w:r>
      <w:r>
        <w:t xml:space="preserve"> used by </w:t>
      </w:r>
      <w:r w:rsidR="00CC5782">
        <w:t xml:space="preserve">the </w:t>
      </w:r>
      <w:r>
        <w:t xml:space="preserve">EPA Office of Air Quality Planning and Standards (OAQPS) to </w:t>
      </w:r>
      <w:r w:rsidR="00D675CA">
        <w:t>support development of</w:t>
      </w:r>
      <w:r>
        <w:t xml:space="preserve"> </w:t>
      </w:r>
      <w:r>
        <w:t xml:space="preserve">the National Emissions Inventory (NEI). </w:t>
      </w:r>
      <w:r w:rsidR="007C106F">
        <w:t>The EPA uses t</w:t>
      </w:r>
      <w:r>
        <w:t xml:space="preserve">he NEI in developing </w:t>
      </w:r>
      <w:r>
        <w:t xml:space="preserve">ambient air quality emission standards, performing regional </w:t>
      </w:r>
      <w:r w:rsidR="004E7BEF">
        <w:t xml:space="preserve">and national </w:t>
      </w:r>
      <w:r>
        <w:t xml:space="preserve">modeling, </w:t>
      </w:r>
      <w:r w:rsidR="006A3A13">
        <w:t xml:space="preserve">providing air quality management support </w:t>
      </w:r>
      <w:r w:rsidR="006C3064">
        <w:t>(</w:t>
      </w:r>
      <w:r w:rsidRPr="008E5C9F" w:rsidR="008E5C9F">
        <w:rPr>
          <w:i/>
        </w:rPr>
        <w:t>e.g.</w:t>
      </w:r>
      <w:r w:rsidR="006C3064">
        <w:t xml:space="preserve">, state implementation plan development) </w:t>
      </w:r>
      <w:r w:rsidR="006A3A13">
        <w:t xml:space="preserve">to state agencies and </w:t>
      </w:r>
      <w:r>
        <w:t>multi-jurisdictional</w:t>
      </w:r>
      <w:r w:rsidR="006A3A13">
        <w:t xml:space="preserve"> organizations (MJOs)</w:t>
      </w:r>
      <w:r w:rsidR="00B818EE">
        <w:t>,</w:t>
      </w:r>
      <w:r w:rsidR="006A3A13">
        <w:t xml:space="preserve"> </w:t>
      </w:r>
      <w:r>
        <w:t>and preparing national trends assessments and other special analyses and reports</w:t>
      </w:r>
      <w:r w:rsidR="00C370CC">
        <w:t>.</w:t>
      </w:r>
      <w:r w:rsidR="00523CED">
        <w:t xml:space="preserve"> </w:t>
      </w:r>
      <w:r w:rsidR="00D94855">
        <w:t>Currently, t</w:t>
      </w:r>
      <w:r w:rsidR="004E7BEF">
        <w:t xml:space="preserve">he same reporting mechanisms used for the </w:t>
      </w:r>
      <w:r w:rsidR="00B56EFA">
        <w:t>CAPs</w:t>
      </w:r>
      <w:r w:rsidR="00523CED">
        <w:t xml:space="preserve"> </w:t>
      </w:r>
      <w:r w:rsidR="004E7BEF">
        <w:t xml:space="preserve">listed above are also used for voluntary reporting of HAP and greenhouse gas (GHG) emissions. These </w:t>
      </w:r>
      <w:r w:rsidR="00F40F41">
        <w:t>data</w:t>
      </w:r>
      <w:r w:rsidR="004E7BEF">
        <w:t xml:space="preserve"> are collected by the air agencies for their own purposes, and </w:t>
      </w:r>
      <w:r w:rsidR="00204E7E">
        <w:t>EPA</w:t>
      </w:r>
      <w:r w:rsidR="004E7BEF">
        <w:t xml:space="preserve"> encourages providing such data to </w:t>
      </w:r>
      <w:r w:rsidR="00204E7E">
        <w:t>EPA</w:t>
      </w:r>
      <w:r w:rsidR="004E7BEF">
        <w:t xml:space="preserve"> when it is available.</w:t>
      </w:r>
      <w:r>
        <w:t xml:space="preserve"> The proposed collection of performance test and performance evaluation data (hereafter referred to as “source test data”) would be used by the Agency to develop emission factors, which in turn support estimates of emissions from stationary sources.</w:t>
      </w:r>
      <w:r w:rsidR="007C106F">
        <w:t xml:space="preserve"> The source test data would also be used to facilitate annual emissions reporting for those </w:t>
      </w:r>
      <w:r w:rsidR="009B0F63">
        <w:t>owners/operators</w:t>
      </w:r>
      <w:r w:rsidR="007C106F">
        <w:t xml:space="preserve"> who have reported it.</w:t>
      </w:r>
    </w:p>
    <w:p w:rsidR="00CC5782" w:rsidP="009E08D8" w14:paraId="02F58813" w14:textId="0846682F"/>
    <w:p w:rsidR="00960A15" w:rsidRPr="00F86D1D" w:rsidP="00877276" w14:paraId="3ADA6B3B" w14:textId="004DA893">
      <w:pPr>
        <w:pStyle w:val="Heading1"/>
        <w:rPr>
          <w:rStyle w:val="Strong"/>
          <w:b/>
          <w:bCs w:val="0"/>
        </w:rPr>
      </w:pPr>
      <w:bookmarkStart w:id="1" w:name="_Ref114765758"/>
      <w:r w:rsidRPr="00F86D1D">
        <w:rPr>
          <w:rStyle w:val="Strong"/>
          <w:b/>
          <w:bCs w:val="0"/>
        </w:rPr>
        <w:t xml:space="preserve">Explain the circumstances that make the collection of </w:t>
      </w:r>
      <w:r w:rsidRPr="00877276">
        <w:rPr>
          <w:rStyle w:val="Strong"/>
          <w:b/>
          <w:bCs w:val="0"/>
        </w:rPr>
        <w:t>information</w:t>
      </w:r>
      <w:r w:rsidRPr="00F86D1D">
        <w:rPr>
          <w:rStyle w:val="Strong"/>
          <w:b/>
          <w:bCs w:val="0"/>
        </w:rPr>
        <w:t xml:space="preserve"> necessary. Identify any legal or administrative requirements </w:t>
      </w:r>
      <w:r w:rsidRPr="009B0F63">
        <w:t>that</w:t>
      </w:r>
      <w:r w:rsidRPr="00F86D1D">
        <w:rPr>
          <w:rStyle w:val="Strong"/>
          <w:b/>
          <w:bCs w:val="0"/>
        </w:rPr>
        <w:t xml:space="preserve"> necessitate the collection. Attach a copy of the appropriate section of each statute and regulation mandating or authorizing the collection of information.</w:t>
      </w:r>
      <w:bookmarkEnd w:id="1"/>
    </w:p>
    <w:p w:rsidR="00E265D9" w:rsidP="009E08D8" w14:paraId="05DDA238" w14:textId="16EDAA4D">
      <w:pPr>
        <w:rPr>
          <w:rStyle w:val="2ndtier1"/>
        </w:rPr>
      </w:pPr>
    </w:p>
    <w:p w:rsidR="00CF76DF" w:rsidP="009E08D8" w14:paraId="0A25C737" w14:textId="282AB6E0">
      <w:r>
        <w:t>In past years, t</w:t>
      </w:r>
      <w:r w:rsidR="00E64DFD">
        <w:t xml:space="preserve">he </w:t>
      </w:r>
      <w:r w:rsidR="007C106F">
        <w:t xml:space="preserve">current </w:t>
      </w:r>
      <w:r w:rsidR="00E64DFD">
        <w:t xml:space="preserve">AERR </w:t>
      </w:r>
      <w:r>
        <w:t xml:space="preserve">has </w:t>
      </w:r>
      <w:r w:rsidR="007C106F">
        <w:t xml:space="preserve">served to </w:t>
      </w:r>
      <w:r w:rsidR="00E64DFD">
        <w:t xml:space="preserve">coordinate the various </w:t>
      </w:r>
      <w:r w:rsidR="00CC5782">
        <w:t>s</w:t>
      </w:r>
      <w:r w:rsidR="00E64DFD">
        <w:t xml:space="preserve">tate emission inventory reporting requirements and </w:t>
      </w:r>
      <w:r>
        <w:t xml:space="preserve">has </w:t>
      </w:r>
      <w:r w:rsidR="00E64DFD">
        <w:t>streamline</w:t>
      </w:r>
      <w:r>
        <w:t>d</w:t>
      </w:r>
      <w:r w:rsidR="00E64DFD">
        <w:t xml:space="preserve"> the activities involved in submitting emissions data to </w:t>
      </w:r>
      <w:r w:rsidR="00204E7E">
        <w:t>EPA</w:t>
      </w:r>
      <w:r w:rsidR="00E64DFD">
        <w:t xml:space="preserve">. </w:t>
      </w:r>
      <w:r>
        <w:t xml:space="preserve">The proposed AERR revisions would </w:t>
      </w:r>
      <w:r>
        <w:t>(1)</w:t>
      </w:r>
      <w:r w:rsidR="006C3064">
        <w:t> </w:t>
      </w:r>
      <w:r>
        <w:t xml:space="preserve">continue this coordination to </w:t>
      </w:r>
      <w:r w:rsidR="00E64DFD">
        <w:t xml:space="preserve">enable </w:t>
      </w:r>
      <w:r w:rsidR="00204E7E">
        <w:t>EPA</w:t>
      </w:r>
      <w:r w:rsidR="00E64DFD">
        <w:t xml:space="preserve"> to achieve uniformity and completeness in a national inventory to support national, regional, and local air quality planning and attainmen</w:t>
      </w:r>
      <w:r>
        <w:t>t of NAAQS</w:t>
      </w:r>
      <w:r w:rsidR="007F44D0">
        <w:t xml:space="preserve"> and planning needed for meeting regional haze requirements</w:t>
      </w:r>
      <w:r>
        <w:t>, (2)</w:t>
      </w:r>
      <w:r w:rsidR="006C3064">
        <w:t> </w:t>
      </w:r>
      <w:r>
        <w:t xml:space="preserve">greatly </w:t>
      </w:r>
      <w:r>
        <w:t xml:space="preserve">improve </w:t>
      </w:r>
      <w:r>
        <w:t xml:space="preserve">HAP data collections that are voluntary under the </w:t>
      </w:r>
      <w:r w:rsidR="00AD0288">
        <w:t xml:space="preserve">current </w:t>
      </w:r>
      <w:r>
        <w:t xml:space="preserve">AERR, </w:t>
      </w:r>
      <w:r w:rsidR="00C54DD0">
        <w:t>(3)</w:t>
      </w:r>
      <w:r w:rsidR="006C3064">
        <w:t> </w:t>
      </w:r>
      <w:r w:rsidR="00C54DD0">
        <w:t xml:space="preserve">fill </w:t>
      </w:r>
      <w:r w:rsidR="009765D7">
        <w:t xml:space="preserve">other </w:t>
      </w:r>
      <w:r w:rsidR="00C54DD0">
        <w:t>gaps in emission</w:t>
      </w:r>
      <w:r w:rsidR="009765D7">
        <w:t>s</w:t>
      </w:r>
      <w:r w:rsidR="00C54DD0">
        <w:t xml:space="preserve"> inventories for sources </w:t>
      </w:r>
      <w:r w:rsidR="001A0171">
        <w:t>outside of states’ implementation planning authority (</w:t>
      </w:r>
      <w:r w:rsidRPr="00AD0288" w:rsidR="001A0171">
        <w:rPr>
          <w:i/>
          <w:iCs/>
        </w:rPr>
        <w:t>e.g.</w:t>
      </w:r>
      <w:r w:rsidR="001A0171">
        <w:t xml:space="preserve">, </w:t>
      </w:r>
      <w:r w:rsidR="00CA0CA2">
        <w:t xml:space="preserve">sources located within certain </w:t>
      </w:r>
      <w:r w:rsidR="001A0171">
        <w:t>Indian country)</w:t>
      </w:r>
      <w:r w:rsidR="00AD0288">
        <w:t xml:space="preserve"> </w:t>
      </w:r>
      <w:r w:rsidR="000C04FE">
        <w:t>and for prescribed fires nationally</w:t>
      </w:r>
      <w:r w:rsidR="00C54DD0">
        <w:t xml:space="preserve">, </w:t>
      </w:r>
      <w:r>
        <w:t>and (</w:t>
      </w:r>
      <w:r w:rsidR="00C54DD0">
        <w:t>4</w:t>
      </w:r>
      <w:r>
        <w:t>)</w:t>
      </w:r>
      <w:r w:rsidR="006C3064">
        <w:t> </w:t>
      </w:r>
      <w:r>
        <w:t xml:space="preserve">greatly improve the availability of data necessary for creating emission factors. Each of these data needs are addressed separately with respect to the legal and administrative requirements that necessitate the collection. </w:t>
      </w:r>
    </w:p>
    <w:p w:rsidR="00CF76DF" w:rsidP="009E08D8" w14:paraId="62E8DC9B" w14:textId="77777777"/>
    <w:p w:rsidR="002C01E6" w:rsidRPr="00E265D9" w:rsidP="009E08D8" w14:paraId="22A4FA37" w14:textId="1972589C">
      <w:r w:rsidRPr="0019684E">
        <w:rPr>
          <w:b/>
          <w:bCs/>
        </w:rPr>
        <w:t>NAAQS</w:t>
      </w:r>
      <w:r w:rsidR="007F44D0">
        <w:rPr>
          <w:b/>
          <w:bCs/>
        </w:rPr>
        <w:t xml:space="preserve"> and Regional Haze</w:t>
      </w:r>
      <w:r w:rsidRPr="0019684E">
        <w:rPr>
          <w:b/>
          <w:bCs/>
        </w:rPr>
        <w:t xml:space="preserve"> </w:t>
      </w:r>
      <w:r w:rsidR="007F44D0">
        <w:rPr>
          <w:b/>
          <w:bCs/>
        </w:rPr>
        <w:t xml:space="preserve">Analysis </w:t>
      </w:r>
      <w:r w:rsidRPr="0019684E">
        <w:rPr>
          <w:b/>
          <w:bCs/>
        </w:rPr>
        <w:t xml:space="preserve">Support. </w:t>
      </w:r>
      <w:r>
        <w:t xml:space="preserve">As with past AERR collections, CAP emissions collections support states and EPA </w:t>
      </w:r>
      <w:r w:rsidR="00480C66">
        <w:t xml:space="preserve">efforts to </w:t>
      </w:r>
      <w:r w:rsidR="00E64DFD">
        <w:t xml:space="preserve">address </w:t>
      </w:r>
      <w:r w:rsidR="004E7BEF">
        <w:t xml:space="preserve">national, regional, and local </w:t>
      </w:r>
      <w:r w:rsidR="00E64DFD">
        <w:t>air quality issues</w:t>
      </w:r>
      <w:r w:rsidR="004E7BEF">
        <w:t xml:space="preserve"> with cost-effective practices</w:t>
      </w:r>
      <w:r>
        <w:t>. For NAAQS implementation,</w:t>
      </w:r>
      <w:r w:rsidR="00E64DFD">
        <w:t xml:space="preserve"> a</w:t>
      </w:r>
      <w:r>
        <w:t>n ongoing</w:t>
      </w:r>
      <w:r w:rsidR="004E7BEF">
        <w:t xml:space="preserve"> </w:t>
      </w:r>
      <w:r w:rsidR="00E64DFD">
        <w:t xml:space="preserve">need </w:t>
      </w:r>
      <w:r>
        <w:t xml:space="preserve">exists </w:t>
      </w:r>
      <w:r w:rsidR="00E64DFD">
        <w:t xml:space="preserve">for </w:t>
      </w:r>
      <w:r w:rsidR="00CC5782">
        <w:t>s</w:t>
      </w:r>
      <w:r w:rsidR="00E64DFD">
        <w:t xml:space="preserve">tates to develop consistent inventories and to share their emissions inventory data </w:t>
      </w:r>
      <w:r w:rsidR="004E7BEF">
        <w:t>across the air agencies</w:t>
      </w:r>
      <w:r w:rsidR="00E64DFD">
        <w:t>.</w:t>
      </w:r>
      <w:r w:rsidRPr="00E265D9">
        <w:t xml:space="preserve"> </w:t>
      </w:r>
      <w:r w:rsidR="00AD0288">
        <w:t xml:space="preserve">For example, for air quality modeling done for NAAQS implementation, a state needs emissions data from other states surrounding it. </w:t>
      </w:r>
      <w:r>
        <w:t xml:space="preserve">The proposed collection includes several additional elements that will further improve </w:t>
      </w:r>
      <w:r>
        <w:t xml:space="preserve">NAAQS support, including daily fuel use or heat input from some small generating units, specific requirements for special cases of emissions collection for airports, locomotives, and commercial marine vessels, and </w:t>
      </w:r>
      <w:r w:rsidR="0095440A">
        <w:t>requirements for providing activity data and documentation for nonpoint (</w:t>
      </w:r>
      <w:r w:rsidRPr="008E5C9F" w:rsidR="008E5C9F">
        <w:rPr>
          <w:i/>
        </w:rPr>
        <w:t>i.e.</w:t>
      </w:r>
      <w:r w:rsidR="0095440A">
        <w:t>, county-wide total)</w:t>
      </w:r>
      <w:r w:rsidR="00AF52CF">
        <w:t>, onroad, and nonroad</w:t>
      </w:r>
      <w:r w:rsidR="0095440A">
        <w:t xml:space="preserve"> sources.</w:t>
      </w:r>
    </w:p>
    <w:p w:rsidR="002C01E6" w:rsidP="009E08D8" w14:paraId="2E1FC87A" w14:textId="488D2090"/>
    <w:p w:rsidR="000C04FE" w:rsidP="009E08D8" w14:paraId="69270C80" w14:textId="09FFC6DA">
      <w:r>
        <w:t xml:space="preserve">The </w:t>
      </w:r>
      <w:r w:rsidR="00BA29FD">
        <w:t xml:space="preserve">proposed </w:t>
      </w:r>
      <w:r>
        <w:t>AERR revision include</w:t>
      </w:r>
      <w:r w:rsidR="00BA29FD">
        <w:t>s</w:t>
      </w:r>
      <w:r>
        <w:t xml:space="preserve"> a </w:t>
      </w:r>
      <w:r w:rsidR="006C3064">
        <w:t>proposed</w:t>
      </w:r>
      <w:r>
        <w:t xml:space="preserve"> collection of daily fuel use or heat input data from small generating units that operate, for example, to meet or offset peak electricity demand. As described in the preamble to the proposed AERR revision, these units have been implicated in certain </w:t>
      </w:r>
      <w:r w:rsidR="00AD0288">
        <w:t xml:space="preserve">NAAQS </w:t>
      </w:r>
      <w:r>
        <w:t>nonattainment situations</w:t>
      </w:r>
      <w:r w:rsidR="00AD0288">
        <w:t>,</w:t>
      </w:r>
      <w:r>
        <w:t xml:space="preserve"> and the proposed collection </w:t>
      </w:r>
      <w:r w:rsidR="00BA29FD">
        <w:t xml:space="preserve">requirement </w:t>
      </w:r>
      <w:r>
        <w:t xml:space="preserve">would help fill a longstanding gap in </w:t>
      </w:r>
      <w:r w:rsidR="00204E7E">
        <w:t>EPA</w:t>
      </w:r>
      <w:r w:rsidR="00BA29FD">
        <w:t>’s</w:t>
      </w:r>
      <w:r>
        <w:t xml:space="preserve"> and states’ ability to understand and potentially resolve any impact of such sources on nonattainment. </w:t>
      </w:r>
    </w:p>
    <w:p w:rsidR="000C04FE" w:rsidRPr="00E265D9" w:rsidP="009E08D8" w14:paraId="12FD5AE7" w14:textId="77777777"/>
    <w:p w:rsidR="002C01E6" w:rsidRPr="00E265D9" w:rsidP="009E08D8" w14:paraId="145AC884" w14:textId="12EA041A">
      <w:r>
        <w:t>T</w:t>
      </w:r>
      <w:r w:rsidRPr="00E265D9">
        <w:t xml:space="preserve">he CAA provides </w:t>
      </w:r>
      <w:r w:rsidR="00204E7E">
        <w:t>EPA</w:t>
      </w:r>
      <w:r w:rsidRPr="00E265D9">
        <w:t xml:space="preserve"> ample authority for acquiring such data. Emissions data are of vital importance to </w:t>
      </w:r>
      <w:r w:rsidR="00204E7E">
        <w:t>EPA</w:t>
      </w:r>
      <w:r w:rsidRPr="00E265D9">
        <w:t xml:space="preserve"> for fulfilling a host of monitoring, standard-setting, rulemaking, reviewing, and reporting duties. </w:t>
      </w:r>
      <w:r w:rsidR="003B7E78">
        <w:t>For example, s</w:t>
      </w:r>
      <w:r w:rsidRPr="00E265D9">
        <w:t xml:space="preserve">ection 110 requires each </w:t>
      </w:r>
      <w:r w:rsidR="00CC5782">
        <w:t>s</w:t>
      </w:r>
      <w:r w:rsidRPr="00E265D9">
        <w:t xml:space="preserve">tate to prepare a plan </w:t>
      </w:r>
      <w:r w:rsidR="00F96412">
        <w:t>that</w:t>
      </w:r>
      <w:r w:rsidRPr="00E265D9" w:rsidR="00F96412">
        <w:t xml:space="preserve"> </w:t>
      </w:r>
      <w:r w:rsidRPr="00E265D9">
        <w:t>provides for implementation, maintenance, and enforcement of the primary standard for each pollutant for which air quality criteria have been issued. This plan must include provisions for periodic reports identifying sources and listing amounts of emissions.</w:t>
      </w:r>
      <w:r w:rsidR="00523CED">
        <w:t xml:space="preserve"> </w:t>
      </w:r>
      <w:r w:rsidR="00C20F18">
        <w:t>Further, s</w:t>
      </w:r>
      <w:r w:rsidRPr="00E265D9">
        <w:t>ection 301(a) authorizes the Administrator to promulgate regulations</w:t>
      </w:r>
      <w:r w:rsidR="00C06940">
        <w:t xml:space="preserve"> necessary to carry out the CAA</w:t>
      </w:r>
      <w:r w:rsidRPr="00E265D9">
        <w:t>.</w:t>
      </w:r>
      <w:r w:rsidR="006C3064">
        <w:t xml:space="preserve"> In addition, section </w:t>
      </w:r>
      <w:r w:rsidRPr="0060691C" w:rsidR="006C3064">
        <w:t>114(a)(1) of the CAA authorizes the Administrator to, among other things, require certain persons (</w:t>
      </w:r>
      <w:r w:rsidR="006C3064">
        <w:t>explained</w:t>
      </w:r>
      <w:r w:rsidRPr="0060691C" w:rsidR="006C3064">
        <w:t xml:space="preserve"> below) on a one-time, periodic</w:t>
      </w:r>
      <w:r w:rsidR="006C3064">
        <w:t>,</w:t>
      </w:r>
      <w:r w:rsidRPr="0060691C" w:rsidR="006C3064">
        <w:t xml:space="preserve"> or continuous basis to keep records, make reports, undertake monitoring, sample emissions, or provide such other information as the Administrator may reasonably require</w:t>
      </w:r>
    </w:p>
    <w:p w:rsidR="002C01E6" w:rsidRPr="00E265D9" w:rsidP="009E08D8" w14:paraId="79CB1B69" w14:textId="77777777"/>
    <w:p w:rsidR="0095440A" w:rsidP="009E08D8" w14:paraId="538112C6" w14:textId="009295C2">
      <w:r>
        <w:t>More specifically, statutory</w:t>
      </w:r>
      <w:r w:rsidRPr="00E265D9" w:rsidR="002C01E6">
        <w:t xml:space="preserve"> support for collecting and reporting emissions data is demonstrated in three sections of the CAA. Section 110(a)(2)(F) requires that each </w:t>
      </w:r>
      <w:r w:rsidR="00CC5782">
        <w:t>s</w:t>
      </w:r>
      <w:r w:rsidRPr="00E265D9" w:rsidR="002C01E6">
        <w:t>tate provide for periodic reports on the nature and amounts of emissions of criteria pollutants from stationary sources.</w:t>
      </w:r>
      <w:r w:rsidR="00BC24C8">
        <w:t xml:space="preserve"> </w:t>
      </w:r>
      <w:r w:rsidRPr="00E265D9" w:rsidR="002C01E6">
        <w:t xml:space="preserve">Sections 182(a)(3)(A) and 187(a)(5) of the CAA specify periodic inventory requirements for ozone and CO nonattainment areas, respectively. Section 182(a)(3)(A) requires </w:t>
      </w:r>
      <w:r w:rsidR="00CC5782">
        <w:t>s</w:t>
      </w:r>
      <w:r w:rsidRPr="00E265D9" w:rsidR="002C01E6">
        <w:t>tates with ozone nonattainment areas to submit a current inventory of actual emissions of VOC, and NO</w:t>
      </w:r>
      <w:r w:rsidRPr="00CC5782" w:rsidR="003B4E99">
        <w:rPr>
          <w:vertAlign w:val="subscript"/>
        </w:rPr>
        <w:t>x</w:t>
      </w:r>
      <w:r w:rsidRPr="00E265D9" w:rsidR="002C01E6">
        <w:t xml:space="preserve"> every 3 years. Section 187(a)(5) requires a similar inventory of actual CO emissions for CO nonattainment areas. Periodic inventories include emission estimates for all point, nonpoint, onroad mobile, nonroad mobile sources</w:t>
      </w:r>
      <w:r w:rsidR="00B6261E">
        <w:t>, and fires (also called “events” in the NEI)</w:t>
      </w:r>
      <w:r w:rsidRPr="00E265D9" w:rsidR="002C01E6">
        <w:t>. Section 172(c)(3) provides the Administrator with discretionary authority to require other emissions data as deemed necessary for SIP development in nonattainment areas to meet the NAAQS.</w:t>
      </w:r>
      <w:r w:rsidR="007F44D0">
        <w:t xml:space="preserve"> Section 169A also directs </w:t>
      </w:r>
      <w:r w:rsidR="00204E7E">
        <w:t>EPA</w:t>
      </w:r>
      <w:r w:rsidR="007F44D0">
        <w:t xml:space="preserve"> to provide regulations necessary for the protection of visibility, and the regulations that EPA has promulgated include some requirements for states that rely on emissions inventories.</w:t>
      </w:r>
    </w:p>
    <w:p w:rsidR="007F44D0" w:rsidP="009E08D8" w14:paraId="5548E153" w14:textId="33DAF1D6"/>
    <w:p w:rsidR="00EA34C9" w:rsidRPr="00EA34C9" w:rsidP="009E08D8" w14:paraId="717C5D88" w14:textId="37DED9F2">
      <w:r w:rsidRPr="00EA34C9">
        <w:rPr>
          <w:b/>
          <w:bCs/>
        </w:rPr>
        <w:t>NAAQS State Implementation Plans</w:t>
      </w:r>
      <w:r>
        <w:rPr>
          <w:b/>
          <w:bCs/>
        </w:rPr>
        <w:t xml:space="preserve">. </w:t>
      </w:r>
      <w:r w:rsidR="00F1187A">
        <w:t>To assist with fulfilling</w:t>
      </w:r>
      <w:r w:rsidR="00795D1E">
        <w:t xml:space="preserve"> the </w:t>
      </w:r>
      <w:r w:rsidR="003F7CE4">
        <w:t xml:space="preserve">CAA-mandated </w:t>
      </w:r>
      <w:r w:rsidR="00795D1E">
        <w:t xml:space="preserve">need for </w:t>
      </w:r>
      <w:r w:rsidR="00F416DA">
        <w:t>comprehensive data on emissions</w:t>
      </w:r>
      <w:r w:rsidR="00795D1E">
        <w:t xml:space="preserve"> to support NAAQS implementation, EPA has promulgated several regulations that set requirements for states. These regulations are the </w:t>
      </w:r>
      <w:r w:rsidRPr="0051430A" w:rsidR="00795D1E">
        <w:t>Ozone SIP Requirements Rule</w:t>
      </w:r>
      <w:r w:rsidR="00795D1E">
        <w:t>s</w:t>
      </w:r>
      <w:r w:rsidRPr="0051430A" w:rsidR="00795D1E">
        <w:t xml:space="preserve"> (40 CFR </w:t>
      </w:r>
      <w:r w:rsidR="00795D1E">
        <w:t xml:space="preserve">part 51, </w:t>
      </w:r>
      <w:r w:rsidRPr="0051430A" w:rsidR="00795D1E">
        <w:t>Subpart</w:t>
      </w:r>
      <w:r w:rsidR="00795D1E">
        <w:t>s X, AA, and</w:t>
      </w:r>
      <w:r w:rsidRPr="0051430A" w:rsidR="00795D1E">
        <w:t xml:space="preserve"> CC) and the PM</w:t>
      </w:r>
      <w:r w:rsidRPr="002D65D1" w:rsidR="00795D1E">
        <w:rPr>
          <w:vertAlign w:val="subscript"/>
        </w:rPr>
        <w:t>2.5</w:t>
      </w:r>
      <w:r w:rsidRPr="0051430A" w:rsidR="00795D1E">
        <w:t xml:space="preserve"> SIP Requirements Rule (40 CFR </w:t>
      </w:r>
      <w:r w:rsidR="00795D1E">
        <w:t xml:space="preserve">part 51, </w:t>
      </w:r>
      <w:r w:rsidRPr="0051430A" w:rsidR="00795D1E">
        <w:t>Subpart Z)</w:t>
      </w:r>
      <w:r w:rsidR="00795D1E">
        <w:t>. These rules refer to the AERR for some of the emissions reporting requirements. While the ICRs for those rules include preparation and submission of SIP documents, they d</w:t>
      </w:r>
      <w:r w:rsidR="00B95A3C">
        <w:t xml:space="preserve">id not expressly identify or separately </w:t>
      </w:r>
      <w:r w:rsidR="00B95A3C">
        <w:t>account for</w:t>
      </w:r>
      <w:r w:rsidR="00795D1E">
        <w:t xml:space="preserve"> the additional burden associated with collecting and reporting additional </w:t>
      </w:r>
      <w:r w:rsidR="00B95A3C">
        <w:t xml:space="preserve">emissions </w:t>
      </w:r>
      <w:r w:rsidR="00795D1E">
        <w:t xml:space="preserve">information to meet those requirements. This additional burden is </w:t>
      </w:r>
      <w:r w:rsidR="00B95A3C">
        <w:t xml:space="preserve">now expressly </w:t>
      </w:r>
      <w:r w:rsidR="00795D1E">
        <w:t>included</w:t>
      </w:r>
      <w:r w:rsidR="00932E35">
        <w:t xml:space="preserve"> as a separate burden estimate for public review</w:t>
      </w:r>
      <w:r w:rsidR="00795D1E">
        <w:t xml:space="preserve"> in </w:t>
      </w:r>
      <w:r w:rsidR="00CF649A">
        <w:fldChar w:fldCharType="begin"/>
      </w:r>
      <w:r w:rsidR="00CF649A">
        <w:instrText xml:space="preserve"> REF _Ref137218596 \r \h </w:instrText>
      </w:r>
      <w:r w:rsidR="00CF649A">
        <w:fldChar w:fldCharType="separate"/>
      </w:r>
      <w:r w:rsidR="00646F0F">
        <w:t>Appendix C:</w:t>
      </w:r>
      <w:r w:rsidR="00CF649A">
        <w:fldChar w:fldCharType="end"/>
      </w:r>
      <w:r w:rsidR="00932E35">
        <w:t xml:space="preserve"> to this </w:t>
      </w:r>
      <w:r w:rsidR="00795D1E">
        <w:t>ICR</w:t>
      </w:r>
      <w:r w:rsidR="00B95A3C">
        <w:t xml:space="preserve"> for all NAAQS pollutants</w:t>
      </w:r>
      <w:r w:rsidR="003543BA">
        <w:t xml:space="preserve"> for which EPA anticipates SIP inventory preparation will occur over the three years covered by the ICR</w:t>
      </w:r>
      <w:r w:rsidR="00795D1E">
        <w:t>.</w:t>
      </w:r>
    </w:p>
    <w:p w:rsidR="00EA34C9" w:rsidP="00153505" w14:paraId="3474E869" w14:textId="77777777"/>
    <w:p w:rsidR="0095440A" w:rsidP="009E08D8" w14:paraId="0ABBA91F" w14:textId="04E6FFD6">
      <w:r>
        <w:rPr>
          <w:b/>
          <w:bCs/>
        </w:rPr>
        <w:t xml:space="preserve">HAP Emissions. </w:t>
      </w:r>
      <w:r w:rsidRPr="00B6261E" w:rsidR="004F1B28">
        <w:t>Under the current AERR,</w:t>
      </w:r>
      <w:r w:rsidR="004F1B28">
        <w:rPr>
          <w:b/>
          <w:bCs/>
        </w:rPr>
        <w:t xml:space="preserve"> </w:t>
      </w:r>
      <w:r>
        <w:t xml:space="preserve">HAP emissions </w:t>
      </w:r>
      <w:r w:rsidR="004F1B28">
        <w:t xml:space="preserve">reporting </w:t>
      </w:r>
      <w:r>
        <w:t xml:space="preserve">from states </w:t>
      </w:r>
      <w:r w:rsidR="004F1B28">
        <w:t>is voluntary</w:t>
      </w:r>
      <w:r w:rsidR="001110F5">
        <w:t>. The EPA</w:t>
      </w:r>
      <w:r>
        <w:t xml:space="preserve"> has evaluated the effectiveness of this voluntary collect</w:t>
      </w:r>
      <w:r w:rsidR="00EF7ABB">
        <w:t>ion</w:t>
      </w:r>
      <w:r>
        <w:t xml:space="preserve"> as described in the preamble to the proposed rule. HAP emissions</w:t>
      </w:r>
      <w:r w:rsidRPr="0051430A">
        <w:t xml:space="preserve"> data are used extensively throughout EPA’s regulatory and informational programs to protect public health and inform communities of potential risks from these pollutants. </w:t>
      </w:r>
      <w:r>
        <w:t>As discussed in the preamble to the proposed AERR revision,</w:t>
      </w:r>
      <w:r w:rsidRPr="0051430A">
        <w:t xml:space="preserve"> EPA has significant evidence that the current voluntary reporting program from states is insufficient to meet these need</w:t>
      </w:r>
      <w:r>
        <w:t xml:space="preserve">s. In addition to the </w:t>
      </w:r>
      <w:r w:rsidR="00B6261E">
        <w:t>statutory</w:t>
      </w:r>
      <w:r>
        <w:t xml:space="preserve"> support described above for collecting and reporting emissions data, the CAA includes various requirements for EPA to implement. These include Residual Risk analysis under CAA 112(f)(2), technology reviews under CAA 112(d)(6), and review of source category listings under CAA 112(c)(5). </w:t>
      </w:r>
    </w:p>
    <w:p w:rsidR="0095440A" w:rsidP="009E08D8" w14:paraId="13E65A4C" w14:textId="77777777"/>
    <w:p w:rsidR="0095440A" w:rsidP="009E08D8" w14:paraId="58EA82DA" w14:textId="3D6B2FED">
      <w:r>
        <w:t xml:space="preserve">Further, </w:t>
      </w:r>
      <w:r w:rsidRPr="0051430A">
        <w:t xml:space="preserve">Executive Order (EO) </w:t>
      </w:r>
      <w:r w:rsidRPr="00C374DB">
        <w:t xml:space="preserve">12898 (59 FR 7629, February 16, 1994) directs federal agencies, to the greatest extent practicable and permitted by law, to make environmental justice part of their mission by identifying and </w:t>
      </w:r>
      <w:r w:rsidRPr="0051430A">
        <w:t>address</w:t>
      </w:r>
      <w:r>
        <w:t>ing, as appropriate,</w:t>
      </w:r>
      <w:r w:rsidRPr="0051430A">
        <w:t xml:space="preserve"> the disproportionately high and adverse human health or environmental</w:t>
      </w:r>
      <w:r>
        <w:t xml:space="preserve"> effects </w:t>
      </w:r>
      <w:r w:rsidRPr="00C374DB">
        <w:t xml:space="preserve">of their programs, policies, and activities on minority populations </w:t>
      </w:r>
      <w:r>
        <w:t xml:space="preserve">(people of color) </w:t>
      </w:r>
      <w:r w:rsidRPr="00C374DB">
        <w:t>and low-income populations</w:t>
      </w:r>
      <w:r w:rsidRPr="0051430A">
        <w:t>.</w:t>
      </w:r>
      <w:r w:rsidRPr="0095440A">
        <w:t xml:space="preserve"> </w:t>
      </w:r>
      <w:r w:rsidRPr="0051430A">
        <w:t xml:space="preserve">Part of the impact on communities </w:t>
      </w:r>
      <w:r w:rsidR="00B6261E">
        <w:t>resulting from</w:t>
      </w:r>
      <w:r w:rsidRPr="0051430A">
        <w:t xml:space="preserve"> EPA’s regulatory actions is to improve air quality by reducing emissions of </w:t>
      </w:r>
      <w:r>
        <w:t>HAP</w:t>
      </w:r>
      <w:r w:rsidRPr="0051430A">
        <w:t xml:space="preserve"> and other pollutants with local impacts. Under the current voluntary program, some states submit </w:t>
      </w:r>
      <w:r>
        <w:t xml:space="preserve">extensive </w:t>
      </w:r>
      <w:r w:rsidRPr="0051430A">
        <w:t xml:space="preserve">HAP data, while other states submit </w:t>
      </w:r>
      <w:r w:rsidR="00B6261E">
        <w:t xml:space="preserve">little or </w:t>
      </w:r>
      <w:r w:rsidRPr="0051430A">
        <w:t xml:space="preserve">no </w:t>
      </w:r>
      <w:r>
        <w:t>HAP data</w:t>
      </w:r>
      <w:r w:rsidRPr="0051430A">
        <w:t>.</w:t>
      </w:r>
      <w:r>
        <w:t xml:space="preserve"> The proposed AERR revision would</w:t>
      </w:r>
      <w:r w:rsidRPr="0051430A">
        <w:t xml:space="preserve"> help to close the gap in understanding impacts of </w:t>
      </w:r>
      <w:r>
        <w:t>HAP</w:t>
      </w:r>
      <w:r w:rsidRPr="0051430A">
        <w:t xml:space="preserve"> and other pollutants on communities</w:t>
      </w:r>
      <w:r>
        <w:t xml:space="preserve"> and will</w:t>
      </w:r>
      <w:r w:rsidR="00C546F0">
        <w:t>,</w:t>
      </w:r>
      <w:r>
        <w:t xml:space="preserve"> therefore</w:t>
      </w:r>
      <w:r w:rsidR="00C546F0">
        <w:t>,</w:t>
      </w:r>
      <w:r>
        <w:t xml:space="preserve"> assist EPA with fulfilling the goals of EO 12898.</w:t>
      </w:r>
    </w:p>
    <w:p w:rsidR="0095440A" w:rsidP="009E08D8" w14:paraId="417F3B6B" w14:textId="49175E4C"/>
    <w:p w:rsidR="0095440A" w:rsidP="009E08D8" w14:paraId="1FD0FE53" w14:textId="44D33708">
      <w:r>
        <w:t>In addition,</w:t>
      </w:r>
      <w:r w:rsidRPr="0095440A">
        <w:t xml:space="preserve"> </w:t>
      </w:r>
      <w:r>
        <w:t>t</w:t>
      </w:r>
      <w:r w:rsidRPr="0051430A">
        <w:t>o be able to assess risks</w:t>
      </w:r>
      <w:r>
        <w:t>,</w:t>
      </w:r>
      <w:r w:rsidRPr="0051430A">
        <w:t xml:space="preserve"> </w:t>
      </w:r>
      <w:r>
        <w:t>EPA</w:t>
      </w:r>
      <w:r w:rsidRPr="0051430A">
        <w:t xml:space="preserve"> </w:t>
      </w:r>
      <w:r>
        <w:t>develops</w:t>
      </w:r>
      <w:r w:rsidRPr="0051430A">
        <w:t xml:space="preserve"> information about pollutant toxicity and reviews pollutant impacts under the </w:t>
      </w:r>
      <w:r w:rsidRPr="007E4310">
        <w:t xml:space="preserve">Integrated Risk Information System </w:t>
      </w:r>
      <w:r>
        <w:t>(</w:t>
      </w:r>
      <w:r w:rsidRPr="0051430A">
        <w:t>IRIS</w:t>
      </w:r>
      <w:r>
        <w:t>)</w:t>
      </w:r>
      <w:r w:rsidRPr="0051430A">
        <w:t xml:space="preserve"> program</w:t>
      </w:r>
      <w:r>
        <w:t>.</w:t>
      </w:r>
      <w:r w:rsidRPr="0095440A">
        <w:t xml:space="preserve"> </w:t>
      </w:r>
      <w:r w:rsidRPr="0051430A">
        <w:t xml:space="preserve">Given the huge number of chemicals released </w:t>
      </w:r>
      <w:r w:rsidR="00C546F0">
        <w:t>in</w:t>
      </w:r>
      <w:r w:rsidRPr="0051430A">
        <w:t>to the air, it is necessary to prioritize which pollutants are investigated by the IRIS program</w:t>
      </w:r>
      <w:r w:rsidR="001110F5">
        <w:t>. The EPA</w:t>
      </w:r>
      <w:r w:rsidRPr="0051430A">
        <w:t xml:space="preserve"> uses modeled risks and exposures to communities to help set those priorities, which requires detailed HAP data and release parameters that are not </w:t>
      </w:r>
      <w:r>
        <w:t xml:space="preserve">sufficiently </w:t>
      </w:r>
      <w:r w:rsidRPr="0051430A">
        <w:t xml:space="preserve">available under the current voluntary program. </w:t>
      </w:r>
    </w:p>
    <w:p w:rsidR="0095440A" w:rsidRPr="0051430A" w:rsidP="009E08D8" w14:paraId="674DBB52" w14:textId="77777777"/>
    <w:p w:rsidR="0095440A" w:rsidRPr="0019684E" w:rsidP="009E08D8" w14:paraId="20896F11" w14:textId="3DE02787">
      <w:pPr>
        <w:rPr>
          <w:b/>
          <w:bCs/>
        </w:rPr>
      </w:pPr>
      <w:r w:rsidRPr="0051430A">
        <w:t xml:space="preserve">To support IRIS and other programs, </w:t>
      </w:r>
      <w:r>
        <w:t>EPA</w:t>
      </w:r>
      <w:r w:rsidRPr="0051430A">
        <w:t xml:space="preserve"> has developed nationwide risk information for all pollutants with the </w:t>
      </w:r>
      <w:r w:rsidRPr="003543BA" w:rsidR="00B6261E">
        <w:t>AirToxScreen program</w:t>
      </w:r>
      <w:r>
        <w:rPr>
          <w:rStyle w:val="FootnoteReference"/>
          <w:vertAlign w:val="superscript"/>
        </w:rPr>
        <w:footnoteReference w:id="5"/>
      </w:r>
      <w:r w:rsidR="00B6261E">
        <w:t xml:space="preserve"> and its predecessor, the </w:t>
      </w:r>
      <w:r w:rsidRPr="0051430A">
        <w:t>National Air Toxics Assessment (NATA) program</w:t>
      </w:r>
      <w:r>
        <w:t xml:space="preserve">. </w:t>
      </w:r>
      <w:r w:rsidRPr="0051430A">
        <w:t xml:space="preserve">One use of </w:t>
      </w:r>
      <w:r w:rsidR="00B6261E">
        <w:t>these</w:t>
      </w:r>
      <w:r w:rsidRPr="0051430A">
        <w:t xml:space="preserve"> risk </w:t>
      </w:r>
      <w:r w:rsidR="00B6261E">
        <w:t>analyses</w:t>
      </w:r>
      <w:r w:rsidRPr="0051430A">
        <w:t xml:space="preserve"> is for prioritization of compliance and enforcement resources. EPA </w:t>
      </w:r>
      <w:r>
        <w:t>R</w:t>
      </w:r>
      <w:r w:rsidRPr="0051430A">
        <w:t xml:space="preserve">egional offices and states use risk data to determine </w:t>
      </w:r>
      <w:r>
        <w:t>communities</w:t>
      </w:r>
      <w:r w:rsidRPr="0051430A">
        <w:t xml:space="preserve"> and facilities for review. For facilities emitting </w:t>
      </w:r>
      <w:r>
        <w:t>HAP</w:t>
      </w:r>
      <w:r w:rsidRPr="0051430A">
        <w:t>, the current voluntary HAP data collection approach does provide some benefit; however, a more comprehensive HAP emissions collection program would further enhance the prioritization by supporting more complete and more detailed risk and emissions data than are currently available.</w:t>
      </w:r>
    </w:p>
    <w:p w:rsidR="002C01E6" w:rsidP="009E08D8" w14:paraId="7FE77278" w14:textId="551210FC"/>
    <w:p w:rsidR="00C54DD0" w:rsidP="009E08D8" w14:paraId="3A369DB2" w14:textId="6C8BF55F">
      <w:r>
        <w:t xml:space="preserve">Additionally, HAP emissions </w:t>
      </w:r>
      <w:r w:rsidR="004F1B28">
        <w:t>reporting</w:t>
      </w:r>
      <w:r>
        <w:t xml:space="preserve"> would further support </w:t>
      </w:r>
      <w:r w:rsidRPr="006C33A4">
        <w:t>NAAQS implementation</w:t>
      </w:r>
      <w:r>
        <w:t>, especially for modeled attainment demonstration requirements included in CAA 182(b)</w:t>
      </w:r>
      <w:r w:rsidR="000C04FE">
        <w:t xml:space="preserve"> and 189</w:t>
      </w:r>
      <w:r>
        <w:t>.</w:t>
      </w:r>
      <w:r w:rsidRPr="006C33A4">
        <w:t xml:space="preserve"> </w:t>
      </w:r>
      <w:r>
        <w:t>T</w:t>
      </w:r>
      <w:r w:rsidRPr="0051430A">
        <w:t>he CAA</w:t>
      </w:r>
      <w:r>
        <w:t xml:space="preserve"> specifically identifies</w:t>
      </w:r>
      <w:r w:rsidRPr="0051430A">
        <w:t xml:space="preserve"> VOC</w:t>
      </w:r>
      <w:r>
        <w:t xml:space="preserve"> as a </w:t>
      </w:r>
      <w:r w:rsidRPr="0051430A">
        <w:t>precursor to ozone</w:t>
      </w:r>
      <w:r w:rsidR="004A1B83">
        <w:t>,</w:t>
      </w:r>
      <w:r w:rsidRPr="0051430A">
        <w:t xml:space="preserve"> and </w:t>
      </w:r>
      <w:r>
        <w:t xml:space="preserve">VOC is additionally a precursor to </w:t>
      </w:r>
      <w:r w:rsidRPr="0051430A">
        <w:t>PM</w:t>
      </w:r>
      <w:r w:rsidRPr="002D65D1">
        <w:rPr>
          <w:vertAlign w:val="subscript"/>
        </w:rPr>
        <w:t>2</w:t>
      </w:r>
      <w:r>
        <w:rPr>
          <w:vertAlign w:val="subscript"/>
        </w:rPr>
        <w:t>.5</w:t>
      </w:r>
      <w:r w:rsidR="004A1B83">
        <w:t>.</w:t>
      </w:r>
      <w:r w:rsidRPr="0051430A">
        <w:t xml:space="preserve"> </w:t>
      </w:r>
      <w:r w:rsidR="004A1B83">
        <w:t>T</w:t>
      </w:r>
      <w:r w:rsidRPr="0051430A">
        <w:t>hus</w:t>
      </w:r>
      <w:r w:rsidR="004A1B83">
        <w:t>,</w:t>
      </w:r>
      <w:r w:rsidRPr="0051430A">
        <w:t xml:space="preserve"> </w:t>
      </w:r>
      <w:r>
        <w:t xml:space="preserve">emissions and anticipated reductions of VOC are inputs </w:t>
      </w:r>
      <w:r w:rsidRPr="0051430A">
        <w:t xml:space="preserve">used for </w:t>
      </w:r>
      <w:r>
        <w:t xml:space="preserve">certain </w:t>
      </w:r>
      <w:r w:rsidRPr="0051430A">
        <w:t xml:space="preserve">air quality modeling. </w:t>
      </w:r>
      <w:r>
        <w:t>Having detailed information about VOC HAP compounds reduces the need for EPA to make assumptions about the composition of VOC, which is the approach otherwise taken to support air quality modeling. As with VOCs, PM HAP provides more detail about PM</w:t>
      </w:r>
      <w:r w:rsidRPr="00DC6D27">
        <w:rPr>
          <w:vertAlign w:val="subscript"/>
        </w:rPr>
        <w:t>2.5</w:t>
      </w:r>
      <w:r>
        <w:t xml:space="preserve"> components that similarly allow for better data to support air quality modeling.</w:t>
      </w:r>
    </w:p>
    <w:p w:rsidR="00D675CA" w:rsidP="009E08D8" w14:paraId="3975E6E9" w14:textId="77777777"/>
    <w:p w:rsidR="00B545EB" w:rsidRPr="0051430A" w:rsidP="009E08D8" w14:paraId="42902A8D" w14:textId="40831AA3">
      <w:r>
        <w:t xml:space="preserve">Direct collection of HAP emissions data from owners/operators is </w:t>
      </w:r>
      <w:r w:rsidR="007416D9">
        <w:t xml:space="preserve">allowed </w:t>
      </w:r>
      <w:r>
        <w:t xml:space="preserve">by CAA 114(a)(1), which </w:t>
      </w:r>
      <w:r w:rsidRPr="0060691C">
        <w:t>authorizes the Administrator to, among other things, require certain persons on a one-time, periodic</w:t>
      </w:r>
      <w:r>
        <w:t>,</w:t>
      </w:r>
      <w:r w:rsidRPr="0060691C">
        <w:t xml:space="preserve"> or continuous basis to keep records, make reports, undertake monitoring, sample emissions, or provide such other information as the Administrator may reasonably require. </w:t>
      </w:r>
      <w:r w:rsidRPr="0021265B">
        <w:t>Given the broad scope of CAA</w:t>
      </w:r>
      <w:r>
        <w:t xml:space="preserve"> section 114, it is </w:t>
      </w:r>
      <w:r w:rsidR="007416D9">
        <w:t xml:space="preserve">well within </w:t>
      </w:r>
      <w:r>
        <w:t>EPA</w:t>
      </w:r>
      <w:r w:rsidR="007416D9">
        <w:t>’s authority</w:t>
      </w:r>
      <w:r>
        <w:t xml:space="preserve"> to gather the emissions data required by this proposed action</w:t>
      </w:r>
      <w:r w:rsidR="003D1E22">
        <w:t>. Further, the collection of th</w:t>
      </w:r>
      <w:r w:rsidR="00615F13">
        <w:t>e</w:t>
      </w:r>
      <w:r w:rsidR="003D1E22">
        <w:t>s</w:t>
      </w:r>
      <w:r w:rsidR="00615F13">
        <w:t>e</w:t>
      </w:r>
      <w:r w:rsidR="003D1E22">
        <w:t xml:space="preserve"> data is authorized and appropriate</w:t>
      </w:r>
      <w:r>
        <w:t xml:space="preserve"> because such information is relevant to EPA’s ability to carry out a wide variety of CAA provisions, as illustrated by</w:t>
      </w:r>
      <w:r w:rsidRPr="0051430A">
        <w:t xml:space="preserve"> </w:t>
      </w:r>
      <w:r>
        <w:t>the previous</w:t>
      </w:r>
      <w:r w:rsidRPr="0051430A">
        <w:t xml:space="preserve"> description of the uses of </w:t>
      </w:r>
      <w:r>
        <w:t xml:space="preserve">such </w:t>
      </w:r>
      <w:r w:rsidRPr="0051430A">
        <w:t>emissions data</w:t>
      </w:r>
      <w:r w:rsidRPr="0051430A">
        <w:t xml:space="preserve"> </w:t>
      </w:r>
      <w:r>
        <w:t>by EPA</w:t>
      </w:r>
      <w:r w:rsidRPr="0051430A">
        <w:t>.</w:t>
      </w:r>
    </w:p>
    <w:p w:rsidR="00C54DD0" w:rsidP="009E08D8" w14:paraId="162225BB" w14:textId="77777777"/>
    <w:p w:rsidR="00B545EB" w:rsidP="009E08D8" w14:paraId="1D01E2BA" w14:textId="6304A245">
      <w:pPr>
        <w:rPr>
          <w:rStyle w:val="Strong"/>
          <w:b w:val="0"/>
          <w:bCs w:val="0"/>
        </w:rPr>
      </w:pPr>
      <w:r>
        <w:rPr>
          <w:rStyle w:val="Strong"/>
        </w:rPr>
        <w:t xml:space="preserve">Other </w:t>
      </w:r>
      <w:r w:rsidRPr="0019684E" w:rsidR="000C04FE">
        <w:rPr>
          <w:rStyle w:val="Strong"/>
        </w:rPr>
        <w:t xml:space="preserve">Gaps in </w:t>
      </w:r>
      <w:r>
        <w:rPr>
          <w:rStyle w:val="Strong"/>
        </w:rPr>
        <w:t>E</w:t>
      </w:r>
      <w:r w:rsidRPr="0019684E" w:rsidR="000C04FE">
        <w:rPr>
          <w:rStyle w:val="Strong"/>
        </w:rPr>
        <w:t xml:space="preserve">mission </w:t>
      </w:r>
      <w:r>
        <w:rPr>
          <w:rStyle w:val="Strong"/>
        </w:rPr>
        <w:t>I</w:t>
      </w:r>
      <w:r w:rsidRPr="0019684E" w:rsidR="000C04FE">
        <w:rPr>
          <w:rStyle w:val="Strong"/>
        </w:rPr>
        <w:t>nventories</w:t>
      </w:r>
      <w:r w:rsidR="00B63D21">
        <w:rPr>
          <w:rStyle w:val="Strong"/>
        </w:rPr>
        <w:t xml:space="preserve">. </w:t>
      </w:r>
      <w:r w:rsidR="000C04FE">
        <w:rPr>
          <w:rStyle w:val="Strong"/>
          <w:b w:val="0"/>
          <w:bCs w:val="0"/>
        </w:rPr>
        <w:t>The preamble to the proposed AERR revision explains EPA’s analysis of gaps that exist in EPA’s ability to create emission</w:t>
      </w:r>
      <w:r>
        <w:rPr>
          <w:rStyle w:val="Strong"/>
          <w:b w:val="0"/>
          <w:bCs w:val="0"/>
        </w:rPr>
        <w:t>s</w:t>
      </w:r>
      <w:r w:rsidR="000C04FE">
        <w:rPr>
          <w:rStyle w:val="Strong"/>
          <w:b w:val="0"/>
          <w:bCs w:val="0"/>
        </w:rPr>
        <w:t xml:space="preserve"> inventories to support the NAAQS and HAP-related needs described above. First, the current AERR does not include collection of stationary source emissions from facilities operating </w:t>
      </w:r>
      <w:r w:rsidR="001A0171">
        <w:rPr>
          <w:rStyle w:val="Strong"/>
          <w:b w:val="0"/>
          <w:bCs w:val="0"/>
        </w:rPr>
        <w:t>outside states’ implementation planning authority (</w:t>
      </w:r>
      <w:r w:rsidRPr="004A1B83" w:rsidR="001A0171">
        <w:rPr>
          <w:rStyle w:val="Strong"/>
          <w:b w:val="0"/>
          <w:bCs w:val="0"/>
          <w:i/>
          <w:iCs/>
        </w:rPr>
        <w:t>e.g.</w:t>
      </w:r>
      <w:r w:rsidR="001A0171">
        <w:rPr>
          <w:rStyle w:val="Strong"/>
          <w:b w:val="0"/>
          <w:bCs w:val="0"/>
        </w:rPr>
        <w:t xml:space="preserve">, </w:t>
      </w:r>
      <w:r w:rsidR="00CA0CA2">
        <w:rPr>
          <w:rStyle w:val="Strong"/>
          <w:b w:val="0"/>
          <w:bCs w:val="0"/>
        </w:rPr>
        <w:t xml:space="preserve">on certain </w:t>
      </w:r>
      <w:r w:rsidR="000C04FE">
        <w:rPr>
          <w:rStyle w:val="Strong"/>
          <w:b w:val="0"/>
          <w:bCs w:val="0"/>
        </w:rPr>
        <w:t xml:space="preserve">Indian </w:t>
      </w:r>
      <w:r w:rsidR="00C546F0">
        <w:rPr>
          <w:rStyle w:val="Strong"/>
          <w:b w:val="0"/>
          <w:bCs w:val="0"/>
        </w:rPr>
        <w:t>c</w:t>
      </w:r>
      <w:r w:rsidR="000C04FE">
        <w:rPr>
          <w:rStyle w:val="Strong"/>
          <w:b w:val="0"/>
          <w:bCs w:val="0"/>
        </w:rPr>
        <w:t>ountry</w:t>
      </w:r>
      <w:r w:rsidR="001A0171">
        <w:rPr>
          <w:rStyle w:val="Strong"/>
          <w:b w:val="0"/>
          <w:bCs w:val="0"/>
        </w:rPr>
        <w:t>)</w:t>
      </w:r>
      <w:r w:rsidR="000C04FE">
        <w:rPr>
          <w:rStyle w:val="Strong"/>
          <w:b w:val="0"/>
          <w:bCs w:val="0"/>
        </w:rPr>
        <w:t xml:space="preserve">. </w:t>
      </w:r>
      <w:r w:rsidR="00950BF4">
        <w:rPr>
          <w:rStyle w:val="Strong"/>
          <w:b w:val="0"/>
          <w:bCs w:val="0"/>
        </w:rPr>
        <w:t>For these sources, EPA relies</w:t>
      </w:r>
      <w:r w:rsidR="000C04FE">
        <w:rPr>
          <w:rStyle w:val="Strong"/>
          <w:b w:val="0"/>
          <w:bCs w:val="0"/>
        </w:rPr>
        <w:t xml:space="preserve"> largely </w:t>
      </w:r>
      <w:r w:rsidR="00950BF4">
        <w:rPr>
          <w:rStyle w:val="Strong"/>
          <w:b w:val="0"/>
          <w:bCs w:val="0"/>
        </w:rPr>
        <w:t xml:space="preserve">on </w:t>
      </w:r>
      <w:r w:rsidR="000C04FE">
        <w:rPr>
          <w:rStyle w:val="Strong"/>
          <w:b w:val="0"/>
          <w:bCs w:val="0"/>
        </w:rPr>
        <w:t xml:space="preserve">voluntary reporting by </w:t>
      </w:r>
      <w:r w:rsidR="004A1B83">
        <w:rPr>
          <w:rStyle w:val="Strong"/>
          <w:b w:val="0"/>
          <w:bCs w:val="0"/>
        </w:rPr>
        <w:t xml:space="preserve">a few </w:t>
      </w:r>
      <w:r w:rsidR="000C04FE">
        <w:rPr>
          <w:rStyle w:val="Strong"/>
          <w:b w:val="0"/>
          <w:bCs w:val="0"/>
        </w:rPr>
        <w:t>tribes</w:t>
      </w:r>
      <w:r w:rsidR="004A1B83">
        <w:rPr>
          <w:rStyle w:val="Strong"/>
          <w:b w:val="0"/>
          <w:bCs w:val="0"/>
        </w:rPr>
        <w:t>, which leaves gaps for the other tribes with potential emissions sources of interest for air planning purposes</w:t>
      </w:r>
      <w:r w:rsidR="000C04FE">
        <w:rPr>
          <w:rStyle w:val="Strong"/>
          <w:b w:val="0"/>
          <w:bCs w:val="0"/>
        </w:rPr>
        <w:t xml:space="preserve">. As described in the preamble to the proposed AERR revision, EPA now has the </w:t>
      </w:r>
      <w:r w:rsidR="00D32C4C">
        <w:rPr>
          <w:rStyle w:val="Strong"/>
          <w:b w:val="0"/>
          <w:bCs w:val="0"/>
        </w:rPr>
        <w:t xml:space="preserve">technical </w:t>
      </w:r>
      <w:r w:rsidR="000C04FE">
        <w:rPr>
          <w:rStyle w:val="Strong"/>
          <w:b w:val="0"/>
          <w:bCs w:val="0"/>
        </w:rPr>
        <w:t xml:space="preserve">capacity to collect </w:t>
      </w:r>
      <w:r w:rsidR="003548D6">
        <w:rPr>
          <w:rStyle w:val="Strong"/>
          <w:b w:val="0"/>
          <w:bCs w:val="0"/>
        </w:rPr>
        <w:t>emissions data</w:t>
      </w:r>
      <w:r w:rsidR="000C04FE">
        <w:rPr>
          <w:rStyle w:val="Strong"/>
          <w:b w:val="0"/>
          <w:bCs w:val="0"/>
        </w:rPr>
        <w:t xml:space="preserve"> directly from owners/operators via the Combined Air Emissions Reporting System (CAERS). </w:t>
      </w:r>
      <w:r>
        <w:rPr>
          <w:rStyle w:val="Strong"/>
          <w:b w:val="0"/>
          <w:bCs w:val="0"/>
        </w:rPr>
        <w:t xml:space="preserve">The longstanding absence of data from </w:t>
      </w:r>
      <w:r w:rsidR="00CA0CA2">
        <w:rPr>
          <w:rStyle w:val="Strong"/>
          <w:b w:val="0"/>
          <w:bCs w:val="0"/>
        </w:rPr>
        <w:t>some</w:t>
      </w:r>
      <w:r>
        <w:rPr>
          <w:rStyle w:val="Strong"/>
          <w:b w:val="0"/>
          <w:bCs w:val="0"/>
        </w:rPr>
        <w:t xml:space="preserve"> sources </w:t>
      </w:r>
      <w:r w:rsidR="00F62304">
        <w:rPr>
          <w:rStyle w:val="Strong"/>
          <w:b w:val="0"/>
          <w:bCs w:val="0"/>
        </w:rPr>
        <w:t>outside states’ implementation planning authority</w:t>
      </w:r>
      <w:r>
        <w:rPr>
          <w:rStyle w:val="Strong"/>
          <w:b w:val="0"/>
          <w:bCs w:val="0"/>
        </w:rPr>
        <w:t xml:space="preserve"> and the new ability to </w:t>
      </w:r>
      <w:r w:rsidR="00364500">
        <w:rPr>
          <w:rStyle w:val="Strong"/>
          <w:b w:val="0"/>
          <w:bCs w:val="0"/>
        </w:rPr>
        <w:t xml:space="preserve">easily </w:t>
      </w:r>
      <w:r>
        <w:rPr>
          <w:rStyle w:val="Strong"/>
          <w:b w:val="0"/>
          <w:bCs w:val="0"/>
        </w:rPr>
        <w:t>collect that directly from owners/operators has led to these proposed additions to this collection.</w:t>
      </w:r>
      <w:r w:rsidR="000C04FE">
        <w:rPr>
          <w:rStyle w:val="Strong"/>
          <w:b w:val="0"/>
          <w:bCs w:val="0"/>
        </w:rPr>
        <w:t xml:space="preserve"> </w:t>
      </w:r>
    </w:p>
    <w:p w:rsidR="00883592" w:rsidP="009E08D8" w14:paraId="674D1DD7" w14:textId="77777777">
      <w:pPr>
        <w:rPr>
          <w:rStyle w:val="Strong"/>
          <w:b w:val="0"/>
          <w:bCs w:val="0"/>
        </w:rPr>
      </w:pPr>
    </w:p>
    <w:p w:rsidR="000C04FE" w:rsidRPr="0019684E" w:rsidP="009E08D8" w14:paraId="508DB3EC" w14:textId="4B726DBB">
      <w:pPr>
        <w:rPr>
          <w:rStyle w:val="Strong"/>
          <w:b w:val="0"/>
          <w:bCs w:val="0"/>
        </w:rPr>
      </w:pPr>
      <w:bookmarkStart w:id="2" w:name="_Hlk117866881"/>
      <w:r>
        <w:rPr>
          <w:rStyle w:val="Strong"/>
          <w:b w:val="0"/>
          <w:bCs w:val="0"/>
        </w:rPr>
        <w:t xml:space="preserve">Second, EPA’s current voluntary program for collecting activity data about prescribed fires has not been successful for </w:t>
      </w:r>
      <w:r w:rsidR="003548D6">
        <w:rPr>
          <w:rStyle w:val="Strong"/>
          <w:b w:val="0"/>
          <w:bCs w:val="0"/>
        </w:rPr>
        <w:t xml:space="preserve">estimating emissions of many prescribed </w:t>
      </w:r>
      <w:r>
        <w:rPr>
          <w:rStyle w:val="Strong"/>
          <w:b w:val="0"/>
          <w:bCs w:val="0"/>
        </w:rPr>
        <w:t>fires in many states, particularly on private</w:t>
      </w:r>
      <w:r w:rsidR="004A1B83">
        <w:rPr>
          <w:rStyle w:val="Strong"/>
          <w:b w:val="0"/>
          <w:bCs w:val="0"/>
        </w:rPr>
        <w:t>, state,</w:t>
      </w:r>
      <w:r>
        <w:rPr>
          <w:rStyle w:val="Strong"/>
          <w:b w:val="0"/>
          <w:bCs w:val="0"/>
        </w:rPr>
        <w:t xml:space="preserve"> and military lands. </w:t>
      </w:r>
      <w:r w:rsidR="00B545EB">
        <w:rPr>
          <w:rStyle w:val="Strong"/>
          <w:b w:val="0"/>
          <w:bCs w:val="0"/>
        </w:rPr>
        <w:t xml:space="preserve">As described in the preamble to the proposed AERR revisions, </w:t>
      </w:r>
      <w:r w:rsidR="00B545EB">
        <w:t xml:space="preserve">EPA’s experience over the past decade has determined that </w:t>
      </w:r>
      <w:r w:rsidR="004A1B83">
        <w:t xml:space="preserve">while the satellite data used by EPA is very </w:t>
      </w:r>
      <w:r w:rsidR="00303F52">
        <w:t>informative</w:t>
      </w:r>
      <w:r w:rsidR="004A1B83">
        <w:t xml:space="preserve">, </w:t>
      </w:r>
      <w:r w:rsidR="00B545EB">
        <w:t xml:space="preserve">without more </w:t>
      </w:r>
      <w:r w:rsidR="004A1B83">
        <w:t>ground-based data</w:t>
      </w:r>
      <w:r w:rsidR="00B545EB">
        <w:t xml:space="preserve">, it is not possible to accurately differentiate prescribed burning from other types of fires in most states. </w:t>
      </w:r>
      <w:r w:rsidR="004A1B83">
        <w:t>The satellite approaches are also limited in their ability to estimate the size of the fires and have no way to characterize pile burns properly. Fill</w:t>
      </w:r>
      <w:r w:rsidR="00BE1708">
        <w:t>ing</w:t>
      </w:r>
      <w:r w:rsidR="004A1B83">
        <w:t xml:space="preserve"> these gaps would</w:t>
      </w:r>
      <w:r w:rsidR="00266377">
        <w:t xml:space="preserve"> support analyses of increasing importance w</w:t>
      </w:r>
      <w:r w:rsidR="00B545EB">
        <w:t>ithin the context of r</w:t>
      </w:r>
      <w:r w:rsidRPr="00547731" w:rsidR="00B545EB">
        <w:t xml:space="preserve">ecent increases in </w:t>
      </w:r>
      <w:r w:rsidR="00B545EB">
        <w:t>the frequency of</w:t>
      </w:r>
      <w:r w:rsidRPr="00547731" w:rsidR="00B545EB">
        <w:t xml:space="preserve"> damaging forest fire events</w:t>
      </w:r>
      <w:r w:rsidR="00266377">
        <w:t>. With several of the worst wildfire seasons</w:t>
      </w:r>
      <w:r w:rsidRPr="00547731" w:rsidR="00B545EB">
        <w:t xml:space="preserve"> </w:t>
      </w:r>
      <w:r w:rsidR="00266377">
        <w:t>occu</w:t>
      </w:r>
      <w:r w:rsidR="00E35871">
        <w:t>r</w:t>
      </w:r>
      <w:r w:rsidR="00266377">
        <w:t xml:space="preserve">ring </w:t>
      </w:r>
      <w:r w:rsidR="00F02133">
        <w:t>within</w:t>
      </w:r>
      <w:r w:rsidR="00266377">
        <w:t xml:space="preserve"> the past 5 years, </w:t>
      </w:r>
      <w:r w:rsidR="00204E7E">
        <w:t>EPA</w:t>
      </w:r>
      <w:r w:rsidR="00266377">
        <w:t xml:space="preserve"> anticipates that more prescribed burning may be </w:t>
      </w:r>
      <w:r w:rsidRPr="00547731" w:rsidR="00B545EB">
        <w:t>need</w:t>
      </w:r>
      <w:r w:rsidR="00266377">
        <w:t xml:space="preserve">ed </w:t>
      </w:r>
      <w:r w:rsidRPr="00547731" w:rsidR="00B545EB">
        <w:t xml:space="preserve">for improved </w:t>
      </w:r>
      <w:r w:rsidR="00F02133">
        <w:t xml:space="preserve">future </w:t>
      </w:r>
      <w:r w:rsidR="00266377">
        <w:t xml:space="preserve">fire </w:t>
      </w:r>
      <w:r w:rsidRPr="00547731" w:rsidR="00B545EB">
        <w:t>management</w:t>
      </w:r>
      <w:r w:rsidR="00B545EB">
        <w:t xml:space="preserve"> schemes</w:t>
      </w:r>
      <w:r w:rsidR="00266377">
        <w:t xml:space="preserve">. </w:t>
      </w:r>
      <w:bookmarkStart w:id="3" w:name="_Hlk117866846"/>
      <w:bookmarkEnd w:id="2"/>
      <w:r w:rsidR="00266377">
        <w:t xml:space="preserve">While these prescribed burns are controlled and limit emissions as compared to wildfires, they </w:t>
      </w:r>
      <w:r w:rsidR="00266377">
        <w:t>still produce significant emissions of CAPs such as PM</w:t>
      </w:r>
      <w:r w:rsidRPr="004A1B83" w:rsidR="004A1B83">
        <w:rPr>
          <w:vertAlign w:val="subscript"/>
        </w:rPr>
        <w:t>2.5</w:t>
      </w:r>
      <w:r w:rsidR="00266377">
        <w:t xml:space="preserve"> </w:t>
      </w:r>
      <w:r w:rsidR="0079065A">
        <w:t xml:space="preserve">and </w:t>
      </w:r>
      <w:r w:rsidR="00266377">
        <w:t>VOC, HAP, and carbon dioxide, all of which are important contributors to environmental health risks and climate change.</w:t>
      </w:r>
      <w:bookmarkEnd w:id="3"/>
    </w:p>
    <w:p w:rsidR="000C04FE" w:rsidRPr="001D5274" w:rsidP="009E08D8" w14:paraId="402ABAA1" w14:textId="77777777"/>
    <w:p w:rsidR="000C04FE" w:rsidP="009E08D8" w14:paraId="1135FA1B" w14:textId="0890EFA6">
      <w:r>
        <w:rPr>
          <w:b/>
          <w:bCs/>
        </w:rPr>
        <w:t>Emission Factors.</w:t>
      </w:r>
      <w:r w:rsidR="00266377">
        <w:rPr>
          <w:b/>
          <w:bCs/>
        </w:rPr>
        <w:t xml:space="preserve"> </w:t>
      </w:r>
      <w:r w:rsidR="00266377">
        <w:t>Emissions factors are a key tool used in the creation of emissions inventories. An emissions factor can be used to estimate air pollutant emissions from a normally operating point-source process or activity (</w:t>
      </w:r>
      <w:r w:rsidRPr="008E5C9F" w:rsidR="008E5C9F">
        <w:rPr>
          <w:i/>
          <w:iCs/>
        </w:rPr>
        <w:t>e.g.</w:t>
      </w:r>
      <w:r w:rsidR="00266377">
        <w:t>, fuel combustion, chemical production). In 2006, a review of EPA’s emissions factors program by the National Academy of Sciences and EPA’s Office of Inspector General resulted in a report</w:t>
      </w:r>
      <w:r>
        <w:rPr>
          <w:rStyle w:val="FootnoteReference"/>
          <w:vertAlign w:val="superscript"/>
        </w:rPr>
        <w:footnoteReference w:id="6"/>
      </w:r>
      <w:r w:rsidR="00266377">
        <w:t xml:space="preserve"> that </w:t>
      </w:r>
      <w:r w:rsidRPr="00586101" w:rsidR="00266377">
        <w:t xml:space="preserve">urged </w:t>
      </w:r>
      <w:r w:rsidR="00266377">
        <w:t>EPA</w:t>
      </w:r>
      <w:r w:rsidRPr="00586101" w:rsidR="00266377">
        <w:t xml:space="preserve"> to improve both emission factor quality and quantity</w:t>
      </w:r>
      <w:r w:rsidR="001110F5">
        <w:t>. The EPA</w:t>
      </w:r>
      <w:r w:rsidR="00266377">
        <w:t>’s most recent approach to develop emissions factors has been prepared in response to that report, and it relies on source tests of emissions releases from stationary-source processes and activities (</w:t>
      </w:r>
      <w:r w:rsidRPr="008E5C9F" w:rsidR="008E5C9F">
        <w:rPr>
          <w:i/>
        </w:rPr>
        <w:t>i.e.</w:t>
      </w:r>
      <w:r w:rsidR="00266377">
        <w:t>, a sample of the process emissions is collected and analyzed).</w:t>
      </w:r>
    </w:p>
    <w:p w:rsidR="00883592" w:rsidP="009E08D8" w14:paraId="2980B960" w14:textId="4A544E0C"/>
    <w:p w:rsidR="0095440A" w:rsidP="009E08D8" w14:paraId="6DF70A90" w14:textId="171BA05C">
      <w:r>
        <w:t xml:space="preserve">With this proposed AERR revision, EPA is seeking to improve emissions factors to support improved emissions inventories via the proposed collection of additional source test data. The EPA has recently completed updates to the WebFIRE system that automates most of the emission factor development processes </w:t>
      </w:r>
      <w:r w:rsidR="00C34CAF">
        <w:t>and makes that data available to the public</w:t>
      </w:r>
      <w:r>
        <w:t>. As a result of these efforts, EPA issued its first set of revised emissions factors for public review in November 2021.</w:t>
      </w:r>
      <w:r>
        <w:rPr>
          <w:rStyle w:val="FootnoteReference"/>
          <w:vertAlign w:val="superscript"/>
        </w:rPr>
        <w:footnoteReference w:id="7"/>
      </w:r>
      <w:r>
        <w:t xml:space="preserve"> Now that the development procedure infrastructure is largely completed, EPA </w:t>
      </w:r>
      <w:r w:rsidR="00974242">
        <w:t xml:space="preserve">seeks to </w:t>
      </w:r>
      <w:r>
        <w:t>increas</w:t>
      </w:r>
      <w:r w:rsidR="00974242">
        <w:t>e</w:t>
      </w:r>
      <w:r>
        <w:t xml:space="preserve"> the amount of source test data by obtaining information from the thousands of emissions processes and hundreds of pollutants included for stationary sources in the NEI</w:t>
      </w:r>
      <w:r w:rsidR="00974242">
        <w:t xml:space="preserve">, as </w:t>
      </w:r>
      <w:r>
        <w:t xml:space="preserve">a logical progression in emission factor improvement. As is the case </w:t>
      </w:r>
      <w:r w:rsidR="00974242">
        <w:t xml:space="preserve">for </w:t>
      </w:r>
      <w:r>
        <w:t xml:space="preserve">collection of annual emissions data described above, direct collection of source test data from owners/operators is </w:t>
      </w:r>
      <w:r w:rsidR="00E662D1">
        <w:t>allowed</w:t>
      </w:r>
      <w:r>
        <w:t xml:space="preserve"> by CAA 114(a)(1).</w:t>
      </w:r>
    </w:p>
    <w:p w:rsidR="00C3635A" w:rsidRPr="00F86D1D" w:rsidP="00877276" w14:paraId="031D8D4B" w14:textId="36A73D19">
      <w:pPr>
        <w:pStyle w:val="Heading1"/>
        <w:rPr>
          <w:rStyle w:val="Strong"/>
          <w:b/>
          <w:bCs w:val="0"/>
        </w:rPr>
      </w:pPr>
      <w:r w:rsidRPr="00F86D1D">
        <w:rPr>
          <w:rStyle w:val="Strong"/>
          <w:b/>
          <w:bCs w:val="0"/>
        </w:rPr>
        <w:t>Indicate how, by whom, and for what purpose the information is to be used. Except for a new collection, indicate the actual use the agency has made of the information received from the current collection.</w:t>
      </w:r>
    </w:p>
    <w:p w:rsidR="00E265D9" w:rsidRPr="004D28DC" w:rsidP="004D28DC" w14:paraId="7E0C2CD0" w14:textId="3518C434">
      <w:pPr>
        <w:rPr>
          <w:rStyle w:val="2ndtier1"/>
          <w:rFonts w:asciiTheme="minorHAnsi" w:hAnsiTheme="minorHAnsi" w:cstheme="minorHAnsi"/>
          <w:sz w:val="22"/>
          <w:szCs w:val="22"/>
        </w:rPr>
      </w:pPr>
    </w:p>
    <w:p w:rsidR="002C5446" w:rsidRPr="004D28DC" w:rsidP="004D28DC" w14:paraId="122BC660" w14:textId="624699C0">
      <w:pPr>
        <w:rPr>
          <w:rStyle w:val="2ndtier1"/>
          <w:rFonts w:asciiTheme="minorHAnsi" w:hAnsiTheme="minorHAnsi" w:cstheme="minorHAnsi"/>
          <w:b w:val="0"/>
          <w:bCs w:val="0"/>
          <w:sz w:val="22"/>
          <w:szCs w:val="22"/>
        </w:rPr>
      </w:pPr>
      <w:r w:rsidRPr="004D28DC">
        <w:rPr>
          <w:rStyle w:val="2ndtier1"/>
          <w:rFonts w:asciiTheme="minorHAnsi" w:hAnsiTheme="minorHAnsi" w:cstheme="minorHAnsi"/>
          <w:b w:val="0"/>
          <w:bCs w:val="0"/>
          <w:sz w:val="22"/>
          <w:szCs w:val="22"/>
        </w:rPr>
        <w:t>The data included in this collect</w:t>
      </w:r>
      <w:r w:rsidR="00692F81">
        <w:rPr>
          <w:rStyle w:val="2ndtier1"/>
          <w:rFonts w:asciiTheme="minorHAnsi" w:hAnsiTheme="minorHAnsi" w:cstheme="minorHAnsi"/>
          <w:b w:val="0"/>
          <w:bCs w:val="0"/>
          <w:sz w:val="22"/>
          <w:szCs w:val="22"/>
        </w:rPr>
        <w:t>ion</w:t>
      </w:r>
      <w:r w:rsidRPr="004D28DC">
        <w:rPr>
          <w:rStyle w:val="2ndtier1"/>
          <w:rFonts w:asciiTheme="minorHAnsi" w:hAnsiTheme="minorHAnsi" w:cstheme="minorHAnsi"/>
          <w:b w:val="0"/>
          <w:bCs w:val="0"/>
          <w:sz w:val="22"/>
          <w:szCs w:val="22"/>
        </w:rPr>
        <w:t xml:space="preserve"> fall into </w:t>
      </w:r>
      <w:r w:rsidR="00932E35">
        <w:rPr>
          <w:rStyle w:val="2ndtier1"/>
          <w:rFonts w:asciiTheme="minorHAnsi" w:hAnsiTheme="minorHAnsi" w:cstheme="minorHAnsi"/>
          <w:b w:val="0"/>
          <w:bCs w:val="0"/>
          <w:sz w:val="22"/>
          <w:szCs w:val="22"/>
        </w:rPr>
        <w:t>two</w:t>
      </w:r>
      <w:r w:rsidRPr="004D28DC" w:rsidR="00932E35">
        <w:rPr>
          <w:rStyle w:val="2ndtier1"/>
          <w:rFonts w:asciiTheme="minorHAnsi" w:hAnsiTheme="minorHAnsi" w:cstheme="minorHAnsi"/>
          <w:b w:val="0"/>
          <w:bCs w:val="0"/>
          <w:sz w:val="22"/>
          <w:szCs w:val="22"/>
        </w:rPr>
        <w:t xml:space="preserve"> </w:t>
      </w:r>
      <w:r w:rsidRPr="004D28DC">
        <w:rPr>
          <w:rStyle w:val="2ndtier1"/>
          <w:rFonts w:asciiTheme="minorHAnsi" w:hAnsiTheme="minorHAnsi" w:cstheme="minorHAnsi"/>
          <w:b w:val="0"/>
          <w:bCs w:val="0"/>
          <w:sz w:val="22"/>
          <w:szCs w:val="22"/>
        </w:rPr>
        <w:t>categories: annual emissions data and related information and source test data. Each of these categories has different uses and so these are described separately below.</w:t>
      </w:r>
    </w:p>
    <w:p w:rsidR="002C5446" w:rsidP="009E08D8" w14:paraId="4A656F7C" w14:textId="77777777">
      <w:pPr>
        <w:rPr>
          <w:rStyle w:val="2ndtier1"/>
        </w:rPr>
      </w:pPr>
    </w:p>
    <w:p w:rsidR="002C01E6" w:rsidP="009E08D8" w14:paraId="34201EED" w14:textId="4674482C">
      <w:r w:rsidRPr="0019684E">
        <w:rPr>
          <w:b/>
          <w:bCs/>
        </w:rPr>
        <w:t>Annual e</w:t>
      </w:r>
      <w:r w:rsidRPr="0019684E">
        <w:rPr>
          <w:b/>
          <w:bCs/>
        </w:rPr>
        <w:t>missions data and related information</w:t>
      </w:r>
      <w:r>
        <w:t>. Annual emissions data about</w:t>
      </w:r>
      <w:r>
        <w:t xml:space="preserve"> stationary point and nonpoint sources, as well as onroad mobile and </w:t>
      </w:r>
      <w:r w:rsidR="003B4E99">
        <w:t>n</w:t>
      </w:r>
      <w:r>
        <w:t>onroad mobile sources, are routinely used by OAQPS</w:t>
      </w:r>
      <w:r w:rsidR="007F44D0">
        <w:t xml:space="preserve">, </w:t>
      </w:r>
      <w:r w:rsidR="00204E7E">
        <w:t>EPA</w:t>
      </w:r>
      <w:r>
        <w:t xml:space="preserve"> Regional </w:t>
      </w:r>
      <w:r w:rsidR="00692F81">
        <w:t>o</w:t>
      </w:r>
      <w:r>
        <w:t>ffices</w:t>
      </w:r>
      <w:r w:rsidR="007F44D0">
        <w:t>, and states</w:t>
      </w:r>
      <w:r>
        <w:t xml:space="preserve"> in carrying out a variety of activities</w:t>
      </w:r>
      <w:r w:rsidR="00470329">
        <w:t xml:space="preserve"> needed for implementing provisions of the CAA</w:t>
      </w:r>
      <w:r>
        <w:t>.</w:t>
      </w:r>
      <w:r w:rsidR="00523CED">
        <w:t xml:space="preserve"> </w:t>
      </w:r>
      <w:r>
        <w:t xml:space="preserve">The data are compiled into the NEI, which in turn supports development of an emissions modeling platform. Both the NEI and the emissions modeling platform </w:t>
      </w:r>
      <w:r>
        <w:t>support regulatory functions as well as functions that are more programmatic in nature</w:t>
      </w:r>
      <w:r w:rsidR="00B818EE">
        <w:t>,</w:t>
      </w:r>
      <w:r>
        <w:t xml:space="preserve"> such as trends analyses.</w:t>
      </w:r>
      <w:r w:rsidR="00523CED">
        <w:t xml:space="preserve"> </w:t>
      </w:r>
      <w:r>
        <w:t xml:space="preserve">Such </w:t>
      </w:r>
      <w:r w:rsidR="00692F81">
        <w:t>functions</w:t>
      </w:r>
      <w:r>
        <w:t xml:space="preserve"> include:</w:t>
      </w:r>
    </w:p>
    <w:p w:rsidR="002C01E6" w:rsidP="009E08D8" w14:paraId="4F4F2B36" w14:textId="77777777"/>
    <w:p w:rsidR="0006263D" w:rsidP="00F17B08" w14:paraId="1BEAE12E" w14:textId="08E40156">
      <w:pPr>
        <w:pStyle w:val="Level1"/>
        <w:numPr>
          <w:ilvl w:val="0"/>
          <w:numId w:val="1"/>
        </w:numPr>
        <w:spacing w:after="120"/>
      </w:pPr>
      <w:r>
        <w:t xml:space="preserve">Basic information to support the boundaries selected for designation of nonattainment areas; </w:t>
      </w:r>
    </w:p>
    <w:p w:rsidR="002C01E6" w:rsidP="00F17B08" w14:paraId="2B398A8A" w14:textId="5FD42BCF">
      <w:pPr>
        <w:pStyle w:val="Level1"/>
        <w:numPr>
          <w:ilvl w:val="0"/>
          <w:numId w:val="1"/>
        </w:numPr>
        <w:spacing w:after="120"/>
      </w:pPr>
      <w:r>
        <w:t>Evaluation of control strategies</w:t>
      </w:r>
      <w:r w:rsidR="0006263D">
        <w:t xml:space="preserve"> included in SIPs</w:t>
      </w:r>
      <w:r>
        <w:t>;</w:t>
      </w:r>
    </w:p>
    <w:p w:rsidR="002C01E6" w:rsidP="00F17B08" w14:paraId="4E3DAC60" w14:textId="41080ED7">
      <w:pPr>
        <w:pStyle w:val="ListParagraph"/>
        <w:numPr>
          <w:ilvl w:val="0"/>
          <w:numId w:val="1"/>
        </w:numPr>
        <w:spacing w:after="120"/>
      </w:pPr>
      <w:r>
        <w:t xml:space="preserve">Evaluation of control strategies for </w:t>
      </w:r>
      <w:r w:rsidR="00CC5782">
        <w:t>s</w:t>
      </w:r>
      <w:r>
        <w:t xml:space="preserve">tates and larger areas, including applications of regional </w:t>
      </w:r>
      <w:r w:rsidR="0006263D">
        <w:t xml:space="preserve">and national </w:t>
      </w:r>
      <w:r>
        <w:t>scale models;</w:t>
      </w:r>
    </w:p>
    <w:p w:rsidR="00F96412" w:rsidP="00F17B08" w14:paraId="78704C8B" w14:textId="77777777">
      <w:pPr>
        <w:pStyle w:val="ListParagraph"/>
        <w:numPr>
          <w:ilvl w:val="0"/>
          <w:numId w:val="1"/>
        </w:numPr>
        <w:spacing w:after="120"/>
      </w:pPr>
      <w:r>
        <w:t>Preparation and publication of national summaries of emissions including trend analyses and international reporting obligations;</w:t>
      </w:r>
    </w:p>
    <w:p w:rsidR="00F96412" w:rsidP="00F17B08" w14:paraId="4C0D3A7D" w14:textId="533BA3DB">
      <w:pPr>
        <w:pStyle w:val="ListParagraph"/>
        <w:numPr>
          <w:ilvl w:val="0"/>
          <w:numId w:val="1"/>
        </w:numPr>
        <w:spacing w:after="120"/>
      </w:pPr>
      <w:r>
        <w:t xml:space="preserve">As a database to assist in the identification of important source categories for </w:t>
      </w:r>
      <w:r w:rsidR="00C142B7">
        <w:t xml:space="preserve">possible </w:t>
      </w:r>
      <w:r>
        <w:t>future regulation;</w:t>
      </w:r>
    </w:p>
    <w:p w:rsidR="002C01E6" w:rsidP="00F17B08" w14:paraId="48EFDB11" w14:textId="41871BE7">
      <w:pPr>
        <w:pStyle w:val="ListParagraph"/>
        <w:numPr>
          <w:ilvl w:val="0"/>
          <w:numId w:val="1"/>
        </w:numPr>
        <w:spacing w:after="120"/>
      </w:pPr>
      <w:r>
        <w:t>Development of national control strategies and preparation of Regulatory Impact Analyses</w:t>
      </w:r>
      <w:r w:rsidR="008C6C96">
        <w:t xml:space="preserve"> through application of air quality modeling</w:t>
      </w:r>
      <w:r>
        <w:t>;</w:t>
      </w:r>
    </w:p>
    <w:p w:rsidR="00F96412" w:rsidP="00F17B08" w14:paraId="1083AE2F" w14:textId="778E053F">
      <w:pPr>
        <w:pStyle w:val="ListParagraph"/>
        <w:numPr>
          <w:ilvl w:val="0"/>
          <w:numId w:val="1"/>
        </w:numPr>
        <w:spacing w:after="120"/>
      </w:pPr>
      <w:r>
        <w:t xml:space="preserve">As a key part of air quality modeling platforms, which </w:t>
      </w:r>
      <w:r w:rsidR="00204E7E">
        <w:t>EPA</w:t>
      </w:r>
      <w:r>
        <w:t xml:space="preserve"> </w:t>
      </w:r>
      <w:r>
        <w:t xml:space="preserve">uses for research and planning and </w:t>
      </w:r>
      <w:r>
        <w:t xml:space="preserve">provides publicly for use </w:t>
      </w:r>
      <w:r>
        <w:t>for</w:t>
      </w:r>
      <w:r>
        <w:t xml:space="preserve"> state and </w:t>
      </w:r>
      <w:r>
        <w:t>MJO air quality modeling efforts;</w:t>
      </w:r>
    </w:p>
    <w:p w:rsidR="008C6C96" w:rsidP="00F17B08" w14:paraId="24BB3B85" w14:textId="63BB87DB">
      <w:pPr>
        <w:pStyle w:val="ListParagraph"/>
        <w:numPr>
          <w:ilvl w:val="0"/>
          <w:numId w:val="1"/>
        </w:numPr>
        <w:spacing w:after="120"/>
      </w:pPr>
      <w:r>
        <w:t>A</w:t>
      </w:r>
      <w:r>
        <w:t>s a building block to assist states with compliance with their requirements for preparing SIPs;</w:t>
      </w:r>
    </w:p>
    <w:p w:rsidR="00C34CAF" w:rsidP="00086817" w14:paraId="16CFABC0" w14:textId="32E7DE59">
      <w:pPr>
        <w:pStyle w:val="ListParagraph"/>
        <w:numPr>
          <w:ilvl w:val="0"/>
          <w:numId w:val="1"/>
        </w:numPr>
        <w:spacing w:after="120"/>
      </w:pPr>
      <w:r>
        <w:t>Evaluation of locations for ambient monitoring when regulations require monitoring near sources with emissions above certain levels (</w:t>
      </w:r>
      <w:r w:rsidRPr="008E5C9F" w:rsidR="008E5C9F">
        <w:rPr>
          <w:i/>
        </w:rPr>
        <w:t>e.g.</w:t>
      </w:r>
      <w:r>
        <w:t xml:space="preserve">, for lead); </w:t>
      </w:r>
    </w:p>
    <w:p w:rsidR="00C34CAF" w:rsidP="00086817" w14:paraId="21C191E9" w14:textId="38656C89">
      <w:pPr>
        <w:pStyle w:val="ListParagraph"/>
        <w:numPr>
          <w:ilvl w:val="0"/>
          <w:numId w:val="1"/>
        </w:numPr>
        <w:spacing w:after="120"/>
      </w:pPr>
      <w:r>
        <w:t>Risk assessments and technology reviews; and</w:t>
      </w:r>
    </w:p>
    <w:p w:rsidR="002C01E6" w:rsidP="00F17B08" w14:paraId="79476C19" w14:textId="1BAD93A9">
      <w:pPr>
        <w:pStyle w:val="ListParagraph"/>
        <w:numPr>
          <w:ilvl w:val="0"/>
          <w:numId w:val="1"/>
        </w:numPr>
      </w:pPr>
      <w:r>
        <w:t>Preparation of the stationary source portion of a report to Congress on SO</w:t>
      </w:r>
      <w:r w:rsidRPr="0019684E" w:rsidR="00A8268D">
        <w:rPr>
          <w:vertAlign w:val="subscript"/>
        </w:rPr>
        <w:t>2</w:t>
      </w:r>
      <w:r>
        <w:t xml:space="preserve"> emissions.</w:t>
      </w:r>
      <w:r w:rsidR="00523CED">
        <w:t xml:space="preserve"> </w:t>
      </w:r>
      <w:r>
        <w:t>This report is required by Section 406 of the CAA and is due on a 5</w:t>
      </w:r>
      <w:r>
        <w:noBreakHyphen/>
        <w:t>year cycle that began on January 1, 1995.</w:t>
      </w:r>
      <w:r w:rsidR="00523CED">
        <w:t xml:space="preserve"> </w:t>
      </w:r>
      <w:r>
        <w:t>The report must contain an inventory of national annual SO</w:t>
      </w:r>
      <w:r w:rsidRPr="0019684E" w:rsidR="008C23BC">
        <w:rPr>
          <w:vertAlign w:val="subscript"/>
        </w:rPr>
        <w:t>2</w:t>
      </w:r>
      <w:r>
        <w:t xml:space="preserve"> emissions from industrial sources (as defined in Title IV of the CAA).</w:t>
      </w:r>
    </w:p>
    <w:p w:rsidR="002C01E6" w:rsidP="009E08D8" w14:paraId="440AF54A" w14:textId="77777777"/>
    <w:p w:rsidR="002C01E6" w:rsidRPr="0019684E" w:rsidP="009E08D8" w14:paraId="6F1496B8" w14:textId="59720BE9">
      <w:r>
        <w:t xml:space="preserve">In addition to supporting </w:t>
      </w:r>
      <w:r w:rsidR="00470329">
        <w:t xml:space="preserve">the </w:t>
      </w:r>
      <w:r w:rsidR="00F96412">
        <w:t>efforts</w:t>
      </w:r>
      <w:r>
        <w:t xml:space="preserve"> </w:t>
      </w:r>
      <w:r w:rsidR="00F96412">
        <w:t>listed above</w:t>
      </w:r>
      <w:r>
        <w:t xml:space="preserve">, </w:t>
      </w:r>
      <w:r w:rsidR="00470329">
        <w:t xml:space="preserve">emissions </w:t>
      </w:r>
      <w:r w:rsidR="00F96412">
        <w:t>data are used to</w:t>
      </w:r>
      <w:r>
        <w:t xml:space="preserve"> respond to numerous requests for reports on emission sources.</w:t>
      </w:r>
      <w:r w:rsidR="00523CED">
        <w:t xml:space="preserve"> </w:t>
      </w:r>
      <w:r>
        <w:t>Typically</w:t>
      </w:r>
      <w:r w:rsidR="00C6083D">
        <w:t>,</w:t>
      </w:r>
      <w:r w:rsidR="008C6C96">
        <w:t xml:space="preserve"> the data are provided freely through EPA’s website.</w:t>
      </w:r>
      <w:r w:rsidR="00523CED">
        <w:t xml:space="preserve"> </w:t>
      </w:r>
      <w:r w:rsidR="008C6C96">
        <w:t xml:space="preserve">In some cases, specific requests </w:t>
      </w:r>
      <w:r w:rsidR="00470329">
        <w:t xml:space="preserve">for </w:t>
      </w:r>
      <w:r w:rsidR="008C6C96">
        <w:t>data not available on EPA’s website are also made</w:t>
      </w:r>
      <w:r>
        <w:t xml:space="preserve"> </w:t>
      </w:r>
      <w:r w:rsidR="008C6C96">
        <w:t xml:space="preserve">by email and rarely, </w:t>
      </w:r>
      <w:r>
        <w:t>under the Freedom of Information Act.</w:t>
      </w:r>
      <w:r w:rsidR="00523CED">
        <w:t xml:space="preserve"> </w:t>
      </w:r>
      <w:r w:rsidR="008C6C96">
        <w:t>R</w:t>
      </w:r>
      <w:r>
        <w:t xml:space="preserve">equests come from </w:t>
      </w:r>
      <w:r w:rsidR="008C6C96">
        <w:t xml:space="preserve">the general public, teachers, </w:t>
      </w:r>
      <w:r>
        <w:t xml:space="preserve">contractors and consultants; </w:t>
      </w:r>
      <w:r w:rsidR="00B818EE">
        <w:t>C</w:t>
      </w:r>
      <w:r w:rsidR="008C6C96">
        <w:t>ongress</w:t>
      </w:r>
      <w:r w:rsidR="00B818EE">
        <w:t>;</w:t>
      </w:r>
      <w:r w:rsidR="008C6C96">
        <w:t xml:space="preserve"> </w:t>
      </w:r>
      <w:r>
        <w:t>the press</w:t>
      </w:r>
      <w:r w:rsidR="00B818EE">
        <w:t>;</w:t>
      </w:r>
      <w:r>
        <w:t xml:space="preserve"> </w:t>
      </w:r>
      <w:r w:rsidR="008C6C96">
        <w:t xml:space="preserve">domestic and international </w:t>
      </w:r>
      <w:r>
        <w:t>universities</w:t>
      </w:r>
      <w:r w:rsidR="00B818EE">
        <w:t>;</w:t>
      </w:r>
      <w:r>
        <w:t xml:space="preserve"> and others involved in research</w:t>
      </w:r>
      <w:r w:rsidR="00DF04A2">
        <w:t xml:space="preserve"> of many types</w:t>
      </w:r>
      <w:r>
        <w:t>.</w:t>
      </w:r>
    </w:p>
    <w:p w:rsidR="00883592" w:rsidP="009E08D8" w14:paraId="4E456BF0" w14:textId="77777777"/>
    <w:p w:rsidR="00883592" w:rsidRPr="002C058E" w:rsidP="009E08D8" w14:paraId="21BD7882" w14:textId="4A94AFEC">
      <w:pPr>
        <w:rPr>
          <w:rStyle w:val="Strong"/>
          <w:b w:val="0"/>
          <w:bCs w:val="0"/>
        </w:rPr>
      </w:pPr>
      <w:r w:rsidRPr="002C058E">
        <w:rPr>
          <w:rStyle w:val="Strong"/>
        </w:rPr>
        <w:t>Source Test Data.</w:t>
      </w:r>
      <w:r w:rsidR="007F44D0">
        <w:rPr>
          <w:rStyle w:val="Strong"/>
        </w:rPr>
        <w:t xml:space="preserve"> </w:t>
      </w:r>
      <w:r w:rsidR="007F44D0">
        <w:rPr>
          <w:rStyle w:val="Strong"/>
          <w:b w:val="0"/>
          <w:bCs w:val="0"/>
        </w:rPr>
        <w:t xml:space="preserve">As previously described, source test data are used by </w:t>
      </w:r>
      <w:r w:rsidR="00204E7E">
        <w:rPr>
          <w:rStyle w:val="Strong"/>
          <w:b w:val="0"/>
          <w:bCs w:val="0"/>
        </w:rPr>
        <w:t>EPA</w:t>
      </w:r>
      <w:r w:rsidR="007F44D0">
        <w:rPr>
          <w:rStyle w:val="Strong"/>
          <w:b w:val="0"/>
          <w:bCs w:val="0"/>
        </w:rPr>
        <w:t xml:space="preserve"> to calculate emission factors</w:t>
      </w:r>
      <w:r w:rsidR="001110F5">
        <w:rPr>
          <w:rStyle w:val="Strong"/>
          <w:b w:val="0"/>
          <w:bCs w:val="0"/>
        </w:rPr>
        <w:t>. The EPA</w:t>
      </w:r>
      <w:r w:rsidR="007F44D0">
        <w:rPr>
          <w:rStyle w:val="Strong"/>
          <w:b w:val="0"/>
          <w:bCs w:val="0"/>
        </w:rPr>
        <w:t xml:space="preserve"> additionally provides source test data to states and owners/operators via WebFIRE to allow the data to be considered for use in emissions inventory calculations.</w:t>
      </w:r>
    </w:p>
    <w:p w:rsidR="00C3635A" w:rsidRPr="00793526" w:rsidP="00877276" w14:paraId="50C7FC14" w14:textId="20CC7A99">
      <w:pPr>
        <w:pStyle w:val="Heading1"/>
        <w:rPr>
          <w:rStyle w:val="Strong"/>
          <w:b/>
          <w:bCs w:val="0"/>
        </w:rPr>
      </w:pPr>
      <w:r w:rsidRPr="00793526">
        <w:rPr>
          <w:rStyle w:val="Strong"/>
          <w:b/>
          <w:bCs w:val="0"/>
        </w:rPr>
        <w:t xml:space="preserve">Describe whether, and to what extent, the collection of information involves the use of automated, electronic, mechanical, or other technological collection techniques or other forms of information technology, </w:t>
      </w:r>
      <w:r w:rsidRPr="008E5C9F" w:rsidR="008E5C9F">
        <w:rPr>
          <w:rStyle w:val="Strong"/>
          <w:b/>
          <w:bCs w:val="0"/>
          <w:i/>
        </w:rPr>
        <w:t>e.g.</w:t>
      </w:r>
      <w:r w:rsidRPr="00793526">
        <w:rPr>
          <w:rStyle w:val="Strong"/>
          <w:b/>
          <w:bCs w:val="0"/>
        </w:rPr>
        <w:t>, permitting electronic submission of responses, and the basis for the decision for adopting this means of collection. Also describe any consideration of using information technology to reduce burden.</w:t>
      </w:r>
    </w:p>
    <w:p w:rsidR="00643AE7" w:rsidRPr="002C058E" w:rsidP="009E08D8" w14:paraId="2A6A715D" w14:textId="508BB462">
      <w:pPr>
        <w:rPr>
          <w:rStyle w:val="Strong"/>
        </w:rPr>
      </w:pPr>
    </w:p>
    <w:p w:rsidR="00643AE7" w:rsidP="009E08D8" w14:paraId="2B3A4010" w14:textId="69893F62">
      <w:r>
        <w:t xml:space="preserve">The EPA has established a central repository of emissions inventory data for all states called the </w:t>
      </w:r>
      <w:r w:rsidR="008B1891">
        <w:t>Emissions Inventory System (</w:t>
      </w:r>
      <w:r>
        <w:t>EIS</w:t>
      </w:r>
      <w:r w:rsidR="008B1891">
        <w:t>)</w:t>
      </w:r>
      <w:r>
        <w:t>.</w:t>
      </w:r>
      <w:r w:rsidR="00523CED">
        <w:t xml:space="preserve"> </w:t>
      </w:r>
      <w:r>
        <w:t xml:space="preserve">Emissions inventory data reported electronically are stored in the EIS, </w:t>
      </w:r>
      <w:r>
        <w:t xml:space="preserve">and the database is used by </w:t>
      </w:r>
      <w:r w:rsidR="00204E7E">
        <w:t>EPA</w:t>
      </w:r>
      <w:r>
        <w:t xml:space="preserve"> and by states for obtaining emissions data reports and input files for air quality modeling. </w:t>
      </w:r>
    </w:p>
    <w:p w:rsidR="00643AE7" w:rsidP="009E08D8" w14:paraId="74B86FB0" w14:textId="77777777"/>
    <w:p w:rsidR="00643AE7" w:rsidP="009E08D8" w14:paraId="62A1B6E2" w14:textId="4C63B7AD">
      <w:r>
        <w:t xml:space="preserve">The EPA maintains the EIS as a central repository of inventory data for all states, </w:t>
      </w:r>
      <w:r w:rsidR="00470329">
        <w:t xml:space="preserve">and </w:t>
      </w:r>
      <w:r>
        <w:t>much of the data must be supplied by the state and local agencies in electronic form.</w:t>
      </w:r>
      <w:r w:rsidR="00523CED">
        <w:t xml:space="preserve"> </w:t>
      </w:r>
      <w:r>
        <w:t xml:space="preserve">The EPA requires that submitting agencies use a defined eXtensible Markup Language (XML) schema for electronic data reporting using </w:t>
      </w:r>
      <w:r w:rsidR="00204E7E">
        <w:t>EPA</w:t>
      </w:r>
      <w:r>
        <w:t>’s Central Data Exchange (CDX).</w:t>
      </w:r>
      <w:r w:rsidR="00CD1D76">
        <w:t xml:space="preserve"> Instructions for reporting data to the EIS via CDX are provided on EPA’s website </w:t>
      </w:r>
      <w:r w:rsidR="00CA0658">
        <w:t>via the link “</w:t>
      </w:r>
      <w:r w:rsidRPr="00A545E9" w:rsidR="00CA0658">
        <w:t>How Do I Submit to EIS Using the Web Client</w:t>
      </w:r>
      <w:r w:rsidRPr="00CA0658" w:rsidR="00CA0658">
        <w:t>?</w:t>
      </w:r>
      <w:r w:rsidR="00CA0658">
        <w:t>”</w:t>
      </w:r>
      <w:r>
        <w:rPr>
          <w:rStyle w:val="FootnoteReference"/>
          <w:vertAlign w:val="superscript"/>
        </w:rPr>
        <w:footnoteReference w:id="8"/>
      </w:r>
      <w:r w:rsidR="00FD5630">
        <w:t xml:space="preserve"> To assist SLTs in preparing their submission for EIS, </w:t>
      </w:r>
      <w:r w:rsidR="00204E7E">
        <w:t>EPA</w:t>
      </w:r>
      <w:r w:rsidR="00FD5630">
        <w:t xml:space="preserve"> has developed and provides a Bridge Tool, which allows for compiling data in Microsoft</w:t>
      </w:r>
      <w:r w:rsidR="00470329">
        <w:t>®</w:t>
      </w:r>
      <w:r w:rsidR="00FD5630">
        <w:t xml:space="preserve"> Access</w:t>
      </w:r>
      <w:r w:rsidR="00470329">
        <w:t>®</w:t>
      </w:r>
      <w:r w:rsidR="00FD5630">
        <w:t xml:space="preserve"> to convert to the XML format. In addition, the EIS provides on-screen data editing via a web browser in a module called the EIS Gateway.</w:t>
      </w:r>
      <w:r w:rsidR="002E6B85">
        <w:t xml:space="preserve"> These tools have been in use for over a decade and have greatly streamlined the emissions collection and distribution processes for states.</w:t>
      </w:r>
    </w:p>
    <w:p w:rsidR="00643AE7" w:rsidP="009E08D8" w14:paraId="70F1F75B" w14:textId="19173E1C"/>
    <w:p w:rsidR="009765D7" w:rsidRPr="002C058E" w:rsidP="009E08D8" w14:paraId="2BB67B62" w14:textId="6FA83948">
      <w:pPr>
        <w:rPr>
          <w:b/>
          <w:bCs/>
        </w:rPr>
      </w:pPr>
      <w:r>
        <w:t xml:space="preserve">To collect </w:t>
      </w:r>
      <w:r w:rsidRPr="002C058E" w:rsidR="00E67EAC">
        <w:t xml:space="preserve">source test data, </w:t>
      </w:r>
      <w:r w:rsidR="00204E7E">
        <w:t>EPA</w:t>
      </w:r>
      <w:r w:rsidRPr="002C058E" w:rsidR="00E67EAC">
        <w:t xml:space="preserve"> has established and maintains the </w:t>
      </w:r>
      <w:r w:rsidR="00E67EAC">
        <w:t xml:space="preserve">Compliance and Emissions Data Reporting Interface (CEDRI). In addition to access and review of submitted data by EPA, CEDRI provides states a mechanism to access the data collected electronically. Because this proposed AERR revision would require most Federal- and state-required source tests to be reported to CEDRI electronically, the CEDRI tool will allow for EPA and all states to comprehensively have electronic source test data available for their air quality management needs. </w:t>
      </w:r>
      <w:r>
        <w:t xml:space="preserve">CEDRI also supports states’ review of source tests prior to their use by EPA. </w:t>
      </w:r>
      <w:r w:rsidR="00E67EAC">
        <w:t xml:space="preserve">Because CEDRI automatically passes data to WebFIRE, the emission rates from the source tests are also available to the public. </w:t>
      </w:r>
    </w:p>
    <w:p w:rsidR="009765D7" w:rsidP="009E08D8" w14:paraId="5A257D3F" w14:textId="77777777"/>
    <w:p w:rsidR="009765D7" w:rsidP="009E08D8" w14:paraId="14C9E7F1" w14:textId="32665840">
      <w:r>
        <w:t>The EPA has also established and maintains CAERS to support collection of emissions data from owners/operators and sharing of that data with states and the Toxics Release Inventory (TRI). Ongoing CAERS development is expected to include sharing data</w:t>
      </w:r>
      <w:r w:rsidR="00470329">
        <w:t xml:space="preserve">, including characterization of the facilities, </w:t>
      </w:r>
      <w:r>
        <w:t>with the Greenhouse Gas Reporting Program (GHGRP) and CEDRI.</w:t>
      </w:r>
    </w:p>
    <w:p w:rsidR="009765D7" w:rsidP="009E08D8" w14:paraId="7562AFE7" w14:textId="77777777"/>
    <w:p w:rsidR="009765D7" w:rsidP="009E08D8" w14:paraId="3FBA1B82" w14:textId="4A531FF4">
      <w:r>
        <w:t>CAERS supports burden reduction in several ways</w:t>
      </w:r>
      <w:r w:rsidR="00A545E9">
        <w:t xml:space="preserve">. </w:t>
      </w:r>
      <w:r w:rsidR="000C24DA">
        <w:t xml:space="preserve">CAERS </w:t>
      </w:r>
      <w:r w:rsidR="00A545E9">
        <w:t>allows owners/operators to enter</w:t>
      </w:r>
      <w:r w:rsidR="000C24DA">
        <w:t xml:space="preserve"> data in a single location, and then </w:t>
      </w:r>
      <w:r w:rsidR="00A545E9">
        <w:t xml:space="preserve">CAERS distributes any </w:t>
      </w:r>
      <w:r w:rsidR="000C24DA">
        <w:t xml:space="preserve">data elements </w:t>
      </w:r>
      <w:r w:rsidR="00A545E9">
        <w:t>that are also needed by other emissions collection systems so that owners/operators would not need to enter the same information in two places</w:t>
      </w:r>
      <w:r w:rsidR="000C24DA">
        <w:t>.</w:t>
      </w:r>
      <w:r>
        <w:t xml:space="preserve"> </w:t>
      </w:r>
      <w:r w:rsidR="00FD5630">
        <w:t>For states and owners/operators, CAERS would allow entering emissions data using online forms and/or Microsoft Excel</w:t>
      </w:r>
      <w:r w:rsidR="00470329">
        <w:t>,®</w:t>
      </w:r>
      <w:r w:rsidR="00FD5630">
        <w:t xml:space="preserve"> and CAERS converts that data to the XML format needed for the EIS. </w:t>
      </w:r>
      <w:r w:rsidR="00E67EAC">
        <w:t>As described in the preamble to the proposed AERR revision, CAERS would also connect to source test data in CEDRI and emission factors in WebFIRE to support owners/operators using the best available data to calculate emissions</w:t>
      </w:r>
      <w:r w:rsidR="00470329">
        <w:t xml:space="preserve"> (using the best available data </w:t>
      </w:r>
      <w:r w:rsidR="00E67EAC">
        <w:t xml:space="preserve">is </w:t>
      </w:r>
      <w:r w:rsidR="00470329">
        <w:t xml:space="preserve">a </w:t>
      </w:r>
      <w:r w:rsidR="00E67EAC">
        <w:t xml:space="preserve">proposed </w:t>
      </w:r>
      <w:r w:rsidR="00470329">
        <w:t>requirement of t</w:t>
      </w:r>
      <w:r w:rsidR="00E67EAC">
        <w:t>he AERR revisions</w:t>
      </w:r>
      <w:r w:rsidR="00470329">
        <w:t>)</w:t>
      </w:r>
      <w:r w:rsidR="00E67EAC">
        <w:t xml:space="preserve">. CAERS will provide owners/operators a mechanism to identify the location within their facility for which a source test is performed, thus </w:t>
      </w:r>
      <w:r w:rsidR="00470329">
        <w:t xml:space="preserve">associating </w:t>
      </w:r>
      <w:r w:rsidR="00E67EAC">
        <w:t xml:space="preserve">those measurements to the </w:t>
      </w:r>
      <w:r w:rsidR="00470329">
        <w:t>part of the</w:t>
      </w:r>
      <w:r w:rsidR="00E67EAC">
        <w:t xml:space="preserve"> facility </w:t>
      </w:r>
      <w:r w:rsidR="00470329">
        <w:t xml:space="preserve">(e.g., the emissions unit and release point) </w:t>
      </w:r>
      <w:r w:rsidR="00E67EAC">
        <w:t xml:space="preserve">and supporting </w:t>
      </w:r>
      <w:r w:rsidR="00EE1C94">
        <w:t xml:space="preserve">a reduction in burden for </w:t>
      </w:r>
      <w:r w:rsidR="00E67EAC">
        <w:t xml:space="preserve">subsequent emissions inventory calculations. Additionally, CAERS can reduce burden for a state that chooses to use CAERS </w:t>
      </w:r>
      <w:r w:rsidR="00643AE7">
        <w:t xml:space="preserve">to collect point source emissions </w:t>
      </w:r>
      <w:r w:rsidR="00470329">
        <w:t xml:space="preserve">data </w:t>
      </w:r>
      <w:r w:rsidR="00643AE7">
        <w:t xml:space="preserve">and report </w:t>
      </w:r>
      <w:r w:rsidR="00470329">
        <w:t xml:space="preserve">it </w:t>
      </w:r>
      <w:r w:rsidR="00643AE7">
        <w:t xml:space="preserve">to </w:t>
      </w:r>
      <w:r w:rsidR="00204E7E">
        <w:t>EPA</w:t>
      </w:r>
      <w:r w:rsidR="00643AE7">
        <w:t xml:space="preserve"> rather than develop and maintain their own emissions reporting data system.</w:t>
      </w:r>
    </w:p>
    <w:p w:rsidR="009765D7" w:rsidP="009E08D8" w14:paraId="4BE2AEB1" w14:textId="3E4E5ADD"/>
    <w:p w:rsidR="00643AE7" w:rsidP="009E08D8" w14:paraId="0DAB568C" w14:textId="42EC0EA5">
      <w:r>
        <w:t>Additionally, to support burden reduction f</w:t>
      </w:r>
      <w:r>
        <w:t xml:space="preserve">or nonpoint sources, </w:t>
      </w:r>
      <w:r w:rsidR="00204E7E">
        <w:t>EPA</w:t>
      </w:r>
      <w:r>
        <w:t xml:space="preserve"> </w:t>
      </w:r>
      <w:r>
        <w:t xml:space="preserve">develops emissions calculation tools and provides </w:t>
      </w:r>
      <w:r>
        <w:t xml:space="preserve">nonpoint </w:t>
      </w:r>
      <w:r>
        <w:t xml:space="preserve">activity </w:t>
      </w:r>
      <w:r w:rsidR="000C24DA">
        <w:t xml:space="preserve">and emissions data </w:t>
      </w:r>
      <w:r w:rsidR="00A545E9">
        <w:t xml:space="preserve">that states can </w:t>
      </w:r>
      <w:r w:rsidR="000C24DA">
        <w:t>review</w:t>
      </w:r>
      <w:r w:rsidR="00A545E9">
        <w:t>, comment on,</w:t>
      </w:r>
      <w:r w:rsidR="000C24DA">
        <w:t xml:space="preserve"> and</w:t>
      </w:r>
      <w:r w:rsidR="00A545E9">
        <w:t>/or</w:t>
      </w:r>
      <w:r w:rsidR="000C24DA">
        <w:t xml:space="preserve"> accept</w:t>
      </w:r>
      <w:r w:rsidR="00A545E9">
        <w:t xml:space="preserve"> to meet their nonpoint reporting requirements</w:t>
      </w:r>
      <w:r w:rsidR="000C24DA">
        <w:t xml:space="preserve">. </w:t>
      </w:r>
      <w:r>
        <w:t>Under the proposed AERR revision, s</w:t>
      </w:r>
      <w:r>
        <w:t xml:space="preserve">tates </w:t>
      </w:r>
      <w:r>
        <w:t xml:space="preserve">would be able to </w:t>
      </w:r>
      <w:r>
        <w:t>meet their reporting obligations by (a) reviewing and provid</w:t>
      </w:r>
      <w:r w:rsidR="002F7E5F">
        <w:t>ing</w:t>
      </w:r>
      <w:r>
        <w:t xml:space="preserve"> comments on EPA’s estimates for EPA to incorporate, (b) revis</w:t>
      </w:r>
      <w:r w:rsidR="002F7E5F">
        <w:t>ing</w:t>
      </w:r>
      <w:r>
        <w:t xml:space="preserve"> the estimates by reporting </w:t>
      </w:r>
      <w:r>
        <w:t xml:space="preserve">activity data and optionally reporting </w:t>
      </w:r>
      <w:r>
        <w:t>emissions</w:t>
      </w:r>
      <w:r>
        <w:t xml:space="preserve"> and associated documentation</w:t>
      </w:r>
      <w:r>
        <w:t>, or (c) accept</w:t>
      </w:r>
      <w:r w:rsidR="002F7E5F">
        <w:t>ing</w:t>
      </w:r>
      <w:r>
        <w:t xml:space="preserve"> the estimates after review.</w:t>
      </w:r>
      <w:r w:rsidR="00523CED">
        <w:t xml:space="preserve"> </w:t>
      </w:r>
      <w:r>
        <w:t xml:space="preserve">For onroad mobile sources and nonroad equipment, </w:t>
      </w:r>
      <w:r w:rsidR="00204E7E">
        <w:t>EPA</w:t>
      </w:r>
      <w:r>
        <w:t xml:space="preserve"> </w:t>
      </w:r>
      <w:r>
        <w:t xml:space="preserve">develops and </w:t>
      </w:r>
      <w:r>
        <w:t xml:space="preserve">runs the latest mobile source emissions model using state-supplied model inputs and provides the resulting emissions for onroad and nonroad vehicles for review and comment by the states. For aircraft emissions, </w:t>
      </w:r>
      <w:r w:rsidR="00204E7E">
        <w:t>EPA</w:t>
      </w:r>
      <w:r>
        <w:t xml:space="preserve"> compiles landing and takeoff data, provides to states for review and comment, and then computes emissions using the latest Federal Aviation Administration emissions model.</w:t>
      </w:r>
      <w:r w:rsidR="00523CED">
        <w:t xml:space="preserve"> </w:t>
      </w:r>
      <w:r>
        <w:t xml:space="preserve">For commercial marine vessels, </w:t>
      </w:r>
      <w:r w:rsidR="00204E7E">
        <w:t>EPA</w:t>
      </w:r>
      <w:r>
        <w:t xml:space="preserve"> compiles activity data using the Automatic Identification System (AIS) database and computes emissions for review and comment by states.</w:t>
      </w:r>
      <w:r w:rsidR="00523CED">
        <w:t xml:space="preserve"> </w:t>
      </w:r>
      <w:r>
        <w:t xml:space="preserve">Finally, for locomotive emissions, </w:t>
      </w:r>
      <w:r w:rsidR="00204E7E">
        <w:t>EPA</w:t>
      </w:r>
      <w:r>
        <w:t xml:space="preserve"> works with industry representatives </w:t>
      </w:r>
      <w:r w:rsidR="00BB244B">
        <w:t xml:space="preserve">(on a voluntary basis) </w:t>
      </w:r>
      <w:r>
        <w:t>to compile activity data and draft emissions for review and comment by states.</w:t>
      </w:r>
    </w:p>
    <w:p w:rsidR="00643AE7" w:rsidP="009E08D8" w14:paraId="0123EF56" w14:textId="77777777"/>
    <w:p w:rsidR="00643AE7" w:rsidP="009E08D8" w14:paraId="1A93E4E7" w14:textId="5285CD16">
      <w:r>
        <w:t>For the voluntary reporting of wildfire</w:t>
      </w:r>
      <w:r w:rsidR="002F7E5F">
        <w:t>s</w:t>
      </w:r>
      <w:r>
        <w:t xml:space="preserve"> and </w:t>
      </w:r>
      <w:r w:rsidR="009765D7">
        <w:t xml:space="preserve">proposed mandatory reporting of </w:t>
      </w:r>
      <w:r>
        <w:t>prescribed burning</w:t>
      </w:r>
      <w:r w:rsidR="00BB244B">
        <w:t xml:space="preserve"> activity data</w:t>
      </w:r>
      <w:r>
        <w:t xml:space="preserve">, </w:t>
      </w:r>
      <w:r w:rsidR="00204E7E">
        <w:t>EPA</w:t>
      </w:r>
      <w:r>
        <w:t xml:space="preserve"> compiles available satellite and ground-based fire observation data from numerous sources around the country, and provides those data for voluntary state review, edit, and comment.</w:t>
      </w:r>
      <w:r w:rsidR="00523CED">
        <w:t xml:space="preserve"> </w:t>
      </w:r>
      <w:r>
        <w:t>The EPA also estimates the wildfire and prescribed burning emissions based on these revised data for inclusion in the NEI.</w:t>
      </w:r>
      <w:r w:rsidRPr="00A43FA8">
        <w:t xml:space="preserve"> </w:t>
      </w:r>
      <w:r>
        <w:t xml:space="preserve">In addition to the data mentioned above, </w:t>
      </w:r>
      <w:r w:rsidR="00204E7E">
        <w:t>EPA</w:t>
      </w:r>
      <w:r>
        <w:t xml:space="preserve"> loads into EIS for use in the NEI several national datasets, including </w:t>
      </w:r>
      <w:r w:rsidR="009765D7">
        <w:t>TRI</w:t>
      </w:r>
      <w:r>
        <w:t xml:space="preserve">, the </w:t>
      </w:r>
      <w:r w:rsidR="009765D7">
        <w:t>GHGRP</w:t>
      </w:r>
      <w:r>
        <w:t xml:space="preserve"> data, and data on emissions from drilling wells from the Bureau of Ocean Energy Management</w:t>
      </w:r>
      <w:r w:rsidR="009765D7">
        <w:t>.</w:t>
      </w:r>
    </w:p>
    <w:p w:rsidR="00FD5630" w:rsidP="009E08D8" w14:paraId="73335119" w14:textId="12BB1429"/>
    <w:p w:rsidR="00632D4C" w:rsidP="009E08D8" w14:paraId="7D7E55B5" w14:textId="0E0B97D7">
      <w:r>
        <w:t>P</w:t>
      </w:r>
      <w:r w:rsidR="00FD5630">
        <w:t xml:space="preserve">ictures </w:t>
      </w:r>
      <w:r>
        <w:t>and instructions of the various data entry tools are available as follows:</w:t>
      </w:r>
    </w:p>
    <w:p w:rsidR="00632D4C" w:rsidP="00F17B08" w14:paraId="6678CADC" w14:textId="5CD1111A">
      <w:pPr>
        <w:pStyle w:val="ListParagraph"/>
        <w:numPr>
          <w:ilvl w:val="0"/>
          <w:numId w:val="25"/>
        </w:numPr>
      </w:pPr>
      <w:r>
        <w:t xml:space="preserve">The CDX </w:t>
      </w:r>
      <w:r w:rsidR="0027358E">
        <w:t xml:space="preserve">web client instructions and user interface pictures are available on the </w:t>
      </w:r>
      <w:r w:rsidR="00A545E9">
        <w:t>“</w:t>
      </w:r>
      <w:r w:rsidRPr="00A545E9" w:rsidR="0027358E">
        <w:t xml:space="preserve">EIS User’s Manual and </w:t>
      </w:r>
      <w:r w:rsidR="00A545E9">
        <w:t>‘</w:t>
      </w:r>
      <w:r w:rsidRPr="00A545E9" w:rsidR="0027358E">
        <w:t>How to</w:t>
      </w:r>
      <w:r w:rsidR="00A545E9">
        <w:t>’</w:t>
      </w:r>
      <w:r w:rsidRPr="00A545E9" w:rsidR="0027358E">
        <w:t xml:space="preserve"> website</w:t>
      </w:r>
      <w:r w:rsidR="00A545E9">
        <w:t>”</w:t>
      </w:r>
      <w:r w:rsidR="0027358E">
        <w:t>.</w:t>
      </w:r>
      <w:r>
        <w:rPr>
          <w:rStyle w:val="FootnoteReference"/>
          <w:vertAlign w:val="superscript"/>
        </w:rPr>
        <w:footnoteReference w:id="9"/>
      </w:r>
      <w:r w:rsidR="0027358E">
        <w:t xml:space="preserve"> The links for “How Do I Submit to EIS Using the Web Client</w:t>
      </w:r>
      <w:r w:rsidR="002F7E5F">
        <w:t>?</w:t>
      </w:r>
      <w:r w:rsidR="0027358E">
        <w:t>” and “How do I Log on To the Network Exchange Services Center?” provide the necessary information.</w:t>
      </w:r>
    </w:p>
    <w:p w:rsidR="00632D4C" w:rsidP="00F17B08" w14:paraId="6184610D" w14:textId="5936F048">
      <w:pPr>
        <w:pStyle w:val="ListParagraph"/>
        <w:numPr>
          <w:ilvl w:val="0"/>
          <w:numId w:val="25"/>
        </w:numPr>
      </w:pPr>
      <w:r>
        <w:t xml:space="preserve">The EIS Gateway instructions and user interface pictures are available in the </w:t>
      </w:r>
      <w:r w:rsidRPr="00A545E9">
        <w:t>EIS User</w:t>
      </w:r>
      <w:r w:rsidRPr="00A545E9">
        <w:t>s’</w:t>
      </w:r>
      <w:r w:rsidRPr="00A545E9">
        <w:t xml:space="preserve"> Guide</w:t>
      </w:r>
      <w:r w:rsidRPr="00840110">
        <w:t>.</w:t>
      </w:r>
      <w:r>
        <w:rPr>
          <w:rStyle w:val="FootnoteReference"/>
          <w:vertAlign w:val="superscript"/>
        </w:rPr>
        <w:footnoteReference w:id="10"/>
      </w:r>
      <w:r>
        <w:t xml:space="preserve"> </w:t>
      </w:r>
      <w:r>
        <w:t>This includes a section with instructions and pictures for the EIS Bridge Tool.</w:t>
      </w:r>
    </w:p>
    <w:p w:rsidR="00FD5630" w:rsidP="00F17B08" w14:paraId="2E0127E9" w14:textId="1F761903">
      <w:pPr>
        <w:pStyle w:val="ListParagraph"/>
        <w:numPr>
          <w:ilvl w:val="0"/>
          <w:numId w:val="25"/>
        </w:numPr>
      </w:pPr>
      <w:r>
        <w:t xml:space="preserve">The CAERS </w:t>
      </w:r>
      <w:r w:rsidR="00632D4C">
        <w:t xml:space="preserve">instructions and user interface pictures are available in the </w:t>
      </w:r>
      <w:r w:rsidRPr="00A545E9" w:rsidR="00632D4C">
        <w:t>CAERS Version 3.0 Users’ Guide</w:t>
      </w:r>
      <w:r w:rsidR="00632D4C">
        <w:t>.</w:t>
      </w:r>
      <w:r>
        <w:rPr>
          <w:rStyle w:val="FootnoteReference"/>
          <w:vertAlign w:val="superscript"/>
        </w:rPr>
        <w:footnoteReference w:id="11"/>
      </w:r>
    </w:p>
    <w:p w:rsidR="00C3635A" w:rsidP="000312F2" w14:paraId="4B833C8C" w14:textId="6DFE185F">
      <w:pPr>
        <w:pStyle w:val="ListParagraph"/>
        <w:numPr>
          <w:ilvl w:val="0"/>
          <w:numId w:val="25"/>
        </w:numPr>
      </w:pPr>
      <w:r>
        <w:t xml:space="preserve">The CEDRI instructions and user interface pictures are provided via the </w:t>
      </w:r>
      <w:r w:rsidRPr="00A545E9">
        <w:t>CEDRI Job Aids</w:t>
      </w:r>
      <w:r w:rsidR="004B3E1D">
        <w:rPr>
          <w:rStyle w:val="Hyperlink"/>
        </w:rPr>
        <w:t xml:space="preserve"> </w:t>
      </w:r>
      <w:r w:rsidR="004B3E1D">
        <w:t>website.</w:t>
      </w:r>
      <w:r>
        <w:rPr>
          <w:rStyle w:val="FootnoteReference"/>
          <w:vertAlign w:val="superscript"/>
        </w:rPr>
        <w:footnoteReference w:id="12"/>
      </w:r>
    </w:p>
    <w:p w:rsidR="00C3635A" w:rsidRPr="00793526" w:rsidP="00877276" w14:paraId="782B67C2" w14:textId="59B31761">
      <w:pPr>
        <w:pStyle w:val="Heading1"/>
        <w:rPr>
          <w:rStyle w:val="Strong"/>
          <w:b/>
          <w:bCs w:val="0"/>
        </w:rPr>
      </w:pPr>
      <w:r w:rsidRPr="00793526">
        <w:rPr>
          <w:rStyle w:val="Strong"/>
          <w:b/>
          <w:bCs w:val="0"/>
        </w:rPr>
        <w:t>Describe efforts to identify duplication. Show specifically why any similar information already available cannot be used or modified for use for the purposes described in Item 2 above.</w:t>
      </w:r>
    </w:p>
    <w:p w:rsidR="00C3635A" w:rsidRPr="00C425CF" w:rsidP="003C2FA0" w14:paraId="058270BB" w14:textId="77777777">
      <w:pPr>
        <w:keepNext/>
      </w:pPr>
    </w:p>
    <w:p w:rsidR="002C01E6" w:rsidP="00D675CA" w14:paraId="6F503512" w14:textId="1C82253E">
      <w:r>
        <w:t>Previous reporting requirements have occasionally</w:t>
      </w:r>
      <w:r w:rsidR="003167BA">
        <w:t xml:space="preserve"> </w:t>
      </w:r>
      <w:r w:rsidR="00A5333A">
        <w:t xml:space="preserve">caused </w:t>
      </w:r>
      <w:r w:rsidR="00DB58B9">
        <w:t>s</w:t>
      </w:r>
      <w:r>
        <w:t xml:space="preserve">tate agencies </w:t>
      </w:r>
      <w:r w:rsidR="00A5333A">
        <w:t xml:space="preserve">to have </w:t>
      </w:r>
      <w:r>
        <w:t>inefficient collecting and reportin</w:t>
      </w:r>
      <w:r w:rsidR="00AE0053">
        <w:t>g activities.</w:t>
      </w:r>
      <w:r w:rsidR="00523CED">
        <w:t xml:space="preserve"> </w:t>
      </w:r>
      <w:r w:rsidR="00AE0053">
        <w:t xml:space="preserve">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204E7E">
        <w:t>EPA</w:t>
      </w:r>
      <w:r>
        <w:t>, offer options for data collection and exchange, and unify reporting dates for various categories of inventories to avoid duplication of effort.</w:t>
      </w:r>
      <w:r w:rsidR="00523CED">
        <w:t xml:space="preserve"> </w:t>
      </w:r>
      <w:r>
        <w:t>For example, under the NO</w:t>
      </w:r>
      <w:r w:rsidRPr="00DB58B9" w:rsidR="008C23BC">
        <w:rPr>
          <w:vertAlign w:val="subscript"/>
        </w:rPr>
        <w:t>x</w:t>
      </w:r>
      <w:r>
        <w:t xml:space="preserve"> SIP Call rule</w:t>
      </w:r>
      <w:r w:rsidR="00DB58B9">
        <w:t>making</w:t>
      </w:r>
      <w:r>
        <w:t xml:space="preserve">, </w:t>
      </w:r>
      <w:r w:rsidR="00204E7E">
        <w:t>EPA</w:t>
      </w:r>
      <w:r>
        <w:t xml:space="preserve"> requir</w:t>
      </w:r>
      <w:r w:rsidR="003167BA">
        <w:t>ed</w:t>
      </w:r>
      <w:r>
        <w:t xml:space="preserve"> </w:t>
      </w:r>
      <w:r w:rsidR="00DB58B9">
        <w:t>s</w:t>
      </w:r>
      <w:r>
        <w:t>tates to submit annual inventories for all NO</w:t>
      </w:r>
      <w:r w:rsidRPr="00DB58B9" w:rsidR="008C23BC">
        <w:rPr>
          <w:vertAlign w:val="subscript"/>
        </w:rPr>
        <w:t>x</w:t>
      </w:r>
      <w:r>
        <w:t xml:space="preserve"> sources for which </w:t>
      </w:r>
      <w:r w:rsidR="00DB58B9">
        <w:t>s</w:t>
      </w:r>
      <w:r>
        <w:t xml:space="preserve">tates </w:t>
      </w:r>
      <w:r w:rsidR="003167BA">
        <w:t xml:space="preserve">had </w:t>
      </w:r>
      <w:r>
        <w:t>adopt</w:t>
      </w:r>
      <w:r w:rsidR="003167BA">
        <w:t>ed</w:t>
      </w:r>
      <w:r>
        <w:t xml:space="preserve"> control measures to meet their NO</w:t>
      </w:r>
      <w:r w:rsidRPr="00DB58B9" w:rsidR="008C23BC">
        <w:rPr>
          <w:vertAlign w:val="subscript"/>
        </w:rPr>
        <w:t>x</w:t>
      </w:r>
      <w:r>
        <w:t xml:space="preserve"> budget.</w:t>
      </w:r>
      <w:r w:rsidR="00523CED">
        <w:t xml:space="preserve"> </w:t>
      </w:r>
      <w:r w:rsidR="003167BA">
        <w:t xml:space="preserve">In addition, </w:t>
      </w:r>
      <w:r>
        <w:t>statewide NO</w:t>
      </w:r>
      <w:r w:rsidRPr="00DB58B9" w:rsidR="008C23BC">
        <w:rPr>
          <w:vertAlign w:val="subscript"/>
        </w:rPr>
        <w:t>x</w:t>
      </w:r>
      <w:r>
        <w:t xml:space="preserve"> inventories of all controlled and uncontrolled sources </w:t>
      </w:r>
      <w:r w:rsidR="003167BA">
        <w:t>we</w:t>
      </w:r>
      <w:r>
        <w:t>re required</w:t>
      </w:r>
      <w:r w:rsidR="003167BA">
        <w:t xml:space="preserve"> every 3 years</w:t>
      </w:r>
      <w:r>
        <w:t>.</w:t>
      </w:r>
      <w:r w:rsidR="00523CED">
        <w:t xml:space="preserve"> </w:t>
      </w:r>
      <w:r>
        <w:t xml:space="preserve">The </w:t>
      </w:r>
      <w:r w:rsidR="00DB58B9">
        <w:t>Consolidated Emissions Reporting Rule (</w:t>
      </w:r>
      <w:r>
        <w:t>CERR</w:t>
      </w:r>
      <w:r w:rsidR="00DB58B9">
        <w:t>)</w:t>
      </w:r>
      <w:r w:rsidR="00D053CA">
        <w:t>, which was the precursor to the AERR,</w:t>
      </w:r>
      <w:r>
        <w:t xml:space="preserve"> also require</w:t>
      </w:r>
      <w:r w:rsidR="003167BA">
        <w:t>d</w:t>
      </w:r>
      <w:r>
        <w:t xml:space="preserve"> annual and triennial emission inventory reporting of many </w:t>
      </w:r>
      <w:r w:rsidR="007D2CA4">
        <w:t>of the same data elements.</w:t>
      </w:r>
      <w:r w:rsidR="00523CED">
        <w:t xml:space="preserve"> </w:t>
      </w:r>
      <w:r w:rsidR="000C24DA">
        <w:t xml:space="preserve">The </w:t>
      </w:r>
      <w:r w:rsidR="00A545E9">
        <w:t xml:space="preserve">publication of the original </w:t>
      </w:r>
      <w:r w:rsidR="000C24DA">
        <w:t xml:space="preserve">AERR aligned 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r w:rsidR="00523CED">
        <w:t xml:space="preserve"> </w:t>
      </w:r>
      <w:r w:rsidR="00F96412">
        <w:t xml:space="preserve">Additionally, </w:t>
      </w:r>
      <w:r w:rsidR="00A5333A">
        <w:t xml:space="preserve">other regulations including </w:t>
      </w:r>
      <w:r w:rsidR="00673D63">
        <w:t xml:space="preserve">the </w:t>
      </w:r>
      <w:r w:rsidRPr="0051430A" w:rsidR="00673D63">
        <w:t>Ozone SIP Requirements Rule</w:t>
      </w:r>
      <w:r w:rsidR="00673D63">
        <w:t>s</w:t>
      </w:r>
      <w:r w:rsidRPr="0051430A" w:rsidR="00673D63">
        <w:t xml:space="preserve"> (40 CFR </w:t>
      </w:r>
      <w:r w:rsidR="00673D63">
        <w:t xml:space="preserve">part 51, </w:t>
      </w:r>
      <w:r w:rsidRPr="0051430A" w:rsidR="00673D63">
        <w:t>Subpart</w:t>
      </w:r>
      <w:r w:rsidR="00673D63">
        <w:t>s X, AA, and</w:t>
      </w:r>
      <w:r w:rsidRPr="0051430A" w:rsidR="00673D63">
        <w:t xml:space="preserve"> CC) and the PM</w:t>
      </w:r>
      <w:r w:rsidRPr="002D65D1" w:rsidR="00673D63">
        <w:rPr>
          <w:vertAlign w:val="subscript"/>
        </w:rPr>
        <w:t>2.5</w:t>
      </w:r>
      <w:r w:rsidRPr="0051430A" w:rsidR="00673D63">
        <w:t xml:space="preserve"> SIP Requirements Rule (40 CFR </w:t>
      </w:r>
      <w:r w:rsidR="00673D63">
        <w:t xml:space="preserve">part 51, </w:t>
      </w:r>
      <w:r w:rsidRPr="0051430A" w:rsidR="00673D63">
        <w:t>Subpart Z)</w:t>
      </w:r>
      <w:r w:rsidR="00EA34C9">
        <w:t xml:space="preserve"> </w:t>
      </w:r>
      <w:r w:rsidR="00F96412">
        <w:t xml:space="preserve">refer to the AERR for </w:t>
      </w:r>
      <w:r w:rsidR="00673D63">
        <w:t>some</w:t>
      </w:r>
      <w:r w:rsidR="00F96412">
        <w:t xml:space="preserve"> of the emissions reporting requirements</w:t>
      </w:r>
      <w:r w:rsidR="007C2941">
        <w:t xml:space="preserve"> specified</w:t>
      </w:r>
      <w:r w:rsidR="00F96412">
        <w:t xml:space="preserve"> in those rules.</w:t>
      </w:r>
    </w:p>
    <w:p w:rsidR="002525DD" w:rsidP="009E08D8" w14:paraId="2BCDE109" w14:textId="5B618FF1"/>
    <w:p w:rsidR="000C24DA" w:rsidP="000C24DA" w14:paraId="10098490" w14:textId="766EF40F">
      <w:r>
        <w:t xml:space="preserve">More recently, EPA has worked in partnership with states as part of the E-Enterprise </w:t>
      </w:r>
      <w:r w:rsidR="001016CE">
        <w:t>for the Environment</w:t>
      </w:r>
      <w:r>
        <w:rPr>
          <w:rStyle w:val="FootnoteReference"/>
          <w:vertAlign w:val="superscript"/>
        </w:rPr>
        <w:footnoteReference w:id="13"/>
      </w:r>
      <w:r>
        <w:t xml:space="preserve"> </w:t>
      </w:r>
      <w:r w:rsidR="001016CE">
        <w:t xml:space="preserve">program </w:t>
      </w:r>
      <w:r>
        <w:t>to develop the CAERS as described above. States can voluntarily participate in CAERS using a variety of</w:t>
      </w:r>
      <w:r w:rsidR="001016CE">
        <w:t xml:space="preserve"> approaches that</w:t>
      </w:r>
      <w:r>
        <w:t xml:space="preserve"> wholly or partly offset the </w:t>
      </w:r>
      <w:r w:rsidR="001016CE">
        <w:t>need</w:t>
      </w:r>
      <w:r>
        <w:t xml:space="preserve"> for states to develop and maintain their own electronic point source </w:t>
      </w:r>
      <w:r w:rsidR="001016CE">
        <w:t xml:space="preserve">emissions </w:t>
      </w:r>
      <w:r>
        <w:t>data collection system. CAERS also allows states to avoid purchasing such a system or from using less efficient paper forms. Any electronic data collection system has a user “front-end” for data entry and a “back-end” database to store and manage the data</w:t>
      </w:r>
      <w:r w:rsidR="001016CE">
        <w:t xml:space="preserve">, and </w:t>
      </w:r>
      <w:r>
        <w:t>CAERS</w:t>
      </w:r>
      <w:r w:rsidR="001016CE">
        <w:t xml:space="preserve"> provides states a way to r</w:t>
      </w:r>
      <w:r>
        <w:t xml:space="preserve">eplace </w:t>
      </w:r>
      <w:r w:rsidR="001016CE">
        <w:t>the front-end and/or back-end of the states’ systems. As a result, when states participate in CAERS, they can</w:t>
      </w:r>
      <w:r>
        <w:t xml:space="preserve"> wholly</w:t>
      </w:r>
      <w:r w:rsidR="001016CE">
        <w:t xml:space="preserve"> or partly</w:t>
      </w:r>
      <w:r>
        <w:t xml:space="preserve"> offset the </w:t>
      </w:r>
      <w:r w:rsidR="001016CE">
        <w:t>cost</w:t>
      </w:r>
      <w:r>
        <w:t xml:space="preserve"> of </w:t>
      </w:r>
      <w:r w:rsidR="001016CE">
        <w:t xml:space="preserve">maintaining </w:t>
      </w:r>
      <w:r>
        <w:t xml:space="preserve">their own </w:t>
      </w:r>
      <w:r w:rsidR="001016CE">
        <w:t xml:space="preserve">electronic data </w:t>
      </w:r>
      <w:r>
        <w:t>system</w:t>
      </w:r>
      <w:r w:rsidRPr="00932E35">
        <w:t>.</w:t>
      </w:r>
    </w:p>
    <w:p w:rsidR="00CD1D76" w:rsidP="009E08D8" w14:paraId="5CC38377" w14:textId="539744DF"/>
    <w:p w:rsidR="00CD1D76" w:rsidP="009E08D8" w14:paraId="6D39F447" w14:textId="1EDCA002">
      <w:r>
        <w:t xml:space="preserve">Additionally, </w:t>
      </w:r>
      <w:r w:rsidR="00204E7E">
        <w:t>EPA</w:t>
      </w:r>
      <w:r>
        <w:t xml:space="preserve"> recognizes </w:t>
      </w:r>
      <w:r w:rsidR="008B01DE">
        <w:t>potential</w:t>
      </w:r>
      <w:r>
        <w:t xml:space="preserve"> duplication across </w:t>
      </w:r>
      <w:r w:rsidR="008B01DE">
        <w:t xml:space="preserve">certain federal </w:t>
      </w:r>
      <w:r>
        <w:t xml:space="preserve">emission </w:t>
      </w:r>
      <w:r w:rsidR="008B01DE">
        <w:t xml:space="preserve">data </w:t>
      </w:r>
      <w:r>
        <w:t>collection programs</w:t>
      </w:r>
      <w:r w:rsidR="008B01DE">
        <w:t xml:space="preserve">. </w:t>
      </w:r>
      <w:r w:rsidR="00A5333A">
        <w:t xml:space="preserve">States collect data from facilities, including HAP emissions. </w:t>
      </w:r>
      <w:r w:rsidR="008B01DE">
        <w:t>The EPA collects data from states for the NEI</w:t>
      </w:r>
      <w:r w:rsidR="00A5333A">
        <w:t xml:space="preserve"> (including voluntarily submitted HAP emissions)</w:t>
      </w:r>
      <w:r w:rsidR="008B01DE">
        <w:t xml:space="preserve">, and </w:t>
      </w:r>
      <w:r w:rsidR="00204E7E">
        <w:t>EPA</w:t>
      </w:r>
      <w:r w:rsidR="008B01DE">
        <w:t xml:space="preserve"> also collects </w:t>
      </w:r>
      <w:r w:rsidR="00A5333A">
        <w:t xml:space="preserve">HAP </w:t>
      </w:r>
      <w:r w:rsidR="008B01DE">
        <w:t xml:space="preserve">emissions data from owners/operators as part of the collections required for </w:t>
      </w:r>
      <w:r w:rsidR="00EE1C94">
        <w:t xml:space="preserve">TRI </w:t>
      </w:r>
      <w:r w:rsidR="008B01DE">
        <w:t xml:space="preserve">(40 CFR </w:t>
      </w:r>
      <w:r w:rsidR="002F7E5F">
        <w:t>p</w:t>
      </w:r>
      <w:r w:rsidR="008B01DE">
        <w:t>art 372</w:t>
      </w:r>
      <w:r w:rsidR="00A5333A">
        <w:t>)</w:t>
      </w:r>
      <w:r w:rsidR="008B01DE">
        <w:t>. For this reason, CAERS makes any HAP data reported by owner/operators to states using CAERS available to the TRI-MEweb software</w:t>
      </w:r>
      <w:r w:rsidR="001016CE">
        <w:t>. TRI-</w:t>
      </w:r>
      <w:r w:rsidR="00522695">
        <w:t>MEweb</w:t>
      </w:r>
      <w:r w:rsidR="001016CE">
        <w:t xml:space="preserve"> allows </w:t>
      </w:r>
      <w:r w:rsidR="008B01DE">
        <w:t xml:space="preserve">owner/operators to </w:t>
      </w:r>
      <w:r w:rsidR="001016CE">
        <w:t xml:space="preserve">import the data they submitted to CAERS </w:t>
      </w:r>
      <w:r w:rsidR="00BB244B">
        <w:t xml:space="preserve">(for the NEI) </w:t>
      </w:r>
      <w:r w:rsidR="001016CE">
        <w:t>to avoid having to re-enter it into TRI-</w:t>
      </w:r>
      <w:r w:rsidR="00522695">
        <w:t>MEweb</w:t>
      </w:r>
      <w:r w:rsidR="001016CE">
        <w:t>, which reduces burden</w:t>
      </w:r>
      <w:r w:rsidR="000C24DA">
        <w:t xml:space="preserve">. </w:t>
      </w:r>
      <w:r w:rsidR="008B01DE">
        <w:t>With this approach, owners/operators can use CAERS to report any state-required HAP emissions</w:t>
      </w:r>
      <w:r w:rsidR="00BB244B">
        <w:t xml:space="preserve"> (that also flows to the NEI)</w:t>
      </w:r>
      <w:r w:rsidR="008B01DE">
        <w:t>, the</w:t>
      </w:r>
      <w:r w:rsidR="002F7E5F">
        <w:t>n</w:t>
      </w:r>
      <w:r w:rsidR="008B01DE">
        <w:t xml:space="preserve"> CAERS maps and aggregates that data to the resolution needed for the TRI. This approach promotes burden reduction for owner/operators and data consistency across agencies. While this </w:t>
      </w:r>
      <w:r w:rsidR="008B01DE">
        <w:t>feature is not appropriate to be used in all cases because of different facility definitions, there are many cases in which the state definition of facility and the TRI definition align and</w:t>
      </w:r>
      <w:r w:rsidR="002F7E5F">
        <w:t>,</w:t>
      </w:r>
      <w:r w:rsidR="008B01DE">
        <w:t xml:space="preserve"> therefore</w:t>
      </w:r>
      <w:r w:rsidR="002F7E5F">
        <w:t>,</w:t>
      </w:r>
      <w:r w:rsidR="008B01DE">
        <w:t xml:space="preserve"> promote burden reduction</w:t>
      </w:r>
      <w:r w:rsidR="00A5333A">
        <w:t xml:space="preserve"> for owner/operators</w:t>
      </w:r>
      <w:r w:rsidR="008B01DE">
        <w:t>.</w:t>
      </w:r>
    </w:p>
    <w:p w:rsidR="00EE1C94" w:rsidP="009E08D8" w14:paraId="2138D579" w14:textId="1C62566E"/>
    <w:p w:rsidR="00EE1C94" w:rsidP="009E08D8" w14:paraId="039A7AC7" w14:textId="500C5CB2">
      <w:r>
        <w:t>The EPA’s proposed AERR revision includes provisions that avoid duplication for three newly proposed collections. First, for the proposed collection of daily fuel use or heat input</w:t>
      </w:r>
      <w:r w:rsidR="00BB244B">
        <w:t xml:space="preserve"> from small generating units</w:t>
      </w:r>
      <w:r>
        <w:t xml:space="preserve">, the proposed AERR revision would exclude any small generating units </w:t>
      </w:r>
      <w:r w:rsidR="00BB244B">
        <w:t xml:space="preserve">for which such data </w:t>
      </w:r>
      <w:r>
        <w:t xml:space="preserve">are already </w:t>
      </w:r>
      <w:r w:rsidR="00BB244B">
        <w:t xml:space="preserve">reported </w:t>
      </w:r>
      <w:r>
        <w:t xml:space="preserve">to </w:t>
      </w:r>
      <w:r w:rsidR="00204E7E">
        <w:t>EPA</w:t>
      </w:r>
      <w:r>
        <w:t xml:space="preserve">. Second, for any owners/operators </w:t>
      </w:r>
      <w:r w:rsidR="001016CE">
        <w:t>that would report to EPA directly</w:t>
      </w:r>
      <w:r w:rsidR="00D031B7">
        <w:t xml:space="preserve"> under this proposal</w:t>
      </w:r>
      <w:r w:rsidR="001016CE">
        <w:t>,</w:t>
      </w:r>
      <w:r>
        <w:t xml:space="preserve"> those owners/operators </w:t>
      </w:r>
      <w:r w:rsidR="008D5F67">
        <w:t xml:space="preserve">would </w:t>
      </w:r>
      <w:r>
        <w:t xml:space="preserve">only report emissions to </w:t>
      </w:r>
      <w:r w:rsidR="00204E7E">
        <w:t>EPA</w:t>
      </w:r>
      <w:r>
        <w:t xml:space="preserve"> when those emissions are not reported to EPA by </w:t>
      </w:r>
      <w:r w:rsidR="00D031B7">
        <w:t xml:space="preserve">a state, local, or tribal air agency with implementation planning authority (see preamble section III). In addition, this proposal avoids duplication with </w:t>
      </w:r>
      <w:r w:rsidR="00204E7E">
        <w:t>EPA</w:t>
      </w:r>
      <w:r w:rsidR="00D031B7">
        <w:t xml:space="preserve"> Region 10 tribal emissions reporting requirements (40 CFR 49.138)</w:t>
      </w:r>
      <w:r>
        <w:rPr>
          <w:rStyle w:val="FootnoteReference"/>
          <w:vertAlign w:val="superscript"/>
        </w:rPr>
        <w:footnoteReference w:id="14"/>
      </w:r>
      <w:r w:rsidR="00D031B7">
        <w:t xml:space="preserve"> in Idaho, Oregon, and Washington by exempting owners/operators from having to report to EPA under this proposed approach</w:t>
      </w:r>
      <w:r w:rsidR="001110F5">
        <w:t>. The EPA</w:t>
      </w:r>
      <w:r w:rsidR="00D031B7">
        <w:t xml:space="preserve"> is further considering how reporting data via CAERS could be used to meet reporting requirements under 40 CFR 49.138. </w:t>
      </w:r>
      <w:r>
        <w:t xml:space="preserve">Third, the proposed AERR revision would help ensure owners/operators do not need to report their HAP emissions data to both states and EPA separately by allowing states to be approved to report on behalf of the owners/operators. </w:t>
      </w:r>
      <w:r w:rsidR="00D031B7">
        <w:t xml:space="preserve">The </w:t>
      </w:r>
      <w:r>
        <w:t>EPA has further avoid</w:t>
      </w:r>
      <w:r w:rsidR="00D031B7">
        <w:t>ed</w:t>
      </w:r>
      <w:r>
        <w:t xml:space="preserve"> duplication by designing CAERS to be able to support a single flow of HAP data from owners/operators to </w:t>
      </w:r>
      <w:r w:rsidR="001139F3">
        <w:t>NEI, TRI,</w:t>
      </w:r>
      <w:r>
        <w:t xml:space="preserve"> and states.</w:t>
      </w:r>
    </w:p>
    <w:p w:rsidR="00C3635A" w:rsidP="009E08D8" w14:paraId="2B3B4DE3" w14:textId="1D27D489"/>
    <w:p w:rsidR="00C3635A" w:rsidRPr="00793526" w:rsidP="00877276" w14:paraId="5D15E129" w14:textId="6393F8CE">
      <w:pPr>
        <w:pStyle w:val="Heading1"/>
        <w:rPr>
          <w:rStyle w:val="Strong"/>
          <w:b/>
          <w:bCs w:val="0"/>
        </w:rPr>
      </w:pPr>
      <w:bookmarkStart w:id="4" w:name="_Ref125743408"/>
      <w:r w:rsidRPr="00793526">
        <w:rPr>
          <w:rStyle w:val="Strong"/>
          <w:b/>
          <w:bCs w:val="0"/>
        </w:rPr>
        <w:t>If the collection of information impacts small businesses or other small entities, describe any methods used to minimize burden.</w:t>
      </w:r>
      <w:bookmarkEnd w:id="4"/>
    </w:p>
    <w:p w:rsidR="00793526" w:rsidP="009E08D8" w14:paraId="5AC7AFC9" w14:textId="77777777"/>
    <w:p w:rsidR="00C3635A" w:rsidP="009E08D8" w14:paraId="63CB6B3A" w14:textId="7412D66F">
      <w:r>
        <w:t>State agencies are not considered to be small entities.</w:t>
      </w:r>
      <w:r w:rsidR="00523CED">
        <w:t xml:space="preserve"> </w:t>
      </w:r>
      <w:r>
        <w:t xml:space="preserve">According to </w:t>
      </w:r>
      <w:r w:rsidR="00204E7E">
        <w:t>EPA</w:t>
      </w:r>
      <w:r w:rsidR="00F62304">
        <w:t>’</w:t>
      </w:r>
      <w:r>
        <w:t>s ICR Handbook, OMB</w:t>
      </w:r>
      <w:r w:rsidR="00F62304">
        <w:t>’</w:t>
      </w:r>
      <w:r>
        <w:t>s definition for a small entity includes small governmental jurisdictions with populations of less than 50,000.</w:t>
      </w:r>
      <w:r w:rsidR="00523CED">
        <w:t xml:space="preserve"> </w:t>
      </w:r>
      <w:r>
        <w:t>According to 2010 population data from the U.S. Census Bureau, no state or territory has a population below this threshold.</w:t>
      </w:r>
      <w:r w:rsidR="00523CED">
        <w:t xml:space="preserve"> </w:t>
      </w:r>
      <w:r>
        <w:t>In addition, none of the local air agencies that report under the AERR for their jurisdictions represent an area with population of less than 50,000.</w:t>
      </w:r>
    </w:p>
    <w:p w:rsidR="00EA6571" w:rsidP="009E08D8" w14:paraId="05885BA9" w14:textId="77777777"/>
    <w:p w:rsidR="0019684E" w:rsidP="009E08D8" w14:paraId="45D18BFF" w14:textId="0B76E953">
      <w:r>
        <w:t xml:space="preserve">EPA convened a </w:t>
      </w:r>
      <w:r w:rsidR="001B6D87">
        <w:t>S</w:t>
      </w:r>
      <w:r>
        <w:t xml:space="preserve">mall </w:t>
      </w:r>
      <w:r w:rsidR="001B6D87">
        <w:t>B</w:t>
      </w:r>
      <w:r>
        <w:t xml:space="preserve">usiness </w:t>
      </w:r>
      <w:r w:rsidR="001B6D87">
        <w:t>A</w:t>
      </w:r>
      <w:r>
        <w:t xml:space="preserve">dvocacy </w:t>
      </w:r>
      <w:r w:rsidR="001B6D87">
        <w:t>R</w:t>
      </w:r>
      <w:r>
        <w:t xml:space="preserve">eview (SBAR) </w:t>
      </w:r>
      <w:r w:rsidR="001B6D87">
        <w:t>P</w:t>
      </w:r>
      <w:r>
        <w:t xml:space="preserve">anel </w:t>
      </w:r>
      <w:r w:rsidR="00602CBA">
        <w:t xml:space="preserve">for the proposed revisions </w:t>
      </w:r>
      <w:r>
        <w:t>and received input from several small entity representatives (SER</w:t>
      </w:r>
      <w:r w:rsidR="00941618">
        <w:t>s</w:t>
      </w:r>
      <w:r>
        <w:t>)</w:t>
      </w:r>
      <w:r w:rsidR="001110F5">
        <w:t>. The EPA</w:t>
      </w:r>
      <w:r w:rsidR="00602CBA">
        <w:t xml:space="preserve"> </w:t>
      </w:r>
      <w:r>
        <w:t>use</w:t>
      </w:r>
      <w:r w:rsidR="00602CBA">
        <w:t xml:space="preserve">d </w:t>
      </w:r>
      <w:r w:rsidR="00BB244B">
        <w:t xml:space="preserve">much </w:t>
      </w:r>
      <w:r w:rsidR="00602CBA">
        <w:t>of</w:t>
      </w:r>
      <w:r w:rsidR="00941618">
        <w:t xml:space="preserve"> </w:t>
      </w:r>
      <w:r w:rsidR="00834EF7">
        <w:t>that</w:t>
      </w:r>
      <w:r w:rsidR="00941618">
        <w:t xml:space="preserve"> input</w:t>
      </w:r>
      <w:r>
        <w:t xml:space="preserve"> to improve the AERR proposal to reduce impact on small businesses.</w:t>
      </w:r>
      <w:r w:rsidR="00D031B7">
        <w:t xml:space="preserve"> </w:t>
      </w:r>
      <w:r w:rsidR="00404EDC">
        <w:t xml:space="preserve">For </w:t>
      </w:r>
      <w:r w:rsidRPr="00D329DE" w:rsidR="00404EDC">
        <w:t xml:space="preserve">the panel, </w:t>
      </w:r>
      <w:r w:rsidRPr="00D329DE">
        <w:t>EPA estimate</w:t>
      </w:r>
      <w:r w:rsidRPr="00D329DE" w:rsidR="00404EDC">
        <w:t>d</w:t>
      </w:r>
      <w:r w:rsidRPr="00D329DE">
        <w:t xml:space="preserve"> that about 43,000 small businesses</w:t>
      </w:r>
      <w:r w:rsidRPr="00D329DE" w:rsidR="00404EDC">
        <w:t xml:space="preserve"> (based on the SBA definition)</w:t>
      </w:r>
      <w:r w:rsidRPr="00D329DE">
        <w:t xml:space="preserve"> could be affected by </w:t>
      </w:r>
      <w:r w:rsidRPr="00D329DE" w:rsidR="00941618">
        <w:t xml:space="preserve">these requirements, thus steps that EPA can take will have a significant impact for many facilities. </w:t>
      </w:r>
      <w:r w:rsidRPr="00D329DE" w:rsidR="00D329DE">
        <w:t xml:space="preserve">This number </w:t>
      </w:r>
      <w:r w:rsidR="00D329DE">
        <w:t xml:space="preserve">of small businesses </w:t>
      </w:r>
      <w:r w:rsidRPr="00D329DE" w:rsidR="00D329DE">
        <w:t>included several sources of reductions during the panel process.</w:t>
      </w:r>
      <w:r w:rsidR="00D329DE">
        <w:t xml:space="preserve"> Most notably, based on feedback from SERs prior to the final panel, EPA eliminated about </w:t>
      </w:r>
      <w:r w:rsidRPr="00D329DE" w:rsidR="00AD5B37">
        <w:t>15,000 small businesses</w:t>
      </w:r>
      <w:r w:rsidR="00D329DE">
        <w:t xml:space="preserve"> from reporting for the automobile collision repair industry</w:t>
      </w:r>
      <w:r w:rsidRPr="00D329DE" w:rsidR="00AD5B37">
        <w:t xml:space="preserve">. The small business accommodations incorporated into this proposal would </w:t>
      </w:r>
      <w:r w:rsidRPr="00D329DE" w:rsidR="00AD5B37">
        <w:t xml:space="preserve">apply to an estimated </w:t>
      </w:r>
      <w:r w:rsidRPr="00AB1317" w:rsidR="00AD5B37">
        <w:t>3</w:t>
      </w:r>
      <w:r w:rsidRPr="00AB1317" w:rsidR="00CC60F9">
        <w:t>4</w:t>
      </w:r>
      <w:r w:rsidRPr="00AB1317" w:rsidR="00AD5B37">
        <w:t>,</w:t>
      </w:r>
      <w:r w:rsidRPr="00AB1317" w:rsidR="000A787C">
        <w:t>8</w:t>
      </w:r>
      <w:r w:rsidRPr="00AB1317" w:rsidR="00AD5B37">
        <w:t>00</w:t>
      </w:r>
      <w:r w:rsidRPr="00D329DE" w:rsidR="00AD5B37">
        <w:t xml:space="preserve"> small businesses</w:t>
      </w:r>
      <w:r w:rsidR="00662B6F">
        <w:t xml:space="preserve"> (</w:t>
      </w:r>
      <w:r w:rsidRPr="002E4795" w:rsidR="00662B6F">
        <w:rPr>
          <w:i/>
          <w:iCs/>
        </w:rPr>
        <w:t>i.e.</w:t>
      </w:r>
      <w:r w:rsidR="00662B6F">
        <w:t>, firms not establishments)</w:t>
      </w:r>
      <w:r w:rsidRPr="00D329DE" w:rsidR="00AD5B37">
        <w:t xml:space="preserve">, based on the CAA definition </w:t>
      </w:r>
      <w:r w:rsidR="00D329DE">
        <w:t>of small businesses as described</w:t>
      </w:r>
      <w:r w:rsidRPr="00D329DE" w:rsidR="00AD5B37">
        <w:t xml:space="preserve"> in th</w:t>
      </w:r>
      <w:r w:rsidR="00D329DE">
        <w:t xml:space="preserve">e preamble to the </w:t>
      </w:r>
      <w:r w:rsidRPr="00D329DE" w:rsidR="00AD5B37">
        <w:t>propos</w:t>
      </w:r>
      <w:r w:rsidR="00D329DE">
        <w:t>ed rule.</w:t>
      </w:r>
    </w:p>
    <w:p w:rsidR="00941618" w:rsidP="009E08D8" w14:paraId="38F425D0" w14:textId="095B5E0E"/>
    <w:p w:rsidR="00941618" w:rsidP="009E08D8" w14:paraId="1133E920" w14:textId="2090E4EE">
      <w:r>
        <w:t xml:space="preserve">Prior to the SBAR </w:t>
      </w:r>
      <w:r w:rsidR="001B6D87">
        <w:t>P</w:t>
      </w:r>
      <w:r>
        <w:t xml:space="preserve">anel, </w:t>
      </w:r>
      <w:r w:rsidR="00204E7E">
        <w:t>EPA</w:t>
      </w:r>
      <w:r>
        <w:t xml:space="preserve">’s </w:t>
      </w:r>
      <w:r w:rsidR="00223013">
        <w:t>draft approach</w:t>
      </w:r>
      <w:r>
        <w:t xml:space="preserve"> already included providing the CAERS system to owners/operators to calculate and submit their emissions. In addition, CAERS stores each facility’s details from year to year, so that owners/operators do not have to re-enter the same information each time. Further, owners/operators can copy and edit their report from previous reporting years.</w:t>
      </w:r>
      <w:r w:rsidR="00D30350">
        <w:t xml:space="preserve"> Finally, CAERS includes built-in quality assurance that helps to avoid multiple re-submissions of data because of quality concerns. All these existing CAERS features would help reduce reporting burden.</w:t>
      </w:r>
    </w:p>
    <w:p w:rsidR="001B6D87" w:rsidP="009E08D8" w14:paraId="36C14637" w14:textId="32A4641E"/>
    <w:p w:rsidR="001B6D87" w:rsidP="009E08D8" w14:paraId="67A18EC4" w14:textId="54843DDC">
      <w:r>
        <w:t xml:space="preserve">In addition, </w:t>
      </w:r>
      <w:r w:rsidR="00204E7E">
        <w:t>EPA</w:t>
      </w:r>
      <w:r>
        <w:t>’s approach described to the SBAR Panel and small entities included limiting the pollutants that non-major sources would need to report. Since most small businesses would also be non-major sources, this approach would reduce burden. However, small entities provided many concern</w:t>
      </w:r>
      <w:r w:rsidR="00223013">
        <w:t>s</w:t>
      </w:r>
      <w:r>
        <w:t xml:space="preserve"> that further informed the Panel recommendations and</w:t>
      </w:r>
      <w:r w:rsidR="000D0955">
        <w:t xml:space="preserve"> this proposal</w:t>
      </w:r>
      <w:r>
        <w:t>.</w:t>
      </w:r>
    </w:p>
    <w:p w:rsidR="00D30350" w:rsidP="009E08D8" w14:paraId="4AB4619C" w14:textId="05118A66"/>
    <w:p w:rsidR="00E61309" w:rsidP="000D0955" w14:paraId="6C5AF502" w14:textId="5C490C35">
      <w:pPr>
        <w:spacing w:after="120"/>
      </w:pPr>
      <w:r>
        <w:t xml:space="preserve">Based on the final SBAR panel report, </w:t>
      </w:r>
      <w:r w:rsidR="00A93413">
        <w:t>which is included in the docket for the proposal</w:t>
      </w:r>
      <w:r w:rsidR="00DD42AF">
        <w:t xml:space="preserve"> (see </w:t>
      </w:r>
      <w:r w:rsidR="009914D3">
        <w:t xml:space="preserve">EPA docket number </w:t>
      </w:r>
      <w:r w:rsidRPr="009914D3" w:rsidR="009914D3">
        <w:t>EPA-HQ-OAR-2004-0489-0090</w:t>
      </w:r>
      <w:r w:rsidRPr="00485168">
        <w:t>,</w:t>
      </w:r>
      <w:r>
        <w:t xml:space="preserve"> </w:t>
      </w:r>
      <w:r w:rsidR="00204E7E">
        <w:t>EPA</w:t>
      </w:r>
      <w:r>
        <w:t xml:space="preserve"> </w:t>
      </w:r>
      <w:r w:rsidR="000D0955">
        <w:t xml:space="preserve">has included </w:t>
      </w:r>
      <w:r>
        <w:t>the panel recommendations</w:t>
      </w:r>
      <w:r w:rsidR="000D0955">
        <w:t xml:space="preserve"> in this proposal, as follows</w:t>
      </w:r>
      <w:r w:rsidR="00EE235D">
        <w:t xml:space="preserve"> (see proposal preamble for further explanation of these included recommendations)</w:t>
      </w:r>
      <w:r w:rsidR="000D0955">
        <w:t>:</w:t>
      </w:r>
      <w:r w:rsidR="001B6D87">
        <w:t xml:space="preserve"> </w:t>
      </w:r>
    </w:p>
    <w:p w:rsidR="000D0955" w:rsidP="000D0955" w14:paraId="16950764" w14:textId="657F3BAD">
      <w:pPr>
        <w:pStyle w:val="ListParagraph"/>
        <w:numPr>
          <w:ilvl w:val="0"/>
          <w:numId w:val="27"/>
        </w:numPr>
        <w:tabs>
          <w:tab w:val="clear" w:pos="1353"/>
          <w:tab w:val="left" w:pos="1440"/>
        </w:tabs>
        <w:spacing w:after="120"/>
        <w:contextualSpacing w:val="0"/>
      </w:pPr>
      <w:r>
        <w:t>The EPA has excluded small businesses in the Automotive Body, Paint, and Interior Repair and Maintenance industry (NAICS</w:t>
      </w:r>
      <w:r>
        <w:rPr>
          <w:rStyle w:val="FootnoteReference"/>
          <w:vertAlign w:val="superscript"/>
        </w:rPr>
        <w:footnoteReference w:id="15"/>
      </w:r>
      <w:r>
        <w:t xml:space="preserve"> </w:t>
      </w:r>
      <w:r w:rsidRPr="00C05850">
        <w:rPr>
          <w:color w:val="000000"/>
        </w:rPr>
        <w:t>811121</w:t>
      </w:r>
      <w:r>
        <w:t>).</w:t>
      </w:r>
    </w:p>
    <w:p w:rsidR="000D0955" w:rsidP="000D0955" w14:paraId="6E4946A4" w14:textId="52FC6097">
      <w:pPr>
        <w:pStyle w:val="ListParagraph"/>
        <w:numPr>
          <w:ilvl w:val="0"/>
          <w:numId w:val="27"/>
        </w:numPr>
        <w:tabs>
          <w:tab w:val="clear" w:pos="1353"/>
          <w:tab w:val="left" w:pos="1440"/>
        </w:tabs>
        <w:spacing w:after="120"/>
        <w:contextualSpacing w:val="0"/>
      </w:pPr>
      <w:r>
        <w:t xml:space="preserve">The EPA has considered both the SBA and CAA definitions of small businesses and while proposing the CAA definition, has requested comment on using the SBA definition, which would further reduce burden by </w:t>
      </w:r>
      <w:r w:rsidR="0041572F">
        <w:t xml:space="preserve">allowing about </w:t>
      </w:r>
      <w:r w:rsidR="00DD1CD8">
        <w:t xml:space="preserve">10,000 </w:t>
      </w:r>
      <w:r w:rsidR="00B91432">
        <w:t>more</w:t>
      </w:r>
      <w:r>
        <w:t xml:space="preserve"> small businesses </w:t>
      </w:r>
      <w:r w:rsidR="00DD1CD8">
        <w:t xml:space="preserve">(firms) </w:t>
      </w:r>
      <w:r w:rsidR="0041572F">
        <w:t>to use AERR provisions to reduce burden</w:t>
      </w:r>
      <w:r>
        <w:t>.</w:t>
      </w:r>
    </w:p>
    <w:p w:rsidR="000D0955" w:rsidP="000D0955" w14:paraId="0C27EE14" w14:textId="4B24670A">
      <w:pPr>
        <w:pStyle w:val="ListParagraph"/>
        <w:numPr>
          <w:ilvl w:val="0"/>
          <w:numId w:val="27"/>
        </w:numPr>
        <w:tabs>
          <w:tab w:val="clear" w:pos="1353"/>
          <w:tab w:val="left" w:pos="1440"/>
        </w:tabs>
        <w:spacing w:after="120"/>
        <w:contextualSpacing w:val="0"/>
      </w:pPr>
      <w:r w:rsidRPr="008116BD">
        <w:t xml:space="preserve">The preamble of this proposed </w:t>
      </w:r>
      <w:r w:rsidR="00B91432">
        <w:t>rule</w:t>
      </w:r>
      <w:r w:rsidRPr="008116BD" w:rsidR="00B91432">
        <w:t xml:space="preserve"> </w:t>
      </w:r>
      <w:r w:rsidRPr="008116BD">
        <w:t>includes a description</w:t>
      </w:r>
      <w:r>
        <w:t xml:space="preserve"> of an emissions estimation tool that EPA would </w:t>
      </w:r>
      <w:r w:rsidR="004700D7">
        <w:t xml:space="preserve">develop and </w:t>
      </w:r>
      <w:r>
        <w:t>make available to owners/operators of small businesses to estimate and submit emissions. The preamble also describes a process, recommended by the SBAR Panel, for developing and updating the emissions estimation tool in collaboration with small businesses and states.</w:t>
      </w:r>
    </w:p>
    <w:p w:rsidR="000D0955" w:rsidP="000D0955" w14:paraId="72E52957" w14:textId="4C2F48F4">
      <w:pPr>
        <w:pStyle w:val="ListParagraph"/>
        <w:numPr>
          <w:ilvl w:val="0"/>
          <w:numId w:val="27"/>
        </w:numPr>
        <w:tabs>
          <w:tab w:val="clear" w:pos="1353"/>
          <w:tab w:val="left" w:pos="1440"/>
        </w:tabs>
        <w:spacing w:after="120"/>
        <w:contextualSpacing w:val="0"/>
      </w:pPr>
      <w:r>
        <w:t xml:space="preserve">The preamble of this proposed </w:t>
      </w:r>
      <w:r w:rsidR="00B91432">
        <w:t xml:space="preserve">rule </w:t>
      </w:r>
      <w:r>
        <w:t>explains that small businesses would not be expected to report emissions for pollutants when EPA does not provide a way to estimate emissions and there is no other readily available data for those emissions.</w:t>
      </w:r>
    </w:p>
    <w:p w:rsidR="000D0955" w:rsidP="000D0955" w14:paraId="5C6FD1A9" w14:textId="0DF92089">
      <w:pPr>
        <w:pStyle w:val="ListParagraph"/>
        <w:numPr>
          <w:ilvl w:val="0"/>
          <w:numId w:val="27"/>
        </w:numPr>
        <w:tabs>
          <w:tab w:val="clear" w:pos="1353"/>
          <w:tab w:val="left" w:pos="1440"/>
        </w:tabs>
        <w:spacing w:after="120"/>
        <w:contextualSpacing w:val="0"/>
      </w:pPr>
      <w:r>
        <w:t xml:space="preserve">The preamble of this proposed </w:t>
      </w:r>
      <w:r w:rsidR="00B91432">
        <w:t xml:space="preserve">rule </w:t>
      </w:r>
      <w:r>
        <w:t>describes an option that EPA is considering adding to the AERR to collect cross-program facility identifiers that would facilitate information sharing across EPA programs and help avoid duplicative data collection.</w:t>
      </w:r>
    </w:p>
    <w:p w:rsidR="000D0955" w:rsidP="000D0955" w14:paraId="48CB1F54" w14:textId="01B2A671">
      <w:pPr>
        <w:pStyle w:val="ListParagraph"/>
        <w:numPr>
          <w:ilvl w:val="0"/>
          <w:numId w:val="27"/>
        </w:numPr>
        <w:tabs>
          <w:tab w:val="clear" w:pos="1353"/>
          <w:tab w:val="left" w:pos="1440"/>
        </w:tabs>
        <w:spacing w:after="120"/>
        <w:contextualSpacing w:val="0"/>
      </w:pPr>
      <w:r>
        <w:t xml:space="preserve">The proposed regulatory text reduces the scope of reporting for </w:t>
      </w:r>
      <w:r w:rsidR="004700D7">
        <w:t xml:space="preserve">certain </w:t>
      </w:r>
      <w:r>
        <w:t xml:space="preserve">small businesses by </w:t>
      </w:r>
      <w:r w:rsidR="004700D7">
        <w:t xml:space="preserve">providing an option to </w:t>
      </w:r>
      <w:r>
        <w:t>limit the facility inventory data to unit level and emissions data to facility emissions totals</w:t>
      </w:r>
      <w:r w:rsidR="00B91432">
        <w:t xml:space="preserve">. EPA would treat such emissions as </w:t>
      </w:r>
      <w:r w:rsidR="00C00159">
        <w:t>fugitive</w:t>
      </w:r>
      <w:r w:rsidR="00B91432">
        <w:t xml:space="preserve">, ground-level </w:t>
      </w:r>
      <w:r w:rsidR="00C00159">
        <w:t xml:space="preserve">emissions </w:t>
      </w:r>
      <w:r w:rsidR="00B91432">
        <w:t xml:space="preserve">because </w:t>
      </w:r>
      <w:r w:rsidR="00C00159">
        <w:t xml:space="preserve">no </w:t>
      </w:r>
      <w:r w:rsidR="00C00159">
        <w:t xml:space="preserve">stack information would be </w:t>
      </w:r>
      <w:r w:rsidR="00B91432">
        <w:t>provided</w:t>
      </w:r>
      <w:r>
        <w:t>.</w:t>
      </w:r>
      <w:r w:rsidRPr="000D0955">
        <w:t xml:space="preserve"> Rather than report emissions for each unit, process, and release point, small businesses could provide emissions as a total facility value, as separate totals for stack and fugitive, or some other less detailed approach. A small business would only be required to report </w:t>
      </w:r>
      <w:r w:rsidR="00B91432">
        <w:t xml:space="preserve">emissions data </w:t>
      </w:r>
      <w:r w:rsidRPr="000D0955">
        <w:t xml:space="preserve">with full unit/process/release point detail in a subsequent year of reporting if EPA’s risk modeling from a prior year estimates cancer risk of </w:t>
      </w:r>
      <w:r w:rsidR="00B91432">
        <w:t>2</w:t>
      </w:r>
      <w:r w:rsidRPr="000D0955">
        <w:t>0/million or higher.</w:t>
      </w:r>
    </w:p>
    <w:p w:rsidR="000D0955" w:rsidP="000D0955" w14:paraId="337DB8AD" w14:textId="34A9F651">
      <w:pPr>
        <w:pStyle w:val="ListParagraph"/>
        <w:numPr>
          <w:ilvl w:val="0"/>
          <w:numId w:val="27"/>
        </w:numPr>
        <w:tabs>
          <w:tab w:val="clear" w:pos="1353"/>
          <w:tab w:val="left" w:pos="1440"/>
        </w:tabs>
      </w:pPr>
      <w:r>
        <w:t>The proposed regulatory text includes a process that seeks to avoid duplicative reporting to both states and EPA by providing options to states to align emissions reporting practices with this proposal</w:t>
      </w:r>
      <w:r w:rsidR="001110F5">
        <w:t>. The EPA</w:t>
      </w:r>
      <w:r w:rsidR="00814376">
        <w:t xml:space="preserve"> describes processes for </w:t>
      </w:r>
      <w:r>
        <w:t xml:space="preserve">a SLT </w:t>
      </w:r>
      <w:r w:rsidR="00814376">
        <w:t xml:space="preserve">to </w:t>
      </w:r>
      <w:r>
        <w:t xml:space="preserve">adopt AERR requirements and CAERS in lieu of its own requirements and systems </w:t>
      </w:r>
      <w:r w:rsidR="00814376">
        <w:t xml:space="preserve">and an alternative process SLTs can use to </w:t>
      </w:r>
      <w:r>
        <w:t>ensur</w:t>
      </w:r>
      <w:r w:rsidR="00814376">
        <w:t>e</w:t>
      </w:r>
      <w:r>
        <w:t xml:space="preserve"> </w:t>
      </w:r>
      <w:r w:rsidR="00814376">
        <w:t xml:space="preserve">their requirements align with the AERR when they report </w:t>
      </w:r>
      <w:r>
        <w:t>HAP.</w:t>
      </w:r>
    </w:p>
    <w:p w:rsidR="003E28BE" w:rsidRPr="00793526" w:rsidP="00877276" w14:paraId="3FC354CC" w14:textId="6807B02F">
      <w:pPr>
        <w:pStyle w:val="Heading1"/>
        <w:rPr>
          <w:rStyle w:val="Strong"/>
          <w:b/>
          <w:bCs w:val="0"/>
        </w:rPr>
      </w:pPr>
      <w:r w:rsidRPr="00793526">
        <w:rPr>
          <w:rStyle w:val="Strong"/>
          <w:b/>
          <w:bCs w:val="0"/>
        </w:rPr>
        <w:t>Describe the consequence to Federal program or policy activities if the collection is not conducted or is conducted less frequently, as well as any technical or legal obstacles to reducing burden.</w:t>
      </w:r>
    </w:p>
    <w:p w:rsidR="002C058E" w:rsidP="009E08D8" w14:paraId="4E7A8E37" w14:textId="599611D2"/>
    <w:p w:rsidR="002C5446" w:rsidRPr="008D5F67" w:rsidP="009E08D8" w14:paraId="0DEEE216" w14:textId="60FF22C4">
      <w:pPr>
        <w:rPr>
          <w:rStyle w:val="2ndtier1"/>
          <w:rFonts w:asciiTheme="minorHAnsi" w:hAnsiTheme="minorHAnsi" w:cstheme="minorHAnsi"/>
          <w:b w:val="0"/>
          <w:sz w:val="22"/>
          <w:szCs w:val="22"/>
        </w:rPr>
      </w:pPr>
      <w:r w:rsidRPr="008D5F67">
        <w:rPr>
          <w:rStyle w:val="2ndtier1"/>
          <w:rFonts w:asciiTheme="minorHAnsi" w:hAnsiTheme="minorHAnsi" w:cstheme="minorHAnsi"/>
          <w:b w:val="0"/>
          <w:sz w:val="22"/>
          <w:szCs w:val="22"/>
        </w:rPr>
        <w:t xml:space="preserve">The data included in this </w:t>
      </w:r>
      <w:r w:rsidR="005E3589">
        <w:rPr>
          <w:rStyle w:val="2ndtier1"/>
          <w:rFonts w:asciiTheme="minorHAnsi" w:hAnsiTheme="minorHAnsi" w:cstheme="minorHAnsi"/>
          <w:b w:val="0"/>
          <w:sz w:val="22"/>
          <w:szCs w:val="22"/>
        </w:rPr>
        <w:t xml:space="preserve">proposed </w:t>
      </w:r>
      <w:r w:rsidRPr="008D5F67">
        <w:rPr>
          <w:rStyle w:val="2ndtier1"/>
          <w:rFonts w:asciiTheme="minorHAnsi" w:hAnsiTheme="minorHAnsi" w:cstheme="minorHAnsi"/>
          <w:b w:val="0"/>
          <w:bCs w:val="0"/>
          <w:sz w:val="22"/>
          <w:szCs w:val="22"/>
        </w:rPr>
        <w:t>collect</w:t>
      </w:r>
      <w:r w:rsidR="008D5F67">
        <w:rPr>
          <w:rStyle w:val="2ndtier1"/>
          <w:rFonts w:asciiTheme="minorHAnsi" w:hAnsiTheme="minorHAnsi" w:cstheme="minorHAnsi"/>
          <w:b w:val="0"/>
          <w:bCs w:val="0"/>
          <w:sz w:val="22"/>
          <w:szCs w:val="22"/>
        </w:rPr>
        <w:t>ion</w:t>
      </w:r>
      <w:r w:rsidRPr="008D5F67">
        <w:rPr>
          <w:rStyle w:val="2ndtier1"/>
          <w:rFonts w:asciiTheme="minorHAnsi" w:hAnsiTheme="minorHAnsi" w:cstheme="minorHAnsi"/>
          <w:b w:val="0"/>
          <w:sz w:val="22"/>
          <w:szCs w:val="22"/>
        </w:rPr>
        <w:t xml:space="preserve"> </w:t>
      </w:r>
      <w:r w:rsidR="00E0126B">
        <w:rPr>
          <w:rStyle w:val="2ndtier1"/>
          <w:rFonts w:asciiTheme="minorHAnsi" w:hAnsiTheme="minorHAnsi" w:cstheme="minorHAnsi"/>
          <w:b w:val="0"/>
          <w:sz w:val="22"/>
          <w:szCs w:val="22"/>
        </w:rPr>
        <w:t>have</w:t>
      </w:r>
      <w:r w:rsidRPr="008D5F67">
        <w:rPr>
          <w:rStyle w:val="2ndtier1"/>
          <w:rFonts w:asciiTheme="minorHAnsi" w:hAnsiTheme="minorHAnsi" w:cstheme="minorHAnsi"/>
          <w:b w:val="0"/>
          <w:sz w:val="22"/>
          <w:szCs w:val="22"/>
        </w:rPr>
        <w:t xml:space="preserve"> </w:t>
      </w:r>
      <w:r w:rsidR="000A1911">
        <w:rPr>
          <w:rStyle w:val="2ndtier1"/>
          <w:rFonts w:asciiTheme="minorHAnsi" w:hAnsiTheme="minorHAnsi" w:cstheme="minorHAnsi"/>
          <w:b w:val="0"/>
          <w:sz w:val="22"/>
          <w:szCs w:val="22"/>
        </w:rPr>
        <w:t>two</w:t>
      </w:r>
      <w:r w:rsidRPr="008D5F67" w:rsidR="000A1911">
        <w:rPr>
          <w:rStyle w:val="2ndtier1"/>
          <w:rFonts w:asciiTheme="minorHAnsi" w:hAnsiTheme="minorHAnsi" w:cstheme="minorHAnsi"/>
          <w:b w:val="0"/>
          <w:sz w:val="22"/>
          <w:szCs w:val="22"/>
        </w:rPr>
        <w:t xml:space="preserve"> </w:t>
      </w:r>
      <w:r w:rsidRPr="008D5F67">
        <w:rPr>
          <w:rStyle w:val="2ndtier1"/>
          <w:rFonts w:asciiTheme="minorHAnsi" w:hAnsiTheme="minorHAnsi" w:cstheme="minorHAnsi"/>
          <w:b w:val="0"/>
          <w:sz w:val="22"/>
          <w:szCs w:val="22"/>
        </w:rPr>
        <w:t>categories: annual emissions data and related information and source test data. Each of these categories has different uses</w:t>
      </w:r>
      <w:r w:rsidR="00B91432">
        <w:rPr>
          <w:rStyle w:val="2ndtier1"/>
          <w:rFonts w:asciiTheme="minorHAnsi" w:hAnsiTheme="minorHAnsi" w:cstheme="minorHAnsi"/>
          <w:b w:val="0"/>
          <w:sz w:val="22"/>
          <w:szCs w:val="22"/>
        </w:rPr>
        <w:t>,</w:t>
      </w:r>
      <w:r w:rsidRPr="008D5F67">
        <w:rPr>
          <w:rStyle w:val="2ndtier1"/>
          <w:rFonts w:asciiTheme="minorHAnsi" w:hAnsiTheme="minorHAnsi" w:cstheme="minorHAnsi"/>
          <w:b w:val="0"/>
          <w:sz w:val="22"/>
          <w:szCs w:val="22"/>
        </w:rPr>
        <w:t xml:space="preserve"> so these are described separately below</w:t>
      </w:r>
      <w:r w:rsidRPr="008D5F67" w:rsidR="007E652C">
        <w:rPr>
          <w:rStyle w:val="2ndtier1"/>
          <w:rFonts w:asciiTheme="minorHAnsi" w:hAnsiTheme="minorHAnsi" w:cstheme="minorHAnsi"/>
          <w:b w:val="0"/>
          <w:sz w:val="22"/>
          <w:szCs w:val="22"/>
        </w:rPr>
        <w:t>.</w:t>
      </w:r>
    </w:p>
    <w:p w:rsidR="002C5446" w:rsidP="009E08D8" w14:paraId="6D36802D" w14:textId="5EE024D9"/>
    <w:p w:rsidR="002C5446" w:rsidP="009E08D8" w14:paraId="311813AF" w14:textId="20813DBD">
      <w:r>
        <w:rPr>
          <w:b/>
          <w:bCs/>
        </w:rPr>
        <w:t>Annual emissions data and related information</w:t>
      </w:r>
      <w:r w:rsidRPr="00890489">
        <w:rPr>
          <w:b/>
          <w:bCs/>
        </w:rPr>
        <w:t>.</w:t>
      </w:r>
      <w:r w:rsidRPr="00890489" w:rsidR="00890489">
        <w:t xml:space="preserve"> </w:t>
      </w:r>
      <w:r w:rsidRPr="002C5446">
        <w:t xml:space="preserve">If </w:t>
      </w:r>
      <w:r>
        <w:t xml:space="preserve">annual emissions data and related information </w:t>
      </w:r>
      <w:r w:rsidR="008D5F67">
        <w:t>were</w:t>
      </w:r>
      <w:r>
        <w:t xml:space="preserve"> not collected, </w:t>
      </w:r>
      <w:r w:rsidR="00204E7E">
        <w:t>EPA</w:t>
      </w:r>
      <w:r w:rsidR="00B20E7C">
        <w:t xml:space="preserve"> would not have data about </w:t>
      </w:r>
      <w:r w:rsidR="007E652C">
        <w:t>CAPs</w:t>
      </w:r>
      <w:r w:rsidR="00B20E7C">
        <w:t xml:space="preserve"> from stationary sources of these emissions. These data form the foundation of implementation of many </w:t>
      </w:r>
      <w:r w:rsidR="008D5F67">
        <w:t>CAA</w:t>
      </w:r>
      <w:r w:rsidR="00B20E7C">
        <w:t xml:space="preserve"> requirements o</w:t>
      </w:r>
      <w:r w:rsidR="002A26A5">
        <w:t>n</w:t>
      </w:r>
      <w:r w:rsidR="00B20E7C">
        <w:t xml:space="preserve"> EPA and states to define NAAQS and reduce emissions levels to meet those standards. Similarly, these data support EPA and state implementation of requirements to improve visibility in Class I areas associated with the regional haze program. The EPA uses this collection to create the NEI, which is a foundational </w:t>
      </w:r>
      <w:r w:rsidR="00B91432">
        <w:t xml:space="preserve">source of data </w:t>
      </w:r>
      <w:r w:rsidR="00B20E7C">
        <w:t>used for various key aspects of the NAAQS program including ambient monitoring locations, air quality modeling for NAAQS and regional haze, analyses to support transport SIPs, and other critical needs to implement requirements of the Act.</w:t>
      </w:r>
      <w:r w:rsidR="005869E8">
        <w:t xml:space="preserve"> If EPA did not collect these data</w:t>
      </w:r>
      <w:r w:rsidR="0072780E">
        <w:t>,</w:t>
      </w:r>
      <w:r w:rsidR="005869E8">
        <w:t xml:space="preserve"> it would be extremely difficult, if not impossible, for the Agency to carry out </w:t>
      </w:r>
      <w:r w:rsidR="0041002C">
        <w:t>many of its</w:t>
      </w:r>
      <w:r w:rsidR="005869E8">
        <w:t xml:space="preserve"> statutory obligations under the Clean Air Act</w:t>
      </w:r>
      <w:r w:rsidR="005A1665">
        <w:t xml:space="preserve"> related to the NAAQS and visibility</w:t>
      </w:r>
      <w:r w:rsidR="005869E8">
        <w:t>.</w:t>
      </w:r>
    </w:p>
    <w:p w:rsidR="00B20E7C" w:rsidP="009E08D8" w14:paraId="71989817" w14:textId="4B855F31"/>
    <w:p w:rsidR="00B20E7C" w:rsidP="009E08D8" w14:paraId="56A1C1C0" w14:textId="4A1674D8">
      <w:r>
        <w:t xml:space="preserve">Additionally, the proposed collection of annual emissions data for </w:t>
      </w:r>
      <w:r w:rsidR="007E652C">
        <w:t>HAP</w:t>
      </w:r>
      <w:r>
        <w:t xml:space="preserve"> has been designed to</w:t>
      </w:r>
      <w:r w:rsidR="007E652C">
        <w:t xml:space="preserve"> allow EPA to meet the </w:t>
      </w:r>
      <w:r w:rsidRPr="0051430A" w:rsidR="007E652C">
        <w:t xml:space="preserve">requirements of </w:t>
      </w:r>
      <w:r w:rsidR="00A17F7E">
        <w:t xml:space="preserve">multiple provisions in the CAA, </w:t>
      </w:r>
      <w:r w:rsidR="00333D25">
        <w:t xml:space="preserve">for example, </w:t>
      </w:r>
      <w:r w:rsidR="00A17F7E">
        <w:t xml:space="preserve">including the provisions in </w:t>
      </w:r>
      <w:r w:rsidRPr="0051430A" w:rsidR="007E652C">
        <w:t>CAA 112(f)(2) for Residual Risk analysis</w:t>
      </w:r>
      <w:r w:rsidR="007E652C">
        <w:t xml:space="preserve"> and to promulgate</w:t>
      </w:r>
      <w:r w:rsidRPr="0051430A" w:rsidR="007E652C">
        <w:t xml:space="preserve"> numerous regulatory </w:t>
      </w:r>
      <w:r w:rsidR="007E652C">
        <w:t>actions</w:t>
      </w:r>
      <w:r w:rsidR="008D5F67">
        <w:t>;</w:t>
      </w:r>
      <w:r w:rsidR="007E652C">
        <w:t xml:space="preserve"> </w:t>
      </w:r>
      <w:r w:rsidR="00A17F7E">
        <w:t>in</w:t>
      </w:r>
      <w:r w:rsidR="007E652C">
        <w:t xml:space="preserve"> CAA 112(d)(6) for</w:t>
      </w:r>
      <w:r w:rsidRPr="0051430A" w:rsidR="007E652C">
        <w:t xml:space="preserve"> complet</w:t>
      </w:r>
      <w:r w:rsidR="007E652C">
        <w:t>ing</w:t>
      </w:r>
      <w:r w:rsidRPr="0051430A" w:rsidR="007E652C">
        <w:t xml:space="preserve"> technology reviews every 8 years</w:t>
      </w:r>
      <w:r w:rsidR="008D5F67">
        <w:t>;</w:t>
      </w:r>
      <w:r w:rsidR="007E652C">
        <w:t xml:space="preserve"> and </w:t>
      </w:r>
      <w:r w:rsidR="00A17F7E">
        <w:t xml:space="preserve">in </w:t>
      </w:r>
      <w:r w:rsidR="007E652C">
        <w:t xml:space="preserve">CAA 112(c)(5) to review the list of Section 112 source categories and list new source categories and subcategories according to statutory criteria. Further, this collection supports EPA in complying with </w:t>
      </w:r>
      <w:r w:rsidRPr="0051430A" w:rsidR="007E652C">
        <w:t xml:space="preserve">EO </w:t>
      </w:r>
      <w:r w:rsidRPr="00C374DB" w:rsidR="007E652C">
        <w:t>12898</w:t>
      </w:r>
      <w:r w:rsidR="007E652C">
        <w:t xml:space="preserve">. This EO </w:t>
      </w:r>
      <w:r w:rsidRPr="00C374DB" w:rsidR="007E652C">
        <w:t xml:space="preserve">directs federal agencies, to the greatest extent practicable and permitted by law, to make environmental justice part of their mission by identifying and </w:t>
      </w:r>
      <w:r w:rsidRPr="0051430A" w:rsidR="007E652C">
        <w:t>address</w:t>
      </w:r>
      <w:r w:rsidR="007E652C">
        <w:t>ing, as appropriate,</w:t>
      </w:r>
      <w:r w:rsidRPr="0051430A" w:rsidR="007E652C">
        <w:t xml:space="preserve"> the disproportionately high and adverse human health or environmental</w:t>
      </w:r>
      <w:r w:rsidR="007E652C">
        <w:t xml:space="preserve"> effects </w:t>
      </w:r>
      <w:r w:rsidRPr="00C374DB" w:rsidR="007E652C">
        <w:t xml:space="preserve">of their programs, policies, and activities on minority populations </w:t>
      </w:r>
      <w:r w:rsidR="007E652C">
        <w:t xml:space="preserve">(people of color) </w:t>
      </w:r>
      <w:r w:rsidRPr="00C374DB" w:rsidR="007E652C">
        <w:t>and low-income populations</w:t>
      </w:r>
      <w:r w:rsidRPr="0051430A" w:rsidR="007E652C">
        <w:t>.</w:t>
      </w:r>
      <w:r w:rsidR="007E652C">
        <w:t xml:space="preserve"> Many other additional needs for these data are described in the preamble to the proposed rule.</w:t>
      </w:r>
    </w:p>
    <w:p w:rsidR="002C5446" w:rsidP="009E08D8" w14:paraId="618F408F" w14:textId="6B064FB4"/>
    <w:p w:rsidR="00B20E7C" w:rsidP="009E08D8" w14:paraId="6C2C9091" w14:textId="2DE6B51C">
      <w:r>
        <w:t>O</w:t>
      </w:r>
      <w:r>
        <w:t xml:space="preserve">ther additions included in the proposed AERR revision fill data gaps that EPA has identified as limiting both </w:t>
      </w:r>
      <w:r w:rsidR="00204E7E">
        <w:t>EPA</w:t>
      </w:r>
      <w:r>
        <w:t xml:space="preserve">’s and states’ ability to understand emissions sources in specific ways. As described in the preamble to the proposed AERR revision, these additional proposed revisions </w:t>
      </w:r>
      <w:r w:rsidR="005E3589">
        <w:t>would</w:t>
      </w:r>
      <w:r>
        <w:t xml:space="preserve"> allow the Agency and states to better fulfill their responsibilities under the Act to </w:t>
      </w:r>
      <w:r>
        <w:t xml:space="preserve">improve </w:t>
      </w:r>
      <w:r>
        <w:t>air quality</w:t>
      </w:r>
      <w:r>
        <w:t xml:space="preserve"> for the protection of human health and the environment.</w:t>
      </w:r>
    </w:p>
    <w:p w:rsidR="00B20E7C" w:rsidRPr="002C5446" w:rsidP="009E08D8" w14:paraId="62E0750E" w14:textId="77777777"/>
    <w:p w:rsidR="000C24DA" w:rsidP="000C24DA" w14:paraId="56F23979" w14:textId="604D4373">
      <w:r>
        <w:t xml:space="preserve">This proposed action includes </w:t>
      </w:r>
      <w:r w:rsidR="00D675CA">
        <w:t>several</w:t>
      </w:r>
      <w:r>
        <w:t xml:space="preserve"> elements that support burden reduction</w:t>
      </w:r>
      <w:r w:rsidR="00BA7C92">
        <w:t xml:space="preserve"> for all sources, including those owned by small businesses</w:t>
      </w:r>
      <w:r>
        <w:t xml:space="preserve">. </w:t>
      </w:r>
      <w:r w:rsidR="0007005F">
        <w:t>The EPA considered b</w:t>
      </w:r>
      <w:r>
        <w:t>urden reduction opportunities</w:t>
      </w:r>
      <w:r w:rsidR="0007005F">
        <w:t xml:space="preserve"> associated with (1) </w:t>
      </w:r>
      <w:r>
        <w:t xml:space="preserve">the form </w:t>
      </w:r>
      <w:r w:rsidR="0007005F">
        <w:t>and</w:t>
      </w:r>
      <w:r>
        <w:t xml:space="preserve"> the frequency of reporting,</w:t>
      </w:r>
      <w:r w:rsidR="0007005F">
        <w:t xml:space="preserve"> (2)</w:t>
      </w:r>
      <w:r>
        <w:t xml:space="preserve"> </w:t>
      </w:r>
      <w:r w:rsidR="0007005F">
        <w:t xml:space="preserve">the </w:t>
      </w:r>
      <w:r>
        <w:t xml:space="preserve">timing of reporting, </w:t>
      </w:r>
      <w:r w:rsidR="0007005F">
        <w:t xml:space="preserve">(3) the </w:t>
      </w:r>
      <w:r>
        <w:t xml:space="preserve">facilities that </w:t>
      </w:r>
      <w:r w:rsidR="0007005F">
        <w:t>would be required to</w:t>
      </w:r>
      <w:r>
        <w:t xml:space="preserve"> report emissions data, and </w:t>
      </w:r>
      <w:r w:rsidR="0007005F">
        <w:t xml:space="preserve">(4) </w:t>
      </w:r>
      <w:r>
        <w:t xml:space="preserve">the data elements </w:t>
      </w:r>
      <w:r w:rsidR="0007005F">
        <w:t>to be</w:t>
      </w:r>
      <w:r>
        <w:t xml:space="preserve"> report</w:t>
      </w:r>
      <w:r w:rsidR="0007005F">
        <w:t>ed</w:t>
      </w:r>
      <w:r>
        <w:t xml:space="preserve">. Each of these aspects has been evaluated by </w:t>
      </w:r>
      <w:r w:rsidR="00204E7E">
        <w:t>EPA</w:t>
      </w:r>
      <w:r>
        <w:t xml:space="preserve"> for burden reduction opportunities</w:t>
      </w:r>
      <w:r w:rsidR="0007005F">
        <w:t>. T</w:t>
      </w:r>
      <w:r>
        <w:t xml:space="preserve">he EPA addressed these aspects </w:t>
      </w:r>
      <w:r w:rsidR="0007005F">
        <w:t xml:space="preserve">in its formulation of the proposal </w:t>
      </w:r>
      <w:r>
        <w:t xml:space="preserve">and each is supported by the available descriptions in the </w:t>
      </w:r>
      <w:r w:rsidR="0007005F">
        <w:t xml:space="preserve">preamble to the </w:t>
      </w:r>
      <w:r>
        <w:t>proposed rule.</w:t>
      </w:r>
    </w:p>
    <w:p w:rsidR="007E652C" w:rsidP="009E08D8" w14:paraId="57D6BAD3" w14:textId="2593A9D4"/>
    <w:p w:rsidR="004D4AC2" w:rsidP="009E08D8" w14:paraId="47D67E25" w14:textId="0EEA6567">
      <w:r>
        <w:t xml:space="preserve">In addition to the burden reductions included for small businesses described in Section </w:t>
      </w:r>
      <w:r>
        <w:fldChar w:fldCharType="begin"/>
      </w:r>
      <w:r>
        <w:instrText xml:space="preserve"> REF _Ref125743408 \r \h </w:instrText>
      </w:r>
      <w:r>
        <w:fldChar w:fldCharType="separate"/>
      </w:r>
      <w:r w:rsidR="00646F0F">
        <w:t>5</w:t>
      </w:r>
      <w:r>
        <w:fldChar w:fldCharType="end"/>
      </w:r>
      <w:r>
        <w:t>, a</w:t>
      </w:r>
      <w:r>
        <w:t>spects of this rule th</w:t>
      </w:r>
      <w:r w:rsidR="00FD5204">
        <w:t>at</w:t>
      </w:r>
      <w:r>
        <w:t xml:space="preserve"> reduce burden for states and owners/operators that would report to EPA under the proposed action are listed here.</w:t>
      </w:r>
    </w:p>
    <w:p w:rsidR="004D4AC2" w:rsidP="000D0955" w14:paraId="72A40729" w14:textId="2BB1C5E2">
      <w:pPr>
        <w:pStyle w:val="ListParagraph"/>
        <w:numPr>
          <w:ilvl w:val="0"/>
          <w:numId w:val="31"/>
        </w:numPr>
      </w:pPr>
      <w:r>
        <w:t>CAERS supports burden reduction for owners/operators across four EPA air emissions programs and state emissions collections. CAERS includes numerous collection features that reduce burden for both owners/operators and states</w:t>
      </w:r>
      <w:r w:rsidR="008116BD">
        <w:t>, including avoiding owners/operators needing to the same data to EPA through multiple reports.</w:t>
      </w:r>
    </w:p>
    <w:p w:rsidR="004D4AC2" w:rsidP="000D0955" w14:paraId="5E184584" w14:textId="79D4F85C">
      <w:pPr>
        <w:pStyle w:val="ListParagraph"/>
        <w:numPr>
          <w:ilvl w:val="0"/>
          <w:numId w:val="31"/>
        </w:numPr>
      </w:pPr>
      <w:r>
        <w:t>This action proposes to formalize EPA’s role to provide emissions calculation methods for states for nonpoint sources, which requires states to report activity data rather than calculate emissions. States can comply with this requirement simply by reviewing and accepting EPA-provided data, or by commenting on that data.</w:t>
      </w:r>
      <w:r w:rsidR="00B91432">
        <w:t xml:space="preserve"> Doing so is lower burden than the current AERR requirement for states to generate such data themselves.</w:t>
      </w:r>
    </w:p>
    <w:p w:rsidR="004D4AC2" w:rsidP="000D0955" w14:paraId="0B58BF1E" w14:textId="2CFC88A0">
      <w:pPr>
        <w:pStyle w:val="ListParagraph"/>
        <w:numPr>
          <w:ilvl w:val="0"/>
          <w:numId w:val="31"/>
        </w:numPr>
      </w:pPr>
      <w:r>
        <w:t xml:space="preserve">This action would maintain the </w:t>
      </w:r>
      <w:r w:rsidR="00B91432">
        <w:t>three</w:t>
      </w:r>
      <w:r>
        <w:t>-year reporting requirement for nonpoint and mobile sources and would keep the reporting of wildfire data voluntary. This action proposes to additional</w:t>
      </w:r>
      <w:r w:rsidR="00FD5204">
        <w:t>ly</w:t>
      </w:r>
      <w:r>
        <w:t xml:space="preserve"> make </w:t>
      </w:r>
      <w:r w:rsidR="00B91432">
        <w:t>emissions</w:t>
      </w:r>
      <w:r>
        <w:t xml:space="preserve"> reporting </w:t>
      </w:r>
      <w:r w:rsidR="00B91432">
        <w:t xml:space="preserve">for </w:t>
      </w:r>
      <w:r>
        <w:t>agricultural fires voluntary rather than mandatory.</w:t>
      </w:r>
    </w:p>
    <w:p w:rsidR="004D4AC2" w:rsidP="000D0955" w14:paraId="201236E3" w14:textId="0822F4D0">
      <w:pPr>
        <w:pStyle w:val="ListParagraph"/>
        <w:numPr>
          <w:ilvl w:val="0"/>
          <w:numId w:val="31"/>
        </w:numPr>
      </w:pPr>
      <w:r>
        <w:t xml:space="preserve">This action </w:t>
      </w:r>
      <w:r w:rsidR="00B91432">
        <w:t xml:space="preserve">specifies EPA’s expected </w:t>
      </w:r>
      <w:r>
        <w:t>minimum reporting requirements for mobile sources</w:t>
      </w:r>
      <w:r w:rsidR="00B91432">
        <w:t xml:space="preserve"> model inputs</w:t>
      </w:r>
      <w:r>
        <w:t xml:space="preserve">, which reduces the </w:t>
      </w:r>
      <w:r w:rsidRPr="008116BD">
        <w:t xml:space="preserve">data that states </w:t>
      </w:r>
      <w:r w:rsidR="00B91432">
        <w:t>may believe</w:t>
      </w:r>
      <w:r w:rsidRPr="00B91432" w:rsidR="00B91432">
        <w:t xml:space="preserve"> </w:t>
      </w:r>
      <w:r w:rsidR="00B91432">
        <w:t>that EPA expects to be</w:t>
      </w:r>
      <w:r w:rsidRPr="008116BD" w:rsidR="00B91432">
        <w:t xml:space="preserve"> report</w:t>
      </w:r>
      <w:r w:rsidR="00B91432">
        <w:t>ed under the current AERR that lacks such specificity</w:t>
      </w:r>
      <w:r w:rsidRPr="008116BD">
        <w:t>.</w:t>
      </w:r>
    </w:p>
    <w:p w:rsidR="00890489" w:rsidRPr="002C5446" w:rsidP="009E08D8" w14:paraId="20BC730F" w14:textId="77777777"/>
    <w:p w:rsidR="00C3635A" w:rsidP="009E08D8" w14:paraId="1C1141CC" w14:textId="6F1C7B58">
      <w:r>
        <w:rPr>
          <w:b/>
          <w:bCs/>
        </w:rPr>
        <w:t>Source test data.</w:t>
      </w:r>
      <w:r w:rsidR="007816C7">
        <w:t xml:space="preserve"> Source test data are necessary to </w:t>
      </w:r>
      <w:r w:rsidR="00256C40">
        <w:t xml:space="preserve">calculate </w:t>
      </w:r>
      <w:r w:rsidR="007816C7">
        <w:t>emission factors</w:t>
      </w:r>
      <w:r w:rsidR="00256C40">
        <w:t>, which industry, states and EPA</w:t>
      </w:r>
      <w:r w:rsidR="007816C7">
        <w:t xml:space="preserve"> use for calculating emissions</w:t>
      </w:r>
      <w:r w:rsidR="00256C40">
        <w:t xml:space="preserve"> needed to </w:t>
      </w:r>
      <w:r w:rsidR="007816C7">
        <w:t>support the various activities based on the Act as described above. An emissions factor can be used to estimate air pollutant emissions from a normally operating, point-source process or activity (</w:t>
      </w:r>
      <w:r w:rsidRPr="008E5C9F" w:rsidR="008E5C9F">
        <w:rPr>
          <w:i/>
          <w:iCs/>
        </w:rPr>
        <w:t>e.g.</w:t>
      </w:r>
      <w:r w:rsidR="007816C7">
        <w:t xml:space="preserve">, fuel combustion, chemical production). An emissions factor relates the quantity of pollutants released to the atmosphere from a process to a specific activity associated with generating those emissions. Without emissions factors, the burden for owners/operators and states to report emissions inventories could be higher </w:t>
      </w:r>
      <w:r w:rsidR="00222D58">
        <w:t>and/</w:t>
      </w:r>
      <w:r w:rsidR="007816C7">
        <w:t xml:space="preserve">or the quality of the emissions data would be lower. This proposed action strikes a reasonable balance for burden by requiring electronic reporting of source test data that is already being created based on existing Federal and state requirements to </w:t>
      </w:r>
      <w:r w:rsidR="007816C7">
        <w:t xml:space="preserve">perform those tests. </w:t>
      </w:r>
      <w:r w:rsidR="00861771">
        <w:t>This action does not propose to add source testing requirements other than the use of an electronic form for reporting the results</w:t>
      </w:r>
      <w:r w:rsidR="00256C40">
        <w:t xml:space="preserve"> and provision of test conditions needed to make the information useful for emission factors</w:t>
      </w:r>
      <w:r w:rsidR="00861771">
        <w:t xml:space="preserve">. </w:t>
      </w:r>
      <w:r w:rsidR="007816C7">
        <w:t>Additionally, the proposed action furthers EPA’s implementation of corrective action in response to a review of EPA’s emissions factors program by the National Academy of Sciences and EPA’s Office of Inspector General.</w:t>
      </w:r>
      <w:r>
        <w:rPr>
          <w:rStyle w:val="FootnoteReference"/>
          <w:vertAlign w:val="superscript"/>
        </w:rPr>
        <w:footnoteReference w:id="16"/>
      </w:r>
    </w:p>
    <w:p w:rsidR="003E28BE" w:rsidRPr="00793526" w:rsidP="00877276" w14:paraId="777E74FA" w14:textId="10C9AACF">
      <w:pPr>
        <w:pStyle w:val="Heading1"/>
        <w:rPr>
          <w:rStyle w:val="Strong"/>
          <w:b/>
          <w:bCs w:val="0"/>
        </w:rPr>
      </w:pPr>
      <w:r w:rsidRPr="00793526">
        <w:rPr>
          <w:rStyle w:val="Strong"/>
          <w:b/>
          <w:bCs w:val="0"/>
        </w:rPr>
        <w:t>Explain any special circumstances that would cause an information collection to be conducted in a manner:</w:t>
      </w:r>
    </w:p>
    <w:p w:rsidR="003E28BE" w:rsidRPr="0019684E" w:rsidP="00F17B08" w14:paraId="495A83B8" w14:textId="77777777">
      <w:pPr>
        <w:pStyle w:val="ListParagraph"/>
        <w:numPr>
          <w:ilvl w:val="0"/>
          <w:numId w:val="6"/>
        </w:numPr>
        <w:rPr>
          <w:rStyle w:val="Strong"/>
        </w:rPr>
      </w:pPr>
      <w:r w:rsidRPr="0019684E">
        <w:rPr>
          <w:rStyle w:val="Strong"/>
        </w:rPr>
        <w:t>requiring respondents to report information to the agency more often than quarterly;</w:t>
      </w:r>
    </w:p>
    <w:p w:rsidR="003E28BE" w:rsidRPr="0019684E" w:rsidP="00F17B08" w14:paraId="307C0F13" w14:textId="75BC6F68">
      <w:pPr>
        <w:pStyle w:val="ListParagraph"/>
        <w:numPr>
          <w:ilvl w:val="0"/>
          <w:numId w:val="6"/>
        </w:numPr>
        <w:rPr>
          <w:rStyle w:val="Strong"/>
        </w:rPr>
      </w:pPr>
      <w:r w:rsidRPr="0019684E">
        <w:rPr>
          <w:rStyle w:val="Strong"/>
        </w:rPr>
        <w:t>requiring respondents to prepare a written response to a collection of information in fewer than 30 days after receipt of it;</w:t>
      </w:r>
    </w:p>
    <w:p w:rsidR="003E28BE" w:rsidRPr="0019684E" w:rsidP="00F17B08" w14:paraId="225B0E97" w14:textId="77777777">
      <w:pPr>
        <w:pStyle w:val="ListParagraph"/>
        <w:numPr>
          <w:ilvl w:val="0"/>
          <w:numId w:val="6"/>
        </w:numPr>
        <w:rPr>
          <w:rStyle w:val="Strong"/>
        </w:rPr>
      </w:pPr>
      <w:r w:rsidRPr="0019684E">
        <w:rPr>
          <w:rStyle w:val="Strong"/>
        </w:rPr>
        <w:t>requiring respondents to submit more than an original and two copies of any document;</w:t>
      </w:r>
    </w:p>
    <w:p w:rsidR="003E28BE" w:rsidRPr="0019684E" w:rsidP="00F17B08" w14:paraId="1A4B83A9" w14:textId="77777777">
      <w:pPr>
        <w:pStyle w:val="ListParagraph"/>
        <w:numPr>
          <w:ilvl w:val="0"/>
          <w:numId w:val="6"/>
        </w:numPr>
        <w:rPr>
          <w:rStyle w:val="Strong"/>
        </w:rPr>
      </w:pPr>
      <w:r w:rsidRPr="0019684E">
        <w:rPr>
          <w:rStyle w:val="Strong"/>
        </w:rPr>
        <w:t>requiring respondents to retain records, other than health, medical, government contract, grant-in-aid, or tax records, for more than three years;</w:t>
      </w:r>
    </w:p>
    <w:p w:rsidR="003E28BE" w:rsidRPr="0019684E" w:rsidP="00F17B08" w14:paraId="5E06A4D6" w14:textId="77777777">
      <w:pPr>
        <w:pStyle w:val="ListParagraph"/>
        <w:numPr>
          <w:ilvl w:val="0"/>
          <w:numId w:val="6"/>
        </w:numPr>
        <w:rPr>
          <w:rStyle w:val="Strong"/>
        </w:rPr>
      </w:pPr>
      <w:r w:rsidRPr="0019684E">
        <w:rPr>
          <w:rStyle w:val="Strong"/>
        </w:rPr>
        <w:t>in connection with a statistical survey, that is not designed to produce valid and reliable results that can be generalized to the universe of study;</w:t>
      </w:r>
    </w:p>
    <w:p w:rsidR="003E28BE" w:rsidRPr="0019684E" w:rsidP="00F17B08" w14:paraId="3FEE99A8" w14:textId="77777777">
      <w:pPr>
        <w:pStyle w:val="ListParagraph"/>
        <w:numPr>
          <w:ilvl w:val="0"/>
          <w:numId w:val="6"/>
        </w:numPr>
        <w:rPr>
          <w:rStyle w:val="Strong"/>
        </w:rPr>
      </w:pPr>
      <w:r w:rsidRPr="0019684E">
        <w:rPr>
          <w:rStyle w:val="Strong"/>
        </w:rPr>
        <w:t>requiring the use of a statistical data classification that has not been reviewed and approved by OMB;</w:t>
      </w:r>
    </w:p>
    <w:p w:rsidR="00270FBC" w:rsidRPr="0019684E" w:rsidP="00F17B08" w14:paraId="3D9243DC" w14:textId="77777777">
      <w:pPr>
        <w:pStyle w:val="ListParagraph"/>
        <w:numPr>
          <w:ilvl w:val="0"/>
          <w:numId w:val="6"/>
        </w:numPr>
        <w:rPr>
          <w:rStyle w:val="Strong"/>
        </w:rPr>
      </w:pPr>
      <w:r w:rsidRPr="0019684E">
        <w:rPr>
          <w:rStyle w:val="Strong"/>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70FBC" w:rsidRPr="0019684E" w:rsidP="00F17B08" w14:paraId="2F423700" w14:textId="38B1BE4A">
      <w:pPr>
        <w:pStyle w:val="ListParagraph"/>
        <w:numPr>
          <w:ilvl w:val="0"/>
          <w:numId w:val="6"/>
        </w:numPr>
        <w:rPr>
          <w:rStyle w:val="Strong"/>
        </w:rPr>
      </w:pPr>
      <w:r w:rsidRPr="0019684E">
        <w:rPr>
          <w:rStyle w:val="Strong"/>
        </w:rPr>
        <w:t>requiring respondents to submit proprietary trade secrets, or other confidential information unless the agency can demonstrate that it has instituted procedures to protect the information's confidentiality to the extent permitted by law.</w:t>
      </w:r>
    </w:p>
    <w:p w:rsidR="00270FBC" w:rsidRPr="00C425CF" w:rsidP="009E08D8" w14:paraId="751D10A2" w14:textId="77777777">
      <w:pPr>
        <w:pStyle w:val="ListParagraph"/>
      </w:pPr>
    </w:p>
    <w:p w:rsidR="003E28BE" w:rsidRPr="00793526" w:rsidP="00793526" w14:paraId="1F8BE693" w14:textId="279519C0">
      <w:r>
        <w:t>This ICR does not violate any of OMB's guidelines for information collections.</w:t>
      </w:r>
    </w:p>
    <w:p w:rsidR="00E676D6" w:rsidRPr="00793526" w:rsidP="00877276" w14:paraId="7A2919AB" w14:textId="70E1A804">
      <w:pPr>
        <w:pStyle w:val="Heading1"/>
        <w:rPr>
          <w:rStyle w:val="Strong"/>
          <w:b/>
          <w:bCs w:val="0"/>
        </w:rPr>
      </w:pPr>
      <w:r w:rsidRPr="00793526">
        <w:rPr>
          <w:rStyle w:val="Strong"/>
          <w:b/>
          <w:bCs w:val="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676D6" w:rsidRPr="0019684E" w:rsidP="009E08D8" w14:paraId="15CAAB10" w14:textId="77777777">
      <w:pPr>
        <w:rPr>
          <w:rStyle w:val="Strong"/>
        </w:rPr>
      </w:pPr>
    </w:p>
    <w:p w:rsidR="00E676D6" w:rsidRPr="0019684E" w:rsidP="009E08D8" w14:paraId="1B1134B2" w14:textId="77777777">
      <w:pPr>
        <w:rPr>
          <w:rStyle w:val="Strong"/>
        </w:rPr>
      </w:pPr>
      <w:r w:rsidRPr="0019684E">
        <w:rPr>
          <w:rStyle w:val="Strong"/>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76D6" w:rsidRPr="0019684E" w:rsidP="009E08D8" w14:paraId="7E1F46C2" w14:textId="77777777">
      <w:pPr>
        <w:rPr>
          <w:rStyle w:val="Strong"/>
        </w:rPr>
      </w:pPr>
    </w:p>
    <w:p w:rsidR="00E676D6" w:rsidRPr="0019684E" w:rsidP="009E08D8" w14:paraId="10EA863A" w14:textId="636D75CD">
      <w:pPr>
        <w:rPr>
          <w:rStyle w:val="Strong"/>
        </w:rPr>
      </w:pPr>
      <w:r w:rsidRPr="0019684E">
        <w:rPr>
          <w:rStyle w:val="Strong"/>
        </w:rPr>
        <w:t xml:space="preserve">Consultation with representatives of those from whom information is to be obtained or those who must compile records should occur at least once every 3 years - even if the collection of information </w:t>
      </w:r>
      <w:r w:rsidRPr="0019684E">
        <w:rPr>
          <w:rStyle w:val="Strong"/>
        </w:rPr>
        <w:t>activity is the same as in prior periods. There may be circumstances that may preclude consultation in a specific situation. These circumstances should be explained.</w:t>
      </w:r>
    </w:p>
    <w:p w:rsidR="002C01E6" w:rsidP="009E08D8" w14:paraId="50CAC0DA" w14:textId="77777777">
      <w:pPr>
        <w:rPr>
          <w:rStyle w:val="2ndtier1"/>
        </w:rPr>
      </w:pPr>
    </w:p>
    <w:p w:rsidR="002C01E6" w:rsidRPr="004E12EA" w:rsidP="009E08D8" w14:paraId="193625A0" w14:textId="146CCBBD">
      <w:pPr>
        <w:rPr>
          <w:rStyle w:val="Strong"/>
        </w:rPr>
      </w:pPr>
      <w:r>
        <w:t>As this</w:t>
      </w:r>
      <w:r w:rsidR="00293608">
        <w:t xml:space="preserve"> action is a</w:t>
      </w:r>
      <w:r>
        <w:t xml:space="preserve"> proposed collection, EPA’s efforts to consult with persons outside the agency to obtain their views on the various aspects of the rule are part of the notice-and-comment proposal process. Additionally, </w:t>
      </w:r>
      <w:r w:rsidR="00204E7E">
        <w:t>EPA</w:t>
      </w:r>
      <w:r>
        <w:t xml:space="preserve"> held a SBAR panel as described above and incorporated that information into its cost estimates and proposed collection approach.</w:t>
      </w:r>
    </w:p>
    <w:p w:rsidR="00FB1267" w:rsidRPr="00793526" w:rsidP="00877276" w14:paraId="7B382B61" w14:textId="07D36F98">
      <w:pPr>
        <w:pStyle w:val="Heading1"/>
        <w:rPr>
          <w:rStyle w:val="Strong"/>
          <w:b/>
          <w:bCs w:val="0"/>
        </w:rPr>
      </w:pPr>
      <w:r w:rsidRPr="00793526">
        <w:rPr>
          <w:rStyle w:val="Strong"/>
          <w:b/>
          <w:bCs w:val="0"/>
        </w:rPr>
        <w:t>Explain any decision to provide any payment or gift to respondents, other than remuneration of contractors or grantees.</w:t>
      </w:r>
    </w:p>
    <w:p w:rsidR="00FB1267" w:rsidP="009E08D8" w14:paraId="5C817B51" w14:textId="77777777"/>
    <w:p w:rsidR="00FB1267" w:rsidRPr="00FB1267" w:rsidP="009E08D8" w14:paraId="23D51A8A" w14:textId="6200D42F">
      <w:r>
        <w:t>This information collection does not provide payment or gifts to respondents.</w:t>
      </w:r>
    </w:p>
    <w:p w:rsidR="00FB1267" w:rsidRPr="00C425CF" w:rsidP="009E08D8" w14:paraId="34E5297E" w14:textId="77777777"/>
    <w:p w:rsidR="00FB1267" w:rsidRPr="00793526" w:rsidP="00877276" w14:paraId="567586FC" w14:textId="108B4EEE">
      <w:pPr>
        <w:pStyle w:val="Heading1"/>
        <w:rPr>
          <w:rStyle w:val="Strong"/>
          <w:b/>
          <w:bCs w:val="0"/>
        </w:rPr>
      </w:pPr>
      <w:r w:rsidRPr="00793526">
        <w:rPr>
          <w:rStyle w:val="Strong"/>
          <w:b/>
          <w:bCs w:val="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2C01E6" w:rsidRPr="004E12EA" w:rsidP="009E08D8" w14:paraId="4D4E330E" w14:textId="4736A9F2">
      <w:pPr>
        <w:rPr>
          <w:rStyle w:val="Strong"/>
        </w:rPr>
      </w:pPr>
    </w:p>
    <w:p w:rsidR="004F416F" w:rsidP="00D675CA" w14:paraId="771E8B8E" w14:textId="694C11CB">
      <w:r>
        <w:t>Collection of data through EIS</w:t>
      </w:r>
      <w:r>
        <w:t xml:space="preserve">, </w:t>
      </w:r>
      <w:r>
        <w:t>CAERS</w:t>
      </w:r>
      <w:r>
        <w:t>, and CEDRI</w:t>
      </w:r>
      <w:r>
        <w:t xml:space="preserve"> includes Personal Identifiable Information (PII) for users to register with the CDX. This information is name, role (certifier, preparer, SLT reviewer), work address, work email, and work phone number. </w:t>
      </w:r>
      <w:r w:rsidR="004C7DD2">
        <w:t xml:space="preserve">The </w:t>
      </w:r>
      <w:r>
        <w:t xml:space="preserve">EIS has a SORN and </w:t>
      </w:r>
      <w:r w:rsidR="000C24DA">
        <w:t xml:space="preserve">PIA. </w:t>
      </w:r>
      <w:r>
        <w:t xml:space="preserve">CAERS is built within the CDX and shares its SORN with CDX. CAERS additionally has a PIA and shares the email addresses collected from owners/operators with SLTs using CAERS to collect data from those owners/operators. </w:t>
      </w:r>
    </w:p>
    <w:p w:rsidR="004F416F" w:rsidP="00D675CA" w14:paraId="52BDC7FE" w14:textId="77777777"/>
    <w:p w:rsidR="002C01E6" w:rsidP="009E08D8" w14:paraId="55EBABF6" w14:textId="2076A048">
      <w:r>
        <w:t xml:space="preserve">The remainder of the data collected under the proposed action meet the definition of emission data </w:t>
      </w:r>
      <w:r w:rsidR="00806F2C">
        <w:t xml:space="preserve">as </w:t>
      </w:r>
      <w:r w:rsidRPr="00FC7653" w:rsidR="00806F2C">
        <w:t xml:space="preserve">defined at </w:t>
      </w:r>
      <w:r w:rsidRPr="00FC7653" w:rsidR="00806F2C">
        <w:rPr>
          <w:rStyle w:val="normaltextrun"/>
          <w:rFonts w:eastAsia="Arial"/>
        </w:rPr>
        <w:t>40 CFR 2.301(a)(2)(i)</w:t>
      </w:r>
      <w:r w:rsidR="00806F2C">
        <w:t xml:space="preserve"> </w:t>
      </w:r>
      <w:r>
        <w:t>and are</w:t>
      </w:r>
      <w:r w:rsidR="00FD5204">
        <w:t>,</w:t>
      </w:r>
      <w:r>
        <w:t xml:space="preserve"> therefore</w:t>
      </w:r>
      <w:r w:rsidR="00FD5204">
        <w:t>,</w:t>
      </w:r>
      <w:r>
        <w:t xml:space="preserve"> not subject to confidential treatment.</w:t>
      </w:r>
      <w:r>
        <w:t xml:space="preserve"> </w:t>
      </w:r>
    </w:p>
    <w:p w:rsidR="0012524C" w:rsidRPr="00793526" w:rsidP="00877276" w14:paraId="135A17BD" w14:textId="09271167">
      <w:pPr>
        <w:pStyle w:val="Heading1"/>
        <w:rPr>
          <w:rStyle w:val="Strong"/>
          <w:b/>
          <w:bCs w:val="0"/>
        </w:rPr>
      </w:pPr>
      <w:r w:rsidRPr="00793526">
        <w:rPr>
          <w:rStyle w:val="Strong"/>
          <w:b/>
          <w:bCs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C01E6" w:rsidP="009E08D8" w14:paraId="68E0BB08" w14:textId="77777777">
      <w:pPr>
        <w:rPr>
          <w:rStyle w:val="2ndtier1"/>
        </w:rPr>
      </w:pPr>
    </w:p>
    <w:p w:rsidR="002C01E6" w:rsidP="009E08D8" w14:paraId="10740F74" w14:textId="6AFFFE2F">
      <w:r>
        <w:t>This information collection does not ask any questions concerning sexual behavior or attitudes, religious beliefs, or other matters usually considered private.</w:t>
      </w:r>
      <w:r w:rsidR="00523CED">
        <w:t xml:space="preserve"> </w:t>
      </w:r>
    </w:p>
    <w:p w:rsidR="0012524C" w:rsidRPr="00793526" w:rsidP="00877276" w14:paraId="3C9AA1E6" w14:textId="1ED99410">
      <w:pPr>
        <w:pStyle w:val="Heading1"/>
        <w:rPr>
          <w:rStyle w:val="Strong"/>
          <w:b/>
          <w:bCs w:val="0"/>
        </w:rPr>
      </w:pPr>
      <w:bookmarkStart w:id="5" w:name="_Ref116729894"/>
      <w:r w:rsidRPr="00793526">
        <w:rPr>
          <w:rStyle w:val="Strong"/>
          <w:b/>
          <w:bCs w:val="0"/>
        </w:rPr>
        <w:t>Provide estimates of the hour burden of the collection of information. The statement should:</w:t>
      </w:r>
      <w:bookmarkEnd w:id="5"/>
    </w:p>
    <w:p w:rsidR="0012524C" w:rsidRPr="00BA462C" w:rsidP="00F17B08" w14:paraId="1341BF30" w14:textId="0CD4EBB6">
      <w:pPr>
        <w:pStyle w:val="ListParagraph"/>
        <w:numPr>
          <w:ilvl w:val="0"/>
          <w:numId w:val="7"/>
        </w:numPr>
        <w:rPr>
          <w:rStyle w:val="Strong"/>
        </w:rPr>
      </w:pPr>
      <w:r w:rsidRPr="00BA462C">
        <w:rPr>
          <w:rStyle w:val="Strong"/>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BA462C" w:rsidR="00523CED">
        <w:rPr>
          <w:rStyle w:val="Strong"/>
        </w:rPr>
        <w:t xml:space="preserve"> </w:t>
      </w:r>
      <w:r w:rsidRPr="00BA462C">
        <w:rPr>
          <w:rStyle w:val="Strong"/>
        </w:rPr>
        <w:t xml:space="preserve">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BA462C">
        <w:rPr>
          <w:rStyle w:val="Strong"/>
        </w:rPr>
        <w:t>variance. Generally, estimates should not include burden hours for customary and usual business practices.</w:t>
      </w:r>
    </w:p>
    <w:p w:rsidR="0012524C" w:rsidRPr="00BA462C" w:rsidP="00F17B08" w14:paraId="5C50449D" w14:textId="77777777">
      <w:pPr>
        <w:pStyle w:val="ListParagraph"/>
        <w:numPr>
          <w:ilvl w:val="0"/>
          <w:numId w:val="7"/>
        </w:numPr>
        <w:rPr>
          <w:rStyle w:val="Strong"/>
        </w:rPr>
      </w:pPr>
      <w:r w:rsidRPr="00BA462C">
        <w:rPr>
          <w:rStyle w:val="Strong"/>
        </w:rPr>
        <w:t>If this request for approval covers more than one form, provide separate hour burden estimates for each form and aggregate the hour burdens.</w:t>
      </w:r>
    </w:p>
    <w:p w:rsidR="002C01E6" w:rsidRPr="00861771" w:rsidP="000312F2" w14:paraId="417D0539" w14:textId="0688CAC2">
      <w:pPr>
        <w:pStyle w:val="ListParagraph"/>
        <w:numPr>
          <w:ilvl w:val="0"/>
          <w:numId w:val="7"/>
        </w:numPr>
        <w:rPr>
          <w:rStyle w:val="2ndtier1"/>
        </w:rPr>
      </w:pPr>
      <w:r w:rsidRPr="00BA462C">
        <w:rPr>
          <w:rStyle w:val="Strong"/>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5A6111">
        <w:rPr>
          <w:rStyle w:val="Strong"/>
        </w:rPr>
        <w:br/>
      </w:r>
    </w:p>
    <w:p w:rsidR="005311EA" w:rsidP="009E08D8" w14:paraId="7E052C09" w14:textId="5E1B00BA">
      <w:r w:rsidRPr="00E265D9">
        <w:t xml:space="preserve">The emissions data </w:t>
      </w:r>
      <w:r w:rsidR="00861771">
        <w:t xml:space="preserve">proposed to be required by </w:t>
      </w:r>
      <w:r w:rsidRPr="00E265D9">
        <w:t xml:space="preserve">the </w:t>
      </w:r>
      <w:r w:rsidR="004E6C7D">
        <w:t xml:space="preserve">proposed </w:t>
      </w:r>
      <w:r w:rsidR="0020584C">
        <w:t>AERR</w:t>
      </w:r>
      <w:r w:rsidRPr="00E265D9">
        <w:t xml:space="preserve"> </w:t>
      </w:r>
      <w:r w:rsidR="00861771">
        <w:t xml:space="preserve">revision </w:t>
      </w:r>
      <w:r w:rsidR="00153550">
        <w:t>are</w:t>
      </w:r>
      <w:r w:rsidRPr="00E265D9" w:rsidR="00153550">
        <w:t xml:space="preserve"> </w:t>
      </w:r>
      <w:r w:rsidRPr="00E265D9">
        <w:t xml:space="preserve">submitted by </w:t>
      </w:r>
      <w:r w:rsidR="00DB58B9">
        <w:t>s</w:t>
      </w:r>
      <w:r w:rsidRPr="00E265D9">
        <w:t>tate</w:t>
      </w:r>
      <w:r w:rsidR="00DF2AE5">
        <w:t xml:space="preserve">, </w:t>
      </w:r>
      <w:r w:rsidR="00DB58B9">
        <w:t>t</w:t>
      </w:r>
      <w:r w:rsidR="00DF2AE5">
        <w:t xml:space="preserve">erritorial, </w:t>
      </w:r>
      <w:r w:rsidR="0020584C">
        <w:t xml:space="preserve">local </w:t>
      </w:r>
      <w:r w:rsidRPr="00E265D9">
        <w:t>air pollution control agencies</w:t>
      </w:r>
      <w:r w:rsidR="00B64C3E">
        <w:t xml:space="preserve"> and certain tribes</w:t>
      </w:r>
      <w:r w:rsidR="00C1193C">
        <w:t>.</w:t>
      </w:r>
      <w:r>
        <w:rPr>
          <w:rStyle w:val="FootnoteReference"/>
          <w:vertAlign w:val="superscript"/>
        </w:rPr>
        <w:footnoteReference w:id="17"/>
      </w:r>
      <w:r w:rsidR="00523CED">
        <w:t xml:space="preserve"> </w:t>
      </w:r>
      <w:r w:rsidR="00CB418B">
        <w:t>The affected NAICS code is</w:t>
      </w:r>
      <w:r w:rsidRPr="00E265D9" w:rsidR="00CB418B">
        <w:t xml:space="preserve"> </w:t>
      </w:r>
      <w:r w:rsidR="00CB418B">
        <w:rPr>
          <w:i/>
          <w:iCs/>
        </w:rPr>
        <w:t>924110</w:t>
      </w:r>
      <w:r w:rsidRPr="00E265D9" w:rsidR="00CB418B">
        <w:rPr>
          <w:i/>
          <w:iCs/>
        </w:rPr>
        <w:t xml:space="preserve"> </w:t>
      </w:r>
      <w:r w:rsidR="00CB418B">
        <w:rPr>
          <w:i/>
          <w:iCs/>
        </w:rPr>
        <w:t>–</w:t>
      </w:r>
      <w:r w:rsidRPr="00E265D9" w:rsidR="00CB418B">
        <w:rPr>
          <w:i/>
          <w:iCs/>
        </w:rPr>
        <w:t xml:space="preserve"> A</w:t>
      </w:r>
      <w:r w:rsidR="00CB418B">
        <w:rPr>
          <w:i/>
          <w:iCs/>
        </w:rPr>
        <w:t>dministration of A</w:t>
      </w:r>
      <w:r w:rsidRPr="00E265D9" w:rsidR="00CB418B">
        <w:rPr>
          <w:i/>
          <w:iCs/>
        </w:rPr>
        <w:t>ir and Water Resource</w:t>
      </w:r>
      <w:r w:rsidR="00CB418B">
        <w:rPr>
          <w:i/>
          <w:iCs/>
        </w:rPr>
        <w:t>s</w:t>
      </w:r>
      <w:r w:rsidRPr="00E265D9" w:rsidR="00CB418B">
        <w:rPr>
          <w:i/>
          <w:iCs/>
        </w:rPr>
        <w:t xml:space="preserve"> and Solid Waste Management</w:t>
      </w:r>
      <w:r w:rsidR="00CB418B">
        <w:rPr>
          <w:i/>
          <w:iCs/>
        </w:rPr>
        <w:t xml:space="preserve"> Programs</w:t>
      </w:r>
      <w:r w:rsidRPr="00E265D9" w:rsidR="00CB418B">
        <w:t xml:space="preserve">, which includes governmental environmental protection and control agencies, and pollution control agencies. </w:t>
      </w:r>
      <w:r w:rsidR="005173BE">
        <w:t xml:space="preserve">To meet requirements of the current AERR, states require owners/operators to submit data to the state, which the state then submits to EPA. This indirect burden on owners/operators is included in the subsection below to describe burden for owners/operators. </w:t>
      </w:r>
    </w:p>
    <w:p w:rsidR="005311EA" w:rsidP="009E08D8" w14:paraId="29028A1A" w14:textId="77777777"/>
    <w:p w:rsidR="00CB418B" w:rsidP="009E08D8" w14:paraId="7B107799" w14:textId="5EA93309">
      <w:r>
        <w:t xml:space="preserve">With this action, </w:t>
      </w:r>
      <w:r w:rsidR="00204E7E">
        <w:t>EPA</w:t>
      </w:r>
      <w:r>
        <w:t xml:space="preserve"> is additionally proposing to collect </w:t>
      </w:r>
      <w:r w:rsidR="005173BE">
        <w:t xml:space="preserve">certain </w:t>
      </w:r>
      <w:r>
        <w:t xml:space="preserve">data </w:t>
      </w:r>
      <w:r w:rsidR="005173BE">
        <w:t xml:space="preserve">directly </w:t>
      </w:r>
      <w:r>
        <w:t xml:space="preserve">from </w:t>
      </w:r>
      <w:r w:rsidR="0029742D">
        <w:t>owners/operators</w:t>
      </w:r>
      <w:r w:rsidR="005173BE">
        <w:t xml:space="preserve"> for sources that meet the point source emissions thresholds of the proposed action</w:t>
      </w:r>
      <w:r w:rsidR="0029742D">
        <w:t xml:space="preserve">. Further, </w:t>
      </w:r>
      <w:r w:rsidR="00204E7E">
        <w:t>EPA</w:t>
      </w:r>
      <w:r w:rsidR="0029742D">
        <w:t xml:space="preserve"> has estimated costs not only for the first 3-year collection period (from 2024 through 2026), but also for 2027 because some of the key proposed collections would not start until 2027.</w:t>
      </w:r>
      <w:r w:rsidR="00FD4EF3">
        <w:t xml:space="preserve"> </w:t>
      </w:r>
      <w:r w:rsidR="0027358E">
        <w:t>Appendix A</w:t>
      </w:r>
      <w:r w:rsidR="00806F2C">
        <w:t xml:space="preserve"> </w:t>
      </w:r>
      <w:r w:rsidR="00FD4EF3">
        <w:t xml:space="preserve">provides the assumptions and estimated costs for </w:t>
      </w:r>
      <w:r w:rsidR="00CF593C">
        <w:t xml:space="preserve">the </w:t>
      </w:r>
      <w:r w:rsidR="00FD4EF3">
        <w:t xml:space="preserve">period </w:t>
      </w:r>
      <w:r w:rsidR="00806F2C">
        <w:t>after the</w:t>
      </w:r>
      <w:r w:rsidR="00FD4EF3">
        <w:t xml:space="preserve"> 3-year period covered by this I</w:t>
      </w:r>
      <w:r w:rsidR="00806F2C">
        <w:t>CR</w:t>
      </w:r>
      <w:r w:rsidR="00BD0EB8">
        <w:t>.</w:t>
      </w:r>
    </w:p>
    <w:p w:rsidR="00CB418B" w:rsidP="009E08D8" w14:paraId="5E1A2E29" w14:textId="1D100B37"/>
    <w:p w:rsidR="008F3F88" w:rsidRPr="00C44F5A" w:rsidP="00877276" w14:paraId="75F955C5" w14:textId="49229330">
      <w:pPr>
        <w:pStyle w:val="Heading2"/>
        <w:tabs>
          <w:tab w:val="clear" w:pos="422"/>
        </w:tabs>
        <w:rPr>
          <w:rStyle w:val="Strong"/>
          <w:b/>
          <w:bCs w:val="0"/>
        </w:rPr>
      </w:pPr>
      <w:r w:rsidRPr="00C44F5A">
        <w:rPr>
          <w:rStyle w:val="Strong"/>
          <w:b/>
          <w:bCs w:val="0"/>
        </w:rPr>
        <w:t xml:space="preserve">Labor </w:t>
      </w:r>
      <w:r w:rsidR="009834D2">
        <w:rPr>
          <w:rStyle w:val="Strong"/>
          <w:b/>
          <w:bCs w:val="0"/>
        </w:rPr>
        <w:t>c</w:t>
      </w:r>
      <w:r w:rsidRPr="00C44F5A">
        <w:rPr>
          <w:rStyle w:val="Strong"/>
          <w:b/>
          <w:bCs w:val="0"/>
        </w:rPr>
        <w:t xml:space="preserve">ost </w:t>
      </w:r>
      <w:r w:rsidR="009834D2">
        <w:rPr>
          <w:rStyle w:val="Strong"/>
          <w:b/>
          <w:bCs w:val="0"/>
        </w:rPr>
        <w:t>a</w:t>
      </w:r>
      <w:r w:rsidRPr="00C44F5A">
        <w:rPr>
          <w:rStyle w:val="Strong"/>
          <w:b/>
          <w:bCs w:val="0"/>
        </w:rPr>
        <w:t>ssumptions</w:t>
      </w:r>
    </w:p>
    <w:p w:rsidR="008F3F88" w:rsidP="00C44F5A" w14:paraId="150B4759" w14:textId="5DCD5663">
      <w:r>
        <w:t>For this ICR, labor rates were developed using the</w:t>
      </w:r>
      <w:r w:rsidRPr="00C43212">
        <w:t xml:space="preserve"> U.S. Department of Labor, Bureau of Labor Statistics </w:t>
      </w:r>
      <w:r>
        <w:t>W</w:t>
      </w:r>
      <w:r w:rsidRPr="00C43212">
        <w:t>eb site</w:t>
      </w:r>
      <w:r>
        <w:t xml:space="preserve"> as of May 2021 as accessed in March 2022. </w:t>
      </w:r>
      <w:r w:rsidR="00221F91">
        <w:t xml:space="preserve">Hence, the labor costs assessed in this report are in 2021 dollars. </w:t>
      </w:r>
      <w:r w:rsidRPr="00E52435" w:rsidR="00E52435">
        <w:fldChar w:fldCharType="begin"/>
      </w:r>
      <w:r w:rsidRPr="00E52435" w:rsidR="00E52435">
        <w:instrText xml:space="preserve"> REF _Ref105773060 \h  \* MERGEFORMAT </w:instrText>
      </w:r>
      <w:r w:rsidRPr="00E52435" w:rsidR="00E52435">
        <w:fldChar w:fldCharType="separate"/>
      </w:r>
      <w:r w:rsidRPr="0020098E" w:rsidR="00646F0F">
        <w:t xml:space="preserve">Table </w:t>
      </w:r>
      <w:r w:rsidR="00646F0F">
        <w:rPr>
          <w:noProof/>
        </w:rPr>
        <w:t>1</w:t>
      </w:r>
      <w:r w:rsidRPr="00E52435" w:rsidR="00E52435">
        <w:fldChar w:fldCharType="end"/>
      </w:r>
      <w:r>
        <w:t xml:space="preserve"> below provides the rates for state government as well as the rates for industries. An overhead rate of 1</w:t>
      </w:r>
      <w:r w:rsidR="007D6009">
        <w:t>10</w:t>
      </w:r>
      <w:r>
        <w:t xml:space="preserve"> percent was applied to all rates to derive the loaded rates (</w:t>
      </w:r>
      <w:r w:rsidRPr="008E5C9F" w:rsidR="008E5C9F">
        <w:rPr>
          <w:i/>
        </w:rPr>
        <w:t>i.e.</w:t>
      </w:r>
      <w:r>
        <w:t xml:space="preserve">, including </w:t>
      </w:r>
      <w:r w:rsidR="00221F91">
        <w:t xml:space="preserve">fringe </w:t>
      </w:r>
      <w:r>
        <w:t>benefits) to be used in the cost estimates.</w:t>
      </w:r>
      <w:r w:rsidR="00C66E77">
        <w:t xml:space="preserve"> This is consistent with ICRs prepared for other EPA rulemakings. </w:t>
      </w:r>
    </w:p>
    <w:p w:rsidR="00E52435" w:rsidP="00E52435" w14:paraId="31ED227D" w14:textId="77777777"/>
    <w:p w:rsidR="00E52435" w:rsidRPr="00034AD4" w:rsidP="00E52435" w14:paraId="6488A874" w14:textId="57C1E44F">
      <w:pPr>
        <w:pStyle w:val="Caption"/>
      </w:pPr>
      <w:bookmarkStart w:id="6" w:name="_Ref105773060"/>
      <w:r w:rsidRPr="0020098E">
        <w:t xml:space="preserve">Table </w:t>
      </w:r>
      <w:r w:rsidR="00E05ECE">
        <w:fldChar w:fldCharType="begin"/>
      </w:r>
      <w:r w:rsidR="00E05ECE">
        <w:instrText xml:space="preserve"> SEQ Table \* ARABIC </w:instrText>
      </w:r>
      <w:r w:rsidR="00E05ECE">
        <w:fldChar w:fldCharType="separate"/>
      </w:r>
      <w:r w:rsidR="00646F0F">
        <w:rPr>
          <w:noProof/>
        </w:rPr>
        <w:t>1</w:t>
      </w:r>
      <w:r w:rsidR="00E05ECE">
        <w:rPr>
          <w:noProof/>
        </w:rPr>
        <w:fldChar w:fldCharType="end"/>
      </w:r>
      <w:bookmarkEnd w:id="6"/>
      <w:r w:rsidRPr="00E52435">
        <w:rPr>
          <w:b/>
          <w:bCs/>
        </w:rPr>
        <w:t>:</w:t>
      </w:r>
      <w:r>
        <w:t xml:space="preserve"> Labor rates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1347"/>
        <w:gridCol w:w="849"/>
        <w:gridCol w:w="1022"/>
        <w:gridCol w:w="4334"/>
      </w:tblGrid>
      <w:tr w14:paraId="649AFE14" w14:textId="77777777" w:rsidTr="00E5243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blHeader/>
        </w:trPr>
        <w:tc>
          <w:tcPr>
            <w:tcW w:w="1983" w:type="dxa"/>
            <w:shd w:val="clear" w:color="auto" w:fill="auto"/>
            <w:noWrap/>
            <w:vAlign w:val="center"/>
            <w:hideMark/>
          </w:tcPr>
          <w:p w:rsidR="008F3F88" w:rsidRPr="004E6C7D" w:rsidP="00E52435" w14:paraId="6CBCDB06" w14:textId="329F6B8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4E6C7D">
              <w:rPr>
                <w:b/>
                <w:bCs/>
                <w:color w:val="000000"/>
              </w:rPr>
              <w:t>Employee Type</w:t>
            </w:r>
          </w:p>
        </w:tc>
        <w:tc>
          <w:tcPr>
            <w:tcW w:w="1347" w:type="dxa"/>
            <w:shd w:val="clear" w:color="auto" w:fill="auto"/>
            <w:noWrap/>
            <w:vAlign w:val="center"/>
            <w:hideMark/>
          </w:tcPr>
          <w:p w:rsidR="008F3F88" w:rsidRPr="004E6C7D" w:rsidP="00E52435" w14:paraId="242B702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4E6C7D">
              <w:rPr>
                <w:b/>
                <w:bCs/>
                <w:color w:val="000000"/>
              </w:rPr>
              <w:t>Employer</w:t>
            </w:r>
          </w:p>
        </w:tc>
        <w:tc>
          <w:tcPr>
            <w:tcW w:w="849" w:type="dxa"/>
            <w:shd w:val="clear" w:color="auto" w:fill="auto"/>
            <w:vAlign w:val="center"/>
            <w:hideMark/>
          </w:tcPr>
          <w:p w:rsidR="008F3F88" w:rsidRPr="004E6C7D" w:rsidP="00E52435" w14:paraId="3179CB67" w14:textId="0BC3F29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4E6C7D">
              <w:rPr>
                <w:b/>
                <w:bCs/>
                <w:color w:val="000000"/>
              </w:rPr>
              <w:t>Mean Hourly Wage</w:t>
            </w:r>
          </w:p>
        </w:tc>
        <w:tc>
          <w:tcPr>
            <w:tcW w:w="1022" w:type="dxa"/>
            <w:shd w:val="clear" w:color="auto" w:fill="auto"/>
            <w:vAlign w:val="center"/>
            <w:hideMark/>
          </w:tcPr>
          <w:p w:rsidR="008F3F88" w:rsidRPr="004E6C7D" w:rsidP="00E52435" w14:paraId="287CFC5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4E6C7D">
              <w:rPr>
                <w:b/>
                <w:bCs/>
                <w:color w:val="000000"/>
              </w:rPr>
              <w:t>Loaded Hourly Rate</w:t>
            </w:r>
          </w:p>
        </w:tc>
        <w:tc>
          <w:tcPr>
            <w:tcW w:w="4334" w:type="dxa"/>
            <w:shd w:val="clear" w:color="auto" w:fill="auto"/>
            <w:noWrap/>
            <w:vAlign w:val="center"/>
            <w:hideMark/>
          </w:tcPr>
          <w:p w:rsidR="008F3F88" w:rsidRPr="004E6C7D" w:rsidP="00E52435" w14:paraId="5DE9923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4E6C7D">
              <w:rPr>
                <w:b/>
                <w:bCs/>
                <w:color w:val="000000"/>
              </w:rPr>
              <w:t>Source</w:t>
            </w:r>
          </w:p>
        </w:tc>
      </w:tr>
      <w:tr w14:paraId="1EE3EC14" w14:textId="77777777" w:rsidTr="008F3F88">
        <w:tblPrEx>
          <w:tblW w:w="9535" w:type="dxa"/>
          <w:tblLook w:val="04A0"/>
        </w:tblPrEx>
        <w:trPr>
          <w:trHeight w:val="290"/>
        </w:trPr>
        <w:tc>
          <w:tcPr>
            <w:tcW w:w="1983" w:type="dxa"/>
            <w:shd w:val="clear" w:color="auto" w:fill="auto"/>
            <w:noWrap/>
            <w:vAlign w:val="center"/>
            <w:hideMark/>
          </w:tcPr>
          <w:p w:rsidR="007D6009" w:rsidRPr="004E6C7D" w:rsidP="007D6009" w14:paraId="291224A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Environmental Engineer</w:t>
            </w:r>
          </w:p>
        </w:tc>
        <w:tc>
          <w:tcPr>
            <w:tcW w:w="1347" w:type="dxa"/>
            <w:shd w:val="clear" w:color="auto" w:fill="auto"/>
            <w:noWrap/>
            <w:vAlign w:val="center"/>
            <w:hideMark/>
          </w:tcPr>
          <w:p w:rsidR="007D6009" w:rsidRPr="004E6C7D" w:rsidP="007D6009" w14:paraId="3814D6E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State Government</w:t>
            </w:r>
          </w:p>
        </w:tc>
        <w:tc>
          <w:tcPr>
            <w:tcW w:w="849" w:type="dxa"/>
            <w:shd w:val="clear" w:color="auto" w:fill="auto"/>
            <w:noWrap/>
            <w:vAlign w:val="center"/>
            <w:hideMark/>
          </w:tcPr>
          <w:p w:rsidR="007D6009" w:rsidRPr="004E6C7D" w:rsidP="007D6009" w14:paraId="128583FC" w14:textId="74086EC0">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$43.25</w:t>
            </w:r>
          </w:p>
        </w:tc>
        <w:tc>
          <w:tcPr>
            <w:tcW w:w="1022" w:type="dxa"/>
            <w:shd w:val="clear" w:color="auto" w:fill="auto"/>
            <w:noWrap/>
            <w:vAlign w:val="center"/>
            <w:hideMark/>
          </w:tcPr>
          <w:p w:rsidR="007D6009" w:rsidRPr="004E6C7D" w:rsidP="007D6009" w14:paraId="27251E22" w14:textId="698B3B0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 xml:space="preserve">$90.83 </w:t>
            </w:r>
          </w:p>
        </w:tc>
        <w:tc>
          <w:tcPr>
            <w:tcW w:w="4334" w:type="dxa"/>
            <w:shd w:val="clear" w:color="auto" w:fill="auto"/>
            <w:noWrap/>
            <w:vAlign w:val="center"/>
            <w:hideMark/>
          </w:tcPr>
          <w:p w:rsidR="007D6009" w:rsidRPr="004E6C7D" w:rsidP="007D6009" w14:paraId="5601D20C" w14:textId="31A2F8F0">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https://www.bls.gov/oes/current/naics4_</w:t>
            </w:r>
            <w:r w:rsidRPr="004E6C7D">
              <w:rPr>
                <w:color w:val="000000"/>
              </w:rPr>
              <w:br/>
              <w:t>999200.htm#17-0000</w:t>
            </w:r>
          </w:p>
        </w:tc>
      </w:tr>
      <w:tr w14:paraId="6048A4BB" w14:textId="77777777" w:rsidTr="008F3F88">
        <w:tblPrEx>
          <w:tblW w:w="9535" w:type="dxa"/>
          <w:tblLook w:val="04A0"/>
        </w:tblPrEx>
        <w:trPr>
          <w:trHeight w:val="290"/>
        </w:trPr>
        <w:tc>
          <w:tcPr>
            <w:tcW w:w="1983" w:type="dxa"/>
            <w:shd w:val="clear" w:color="auto" w:fill="auto"/>
            <w:noWrap/>
            <w:vAlign w:val="center"/>
            <w:hideMark/>
          </w:tcPr>
          <w:p w:rsidR="007D6009" w:rsidRPr="004E6C7D" w:rsidP="007D6009" w14:paraId="28E48D5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Architectural and Engineering Managers</w:t>
            </w:r>
          </w:p>
        </w:tc>
        <w:tc>
          <w:tcPr>
            <w:tcW w:w="1347" w:type="dxa"/>
            <w:shd w:val="clear" w:color="auto" w:fill="auto"/>
            <w:noWrap/>
            <w:vAlign w:val="center"/>
            <w:hideMark/>
          </w:tcPr>
          <w:p w:rsidR="007D6009" w:rsidRPr="004E6C7D" w:rsidP="007D6009" w14:paraId="630E0BE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State Government</w:t>
            </w:r>
          </w:p>
        </w:tc>
        <w:tc>
          <w:tcPr>
            <w:tcW w:w="849" w:type="dxa"/>
            <w:shd w:val="clear" w:color="auto" w:fill="auto"/>
            <w:noWrap/>
            <w:vAlign w:val="center"/>
            <w:hideMark/>
          </w:tcPr>
          <w:p w:rsidR="007D6009" w:rsidRPr="004E6C7D" w:rsidP="007D6009" w14:paraId="2CEC8972" w14:textId="1122E06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$56.64</w:t>
            </w:r>
          </w:p>
        </w:tc>
        <w:tc>
          <w:tcPr>
            <w:tcW w:w="1022" w:type="dxa"/>
            <w:shd w:val="clear" w:color="auto" w:fill="auto"/>
            <w:noWrap/>
            <w:vAlign w:val="center"/>
            <w:hideMark/>
          </w:tcPr>
          <w:p w:rsidR="007D6009" w:rsidRPr="004E6C7D" w:rsidP="007D6009" w14:paraId="0961A80B" w14:textId="0F065D8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 xml:space="preserve">$118.94 </w:t>
            </w:r>
          </w:p>
        </w:tc>
        <w:tc>
          <w:tcPr>
            <w:tcW w:w="4334" w:type="dxa"/>
            <w:shd w:val="clear" w:color="auto" w:fill="auto"/>
            <w:noWrap/>
            <w:vAlign w:val="center"/>
            <w:hideMark/>
          </w:tcPr>
          <w:p w:rsidR="007D6009" w:rsidRPr="004E6C7D" w:rsidP="007D6009" w14:paraId="0278685F" w14:textId="5434E24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https://www.bls.gov/oes/current/naics4_</w:t>
            </w:r>
            <w:r w:rsidRPr="004E6C7D">
              <w:rPr>
                <w:color w:val="000000"/>
              </w:rPr>
              <w:br/>
              <w:t>999200.htm#17-0000</w:t>
            </w:r>
          </w:p>
        </w:tc>
      </w:tr>
      <w:tr w14:paraId="3DE8EE8A" w14:textId="77777777" w:rsidTr="008F3F88">
        <w:tblPrEx>
          <w:tblW w:w="9535" w:type="dxa"/>
          <w:tblLook w:val="04A0"/>
        </w:tblPrEx>
        <w:trPr>
          <w:trHeight w:val="290"/>
        </w:trPr>
        <w:tc>
          <w:tcPr>
            <w:tcW w:w="1983" w:type="dxa"/>
            <w:shd w:val="clear" w:color="auto" w:fill="auto"/>
            <w:noWrap/>
            <w:vAlign w:val="center"/>
            <w:hideMark/>
          </w:tcPr>
          <w:p w:rsidR="007D6009" w:rsidRPr="004E6C7D" w:rsidP="007D6009" w14:paraId="5DE477D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Network and Computer Systems Administrator</w:t>
            </w:r>
          </w:p>
        </w:tc>
        <w:tc>
          <w:tcPr>
            <w:tcW w:w="1347" w:type="dxa"/>
            <w:shd w:val="clear" w:color="auto" w:fill="auto"/>
            <w:noWrap/>
            <w:vAlign w:val="center"/>
            <w:hideMark/>
          </w:tcPr>
          <w:p w:rsidR="007D6009" w:rsidRPr="004E6C7D" w:rsidP="007D6009" w14:paraId="20D594A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State Government</w:t>
            </w:r>
          </w:p>
        </w:tc>
        <w:tc>
          <w:tcPr>
            <w:tcW w:w="849" w:type="dxa"/>
            <w:shd w:val="clear" w:color="auto" w:fill="auto"/>
            <w:noWrap/>
            <w:vAlign w:val="center"/>
            <w:hideMark/>
          </w:tcPr>
          <w:p w:rsidR="007D6009" w:rsidRPr="004E6C7D" w:rsidP="007D6009" w14:paraId="3CB36FBA" w14:textId="6796B0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$38.58</w:t>
            </w:r>
          </w:p>
        </w:tc>
        <w:tc>
          <w:tcPr>
            <w:tcW w:w="1022" w:type="dxa"/>
            <w:shd w:val="clear" w:color="auto" w:fill="auto"/>
            <w:noWrap/>
            <w:vAlign w:val="center"/>
            <w:hideMark/>
          </w:tcPr>
          <w:p w:rsidR="007D6009" w:rsidRPr="004E6C7D" w:rsidP="007D6009" w14:paraId="4AD215DA" w14:textId="2C38461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 xml:space="preserve">$81.02 </w:t>
            </w:r>
          </w:p>
        </w:tc>
        <w:tc>
          <w:tcPr>
            <w:tcW w:w="4334" w:type="dxa"/>
            <w:shd w:val="clear" w:color="auto" w:fill="auto"/>
            <w:noWrap/>
            <w:vAlign w:val="center"/>
            <w:hideMark/>
          </w:tcPr>
          <w:p w:rsidR="007D6009" w:rsidRPr="004E6C7D" w:rsidP="007D6009" w14:paraId="789D1985" w14:textId="0BD9CED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https://www.bls.gov/oes/current/naics4_</w:t>
            </w:r>
            <w:r w:rsidRPr="004E6C7D">
              <w:rPr>
                <w:color w:val="000000"/>
              </w:rPr>
              <w:br/>
              <w:t>999200.htm#17-0000</w:t>
            </w:r>
          </w:p>
        </w:tc>
      </w:tr>
      <w:tr w14:paraId="043D87E5" w14:textId="77777777" w:rsidTr="008F3F88">
        <w:tblPrEx>
          <w:tblW w:w="9535" w:type="dxa"/>
          <w:tblLook w:val="04A0"/>
        </w:tblPrEx>
        <w:trPr>
          <w:trHeight w:val="290"/>
        </w:trPr>
        <w:tc>
          <w:tcPr>
            <w:tcW w:w="1983" w:type="dxa"/>
            <w:shd w:val="clear" w:color="auto" w:fill="auto"/>
            <w:noWrap/>
            <w:vAlign w:val="center"/>
            <w:hideMark/>
          </w:tcPr>
          <w:p w:rsidR="007D6009" w:rsidRPr="004E6C7D" w:rsidP="007D6009" w14:paraId="2C13FB4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Environmental Engineer</w:t>
            </w:r>
          </w:p>
        </w:tc>
        <w:tc>
          <w:tcPr>
            <w:tcW w:w="1347" w:type="dxa"/>
            <w:shd w:val="clear" w:color="auto" w:fill="auto"/>
            <w:noWrap/>
            <w:vAlign w:val="center"/>
            <w:hideMark/>
          </w:tcPr>
          <w:p w:rsidR="007D6009" w:rsidRPr="004E6C7D" w:rsidP="007D6009" w14:paraId="159B8FC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Any</w:t>
            </w:r>
          </w:p>
        </w:tc>
        <w:tc>
          <w:tcPr>
            <w:tcW w:w="849" w:type="dxa"/>
            <w:shd w:val="clear" w:color="auto" w:fill="auto"/>
            <w:noWrap/>
            <w:vAlign w:val="center"/>
            <w:hideMark/>
          </w:tcPr>
          <w:p w:rsidR="007D6009" w:rsidRPr="004E6C7D" w:rsidP="007D6009" w14:paraId="0BE7E651" w14:textId="7B2DBF8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$48.18</w:t>
            </w:r>
          </w:p>
        </w:tc>
        <w:tc>
          <w:tcPr>
            <w:tcW w:w="1022" w:type="dxa"/>
            <w:shd w:val="clear" w:color="auto" w:fill="auto"/>
            <w:noWrap/>
            <w:vAlign w:val="center"/>
            <w:hideMark/>
          </w:tcPr>
          <w:p w:rsidR="007D6009" w:rsidRPr="004E6C7D" w:rsidP="007D6009" w14:paraId="5A7B722A" w14:textId="540353F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 xml:space="preserve">$101.18 </w:t>
            </w:r>
          </w:p>
        </w:tc>
        <w:tc>
          <w:tcPr>
            <w:tcW w:w="4334" w:type="dxa"/>
            <w:shd w:val="clear" w:color="auto" w:fill="auto"/>
            <w:noWrap/>
            <w:vAlign w:val="center"/>
            <w:hideMark/>
          </w:tcPr>
          <w:p w:rsidR="007D6009" w:rsidRPr="004E6C7D" w:rsidP="007D6009" w14:paraId="4CD78CB3" w14:textId="3DE174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https://www.bls.gov/oes/current/</w:t>
            </w:r>
            <w:r w:rsidRPr="004E6C7D">
              <w:rPr>
                <w:color w:val="000000"/>
              </w:rPr>
              <w:br/>
              <w:t>oes172081.htm</w:t>
            </w:r>
          </w:p>
        </w:tc>
      </w:tr>
      <w:tr w14:paraId="46986DCF" w14:textId="77777777" w:rsidTr="008F3F88">
        <w:tblPrEx>
          <w:tblW w:w="9535" w:type="dxa"/>
          <w:tblLook w:val="04A0"/>
        </w:tblPrEx>
        <w:trPr>
          <w:trHeight w:val="300"/>
        </w:trPr>
        <w:tc>
          <w:tcPr>
            <w:tcW w:w="1983" w:type="dxa"/>
            <w:shd w:val="clear" w:color="auto" w:fill="auto"/>
            <w:noWrap/>
            <w:vAlign w:val="center"/>
            <w:hideMark/>
          </w:tcPr>
          <w:p w:rsidR="007D6009" w:rsidRPr="004E6C7D" w:rsidP="007D6009" w14:paraId="4793200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Architectural and Engineering Managers</w:t>
            </w:r>
          </w:p>
        </w:tc>
        <w:tc>
          <w:tcPr>
            <w:tcW w:w="1347" w:type="dxa"/>
            <w:shd w:val="clear" w:color="auto" w:fill="auto"/>
            <w:noWrap/>
            <w:vAlign w:val="center"/>
            <w:hideMark/>
          </w:tcPr>
          <w:p w:rsidR="007D6009" w:rsidRPr="004E6C7D" w:rsidP="007D6009" w14:paraId="723F889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Any</w:t>
            </w:r>
          </w:p>
        </w:tc>
        <w:tc>
          <w:tcPr>
            <w:tcW w:w="849" w:type="dxa"/>
            <w:shd w:val="clear" w:color="auto" w:fill="auto"/>
            <w:noWrap/>
            <w:vAlign w:val="center"/>
            <w:hideMark/>
          </w:tcPr>
          <w:p w:rsidR="007D6009" w:rsidRPr="004E6C7D" w:rsidP="007D6009" w14:paraId="0A68454E" w14:textId="03DE8C3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4E6C7D">
              <w:rPr>
                <w:color w:val="000000"/>
              </w:rPr>
              <w:t>$76.43</w:t>
            </w:r>
          </w:p>
        </w:tc>
        <w:tc>
          <w:tcPr>
            <w:tcW w:w="1022" w:type="dxa"/>
            <w:shd w:val="clear" w:color="auto" w:fill="auto"/>
            <w:noWrap/>
            <w:vAlign w:val="center"/>
            <w:hideMark/>
          </w:tcPr>
          <w:p w:rsidR="007D6009" w:rsidRPr="004E6C7D" w:rsidP="007D6009" w14:paraId="5D376E37" w14:textId="178CBE5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 xml:space="preserve">$160.50 </w:t>
            </w:r>
          </w:p>
        </w:tc>
        <w:tc>
          <w:tcPr>
            <w:tcW w:w="4334" w:type="dxa"/>
            <w:shd w:val="clear" w:color="auto" w:fill="auto"/>
            <w:noWrap/>
            <w:vAlign w:val="center"/>
            <w:hideMark/>
          </w:tcPr>
          <w:p w:rsidR="007D6009" w:rsidRPr="004E6C7D" w:rsidP="007D6009" w14:paraId="328C2C9E" w14:textId="624A8A3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4E6C7D">
              <w:rPr>
                <w:color w:val="000000"/>
              </w:rPr>
              <w:t>https://www.bls.gov/oes/current/</w:t>
            </w:r>
            <w:r w:rsidRPr="004E6C7D">
              <w:rPr>
                <w:color w:val="000000"/>
              </w:rPr>
              <w:br/>
              <w:t>oes119041.htm</w:t>
            </w:r>
          </w:p>
        </w:tc>
      </w:tr>
    </w:tbl>
    <w:p w:rsidR="008F3F88" w:rsidP="009E08D8" w14:paraId="0CDF84E1" w14:textId="7EA759AB"/>
    <w:p w:rsidR="0029742D" w:rsidRPr="00C44F5A" w:rsidP="00025EF1" w14:paraId="2F5D92E0" w14:textId="0E48DD17">
      <w:pPr>
        <w:pStyle w:val="Heading2"/>
        <w:tabs>
          <w:tab w:val="clear" w:pos="422"/>
        </w:tabs>
        <w:rPr>
          <w:rStyle w:val="Strong"/>
          <w:b/>
          <w:bCs w:val="0"/>
        </w:rPr>
      </w:pPr>
      <w:bookmarkStart w:id="7" w:name="_Ref116674317"/>
      <w:r w:rsidRPr="00C44F5A">
        <w:rPr>
          <w:rStyle w:val="Strong"/>
          <w:b/>
          <w:bCs w:val="0"/>
        </w:rPr>
        <w:t>Number of s</w:t>
      </w:r>
      <w:r w:rsidRPr="00C44F5A" w:rsidR="00A034CE">
        <w:rPr>
          <w:rStyle w:val="Strong"/>
          <w:b/>
          <w:bCs w:val="0"/>
        </w:rPr>
        <w:t xml:space="preserve">tate, local, and tribal </w:t>
      </w:r>
      <w:r w:rsidRPr="00C44F5A" w:rsidR="00BA462C">
        <w:rPr>
          <w:rStyle w:val="Strong"/>
          <w:b/>
          <w:bCs w:val="0"/>
        </w:rPr>
        <w:t xml:space="preserve">(SLT) </w:t>
      </w:r>
      <w:r w:rsidRPr="00C44F5A" w:rsidR="00A034CE">
        <w:rPr>
          <w:rStyle w:val="Strong"/>
          <w:b/>
          <w:bCs w:val="0"/>
        </w:rPr>
        <w:t>respondents</w:t>
      </w:r>
      <w:bookmarkEnd w:id="7"/>
    </w:p>
    <w:p w:rsidR="00A034CE" w:rsidP="009E08D8" w14:paraId="7EC7D78E" w14:textId="7DDCF1A9">
      <w:r w:rsidRPr="00E265D9">
        <w:t>Under the</w:t>
      </w:r>
      <w:r>
        <w:t xml:space="preserve"> </w:t>
      </w:r>
      <w:r w:rsidR="00C65696">
        <w:t xml:space="preserve">proposed </w:t>
      </w:r>
      <w:r w:rsidR="0020584C">
        <w:t>A</w:t>
      </w:r>
      <w:r w:rsidRPr="00E265D9">
        <w:t>ERR, 5</w:t>
      </w:r>
      <w:r w:rsidR="00B065A4">
        <w:t>4</w:t>
      </w:r>
      <w:r w:rsidRPr="00E265D9">
        <w:t xml:space="preserve"> </w:t>
      </w:r>
      <w:r w:rsidR="00DB58B9">
        <w:t>s</w:t>
      </w:r>
      <w:r w:rsidRPr="00E265D9">
        <w:t>tate</w:t>
      </w:r>
      <w:r w:rsidR="00C65696">
        <w:t>s</w:t>
      </w:r>
      <w:r w:rsidRPr="00E265D9">
        <w:t xml:space="preserve"> </w:t>
      </w:r>
      <w:r w:rsidR="00C65696">
        <w:t>(including</w:t>
      </w:r>
      <w:r w:rsidR="00B965FD">
        <w:t xml:space="preserve"> the District of Columbia and 3</w:t>
      </w:r>
      <w:r w:rsidRPr="00E265D9" w:rsidR="00B965FD">
        <w:t xml:space="preserve"> </w:t>
      </w:r>
      <w:r w:rsidR="00B965FD">
        <w:t>t</w:t>
      </w:r>
      <w:r w:rsidRPr="00E265D9" w:rsidR="00B965FD">
        <w:t>erritori</w:t>
      </w:r>
      <w:r w:rsidR="00B965FD">
        <w:t>es</w:t>
      </w:r>
      <w:r w:rsidR="00C65696">
        <w:t>)</w:t>
      </w:r>
      <w:r w:rsidRPr="00E265D9">
        <w:t xml:space="preserve"> </w:t>
      </w:r>
      <w:r w:rsidR="0020584C">
        <w:t>and</w:t>
      </w:r>
      <w:r>
        <w:t xml:space="preserve">, depending on the </w:t>
      </w:r>
      <w:r w:rsidR="00286413">
        <w:t xml:space="preserve">reporting </w:t>
      </w:r>
      <w:r>
        <w:t>year</w:t>
      </w:r>
      <w:r w:rsidR="00286413">
        <w:t xml:space="preserve"> being annual or triennial</w:t>
      </w:r>
      <w:r>
        <w:t>, additionally</w:t>
      </w:r>
      <w:r w:rsidRPr="00E265D9">
        <w:t xml:space="preserve"> </w:t>
      </w:r>
      <w:r w:rsidR="001B5C69">
        <w:t xml:space="preserve">between </w:t>
      </w:r>
      <w:r w:rsidR="0065043C">
        <w:t>2</w:t>
      </w:r>
      <w:r w:rsidR="001B5C69">
        <w:t xml:space="preserve">3 and 31 </w:t>
      </w:r>
      <w:r w:rsidRPr="00E265D9">
        <w:t xml:space="preserve">local </w:t>
      </w:r>
      <w:r w:rsidR="001B5C69">
        <w:t xml:space="preserve">and tribal </w:t>
      </w:r>
      <w:r w:rsidRPr="00E265D9">
        <w:t xml:space="preserve">air agencies </w:t>
      </w:r>
      <w:r w:rsidR="00C65696">
        <w:t>would be</w:t>
      </w:r>
      <w:r w:rsidRPr="00E265D9">
        <w:t xml:space="preserve"> subject to the national reporting requirements</w:t>
      </w:r>
      <w:r>
        <w:t xml:space="preserve">. </w:t>
      </w:r>
      <w:r w:rsidR="00F80AEA">
        <w:t>For the 202</w:t>
      </w:r>
      <w:r w:rsidR="00897488">
        <w:t>4</w:t>
      </w:r>
      <w:r w:rsidR="00F80AEA">
        <w:t>-2026 period covered by this ICR, t</w:t>
      </w:r>
      <w:r>
        <w:t xml:space="preserve">hese state, local, and tribal (SLT) air pollution control agencies </w:t>
      </w:r>
      <w:r w:rsidR="00F80AEA">
        <w:t>would be</w:t>
      </w:r>
      <w:r w:rsidRPr="00E265D9" w:rsidR="00F80AEA">
        <w:t xml:space="preserve"> </w:t>
      </w:r>
      <w:r w:rsidRPr="00E265D9">
        <w:t>required to compile and report emissions information for large stationary point sources on an annual basis</w:t>
      </w:r>
      <w:r w:rsidR="00DF2AE5">
        <w:t>,</w:t>
      </w:r>
      <w:r w:rsidRPr="00E265D9">
        <w:t xml:space="preserve"> and for smaller point sources, stationary nonpoint and </w:t>
      </w:r>
      <w:r w:rsidR="003B4E99">
        <w:t xml:space="preserve">onroad and nonroad </w:t>
      </w:r>
      <w:r w:rsidRPr="00E265D9">
        <w:t xml:space="preserve">mobile sources on a 3-year basis. </w:t>
      </w:r>
      <w:r w:rsidR="00F80AEA">
        <w:t xml:space="preserve">As described in </w:t>
      </w:r>
      <w:r w:rsidR="008028FF">
        <w:t>Appendix A</w:t>
      </w:r>
      <w:r w:rsidR="00BE69FD">
        <w:t xml:space="preserve"> to this Supporting Statement</w:t>
      </w:r>
      <w:r w:rsidR="00F80AEA">
        <w:t xml:space="preserve">, </w:t>
      </w:r>
      <w:r w:rsidR="00256C40">
        <w:t xml:space="preserve">the AERR proposal includes collection of </w:t>
      </w:r>
      <w:r w:rsidR="008028FF">
        <w:t xml:space="preserve">point sources and prescribed burning reports every year starting with the 2026 inventory year, reported in 2027 and therefore after the period of this ICR. </w:t>
      </w:r>
      <w:r w:rsidR="00B065A4">
        <w:t xml:space="preserve">For certain reporting activities, a fewer number of state, local, or tribal agencies are required to </w:t>
      </w:r>
      <w:r w:rsidR="000742C8">
        <w:t>report,</w:t>
      </w:r>
      <w:r w:rsidR="00B065A4">
        <w:t xml:space="preserve"> or voluntar</w:t>
      </w:r>
      <w:r w:rsidR="003415B1">
        <w:t>il</w:t>
      </w:r>
      <w:r w:rsidR="00B065A4">
        <w:t>y do so. These lower numbers are reflected in the relevant tables of this section</w:t>
      </w:r>
      <w:r w:rsidR="00C65696">
        <w:t xml:space="preserve"> and in the summary table provided in Section</w:t>
      </w:r>
      <w:r w:rsidR="00D84EE5">
        <w:t> </w:t>
      </w:r>
      <w:r w:rsidR="00C65696">
        <w:fldChar w:fldCharType="begin"/>
      </w:r>
      <w:r w:rsidR="00C65696">
        <w:instrText xml:space="preserve"> REF _Ref116674242 \r \h </w:instrText>
      </w:r>
      <w:r w:rsidR="00C65696">
        <w:fldChar w:fldCharType="separate"/>
      </w:r>
      <w:r w:rsidR="00646F0F">
        <w:t>13.1</w:t>
      </w:r>
      <w:r w:rsidR="00C65696">
        <w:fldChar w:fldCharType="end"/>
      </w:r>
      <w:r w:rsidR="00B065A4">
        <w:t>.</w:t>
      </w:r>
    </w:p>
    <w:p w:rsidR="00A034CE" w:rsidP="009E08D8" w14:paraId="0CBA1AE4" w14:textId="77777777"/>
    <w:p w:rsidR="000C24DA" w:rsidP="009E08D8" w14:paraId="272BAF00" w14:textId="142645F4">
      <w:r>
        <w:t>Additionally, based on expressed interest in CAERS from state and local agencies</w:t>
      </w:r>
      <w:r w:rsidR="00A034CE">
        <w:t xml:space="preserve"> to date</w:t>
      </w:r>
      <w:r>
        <w:t xml:space="preserve">, </w:t>
      </w:r>
      <w:r w:rsidR="00204E7E">
        <w:t>EPA</w:t>
      </w:r>
      <w:r>
        <w:t xml:space="preserve"> estimates that </w:t>
      </w:r>
      <w:r w:rsidR="00A034CE">
        <w:t>12</w:t>
      </w:r>
      <w:r w:rsidR="003B137A">
        <w:t xml:space="preserve"> state/local</w:t>
      </w:r>
      <w:r w:rsidR="00FD48C4">
        <w:t xml:space="preserve"> agencies</w:t>
      </w:r>
      <w:r w:rsidR="003B137A">
        <w:t xml:space="preserve"> will use CAERS</w:t>
      </w:r>
      <w:r w:rsidRPr="003B137A" w:rsidR="003B137A">
        <w:t xml:space="preserve"> </w:t>
      </w:r>
      <w:r w:rsidR="003B137A">
        <w:t>for reporting in 202</w:t>
      </w:r>
      <w:r w:rsidR="00A034CE">
        <w:t xml:space="preserve">4. Based on the proposed AERR revision requiring some owners/operators to use CAERS for reporting HAP, </w:t>
      </w:r>
      <w:r w:rsidR="00204E7E">
        <w:t>EPA</w:t>
      </w:r>
      <w:r w:rsidR="00A034CE">
        <w:t xml:space="preserve"> projects that 30 state/local</w:t>
      </w:r>
      <w:r w:rsidR="00FD48C4">
        <w:t xml:space="preserve"> agencies</w:t>
      </w:r>
      <w:r w:rsidR="00A034CE">
        <w:t xml:space="preserve"> will use CAERS for reporting in 2025 and </w:t>
      </w:r>
      <w:r w:rsidR="00B63D21">
        <w:t>54</w:t>
      </w:r>
      <w:r w:rsidR="00A034CE">
        <w:t xml:space="preserve"> in 2026. </w:t>
      </w:r>
      <w:r w:rsidR="003B137A">
        <w:t>Furthermore, reporting that occurs in 20</w:t>
      </w:r>
      <w:r w:rsidR="00A034CE">
        <w:t>25</w:t>
      </w:r>
      <w:r w:rsidR="003B137A">
        <w:t xml:space="preserve"> and 20</w:t>
      </w:r>
      <w:r w:rsidR="00A034CE">
        <w:t>26</w:t>
      </w:r>
      <w:r w:rsidR="003B137A">
        <w:t xml:space="preserve"> is for the </w:t>
      </w:r>
      <w:r w:rsidR="00C739B4">
        <w:t>“</w:t>
      </w:r>
      <w:r w:rsidR="003B137A">
        <w:t>smaller</w:t>
      </w:r>
      <w:r w:rsidR="00C739B4">
        <w:t>”</w:t>
      </w:r>
      <w:r w:rsidR="003B137A">
        <w:t xml:space="preserve"> set of sources </w:t>
      </w:r>
      <w:r w:rsidR="008028FF">
        <w:t xml:space="preserve">due to higher proposed thresholds </w:t>
      </w:r>
      <w:r w:rsidR="00560FBC">
        <w:t xml:space="preserve">for those years </w:t>
      </w:r>
      <w:r w:rsidR="008028FF">
        <w:t>in Table 1A to Appendix of the proposed revisions</w:t>
      </w:r>
      <w:r w:rsidR="00C1193C">
        <w:t>.</w:t>
      </w:r>
      <w:r>
        <w:rPr>
          <w:rStyle w:val="FootnoteReference"/>
          <w:vertAlign w:val="superscript"/>
        </w:rPr>
        <w:footnoteReference w:id="18"/>
      </w:r>
      <w:r w:rsidR="008028FF">
        <w:t xml:space="preserve"> R</w:t>
      </w:r>
      <w:r w:rsidR="003B137A">
        <w:t xml:space="preserve">eporting in 2024 </w:t>
      </w:r>
      <w:r w:rsidR="00256C40">
        <w:t>includes</w:t>
      </w:r>
      <w:r w:rsidR="008028FF">
        <w:t xml:space="preserve"> more</w:t>
      </w:r>
      <w:r w:rsidR="00256C40">
        <w:t xml:space="preserve"> point</w:t>
      </w:r>
      <w:r w:rsidR="008028FF">
        <w:t xml:space="preserve"> sources</w:t>
      </w:r>
      <w:r w:rsidR="003B137A">
        <w:t xml:space="preserve"> because 2023 is a triennial reporting year. </w:t>
      </w:r>
      <w:r w:rsidR="00CB418B">
        <w:t xml:space="preserve">As a result, </w:t>
      </w:r>
      <w:r w:rsidR="00204E7E">
        <w:t>EPA</w:t>
      </w:r>
      <w:r w:rsidR="003B137A">
        <w:t xml:space="preserve"> has assumed an average </w:t>
      </w:r>
      <w:r w:rsidR="00B63D21">
        <w:t>32</w:t>
      </w:r>
      <w:r w:rsidR="003B137A">
        <w:t xml:space="preserve"> state/local</w:t>
      </w:r>
      <w:r w:rsidR="00FD48C4">
        <w:t xml:space="preserve"> agencies</w:t>
      </w:r>
      <w:r w:rsidR="003B137A">
        <w:t xml:space="preserve"> will use CAERS for reporting across the </w:t>
      </w:r>
      <w:r w:rsidR="003415B1">
        <w:t>3</w:t>
      </w:r>
      <w:r w:rsidR="003B137A">
        <w:t xml:space="preserve"> years (</w:t>
      </w:r>
      <w:r w:rsidRPr="008E5C9F" w:rsidR="008E5C9F">
        <w:rPr>
          <w:i/>
        </w:rPr>
        <w:t>i.e.</w:t>
      </w:r>
      <w:r w:rsidR="003B137A">
        <w:t>, (</w:t>
      </w:r>
      <w:r w:rsidR="00A034CE">
        <w:t>12</w:t>
      </w:r>
      <w:r w:rsidR="003B137A">
        <w:t>+</w:t>
      </w:r>
      <w:r w:rsidR="00A034CE">
        <w:t>30</w:t>
      </w:r>
      <w:r w:rsidR="003B137A">
        <w:t>+</w:t>
      </w:r>
      <w:r w:rsidR="00B63D21">
        <w:t>54</w:t>
      </w:r>
      <w:r w:rsidR="003B137A">
        <w:t>)/3)</w:t>
      </w:r>
      <w:r w:rsidR="00CB418B">
        <w:t xml:space="preserve"> for the burden calculations associated with sources</w:t>
      </w:r>
      <w:r w:rsidR="008028FF">
        <w:t xml:space="preserve"> reported in 2025 and 2026</w:t>
      </w:r>
      <w:r w:rsidR="003B137A">
        <w:t xml:space="preserve">. </w:t>
      </w:r>
    </w:p>
    <w:p w:rsidR="000B75DF" w:rsidRPr="004E6C7D" w:rsidP="004E6C7D" w14:paraId="6AC7E586" w14:textId="77777777">
      <w:pPr>
        <w:rPr>
          <w:rStyle w:val="Strong"/>
          <w:b w:val="0"/>
          <w:bCs w:val="0"/>
        </w:rPr>
      </w:pPr>
    </w:p>
    <w:p w:rsidR="009E08D8" w:rsidRPr="00C44F5A" w:rsidP="00C44F5A" w14:paraId="4AE731C2" w14:textId="63F5A174">
      <w:pPr>
        <w:pStyle w:val="Heading2"/>
        <w:rPr>
          <w:rStyle w:val="Strong"/>
          <w:b/>
          <w:bCs w:val="0"/>
        </w:rPr>
      </w:pPr>
      <w:r>
        <w:rPr>
          <w:rStyle w:val="Strong"/>
          <w:b/>
          <w:bCs w:val="0"/>
        </w:rPr>
        <w:tab/>
      </w:r>
      <w:bookmarkStart w:id="8" w:name="_Ref106892581"/>
      <w:r w:rsidRPr="00C44F5A">
        <w:rPr>
          <w:rStyle w:val="Strong"/>
          <w:b/>
          <w:bCs w:val="0"/>
        </w:rPr>
        <w:t>Burden for SLT respondents</w:t>
      </w:r>
      <w:bookmarkEnd w:id="8"/>
    </w:p>
    <w:p w:rsidR="00AE3E89" w:rsidP="009E08D8" w14:paraId="13BA9E8E" w14:textId="404D7D58">
      <w:r>
        <w:t xml:space="preserve">The </w:t>
      </w:r>
      <w:r w:rsidR="00A034CE">
        <w:t xml:space="preserve">SLT </w:t>
      </w:r>
      <w:r>
        <w:t>respondent burden for complying with the</w:t>
      </w:r>
      <w:r w:rsidR="009E08D8">
        <w:t xml:space="preserve"> proposed </w:t>
      </w:r>
      <w:r>
        <w:t xml:space="preserve">AERR </w:t>
      </w:r>
      <w:r w:rsidR="009E08D8">
        <w:t>revision</w:t>
      </w:r>
      <w:r>
        <w:t xml:space="preserve"> </w:t>
      </w:r>
      <w:r>
        <w:t xml:space="preserve">includes </w:t>
      </w:r>
      <w:r>
        <w:t xml:space="preserve">burden </w:t>
      </w:r>
      <w:r w:rsidR="00ED33FC">
        <w:t>to</w:t>
      </w:r>
      <w:r>
        <w:t xml:space="preserve"> meet</w:t>
      </w:r>
      <w:r w:rsidR="00ED33FC">
        <w:t xml:space="preserve"> </w:t>
      </w:r>
      <w:r>
        <w:t xml:space="preserve">both the annual and the 3-year </w:t>
      </w:r>
      <w:r w:rsidR="008D4B7E">
        <w:t xml:space="preserve">(triennial) </w:t>
      </w:r>
      <w:r>
        <w:t>cycle reporting.</w:t>
      </w:r>
      <w:r w:rsidR="00523CED">
        <w:t xml:space="preserve"> </w:t>
      </w:r>
      <w:r w:rsidR="008D4B7E">
        <w:t xml:space="preserve">Within the annual and triennial reporting requirements associated with the proposed AERR revision, </w:t>
      </w:r>
      <w:r w:rsidR="00256C40">
        <w:t xml:space="preserve">EPA has estimated </w:t>
      </w:r>
      <w:r w:rsidR="008D4B7E">
        <w:t xml:space="preserve">the burden </w:t>
      </w:r>
      <w:r w:rsidR="00ED33FC">
        <w:t xml:space="preserve">separately </w:t>
      </w:r>
      <w:r w:rsidR="008D4B7E">
        <w:t xml:space="preserve">for one-time activities, annual reporting, and triennial reporting. </w:t>
      </w:r>
      <w:r w:rsidR="00256C40">
        <w:t>T</w:t>
      </w:r>
      <w:r w:rsidR="00ED33FC">
        <w:t>he subsections below</w:t>
      </w:r>
      <w:r w:rsidR="00256C40">
        <w:t xml:space="preserve"> describe</w:t>
      </w:r>
      <w:r w:rsidR="00ED33FC">
        <w:t xml:space="preserve"> e</w:t>
      </w:r>
      <w:r w:rsidR="008D4B7E">
        <w:t xml:space="preserve">ach of these </w:t>
      </w:r>
      <w:r w:rsidR="00ED33FC">
        <w:t>individual elements</w:t>
      </w:r>
      <w:r w:rsidR="008D4B7E">
        <w:t>.</w:t>
      </w:r>
    </w:p>
    <w:p w:rsidR="00281B92" w:rsidP="009E08D8" w14:paraId="2DCEA2B2" w14:textId="6B445244"/>
    <w:p w:rsidR="00281B92" w:rsidP="00281B92" w14:paraId="763562FD" w14:textId="33FEBCE1">
      <w:r>
        <w:t xml:space="preserve">The SLTs reporting to </w:t>
      </w:r>
      <w:r w:rsidR="00204E7E">
        <w:t>EPA</w:t>
      </w:r>
      <w:r>
        <w:t xml:space="preserve"> under the AERR maintain their own air quality management programs, which include permitting programs and annual emissions fee programs for their point sources. </w:t>
      </w:r>
      <w:r w:rsidR="00ED33FC">
        <w:t xml:space="preserve">These fees help offset costs associated with running these emissions </w:t>
      </w:r>
      <w:r w:rsidR="003415B1">
        <w:t>programs</w:t>
      </w:r>
      <w:r w:rsidR="00ED33FC">
        <w:t>. Nevertheless, this ICR includes as part of the burden estimates</w:t>
      </w:r>
      <w:r w:rsidR="00AB406C">
        <w:t>,</w:t>
      </w:r>
      <w:r w:rsidR="00ED33FC">
        <w:t xml:space="preserve"> those SLTs</w:t>
      </w:r>
      <w:r w:rsidR="003415B1">
        <w:t>’</w:t>
      </w:r>
      <w:r>
        <w:t xml:space="preserve"> </w:t>
      </w:r>
      <w:r w:rsidR="00ED33FC">
        <w:t xml:space="preserve">efforts </w:t>
      </w:r>
      <w:r>
        <w:t>to collect and manage emissions inventory data for these purposes, much of which occur irrespective of the AERR</w:t>
      </w:r>
      <w:r w:rsidR="00ED33FC">
        <w:t xml:space="preserve">. However, this ICR does not include certain efforts of SLTs unrelated to requirements of the AERR or the associated burden </w:t>
      </w:r>
      <w:r w:rsidR="00F10C21">
        <w:t>on their owners/</w:t>
      </w:r>
      <w:r w:rsidRPr="007464CD" w:rsidR="00F10C21">
        <w:t xml:space="preserve">operators. </w:t>
      </w:r>
      <w:r w:rsidRPr="007464CD" w:rsidR="00164309">
        <w:fldChar w:fldCharType="begin"/>
      </w:r>
      <w:r w:rsidRPr="007464CD" w:rsidR="00164309">
        <w:instrText xml:space="preserve"> REF _Ref106373855 \h  \* MERGEFORMAT </w:instrText>
      </w:r>
      <w:r w:rsidRPr="007464CD" w:rsidR="00164309">
        <w:fldChar w:fldCharType="separate"/>
      </w:r>
      <w:r w:rsidRPr="0020098E" w:rsidR="00646F0F">
        <w:t xml:space="preserve">Table </w:t>
      </w:r>
      <w:r w:rsidR="00646F0F">
        <w:rPr>
          <w:noProof/>
        </w:rPr>
        <w:t>2</w:t>
      </w:r>
      <w:r w:rsidRPr="007464CD" w:rsidR="00164309">
        <w:fldChar w:fldCharType="end"/>
      </w:r>
      <w:r w:rsidRPr="007464CD" w:rsidR="00F10C21">
        <w:t xml:space="preserve"> below</w:t>
      </w:r>
      <w:r w:rsidR="00F10C21">
        <w:t xml:space="preserve"> provides a summary of the included and excluded elements of this ICR.</w:t>
      </w:r>
      <w:r w:rsidR="00DF7211">
        <w:t xml:space="preserve"> In this table, the last row represents costs associated with SLTs reporting data to EPA that are voluntarily collected and reported along with their required data. These types of voluntary reports include additional facilities that do not meet the AERR point source thresholds and emissions of HAP.</w:t>
      </w:r>
    </w:p>
    <w:p w:rsidR="00F10C21" w:rsidP="00281B92" w14:paraId="4DF6D4CD" w14:textId="42CDCB04"/>
    <w:p w:rsidR="00164309" w:rsidP="00164309" w14:paraId="6BF24060" w14:textId="13344109">
      <w:pPr>
        <w:pStyle w:val="Caption"/>
      </w:pPr>
      <w:bookmarkStart w:id="9" w:name="_Ref106373855"/>
      <w:r w:rsidRPr="0020098E">
        <w:t xml:space="preserve">Table </w:t>
      </w:r>
      <w:r w:rsidR="00E05ECE">
        <w:fldChar w:fldCharType="begin"/>
      </w:r>
      <w:r w:rsidR="00E05ECE">
        <w:instrText xml:space="preserve"> SEQ Table \* ARABIC </w:instrText>
      </w:r>
      <w:r w:rsidR="00E05ECE">
        <w:fldChar w:fldCharType="separate"/>
      </w:r>
      <w:r w:rsidR="00646F0F">
        <w:rPr>
          <w:noProof/>
        </w:rPr>
        <w:t>2</w:t>
      </w:r>
      <w:r w:rsidR="00E05ECE">
        <w:rPr>
          <w:noProof/>
        </w:rPr>
        <w:fldChar w:fldCharType="end"/>
      </w:r>
      <w:bookmarkEnd w:id="9"/>
      <w:r w:rsidRPr="00164309">
        <w:rPr>
          <w:b/>
          <w:bCs/>
        </w:rPr>
        <w:t>:</w:t>
      </w:r>
      <w:r>
        <w:t xml:space="preserve"> Summary of efforts included in this ICR</w:t>
      </w:r>
    </w:p>
    <w:tbl>
      <w:tblPr>
        <w:tblStyle w:val="TableGrid"/>
        <w:tblW w:w="9265" w:type="dxa"/>
        <w:tblLook w:val="04A0"/>
      </w:tblPr>
      <w:tblGrid>
        <w:gridCol w:w="2785"/>
        <w:gridCol w:w="236"/>
        <w:gridCol w:w="1294"/>
        <w:gridCol w:w="1482"/>
        <w:gridCol w:w="2028"/>
        <w:gridCol w:w="1440"/>
      </w:tblGrid>
      <w:tr w14:paraId="0349682D" w14:textId="25C67129" w:rsidTr="00D05E37">
        <w:tblPrEx>
          <w:tblW w:w="9265" w:type="dxa"/>
          <w:tblLook w:val="04A0"/>
        </w:tblPrEx>
        <w:tc>
          <w:tcPr>
            <w:tcW w:w="2785" w:type="dxa"/>
            <w:shd w:val="clear" w:color="auto" w:fill="auto"/>
          </w:tcPr>
          <w:p w:rsidR="00F10C21" w:rsidRPr="00D05E37" w:rsidP="00164309" w14:paraId="1A2194D2" w14:textId="77777777">
            <w:pPr>
              <w:keepNext/>
              <w:widowControl/>
              <w:rPr>
                <w:b/>
                <w:bCs/>
              </w:rPr>
            </w:pPr>
          </w:p>
        </w:tc>
        <w:tc>
          <w:tcPr>
            <w:tcW w:w="236" w:type="dxa"/>
            <w:tcBorders>
              <w:right w:val="nil"/>
            </w:tcBorders>
            <w:shd w:val="clear" w:color="auto" w:fill="auto"/>
          </w:tcPr>
          <w:p w:rsidR="00F10C21" w:rsidRPr="00D05E37" w:rsidP="00164309" w14:paraId="1556EE1F" w14:textId="77777777">
            <w:pPr>
              <w:keepNext/>
              <w:widowControl/>
              <w:rPr>
                <w:b/>
                <w:bCs/>
              </w:rPr>
            </w:pPr>
          </w:p>
        </w:tc>
        <w:tc>
          <w:tcPr>
            <w:tcW w:w="2776" w:type="dxa"/>
            <w:gridSpan w:val="2"/>
            <w:tcBorders>
              <w:left w:val="nil"/>
            </w:tcBorders>
            <w:shd w:val="clear" w:color="auto" w:fill="auto"/>
          </w:tcPr>
          <w:p w:rsidR="00F10C21" w:rsidRPr="00D05E37" w:rsidP="00164309" w14:paraId="42F9C6B8" w14:textId="6DAB2FAE">
            <w:pPr>
              <w:keepNext/>
              <w:widowControl/>
              <w:rPr>
                <w:b/>
                <w:bCs/>
              </w:rPr>
            </w:pPr>
            <w:r w:rsidRPr="00D05E37">
              <w:rPr>
                <w:b/>
                <w:bCs/>
              </w:rPr>
              <w:t>Owners/</w:t>
            </w:r>
            <w:r w:rsidRPr="00D05E37" w:rsidR="00164309">
              <w:rPr>
                <w:b/>
                <w:bCs/>
              </w:rPr>
              <w:t>o</w:t>
            </w:r>
            <w:r w:rsidRPr="00D05E37">
              <w:rPr>
                <w:b/>
                <w:bCs/>
              </w:rPr>
              <w:t xml:space="preserve">perators </w:t>
            </w:r>
            <w:r w:rsidRPr="00D05E37" w:rsidR="00164309">
              <w:rPr>
                <w:b/>
                <w:bCs/>
              </w:rPr>
              <w:t>r</w:t>
            </w:r>
            <w:r w:rsidRPr="00D05E37">
              <w:rPr>
                <w:b/>
                <w:bCs/>
              </w:rPr>
              <w:t>eport</w:t>
            </w:r>
          </w:p>
        </w:tc>
        <w:tc>
          <w:tcPr>
            <w:tcW w:w="2028" w:type="dxa"/>
            <w:tcBorders>
              <w:bottom w:val="nil"/>
            </w:tcBorders>
            <w:shd w:val="clear" w:color="auto" w:fill="auto"/>
            <w:vAlign w:val="bottom"/>
          </w:tcPr>
          <w:p w:rsidR="00F10C21" w:rsidRPr="00D05E37" w:rsidP="00164309" w14:paraId="182AD065" w14:textId="71D57A3E">
            <w:pPr>
              <w:keepNext/>
              <w:widowControl/>
              <w:jc w:val="center"/>
              <w:rPr>
                <w:b/>
                <w:bCs/>
              </w:rPr>
            </w:pPr>
            <w:r w:rsidRPr="00D05E37">
              <w:rPr>
                <w:b/>
                <w:bCs/>
              </w:rPr>
              <w:t>SLT</w:t>
            </w:r>
            <w:r w:rsidRPr="00D05E37">
              <w:rPr>
                <w:b/>
                <w:bCs/>
              </w:rPr>
              <w:t xml:space="preserve"> collects from</w:t>
            </w:r>
          </w:p>
        </w:tc>
        <w:tc>
          <w:tcPr>
            <w:tcW w:w="1440" w:type="dxa"/>
            <w:tcBorders>
              <w:bottom w:val="nil"/>
            </w:tcBorders>
            <w:shd w:val="clear" w:color="auto" w:fill="auto"/>
            <w:vAlign w:val="bottom"/>
          </w:tcPr>
          <w:p w:rsidR="00F10C21" w:rsidRPr="00D05E37" w:rsidP="00164309" w14:paraId="48EFF1E2" w14:textId="7E92EE38">
            <w:pPr>
              <w:keepNext/>
              <w:widowControl/>
              <w:jc w:val="center"/>
              <w:rPr>
                <w:b/>
                <w:bCs/>
              </w:rPr>
            </w:pPr>
            <w:r w:rsidRPr="00D05E37">
              <w:rPr>
                <w:b/>
                <w:bCs/>
              </w:rPr>
              <w:t>SLT</w:t>
            </w:r>
            <w:r w:rsidRPr="00D05E37">
              <w:rPr>
                <w:b/>
                <w:bCs/>
              </w:rPr>
              <w:t xml:space="preserve"> reports</w:t>
            </w:r>
          </w:p>
        </w:tc>
      </w:tr>
      <w:tr w14:paraId="40B0E480" w14:textId="56244051" w:rsidTr="00D05E37">
        <w:tblPrEx>
          <w:tblW w:w="9265" w:type="dxa"/>
          <w:tblLook w:val="04A0"/>
        </w:tblPrEx>
        <w:tc>
          <w:tcPr>
            <w:tcW w:w="2785" w:type="dxa"/>
            <w:shd w:val="clear" w:color="auto" w:fill="auto"/>
          </w:tcPr>
          <w:p w:rsidR="00F10C21" w:rsidRPr="00D05E37" w:rsidP="00164309" w14:paraId="3898C9C7" w14:textId="33AD44D4">
            <w:pPr>
              <w:keepNext/>
              <w:widowControl/>
              <w:rPr>
                <w:b/>
                <w:bCs/>
              </w:rPr>
            </w:pPr>
            <w:r w:rsidRPr="00D05E37">
              <w:rPr>
                <w:b/>
                <w:bCs/>
              </w:rPr>
              <w:t>Point Source…</w:t>
            </w:r>
          </w:p>
        </w:tc>
        <w:tc>
          <w:tcPr>
            <w:tcW w:w="1530" w:type="dxa"/>
            <w:gridSpan w:val="2"/>
            <w:shd w:val="clear" w:color="auto" w:fill="auto"/>
          </w:tcPr>
          <w:p w:rsidR="00F10C21" w:rsidRPr="00D05E37" w:rsidP="00164309" w14:paraId="5881A4D8" w14:textId="5AC7232C">
            <w:pPr>
              <w:keepNext/>
              <w:widowControl/>
              <w:jc w:val="center"/>
              <w:rPr>
                <w:b/>
                <w:bCs/>
              </w:rPr>
            </w:pPr>
            <w:r w:rsidRPr="00D05E37">
              <w:rPr>
                <w:b/>
                <w:bCs/>
              </w:rPr>
              <w:t>to EPA</w:t>
            </w:r>
          </w:p>
        </w:tc>
        <w:tc>
          <w:tcPr>
            <w:tcW w:w="1482" w:type="dxa"/>
            <w:shd w:val="clear" w:color="auto" w:fill="auto"/>
          </w:tcPr>
          <w:p w:rsidR="00F10C21" w:rsidRPr="00D05E37" w:rsidP="00164309" w14:paraId="009DCC3D" w14:textId="663D8D1E">
            <w:pPr>
              <w:keepNext/>
              <w:widowControl/>
              <w:jc w:val="center"/>
              <w:rPr>
                <w:b/>
                <w:bCs/>
              </w:rPr>
            </w:pPr>
            <w:r w:rsidRPr="00D05E37">
              <w:rPr>
                <w:b/>
                <w:bCs/>
              </w:rPr>
              <w:t>to SLT</w:t>
            </w:r>
          </w:p>
        </w:tc>
        <w:tc>
          <w:tcPr>
            <w:tcW w:w="2028" w:type="dxa"/>
            <w:tcBorders>
              <w:top w:val="nil"/>
            </w:tcBorders>
            <w:shd w:val="clear" w:color="auto" w:fill="auto"/>
            <w:vAlign w:val="bottom"/>
          </w:tcPr>
          <w:p w:rsidR="00F10C21" w:rsidRPr="00D05E37" w:rsidP="00164309" w14:paraId="65C6DA76" w14:textId="39A85107">
            <w:pPr>
              <w:keepNext/>
              <w:widowControl/>
              <w:jc w:val="center"/>
              <w:rPr>
                <w:b/>
                <w:bCs/>
              </w:rPr>
            </w:pPr>
            <w:r w:rsidRPr="00D05E37">
              <w:rPr>
                <w:b/>
                <w:bCs/>
              </w:rPr>
              <w:t>o</w:t>
            </w:r>
            <w:r w:rsidRPr="00D05E37">
              <w:rPr>
                <w:b/>
                <w:bCs/>
              </w:rPr>
              <w:t>wners/</w:t>
            </w:r>
            <w:r w:rsidRPr="00D05E37">
              <w:rPr>
                <w:b/>
                <w:bCs/>
              </w:rPr>
              <w:t>o</w:t>
            </w:r>
            <w:r w:rsidRPr="00D05E37">
              <w:rPr>
                <w:b/>
                <w:bCs/>
              </w:rPr>
              <w:t>perators</w:t>
            </w:r>
          </w:p>
        </w:tc>
        <w:tc>
          <w:tcPr>
            <w:tcW w:w="1440" w:type="dxa"/>
            <w:tcBorders>
              <w:top w:val="nil"/>
            </w:tcBorders>
            <w:shd w:val="clear" w:color="auto" w:fill="auto"/>
            <w:vAlign w:val="bottom"/>
          </w:tcPr>
          <w:p w:rsidR="00F10C21" w:rsidRPr="00D05E37" w:rsidP="00164309" w14:paraId="47C448E1" w14:textId="29397B7D">
            <w:pPr>
              <w:keepNext/>
              <w:widowControl/>
              <w:jc w:val="center"/>
              <w:rPr>
                <w:b/>
                <w:bCs/>
              </w:rPr>
            </w:pPr>
            <w:r w:rsidRPr="00D05E37">
              <w:rPr>
                <w:b/>
                <w:bCs/>
              </w:rPr>
              <w:t>to EPA</w:t>
            </w:r>
          </w:p>
        </w:tc>
      </w:tr>
      <w:tr w14:paraId="5DDD2481" w14:textId="3B201D5C" w:rsidTr="00164309">
        <w:tblPrEx>
          <w:tblW w:w="9265" w:type="dxa"/>
          <w:tblLook w:val="04A0"/>
        </w:tblPrEx>
        <w:tc>
          <w:tcPr>
            <w:tcW w:w="2785" w:type="dxa"/>
          </w:tcPr>
          <w:p w:rsidR="00F10C21" w:rsidP="00164309" w14:paraId="5D3AE003" w14:textId="1E0623D2">
            <w:pPr>
              <w:keepNext/>
              <w:widowControl/>
            </w:pPr>
            <w:r>
              <w:t xml:space="preserve">Data </w:t>
            </w:r>
            <w:r>
              <w:t xml:space="preserve">collected because of </w:t>
            </w:r>
            <w:r w:rsidR="00DF7211">
              <w:t xml:space="preserve">proposed </w:t>
            </w:r>
            <w:r>
              <w:t>AERR requirement</w:t>
            </w:r>
          </w:p>
        </w:tc>
        <w:tc>
          <w:tcPr>
            <w:tcW w:w="1530" w:type="dxa"/>
            <w:gridSpan w:val="2"/>
            <w:vAlign w:val="center"/>
          </w:tcPr>
          <w:p w:rsidR="00F10C21" w:rsidP="00164309" w14:paraId="36B0AC68" w14:textId="4DB43438">
            <w:pPr>
              <w:keepNext/>
              <w:widowControl/>
              <w:jc w:val="center"/>
            </w:pPr>
            <w:r>
              <w:t>Included</w:t>
            </w:r>
          </w:p>
        </w:tc>
        <w:tc>
          <w:tcPr>
            <w:tcW w:w="1482" w:type="dxa"/>
            <w:vAlign w:val="center"/>
          </w:tcPr>
          <w:p w:rsidR="00F10C21" w:rsidP="00164309" w14:paraId="32D2D90A" w14:textId="1D26A486">
            <w:pPr>
              <w:keepNext/>
              <w:widowControl/>
              <w:jc w:val="center"/>
            </w:pPr>
            <w:r>
              <w:t>Included</w:t>
            </w:r>
          </w:p>
        </w:tc>
        <w:tc>
          <w:tcPr>
            <w:tcW w:w="2028" w:type="dxa"/>
            <w:vAlign w:val="center"/>
          </w:tcPr>
          <w:p w:rsidR="00F10C21" w:rsidP="00164309" w14:paraId="564801E9" w14:textId="7CBE69AE">
            <w:pPr>
              <w:keepNext/>
              <w:widowControl/>
              <w:jc w:val="center"/>
            </w:pPr>
            <w:r>
              <w:t>Included</w:t>
            </w:r>
          </w:p>
        </w:tc>
        <w:tc>
          <w:tcPr>
            <w:tcW w:w="1440" w:type="dxa"/>
            <w:vAlign w:val="center"/>
          </w:tcPr>
          <w:p w:rsidR="00F10C21" w:rsidP="00164309" w14:paraId="5A131568" w14:textId="61CBE2C4">
            <w:pPr>
              <w:keepNext/>
              <w:widowControl/>
              <w:jc w:val="center"/>
            </w:pPr>
            <w:r>
              <w:t>Included</w:t>
            </w:r>
          </w:p>
        </w:tc>
      </w:tr>
      <w:tr w14:paraId="31AA0A68" w14:textId="446EE311" w:rsidTr="00164309">
        <w:tblPrEx>
          <w:tblW w:w="9265" w:type="dxa"/>
          <w:tblLook w:val="04A0"/>
        </w:tblPrEx>
        <w:tc>
          <w:tcPr>
            <w:tcW w:w="2785" w:type="dxa"/>
          </w:tcPr>
          <w:p w:rsidR="00F10C21" w:rsidP="00164309" w14:paraId="07CE5AD5" w14:textId="4F850FA6">
            <w:pPr>
              <w:keepNext/>
              <w:widowControl/>
            </w:pPr>
            <w:r>
              <w:t xml:space="preserve">Optional data fields associated </w:t>
            </w:r>
            <w:r w:rsidR="00164309">
              <w:t xml:space="preserve">with pollutants required by </w:t>
            </w:r>
            <w:r w:rsidR="00DF7211">
              <w:t xml:space="preserve">proposed </w:t>
            </w:r>
            <w:r w:rsidR="00164309">
              <w:t>AERR</w:t>
            </w:r>
          </w:p>
        </w:tc>
        <w:tc>
          <w:tcPr>
            <w:tcW w:w="1530" w:type="dxa"/>
            <w:gridSpan w:val="2"/>
            <w:vAlign w:val="center"/>
          </w:tcPr>
          <w:p w:rsidR="00F10C21" w:rsidP="00164309" w14:paraId="127F5B6C" w14:textId="5CB49219">
            <w:pPr>
              <w:keepNext/>
              <w:widowControl/>
              <w:jc w:val="center"/>
            </w:pPr>
            <w:r>
              <w:t>Included</w:t>
            </w:r>
          </w:p>
        </w:tc>
        <w:tc>
          <w:tcPr>
            <w:tcW w:w="1482" w:type="dxa"/>
            <w:vAlign w:val="center"/>
          </w:tcPr>
          <w:p w:rsidR="00F10C21" w:rsidP="00164309" w14:paraId="3AE300FF" w14:textId="040F5ECD">
            <w:pPr>
              <w:keepNext/>
              <w:widowControl/>
              <w:jc w:val="center"/>
            </w:pPr>
            <w:r>
              <w:t>Included</w:t>
            </w:r>
          </w:p>
        </w:tc>
        <w:tc>
          <w:tcPr>
            <w:tcW w:w="2028" w:type="dxa"/>
            <w:vAlign w:val="center"/>
          </w:tcPr>
          <w:p w:rsidR="00F10C21" w:rsidP="00164309" w14:paraId="04457BBA" w14:textId="01AEE479">
            <w:pPr>
              <w:keepNext/>
              <w:widowControl/>
              <w:jc w:val="center"/>
            </w:pPr>
            <w:r>
              <w:t>Included</w:t>
            </w:r>
          </w:p>
        </w:tc>
        <w:tc>
          <w:tcPr>
            <w:tcW w:w="1440" w:type="dxa"/>
            <w:vAlign w:val="center"/>
          </w:tcPr>
          <w:p w:rsidR="00F10C21" w:rsidP="00164309" w14:paraId="6D09CEDA" w14:textId="35B53718">
            <w:pPr>
              <w:keepNext/>
              <w:widowControl/>
              <w:jc w:val="center"/>
            </w:pPr>
            <w:r>
              <w:t>Included</w:t>
            </w:r>
          </w:p>
        </w:tc>
      </w:tr>
      <w:tr w14:paraId="3C28B369" w14:textId="1701563B" w:rsidTr="00164309">
        <w:tblPrEx>
          <w:tblW w:w="9265" w:type="dxa"/>
          <w:tblLook w:val="04A0"/>
        </w:tblPrEx>
        <w:tc>
          <w:tcPr>
            <w:tcW w:w="2785" w:type="dxa"/>
          </w:tcPr>
          <w:p w:rsidR="00F10C21" w:rsidP="00164309" w14:paraId="635E1477" w14:textId="4F1A592A">
            <w:pPr>
              <w:keepNext/>
              <w:widowControl/>
            </w:pPr>
            <w:r>
              <w:t xml:space="preserve">Data collected </w:t>
            </w:r>
            <w:r>
              <w:t>because of SLT requirement</w:t>
            </w:r>
          </w:p>
        </w:tc>
        <w:tc>
          <w:tcPr>
            <w:tcW w:w="1530" w:type="dxa"/>
            <w:gridSpan w:val="2"/>
            <w:vAlign w:val="center"/>
          </w:tcPr>
          <w:p w:rsidR="00F10C21" w:rsidP="00164309" w14:paraId="2B440D85" w14:textId="2F193CF4">
            <w:pPr>
              <w:keepNext/>
              <w:widowControl/>
              <w:jc w:val="center"/>
            </w:pPr>
            <w:r>
              <w:t>N/A</w:t>
            </w:r>
          </w:p>
        </w:tc>
        <w:tc>
          <w:tcPr>
            <w:tcW w:w="1482" w:type="dxa"/>
            <w:vAlign w:val="center"/>
          </w:tcPr>
          <w:p w:rsidR="00F10C21" w:rsidP="00164309" w14:paraId="6CC77D8E" w14:textId="09739FFD">
            <w:pPr>
              <w:keepNext/>
              <w:widowControl/>
              <w:jc w:val="center"/>
            </w:pPr>
          </w:p>
        </w:tc>
        <w:tc>
          <w:tcPr>
            <w:tcW w:w="2028" w:type="dxa"/>
            <w:vAlign w:val="center"/>
          </w:tcPr>
          <w:p w:rsidR="00F10C21" w:rsidP="00164309" w14:paraId="3B6F9F17" w14:textId="7D2B83FE">
            <w:pPr>
              <w:keepNext/>
              <w:widowControl/>
              <w:jc w:val="center"/>
            </w:pPr>
          </w:p>
        </w:tc>
        <w:tc>
          <w:tcPr>
            <w:tcW w:w="1440" w:type="dxa"/>
            <w:vAlign w:val="center"/>
          </w:tcPr>
          <w:p w:rsidR="00F10C21" w:rsidP="00164309" w14:paraId="2955C41E" w14:textId="403D89BF">
            <w:pPr>
              <w:keepNext/>
              <w:widowControl/>
              <w:jc w:val="center"/>
            </w:pPr>
            <w:r>
              <w:t>Included</w:t>
            </w:r>
          </w:p>
        </w:tc>
      </w:tr>
    </w:tbl>
    <w:p w:rsidR="008D4B7E" w:rsidP="009E08D8" w14:paraId="0F188E28" w14:textId="38AAC1BB"/>
    <w:p w:rsidR="00171A47" w:rsidP="009E08D8" w14:paraId="6D07166F" w14:textId="6C402A87">
      <w:r>
        <w:t xml:space="preserve">The proposed AERR revisions would lead to SLTs needing to make two key decisions that would impact </w:t>
      </w:r>
      <w:r w:rsidR="006E2978">
        <w:t xml:space="preserve">how they implement any final requirements. While there is no </w:t>
      </w:r>
      <w:r w:rsidR="0046616C">
        <w:t xml:space="preserve">proposed </w:t>
      </w:r>
      <w:r w:rsidR="006E2978">
        <w:t xml:space="preserve">requirement to participate in CAERS, an SLT’s choice of whether to participate or not </w:t>
      </w:r>
      <w:r w:rsidR="00762205">
        <w:t xml:space="preserve">could </w:t>
      </w:r>
      <w:r w:rsidR="006E2978">
        <w:t xml:space="preserve">significantly impact the costs of compliance and the mechanism of compliance with point source </w:t>
      </w:r>
      <w:r w:rsidR="00762205">
        <w:t xml:space="preserve">reporting </w:t>
      </w:r>
      <w:r w:rsidR="006E2978">
        <w:t>requirements</w:t>
      </w:r>
      <w:r w:rsidR="00B63D21">
        <w:t xml:space="preserve">. </w:t>
      </w:r>
      <w:r w:rsidR="006E2978">
        <w:t xml:space="preserve">As shown in </w:t>
      </w:r>
      <w:r w:rsidRPr="006E2978" w:rsidR="006E2978">
        <w:fldChar w:fldCharType="begin"/>
      </w:r>
      <w:r w:rsidRPr="006E2978" w:rsidR="006E2978">
        <w:instrText xml:space="preserve"> REF _Ref125624464 \h </w:instrText>
      </w:r>
      <w:r w:rsidRPr="00560FBC" w:rsidR="006E2978">
        <w:instrText xml:space="preserve"> \* MERGEFORMAT </w:instrText>
      </w:r>
      <w:r w:rsidRPr="006E2978" w:rsidR="006E2978">
        <w:fldChar w:fldCharType="separate"/>
      </w:r>
      <w:r w:rsidRPr="00646F0F" w:rsidR="00646F0F">
        <w:t xml:space="preserve">Figure </w:t>
      </w:r>
      <w:r w:rsidRPr="00646F0F" w:rsidR="00646F0F">
        <w:rPr>
          <w:noProof/>
        </w:rPr>
        <w:t>1</w:t>
      </w:r>
      <w:r w:rsidRPr="006E2978" w:rsidR="006E2978">
        <w:fldChar w:fldCharType="end"/>
      </w:r>
      <w:r w:rsidR="006E2978">
        <w:t xml:space="preserve"> below, EPA recommends that states first determine whether they intend to participate in CAERS and in what way, and then determine whether they intend to report HAP on behalf of owners/operators. As illustrated in the figure, SLTs </w:t>
      </w:r>
      <w:r w:rsidR="00762205">
        <w:t xml:space="preserve">should decide </w:t>
      </w:r>
      <w:r w:rsidR="006E2978">
        <w:t>whether to retain the user interface (“front</w:t>
      </w:r>
      <w:r>
        <w:t xml:space="preserve"> </w:t>
      </w:r>
      <w:r w:rsidR="006E2978">
        <w:t>end”) of their current emissions data collection system and whether to retain the database (“back</w:t>
      </w:r>
      <w:r>
        <w:t xml:space="preserve"> </w:t>
      </w:r>
      <w:r w:rsidR="006E2978">
        <w:t>end”) of their system</w:t>
      </w:r>
      <w:r w:rsidR="00B63D21">
        <w:t xml:space="preserve">. </w:t>
      </w:r>
      <w:r w:rsidR="006E2978">
        <w:t>The front</w:t>
      </w:r>
      <w:r>
        <w:t xml:space="preserve"> </w:t>
      </w:r>
      <w:r w:rsidR="006E2978">
        <w:t xml:space="preserve">end is </w:t>
      </w:r>
      <w:r>
        <w:t>the user interface (often web-based) that</w:t>
      </w:r>
      <w:r w:rsidR="006E2978">
        <w:t xml:space="preserve"> owners/operators use to submit the data</w:t>
      </w:r>
      <w:r>
        <w:t xml:space="preserve">. Occasionally the SLT </w:t>
      </w:r>
      <w:r w:rsidR="0046616C">
        <w:t>system</w:t>
      </w:r>
      <w:r>
        <w:t xml:space="preserve"> interacts with an SLT electronic permitting system. T</w:t>
      </w:r>
      <w:r w:rsidR="006E2978">
        <w:t xml:space="preserve">he </w:t>
      </w:r>
      <w:r>
        <w:t>back end</w:t>
      </w:r>
      <w:r w:rsidR="006E2978">
        <w:t xml:space="preserve"> is the master storage location for the data collected by the </w:t>
      </w:r>
      <w:r>
        <w:t xml:space="preserve">SLT, and </w:t>
      </w:r>
      <w:r>
        <w:t>often interacts with other SLT data systems</w:t>
      </w:r>
      <w:r w:rsidR="006E2978">
        <w:t xml:space="preserve">. CAERS is being constructed to support different </w:t>
      </w:r>
      <w:r w:rsidR="0046616C">
        <w:t xml:space="preserve">ways that </w:t>
      </w:r>
      <w:r w:rsidR="006E2978">
        <w:t>SLT</w:t>
      </w:r>
      <w:r w:rsidR="0046616C">
        <w:t>s</w:t>
      </w:r>
      <w:r w:rsidR="006E2978">
        <w:t xml:space="preserve"> </w:t>
      </w:r>
      <w:r w:rsidR="0046616C">
        <w:t xml:space="preserve">can </w:t>
      </w:r>
      <w:r w:rsidR="006E2978">
        <w:t xml:space="preserve">use CAERS </w:t>
      </w:r>
      <w:r>
        <w:t xml:space="preserve">features from the </w:t>
      </w:r>
      <w:r w:rsidR="006E2978">
        <w:t>front</w:t>
      </w:r>
      <w:r>
        <w:t xml:space="preserve"> </w:t>
      </w:r>
      <w:r w:rsidR="006E2978">
        <w:t>end, back-end, both, or neither.</w:t>
      </w:r>
      <w:r>
        <w:t xml:space="preserve"> </w:t>
      </w:r>
      <w:r w:rsidR="006E2978">
        <w:t>Even</w:t>
      </w:r>
      <w:r>
        <w:t xml:space="preserve"> SLTs that</w:t>
      </w:r>
      <w:r w:rsidR="006E2978">
        <w:t xml:space="preserve"> choose not to participate in any of the CAERS </w:t>
      </w:r>
      <w:r>
        <w:t>ca</w:t>
      </w:r>
      <w:r w:rsidR="006E2978">
        <w:t>ses show</w:t>
      </w:r>
      <w:r>
        <w:t>n</w:t>
      </w:r>
      <w:r w:rsidR="006E2978">
        <w:t xml:space="preserve"> can choose to reduce burden on facilities via collaboration with the CAERS features</w:t>
      </w:r>
      <w:r>
        <w:t xml:space="preserve">, such as expected quality assurance services, shared code tables, and other necessary aspects of electronic data collection and compilation. </w:t>
      </w:r>
    </w:p>
    <w:p w:rsidR="00171A47" w:rsidP="009E08D8" w14:paraId="72EFA933" w14:textId="77777777"/>
    <w:p w:rsidR="006E2978" w:rsidP="00560FBC" w14:paraId="37319A43" w14:textId="751A97F5">
      <w:pPr>
        <w:pStyle w:val="Caption"/>
        <w:jc w:val="center"/>
      </w:pPr>
      <w:bookmarkStart w:id="10" w:name="_Ref125624464"/>
      <w:r w:rsidRPr="00560FBC">
        <w:rPr>
          <w:b/>
          <w:bCs/>
        </w:rPr>
        <w:t xml:space="preserve">Figure </w:t>
      </w:r>
      <w:r w:rsidRPr="00560FBC">
        <w:rPr>
          <w:b/>
          <w:bCs/>
        </w:rPr>
        <w:fldChar w:fldCharType="begin"/>
      </w:r>
      <w:r w:rsidRPr="00560FBC">
        <w:rPr>
          <w:b/>
          <w:bCs/>
        </w:rPr>
        <w:instrText xml:space="preserve"> SEQ Figure \* ARABIC </w:instrText>
      </w:r>
      <w:r w:rsidRPr="00560FBC">
        <w:rPr>
          <w:b/>
          <w:bCs/>
        </w:rPr>
        <w:fldChar w:fldCharType="separate"/>
      </w:r>
      <w:r w:rsidR="00646F0F">
        <w:rPr>
          <w:b/>
          <w:bCs/>
          <w:noProof/>
        </w:rPr>
        <w:t>1</w:t>
      </w:r>
      <w:r w:rsidRPr="00560FBC">
        <w:rPr>
          <w:b/>
          <w:bCs/>
        </w:rPr>
        <w:fldChar w:fldCharType="end"/>
      </w:r>
      <w:bookmarkEnd w:id="10"/>
      <w:r w:rsidRPr="00560FBC">
        <w:rPr>
          <w:b/>
          <w:bCs/>
        </w:rPr>
        <w:t>:</w:t>
      </w:r>
      <w:r>
        <w:t xml:space="preserve"> Decision tree representing SLT decisions about implementing proposed requirements</w:t>
      </w:r>
    </w:p>
    <w:p w:rsidR="006E2978" w:rsidRPr="006E2978" w:rsidP="00DF3C58" w14:paraId="7E53E265" w14:textId="1AA25055">
      <w:pPr>
        <w:jc w:val="center"/>
      </w:pPr>
      <w:r>
        <w:rPr>
          <w:noProof/>
        </w:rPr>
        <mc:AlternateContent>
          <mc:Choice Requires="wps">
            <w:drawing>
              <wp:inline distT="0" distB="0" distL="0" distR="0">
                <wp:extent cx="5382883" cy="1078992"/>
                <wp:effectExtent l="0" t="0" r="27940" b="2413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82883" cy="1078992"/>
                        </a:xfrm>
                        <a:prstGeom prst="rect">
                          <a:avLst/>
                        </a:prstGeom>
                        <a:solidFill>
                          <a:srgbClr val="FFFFFF"/>
                        </a:solidFill>
                        <a:ln w="9525">
                          <a:solidFill>
                            <a:srgbClr val="000000"/>
                          </a:solidFill>
                          <a:miter lim="800000"/>
                          <a:headEnd/>
                          <a:tailEnd/>
                        </a:ln>
                      </wps:spPr>
                      <wps:txbx>
                        <w:txbxContent>
                          <w:p w:rsidR="00DF3C58" w:rsidP="00DF3C58" w14:textId="77777777">
                            <w:pPr>
                              <w:jc w:val="center"/>
                            </w:pPr>
                            <w:r w:rsidRPr="00DF3C58">
                              <w:rPr>
                                <w:noProof/>
                              </w:rPr>
                              <w:drawing>
                                <wp:inline distT="0" distB="0" distL="0" distR="0">
                                  <wp:extent cx="5136743" cy="4270075"/>
                                  <wp:effectExtent l="0" t="0" r="6985" b="0"/>
                                  <wp:docPr id="1885495468" name="Picture 4" descr="A flow diagram that illustrates a number of choices for an SLT. First, the SLT chooses whether or not to use CAERS. If Yes, then they must chooise whether to keep the SLT user interface and whether to keep the SLT back-end database. if no, they need to choose whether to report HAP on behalf of owners/operators under the proposed AERR revision.  If they choose &quot;no&quot; then the SLT needs to reflect the new AERR in their SLT regulation.  if they choose &quot;yes&quot;, then they need to not only reflect the new AERR in their SLT regualtion, but also make sure that the SLT regulation duplicates the provisions of the A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95468" name="Picture 4" descr="A flow diagram that illustrates a number of choices for an SLT. First, the SLT chooses whether or not to use CAERS. If Yes, then they must chooise whether to keep the SLT user interface and whether to keep the SLT back-end database. if no, they need to choose whether to report HAP on behalf of owners/operators under the proposed AERR revision.  If they choose &quot;no&quot; then the SLT needs to reflect the new AERR in their SLT regulation.  if they choose &quot;yes&quot;, then they need to not only reflect the new AERR in their SLT regualtion, but also make sure that the SLT regulation duplicates the provisions of the AER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8294" cy="427136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7" type="#_x0000_t202" style="width:423.85pt;height:84.95pt;mso-left-percent:-10001;mso-position-horizontal-relative:char;mso-position-vertical-relative:line;mso-top-percent:-10001;mso-wrap-style:square;visibility:visible;v-text-anchor:top">
                <v:textbox style="mso-fit-shape-to-text:t">
                  <w:txbxContent>
                    <w:p w:rsidR="00DF3C58" w:rsidP="00DF3C58" w14:paraId="1EAF086B" w14:textId="77777777">
                      <w:pPr>
                        <w:jc w:val="center"/>
                      </w:pPr>
                      <w:drawing>
                        <wp:inline distT="0" distB="0" distL="0" distR="0">
                          <wp:extent cx="5136743" cy="4270075"/>
                          <wp:effectExtent l="0" t="0" r="6985" b="0"/>
                          <wp:docPr id="4" name="Picture 4" descr="A flow diagram that illustrates a number of choices for an SLT. First, the SLT chooses whether or not to use CAERS. If Yes, then they must chooise whether to keep the SLT user interface and whether to keep the SLT back-end database. if no, they need to choose whether to report HAP on behalf of owners/operators under the proposed AERR revision.  If they choose &quot;no&quot; then the SLT needs to reflect the new AERR in their SLT regulation.  if they choose &quot;yes&quot;, then they need to not only reflect the new AERR in their SLT regualtion, but also make sure that the SLT regulation duplicates the provisions of the A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ow diagram that illustrates a number of choices for an SLT. First, the SLT chooses whether or not to use CAERS. If Yes, then they must chooise whether to keep the SLT user interface and whether to keep the SLT back-end database. if no, they need to choose whether to report HAP on behalf of owners/operators under the proposed AERR revision.  If they choose &quot;no&quot; then the SLT needs to reflect the new AERR in their SLT regulation.  if they choose &quot;yes&quot;, then they need to not only reflect the new AERR in their SLT regualtion, but also make sure that the SLT regulation duplicates the provisions of the AERR."/>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8294" cy="4271364"/>
                                  </a:xfrm>
                                  <a:prstGeom prst="rect">
                                    <a:avLst/>
                                  </a:prstGeom>
                                  <a:noFill/>
                                  <a:ln>
                                    <a:noFill/>
                                  </a:ln>
                                </pic:spPr>
                              </pic:pic>
                            </a:graphicData>
                          </a:graphic>
                        </wp:inline>
                      </w:drawing>
                    </w:p>
                  </w:txbxContent>
                </v:textbox>
                <w10:wrap type="none"/>
                <w10:anchorlock/>
              </v:shape>
            </w:pict>
          </mc:Fallback>
        </mc:AlternateContent>
      </w:r>
    </w:p>
    <w:p w:rsidR="00DF7211" w:rsidP="009E08D8" w14:paraId="3A4BEB3A" w14:textId="68D131CF"/>
    <w:p w:rsidR="00DF3C58" w:rsidRPr="006E2978" w:rsidP="00DF3C58" w14:paraId="6B0D0659" w14:textId="60EC7C95">
      <w:r>
        <w:t>Once an SLT has determine</w:t>
      </w:r>
      <w:r w:rsidR="001401EC">
        <w:t>d</w:t>
      </w:r>
      <w:r>
        <w:t xml:space="preserve"> their plans for interacting with CAERS, the state </w:t>
      </w:r>
      <w:r w:rsidR="00F83100">
        <w:t>sh</w:t>
      </w:r>
      <w:r>
        <w:t xml:space="preserve">ould then determine whether it will report HAP on behalf of owners/operators. The combination of this decision and their decision on CAERS </w:t>
      </w:r>
      <w:r w:rsidR="0046616C">
        <w:t xml:space="preserve">would </w:t>
      </w:r>
      <w:r>
        <w:t>then need to be part of the process of updating SLT regulations</w:t>
      </w:r>
      <w:r w:rsidR="0046616C">
        <w:t xml:space="preserve"> to collect emissions</w:t>
      </w:r>
      <w:r w:rsidR="001110F5">
        <w:t>. The EPA</w:t>
      </w:r>
      <w:r>
        <w:t xml:space="preserve"> expects most states would need to update their emissions collection regulations to comply with aspects of these proposed revisions, even if the SLT chooses not to participate in CAERS and not to report HAP on behalf of owners/operators. For example, this action proposes new requirements </w:t>
      </w:r>
      <w:r w:rsidR="0033059F">
        <w:t>to collect information regarding</w:t>
      </w:r>
      <w:r>
        <w:t xml:space="preserve"> latitude/longitude of release points, Title V permit identifiers, and regulation applicability. The EPA does not believe that </w:t>
      </w:r>
      <w:r w:rsidR="0033059F">
        <w:t>SLTs</w:t>
      </w:r>
      <w:r>
        <w:t xml:space="preserve"> will meet those requirements without collecting at least some new information. The choice of CAERS case impacts the overall burden on states as described in Section </w:t>
      </w:r>
      <w:r>
        <w:fldChar w:fldCharType="begin"/>
      </w:r>
      <w:r>
        <w:instrText xml:space="preserve"> REF _Ref106891946 \r \h </w:instrText>
      </w:r>
      <w:r>
        <w:fldChar w:fldCharType="separate"/>
      </w:r>
      <w:r w:rsidR="00646F0F">
        <w:t>12.3.1</w:t>
      </w:r>
      <w:r>
        <w:fldChar w:fldCharType="end"/>
      </w:r>
      <w:r>
        <w:t>.</w:t>
      </w:r>
    </w:p>
    <w:p w:rsidR="00DF3C58" w:rsidP="00DF3C58" w14:paraId="6DB96CB4" w14:textId="77777777"/>
    <w:p w:rsidR="008D4B7E" w:rsidRPr="004E6C7D" w:rsidP="00C44F5A" w14:paraId="23DFEC38" w14:textId="06569922">
      <w:pPr>
        <w:pStyle w:val="Heading3"/>
      </w:pPr>
      <w:bookmarkStart w:id="11" w:name="_Ref106891946"/>
      <w:r w:rsidRPr="004E6C7D">
        <w:t>SLT burden for one-time activities</w:t>
      </w:r>
      <w:r w:rsidR="00FB328C">
        <w:t xml:space="preserve"> under proposed AERR</w:t>
      </w:r>
      <w:bookmarkEnd w:id="11"/>
    </w:p>
    <w:p w:rsidR="00F83100" w:rsidP="008D4B7E" w14:paraId="58BE666C" w14:textId="489408AB">
      <w:r>
        <w:t xml:space="preserve">To prepare for proposed changes to the AERR that would take effect for the 2026 reporting year, SLTs would have </w:t>
      </w:r>
      <w:r w:rsidR="00984B04">
        <w:t>both</w:t>
      </w:r>
      <w:r>
        <w:t xml:space="preserve"> required and voluntary one-time efforts that would occur during th</w:t>
      </w:r>
      <w:r w:rsidR="00164309">
        <w:t xml:space="preserve">e </w:t>
      </w:r>
      <w:r>
        <w:t>period</w:t>
      </w:r>
      <w:r w:rsidR="00164309">
        <w:t xml:space="preserve"> covered by the ICR</w:t>
      </w:r>
      <w:r>
        <w:t xml:space="preserve">. </w:t>
      </w:r>
      <w:r w:rsidR="00177407">
        <w:t>O</w:t>
      </w:r>
      <w:r w:rsidR="00631569">
        <w:t xml:space="preserve">ne-time activities </w:t>
      </w:r>
      <w:r w:rsidR="00177407">
        <w:t xml:space="preserve">would be </w:t>
      </w:r>
      <w:r w:rsidR="0046616C">
        <w:t>to prepare for</w:t>
      </w:r>
      <w:r w:rsidR="00631569">
        <w:t xml:space="preserve"> proposed changes </w:t>
      </w:r>
      <w:r w:rsidR="0046616C">
        <w:t xml:space="preserve">(that would take effect in 2027) </w:t>
      </w:r>
      <w:r w:rsidR="00631569">
        <w:t>in point source reporting and in prescribed fire activity data requirements. For point sources, t</w:t>
      </w:r>
      <w:r>
        <w:t>hese activities depend on</w:t>
      </w:r>
      <w:r w:rsidR="00631569">
        <w:t xml:space="preserve"> </w:t>
      </w:r>
      <w:r w:rsidR="00BD788B">
        <w:t>three</w:t>
      </w:r>
      <w:r w:rsidR="00631569">
        <w:t xml:space="preserve"> SLT</w:t>
      </w:r>
      <w:r>
        <w:t xml:space="preserve"> choice</w:t>
      </w:r>
      <w:r w:rsidR="00631569">
        <w:t>s:</w:t>
      </w:r>
    </w:p>
    <w:p w:rsidR="00F83100" w:rsidP="00F83100" w14:paraId="40A808DD" w14:textId="22E36393">
      <w:pPr>
        <w:pStyle w:val="ListParagraph"/>
        <w:numPr>
          <w:ilvl w:val="0"/>
          <w:numId w:val="32"/>
        </w:numPr>
      </w:pPr>
      <w:r>
        <w:t>W</w:t>
      </w:r>
      <w:r w:rsidR="00AB406C">
        <w:t xml:space="preserve">hether the SLT will adopt CAERS to support point source emissions collection or keep the SLT point source emissions collection system, </w:t>
      </w:r>
    </w:p>
    <w:p w:rsidR="00121DE8" w:rsidP="00F83100" w14:paraId="72D75411" w14:textId="77777777">
      <w:pPr>
        <w:pStyle w:val="ListParagraph"/>
        <w:numPr>
          <w:ilvl w:val="0"/>
          <w:numId w:val="32"/>
        </w:numPr>
      </w:pPr>
      <w:r>
        <w:t>W</w:t>
      </w:r>
      <w:r w:rsidR="00AB406C">
        <w:t xml:space="preserve">hether the state will report HAP on behalf of owners/operators, and </w:t>
      </w:r>
    </w:p>
    <w:p w:rsidR="00121DE8" w:rsidP="00F83100" w14:paraId="1F4CCD70" w14:textId="0418A301">
      <w:pPr>
        <w:pStyle w:val="ListParagraph"/>
        <w:numPr>
          <w:ilvl w:val="0"/>
          <w:numId w:val="32"/>
        </w:numPr>
      </w:pPr>
      <w:r>
        <w:t>W</w:t>
      </w:r>
      <w:r w:rsidR="00AB406C">
        <w:t xml:space="preserve">hether the state will maintain </w:t>
      </w:r>
      <w:r w:rsidR="0046616C">
        <w:t xml:space="preserve">or develop </w:t>
      </w:r>
      <w:r w:rsidR="00AB406C">
        <w:t xml:space="preserve">their own HAP collection program. </w:t>
      </w:r>
      <w:r>
        <w:br/>
      </w:r>
    </w:p>
    <w:p w:rsidR="008D4B7E" w:rsidP="00121DE8" w14:paraId="454A9E41" w14:textId="4342B9BB">
      <w:r>
        <w:t>T</w:t>
      </w:r>
      <w:r w:rsidR="00164309">
        <w:t xml:space="preserve">hese activities </w:t>
      </w:r>
      <w:r w:rsidR="0046616C">
        <w:t xml:space="preserve">A through F </w:t>
      </w:r>
      <w:r w:rsidR="007D0A3F">
        <w:t>and associated choices</w:t>
      </w:r>
      <w:r w:rsidR="00164309">
        <w:t xml:space="preserve"> are:</w:t>
      </w:r>
    </w:p>
    <w:p w:rsidR="00A24FCE" w:rsidP="008D4B7E" w14:paraId="07A1FB7D" w14:textId="77777777"/>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0"/>
        <w:gridCol w:w="576"/>
        <w:gridCol w:w="5254"/>
      </w:tblGrid>
      <w:tr w14:paraId="0BE0B935" w14:textId="77777777" w:rsidTr="00560FBC">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450" w:type="dxa"/>
            <w:gridSpan w:val="3"/>
          </w:tcPr>
          <w:p w:rsidR="002B0AB7" w:rsidRPr="004E6C7D" w:rsidP="004E6C7D" w14:paraId="3400559A" w14:textId="79DBC0C4">
            <w:pPr>
              <w:keepNext/>
              <w:spacing w:after="120"/>
              <w:rPr>
                <w:i/>
                <w:iCs/>
              </w:rPr>
            </w:pPr>
            <w:r w:rsidRPr="004E6C7D">
              <w:rPr>
                <w:i/>
                <w:iCs/>
              </w:rPr>
              <w:t xml:space="preserve">States </w:t>
            </w:r>
            <w:r w:rsidR="000A3259">
              <w:rPr>
                <w:i/>
                <w:iCs/>
              </w:rPr>
              <w:t>c</w:t>
            </w:r>
            <w:r>
              <w:rPr>
                <w:i/>
                <w:iCs/>
              </w:rPr>
              <w:t>ould</w:t>
            </w:r>
            <w:r w:rsidRPr="004E6C7D">
              <w:rPr>
                <w:i/>
                <w:iCs/>
              </w:rPr>
              <w:t xml:space="preserve"> choose </w:t>
            </w:r>
            <w:r w:rsidR="00C07D50">
              <w:rPr>
                <w:i/>
                <w:iCs/>
              </w:rPr>
              <w:t>activity A-1</w:t>
            </w:r>
            <w:r>
              <w:rPr>
                <w:i/>
                <w:iCs/>
              </w:rPr>
              <w:t xml:space="preserve"> </w:t>
            </w:r>
            <w:r w:rsidR="00FB328C">
              <w:rPr>
                <w:i/>
                <w:iCs/>
              </w:rPr>
              <w:t xml:space="preserve">(higher burden) </w:t>
            </w:r>
            <w:r>
              <w:rPr>
                <w:i/>
                <w:iCs/>
              </w:rPr>
              <w:t xml:space="preserve">or </w:t>
            </w:r>
            <w:r w:rsidR="00C07D50">
              <w:rPr>
                <w:i/>
                <w:iCs/>
              </w:rPr>
              <w:t>A-2</w:t>
            </w:r>
            <w:r w:rsidR="00FB328C">
              <w:rPr>
                <w:i/>
                <w:iCs/>
              </w:rPr>
              <w:t xml:space="preserve"> (lower burden)</w:t>
            </w:r>
            <w:r w:rsidRPr="004E6C7D">
              <w:rPr>
                <w:i/>
                <w:iCs/>
              </w:rPr>
              <w:t>:</w:t>
            </w:r>
          </w:p>
        </w:tc>
      </w:tr>
      <w:tr w14:paraId="132E3770" w14:textId="77777777" w:rsidTr="00560FBC">
        <w:tblPrEx>
          <w:tblW w:w="9450" w:type="dxa"/>
          <w:tblLook w:val="04A0"/>
        </w:tblPrEx>
        <w:tc>
          <w:tcPr>
            <w:tcW w:w="3620" w:type="dxa"/>
          </w:tcPr>
          <w:p w:rsidR="00984B04" w:rsidP="004E6C7D" w14:paraId="5D22A44A" w14:textId="55B1B347">
            <w:pPr>
              <w:tabs>
                <w:tab w:val="clear" w:pos="-43"/>
              </w:tabs>
              <w:ind w:left="341" w:hanging="341"/>
            </w:pPr>
            <w:r>
              <w:t>A-</w:t>
            </w:r>
            <w:r w:rsidR="007D0A3F">
              <w:t>1</w:t>
            </w:r>
            <w:r w:rsidR="002B0AB7">
              <w:t xml:space="preserve">. </w:t>
            </w:r>
            <w:r>
              <w:t xml:space="preserve">Update SLT </w:t>
            </w:r>
            <w:r w:rsidR="00FB328C">
              <w:t xml:space="preserve">point source emissions collection </w:t>
            </w:r>
            <w:r>
              <w:t>system to accommodate new AERR requirements consistent with SLT regulation update</w:t>
            </w:r>
            <w:r w:rsidR="00BD788B">
              <w:t>.</w:t>
            </w:r>
            <w:r w:rsidR="002B0AB7">
              <w:br/>
            </w:r>
          </w:p>
        </w:tc>
        <w:tc>
          <w:tcPr>
            <w:tcW w:w="576" w:type="dxa"/>
          </w:tcPr>
          <w:p w:rsidR="00984B04" w:rsidRPr="004E6C7D" w:rsidP="004E6C7D" w14:paraId="404B735A" w14:textId="4FFF5203">
            <w:pPr>
              <w:jc w:val="center"/>
              <w:rPr>
                <w:b/>
                <w:bCs/>
              </w:rPr>
            </w:pPr>
            <w:r w:rsidRPr="00560FBC">
              <w:t>|</w:t>
            </w:r>
            <w:r w:rsidR="00FB328C">
              <w:rPr>
                <w:b/>
                <w:bCs/>
              </w:rPr>
              <w:br/>
            </w:r>
            <w:r w:rsidRPr="004E6C7D">
              <w:rPr>
                <w:b/>
                <w:bCs/>
              </w:rPr>
              <w:t>OR</w:t>
            </w:r>
            <w:r>
              <w:rPr>
                <w:b/>
                <w:bCs/>
              </w:rPr>
              <w:br/>
            </w:r>
            <w:r w:rsidRPr="00560FBC">
              <w:t>|</w:t>
            </w:r>
            <w:r w:rsidRPr="00560FBC">
              <w:br/>
              <w:t>|</w:t>
            </w:r>
            <w:r w:rsidRPr="00560FBC">
              <w:br/>
              <w:t>|</w:t>
            </w:r>
          </w:p>
        </w:tc>
        <w:tc>
          <w:tcPr>
            <w:tcW w:w="5254" w:type="dxa"/>
          </w:tcPr>
          <w:p w:rsidR="00984B04" w:rsidP="004E6C7D" w14:paraId="15059B94" w14:textId="1D9575AD">
            <w:pPr>
              <w:tabs>
                <w:tab w:val="clear" w:pos="-43"/>
                <w:tab w:val="clear" w:pos="422"/>
              </w:tabs>
              <w:ind w:left="371" w:hanging="360"/>
            </w:pPr>
            <w:r>
              <w:t>A-2</w:t>
            </w:r>
            <w:r>
              <w:t xml:space="preserve">. Adopt CAERS </w:t>
            </w:r>
            <w:r w:rsidR="002B0AB7">
              <w:t xml:space="preserve">as SLT </w:t>
            </w:r>
            <w:r w:rsidR="00FB328C">
              <w:t xml:space="preserve">point source emissions collection </w:t>
            </w:r>
            <w:r w:rsidR="002B0AB7">
              <w:t>system</w:t>
            </w:r>
            <w:r w:rsidR="00815EA7">
              <w:t xml:space="preserve"> (</w:t>
            </w:r>
            <w:r w:rsidR="00CF71A4">
              <w:t>case</w:t>
            </w:r>
            <w:r w:rsidR="00815EA7">
              <w:t xml:space="preserve"> 1 or 2).</w:t>
            </w:r>
          </w:p>
        </w:tc>
      </w:tr>
      <w:tr w14:paraId="4E98635E" w14:textId="77777777" w:rsidTr="00560FBC">
        <w:tblPrEx>
          <w:tblW w:w="9450" w:type="dxa"/>
          <w:tblLook w:val="04A0"/>
        </w:tblPrEx>
        <w:tc>
          <w:tcPr>
            <w:tcW w:w="9450" w:type="dxa"/>
            <w:gridSpan w:val="3"/>
          </w:tcPr>
          <w:p w:rsidR="002B0AB7" w:rsidP="004E6C7D" w14:paraId="229F2698" w14:textId="026B9FAC">
            <w:pPr>
              <w:keepNext/>
              <w:tabs>
                <w:tab w:val="clear" w:pos="-43"/>
                <w:tab w:val="clear" w:pos="422"/>
              </w:tabs>
              <w:spacing w:after="120"/>
            </w:pPr>
            <w:r w:rsidRPr="00FA7943">
              <w:rPr>
                <w:i/>
                <w:iCs/>
              </w:rPr>
              <w:t xml:space="preserve">States </w:t>
            </w:r>
            <w:r w:rsidR="000A3259">
              <w:rPr>
                <w:i/>
                <w:iCs/>
              </w:rPr>
              <w:t>c</w:t>
            </w:r>
            <w:r>
              <w:rPr>
                <w:i/>
                <w:iCs/>
              </w:rPr>
              <w:t>ould</w:t>
            </w:r>
            <w:r w:rsidRPr="00FA7943">
              <w:rPr>
                <w:i/>
                <w:iCs/>
              </w:rPr>
              <w:t xml:space="preserve"> choose </w:t>
            </w:r>
            <w:r w:rsidR="00C07D50">
              <w:rPr>
                <w:i/>
                <w:iCs/>
              </w:rPr>
              <w:t>activity B-</w:t>
            </w:r>
            <w:r w:rsidR="007D0A3F">
              <w:rPr>
                <w:i/>
                <w:iCs/>
              </w:rPr>
              <w:t>1</w:t>
            </w:r>
            <w:r w:rsidR="00FB328C">
              <w:rPr>
                <w:i/>
                <w:iCs/>
              </w:rPr>
              <w:t xml:space="preserve"> through </w:t>
            </w:r>
            <w:r w:rsidR="00C07D50">
              <w:rPr>
                <w:i/>
                <w:iCs/>
              </w:rPr>
              <w:t>B-3</w:t>
            </w:r>
            <w:r w:rsidR="00FB328C">
              <w:rPr>
                <w:i/>
                <w:iCs/>
              </w:rPr>
              <w:t xml:space="preserve"> (higher burden) or </w:t>
            </w:r>
            <w:r w:rsidR="00C07D50">
              <w:rPr>
                <w:i/>
                <w:iCs/>
              </w:rPr>
              <w:t>B-4</w:t>
            </w:r>
            <w:r w:rsidR="00BD788B">
              <w:rPr>
                <w:i/>
                <w:iCs/>
              </w:rPr>
              <w:t xml:space="preserve"> through </w:t>
            </w:r>
            <w:r w:rsidR="00C07D50">
              <w:rPr>
                <w:i/>
                <w:iCs/>
              </w:rPr>
              <w:t>B-</w:t>
            </w:r>
            <w:r w:rsidR="007D0A3F">
              <w:rPr>
                <w:i/>
                <w:iCs/>
              </w:rPr>
              <w:t>7</w:t>
            </w:r>
            <w:r w:rsidR="00281B92">
              <w:rPr>
                <w:i/>
                <w:iCs/>
              </w:rPr>
              <w:t>/</w:t>
            </w:r>
            <w:r w:rsidR="00C07D50">
              <w:rPr>
                <w:i/>
                <w:iCs/>
              </w:rPr>
              <w:t>B-</w:t>
            </w:r>
            <w:r w:rsidR="007D0A3F">
              <w:rPr>
                <w:i/>
                <w:iCs/>
              </w:rPr>
              <w:t>8</w:t>
            </w:r>
            <w:r w:rsidR="00281B92">
              <w:rPr>
                <w:i/>
                <w:iCs/>
              </w:rPr>
              <w:t xml:space="preserve"> (lower burden)</w:t>
            </w:r>
          </w:p>
        </w:tc>
      </w:tr>
      <w:tr w14:paraId="337CB05A" w14:textId="77777777" w:rsidTr="00560FBC">
        <w:tblPrEx>
          <w:tblW w:w="9450" w:type="dxa"/>
          <w:tblLook w:val="04A0"/>
        </w:tblPrEx>
        <w:tc>
          <w:tcPr>
            <w:tcW w:w="3620" w:type="dxa"/>
          </w:tcPr>
          <w:p w:rsidR="002B0AB7" w:rsidP="004E6C7D" w14:paraId="6F117FC7" w14:textId="665EA955">
            <w:pPr>
              <w:tabs>
                <w:tab w:val="clear" w:pos="-43"/>
              </w:tabs>
              <w:spacing w:after="120"/>
              <w:ind w:left="346" w:hanging="346"/>
            </w:pPr>
            <w:r>
              <w:t>B-1</w:t>
            </w:r>
            <w:r>
              <w:t xml:space="preserve">. </w:t>
            </w:r>
            <w:r w:rsidR="00AB406C">
              <w:t>Revise SLT emissions collection regulation to include HAP reporting consistent with AERR requirements.</w:t>
            </w:r>
          </w:p>
        </w:tc>
        <w:tc>
          <w:tcPr>
            <w:tcW w:w="576" w:type="dxa"/>
            <w:vMerge w:val="restart"/>
          </w:tcPr>
          <w:p w:rsidR="002B0AB7" w:rsidP="004E6C7D" w14:paraId="1952BCF0" w14:textId="77777777">
            <w:pPr>
              <w:jc w:val="center"/>
              <w:rPr>
                <w:b/>
                <w:bCs/>
              </w:rPr>
            </w:pPr>
            <w:r w:rsidRPr="00560FBC">
              <w:t>|</w:t>
            </w:r>
            <w:r w:rsidRPr="00560FBC">
              <w:br/>
              <w:t>|</w:t>
            </w:r>
            <w:r w:rsidRPr="00560FBC">
              <w:br/>
              <w:t>|</w:t>
            </w:r>
            <w:r w:rsidRPr="00560FBC">
              <w:br/>
              <w:t>|</w:t>
            </w:r>
            <w:r w:rsidR="00FB328C">
              <w:rPr>
                <w:b/>
                <w:bCs/>
              </w:rPr>
              <w:br/>
            </w:r>
            <w:r w:rsidRPr="004E6C7D">
              <w:rPr>
                <w:b/>
                <w:bCs/>
              </w:rPr>
              <w:t>OR</w:t>
            </w:r>
          </w:p>
          <w:p w:rsidR="00815EA7" w:rsidRPr="00560FBC" w:rsidP="004E6C7D" w14:paraId="4CD1ADEE" w14:textId="0883CC64">
            <w:pPr>
              <w:jc w:val="center"/>
            </w:pPr>
            <w:r w:rsidRPr="00560FBC">
              <w:t>|</w:t>
            </w:r>
            <w:r w:rsidRPr="00560FBC">
              <w:br/>
              <w:t>|</w:t>
            </w:r>
            <w:r w:rsidRPr="00560FBC">
              <w:br/>
              <w:t>|</w:t>
            </w:r>
            <w:r w:rsidRPr="00560FBC">
              <w:br/>
              <w:t>|</w:t>
            </w:r>
            <w:r w:rsidRPr="00560FBC">
              <w:br/>
              <w:t>|</w:t>
            </w:r>
            <w:r w:rsidRPr="00560FBC">
              <w:br/>
              <w:t>|</w:t>
            </w:r>
          </w:p>
        </w:tc>
        <w:tc>
          <w:tcPr>
            <w:tcW w:w="5254" w:type="dxa"/>
            <w:vMerge w:val="restart"/>
          </w:tcPr>
          <w:p w:rsidR="002B0AB7" w:rsidP="00BD788B" w14:paraId="6A1A4117" w14:textId="7B00BCA3">
            <w:pPr>
              <w:tabs>
                <w:tab w:val="clear" w:pos="-43"/>
              </w:tabs>
              <w:spacing w:after="120"/>
              <w:ind w:left="389" w:hanging="389"/>
            </w:pPr>
            <w:r>
              <w:t>B</w:t>
            </w:r>
            <w:r w:rsidR="00C07D50">
              <w:t>-</w:t>
            </w:r>
            <w:r>
              <w:t>4</w:t>
            </w:r>
            <w:r>
              <w:t xml:space="preserve">. </w:t>
            </w:r>
            <w:r>
              <w:tab/>
              <w:t xml:space="preserve">Rely on EPA HAP collection </w:t>
            </w:r>
            <w:r w:rsidR="00BD788B">
              <w:t>via CAERS</w:t>
            </w:r>
            <w:r w:rsidR="00815EA7">
              <w:t xml:space="preserve"> (</w:t>
            </w:r>
            <w:r w:rsidR="00CF71A4">
              <w:t>case</w:t>
            </w:r>
            <w:r w:rsidR="0046616C">
              <w:t>s 1-4</w:t>
            </w:r>
            <w:r w:rsidR="00815EA7">
              <w:t>).</w:t>
            </w:r>
          </w:p>
          <w:p w:rsidR="00BD788B" w:rsidRPr="004E6C7D" w:rsidP="004E6C7D" w14:paraId="12B5896F" w14:textId="41419C2A">
            <w:pPr>
              <w:tabs>
                <w:tab w:val="clear" w:pos="-43"/>
                <w:tab w:val="left" w:pos="0"/>
                <w:tab w:val="clear" w:pos="422"/>
              </w:tabs>
              <w:spacing w:after="120"/>
              <w:ind w:left="12" w:hanging="12"/>
              <w:rPr>
                <w:i/>
                <w:iCs/>
              </w:rPr>
            </w:pPr>
            <w:r>
              <w:rPr>
                <w:i/>
                <w:iCs/>
              </w:rPr>
              <w:t>and, f</w:t>
            </w:r>
            <w:r>
              <w:rPr>
                <w:i/>
                <w:iCs/>
              </w:rPr>
              <w:t xml:space="preserve">or states with HAP collection program that they want to </w:t>
            </w:r>
            <w:r>
              <w:rPr>
                <w:i/>
                <w:iCs/>
              </w:rPr>
              <w:t xml:space="preserve">create or </w:t>
            </w:r>
            <w:r>
              <w:rPr>
                <w:i/>
                <w:iCs/>
              </w:rPr>
              <w:t>maintain:</w:t>
            </w:r>
          </w:p>
          <w:p w:rsidR="00BD788B" w:rsidP="004E6C7D" w14:paraId="06AFFCD0" w14:textId="1BE99877">
            <w:pPr>
              <w:tabs>
                <w:tab w:val="clear" w:pos="-43"/>
              </w:tabs>
              <w:spacing w:after="120"/>
              <w:ind w:left="389" w:hanging="389"/>
            </w:pPr>
            <w:r>
              <w:t>B-</w:t>
            </w:r>
            <w:r w:rsidR="007D0A3F">
              <w:t>5</w:t>
            </w:r>
            <w:r>
              <w:t xml:space="preserve">. </w:t>
            </w:r>
            <w:r>
              <w:tab/>
              <w:t>Create and deliver training to owners/operators.</w:t>
            </w:r>
          </w:p>
          <w:p w:rsidR="00BD788B" w:rsidP="00BD788B" w14:paraId="02E9CF87" w14:textId="049D1F9D">
            <w:pPr>
              <w:tabs>
                <w:tab w:val="clear" w:pos="-43"/>
              </w:tabs>
              <w:spacing w:after="120"/>
              <w:ind w:left="389" w:hanging="389"/>
            </w:pPr>
            <w:r>
              <w:t>B-</w:t>
            </w:r>
            <w:r w:rsidR="007D0A3F">
              <w:t>6</w:t>
            </w:r>
            <w:r>
              <w:t xml:space="preserve">. </w:t>
            </w:r>
            <w:r>
              <w:tab/>
              <w:t>Curate list of facilities to remove duplicates.</w:t>
            </w:r>
          </w:p>
          <w:p w:rsidR="00BD788B" w:rsidP="00BD788B" w14:paraId="653B17D9" w14:textId="297D611F">
            <w:pPr>
              <w:tabs>
                <w:tab w:val="clear" w:pos="-43"/>
              </w:tabs>
              <w:spacing w:after="120"/>
              <w:ind w:left="389" w:hanging="389"/>
            </w:pPr>
            <w:r>
              <w:t>B-</w:t>
            </w:r>
            <w:r w:rsidR="007D0A3F">
              <w:t>7</w:t>
            </w:r>
            <w:r>
              <w:t>.</w:t>
            </w:r>
            <w:r>
              <w:t xml:space="preserve"> </w:t>
            </w:r>
            <w:r>
              <w:t>Other coordination activities including ensuring any CAERS customizations meet SLT requirements.</w:t>
            </w:r>
          </w:p>
          <w:p w:rsidR="00BD788B" w:rsidP="004E6C7D" w14:paraId="0D5FE910" w14:textId="4A03AE2A">
            <w:pPr>
              <w:tabs>
                <w:tab w:val="clear" w:pos="-43"/>
              </w:tabs>
              <w:ind w:left="385" w:hanging="385"/>
            </w:pPr>
            <w:r>
              <w:t>B-</w:t>
            </w:r>
            <w:r w:rsidR="007D0A3F">
              <w:t>8</w:t>
            </w:r>
            <w:r>
              <w:t>.</w:t>
            </w:r>
            <w:r>
              <w:t xml:space="preserve"> </w:t>
            </w:r>
            <w:r>
              <w:t>Optionally, instrument SLT emissions collection system to receive data from CAERS.</w:t>
            </w:r>
            <w:r>
              <w:br/>
            </w:r>
          </w:p>
        </w:tc>
      </w:tr>
      <w:tr w14:paraId="35D27D55" w14:textId="77777777" w:rsidTr="00560FBC">
        <w:tblPrEx>
          <w:tblW w:w="9450" w:type="dxa"/>
          <w:tblLook w:val="04A0"/>
        </w:tblPrEx>
        <w:tc>
          <w:tcPr>
            <w:tcW w:w="3620" w:type="dxa"/>
          </w:tcPr>
          <w:p w:rsidR="002B0AB7" w:rsidP="004E6C7D" w14:paraId="5186469C" w14:textId="4626D922">
            <w:pPr>
              <w:tabs>
                <w:tab w:val="clear" w:pos="-43"/>
                <w:tab w:val="clear" w:pos="422"/>
              </w:tabs>
              <w:spacing w:after="120"/>
              <w:ind w:left="346" w:hanging="346"/>
            </w:pPr>
            <w:r>
              <w:t>B-2</w:t>
            </w:r>
            <w:r>
              <w:t>.</w:t>
            </w:r>
            <w:r>
              <w:t xml:space="preserve"> </w:t>
            </w:r>
            <w:r>
              <w:t xml:space="preserve">Update SLT </w:t>
            </w:r>
            <w:r w:rsidR="00FB328C">
              <w:t>point source emissions collection</w:t>
            </w:r>
            <w:r>
              <w:t xml:space="preserve"> system to accommodate new HAP </w:t>
            </w:r>
            <w:r w:rsidR="00FB328C">
              <w:t>requirements</w:t>
            </w:r>
            <w:r w:rsidR="00BD788B">
              <w:t>.</w:t>
            </w:r>
          </w:p>
        </w:tc>
        <w:tc>
          <w:tcPr>
            <w:tcW w:w="576" w:type="dxa"/>
            <w:vMerge/>
          </w:tcPr>
          <w:p w:rsidR="002B0AB7" w:rsidP="00984B04" w14:paraId="596DC175" w14:textId="77777777"/>
        </w:tc>
        <w:tc>
          <w:tcPr>
            <w:tcW w:w="5254" w:type="dxa"/>
            <w:vMerge/>
          </w:tcPr>
          <w:p w:rsidR="002B0AB7" w:rsidP="00984B04" w14:paraId="274FA750" w14:textId="3CB3D135"/>
        </w:tc>
      </w:tr>
      <w:tr w14:paraId="4608AB3B" w14:textId="77777777" w:rsidTr="00B63D21">
        <w:tblPrEx>
          <w:tblW w:w="9450" w:type="dxa"/>
          <w:tblLook w:val="04A0"/>
        </w:tblPrEx>
        <w:trPr>
          <w:trHeight w:val="1035"/>
        </w:trPr>
        <w:tc>
          <w:tcPr>
            <w:tcW w:w="3620" w:type="dxa"/>
          </w:tcPr>
          <w:p w:rsidR="002B0AB7" w:rsidP="002B0AB7" w14:paraId="1A6DD348" w14:textId="0092C97A">
            <w:pPr>
              <w:tabs>
                <w:tab w:val="clear" w:pos="-43"/>
                <w:tab w:val="clear" w:pos="422"/>
              </w:tabs>
              <w:ind w:left="341" w:hanging="341"/>
            </w:pPr>
            <w:r>
              <w:t>B-3</w:t>
            </w:r>
            <w:r>
              <w:t>.</w:t>
            </w:r>
            <w:r>
              <w:t xml:space="preserve"> </w:t>
            </w:r>
            <w:r w:rsidR="00DF7211">
              <w:t>Apply</w:t>
            </w:r>
            <w:r>
              <w:t xml:space="preserve"> to EPA for permission to report HAP on behalf of </w:t>
            </w:r>
            <w:r w:rsidR="00FB328C">
              <w:t>owners/operators</w:t>
            </w:r>
            <w:r w:rsidR="00BD788B">
              <w:t>.</w:t>
            </w:r>
          </w:p>
        </w:tc>
        <w:tc>
          <w:tcPr>
            <w:tcW w:w="576" w:type="dxa"/>
            <w:vMerge/>
          </w:tcPr>
          <w:p w:rsidR="002B0AB7" w:rsidP="00984B04" w14:paraId="024F2696" w14:textId="77777777"/>
        </w:tc>
        <w:tc>
          <w:tcPr>
            <w:tcW w:w="5254" w:type="dxa"/>
            <w:vMerge/>
          </w:tcPr>
          <w:p w:rsidR="002B0AB7" w:rsidP="00984B04" w14:paraId="3187E92A" w14:textId="77777777"/>
        </w:tc>
      </w:tr>
      <w:tr w14:paraId="7417892E" w14:textId="77777777" w:rsidTr="00B63D21">
        <w:tblPrEx>
          <w:tblW w:w="9450" w:type="dxa"/>
          <w:tblLook w:val="04A0"/>
        </w:tblPrEx>
        <w:trPr>
          <w:trHeight w:val="1341"/>
        </w:trPr>
        <w:tc>
          <w:tcPr>
            <w:tcW w:w="9450" w:type="dxa"/>
            <w:gridSpan w:val="3"/>
          </w:tcPr>
          <w:p w:rsidR="00815EA7" w:rsidP="00560FBC" w14:paraId="7A2EE516" w14:textId="47E3C23E">
            <w:pPr>
              <w:tabs>
                <w:tab w:val="clear" w:pos="-43"/>
              </w:tabs>
              <w:ind w:left="337" w:hanging="337"/>
            </w:pPr>
            <w:r>
              <w:t>C.</w:t>
            </w:r>
            <w:r>
              <w:t xml:space="preserve"> </w:t>
            </w:r>
            <w:r>
              <w:tab/>
            </w:r>
            <w:r w:rsidRPr="0082094C">
              <w:t xml:space="preserve">Revise SLT </w:t>
            </w:r>
            <w:r>
              <w:t xml:space="preserve">emissions collection </w:t>
            </w:r>
            <w:r w:rsidRPr="0082094C">
              <w:t>regulation</w:t>
            </w:r>
            <w:r>
              <w:t>s</w:t>
            </w:r>
            <w:r w:rsidRPr="0082094C">
              <w:t xml:space="preserve"> to </w:t>
            </w:r>
            <w:r>
              <w:t>meet</w:t>
            </w:r>
            <w:r w:rsidRPr="0082094C">
              <w:t xml:space="preserve"> </w:t>
            </w:r>
            <w:r>
              <w:t xml:space="preserve">new AERR requirements for point sources: new </w:t>
            </w:r>
            <w:r w:rsidRPr="0082094C">
              <w:t>data fields</w:t>
            </w:r>
            <w:r>
              <w:t xml:space="preserve">, newly mandatory data fields, and </w:t>
            </w:r>
            <w:r w:rsidRPr="0082094C">
              <w:t>reporting of daily activity data for small generation units</w:t>
            </w:r>
            <w:r>
              <w:t xml:space="preserve"> (this could exclude updates for HAP reporting depending on SLT choice to rely on EPA collection for HAP or not)</w:t>
            </w:r>
            <w:r w:rsidRPr="0082094C">
              <w:t>.</w:t>
            </w:r>
          </w:p>
        </w:tc>
      </w:tr>
      <w:tr w14:paraId="64213CB7" w14:textId="77777777" w:rsidTr="00B63D21">
        <w:tblPrEx>
          <w:tblW w:w="9450" w:type="dxa"/>
          <w:tblLook w:val="04A0"/>
        </w:tblPrEx>
        <w:trPr>
          <w:trHeight w:val="423"/>
        </w:trPr>
        <w:tc>
          <w:tcPr>
            <w:tcW w:w="9450" w:type="dxa"/>
            <w:gridSpan w:val="3"/>
          </w:tcPr>
          <w:p w:rsidR="00FB328C" w:rsidP="004E6C7D" w14:paraId="7E1E1BE6" w14:textId="0556D889">
            <w:pPr>
              <w:tabs>
                <w:tab w:val="clear" w:pos="-43"/>
              </w:tabs>
              <w:ind w:left="341" w:hanging="341"/>
            </w:pPr>
            <w:r>
              <w:t>D</w:t>
            </w:r>
            <w:r>
              <w:t xml:space="preserve">. </w:t>
            </w:r>
            <w:r>
              <w:tab/>
              <w:t>Develop SLT regulations to collect prescribed burning data consistent with proposed AERR</w:t>
            </w:r>
            <w:r w:rsidR="00BD788B">
              <w:t>.</w:t>
            </w:r>
          </w:p>
        </w:tc>
      </w:tr>
      <w:tr w14:paraId="33609270" w14:textId="77777777" w:rsidTr="00B63D21">
        <w:tblPrEx>
          <w:tblW w:w="9450" w:type="dxa"/>
          <w:tblLook w:val="04A0"/>
        </w:tblPrEx>
        <w:trPr>
          <w:trHeight w:val="747"/>
        </w:trPr>
        <w:tc>
          <w:tcPr>
            <w:tcW w:w="9450" w:type="dxa"/>
            <w:gridSpan w:val="3"/>
          </w:tcPr>
          <w:p w:rsidR="00BD788B" w:rsidP="00BD788B" w14:paraId="51A14854" w14:textId="2EFF490F">
            <w:pPr>
              <w:tabs>
                <w:tab w:val="clear" w:pos="-43"/>
              </w:tabs>
              <w:ind w:left="341" w:hanging="341"/>
            </w:pPr>
            <w:r>
              <w:t>E</w:t>
            </w:r>
            <w:r>
              <w:t>.</w:t>
            </w:r>
            <w:r>
              <w:tab/>
              <w:t>Develop SLT data collection system for prescribed burning data to conform with EPA collection and reporting requirements.</w:t>
            </w:r>
          </w:p>
        </w:tc>
      </w:tr>
      <w:tr w14:paraId="5BEB8CEE" w14:textId="77777777" w:rsidTr="00560FBC">
        <w:tblPrEx>
          <w:tblW w:w="9450" w:type="dxa"/>
          <w:tblLook w:val="04A0"/>
        </w:tblPrEx>
        <w:tc>
          <w:tcPr>
            <w:tcW w:w="9450" w:type="dxa"/>
            <w:gridSpan w:val="3"/>
          </w:tcPr>
          <w:p w:rsidR="00BD788B" w:rsidP="00BD788B" w14:paraId="2EF72FA5" w14:textId="59AF90BE">
            <w:pPr>
              <w:tabs>
                <w:tab w:val="clear" w:pos="-43"/>
              </w:tabs>
              <w:ind w:left="341" w:hanging="341"/>
            </w:pPr>
            <w:r>
              <w:t>F</w:t>
            </w:r>
            <w:r>
              <w:t xml:space="preserve">. </w:t>
            </w:r>
            <w:r>
              <w:tab/>
              <w:t>Develop quality assurance and other techniques for prescribed burning data.</w:t>
            </w:r>
            <w:r w:rsidR="004E6C7D">
              <w:br/>
            </w:r>
          </w:p>
        </w:tc>
      </w:tr>
    </w:tbl>
    <w:p w:rsidR="002E4C95" w:rsidP="002E4C95" w14:paraId="01E983AD" w14:textId="0E95BED3">
      <w:r>
        <w:t>The EPA and SLTs have envisioned four cases for how an SLT could interact with CAER</w:t>
      </w:r>
      <w:r w:rsidR="00DF7211">
        <w:t>S</w:t>
      </w:r>
      <w:r w:rsidR="00AD2E59">
        <w:t xml:space="preserve">, which are relevant to activities </w:t>
      </w:r>
      <w:r w:rsidR="007D0A3F">
        <w:t>A</w:t>
      </w:r>
      <w:r w:rsidR="00AD2E59">
        <w:t xml:space="preserve"> and </w:t>
      </w:r>
      <w:r w:rsidR="007D0A3F">
        <w:t>B</w:t>
      </w:r>
      <w:r w:rsidR="00AD2E59">
        <w:t xml:space="preserve"> above</w:t>
      </w:r>
      <w:r>
        <w:t xml:space="preserve">. Under </w:t>
      </w:r>
      <w:r w:rsidR="00AD2E59">
        <w:t xml:space="preserve">CAERS </w:t>
      </w:r>
      <w:r w:rsidR="009A3E47">
        <w:t>case</w:t>
      </w:r>
      <w:r>
        <w:t>s</w:t>
      </w:r>
      <w:r w:rsidRPr="000A3259">
        <w:t xml:space="preserve"> 1</w:t>
      </w:r>
      <w:r>
        <w:t xml:space="preserve"> and 2, the SLT would choose to retain its data </w:t>
      </w:r>
      <w:r w:rsidR="00C07D50">
        <w:t>system but</w:t>
      </w:r>
      <w:r>
        <w:t xml:space="preserve"> rely on some aspects of the CAERS system for data sharing with other emissions programs. </w:t>
      </w:r>
      <w:r w:rsidR="007D725F">
        <w:t xml:space="preserve">SLTs could also choose </w:t>
      </w:r>
      <w:r w:rsidR="00AD2E59">
        <w:t xml:space="preserve">CAERS </w:t>
      </w:r>
      <w:r w:rsidR="009A3E47">
        <w:t>case</w:t>
      </w:r>
      <w:r>
        <w:t xml:space="preserve"> 3, in which the </w:t>
      </w:r>
      <w:r w:rsidR="007D725F">
        <w:t xml:space="preserve">SLT uses the </w:t>
      </w:r>
      <w:r>
        <w:t xml:space="preserve">CAERS user interface and retains its back-end database or </w:t>
      </w:r>
      <w:r w:rsidR="00AD2E59">
        <w:t xml:space="preserve">CAERS </w:t>
      </w:r>
      <w:r w:rsidR="009A3E47">
        <w:t>case</w:t>
      </w:r>
      <w:r>
        <w:t xml:space="preserve"> 4, where the SLT uses CAERS for </w:t>
      </w:r>
      <w:r w:rsidR="007D725F">
        <w:t xml:space="preserve">both the collection and the storage of the point source </w:t>
      </w:r>
      <w:r>
        <w:t>emissions inventory data.</w:t>
      </w:r>
    </w:p>
    <w:p w:rsidR="002E4C95" w:rsidP="002E4C95" w14:paraId="57D6327B" w14:textId="77777777"/>
    <w:p w:rsidR="000A3259" w:rsidP="004E6C7D" w14:paraId="4516320E" w14:textId="7C96814B">
      <w:r>
        <w:t xml:space="preserve">For </w:t>
      </w:r>
      <w:r w:rsidR="00AD2E59">
        <w:t>activity</w:t>
      </w:r>
      <w:r>
        <w:t xml:space="preserve"> </w:t>
      </w:r>
      <w:r w:rsidR="007D0A3F">
        <w:t>B</w:t>
      </w:r>
      <w:r w:rsidR="00AD2E59">
        <w:t xml:space="preserve"> above</w:t>
      </w:r>
      <w:r>
        <w:t>, if a</w:t>
      </w:r>
      <w:r w:rsidR="00AD2E59">
        <w:t>n</w:t>
      </w:r>
      <w:r>
        <w:t xml:space="preserve"> </w:t>
      </w:r>
      <w:r w:rsidR="00164309">
        <w:t>SLT</w:t>
      </w:r>
      <w:r>
        <w:t xml:space="preserve"> chooses the path represented by </w:t>
      </w:r>
      <w:r w:rsidR="00C07D50">
        <w:t xml:space="preserve">activity </w:t>
      </w:r>
      <w:r w:rsidR="007D0A3F">
        <w:t>B-4</w:t>
      </w:r>
      <w:r>
        <w:t xml:space="preserve"> through </w:t>
      </w:r>
      <w:r w:rsidR="007D0A3F">
        <w:t>B-8</w:t>
      </w:r>
      <w:r>
        <w:t xml:space="preserve"> (</w:t>
      </w:r>
      <w:r w:rsidR="004E6C7D">
        <w:t xml:space="preserve">the </w:t>
      </w:r>
      <w:r w:rsidR="00753B8D">
        <w:t>CAERS</w:t>
      </w:r>
      <w:r>
        <w:t xml:space="preserve"> path), the </w:t>
      </w:r>
      <w:r w:rsidR="00164309">
        <w:t xml:space="preserve">SLT </w:t>
      </w:r>
      <w:r>
        <w:t xml:space="preserve">would have various </w:t>
      </w:r>
      <w:r w:rsidR="00164309">
        <w:t xml:space="preserve">additional </w:t>
      </w:r>
      <w:r>
        <w:t xml:space="preserve">choices depending on their circumstances. </w:t>
      </w:r>
      <w:r w:rsidR="00C07D50">
        <w:t xml:space="preserve">In this case, the SLT </w:t>
      </w:r>
      <w:r w:rsidR="007D0A3F">
        <w:t>would be</w:t>
      </w:r>
      <w:r w:rsidR="00C07D50">
        <w:t xml:space="preserve"> electing to use CAERS</w:t>
      </w:r>
      <w:r w:rsidR="007D0A3F">
        <w:t xml:space="preserve"> in some form.</w:t>
      </w:r>
      <w:r w:rsidR="00C07D50">
        <w:t xml:space="preserve"> </w:t>
      </w:r>
      <w:r w:rsidR="00164309">
        <w:t xml:space="preserve">For example, SLTs </w:t>
      </w:r>
      <w:r>
        <w:t xml:space="preserve">that do not </w:t>
      </w:r>
      <w:r w:rsidR="00283025">
        <w:t xml:space="preserve">currently </w:t>
      </w:r>
      <w:r>
        <w:t xml:space="preserve">have a HAP collection program or wish to eliminate their HAP collection program and rely on EPA’s collection, could choose the lower burden option </w:t>
      </w:r>
      <w:r w:rsidR="007D0A3F">
        <w:t>B-4</w:t>
      </w:r>
      <w:r>
        <w:t xml:space="preserve"> alone. For states under the </w:t>
      </w:r>
      <w:r w:rsidR="00753B8D">
        <w:t>CAERS</w:t>
      </w:r>
      <w:r>
        <w:t xml:space="preserve"> path that wish to maintain their HAP collection program, a</w:t>
      </w:r>
      <w:r>
        <w:t xml:space="preserve">n SLT </w:t>
      </w:r>
      <w:r>
        <w:t>could choose to</w:t>
      </w:r>
      <w:r>
        <w:t>:</w:t>
      </w:r>
    </w:p>
    <w:p w:rsidR="000A3259" w:rsidP="00F17B08" w14:paraId="7C460FCA" w14:textId="57068B56">
      <w:pPr>
        <w:pStyle w:val="ListParagraph"/>
        <w:numPr>
          <w:ilvl w:val="0"/>
          <w:numId w:val="14"/>
        </w:numPr>
      </w:pPr>
      <w:r>
        <w:t>A</w:t>
      </w:r>
      <w:r w:rsidR="00BD788B">
        <w:t>dopt</w:t>
      </w:r>
      <w:r w:rsidR="00281B92">
        <w:t xml:space="preserve"> </w:t>
      </w:r>
      <w:r w:rsidR="00BD788B">
        <w:t xml:space="preserve">CAERS as </w:t>
      </w:r>
      <w:r w:rsidR="00281B92">
        <w:t xml:space="preserve">the </w:t>
      </w:r>
      <w:r w:rsidR="00BD788B">
        <w:t>SLT data system</w:t>
      </w:r>
      <w:r w:rsidR="00281B92">
        <w:t xml:space="preserve">, which would require one-time activities listed as </w:t>
      </w:r>
      <w:r w:rsidR="007D0A3F">
        <w:t>activities B-5</w:t>
      </w:r>
      <w:r w:rsidR="00281B92">
        <w:t xml:space="preserve">, </w:t>
      </w:r>
      <w:r w:rsidR="007D0A3F">
        <w:t>B-6</w:t>
      </w:r>
      <w:r w:rsidR="00281B92">
        <w:t xml:space="preserve">, and </w:t>
      </w:r>
      <w:r w:rsidR="007D0A3F">
        <w:t>B-7</w:t>
      </w:r>
      <w:r w:rsidR="00BD788B">
        <w:t xml:space="preserve"> </w:t>
      </w:r>
      <w:r w:rsidR="002E4C95">
        <w:t>(</w:t>
      </w:r>
      <w:r w:rsidR="007D0A3F">
        <w:t xml:space="preserve">needed for </w:t>
      </w:r>
      <w:r w:rsidR="002E4C95">
        <w:t xml:space="preserve">CAERS </w:t>
      </w:r>
      <w:r w:rsidR="009A3E47">
        <w:t>case</w:t>
      </w:r>
      <w:r w:rsidR="002E4C95">
        <w:t xml:space="preserve"> 4)</w:t>
      </w:r>
      <w:r w:rsidR="00380C4C">
        <w:t>;</w:t>
      </w:r>
    </w:p>
    <w:p w:rsidR="000A3259" w:rsidP="00F17B08" w14:paraId="496A8E8D" w14:textId="020D0822">
      <w:pPr>
        <w:pStyle w:val="ListParagraph"/>
        <w:numPr>
          <w:ilvl w:val="0"/>
          <w:numId w:val="14"/>
        </w:numPr>
      </w:pPr>
      <w:r>
        <w:t>C</w:t>
      </w:r>
      <w:r w:rsidR="00BD788B">
        <w:t>onnect</w:t>
      </w:r>
      <w:r w:rsidR="00281B92">
        <w:t xml:space="preserve"> the</w:t>
      </w:r>
      <w:r w:rsidR="00BD788B">
        <w:t xml:space="preserve"> SLT data system to receive data from CAERS</w:t>
      </w:r>
      <w:r w:rsidR="00281B92">
        <w:t xml:space="preserve">, which would include </w:t>
      </w:r>
      <w:r w:rsidR="007D0A3F">
        <w:t>activity B-8</w:t>
      </w:r>
      <w:r w:rsidR="002E4C95">
        <w:t xml:space="preserve"> (</w:t>
      </w:r>
      <w:r w:rsidR="007D0A3F">
        <w:t>needed for</w:t>
      </w:r>
      <w:r w:rsidR="002E4C95">
        <w:t xml:space="preserve"> CAERS </w:t>
      </w:r>
      <w:r w:rsidR="009A3E47">
        <w:t>case</w:t>
      </w:r>
      <w:r w:rsidR="002E4C95">
        <w:t xml:space="preserve"> 3)</w:t>
      </w:r>
      <w:r w:rsidR="00380C4C">
        <w:t>;</w:t>
      </w:r>
      <w:r w:rsidR="00BD788B">
        <w:t xml:space="preserve"> or</w:t>
      </w:r>
    </w:p>
    <w:p w:rsidR="000A3259" w:rsidP="00F17B08" w14:paraId="45060F04" w14:textId="265BBD17">
      <w:pPr>
        <w:pStyle w:val="ListParagraph"/>
        <w:numPr>
          <w:ilvl w:val="0"/>
          <w:numId w:val="14"/>
        </w:numPr>
      </w:pPr>
      <w:r>
        <w:t>N</w:t>
      </w:r>
      <w:r w:rsidR="00281B92">
        <w:t xml:space="preserve">ot engage with CAERS </w:t>
      </w:r>
      <w:r w:rsidR="007D0A3F">
        <w:t>using any of the four cases.</w:t>
      </w:r>
    </w:p>
    <w:p w:rsidR="000A3259" w:rsidP="004E6C7D" w14:paraId="4AC79292" w14:textId="77777777"/>
    <w:p w:rsidR="008D4B7E" w:rsidP="004E6C7D" w14:paraId="552CD1FF" w14:textId="3B2946D5">
      <w:r>
        <w:t>SLTs</w:t>
      </w:r>
      <w:r w:rsidR="00281B92">
        <w:t xml:space="preserve"> with HAP collection</w:t>
      </w:r>
      <w:r>
        <w:t xml:space="preserve"> program</w:t>
      </w:r>
      <w:r w:rsidR="00281B92">
        <w:t xml:space="preserve">s that choose </w:t>
      </w:r>
      <w:r w:rsidR="00164309">
        <w:t xml:space="preserve">not to participate in CAERS would potentially </w:t>
      </w:r>
      <w:r w:rsidR="00281B92">
        <w:t xml:space="preserve">cause at least some </w:t>
      </w:r>
      <w:r w:rsidR="00BD788B">
        <w:t xml:space="preserve">owners/operators </w:t>
      </w:r>
      <w:r w:rsidR="00281B92">
        <w:t xml:space="preserve">regulated under the </w:t>
      </w:r>
      <w:r>
        <w:t>SLT</w:t>
      </w:r>
      <w:r w:rsidR="00281B92">
        <w:t xml:space="preserve"> HAP </w:t>
      </w:r>
      <w:r w:rsidR="00753B8D">
        <w:t xml:space="preserve">reporting </w:t>
      </w:r>
      <w:r w:rsidR="00281B92">
        <w:t xml:space="preserve">requirements to have to </w:t>
      </w:r>
      <w:r w:rsidR="00BD788B">
        <w:t xml:space="preserve">report </w:t>
      </w:r>
      <w:r w:rsidR="00753B8D">
        <w:t xml:space="preserve">both </w:t>
      </w:r>
      <w:r w:rsidR="00BD788B">
        <w:t xml:space="preserve">to CAERS and </w:t>
      </w:r>
      <w:r w:rsidR="00281B92">
        <w:t>separately</w:t>
      </w:r>
      <w:r w:rsidR="00753B8D">
        <w:t xml:space="preserve"> to</w:t>
      </w:r>
      <w:r w:rsidR="00281B92">
        <w:t xml:space="preserve"> the </w:t>
      </w:r>
      <w:r w:rsidR="00BD788B">
        <w:t>SLT system</w:t>
      </w:r>
      <w:r w:rsidR="00281B92">
        <w:t>.</w:t>
      </w:r>
    </w:p>
    <w:p w:rsidR="009443FB" w:rsidP="004E6C7D" w14:paraId="398F1BD7" w14:textId="422BE55E"/>
    <w:p w:rsidR="009443FB" w:rsidP="004E6C7D" w14:paraId="290B0DF5" w14:textId="4F205EAA">
      <w:r>
        <w:t xml:space="preserve">The tables below provide estimated hours burden for one-time activities per state respondent. </w:t>
      </w:r>
      <w:r>
        <w:fldChar w:fldCharType="begin"/>
      </w:r>
      <w:r>
        <w:instrText xml:space="preserve"> REF _Ref105774537 \h </w:instrText>
      </w:r>
      <w:r>
        <w:fldChar w:fldCharType="separate"/>
      </w:r>
      <w:r w:rsidRPr="0020098E" w:rsidR="00646F0F">
        <w:t xml:space="preserve">Table </w:t>
      </w:r>
      <w:r w:rsidR="00646F0F">
        <w:rPr>
          <w:noProof/>
        </w:rPr>
        <w:t>3</w:t>
      </w:r>
      <w:r>
        <w:fldChar w:fldCharType="end"/>
      </w:r>
      <w:r>
        <w:t xml:space="preserve">a provides one-time activities for point sources, and </w:t>
      </w:r>
      <w:r>
        <w:fldChar w:fldCharType="begin"/>
      </w:r>
      <w:r>
        <w:instrText xml:space="preserve"> REF _Ref105774537 \h </w:instrText>
      </w:r>
      <w:r>
        <w:fldChar w:fldCharType="separate"/>
      </w:r>
      <w:r w:rsidRPr="0020098E" w:rsidR="00646F0F">
        <w:t xml:space="preserve">Table </w:t>
      </w:r>
      <w:r w:rsidR="00646F0F">
        <w:rPr>
          <w:noProof/>
        </w:rPr>
        <w:t>3</w:t>
      </w:r>
      <w:r>
        <w:fldChar w:fldCharType="end"/>
      </w:r>
      <w:r>
        <w:t xml:space="preserve">b provides the estimated burden in hours for states to do additional one-time activities to adopt CAERS case 3 or case 4. </w:t>
      </w:r>
      <w:r>
        <w:fldChar w:fldCharType="begin"/>
      </w:r>
      <w:r>
        <w:instrText xml:space="preserve"> REF _Ref129188650 \h </w:instrText>
      </w:r>
      <w:r>
        <w:fldChar w:fldCharType="separate"/>
      </w:r>
      <w:r w:rsidRPr="0020098E" w:rsidR="00646F0F">
        <w:t xml:space="preserve">Table </w:t>
      </w:r>
      <w:r w:rsidR="00646F0F">
        <w:rPr>
          <w:noProof/>
        </w:rPr>
        <w:t>4</w:t>
      </w:r>
      <w:r>
        <w:fldChar w:fldCharType="end"/>
      </w:r>
      <w:r>
        <w:t xml:space="preserve"> provides the estimated hours burden for one-time activities for developing a prescribed burning collection approach. Finally, </w:t>
      </w:r>
      <w:r>
        <w:fldChar w:fldCharType="begin"/>
      </w:r>
      <w:r>
        <w:instrText xml:space="preserve"> REF _Ref116674583 \h </w:instrText>
      </w:r>
      <w:r>
        <w:fldChar w:fldCharType="separate"/>
      </w:r>
      <w:r w:rsidRPr="0020098E" w:rsidR="00646F0F">
        <w:t xml:space="preserve">Table </w:t>
      </w:r>
      <w:r w:rsidR="00646F0F">
        <w:rPr>
          <w:noProof/>
        </w:rPr>
        <w:t>5</w:t>
      </w:r>
      <w:r>
        <w:fldChar w:fldCharType="end"/>
      </w:r>
      <w:r>
        <w:t xml:space="preserve"> provides the annualized burden per state across all of the one-time activities, including costs.</w:t>
      </w:r>
    </w:p>
    <w:p w:rsidR="000A3259" w:rsidP="004E6C7D" w14:paraId="274F34EA" w14:textId="4AAC900B"/>
    <w:p w:rsidR="00A24FCE" w:rsidP="003C2FA0" w14:paraId="6CD4F1D0" w14:textId="5B9538FB">
      <w:pPr>
        <w:pStyle w:val="Caption"/>
      </w:pPr>
      <w:bookmarkStart w:id="12" w:name="_Ref105774537"/>
      <w:r w:rsidRPr="0020098E">
        <w:t xml:space="preserve">Table </w:t>
      </w:r>
      <w:r w:rsidR="00E05ECE">
        <w:fldChar w:fldCharType="begin"/>
      </w:r>
      <w:r w:rsidR="00E05ECE">
        <w:instrText xml:space="preserve"> SEQ Table \* ARABIC </w:instrText>
      </w:r>
      <w:r w:rsidR="00E05ECE">
        <w:fldChar w:fldCharType="separate"/>
      </w:r>
      <w:r w:rsidR="00646F0F">
        <w:rPr>
          <w:noProof/>
        </w:rPr>
        <w:t>3</w:t>
      </w:r>
      <w:r w:rsidR="00E05ECE">
        <w:rPr>
          <w:noProof/>
        </w:rPr>
        <w:fldChar w:fldCharType="end"/>
      </w:r>
      <w:bookmarkEnd w:id="12"/>
      <w:r w:rsidRPr="0020098E" w:rsidR="009D41A2">
        <w:t>a</w:t>
      </w:r>
      <w:r w:rsidRPr="0020098E">
        <w:t>:</w:t>
      </w:r>
      <w:r>
        <w:t xml:space="preserve"> </w:t>
      </w:r>
      <w:r w:rsidR="007D51A9">
        <w:t xml:space="preserve">State </w:t>
      </w:r>
      <w:r w:rsidR="0028549B">
        <w:t xml:space="preserve">respondent burden hours for one-time point source activities </w:t>
      </w:r>
    </w:p>
    <w:tbl>
      <w:tblPr>
        <w:tblW w:w="9530" w:type="dxa"/>
        <w:tblLook w:val="04A0"/>
      </w:tblPr>
      <w:tblGrid>
        <w:gridCol w:w="3950"/>
        <w:gridCol w:w="1470"/>
        <w:gridCol w:w="1050"/>
        <w:gridCol w:w="270"/>
        <w:gridCol w:w="150"/>
        <w:gridCol w:w="1110"/>
        <w:gridCol w:w="150"/>
        <w:gridCol w:w="552"/>
        <w:gridCol w:w="108"/>
        <w:gridCol w:w="324"/>
        <w:gridCol w:w="396"/>
      </w:tblGrid>
      <w:tr w14:paraId="1306E765" w14:textId="77777777" w:rsidTr="00B729AA">
        <w:tblPrEx>
          <w:tblW w:w="9530" w:type="dxa"/>
          <w:tblLook w:val="04A0"/>
        </w:tblPrEx>
        <w:trPr>
          <w:trHeight w:val="288"/>
          <w:tblHeader/>
        </w:trPr>
        <w:tc>
          <w:tcPr>
            <w:tcW w:w="3950" w:type="dxa"/>
            <w:tcBorders>
              <w:top w:val="single" w:sz="8" w:space="0" w:color="000000"/>
              <w:left w:val="single" w:sz="8" w:space="0" w:color="000000"/>
              <w:right w:val="nil"/>
            </w:tcBorders>
            <w:shd w:val="clear" w:color="auto" w:fill="auto"/>
            <w:vAlign w:val="center"/>
            <w:hideMark/>
          </w:tcPr>
          <w:p w:rsidR="00B729AA" w:rsidRPr="00A24FCE" w:rsidP="003C2FA0" w14:paraId="7226771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 </w:t>
            </w:r>
          </w:p>
        </w:tc>
        <w:tc>
          <w:tcPr>
            <w:tcW w:w="4200" w:type="dxa"/>
            <w:gridSpan w:val="6"/>
            <w:tcBorders>
              <w:top w:val="single" w:sz="8" w:space="0" w:color="000000"/>
              <w:left w:val="single" w:sz="8" w:space="0" w:color="000000"/>
              <w:bottom w:val="single" w:sz="4" w:space="0" w:color="auto"/>
            </w:tcBorders>
            <w:shd w:val="clear" w:color="auto" w:fill="auto"/>
            <w:vAlign w:val="center"/>
            <w:hideMark/>
          </w:tcPr>
          <w:p w:rsidR="00B729AA" w:rsidRPr="00A24FCE" w:rsidP="003C2FA0" w14:paraId="37AF20BD" w14:textId="4C4A10F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b/>
                <w:bCs/>
                <w:color w:val="000000"/>
              </w:rPr>
              <w:t xml:space="preserve">                             </w:t>
            </w:r>
            <w:r w:rsidRPr="00A24FCE">
              <w:rPr>
                <w:b/>
                <w:bCs/>
                <w:color w:val="000000"/>
              </w:rPr>
              <w:t>Hours Per Respondent</w:t>
            </w:r>
          </w:p>
        </w:tc>
        <w:tc>
          <w:tcPr>
            <w:tcW w:w="552" w:type="dxa"/>
            <w:tcBorders>
              <w:top w:val="single" w:sz="8" w:space="0" w:color="000000"/>
              <w:bottom w:val="single" w:sz="4" w:space="0" w:color="auto"/>
            </w:tcBorders>
            <w:shd w:val="clear" w:color="auto" w:fill="auto"/>
            <w:vAlign w:val="center"/>
          </w:tcPr>
          <w:p w:rsidR="00B729AA" w:rsidRPr="00A24FCE" w:rsidP="003C2FA0" w14:paraId="5487D25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432" w:type="dxa"/>
            <w:gridSpan w:val="2"/>
            <w:tcBorders>
              <w:top w:val="single" w:sz="8" w:space="0" w:color="000000"/>
              <w:bottom w:val="single" w:sz="4" w:space="0" w:color="auto"/>
            </w:tcBorders>
            <w:shd w:val="clear" w:color="auto" w:fill="auto"/>
            <w:vAlign w:val="center"/>
          </w:tcPr>
          <w:p w:rsidR="00B729AA" w:rsidRPr="00A24FCE" w:rsidP="003C2FA0" w14:paraId="799D521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396" w:type="dxa"/>
            <w:tcBorders>
              <w:top w:val="single" w:sz="8" w:space="0" w:color="000000"/>
              <w:bottom w:val="single" w:sz="4" w:space="0" w:color="auto"/>
              <w:right w:val="single" w:sz="8" w:space="0" w:color="000000"/>
            </w:tcBorders>
            <w:shd w:val="clear" w:color="auto" w:fill="auto"/>
            <w:vAlign w:val="center"/>
          </w:tcPr>
          <w:p w:rsidR="00B729AA" w:rsidRPr="00A24FCE" w:rsidP="003C2FA0" w14:paraId="48B2EBA5" w14:textId="64FF781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1A59264E" w14:textId="77777777" w:rsidTr="00B729AA">
        <w:tblPrEx>
          <w:tblW w:w="9530" w:type="dxa"/>
          <w:tblLook w:val="04A0"/>
        </w:tblPrEx>
        <w:trPr>
          <w:trHeight w:val="862"/>
          <w:tblHeader/>
        </w:trPr>
        <w:tc>
          <w:tcPr>
            <w:tcW w:w="3950" w:type="dxa"/>
            <w:tcBorders>
              <w:left w:val="single" w:sz="8" w:space="0" w:color="000000"/>
              <w:bottom w:val="single" w:sz="4" w:space="0" w:color="auto"/>
              <w:right w:val="nil"/>
            </w:tcBorders>
            <w:shd w:val="clear" w:color="auto" w:fill="auto"/>
            <w:vAlign w:val="center"/>
            <w:hideMark/>
          </w:tcPr>
          <w:p w:rsidR="00A24FCE" w:rsidRPr="00A24FCE" w:rsidP="003C2FA0" w14:paraId="0AE7C7F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Activity</w:t>
            </w:r>
          </w:p>
        </w:tc>
        <w:tc>
          <w:tcPr>
            <w:tcW w:w="1470" w:type="dxa"/>
            <w:tcBorders>
              <w:top w:val="single" w:sz="4" w:space="0" w:color="auto"/>
              <w:left w:val="single" w:sz="8" w:space="0" w:color="000000"/>
              <w:bottom w:val="single" w:sz="4" w:space="0" w:color="auto"/>
              <w:right w:val="nil"/>
            </w:tcBorders>
            <w:shd w:val="clear" w:color="auto" w:fill="auto"/>
            <w:vAlign w:val="center"/>
            <w:hideMark/>
          </w:tcPr>
          <w:p w:rsidR="00A24FCE" w:rsidRPr="00A24FCE" w:rsidP="003C2FA0" w14:paraId="78EFF48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Managerial Hours</w:t>
            </w:r>
          </w:p>
        </w:tc>
        <w:tc>
          <w:tcPr>
            <w:tcW w:w="1470" w:type="dxa"/>
            <w:gridSpan w:val="3"/>
            <w:tcBorders>
              <w:top w:val="single" w:sz="4" w:space="0" w:color="auto"/>
              <w:left w:val="single" w:sz="8" w:space="0" w:color="000000"/>
              <w:bottom w:val="single" w:sz="4" w:space="0" w:color="auto"/>
              <w:right w:val="nil"/>
            </w:tcBorders>
            <w:shd w:val="clear" w:color="auto" w:fill="auto"/>
            <w:vAlign w:val="center"/>
            <w:hideMark/>
          </w:tcPr>
          <w:p w:rsidR="00A24FCE" w:rsidRPr="00A24FCE" w:rsidP="003C2FA0" w14:paraId="28849AB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Technical Hours</w:t>
            </w:r>
          </w:p>
        </w:tc>
        <w:tc>
          <w:tcPr>
            <w:tcW w:w="1260" w:type="dxa"/>
            <w:gridSpan w:val="2"/>
            <w:tcBorders>
              <w:top w:val="single" w:sz="4" w:space="0" w:color="auto"/>
              <w:left w:val="single" w:sz="8" w:space="0" w:color="000000"/>
              <w:bottom w:val="single" w:sz="4" w:space="0" w:color="auto"/>
              <w:right w:val="nil"/>
            </w:tcBorders>
            <w:shd w:val="clear" w:color="auto" w:fill="auto"/>
            <w:vAlign w:val="center"/>
            <w:hideMark/>
          </w:tcPr>
          <w:p w:rsidR="00A24FCE" w:rsidRPr="00A24FCE" w:rsidP="003C2FA0" w14:paraId="022F1BE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IT Admin Hours</w:t>
            </w:r>
          </w:p>
        </w:tc>
        <w:tc>
          <w:tcPr>
            <w:tcW w:w="1380" w:type="dxa"/>
            <w:gridSpan w:val="4"/>
            <w:tcBorders>
              <w:top w:val="single" w:sz="4" w:space="0" w:color="auto"/>
              <w:left w:val="single" w:sz="8" w:space="0" w:color="000000"/>
              <w:bottom w:val="single" w:sz="4" w:space="0" w:color="auto"/>
              <w:right w:val="single" w:sz="8" w:space="0" w:color="000000"/>
            </w:tcBorders>
            <w:shd w:val="clear" w:color="auto" w:fill="auto"/>
            <w:vAlign w:val="center"/>
            <w:hideMark/>
          </w:tcPr>
          <w:p w:rsidR="00A24FCE" w:rsidRPr="00A24FCE" w:rsidP="003C2FA0" w14:paraId="644DDE6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Total</w:t>
            </w:r>
          </w:p>
        </w:tc>
      </w:tr>
      <w:tr w14:paraId="7FCE8D9A" w14:textId="77777777" w:rsidTr="007D6009">
        <w:tblPrEx>
          <w:tblW w:w="9530" w:type="dxa"/>
          <w:tblLook w:val="04A0"/>
        </w:tblPrEx>
        <w:trPr>
          <w:trHeight w:val="432"/>
        </w:trPr>
        <w:tc>
          <w:tcPr>
            <w:tcW w:w="3950" w:type="dxa"/>
            <w:tcBorders>
              <w:top w:val="single" w:sz="4" w:space="0" w:color="auto"/>
              <w:left w:val="single" w:sz="8" w:space="0" w:color="000000"/>
              <w:bottom w:val="single" w:sz="8" w:space="0" w:color="000000"/>
              <w:right w:val="nil"/>
            </w:tcBorders>
            <w:shd w:val="clear" w:color="auto" w:fill="D9D9D9" w:themeFill="background1" w:themeFillShade="D9"/>
            <w:noWrap/>
            <w:vAlign w:val="center"/>
            <w:hideMark/>
          </w:tcPr>
          <w:p w:rsidR="00A24FCE" w:rsidRPr="00A24FCE" w:rsidP="003C2FA0" w14:paraId="691F3A80" w14:textId="545F00A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Point sources - required activities</w:t>
            </w:r>
          </w:p>
        </w:tc>
        <w:tc>
          <w:tcPr>
            <w:tcW w:w="1470" w:type="dxa"/>
            <w:tcBorders>
              <w:top w:val="single" w:sz="4" w:space="0" w:color="auto"/>
              <w:left w:val="nil"/>
              <w:bottom w:val="single" w:sz="8" w:space="0" w:color="000000"/>
              <w:right w:val="nil"/>
            </w:tcBorders>
            <w:shd w:val="clear" w:color="auto" w:fill="D9D9D9" w:themeFill="background1" w:themeFillShade="D9"/>
            <w:noWrap/>
            <w:vAlign w:val="bottom"/>
            <w:hideMark/>
          </w:tcPr>
          <w:p w:rsidR="00A24FCE" w:rsidRPr="00A24FCE" w:rsidP="003C2FA0" w14:paraId="6E143B3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A24FCE">
              <w:rPr>
                <w:color w:val="000000"/>
              </w:rPr>
              <w:t> </w:t>
            </w:r>
          </w:p>
        </w:tc>
        <w:tc>
          <w:tcPr>
            <w:tcW w:w="1470" w:type="dxa"/>
            <w:gridSpan w:val="3"/>
            <w:tcBorders>
              <w:top w:val="single" w:sz="4" w:space="0" w:color="auto"/>
              <w:left w:val="nil"/>
              <w:bottom w:val="single" w:sz="8" w:space="0" w:color="000000"/>
              <w:right w:val="nil"/>
            </w:tcBorders>
            <w:shd w:val="clear" w:color="auto" w:fill="D9D9D9" w:themeFill="background1" w:themeFillShade="D9"/>
            <w:noWrap/>
            <w:vAlign w:val="bottom"/>
            <w:hideMark/>
          </w:tcPr>
          <w:p w:rsidR="00A24FCE" w:rsidRPr="00A24FCE" w:rsidP="003C2FA0" w14:paraId="1931348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A24FCE">
              <w:rPr>
                <w:color w:val="000000"/>
              </w:rPr>
              <w:t> </w:t>
            </w:r>
          </w:p>
        </w:tc>
        <w:tc>
          <w:tcPr>
            <w:tcW w:w="1260" w:type="dxa"/>
            <w:gridSpan w:val="2"/>
            <w:tcBorders>
              <w:top w:val="single" w:sz="4" w:space="0" w:color="auto"/>
              <w:left w:val="nil"/>
              <w:bottom w:val="single" w:sz="8" w:space="0" w:color="000000"/>
              <w:right w:val="nil"/>
            </w:tcBorders>
            <w:shd w:val="clear" w:color="auto" w:fill="D9D9D9" w:themeFill="background1" w:themeFillShade="D9"/>
            <w:noWrap/>
            <w:vAlign w:val="bottom"/>
            <w:hideMark/>
          </w:tcPr>
          <w:p w:rsidR="00A24FCE" w:rsidRPr="00A24FCE" w:rsidP="003C2FA0" w14:paraId="0FB80C4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A24FCE">
              <w:rPr>
                <w:color w:val="000000"/>
              </w:rPr>
              <w:t> </w:t>
            </w:r>
          </w:p>
        </w:tc>
        <w:tc>
          <w:tcPr>
            <w:tcW w:w="1380" w:type="dxa"/>
            <w:gridSpan w:val="4"/>
            <w:tcBorders>
              <w:top w:val="single" w:sz="4" w:space="0" w:color="auto"/>
              <w:left w:val="nil"/>
              <w:bottom w:val="single" w:sz="8" w:space="0" w:color="000000"/>
              <w:right w:val="single" w:sz="8" w:space="0" w:color="000000"/>
            </w:tcBorders>
            <w:shd w:val="clear" w:color="auto" w:fill="D9D9D9" w:themeFill="background1" w:themeFillShade="D9"/>
            <w:noWrap/>
            <w:vAlign w:val="bottom"/>
            <w:hideMark/>
          </w:tcPr>
          <w:p w:rsidR="00A24FCE" w:rsidRPr="00A24FCE" w:rsidP="003C2FA0" w14:paraId="22BB203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A24FCE">
              <w:rPr>
                <w:color w:val="000000"/>
              </w:rPr>
              <w:t> </w:t>
            </w:r>
          </w:p>
        </w:tc>
      </w:tr>
      <w:tr w14:paraId="4B36E3C0" w14:textId="77777777" w:rsidTr="00B729AA">
        <w:tblPrEx>
          <w:tblW w:w="9530" w:type="dxa"/>
          <w:tblLook w:val="04A0"/>
        </w:tblPrEx>
        <w:trPr>
          <w:trHeight w:val="880"/>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A24FCE" w:rsidRPr="000742C8" w:rsidP="004D23DB" w14:paraId="321B47AE" w14:textId="5F6C278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0" w:hanging="230"/>
              <w:rPr>
                <w:color w:val="000000"/>
              </w:rPr>
            </w:pPr>
            <w:r w:rsidRPr="000742C8">
              <w:rPr>
                <w:color w:val="000000"/>
              </w:rPr>
              <w:t xml:space="preserve">1. </w:t>
            </w:r>
            <w:r w:rsidR="004D23DB">
              <w:rPr>
                <w:color w:val="000000"/>
              </w:rPr>
              <w:tab/>
            </w:r>
            <w:r w:rsidRPr="000742C8">
              <w:rPr>
                <w:color w:val="000000"/>
              </w:rPr>
              <w:t>Revise SLT regulations to accommodate new required data fields and reporting of daily activity data for small generation units.</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0742C8" w:rsidP="003C2FA0" w14:paraId="5B99A61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0742C8">
              <w:rPr>
                <w:color w:val="000000"/>
              </w:rPr>
              <w:t>52</w:t>
            </w:r>
          </w:p>
        </w:tc>
        <w:tc>
          <w:tcPr>
            <w:tcW w:w="1470" w:type="dxa"/>
            <w:gridSpan w:val="3"/>
            <w:tcBorders>
              <w:top w:val="nil"/>
              <w:left w:val="nil"/>
              <w:bottom w:val="single" w:sz="8" w:space="0" w:color="auto"/>
              <w:right w:val="single" w:sz="8" w:space="0" w:color="auto"/>
            </w:tcBorders>
            <w:shd w:val="clear" w:color="auto" w:fill="auto"/>
            <w:noWrap/>
            <w:vAlign w:val="center"/>
            <w:hideMark/>
          </w:tcPr>
          <w:p w:rsidR="00A24FCE" w:rsidRPr="000742C8" w:rsidP="003C2FA0" w14:paraId="3084BB6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0742C8">
              <w:rPr>
                <w:color w:val="000000"/>
              </w:rPr>
              <w:t>520</w:t>
            </w:r>
          </w:p>
        </w:tc>
        <w:tc>
          <w:tcPr>
            <w:tcW w:w="1260" w:type="dxa"/>
            <w:gridSpan w:val="2"/>
            <w:tcBorders>
              <w:top w:val="nil"/>
              <w:left w:val="nil"/>
              <w:bottom w:val="single" w:sz="8" w:space="0" w:color="auto"/>
              <w:right w:val="single" w:sz="8" w:space="0" w:color="auto"/>
            </w:tcBorders>
            <w:shd w:val="clear" w:color="auto" w:fill="auto"/>
            <w:noWrap/>
            <w:vAlign w:val="center"/>
            <w:hideMark/>
          </w:tcPr>
          <w:p w:rsidR="00A24FCE" w:rsidRPr="000742C8" w:rsidP="003C2FA0" w14:paraId="6F1762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0742C8">
              <w:rPr>
                <w:color w:val="000000"/>
              </w:rPr>
              <w:t> </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0742C8" w:rsidP="003C2FA0" w14:paraId="6F23CB3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0742C8">
              <w:rPr>
                <w:color w:val="000000"/>
              </w:rPr>
              <w:t>572</w:t>
            </w:r>
          </w:p>
        </w:tc>
      </w:tr>
      <w:tr w14:paraId="735EF0AC" w14:textId="77777777" w:rsidTr="003E248C">
        <w:tblPrEx>
          <w:tblW w:w="9530" w:type="dxa"/>
          <w:tblLook w:val="04A0"/>
        </w:tblPrEx>
        <w:trPr>
          <w:trHeight w:val="880"/>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A24FCE" w:rsidRPr="00A24FCE" w:rsidP="004D23DB" w14:paraId="13CC2B92" w14:textId="53350F2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0" w:hanging="230"/>
              <w:rPr>
                <w:color w:val="000000"/>
              </w:rPr>
            </w:pPr>
            <w:r w:rsidRPr="00A24FCE">
              <w:rPr>
                <w:color w:val="000000"/>
              </w:rPr>
              <w:t xml:space="preserve">2. </w:t>
            </w:r>
            <w:r w:rsidR="004D23DB">
              <w:rPr>
                <w:color w:val="000000"/>
              </w:rPr>
              <w:tab/>
            </w:r>
            <w:r w:rsidRPr="00A24FCE">
              <w:rPr>
                <w:color w:val="000000"/>
              </w:rPr>
              <w:t>Update SLT data system to accommodate new point source data fields and daily activity data for small generation units.</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3C2FA0" w14:paraId="1AB04C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124</w:t>
            </w:r>
          </w:p>
        </w:tc>
        <w:tc>
          <w:tcPr>
            <w:tcW w:w="1470" w:type="dxa"/>
            <w:gridSpan w:val="3"/>
            <w:tcBorders>
              <w:top w:val="nil"/>
              <w:left w:val="nil"/>
              <w:bottom w:val="single" w:sz="8" w:space="0" w:color="auto"/>
              <w:right w:val="single" w:sz="8" w:space="0" w:color="auto"/>
            </w:tcBorders>
            <w:shd w:val="clear" w:color="auto" w:fill="auto"/>
            <w:noWrap/>
            <w:vAlign w:val="center"/>
            <w:hideMark/>
          </w:tcPr>
          <w:p w:rsidR="00A24FCE" w:rsidRPr="00A24FCE" w:rsidP="003C2FA0" w14:paraId="786C95D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200</w:t>
            </w:r>
          </w:p>
        </w:tc>
        <w:tc>
          <w:tcPr>
            <w:tcW w:w="1260" w:type="dxa"/>
            <w:gridSpan w:val="2"/>
            <w:tcBorders>
              <w:top w:val="nil"/>
              <w:left w:val="nil"/>
              <w:bottom w:val="single" w:sz="8" w:space="0" w:color="auto"/>
              <w:right w:val="single" w:sz="8" w:space="0" w:color="auto"/>
            </w:tcBorders>
            <w:shd w:val="clear" w:color="auto" w:fill="auto"/>
            <w:noWrap/>
            <w:vAlign w:val="center"/>
            <w:hideMark/>
          </w:tcPr>
          <w:p w:rsidR="00A24FCE" w:rsidRPr="00A24FCE" w:rsidP="003C2FA0" w14:paraId="78BC5D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1,040</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A24FCE" w:rsidP="003C2FA0" w14:paraId="6D55104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1,364</w:t>
            </w:r>
          </w:p>
        </w:tc>
      </w:tr>
      <w:tr w14:paraId="583B7B38" w14:textId="77777777" w:rsidTr="003E248C">
        <w:tblPrEx>
          <w:tblW w:w="9530" w:type="dxa"/>
          <w:tblLook w:val="04A0"/>
        </w:tblPrEx>
        <w:trPr>
          <w:trHeight w:val="475"/>
        </w:trPr>
        <w:tc>
          <w:tcPr>
            <w:tcW w:w="395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A24FCE" w:rsidRPr="00A24FCE" w:rsidP="00A24FCE" w14:paraId="1C43F83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jc w:val="right"/>
              <w:rPr>
                <w:b/>
                <w:bCs/>
                <w:color w:val="000000"/>
              </w:rPr>
            </w:pPr>
            <w:r w:rsidRPr="00A24FCE">
              <w:rPr>
                <w:b/>
                <w:bCs/>
                <w:color w:val="000000"/>
              </w:rPr>
              <w:t>Subtotal</w:t>
            </w:r>
          </w:p>
        </w:tc>
        <w:tc>
          <w:tcPr>
            <w:tcW w:w="1470" w:type="dxa"/>
            <w:tcBorders>
              <w:top w:val="single" w:sz="8" w:space="0" w:color="auto"/>
              <w:left w:val="nil"/>
              <w:bottom w:val="single" w:sz="4" w:space="0" w:color="auto"/>
              <w:right w:val="single" w:sz="8" w:space="0" w:color="auto"/>
            </w:tcBorders>
            <w:shd w:val="clear" w:color="auto" w:fill="auto"/>
            <w:noWrap/>
            <w:vAlign w:val="center"/>
            <w:hideMark/>
          </w:tcPr>
          <w:p w:rsidR="00A24FCE" w:rsidRPr="00A24FCE" w:rsidP="00A24FCE" w14:paraId="76950D1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176</w:t>
            </w:r>
          </w:p>
        </w:tc>
        <w:tc>
          <w:tcPr>
            <w:tcW w:w="1470" w:type="dxa"/>
            <w:gridSpan w:val="3"/>
            <w:tcBorders>
              <w:top w:val="single" w:sz="8" w:space="0" w:color="auto"/>
              <w:left w:val="nil"/>
              <w:bottom w:val="single" w:sz="4" w:space="0" w:color="auto"/>
              <w:right w:val="single" w:sz="8" w:space="0" w:color="auto"/>
            </w:tcBorders>
            <w:shd w:val="clear" w:color="auto" w:fill="auto"/>
            <w:noWrap/>
            <w:vAlign w:val="center"/>
            <w:hideMark/>
          </w:tcPr>
          <w:p w:rsidR="00A24FCE" w:rsidRPr="00A24FCE" w:rsidP="00A24FCE" w14:paraId="4F2452B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720</w:t>
            </w:r>
          </w:p>
        </w:tc>
        <w:tc>
          <w:tcPr>
            <w:tcW w:w="1260" w:type="dxa"/>
            <w:gridSpan w:val="2"/>
            <w:tcBorders>
              <w:top w:val="single" w:sz="8" w:space="0" w:color="auto"/>
              <w:left w:val="nil"/>
              <w:bottom w:val="single" w:sz="4" w:space="0" w:color="auto"/>
              <w:right w:val="single" w:sz="8" w:space="0" w:color="auto"/>
            </w:tcBorders>
            <w:shd w:val="clear" w:color="auto" w:fill="auto"/>
            <w:noWrap/>
            <w:vAlign w:val="center"/>
            <w:hideMark/>
          </w:tcPr>
          <w:p w:rsidR="00A24FCE" w:rsidRPr="00A24FCE" w:rsidP="00A24FCE" w14:paraId="3F873B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1,040</w:t>
            </w:r>
          </w:p>
        </w:tc>
        <w:tc>
          <w:tcPr>
            <w:tcW w:w="1380" w:type="dxa"/>
            <w:gridSpan w:val="4"/>
            <w:tcBorders>
              <w:top w:val="single" w:sz="8" w:space="0" w:color="auto"/>
              <w:left w:val="nil"/>
              <w:bottom w:val="single" w:sz="4" w:space="0" w:color="auto"/>
              <w:right w:val="single" w:sz="8" w:space="0" w:color="auto"/>
            </w:tcBorders>
            <w:shd w:val="clear" w:color="auto" w:fill="auto"/>
            <w:noWrap/>
            <w:vAlign w:val="center"/>
            <w:hideMark/>
          </w:tcPr>
          <w:p w:rsidR="00A24FCE" w:rsidRPr="00A24FCE" w:rsidP="00A24FCE" w14:paraId="41F467B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1,936</w:t>
            </w:r>
          </w:p>
        </w:tc>
      </w:tr>
      <w:tr w14:paraId="241A5A04" w14:textId="77777777" w:rsidTr="003E248C">
        <w:tblPrEx>
          <w:tblW w:w="9530" w:type="dxa"/>
          <w:tblLook w:val="04A0"/>
        </w:tblPrEx>
        <w:trPr>
          <w:trHeight w:val="432"/>
        </w:trPr>
        <w:tc>
          <w:tcPr>
            <w:tcW w:w="6470" w:type="dxa"/>
            <w:gridSpan w:val="3"/>
            <w:tcBorders>
              <w:top w:val="single" w:sz="4" w:space="0" w:color="auto"/>
              <w:left w:val="single" w:sz="8" w:space="0" w:color="000000"/>
              <w:bottom w:val="single" w:sz="8" w:space="0" w:color="000000"/>
              <w:right w:val="nil"/>
            </w:tcBorders>
            <w:shd w:val="clear" w:color="auto" w:fill="D9D9D9" w:themeFill="background1" w:themeFillShade="D9"/>
            <w:vAlign w:val="center"/>
            <w:hideMark/>
          </w:tcPr>
          <w:p w:rsidR="00A24FCE" w:rsidRPr="00A24FCE" w:rsidP="001139F3" w14:paraId="7CF305D5" w14:textId="0A5B092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rPr>
                <w:b/>
                <w:bCs/>
                <w:color w:val="000000"/>
              </w:rPr>
            </w:pPr>
            <w:r w:rsidRPr="00A24FCE">
              <w:rPr>
                <w:b/>
                <w:bCs/>
                <w:color w:val="000000"/>
              </w:rPr>
              <w:t>Point sources - optional activities</w:t>
            </w:r>
            <w:r w:rsidR="009C5DA6">
              <w:rPr>
                <w:b/>
                <w:bCs/>
                <w:color w:val="000000"/>
              </w:rPr>
              <w:t xml:space="preserve"> when including HAP reporting</w:t>
            </w:r>
          </w:p>
        </w:tc>
        <w:tc>
          <w:tcPr>
            <w:tcW w:w="270" w:type="dxa"/>
            <w:tcBorders>
              <w:top w:val="single" w:sz="4" w:space="0" w:color="auto"/>
              <w:left w:val="nil"/>
              <w:bottom w:val="single" w:sz="8" w:space="0" w:color="000000"/>
              <w:right w:val="nil"/>
            </w:tcBorders>
            <w:shd w:val="clear" w:color="auto" w:fill="D9D9D9" w:themeFill="background1" w:themeFillShade="D9"/>
            <w:noWrap/>
            <w:vAlign w:val="center"/>
            <w:hideMark/>
          </w:tcPr>
          <w:p w:rsidR="00A24FCE" w:rsidRPr="00A24FCE" w:rsidP="001139F3" w14:paraId="1233AB3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1260" w:type="dxa"/>
            <w:gridSpan w:val="2"/>
            <w:tcBorders>
              <w:top w:val="single" w:sz="4" w:space="0" w:color="auto"/>
              <w:left w:val="nil"/>
              <w:bottom w:val="single" w:sz="8" w:space="0" w:color="000000"/>
              <w:right w:val="nil"/>
            </w:tcBorders>
            <w:shd w:val="clear" w:color="auto" w:fill="D9D9D9" w:themeFill="background1" w:themeFillShade="D9"/>
            <w:noWrap/>
            <w:vAlign w:val="center"/>
            <w:hideMark/>
          </w:tcPr>
          <w:p w:rsidR="00A24FCE" w:rsidRPr="00A24FCE" w:rsidP="001139F3" w14:paraId="633B8FE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810" w:type="dxa"/>
            <w:gridSpan w:val="3"/>
            <w:tcBorders>
              <w:top w:val="single" w:sz="4" w:space="0" w:color="auto"/>
              <w:left w:val="nil"/>
              <w:bottom w:val="single" w:sz="8" w:space="0" w:color="000000"/>
              <w:right w:val="nil"/>
            </w:tcBorders>
            <w:shd w:val="clear" w:color="auto" w:fill="D9D9D9" w:themeFill="background1" w:themeFillShade="D9"/>
            <w:noWrap/>
            <w:vAlign w:val="center"/>
            <w:hideMark/>
          </w:tcPr>
          <w:p w:rsidR="00A24FCE" w:rsidRPr="00A24FCE" w:rsidP="001139F3" w14:paraId="7F0B881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720" w:type="dxa"/>
            <w:gridSpan w:val="2"/>
            <w:tcBorders>
              <w:top w:val="single" w:sz="4" w:space="0" w:color="auto"/>
              <w:left w:val="nil"/>
              <w:bottom w:val="single" w:sz="8" w:space="0" w:color="000000"/>
              <w:right w:val="single" w:sz="8" w:space="0" w:color="000000"/>
            </w:tcBorders>
            <w:shd w:val="clear" w:color="auto" w:fill="D9D9D9" w:themeFill="background1" w:themeFillShade="D9"/>
            <w:noWrap/>
            <w:vAlign w:val="center"/>
            <w:hideMark/>
          </w:tcPr>
          <w:p w:rsidR="00A24FCE" w:rsidRPr="00A24FCE" w:rsidP="001139F3" w14:paraId="78710D5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r>
      <w:tr w14:paraId="4C233910" w14:textId="77777777" w:rsidTr="00B729AA">
        <w:tblPrEx>
          <w:tblW w:w="9530" w:type="dxa"/>
          <w:tblLook w:val="04A0"/>
        </w:tblPrEx>
        <w:trPr>
          <w:trHeight w:val="590"/>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A24FCE" w:rsidRPr="00A24FCE" w:rsidP="004D23DB" w14:paraId="21FC0BF8" w14:textId="0BB448A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0" w:hanging="230"/>
              <w:rPr>
                <w:color w:val="000000"/>
              </w:rPr>
            </w:pPr>
            <w:r w:rsidRPr="00A24FCE">
              <w:rPr>
                <w:color w:val="000000"/>
              </w:rPr>
              <w:t xml:space="preserve">1. </w:t>
            </w:r>
            <w:r w:rsidR="004D23DB">
              <w:rPr>
                <w:color w:val="000000"/>
              </w:rPr>
              <w:tab/>
            </w:r>
            <w:r w:rsidRPr="00A24FCE">
              <w:rPr>
                <w:color w:val="000000"/>
              </w:rPr>
              <w:t>Revise SLT regulations to adjust HAP reporting based on EPA requirements</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A24FCE" w14:paraId="5D63EBA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104</w:t>
            </w:r>
          </w:p>
        </w:tc>
        <w:tc>
          <w:tcPr>
            <w:tcW w:w="1470" w:type="dxa"/>
            <w:gridSpan w:val="3"/>
            <w:tcBorders>
              <w:top w:val="nil"/>
              <w:left w:val="nil"/>
              <w:bottom w:val="single" w:sz="8" w:space="0" w:color="auto"/>
              <w:right w:val="single" w:sz="8" w:space="0" w:color="auto"/>
            </w:tcBorders>
            <w:shd w:val="clear" w:color="auto" w:fill="auto"/>
            <w:noWrap/>
            <w:vAlign w:val="center"/>
            <w:hideMark/>
          </w:tcPr>
          <w:p w:rsidR="00A24FCE" w:rsidRPr="00A24FCE" w:rsidP="00A24FCE" w14:paraId="5D5364B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1,040</w:t>
            </w:r>
          </w:p>
        </w:tc>
        <w:tc>
          <w:tcPr>
            <w:tcW w:w="1260" w:type="dxa"/>
            <w:gridSpan w:val="2"/>
            <w:tcBorders>
              <w:top w:val="nil"/>
              <w:left w:val="nil"/>
              <w:bottom w:val="single" w:sz="8" w:space="0" w:color="auto"/>
              <w:right w:val="single" w:sz="8" w:space="0" w:color="auto"/>
            </w:tcBorders>
            <w:shd w:val="clear" w:color="auto" w:fill="auto"/>
            <w:noWrap/>
            <w:vAlign w:val="center"/>
            <w:hideMark/>
          </w:tcPr>
          <w:p w:rsidR="00A24FCE" w:rsidRPr="00A24FCE" w:rsidP="00A24FCE" w14:paraId="634BA98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A24FCE" w:rsidP="00A24FCE" w14:paraId="68B3933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1,144</w:t>
            </w:r>
          </w:p>
        </w:tc>
      </w:tr>
      <w:tr w14:paraId="194B8772" w14:textId="77777777" w:rsidTr="00B729AA">
        <w:tblPrEx>
          <w:tblW w:w="9530" w:type="dxa"/>
          <w:tblLook w:val="04A0"/>
        </w:tblPrEx>
        <w:trPr>
          <w:trHeight w:val="590"/>
        </w:trPr>
        <w:tc>
          <w:tcPr>
            <w:tcW w:w="3950" w:type="dxa"/>
            <w:tcBorders>
              <w:top w:val="nil"/>
              <w:left w:val="single" w:sz="8" w:space="0" w:color="auto"/>
              <w:bottom w:val="single" w:sz="4" w:space="0" w:color="auto"/>
              <w:right w:val="single" w:sz="8" w:space="0" w:color="auto"/>
            </w:tcBorders>
            <w:shd w:val="clear" w:color="auto" w:fill="auto"/>
            <w:vAlign w:val="center"/>
            <w:hideMark/>
          </w:tcPr>
          <w:p w:rsidR="00A24FCE" w:rsidRPr="00A24FCE" w:rsidP="004D23DB" w14:paraId="7E50E85C" w14:textId="41D5FCB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0" w:hanging="230"/>
              <w:rPr>
                <w:color w:val="000000"/>
              </w:rPr>
            </w:pPr>
            <w:r w:rsidRPr="00A24FCE">
              <w:rPr>
                <w:color w:val="000000"/>
              </w:rPr>
              <w:t xml:space="preserve">2. </w:t>
            </w:r>
            <w:r w:rsidR="004D23DB">
              <w:rPr>
                <w:color w:val="000000"/>
              </w:rPr>
              <w:tab/>
            </w:r>
            <w:r w:rsidRPr="00A24FCE">
              <w:rPr>
                <w:color w:val="000000"/>
              </w:rPr>
              <w:t>Update SLT data system to accommodate new point source HAP reporting</w:t>
            </w:r>
          </w:p>
        </w:tc>
        <w:tc>
          <w:tcPr>
            <w:tcW w:w="1470" w:type="dxa"/>
            <w:tcBorders>
              <w:top w:val="nil"/>
              <w:left w:val="nil"/>
              <w:bottom w:val="single" w:sz="4" w:space="0" w:color="auto"/>
              <w:right w:val="single" w:sz="8" w:space="0" w:color="auto"/>
            </w:tcBorders>
            <w:shd w:val="clear" w:color="auto" w:fill="auto"/>
            <w:noWrap/>
            <w:vAlign w:val="center"/>
            <w:hideMark/>
          </w:tcPr>
          <w:p w:rsidR="00A24FCE" w:rsidRPr="00A24FCE" w:rsidP="00A24FCE" w14:paraId="00EF118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144</w:t>
            </w:r>
          </w:p>
        </w:tc>
        <w:tc>
          <w:tcPr>
            <w:tcW w:w="1470" w:type="dxa"/>
            <w:gridSpan w:val="3"/>
            <w:tcBorders>
              <w:top w:val="nil"/>
              <w:left w:val="nil"/>
              <w:bottom w:val="single" w:sz="4" w:space="0" w:color="auto"/>
              <w:right w:val="single" w:sz="8" w:space="0" w:color="auto"/>
            </w:tcBorders>
            <w:shd w:val="clear" w:color="auto" w:fill="auto"/>
            <w:noWrap/>
            <w:vAlign w:val="center"/>
            <w:hideMark/>
          </w:tcPr>
          <w:p w:rsidR="00A24FCE" w:rsidRPr="00A24FCE" w:rsidP="00A24FCE" w14:paraId="6E81191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400</w:t>
            </w:r>
          </w:p>
        </w:tc>
        <w:tc>
          <w:tcPr>
            <w:tcW w:w="1260" w:type="dxa"/>
            <w:gridSpan w:val="2"/>
            <w:tcBorders>
              <w:top w:val="nil"/>
              <w:left w:val="nil"/>
              <w:bottom w:val="single" w:sz="4" w:space="0" w:color="auto"/>
              <w:right w:val="single" w:sz="8" w:space="0" w:color="auto"/>
            </w:tcBorders>
            <w:shd w:val="clear" w:color="auto" w:fill="auto"/>
            <w:noWrap/>
            <w:vAlign w:val="center"/>
            <w:hideMark/>
          </w:tcPr>
          <w:p w:rsidR="00A24FCE" w:rsidRPr="00A24FCE" w:rsidP="00A24FCE" w14:paraId="69ABD95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1,040</w:t>
            </w:r>
          </w:p>
        </w:tc>
        <w:tc>
          <w:tcPr>
            <w:tcW w:w="1380" w:type="dxa"/>
            <w:gridSpan w:val="4"/>
            <w:tcBorders>
              <w:top w:val="nil"/>
              <w:left w:val="nil"/>
              <w:bottom w:val="single" w:sz="4" w:space="0" w:color="auto"/>
              <w:right w:val="single" w:sz="8" w:space="0" w:color="auto"/>
            </w:tcBorders>
            <w:shd w:val="clear" w:color="auto" w:fill="auto"/>
            <w:noWrap/>
            <w:vAlign w:val="center"/>
            <w:hideMark/>
          </w:tcPr>
          <w:p w:rsidR="00A24FCE" w:rsidRPr="00A24FCE" w:rsidP="00A24FCE" w14:paraId="00BE22D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1,584</w:t>
            </w:r>
          </w:p>
        </w:tc>
      </w:tr>
      <w:tr w14:paraId="64084CEB" w14:textId="77777777" w:rsidTr="00B729AA">
        <w:tblPrEx>
          <w:tblW w:w="9530" w:type="dxa"/>
          <w:tblLook w:val="04A0"/>
        </w:tblPrEx>
        <w:trPr>
          <w:trHeight w:val="590"/>
        </w:trPr>
        <w:tc>
          <w:tcPr>
            <w:tcW w:w="39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24FCE" w:rsidRPr="00A24FCE" w:rsidP="004D23DB" w14:paraId="0197E521" w14:textId="667F68B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0" w:hanging="230"/>
              <w:rPr>
                <w:color w:val="000000"/>
              </w:rPr>
            </w:pPr>
            <w:r w:rsidRPr="00A24FCE">
              <w:rPr>
                <w:color w:val="000000"/>
              </w:rPr>
              <w:t>3.</w:t>
            </w:r>
            <w:r w:rsidR="004D23DB">
              <w:rPr>
                <w:color w:val="000000"/>
              </w:rPr>
              <w:tab/>
            </w:r>
            <w:r w:rsidR="002333FB">
              <w:rPr>
                <w:color w:val="000000"/>
              </w:rPr>
              <w:t>Complete and submit</w:t>
            </w:r>
            <w:r w:rsidRPr="00A24FCE" w:rsidR="002333FB">
              <w:rPr>
                <w:color w:val="000000"/>
              </w:rPr>
              <w:t xml:space="preserve"> </w:t>
            </w:r>
            <w:r w:rsidRPr="00A24FCE">
              <w:rPr>
                <w:color w:val="000000"/>
              </w:rPr>
              <w:t>application to EPA for permission to report HAP on behalf of facilities.</w:t>
            </w:r>
          </w:p>
        </w:tc>
        <w:tc>
          <w:tcPr>
            <w:tcW w:w="1470" w:type="dxa"/>
            <w:tcBorders>
              <w:top w:val="single" w:sz="4" w:space="0" w:color="auto"/>
              <w:left w:val="nil"/>
              <w:bottom w:val="single" w:sz="8" w:space="0" w:color="auto"/>
              <w:right w:val="single" w:sz="8" w:space="0" w:color="auto"/>
            </w:tcBorders>
            <w:shd w:val="clear" w:color="auto" w:fill="auto"/>
            <w:noWrap/>
            <w:vAlign w:val="center"/>
            <w:hideMark/>
          </w:tcPr>
          <w:p w:rsidR="00A24FCE" w:rsidRPr="00A24FCE" w:rsidP="00A24FCE" w14:paraId="3B3DD14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12</w:t>
            </w:r>
          </w:p>
        </w:tc>
        <w:tc>
          <w:tcPr>
            <w:tcW w:w="1470" w:type="dxa"/>
            <w:gridSpan w:val="3"/>
            <w:tcBorders>
              <w:top w:val="single" w:sz="4" w:space="0" w:color="auto"/>
              <w:left w:val="nil"/>
              <w:bottom w:val="single" w:sz="8" w:space="0" w:color="auto"/>
              <w:right w:val="single" w:sz="8" w:space="0" w:color="auto"/>
            </w:tcBorders>
            <w:shd w:val="clear" w:color="auto" w:fill="auto"/>
            <w:noWrap/>
            <w:vAlign w:val="center"/>
            <w:hideMark/>
          </w:tcPr>
          <w:p w:rsidR="00A24FCE" w:rsidRPr="00A24FCE" w:rsidP="00A24FCE" w14:paraId="4D919DE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120</w:t>
            </w:r>
          </w:p>
        </w:tc>
        <w:tc>
          <w:tcPr>
            <w:tcW w:w="1260" w:type="dxa"/>
            <w:gridSpan w:val="2"/>
            <w:tcBorders>
              <w:top w:val="single" w:sz="4" w:space="0" w:color="auto"/>
              <w:left w:val="nil"/>
              <w:bottom w:val="single" w:sz="8" w:space="0" w:color="auto"/>
              <w:right w:val="single" w:sz="8" w:space="0" w:color="auto"/>
            </w:tcBorders>
            <w:shd w:val="clear" w:color="auto" w:fill="auto"/>
            <w:noWrap/>
            <w:vAlign w:val="center"/>
            <w:hideMark/>
          </w:tcPr>
          <w:p w:rsidR="00A24FCE" w:rsidRPr="00A24FCE" w:rsidP="00A24FCE" w14:paraId="6663176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1380" w:type="dxa"/>
            <w:gridSpan w:val="4"/>
            <w:tcBorders>
              <w:top w:val="single" w:sz="4" w:space="0" w:color="auto"/>
              <w:left w:val="nil"/>
              <w:bottom w:val="single" w:sz="8" w:space="0" w:color="auto"/>
              <w:right w:val="single" w:sz="8" w:space="0" w:color="auto"/>
            </w:tcBorders>
            <w:shd w:val="clear" w:color="auto" w:fill="auto"/>
            <w:noWrap/>
            <w:vAlign w:val="center"/>
            <w:hideMark/>
          </w:tcPr>
          <w:p w:rsidR="00A24FCE" w:rsidRPr="00A24FCE" w:rsidP="00A24FCE" w14:paraId="0285D9F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132</w:t>
            </w:r>
          </w:p>
        </w:tc>
      </w:tr>
      <w:tr w14:paraId="30D31544" w14:textId="77777777" w:rsidTr="00B729AA">
        <w:tblPrEx>
          <w:tblW w:w="9530" w:type="dxa"/>
          <w:tblLook w:val="04A0"/>
        </w:tblPrEx>
        <w:trPr>
          <w:trHeight w:val="430"/>
        </w:trPr>
        <w:tc>
          <w:tcPr>
            <w:tcW w:w="3950" w:type="dxa"/>
            <w:tcBorders>
              <w:top w:val="nil"/>
              <w:left w:val="single" w:sz="8" w:space="0" w:color="auto"/>
              <w:bottom w:val="single" w:sz="8" w:space="0" w:color="auto"/>
              <w:right w:val="single" w:sz="8" w:space="0" w:color="auto"/>
            </w:tcBorders>
            <w:shd w:val="clear" w:color="auto" w:fill="auto"/>
            <w:noWrap/>
            <w:vAlign w:val="center"/>
            <w:hideMark/>
          </w:tcPr>
          <w:p w:rsidR="00A24FCE" w:rsidRPr="00A24FCE" w:rsidP="00A24FCE" w14:paraId="2D7BD24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sidRPr="00A24FCE">
              <w:rPr>
                <w:b/>
                <w:bCs/>
                <w:color w:val="000000"/>
              </w:rPr>
              <w:t>Subtotal</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A24FCE" w14:paraId="023FB94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260</w:t>
            </w:r>
          </w:p>
        </w:tc>
        <w:tc>
          <w:tcPr>
            <w:tcW w:w="1470" w:type="dxa"/>
            <w:gridSpan w:val="3"/>
            <w:tcBorders>
              <w:top w:val="nil"/>
              <w:left w:val="nil"/>
              <w:bottom w:val="single" w:sz="8" w:space="0" w:color="auto"/>
              <w:right w:val="single" w:sz="8" w:space="0" w:color="auto"/>
            </w:tcBorders>
            <w:shd w:val="clear" w:color="auto" w:fill="auto"/>
            <w:noWrap/>
            <w:vAlign w:val="center"/>
            <w:hideMark/>
          </w:tcPr>
          <w:p w:rsidR="00A24FCE" w:rsidRPr="00A24FCE" w:rsidP="00A24FCE" w14:paraId="61B3A27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1,560</w:t>
            </w:r>
          </w:p>
        </w:tc>
        <w:tc>
          <w:tcPr>
            <w:tcW w:w="1260" w:type="dxa"/>
            <w:gridSpan w:val="2"/>
            <w:tcBorders>
              <w:top w:val="nil"/>
              <w:left w:val="nil"/>
              <w:bottom w:val="single" w:sz="8" w:space="0" w:color="auto"/>
              <w:right w:val="single" w:sz="8" w:space="0" w:color="auto"/>
            </w:tcBorders>
            <w:shd w:val="clear" w:color="auto" w:fill="auto"/>
            <w:noWrap/>
            <w:vAlign w:val="center"/>
            <w:hideMark/>
          </w:tcPr>
          <w:p w:rsidR="00A24FCE" w:rsidRPr="00A24FCE" w:rsidP="00A24FCE" w14:paraId="436BDE7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1,040</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A24FCE" w:rsidP="00A24FCE" w14:paraId="1C4226B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2,860</w:t>
            </w:r>
          </w:p>
        </w:tc>
      </w:tr>
    </w:tbl>
    <w:p w:rsidR="00A24FCE" w:rsidP="004E6C7D" w14:paraId="7C4ABE07" w14:textId="7CF5E161"/>
    <w:p w:rsidR="00A24FCE" w:rsidP="00A24FCE" w14:paraId="0C269FAB" w14:textId="5F287516">
      <w:pPr>
        <w:pStyle w:val="Caption"/>
      </w:pPr>
      <w:r w:rsidRPr="0020098E">
        <w:fldChar w:fldCharType="begin"/>
      </w:r>
      <w:r w:rsidRPr="0020098E">
        <w:instrText xml:space="preserve"> REF _Ref105774537 \h </w:instrText>
      </w:r>
      <w:r w:rsidRPr="0020098E" w:rsidR="0020098E">
        <w:instrText xml:space="preserve"> \* MERGEFORMAT </w:instrText>
      </w:r>
      <w:r w:rsidRPr="0020098E">
        <w:fldChar w:fldCharType="separate"/>
      </w:r>
      <w:r w:rsidRPr="0020098E" w:rsidR="00646F0F">
        <w:t xml:space="preserve">Table </w:t>
      </w:r>
      <w:r w:rsidR="00646F0F">
        <w:rPr>
          <w:noProof/>
        </w:rPr>
        <w:t>3</w:t>
      </w:r>
      <w:r w:rsidRPr="0020098E">
        <w:fldChar w:fldCharType="end"/>
      </w:r>
      <w:r w:rsidRPr="0020098E">
        <w:t>b</w:t>
      </w:r>
      <w:r>
        <w:t xml:space="preserve">: </w:t>
      </w:r>
      <w:r w:rsidR="007D51A9">
        <w:t xml:space="preserve">State </w:t>
      </w:r>
      <w:r w:rsidR="0028549B">
        <w:t>respondent burden additional voluntary burden for one-time point source activities when using</w:t>
      </w:r>
      <w:r w:rsidR="007D51A9">
        <w:t xml:space="preserve"> </w:t>
      </w:r>
      <w:r>
        <w:t>CAERS</w:t>
      </w:r>
    </w:p>
    <w:tbl>
      <w:tblPr>
        <w:tblW w:w="9530" w:type="dxa"/>
        <w:tblLook w:val="04A0"/>
      </w:tblPr>
      <w:tblGrid>
        <w:gridCol w:w="3950"/>
        <w:gridCol w:w="1470"/>
        <w:gridCol w:w="1470"/>
        <w:gridCol w:w="480"/>
        <w:gridCol w:w="360"/>
        <w:gridCol w:w="238"/>
        <w:gridCol w:w="122"/>
        <w:gridCol w:w="60"/>
        <w:gridCol w:w="120"/>
        <w:gridCol w:w="432"/>
        <w:gridCol w:w="108"/>
        <w:gridCol w:w="22"/>
        <w:gridCol w:w="302"/>
        <w:gridCol w:w="396"/>
      </w:tblGrid>
      <w:tr w14:paraId="0CEF10DA" w14:textId="77777777" w:rsidTr="00F22EDB">
        <w:tblPrEx>
          <w:tblW w:w="9530" w:type="dxa"/>
          <w:tblLook w:val="04A0"/>
        </w:tblPrEx>
        <w:trPr>
          <w:trHeight w:val="288"/>
          <w:tblHeader/>
        </w:trPr>
        <w:tc>
          <w:tcPr>
            <w:tcW w:w="3950" w:type="dxa"/>
            <w:tcBorders>
              <w:top w:val="single" w:sz="8" w:space="0" w:color="000000"/>
              <w:left w:val="single" w:sz="8" w:space="0" w:color="000000"/>
              <w:bottom w:val="nil"/>
              <w:right w:val="nil"/>
            </w:tcBorders>
            <w:shd w:val="clear" w:color="auto" w:fill="auto"/>
            <w:vAlign w:val="center"/>
            <w:hideMark/>
          </w:tcPr>
          <w:p w:rsidR="00F22EDB" w:rsidRPr="00A24FCE" w:rsidP="00A24FCE" w14:paraId="3109EBC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 </w:t>
            </w:r>
          </w:p>
        </w:tc>
        <w:tc>
          <w:tcPr>
            <w:tcW w:w="4320" w:type="dxa"/>
            <w:gridSpan w:val="8"/>
            <w:tcBorders>
              <w:top w:val="single" w:sz="8" w:space="0" w:color="000000"/>
              <w:left w:val="single" w:sz="8" w:space="0" w:color="000000"/>
              <w:bottom w:val="single" w:sz="8" w:space="0" w:color="000000"/>
            </w:tcBorders>
            <w:shd w:val="clear" w:color="auto" w:fill="auto"/>
            <w:vAlign w:val="center"/>
            <w:hideMark/>
          </w:tcPr>
          <w:p w:rsidR="00F22EDB" w:rsidRPr="00A24FCE" w:rsidP="00A24FCE" w14:paraId="0D183C95" w14:textId="08CA88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b/>
                <w:bCs/>
                <w:color w:val="000000"/>
              </w:rPr>
              <w:t xml:space="preserve">                           </w:t>
            </w:r>
            <w:r w:rsidRPr="00A24FCE">
              <w:rPr>
                <w:b/>
                <w:bCs/>
                <w:color w:val="000000"/>
              </w:rPr>
              <w:t>Hours Per Respondent</w:t>
            </w:r>
          </w:p>
        </w:tc>
        <w:tc>
          <w:tcPr>
            <w:tcW w:w="432" w:type="dxa"/>
            <w:tcBorders>
              <w:top w:val="single" w:sz="8" w:space="0" w:color="000000"/>
              <w:bottom w:val="single" w:sz="8" w:space="0" w:color="000000"/>
            </w:tcBorders>
            <w:shd w:val="clear" w:color="auto" w:fill="auto"/>
            <w:vAlign w:val="center"/>
          </w:tcPr>
          <w:p w:rsidR="00F22EDB" w:rsidRPr="00A24FCE" w:rsidP="00A24FCE" w14:paraId="75D8D43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432" w:type="dxa"/>
            <w:gridSpan w:val="3"/>
            <w:tcBorders>
              <w:top w:val="single" w:sz="8" w:space="0" w:color="000000"/>
              <w:bottom w:val="single" w:sz="8" w:space="0" w:color="000000"/>
            </w:tcBorders>
            <w:shd w:val="clear" w:color="auto" w:fill="auto"/>
            <w:vAlign w:val="center"/>
          </w:tcPr>
          <w:p w:rsidR="00F22EDB" w:rsidRPr="00A24FCE" w:rsidP="00A24FCE" w14:paraId="1A51B1F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396" w:type="dxa"/>
            <w:tcBorders>
              <w:top w:val="single" w:sz="8" w:space="0" w:color="000000"/>
              <w:bottom w:val="single" w:sz="8" w:space="0" w:color="000000"/>
              <w:right w:val="single" w:sz="8" w:space="0" w:color="000000"/>
            </w:tcBorders>
            <w:shd w:val="clear" w:color="auto" w:fill="auto"/>
            <w:vAlign w:val="center"/>
          </w:tcPr>
          <w:p w:rsidR="00F22EDB" w:rsidRPr="00A24FCE" w:rsidP="00A24FCE" w14:paraId="64A79AEB" w14:textId="7740D4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5594D4A1" w14:textId="77777777" w:rsidTr="00F22EDB">
        <w:tblPrEx>
          <w:tblW w:w="9530" w:type="dxa"/>
          <w:tblLook w:val="04A0"/>
        </w:tblPrEx>
        <w:trPr>
          <w:trHeight w:val="880"/>
          <w:tblHeader/>
        </w:trPr>
        <w:tc>
          <w:tcPr>
            <w:tcW w:w="3950" w:type="dxa"/>
            <w:tcBorders>
              <w:top w:val="nil"/>
              <w:left w:val="single" w:sz="8" w:space="0" w:color="000000"/>
              <w:bottom w:val="single" w:sz="8" w:space="0" w:color="000000"/>
              <w:right w:val="nil"/>
            </w:tcBorders>
            <w:shd w:val="clear" w:color="auto" w:fill="auto"/>
            <w:vAlign w:val="center"/>
            <w:hideMark/>
          </w:tcPr>
          <w:p w:rsidR="00A24FCE" w:rsidRPr="00A24FCE" w:rsidP="00A24FCE" w14:paraId="4A6628C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Activity</w:t>
            </w:r>
          </w:p>
        </w:tc>
        <w:tc>
          <w:tcPr>
            <w:tcW w:w="1470" w:type="dxa"/>
            <w:tcBorders>
              <w:top w:val="nil"/>
              <w:left w:val="single" w:sz="8" w:space="0" w:color="000000"/>
              <w:bottom w:val="single" w:sz="8" w:space="0" w:color="000000"/>
              <w:right w:val="nil"/>
            </w:tcBorders>
            <w:shd w:val="clear" w:color="auto" w:fill="auto"/>
            <w:vAlign w:val="center"/>
            <w:hideMark/>
          </w:tcPr>
          <w:p w:rsidR="00A24FCE" w:rsidRPr="00A24FCE" w:rsidP="00A24FCE" w14:paraId="4C36385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Managerial Hours</w:t>
            </w:r>
          </w:p>
        </w:tc>
        <w:tc>
          <w:tcPr>
            <w:tcW w:w="1470" w:type="dxa"/>
            <w:tcBorders>
              <w:top w:val="nil"/>
              <w:left w:val="single" w:sz="8" w:space="0" w:color="000000"/>
              <w:bottom w:val="single" w:sz="8" w:space="0" w:color="000000"/>
              <w:right w:val="nil"/>
            </w:tcBorders>
            <w:shd w:val="clear" w:color="auto" w:fill="auto"/>
            <w:vAlign w:val="center"/>
            <w:hideMark/>
          </w:tcPr>
          <w:p w:rsidR="00A24FCE" w:rsidRPr="00A24FCE" w:rsidP="00A24FCE" w14:paraId="571D808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Technical Hours</w:t>
            </w:r>
          </w:p>
        </w:tc>
        <w:tc>
          <w:tcPr>
            <w:tcW w:w="1260" w:type="dxa"/>
            <w:gridSpan w:val="5"/>
            <w:tcBorders>
              <w:top w:val="nil"/>
              <w:left w:val="single" w:sz="8" w:space="0" w:color="000000"/>
              <w:bottom w:val="single" w:sz="8" w:space="0" w:color="000000"/>
              <w:right w:val="nil"/>
            </w:tcBorders>
            <w:shd w:val="clear" w:color="auto" w:fill="auto"/>
            <w:vAlign w:val="center"/>
            <w:hideMark/>
          </w:tcPr>
          <w:p w:rsidR="00A24FCE" w:rsidRPr="00A24FCE" w:rsidP="00A24FCE" w14:paraId="21D9C4F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IT Admin Hours</w:t>
            </w:r>
          </w:p>
        </w:tc>
        <w:tc>
          <w:tcPr>
            <w:tcW w:w="1380" w:type="dxa"/>
            <w:gridSpan w:val="6"/>
            <w:tcBorders>
              <w:top w:val="nil"/>
              <w:left w:val="single" w:sz="8" w:space="0" w:color="000000"/>
              <w:bottom w:val="single" w:sz="8" w:space="0" w:color="000000"/>
              <w:right w:val="single" w:sz="8" w:space="0" w:color="000000"/>
            </w:tcBorders>
            <w:shd w:val="clear" w:color="auto" w:fill="auto"/>
            <w:vAlign w:val="center"/>
            <w:hideMark/>
          </w:tcPr>
          <w:p w:rsidR="00A24FCE" w:rsidRPr="00A24FCE" w:rsidP="00A24FCE" w14:paraId="3A6526F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Total</w:t>
            </w:r>
          </w:p>
        </w:tc>
      </w:tr>
      <w:tr w14:paraId="46069E17" w14:textId="77777777" w:rsidTr="007D6009">
        <w:tblPrEx>
          <w:tblW w:w="9530" w:type="dxa"/>
          <w:tblLook w:val="04A0"/>
        </w:tblPrEx>
        <w:trPr>
          <w:trHeight w:val="432"/>
        </w:trPr>
        <w:tc>
          <w:tcPr>
            <w:tcW w:w="7730" w:type="dxa"/>
            <w:gridSpan w:val="5"/>
            <w:tcBorders>
              <w:top w:val="single" w:sz="8" w:space="0" w:color="000000"/>
              <w:left w:val="single" w:sz="8" w:space="0" w:color="000000"/>
              <w:bottom w:val="single" w:sz="8" w:space="0" w:color="000000"/>
            </w:tcBorders>
            <w:shd w:val="clear" w:color="auto" w:fill="D9D9D9" w:themeFill="background1" w:themeFillShade="D9"/>
            <w:noWrap/>
            <w:vAlign w:val="center"/>
            <w:hideMark/>
          </w:tcPr>
          <w:p w:rsidR="00B729AA" w:rsidRPr="00A24FCE" w:rsidP="007D6009" w14:paraId="18542FA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930579">
              <w:rPr>
                <w:b/>
                <w:bCs/>
                <w:color w:val="000000"/>
              </w:rPr>
              <w:t>CAERS Case 3 and 4 (State uses only CAERS)</w:t>
            </w:r>
            <w:r w:rsidRPr="00930579">
              <w:rPr>
                <w:color w:val="000000"/>
              </w:rPr>
              <w:t> </w:t>
            </w:r>
          </w:p>
        </w:tc>
        <w:tc>
          <w:tcPr>
            <w:tcW w:w="238" w:type="dxa"/>
            <w:tcBorders>
              <w:top w:val="single" w:sz="8" w:space="0" w:color="000000"/>
              <w:bottom w:val="single" w:sz="8" w:space="0" w:color="000000"/>
            </w:tcBorders>
            <w:shd w:val="clear" w:color="auto" w:fill="D9D9D9" w:themeFill="background1" w:themeFillShade="D9"/>
            <w:vAlign w:val="bottom"/>
          </w:tcPr>
          <w:p w:rsidR="00B729AA" w:rsidRPr="00A24FCE" w:rsidP="002A7BDB" w14:paraId="70B41D6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p>
        </w:tc>
        <w:tc>
          <w:tcPr>
            <w:tcW w:w="864" w:type="dxa"/>
            <w:gridSpan w:val="6"/>
            <w:tcBorders>
              <w:top w:val="single" w:sz="8" w:space="0" w:color="000000"/>
              <w:bottom w:val="single" w:sz="8" w:space="0" w:color="000000"/>
            </w:tcBorders>
            <w:shd w:val="clear" w:color="auto" w:fill="D9D9D9" w:themeFill="background1" w:themeFillShade="D9"/>
            <w:vAlign w:val="bottom"/>
          </w:tcPr>
          <w:p w:rsidR="00B729AA" w:rsidRPr="00A24FCE" w:rsidP="002A7BDB" w14:paraId="48DA25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p>
        </w:tc>
        <w:tc>
          <w:tcPr>
            <w:tcW w:w="698" w:type="dxa"/>
            <w:gridSpan w:val="2"/>
            <w:tcBorders>
              <w:top w:val="single" w:sz="8" w:space="0" w:color="000000"/>
              <w:bottom w:val="single" w:sz="8" w:space="0" w:color="000000"/>
              <w:right w:val="single" w:sz="8" w:space="0" w:color="000000"/>
            </w:tcBorders>
            <w:shd w:val="clear" w:color="auto" w:fill="D9D9D9" w:themeFill="background1" w:themeFillShade="D9"/>
            <w:vAlign w:val="bottom"/>
          </w:tcPr>
          <w:p w:rsidR="00B729AA" w:rsidRPr="00A24FCE" w:rsidP="002A7BDB" w14:paraId="70213BF8" w14:textId="5FF36AC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p>
        </w:tc>
      </w:tr>
      <w:tr w14:paraId="21180D76" w14:textId="77777777" w:rsidTr="004D23DB">
        <w:tblPrEx>
          <w:tblW w:w="9530" w:type="dxa"/>
          <w:tblLook w:val="04A0"/>
        </w:tblPrEx>
        <w:trPr>
          <w:trHeight w:val="590"/>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930579" w:rsidRPr="00A24FCE" w:rsidP="00AD2E59" w14:paraId="06EBC215" w14:textId="36E9DE8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930579">
              <w:rPr>
                <w:color w:val="000000"/>
              </w:rPr>
              <w:t>1. Update and deliver training to owners/operators</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930579" w14:paraId="1D815E6C" w14:textId="07EE89D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24</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930579" w14:paraId="071010F5" w14:textId="4DB1F42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240</w:t>
            </w:r>
          </w:p>
        </w:tc>
        <w:tc>
          <w:tcPr>
            <w:tcW w:w="1260" w:type="dxa"/>
            <w:gridSpan w:val="5"/>
            <w:tcBorders>
              <w:top w:val="nil"/>
              <w:left w:val="nil"/>
              <w:bottom w:val="single" w:sz="8" w:space="0" w:color="auto"/>
              <w:right w:val="single" w:sz="8" w:space="0" w:color="auto"/>
            </w:tcBorders>
            <w:shd w:val="clear" w:color="auto" w:fill="auto"/>
            <w:noWrap/>
            <w:vAlign w:val="center"/>
            <w:hideMark/>
          </w:tcPr>
          <w:p w:rsidR="00930579" w:rsidRPr="00A24FCE" w:rsidP="00930579" w14:paraId="0E673191" w14:textId="3B253EC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 </w:t>
            </w:r>
          </w:p>
        </w:tc>
        <w:tc>
          <w:tcPr>
            <w:tcW w:w="1380" w:type="dxa"/>
            <w:gridSpan w:val="6"/>
            <w:tcBorders>
              <w:top w:val="nil"/>
              <w:left w:val="nil"/>
              <w:bottom w:val="single" w:sz="8" w:space="0" w:color="auto"/>
              <w:right w:val="single" w:sz="8" w:space="0" w:color="auto"/>
            </w:tcBorders>
            <w:shd w:val="clear" w:color="auto" w:fill="auto"/>
            <w:noWrap/>
            <w:vAlign w:val="center"/>
            <w:hideMark/>
          </w:tcPr>
          <w:p w:rsidR="00930579" w:rsidRPr="00A24FCE" w:rsidP="00930579" w14:paraId="27E541BF" w14:textId="1348D74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264</w:t>
            </w:r>
          </w:p>
        </w:tc>
      </w:tr>
      <w:tr w14:paraId="6B28EBBA" w14:textId="77777777" w:rsidTr="004D23DB">
        <w:tblPrEx>
          <w:tblW w:w="9530" w:type="dxa"/>
          <w:tblLook w:val="04A0"/>
        </w:tblPrEx>
        <w:trPr>
          <w:trHeight w:val="590"/>
        </w:trPr>
        <w:tc>
          <w:tcPr>
            <w:tcW w:w="3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0579" w:rsidRPr="00A24FCE" w:rsidP="00AD2E59" w14:paraId="32C92FE0" w14:textId="124F5D8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b/>
                <w:bCs/>
                <w:color w:val="000000"/>
              </w:rPr>
            </w:pPr>
            <w:r w:rsidRPr="00930579">
              <w:rPr>
                <w:color w:val="000000"/>
              </w:rPr>
              <w:t>2. Curate list of facilities to remove duplicates</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0579" w:rsidRPr="00A24FCE" w:rsidP="00930579" w14:paraId="6B3E6D34" w14:textId="7C4857A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16</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0579" w:rsidRPr="00A24FCE" w:rsidP="00930579" w14:paraId="54F05302" w14:textId="741D243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160</w:t>
            </w:r>
          </w:p>
        </w:tc>
        <w:tc>
          <w:tcPr>
            <w:tcW w:w="12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0579" w:rsidRPr="00A24FCE" w:rsidP="00930579" w14:paraId="22AD5BF4" w14:textId="168AFB8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 </w:t>
            </w:r>
          </w:p>
        </w:tc>
        <w:tc>
          <w:tcPr>
            <w:tcW w:w="13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0579" w:rsidRPr="00A24FCE" w:rsidP="00930579" w14:paraId="6FAD6C84" w14:textId="0DA5AF3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176</w:t>
            </w:r>
          </w:p>
        </w:tc>
      </w:tr>
      <w:tr w14:paraId="1197639E" w14:textId="77777777" w:rsidTr="004D23DB">
        <w:tblPrEx>
          <w:tblW w:w="9530" w:type="dxa"/>
          <w:tblLook w:val="04A0"/>
        </w:tblPrEx>
        <w:trPr>
          <w:trHeight w:val="590"/>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79" w:rsidRPr="00A24FCE" w:rsidP="00AD2E59" w14:paraId="1BE82E71" w14:textId="531CAA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930579">
              <w:rPr>
                <w:color w:val="000000"/>
              </w:rPr>
              <w:t>3. Other coordination activities including ensuring any CAERS customizations meet SLT requirements.</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rsidR="00930579" w:rsidRPr="00A24FCE" w:rsidP="00930579" w14:paraId="354A5FDF" w14:textId="2E08AF0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48</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rsidR="00930579" w:rsidRPr="00A24FCE" w:rsidP="00930579" w14:paraId="014CB80C" w14:textId="3F30FB9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480</w:t>
            </w:r>
          </w:p>
        </w:tc>
        <w:tc>
          <w:tcPr>
            <w:tcW w:w="1260" w:type="dxa"/>
            <w:gridSpan w:val="5"/>
            <w:tcBorders>
              <w:top w:val="single" w:sz="8" w:space="0" w:color="auto"/>
              <w:left w:val="nil"/>
              <w:bottom w:val="single" w:sz="8" w:space="0" w:color="auto"/>
              <w:right w:val="single" w:sz="8" w:space="0" w:color="auto"/>
            </w:tcBorders>
            <w:shd w:val="clear" w:color="auto" w:fill="auto"/>
            <w:noWrap/>
            <w:vAlign w:val="center"/>
            <w:hideMark/>
          </w:tcPr>
          <w:p w:rsidR="00930579" w:rsidRPr="00A24FCE" w:rsidP="00930579" w14:paraId="773D4327" w14:textId="608A7C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 </w:t>
            </w:r>
          </w:p>
        </w:tc>
        <w:tc>
          <w:tcPr>
            <w:tcW w:w="1380" w:type="dxa"/>
            <w:gridSpan w:val="6"/>
            <w:tcBorders>
              <w:top w:val="single" w:sz="8" w:space="0" w:color="auto"/>
              <w:left w:val="nil"/>
              <w:bottom w:val="single" w:sz="8" w:space="0" w:color="auto"/>
              <w:right w:val="single" w:sz="8" w:space="0" w:color="auto"/>
            </w:tcBorders>
            <w:shd w:val="clear" w:color="auto" w:fill="auto"/>
            <w:noWrap/>
            <w:vAlign w:val="center"/>
            <w:hideMark/>
          </w:tcPr>
          <w:p w:rsidR="00930579" w:rsidRPr="00A24FCE" w:rsidP="00930579" w14:paraId="0446221D" w14:textId="20AC8AC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528</w:t>
            </w:r>
          </w:p>
        </w:tc>
      </w:tr>
      <w:tr w14:paraId="6AC1B9CC" w14:textId="77777777" w:rsidTr="007D6009">
        <w:tblPrEx>
          <w:tblW w:w="9530" w:type="dxa"/>
          <w:tblLook w:val="04A0"/>
        </w:tblPrEx>
        <w:trPr>
          <w:trHeight w:val="432"/>
        </w:trPr>
        <w:tc>
          <w:tcPr>
            <w:tcW w:w="7370" w:type="dxa"/>
            <w:gridSpan w:val="4"/>
            <w:tcBorders>
              <w:top w:val="single" w:sz="8" w:space="0" w:color="auto"/>
              <w:left w:val="single" w:sz="8" w:space="0" w:color="auto"/>
              <w:bottom w:val="single" w:sz="8" w:space="0" w:color="auto"/>
            </w:tcBorders>
            <w:shd w:val="clear" w:color="auto" w:fill="D9D9D9" w:themeFill="background1" w:themeFillShade="D9"/>
            <w:vAlign w:val="center"/>
            <w:hideMark/>
          </w:tcPr>
          <w:p w:rsidR="00B729AA" w:rsidRPr="00A24FCE" w:rsidP="00814DE6" w14:paraId="19B9108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rPr>
                <w:color w:val="000000"/>
              </w:rPr>
            </w:pPr>
            <w:r w:rsidRPr="00930579">
              <w:rPr>
                <w:b/>
                <w:bCs/>
                <w:color w:val="000000"/>
              </w:rPr>
              <w:t>CAERS Case 3 (CAERS front end and SLT database)</w:t>
            </w:r>
            <w:r w:rsidRPr="00930579">
              <w:rPr>
                <w:color w:val="000000"/>
              </w:rPr>
              <w:t> </w:t>
            </w:r>
          </w:p>
        </w:tc>
        <w:tc>
          <w:tcPr>
            <w:tcW w:w="720" w:type="dxa"/>
            <w:gridSpan w:val="3"/>
            <w:tcBorders>
              <w:top w:val="single" w:sz="8" w:space="0" w:color="auto"/>
              <w:bottom w:val="single" w:sz="8" w:space="0" w:color="auto"/>
            </w:tcBorders>
            <w:shd w:val="clear" w:color="auto" w:fill="D9D9D9" w:themeFill="background1" w:themeFillShade="D9"/>
            <w:vAlign w:val="bottom"/>
          </w:tcPr>
          <w:p w:rsidR="00B729AA" w:rsidRPr="00A24FCE" w:rsidP="00814DE6" w14:paraId="6BBB212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rPr>
                <w:color w:val="000000"/>
              </w:rPr>
            </w:pPr>
          </w:p>
        </w:tc>
        <w:tc>
          <w:tcPr>
            <w:tcW w:w="720" w:type="dxa"/>
            <w:gridSpan w:val="4"/>
            <w:tcBorders>
              <w:top w:val="single" w:sz="8" w:space="0" w:color="auto"/>
              <w:bottom w:val="single" w:sz="8" w:space="0" w:color="auto"/>
            </w:tcBorders>
            <w:shd w:val="clear" w:color="auto" w:fill="D9D9D9" w:themeFill="background1" w:themeFillShade="D9"/>
            <w:vAlign w:val="bottom"/>
          </w:tcPr>
          <w:p w:rsidR="00B729AA" w:rsidRPr="00A24FCE" w:rsidP="00814DE6" w14:paraId="04F4559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rPr>
                <w:color w:val="000000"/>
              </w:rPr>
            </w:pPr>
          </w:p>
        </w:tc>
        <w:tc>
          <w:tcPr>
            <w:tcW w:w="720" w:type="dxa"/>
            <w:gridSpan w:val="3"/>
            <w:tcBorders>
              <w:top w:val="single" w:sz="8" w:space="0" w:color="auto"/>
              <w:bottom w:val="single" w:sz="8" w:space="0" w:color="auto"/>
              <w:right w:val="single" w:sz="8" w:space="0" w:color="auto"/>
            </w:tcBorders>
            <w:shd w:val="clear" w:color="auto" w:fill="D9D9D9" w:themeFill="background1" w:themeFillShade="D9"/>
            <w:vAlign w:val="bottom"/>
          </w:tcPr>
          <w:p w:rsidR="00B729AA" w:rsidRPr="00A24FCE" w:rsidP="00814DE6" w14:paraId="4FF7A6AA" w14:textId="714FB3F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60" w:hanging="360"/>
              <w:rPr>
                <w:color w:val="000000"/>
              </w:rPr>
            </w:pPr>
          </w:p>
        </w:tc>
      </w:tr>
      <w:tr w14:paraId="17B39214" w14:textId="77777777" w:rsidTr="00F22EDB">
        <w:tblPrEx>
          <w:tblW w:w="9530" w:type="dxa"/>
          <w:tblLook w:val="04A0"/>
        </w:tblPrEx>
        <w:trPr>
          <w:trHeight w:val="880"/>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930579" w:rsidRPr="00A24FCE" w:rsidP="00814DE6" w14:paraId="2501B27C" w14:textId="1C0124E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930579">
              <w:rPr>
                <w:color w:val="000000"/>
              </w:rPr>
              <w:t xml:space="preserve">4. </w:t>
            </w:r>
            <w:r w:rsidR="00AB406C">
              <w:rPr>
                <w:color w:val="000000"/>
              </w:rPr>
              <w:t>Modify</w:t>
            </w:r>
            <w:r w:rsidRPr="00930579">
              <w:rPr>
                <w:color w:val="000000"/>
              </w:rPr>
              <w:t xml:space="preserve"> SLT system to receive data from CAERS user interface.</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814DE6" w14:paraId="4D28FDB0" w14:textId="369D224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104</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814DE6" w14:paraId="38991D15" w14:textId="17D3521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 </w:t>
            </w:r>
          </w:p>
        </w:tc>
        <w:tc>
          <w:tcPr>
            <w:tcW w:w="1260" w:type="dxa"/>
            <w:gridSpan w:val="5"/>
            <w:tcBorders>
              <w:top w:val="nil"/>
              <w:left w:val="nil"/>
              <w:bottom w:val="single" w:sz="8" w:space="0" w:color="auto"/>
              <w:right w:val="single" w:sz="8" w:space="0" w:color="auto"/>
            </w:tcBorders>
            <w:shd w:val="clear" w:color="auto" w:fill="auto"/>
            <w:noWrap/>
            <w:vAlign w:val="center"/>
            <w:hideMark/>
          </w:tcPr>
          <w:p w:rsidR="00930579" w:rsidRPr="00A24FCE" w:rsidP="00814DE6" w14:paraId="64FD87CB" w14:textId="5EAFC06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1,040</w:t>
            </w:r>
          </w:p>
        </w:tc>
        <w:tc>
          <w:tcPr>
            <w:tcW w:w="1380" w:type="dxa"/>
            <w:gridSpan w:val="6"/>
            <w:tcBorders>
              <w:top w:val="nil"/>
              <w:left w:val="nil"/>
              <w:bottom w:val="single" w:sz="8" w:space="0" w:color="auto"/>
              <w:right w:val="single" w:sz="8" w:space="0" w:color="auto"/>
            </w:tcBorders>
            <w:shd w:val="clear" w:color="auto" w:fill="auto"/>
            <w:noWrap/>
            <w:vAlign w:val="center"/>
            <w:hideMark/>
          </w:tcPr>
          <w:p w:rsidR="00930579" w:rsidRPr="00A24FCE" w:rsidP="00814DE6" w14:paraId="6D4F566D" w14:textId="2E3F654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930579">
              <w:rPr>
                <w:color w:val="000000"/>
              </w:rPr>
              <w:t>1,144</w:t>
            </w:r>
          </w:p>
        </w:tc>
      </w:tr>
      <w:tr w14:paraId="7B16C3B6" w14:textId="77777777" w:rsidTr="007D6009">
        <w:tblPrEx>
          <w:tblW w:w="9530" w:type="dxa"/>
          <w:tblLook w:val="04A0"/>
        </w:tblPrEx>
        <w:trPr>
          <w:trHeight w:val="432"/>
        </w:trPr>
        <w:tc>
          <w:tcPr>
            <w:tcW w:w="3950" w:type="dxa"/>
            <w:tcBorders>
              <w:top w:val="nil"/>
              <w:left w:val="single" w:sz="8" w:space="0" w:color="auto"/>
              <w:bottom w:val="single" w:sz="8" w:space="0" w:color="auto"/>
              <w:right w:val="single" w:sz="8" w:space="0" w:color="auto"/>
            </w:tcBorders>
            <w:shd w:val="clear" w:color="auto" w:fill="auto"/>
            <w:noWrap/>
            <w:vAlign w:val="center"/>
            <w:hideMark/>
          </w:tcPr>
          <w:p w:rsidR="00930579" w:rsidRPr="00A24FCE" w:rsidP="00814DE6" w14:paraId="5EF7D41E" w14:textId="1535759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sidRPr="00930579">
              <w:rPr>
                <w:b/>
                <w:bCs/>
                <w:color w:val="000000"/>
              </w:rPr>
              <w:t>Subtotal</w:t>
            </w:r>
            <w:r w:rsidR="0068287C">
              <w:rPr>
                <w:b/>
                <w:bCs/>
                <w:color w:val="000000"/>
              </w:rPr>
              <w:t xml:space="preserve"> -</w:t>
            </w:r>
            <w:r w:rsidRPr="00930579">
              <w:rPr>
                <w:b/>
                <w:bCs/>
                <w:color w:val="000000"/>
              </w:rPr>
              <w:t xml:space="preserve"> Case 3</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814DE6" w14:paraId="64916E58" w14:textId="63BBD14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930579">
              <w:rPr>
                <w:b/>
                <w:bCs/>
                <w:color w:val="000000"/>
              </w:rPr>
              <w:t>192</w:t>
            </w:r>
          </w:p>
        </w:tc>
        <w:tc>
          <w:tcPr>
            <w:tcW w:w="1470" w:type="dxa"/>
            <w:tcBorders>
              <w:top w:val="nil"/>
              <w:left w:val="nil"/>
              <w:bottom w:val="single" w:sz="8" w:space="0" w:color="auto"/>
              <w:right w:val="single" w:sz="8" w:space="0" w:color="auto"/>
            </w:tcBorders>
            <w:shd w:val="clear" w:color="auto" w:fill="auto"/>
            <w:noWrap/>
            <w:vAlign w:val="center"/>
            <w:hideMark/>
          </w:tcPr>
          <w:p w:rsidR="00930579" w:rsidRPr="00A24FCE" w:rsidP="00814DE6" w14:paraId="3A4311F1" w14:textId="47EAFCB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930579">
              <w:rPr>
                <w:b/>
                <w:bCs/>
                <w:color w:val="000000"/>
              </w:rPr>
              <w:t>880</w:t>
            </w:r>
          </w:p>
        </w:tc>
        <w:tc>
          <w:tcPr>
            <w:tcW w:w="1260" w:type="dxa"/>
            <w:gridSpan w:val="5"/>
            <w:tcBorders>
              <w:top w:val="nil"/>
              <w:left w:val="nil"/>
              <w:bottom w:val="single" w:sz="8" w:space="0" w:color="auto"/>
              <w:right w:val="single" w:sz="8" w:space="0" w:color="auto"/>
            </w:tcBorders>
            <w:shd w:val="clear" w:color="auto" w:fill="auto"/>
            <w:noWrap/>
            <w:vAlign w:val="center"/>
            <w:hideMark/>
          </w:tcPr>
          <w:p w:rsidR="00930579" w:rsidRPr="00A24FCE" w:rsidP="00814DE6" w14:paraId="3A141A93" w14:textId="51EB027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930579">
              <w:rPr>
                <w:b/>
                <w:bCs/>
                <w:color w:val="000000"/>
              </w:rPr>
              <w:t>1,040</w:t>
            </w:r>
          </w:p>
        </w:tc>
        <w:tc>
          <w:tcPr>
            <w:tcW w:w="1380" w:type="dxa"/>
            <w:gridSpan w:val="6"/>
            <w:tcBorders>
              <w:top w:val="nil"/>
              <w:left w:val="nil"/>
              <w:bottom w:val="single" w:sz="8" w:space="0" w:color="auto"/>
              <w:right w:val="single" w:sz="8" w:space="0" w:color="auto"/>
            </w:tcBorders>
            <w:shd w:val="clear" w:color="auto" w:fill="auto"/>
            <w:noWrap/>
            <w:vAlign w:val="center"/>
            <w:hideMark/>
          </w:tcPr>
          <w:p w:rsidR="00930579" w:rsidRPr="00A24FCE" w:rsidP="00814DE6" w14:paraId="304C52F1" w14:textId="7FB5E84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930579">
              <w:rPr>
                <w:b/>
                <w:bCs/>
                <w:color w:val="000000"/>
              </w:rPr>
              <w:t>2,112</w:t>
            </w:r>
          </w:p>
        </w:tc>
      </w:tr>
      <w:tr w14:paraId="4545558E" w14:textId="77777777" w:rsidTr="007D6009">
        <w:tblPrEx>
          <w:tblW w:w="9530" w:type="dxa"/>
          <w:tblLook w:val="04A0"/>
        </w:tblPrEx>
        <w:trPr>
          <w:trHeight w:val="432"/>
        </w:trPr>
        <w:tc>
          <w:tcPr>
            <w:tcW w:w="3950" w:type="dxa"/>
            <w:tcBorders>
              <w:top w:val="nil"/>
              <w:left w:val="single" w:sz="8" w:space="0" w:color="auto"/>
              <w:bottom w:val="single" w:sz="8" w:space="0" w:color="auto"/>
              <w:right w:val="single" w:sz="8" w:space="0" w:color="auto"/>
            </w:tcBorders>
            <w:shd w:val="clear" w:color="auto" w:fill="auto"/>
            <w:noWrap/>
            <w:vAlign w:val="center"/>
            <w:hideMark/>
          </w:tcPr>
          <w:p w:rsidR="00A24FCE" w:rsidRPr="00A24FCE" w:rsidP="00A24FCE" w14:paraId="335F06FE" w14:textId="183EC58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sidRPr="00A24FCE">
              <w:rPr>
                <w:b/>
                <w:bCs/>
                <w:color w:val="000000"/>
              </w:rPr>
              <w:t>Subtotal - Case 4</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A24FCE" w14:paraId="5F9C0B1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88</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A24FCE" w14:paraId="0061B8B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880</w:t>
            </w:r>
          </w:p>
        </w:tc>
        <w:tc>
          <w:tcPr>
            <w:tcW w:w="1260" w:type="dxa"/>
            <w:gridSpan w:val="5"/>
            <w:tcBorders>
              <w:top w:val="nil"/>
              <w:left w:val="nil"/>
              <w:bottom w:val="single" w:sz="8" w:space="0" w:color="auto"/>
              <w:right w:val="single" w:sz="8" w:space="0" w:color="auto"/>
            </w:tcBorders>
            <w:shd w:val="clear" w:color="auto" w:fill="auto"/>
            <w:noWrap/>
            <w:vAlign w:val="center"/>
            <w:hideMark/>
          </w:tcPr>
          <w:p w:rsidR="00A24FCE" w:rsidRPr="00A24FCE" w:rsidP="00A24FCE" w14:paraId="3FF7EBA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 </w:t>
            </w:r>
          </w:p>
        </w:tc>
        <w:tc>
          <w:tcPr>
            <w:tcW w:w="1380" w:type="dxa"/>
            <w:gridSpan w:val="6"/>
            <w:tcBorders>
              <w:top w:val="nil"/>
              <w:left w:val="nil"/>
              <w:bottom w:val="single" w:sz="8" w:space="0" w:color="auto"/>
              <w:right w:val="single" w:sz="8" w:space="0" w:color="auto"/>
            </w:tcBorders>
            <w:shd w:val="clear" w:color="auto" w:fill="auto"/>
            <w:noWrap/>
            <w:vAlign w:val="center"/>
            <w:hideMark/>
          </w:tcPr>
          <w:p w:rsidR="00A24FCE" w:rsidRPr="00A24FCE" w:rsidP="00A24FCE" w14:paraId="2518D8E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968</w:t>
            </w:r>
          </w:p>
        </w:tc>
      </w:tr>
    </w:tbl>
    <w:p w:rsidR="004E6C7D" w:rsidP="009E08D8" w14:paraId="3A593536" w14:textId="0E1A739E"/>
    <w:p w:rsidR="00A24FCE" w:rsidP="00A24FCE" w14:paraId="3B4B1FC4" w14:textId="34572B73">
      <w:pPr>
        <w:pStyle w:val="Caption"/>
      </w:pPr>
      <w:bookmarkStart w:id="13" w:name="_Ref129188650"/>
      <w:r w:rsidRPr="0020098E">
        <w:t xml:space="preserve">Table </w:t>
      </w:r>
      <w:r w:rsidR="00E05ECE">
        <w:fldChar w:fldCharType="begin"/>
      </w:r>
      <w:r w:rsidR="00E05ECE">
        <w:instrText xml:space="preserve"> SEQ Table \* ARABIC </w:instrText>
      </w:r>
      <w:r w:rsidR="00E05ECE">
        <w:fldChar w:fldCharType="separate"/>
      </w:r>
      <w:r w:rsidR="00646F0F">
        <w:rPr>
          <w:noProof/>
        </w:rPr>
        <w:t>4</w:t>
      </w:r>
      <w:r w:rsidR="00E05ECE">
        <w:rPr>
          <w:noProof/>
        </w:rPr>
        <w:fldChar w:fldCharType="end"/>
      </w:r>
      <w:bookmarkEnd w:id="13"/>
      <w:r w:rsidRPr="0020098E">
        <w:t>:</w:t>
      </w:r>
      <w:r>
        <w:t xml:space="preserve"> </w:t>
      </w:r>
      <w:r w:rsidR="007D51A9">
        <w:t xml:space="preserve">State </w:t>
      </w:r>
      <w:r w:rsidR="0028549B">
        <w:t xml:space="preserve">respondent burden hours for one-time activities to develop </w:t>
      </w:r>
      <w:r w:rsidRPr="00A24FCE" w:rsidR="0028549B">
        <w:t>prescribed burning data collection</w:t>
      </w:r>
    </w:p>
    <w:tbl>
      <w:tblPr>
        <w:tblW w:w="9530" w:type="dxa"/>
        <w:tblLook w:val="04A0"/>
      </w:tblPr>
      <w:tblGrid>
        <w:gridCol w:w="3950"/>
        <w:gridCol w:w="1470"/>
        <w:gridCol w:w="1470"/>
        <w:gridCol w:w="1260"/>
        <w:gridCol w:w="120"/>
        <w:gridCol w:w="432"/>
        <w:gridCol w:w="432"/>
        <w:gridCol w:w="396"/>
      </w:tblGrid>
      <w:tr w14:paraId="01D48AA5" w14:textId="77777777" w:rsidTr="00F22EDB">
        <w:tblPrEx>
          <w:tblW w:w="9530" w:type="dxa"/>
          <w:tblLook w:val="04A0"/>
        </w:tblPrEx>
        <w:trPr>
          <w:trHeight w:val="288"/>
          <w:tblHeader/>
        </w:trPr>
        <w:tc>
          <w:tcPr>
            <w:tcW w:w="3950" w:type="dxa"/>
            <w:tcBorders>
              <w:top w:val="single" w:sz="8" w:space="0" w:color="000000"/>
              <w:left w:val="single" w:sz="8" w:space="0" w:color="000000"/>
              <w:bottom w:val="nil"/>
              <w:right w:val="nil"/>
            </w:tcBorders>
            <w:shd w:val="clear" w:color="auto" w:fill="auto"/>
            <w:vAlign w:val="center"/>
            <w:hideMark/>
          </w:tcPr>
          <w:p w:rsidR="00F22EDB" w:rsidRPr="00A24FCE" w:rsidP="001722A3" w14:paraId="0510349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 </w:t>
            </w:r>
          </w:p>
        </w:tc>
        <w:tc>
          <w:tcPr>
            <w:tcW w:w="4320" w:type="dxa"/>
            <w:gridSpan w:val="4"/>
            <w:tcBorders>
              <w:top w:val="single" w:sz="8" w:space="0" w:color="000000"/>
              <w:left w:val="single" w:sz="8" w:space="0" w:color="000000"/>
              <w:bottom w:val="single" w:sz="8" w:space="0" w:color="000000"/>
            </w:tcBorders>
            <w:shd w:val="clear" w:color="auto" w:fill="auto"/>
            <w:vAlign w:val="center"/>
            <w:hideMark/>
          </w:tcPr>
          <w:p w:rsidR="00F22EDB" w:rsidRPr="00A24FCE" w:rsidP="001722A3" w14:paraId="4D7094E0" w14:textId="7D74DF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b/>
                <w:bCs/>
                <w:color w:val="000000"/>
              </w:rPr>
              <w:t xml:space="preserve">                           </w:t>
            </w:r>
            <w:r w:rsidRPr="00A24FCE">
              <w:rPr>
                <w:b/>
                <w:bCs/>
                <w:color w:val="000000"/>
              </w:rPr>
              <w:t>Hours Per Respondent</w:t>
            </w:r>
          </w:p>
        </w:tc>
        <w:tc>
          <w:tcPr>
            <w:tcW w:w="432" w:type="dxa"/>
            <w:tcBorders>
              <w:top w:val="single" w:sz="8" w:space="0" w:color="000000"/>
              <w:bottom w:val="single" w:sz="8" w:space="0" w:color="000000"/>
            </w:tcBorders>
            <w:shd w:val="clear" w:color="auto" w:fill="auto"/>
            <w:vAlign w:val="center"/>
          </w:tcPr>
          <w:p w:rsidR="00F22EDB" w:rsidRPr="00A24FCE" w:rsidP="001722A3" w14:paraId="730C403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432" w:type="dxa"/>
            <w:tcBorders>
              <w:top w:val="single" w:sz="8" w:space="0" w:color="000000"/>
              <w:bottom w:val="single" w:sz="8" w:space="0" w:color="000000"/>
            </w:tcBorders>
            <w:shd w:val="clear" w:color="auto" w:fill="auto"/>
            <w:vAlign w:val="center"/>
          </w:tcPr>
          <w:p w:rsidR="00F22EDB" w:rsidRPr="00A24FCE" w:rsidP="001722A3" w14:paraId="3808A54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396" w:type="dxa"/>
            <w:tcBorders>
              <w:top w:val="single" w:sz="8" w:space="0" w:color="000000"/>
              <w:bottom w:val="single" w:sz="8" w:space="0" w:color="000000"/>
              <w:right w:val="single" w:sz="8" w:space="0" w:color="000000"/>
            </w:tcBorders>
            <w:shd w:val="clear" w:color="auto" w:fill="auto"/>
            <w:vAlign w:val="center"/>
          </w:tcPr>
          <w:p w:rsidR="00F22EDB" w:rsidRPr="00A24FCE" w:rsidP="001722A3" w14:paraId="59BEA533" w14:textId="42CCFF7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2DE9AEF9" w14:textId="77777777" w:rsidTr="00F22EDB">
        <w:tblPrEx>
          <w:tblW w:w="9530" w:type="dxa"/>
          <w:tblLook w:val="04A0"/>
        </w:tblPrEx>
        <w:trPr>
          <w:trHeight w:val="880"/>
          <w:tblHeader/>
        </w:trPr>
        <w:tc>
          <w:tcPr>
            <w:tcW w:w="3950" w:type="dxa"/>
            <w:tcBorders>
              <w:top w:val="nil"/>
              <w:left w:val="single" w:sz="8" w:space="0" w:color="000000"/>
              <w:bottom w:val="nil"/>
              <w:right w:val="nil"/>
            </w:tcBorders>
            <w:shd w:val="clear" w:color="auto" w:fill="auto"/>
            <w:vAlign w:val="center"/>
            <w:hideMark/>
          </w:tcPr>
          <w:p w:rsidR="00A24FCE" w:rsidRPr="00A24FCE" w:rsidP="001722A3" w14:paraId="51D78BB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A24FCE">
              <w:rPr>
                <w:b/>
                <w:bCs/>
                <w:color w:val="000000"/>
              </w:rPr>
              <w:t>Activity</w:t>
            </w:r>
          </w:p>
        </w:tc>
        <w:tc>
          <w:tcPr>
            <w:tcW w:w="1470" w:type="dxa"/>
            <w:tcBorders>
              <w:top w:val="nil"/>
              <w:left w:val="single" w:sz="8" w:space="0" w:color="000000"/>
              <w:bottom w:val="nil"/>
              <w:right w:val="nil"/>
            </w:tcBorders>
            <w:shd w:val="clear" w:color="auto" w:fill="auto"/>
            <w:vAlign w:val="center"/>
            <w:hideMark/>
          </w:tcPr>
          <w:p w:rsidR="00A24FCE" w:rsidRPr="00A24FCE" w:rsidP="001722A3" w14:paraId="5518F3E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Managerial Hours</w:t>
            </w:r>
          </w:p>
        </w:tc>
        <w:tc>
          <w:tcPr>
            <w:tcW w:w="1470" w:type="dxa"/>
            <w:tcBorders>
              <w:top w:val="nil"/>
              <w:left w:val="single" w:sz="8" w:space="0" w:color="000000"/>
              <w:bottom w:val="nil"/>
              <w:right w:val="nil"/>
            </w:tcBorders>
            <w:shd w:val="clear" w:color="auto" w:fill="auto"/>
            <w:vAlign w:val="center"/>
            <w:hideMark/>
          </w:tcPr>
          <w:p w:rsidR="00A24FCE" w:rsidRPr="00A24FCE" w:rsidP="001722A3" w14:paraId="3950F93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Engineering Technical Hours</w:t>
            </w:r>
          </w:p>
        </w:tc>
        <w:tc>
          <w:tcPr>
            <w:tcW w:w="1260" w:type="dxa"/>
            <w:tcBorders>
              <w:top w:val="nil"/>
              <w:left w:val="single" w:sz="8" w:space="0" w:color="000000"/>
              <w:bottom w:val="nil"/>
              <w:right w:val="nil"/>
            </w:tcBorders>
            <w:shd w:val="clear" w:color="auto" w:fill="auto"/>
            <w:vAlign w:val="center"/>
            <w:hideMark/>
          </w:tcPr>
          <w:p w:rsidR="00A24FCE" w:rsidRPr="00A24FCE" w:rsidP="001722A3" w14:paraId="7276BF0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IT Admin Hours</w:t>
            </w:r>
          </w:p>
        </w:tc>
        <w:tc>
          <w:tcPr>
            <w:tcW w:w="1380" w:type="dxa"/>
            <w:gridSpan w:val="4"/>
            <w:tcBorders>
              <w:top w:val="nil"/>
              <w:left w:val="single" w:sz="8" w:space="0" w:color="000000"/>
              <w:bottom w:val="nil"/>
              <w:right w:val="single" w:sz="8" w:space="0" w:color="000000"/>
            </w:tcBorders>
            <w:shd w:val="clear" w:color="auto" w:fill="auto"/>
            <w:vAlign w:val="center"/>
            <w:hideMark/>
          </w:tcPr>
          <w:p w:rsidR="00A24FCE" w:rsidRPr="00A24FCE" w:rsidP="001722A3" w14:paraId="508C356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A24FCE">
              <w:rPr>
                <w:b/>
                <w:bCs/>
                <w:color w:val="000000"/>
              </w:rPr>
              <w:t>Total</w:t>
            </w:r>
          </w:p>
        </w:tc>
      </w:tr>
      <w:tr w14:paraId="6D454493" w14:textId="77777777" w:rsidTr="00F22EDB">
        <w:tblPrEx>
          <w:tblW w:w="9530" w:type="dxa"/>
          <w:tblLook w:val="04A0"/>
        </w:tblPrEx>
        <w:trPr>
          <w:trHeight w:val="610"/>
        </w:trPr>
        <w:tc>
          <w:tcPr>
            <w:tcW w:w="39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24FCE" w:rsidRPr="00A24FCE" w:rsidP="00AD2E59" w14:paraId="78EA5847" w14:textId="1FC9EEC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A24FCE">
              <w:rPr>
                <w:color w:val="000000"/>
              </w:rPr>
              <w:t>1.</w:t>
            </w:r>
            <w:r w:rsidR="00814DE6">
              <w:rPr>
                <w:color w:val="000000"/>
              </w:rPr>
              <w:tab/>
            </w:r>
            <w:r w:rsidRPr="00A24FCE">
              <w:rPr>
                <w:color w:val="000000"/>
              </w:rPr>
              <w:t>Revise SLT regulations to collect prescribed burning data.</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rsidR="00A24FCE" w:rsidRPr="00A24FCE" w:rsidP="001722A3" w14:paraId="5149831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312</w:t>
            </w:r>
          </w:p>
        </w:tc>
        <w:tc>
          <w:tcPr>
            <w:tcW w:w="1470" w:type="dxa"/>
            <w:tcBorders>
              <w:top w:val="single" w:sz="8" w:space="0" w:color="auto"/>
              <w:left w:val="nil"/>
              <w:bottom w:val="single" w:sz="8" w:space="0" w:color="auto"/>
              <w:right w:val="single" w:sz="8" w:space="0" w:color="auto"/>
            </w:tcBorders>
            <w:shd w:val="clear" w:color="auto" w:fill="auto"/>
            <w:noWrap/>
            <w:vAlign w:val="center"/>
            <w:hideMark/>
          </w:tcPr>
          <w:p w:rsidR="00A24FCE" w:rsidRPr="00A24FCE" w:rsidP="001722A3" w14:paraId="0C380253" w14:textId="1B02B1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w:t>
            </w:r>
            <w:r w:rsidR="004D23DB">
              <w:rPr>
                <w:color w:val="000000"/>
              </w:rPr>
              <w:t>,</w:t>
            </w:r>
            <w:r w:rsidRPr="00A24FCE">
              <w:rPr>
                <w:color w:val="000000"/>
              </w:rPr>
              <w:t>040</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A24FCE" w:rsidRPr="00A24FCE" w:rsidP="001722A3" w14:paraId="5BBDD74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 </w:t>
            </w:r>
          </w:p>
        </w:tc>
        <w:tc>
          <w:tcPr>
            <w:tcW w:w="1380" w:type="dxa"/>
            <w:gridSpan w:val="4"/>
            <w:tcBorders>
              <w:top w:val="single" w:sz="8" w:space="0" w:color="auto"/>
              <w:left w:val="nil"/>
              <w:bottom w:val="single" w:sz="8" w:space="0" w:color="auto"/>
              <w:right w:val="single" w:sz="8" w:space="0" w:color="auto"/>
            </w:tcBorders>
            <w:shd w:val="clear" w:color="auto" w:fill="auto"/>
            <w:noWrap/>
            <w:vAlign w:val="center"/>
            <w:hideMark/>
          </w:tcPr>
          <w:p w:rsidR="00A24FCE" w:rsidRPr="00A24FCE" w:rsidP="001722A3" w14:paraId="1CF7E62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1,352</w:t>
            </w:r>
          </w:p>
        </w:tc>
      </w:tr>
      <w:tr w14:paraId="4F34893B" w14:textId="77777777" w:rsidTr="00F22EDB">
        <w:tblPrEx>
          <w:tblW w:w="9530" w:type="dxa"/>
          <w:tblLook w:val="04A0"/>
        </w:tblPrEx>
        <w:trPr>
          <w:trHeight w:val="880"/>
        </w:trPr>
        <w:tc>
          <w:tcPr>
            <w:tcW w:w="3950" w:type="dxa"/>
            <w:tcBorders>
              <w:top w:val="nil"/>
              <w:left w:val="single" w:sz="8" w:space="0" w:color="auto"/>
              <w:bottom w:val="single" w:sz="8" w:space="0" w:color="auto"/>
              <w:right w:val="single" w:sz="8" w:space="0" w:color="auto"/>
            </w:tcBorders>
            <w:shd w:val="clear" w:color="auto" w:fill="auto"/>
            <w:vAlign w:val="bottom"/>
            <w:hideMark/>
          </w:tcPr>
          <w:p w:rsidR="00A24FCE" w:rsidRPr="00A24FCE" w:rsidP="00AD2E59" w14:paraId="1564B683" w14:textId="20D9532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A24FCE">
              <w:rPr>
                <w:color w:val="000000"/>
              </w:rPr>
              <w:t xml:space="preserve">2. </w:t>
            </w:r>
            <w:r w:rsidR="00814DE6">
              <w:rPr>
                <w:color w:val="000000"/>
              </w:rPr>
              <w:tab/>
            </w:r>
            <w:r w:rsidRPr="00A24FCE">
              <w:rPr>
                <w:color w:val="000000"/>
              </w:rPr>
              <w:t>Develop data collection system for prescribed burning data to conform with EPA collection and reporting requirements.</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53BA83D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416</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356107E1" w14:textId="4902DCF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1</w:t>
            </w:r>
            <w:r w:rsidR="004D23DB">
              <w:rPr>
                <w:color w:val="000000"/>
              </w:rPr>
              <w:t>,</w:t>
            </w:r>
            <w:r w:rsidRPr="00A24FCE">
              <w:rPr>
                <w:color w:val="000000"/>
              </w:rPr>
              <w:t>040</w:t>
            </w:r>
          </w:p>
        </w:tc>
        <w:tc>
          <w:tcPr>
            <w:tcW w:w="126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667819BA" w14:textId="51551B3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3</w:t>
            </w:r>
            <w:r w:rsidR="004D23DB">
              <w:rPr>
                <w:color w:val="000000"/>
              </w:rPr>
              <w:t>,</w:t>
            </w:r>
            <w:r w:rsidRPr="00A24FCE">
              <w:rPr>
                <w:color w:val="000000"/>
              </w:rPr>
              <w:t>120</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A24FCE" w:rsidP="001722A3" w14:paraId="287FF05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4,576</w:t>
            </w:r>
          </w:p>
        </w:tc>
      </w:tr>
      <w:tr w14:paraId="755B812F" w14:textId="77777777" w:rsidTr="00F22EDB">
        <w:tblPrEx>
          <w:tblW w:w="9530" w:type="dxa"/>
          <w:tblLook w:val="04A0"/>
        </w:tblPrEx>
        <w:trPr>
          <w:trHeight w:val="538"/>
        </w:trPr>
        <w:tc>
          <w:tcPr>
            <w:tcW w:w="3950" w:type="dxa"/>
            <w:tcBorders>
              <w:top w:val="nil"/>
              <w:left w:val="single" w:sz="8" w:space="0" w:color="auto"/>
              <w:bottom w:val="single" w:sz="8" w:space="0" w:color="auto"/>
              <w:right w:val="single" w:sz="8" w:space="0" w:color="auto"/>
            </w:tcBorders>
            <w:shd w:val="clear" w:color="auto" w:fill="auto"/>
            <w:vAlign w:val="bottom"/>
            <w:hideMark/>
          </w:tcPr>
          <w:p w:rsidR="00A24FCE" w:rsidRPr="00A24FCE" w:rsidP="00AD2E59" w14:paraId="2D8182C9" w14:textId="4C58E93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rPr>
            </w:pPr>
            <w:r w:rsidRPr="00A24FCE">
              <w:rPr>
                <w:color w:val="000000"/>
              </w:rPr>
              <w:t xml:space="preserve">3. </w:t>
            </w:r>
            <w:r w:rsidR="00814DE6">
              <w:rPr>
                <w:color w:val="000000"/>
              </w:rPr>
              <w:tab/>
            </w:r>
            <w:r w:rsidRPr="00A24FCE">
              <w:rPr>
                <w:color w:val="000000"/>
              </w:rPr>
              <w:t>Develop quality assurance and other techniques.</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5C83378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72</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30F52B9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480</w:t>
            </w:r>
          </w:p>
        </w:tc>
        <w:tc>
          <w:tcPr>
            <w:tcW w:w="1260" w:type="dxa"/>
            <w:tcBorders>
              <w:top w:val="nil"/>
              <w:left w:val="nil"/>
              <w:bottom w:val="single" w:sz="8" w:space="0" w:color="auto"/>
              <w:right w:val="single" w:sz="8" w:space="0" w:color="auto"/>
            </w:tcBorders>
            <w:shd w:val="clear" w:color="auto" w:fill="auto"/>
            <w:noWrap/>
            <w:vAlign w:val="center"/>
            <w:hideMark/>
          </w:tcPr>
          <w:p w:rsidR="00A24FCE" w:rsidRPr="00A24FCE" w:rsidP="001722A3" w14:paraId="48958CD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240</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A24FCE" w:rsidP="001722A3" w14:paraId="2C48867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sidRPr="00A24FCE">
              <w:rPr>
                <w:color w:val="000000"/>
              </w:rPr>
              <w:t>792</w:t>
            </w:r>
          </w:p>
        </w:tc>
      </w:tr>
      <w:tr w14:paraId="4CC98974" w14:textId="77777777" w:rsidTr="007D6009">
        <w:tblPrEx>
          <w:tblW w:w="9530" w:type="dxa"/>
          <w:tblLook w:val="04A0"/>
        </w:tblPrEx>
        <w:trPr>
          <w:trHeight w:val="432"/>
        </w:trPr>
        <w:tc>
          <w:tcPr>
            <w:tcW w:w="3950" w:type="dxa"/>
            <w:tcBorders>
              <w:top w:val="nil"/>
              <w:left w:val="single" w:sz="8" w:space="0" w:color="auto"/>
              <w:bottom w:val="single" w:sz="8" w:space="0" w:color="auto"/>
              <w:right w:val="single" w:sz="8" w:space="0" w:color="auto"/>
            </w:tcBorders>
            <w:shd w:val="clear" w:color="auto" w:fill="auto"/>
            <w:noWrap/>
            <w:vAlign w:val="center"/>
            <w:hideMark/>
          </w:tcPr>
          <w:p w:rsidR="00A24FCE" w:rsidRPr="00A24FCE" w:rsidP="001722A3" w14:paraId="5277CEE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sidRPr="00A24FCE">
              <w:rPr>
                <w:b/>
                <w:bCs/>
                <w:color w:val="000000"/>
              </w:rPr>
              <w:t>Total</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B729AA" w:rsidP="001722A3" w14:paraId="5948494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B729AA">
              <w:rPr>
                <w:b/>
                <w:bCs/>
                <w:color w:val="000000"/>
              </w:rPr>
              <w:t>800</w:t>
            </w:r>
          </w:p>
        </w:tc>
        <w:tc>
          <w:tcPr>
            <w:tcW w:w="1470" w:type="dxa"/>
            <w:tcBorders>
              <w:top w:val="nil"/>
              <w:left w:val="nil"/>
              <w:bottom w:val="single" w:sz="8" w:space="0" w:color="auto"/>
              <w:right w:val="single" w:sz="8" w:space="0" w:color="auto"/>
            </w:tcBorders>
            <w:shd w:val="clear" w:color="auto" w:fill="auto"/>
            <w:noWrap/>
            <w:vAlign w:val="center"/>
            <w:hideMark/>
          </w:tcPr>
          <w:p w:rsidR="00A24FCE" w:rsidRPr="00B729AA" w:rsidP="001722A3" w14:paraId="45311EA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B729AA">
              <w:rPr>
                <w:b/>
                <w:bCs/>
                <w:color w:val="000000"/>
              </w:rPr>
              <w:t>2,560</w:t>
            </w:r>
          </w:p>
        </w:tc>
        <w:tc>
          <w:tcPr>
            <w:tcW w:w="1260" w:type="dxa"/>
            <w:tcBorders>
              <w:top w:val="nil"/>
              <w:left w:val="nil"/>
              <w:bottom w:val="single" w:sz="8" w:space="0" w:color="auto"/>
              <w:right w:val="single" w:sz="8" w:space="0" w:color="auto"/>
            </w:tcBorders>
            <w:shd w:val="clear" w:color="auto" w:fill="auto"/>
            <w:noWrap/>
            <w:vAlign w:val="center"/>
            <w:hideMark/>
          </w:tcPr>
          <w:p w:rsidR="00A24FCE" w:rsidRPr="00B729AA" w:rsidP="001722A3" w14:paraId="0873084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B729AA">
              <w:rPr>
                <w:b/>
                <w:bCs/>
                <w:color w:val="000000"/>
              </w:rPr>
              <w:t>3,360</w:t>
            </w:r>
          </w:p>
        </w:tc>
        <w:tc>
          <w:tcPr>
            <w:tcW w:w="1380" w:type="dxa"/>
            <w:gridSpan w:val="4"/>
            <w:tcBorders>
              <w:top w:val="nil"/>
              <w:left w:val="nil"/>
              <w:bottom w:val="single" w:sz="8" w:space="0" w:color="auto"/>
              <w:right w:val="single" w:sz="8" w:space="0" w:color="auto"/>
            </w:tcBorders>
            <w:shd w:val="clear" w:color="auto" w:fill="auto"/>
            <w:noWrap/>
            <w:vAlign w:val="center"/>
            <w:hideMark/>
          </w:tcPr>
          <w:p w:rsidR="00A24FCE" w:rsidRPr="00B729AA" w:rsidP="001722A3" w14:paraId="40104F9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B729AA">
              <w:rPr>
                <w:b/>
                <w:bCs/>
                <w:color w:val="000000"/>
              </w:rPr>
              <w:t>6,720</w:t>
            </w:r>
          </w:p>
        </w:tc>
      </w:tr>
    </w:tbl>
    <w:p w:rsidR="00A24FCE" w:rsidP="009E08D8" w14:paraId="3CE2F180" w14:textId="5CB3AD6C"/>
    <w:p w:rsidR="002A7BDB" w:rsidP="002A7BDB" w14:paraId="29C5703B" w14:textId="7B26F716">
      <w:pPr>
        <w:pStyle w:val="Caption"/>
      </w:pPr>
      <w:bookmarkStart w:id="14" w:name="_Ref116674583"/>
      <w:r w:rsidRPr="0020098E">
        <w:t xml:space="preserve">Table </w:t>
      </w:r>
      <w:r w:rsidR="00E05ECE">
        <w:fldChar w:fldCharType="begin"/>
      </w:r>
      <w:r w:rsidR="00E05ECE">
        <w:instrText xml:space="preserve"> SEQ Table \* ARABIC </w:instrText>
      </w:r>
      <w:r w:rsidR="00E05ECE">
        <w:fldChar w:fldCharType="separate"/>
      </w:r>
      <w:r w:rsidR="00646F0F">
        <w:rPr>
          <w:noProof/>
        </w:rPr>
        <w:t>5</w:t>
      </w:r>
      <w:r w:rsidR="00E05ECE">
        <w:rPr>
          <w:noProof/>
        </w:rPr>
        <w:fldChar w:fldCharType="end"/>
      </w:r>
      <w:bookmarkEnd w:id="14"/>
      <w:r w:rsidRPr="0020098E">
        <w:t>:</w:t>
      </w:r>
      <w:r>
        <w:t xml:space="preserve"> </w:t>
      </w:r>
      <w:r w:rsidRPr="002A7BDB">
        <w:t xml:space="preserve">Annualized </w:t>
      </w:r>
      <w:r w:rsidRPr="002A7BDB" w:rsidR="0028549B">
        <w:t>one-time burden per state respondent</w:t>
      </w:r>
    </w:p>
    <w:tbl>
      <w:tblPr>
        <w:tblW w:w="9530" w:type="dxa"/>
        <w:tblLook w:val="04A0"/>
      </w:tblPr>
      <w:tblGrid>
        <w:gridCol w:w="4220"/>
        <w:gridCol w:w="1080"/>
        <w:gridCol w:w="8"/>
        <w:gridCol w:w="1088"/>
        <w:gridCol w:w="74"/>
        <w:gridCol w:w="8"/>
        <w:gridCol w:w="548"/>
        <w:gridCol w:w="524"/>
        <w:gridCol w:w="476"/>
        <w:gridCol w:w="236"/>
        <w:gridCol w:w="211"/>
        <w:gridCol w:w="510"/>
        <w:gridCol w:w="547"/>
      </w:tblGrid>
      <w:tr w14:paraId="640AB0FE" w14:textId="77777777" w:rsidTr="00FD69D4">
        <w:tblPrEx>
          <w:tblW w:w="9530" w:type="dxa"/>
          <w:tblLook w:val="04A0"/>
        </w:tblPrEx>
        <w:trPr>
          <w:trHeight w:val="590"/>
          <w:tblHeader/>
        </w:trPr>
        <w:tc>
          <w:tcPr>
            <w:tcW w:w="4220" w:type="dxa"/>
            <w:tcBorders>
              <w:top w:val="single" w:sz="8" w:space="0" w:color="auto"/>
              <w:left w:val="single" w:sz="8" w:space="0" w:color="auto"/>
              <w:bottom w:val="nil"/>
              <w:right w:val="single" w:sz="8" w:space="0" w:color="auto"/>
            </w:tcBorders>
            <w:shd w:val="clear" w:color="auto" w:fill="auto"/>
            <w:noWrap/>
            <w:vAlign w:val="bottom"/>
            <w:hideMark/>
          </w:tcPr>
          <w:p w:rsidR="002A7BDB" w:rsidRPr="007D6009" w:rsidP="00FF1C79" w14:paraId="6E81223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color w:val="000000"/>
                <w:szCs w:val="22"/>
              </w:rPr>
            </w:pPr>
            <w:r w:rsidRPr="007D6009">
              <w:rPr>
                <w:rFonts w:cstheme="minorHAnsi"/>
                <w:color w:val="000000"/>
                <w:szCs w:val="22"/>
              </w:rPr>
              <w:t> </w:t>
            </w:r>
          </w:p>
        </w:tc>
        <w:tc>
          <w:tcPr>
            <w:tcW w:w="1080" w:type="dxa"/>
            <w:tcBorders>
              <w:top w:val="single" w:sz="8" w:space="0" w:color="auto"/>
              <w:left w:val="nil"/>
              <w:bottom w:val="nil"/>
              <w:right w:val="single" w:sz="8" w:space="0" w:color="auto"/>
            </w:tcBorders>
            <w:shd w:val="clear" w:color="auto" w:fill="auto"/>
            <w:vAlign w:val="bottom"/>
            <w:hideMark/>
          </w:tcPr>
          <w:p w:rsidR="002A7BDB" w:rsidRPr="007D6009" w:rsidP="00F22EDB" w14:paraId="6B097D8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Manager Hrs/Yr @</w:t>
            </w:r>
          </w:p>
        </w:tc>
        <w:tc>
          <w:tcPr>
            <w:tcW w:w="1170" w:type="dxa"/>
            <w:gridSpan w:val="3"/>
            <w:tcBorders>
              <w:top w:val="single" w:sz="8" w:space="0" w:color="auto"/>
              <w:left w:val="nil"/>
              <w:bottom w:val="nil"/>
              <w:right w:val="single" w:sz="8" w:space="0" w:color="auto"/>
            </w:tcBorders>
            <w:shd w:val="clear" w:color="auto" w:fill="auto"/>
            <w:vAlign w:val="bottom"/>
            <w:hideMark/>
          </w:tcPr>
          <w:p w:rsidR="002A7BDB" w:rsidRPr="007D6009" w:rsidP="00F22EDB" w14:paraId="66227CA3" w14:textId="733C2B2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Tec</w:t>
            </w:r>
            <w:r w:rsidR="00FD69D4">
              <w:rPr>
                <w:rFonts w:cstheme="minorHAnsi"/>
                <w:b/>
                <w:bCs/>
                <w:color w:val="000000"/>
                <w:szCs w:val="22"/>
              </w:rPr>
              <w:t xml:space="preserve">hnical </w:t>
            </w:r>
            <w:r w:rsidRPr="007D6009">
              <w:rPr>
                <w:rFonts w:cstheme="minorHAnsi"/>
                <w:b/>
                <w:bCs/>
                <w:color w:val="000000"/>
                <w:szCs w:val="22"/>
              </w:rPr>
              <w:t>Hrs/Yr @</w:t>
            </w:r>
          </w:p>
        </w:tc>
        <w:tc>
          <w:tcPr>
            <w:tcW w:w="1080" w:type="dxa"/>
            <w:gridSpan w:val="3"/>
            <w:tcBorders>
              <w:top w:val="single" w:sz="8" w:space="0" w:color="auto"/>
              <w:left w:val="nil"/>
              <w:bottom w:val="nil"/>
              <w:right w:val="single" w:sz="8" w:space="0" w:color="auto"/>
            </w:tcBorders>
            <w:shd w:val="clear" w:color="auto" w:fill="auto"/>
            <w:vAlign w:val="bottom"/>
            <w:hideMark/>
          </w:tcPr>
          <w:p w:rsidR="002A7BDB" w:rsidRPr="007D6009" w:rsidP="00F22EDB" w14:paraId="54146124" w14:textId="2799BC3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 xml:space="preserve">IT </w:t>
            </w:r>
            <w:r w:rsidR="00FD69D4">
              <w:rPr>
                <w:rFonts w:cstheme="minorHAnsi"/>
                <w:b/>
                <w:bCs/>
                <w:color w:val="000000"/>
                <w:szCs w:val="22"/>
              </w:rPr>
              <w:br/>
            </w:r>
            <w:r w:rsidRPr="007D6009">
              <w:rPr>
                <w:rFonts w:cstheme="minorHAnsi"/>
                <w:b/>
                <w:bCs/>
                <w:color w:val="000000"/>
                <w:szCs w:val="22"/>
              </w:rPr>
              <w:t>Hrs/Yr @</w:t>
            </w:r>
          </w:p>
        </w:tc>
        <w:tc>
          <w:tcPr>
            <w:tcW w:w="923" w:type="dxa"/>
            <w:gridSpan w:val="3"/>
            <w:vMerge w:val="restart"/>
            <w:tcBorders>
              <w:top w:val="single" w:sz="8" w:space="0" w:color="auto"/>
              <w:left w:val="nil"/>
              <w:right w:val="single" w:sz="8" w:space="0" w:color="auto"/>
            </w:tcBorders>
            <w:shd w:val="clear" w:color="auto" w:fill="auto"/>
            <w:vAlign w:val="bottom"/>
            <w:hideMark/>
          </w:tcPr>
          <w:p w:rsidR="002A7BDB" w:rsidRPr="007D6009" w:rsidP="00F22EDB" w14:paraId="3F1CC946" w14:textId="46D28CD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Hours/</w:t>
            </w:r>
            <w:r w:rsidRPr="007D6009">
              <w:rPr>
                <w:rFonts w:cstheme="minorHAnsi"/>
                <w:b/>
                <w:bCs/>
                <w:color w:val="000000"/>
                <w:szCs w:val="22"/>
              </w:rPr>
              <w:br/>
              <w:t>Y</w:t>
            </w:r>
            <w:r w:rsidR="00FD69D4">
              <w:rPr>
                <w:rFonts w:cstheme="minorHAnsi"/>
                <w:b/>
                <w:bCs/>
                <w:color w:val="000000"/>
                <w:szCs w:val="22"/>
              </w:rPr>
              <w:t>ea</w:t>
            </w:r>
            <w:r w:rsidRPr="007D6009">
              <w:rPr>
                <w:rFonts w:cstheme="minorHAnsi"/>
                <w:b/>
                <w:bCs/>
                <w:color w:val="000000"/>
                <w:szCs w:val="22"/>
              </w:rPr>
              <w:t>r</w:t>
            </w:r>
          </w:p>
          <w:p w:rsidR="002A7BDB" w:rsidRPr="007D6009" w:rsidP="00F22EDB" w14:paraId="2CDF7972" w14:textId="02D67E37">
            <w:pPr>
              <w:keepNext/>
              <w:spacing w:line="240" w:lineRule="auto"/>
              <w:jc w:val="center"/>
              <w:rPr>
                <w:rFonts w:cstheme="minorHAnsi"/>
                <w:b/>
                <w:bCs/>
                <w:color w:val="000000"/>
                <w:szCs w:val="22"/>
              </w:rPr>
            </w:pPr>
          </w:p>
        </w:tc>
        <w:tc>
          <w:tcPr>
            <w:tcW w:w="1057" w:type="dxa"/>
            <w:gridSpan w:val="2"/>
            <w:vMerge w:val="restart"/>
            <w:tcBorders>
              <w:top w:val="single" w:sz="8" w:space="0" w:color="auto"/>
              <w:left w:val="nil"/>
              <w:right w:val="single" w:sz="8" w:space="0" w:color="auto"/>
            </w:tcBorders>
            <w:shd w:val="clear" w:color="auto" w:fill="auto"/>
            <w:vAlign w:val="bottom"/>
            <w:hideMark/>
          </w:tcPr>
          <w:p w:rsidR="002A7BDB" w:rsidRPr="007D6009" w:rsidP="00F22EDB" w14:paraId="22F689A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Labor Cost/</w:t>
            </w:r>
            <w:r w:rsidRPr="007D6009">
              <w:rPr>
                <w:rFonts w:cstheme="minorHAnsi"/>
                <w:b/>
                <w:bCs/>
                <w:color w:val="000000"/>
                <w:szCs w:val="22"/>
              </w:rPr>
              <w:br/>
              <w:t>Year</w:t>
            </w:r>
          </w:p>
          <w:p w:rsidR="002A7BDB" w:rsidRPr="007D6009" w:rsidP="00F22EDB" w14:paraId="1442DC50" w14:textId="79B4B8A7">
            <w:pPr>
              <w:keepNext/>
              <w:spacing w:line="240" w:lineRule="auto"/>
              <w:jc w:val="center"/>
              <w:rPr>
                <w:rFonts w:cstheme="minorHAnsi"/>
                <w:b/>
                <w:bCs/>
                <w:color w:val="000000"/>
                <w:szCs w:val="22"/>
              </w:rPr>
            </w:pPr>
          </w:p>
        </w:tc>
      </w:tr>
      <w:tr w14:paraId="3FD502E2" w14:textId="77777777" w:rsidTr="00FD69D4">
        <w:tblPrEx>
          <w:tblW w:w="9530" w:type="dxa"/>
          <w:tblLook w:val="04A0"/>
        </w:tblPrEx>
        <w:trPr>
          <w:trHeight w:val="306"/>
          <w:tblHeader/>
        </w:trPr>
        <w:tc>
          <w:tcPr>
            <w:tcW w:w="4220" w:type="dxa"/>
            <w:tcBorders>
              <w:top w:val="nil"/>
              <w:left w:val="single" w:sz="8" w:space="0" w:color="auto"/>
              <w:bottom w:val="single" w:sz="8" w:space="0" w:color="auto"/>
              <w:right w:val="single" w:sz="8" w:space="0" w:color="auto"/>
            </w:tcBorders>
            <w:shd w:val="clear" w:color="auto" w:fill="auto"/>
            <w:noWrap/>
            <w:vAlign w:val="bottom"/>
            <w:hideMark/>
          </w:tcPr>
          <w:p w:rsidR="002A7BDB" w:rsidRPr="007D6009" w:rsidP="00930579" w14:paraId="0934E88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r w:rsidRPr="007D6009">
              <w:rPr>
                <w:rFonts w:cstheme="minorHAnsi"/>
                <w:b/>
                <w:bCs/>
                <w:color w:val="000000"/>
                <w:szCs w:val="22"/>
              </w:rPr>
              <w:t>Activity</w:t>
            </w:r>
          </w:p>
        </w:tc>
        <w:tc>
          <w:tcPr>
            <w:tcW w:w="1080" w:type="dxa"/>
            <w:tcBorders>
              <w:top w:val="nil"/>
              <w:left w:val="nil"/>
              <w:bottom w:val="single" w:sz="8" w:space="0" w:color="auto"/>
              <w:right w:val="single" w:sz="8" w:space="0" w:color="auto"/>
            </w:tcBorders>
            <w:shd w:val="clear" w:color="auto" w:fill="auto"/>
            <w:noWrap/>
            <w:vAlign w:val="bottom"/>
            <w:hideMark/>
          </w:tcPr>
          <w:p w:rsidR="002A7BDB" w:rsidRPr="007D6009" w:rsidP="00B26904" w14:paraId="4DC84360" w14:textId="71E58E8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$11</w:t>
            </w:r>
            <w:r w:rsidR="00B26904">
              <w:rPr>
                <w:rFonts w:cstheme="minorHAnsi"/>
                <w:b/>
                <w:bCs/>
                <w:color w:val="000000"/>
                <w:szCs w:val="22"/>
              </w:rPr>
              <w:t>8</w:t>
            </w:r>
            <w:r w:rsidRPr="007D6009">
              <w:rPr>
                <w:rFonts w:cstheme="minorHAnsi"/>
                <w:b/>
                <w:bCs/>
                <w:color w:val="000000"/>
                <w:szCs w:val="22"/>
              </w:rPr>
              <w:t>.</w:t>
            </w:r>
            <w:r w:rsidR="00B26904">
              <w:rPr>
                <w:rFonts w:cstheme="minorHAnsi"/>
                <w:b/>
                <w:bCs/>
                <w:color w:val="000000"/>
                <w:szCs w:val="22"/>
              </w:rPr>
              <w:t>94</w:t>
            </w:r>
          </w:p>
        </w:tc>
        <w:tc>
          <w:tcPr>
            <w:tcW w:w="1170" w:type="dxa"/>
            <w:gridSpan w:val="3"/>
            <w:tcBorders>
              <w:top w:val="nil"/>
              <w:left w:val="nil"/>
              <w:bottom w:val="single" w:sz="8" w:space="0" w:color="auto"/>
              <w:right w:val="single" w:sz="8" w:space="0" w:color="auto"/>
            </w:tcBorders>
            <w:shd w:val="clear" w:color="auto" w:fill="auto"/>
            <w:noWrap/>
            <w:vAlign w:val="bottom"/>
            <w:hideMark/>
          </w:tcPr>
          <w:p w:rsidR="002A7BDB" w:rsidRPr="007D6009" w:rsidP="00B26904" w14:paraId="16CDA1A7" w14:textId="6C1AAD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w:t>
            </w:r>
            <w:r w:rsidR="00B26904">
              <w:rPr>
                <w:rFonts w:cstheme="minorHAnsi"/>
                <w:b/>
                <w:bCs/>
                <w:color w:val="000000"/>
                <w:szCs w:val="22"/>
              </w:rPr>
              <w:t>90.83</w:t>
            </w:r>
          </w:p>
        </w:tc>
        <w:tc>
          <w:tcPr>
            <w:tcW w:w="1080" w:type="dxa"/>
            <w:gridSpan w:val="3"/>
            <w:tcBorders>
              <w:top w:val="nil"/>
              <w:left w:val="nil"/>
              <w:bottom w:val="single" w:sz="8" w:space="0" w:color="auto"/>
              <w:right w:val="single" w:sz="8" w:space="0" w:color="auto"/>
            </w:tcBorders>
            <w:shd w:val="clear" w:color="auto" w:fill="auto"/>
            <w:noWrap/>
            <w:vAlign w:val="bottom"/>
            <w:hideMark/>
          </w:tcPr>
          <w:p w:rsidR="002A7BDB" w:rsidRPr="007D6009" w:rsidP="00B26904" w14:paraId="69BF4D18" w14:textId="7D51443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b/>
                <w:bCs/>
                <w:color w:val="000000"/>
                <w:szCs w:val="22"/>
              </w:rPr>
            </w:pPr>
            <w:r w:rsidRPr="007D6009">
              <w:rPr>
                <w:rFonts w:cstheme="minorHAnsi"/>
                <w:b/>
                <w:bCs/>
                <w:color w:val="000000"/>
                <w:szCs w:val="22"/>
              </w:rPr>
              <w:t>$</w:t>
            </w:r>
            <w:r w:rsidR="00B26904">
              <w:rPr>
                <w:rFonts w:cstheme="minorHAnsi"/>
                <w:b/>
                <w:bCs/>
                <w:color w:val="000000"/>
                <w:szCs w:val="22"/>
              </w:rPr>
              <w:t>81</w:t>
            </w:r>
            <w:r w:rsidRPr="007D6009">
              <w:rPr>
                <w:rFonts w:cstheme="minorHAnsi"/>
                <w:b/>
                <w:bCs/>
                <w:color w:val="000000"/>
                <w:szCs w:val="22"/>
              </w:rPr>
              <w:t>.</w:t>
            </w:r>
            <w:r w:rsidR="00B26904">
              <w:rPr>
                <w:rFonts w:cstheme="minorHAnsi"/>
                <w:b/>
                <w:bCs/>
                <w:color w:val="000000"/>
                <w:szCs w:val="22"/>
              </w:rPr>
              <w:t>02</w:t>
            </w:r>
          </w:p>
        </w:tc>
        <w:tc>
          <w:tcPr>
            <w:tcW w:w="923" w:type="dxa"/>
            <w:gridSpan w:val="3"/>
            <w:vMerge/>
            <w:tcBorders>
              <w:left w:val="nil"/>
              <w:bottom w:val="single" w:sz="8" w:space="0" w:color="auto"/>
              <w:right w:val="single" w:sz="8" w:space="0" w:color="auto"/>
            </w:tcBorders>
            <w:shd w:val="clear" w:color="auto" w:fill="auto"/>
            <w:noWrap/>
            <w:vAlign w:val="bottom"/>
            <w:hideMark/>
          </w:tcPr>
          <w:p w:rsidR="002A7BDB" w:rsidRPr="007D6009" w:rsidP="00930579" w14:paraId="6AFD9238" w14:textId="1D67BBE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color w:val="000000"/>
                <w:szCs w:val="22"/>
              </w:rPr>
            </w:pPr>
          </w:p>
        </w:tc>
        <w:tc>
          <w:tcPr>
            <w:tcW w:w="1057" w:type="dxa"/>
            <w:gridSpan w:val="2"/>
            <w:vMerge/>
            <w:tcBorders>
              <w:left w:val="nil"/>
              <w:bottom w:val="single" w:sz="8" w:space="0" w:color="auto"/>
              <w:right w:val="single" w:sz="8" w:space="0" w:color="auto"/>
            </w:tcBorders>
            <w:shd w:val="clear" w:color="auto" w:fill="auto"/>
            <w:noWrap/>
            <w:vAlign w:val="bottom"/>
            <w:hideMark/>
          </w:tcPr>
          <w:p w:rsidR="002A7BDB" w:rsidRPr="007D6009" w:rsidP="00930579" w14:paraId="1CDF5BE4" w14:textId="066BE0E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r>
      <w:tr w14:paraId="624B0066" w14:textId="77777777" w:rsidTr="00FD69D4">
        <w:tblPrEx>
          <w:tblW w:w="9530" w:type="dxa"/>
          <w:tblLook w:val="04A0"/>
        </w:tblPrEx>
        <w:trPr>
          <w:trHeight w:val="432"/>
        </w:trPr>
        <w:tc>
          <w:tcPr>
            <w:tcW w:w="5308" w:type="dxa"/>
            <w:gridSpan w:val="3"/>
            <w:tcBorders>
              <w:top w:val="single" w:sz="8" w:space="0" w:color="auto"/>
              <w:left w:val="single" w:sz="8" w:space="0" w:color="auto"/>
              <w:bottom w:val="single" w:sz="8" w:space="0" w:color="auto"/>
            </w:tcBorders>
            <w:shd w:val="clear" w:color="auto" w:fill="D9D9D9" w:themeFill="background1" w:themeFillShade="D9"/>
            <w:noWrap/>
            <w:vAlign w:val="center"/>
            <w:hideMark/>
          </w:tcPr>
          <w:p w:rsidR="00FD69D4" w:rsidRPr="007D6009" w:rsidP="00FF1C79" w14:paraId="130A10C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r w:rsidRPr="00FD69D4">
              <w:rPr>
                <w:rFonts w:cstheme="minorHAnsi"/>
                <w:b/>
                <w:bCs/>
                <w:color w:val="000000"/>
                <w:szCs w:val="22"/>
              </w:rPr>
              <w:t>Prescribed Burning Required Activities</w:t>
            </w:r>
          </w:p>
        </w:tc>
        <w:tc>
          <w:tcPr>
            <w:tcW w:w="1170" w:type="dxa"/>
            <w:gridSpan w:val="3"/>
            <w:tcBorders>
              <w:top w:val="single" w:sz="8" w:space="0" w:color="auto"/>
              <w:bottom w:val="single" w:sz="8" w:space="0" w:color="auto"/>
            </w:tcBorders>
            <w:shd w:val="clear" w:color="auto" w:fill="D9D9D9" w:themeFill="background1" w:themeFillShade="D9"/>
            <w:vAlign w:val="center"/>
          </w:tcPr>
          <w:p w:rsidR="00FD69D4" w:rsidRPr="007D6009" w:rsidP="00FF1C79" w14:paraId="28369E95" w14:textId="542E65F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1548" w:type="dxa"/>
            <w:gridSpan w:val="3"/>
            <w:tcBorders>
              <w:top w:val="single" w:sz="8" w:space="0" w:color="auto"/>
              <w:bottom w:val="single" w:sz="8" w:space="0" w:color="auto"/>
            </w:tcBorders>
            <w:shd w:val="clear" w:color="auto" w:fill="D9D9D9" w:themeFill="background1" w:themeFillShade="D9"/>
            <w:vAlign w:val="center"/>
          </w:tcPr>
          <w:p w:rsidR="00FD69D4" w:rsidRPr="007D6009" w:rsidP="00FF1C79" w14:paraId="74DC2265" w14:textId="2B8BAB4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236" w:type="dxa"/>
            <w:tcBorders>
              <w:top w:val="single" w:sz="8" w:space="0" w:color="auto"/>
              <w:bottom w:val="single" w:sz="8" w:space="0" w:color="auto"/>
            </w:tcBorders>
            <w:shd w:val="clear" w:color="auto" w:fill="D9D9D9" w:themeFill="background1" w:themeFillShade="D9"/>
            <w:vAlign w:val="center"/>
          </w:tcPr>
          <w:p w:rsidR="00FD69D4" w:rsidRPr="007D6009" w:rsidP="00FF1C79" w14:paraId="3C207DD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721" w:type="dxa"/>
            <w:gridSpan w:val="2"/>
            <w:tcBorders>
              <w:top w:val="single" w:sz="8" w:space="0" w:color="auto"/>
              <w:bottom w:val="single" w:sz="8" w:space="0" w:color="auto"/>
            </w:tcBorders>
            <w:shd w:val="clear" w:color="auto" w:fill="D9D9D9" w:themeFill="background1" w:themeFillShade="D9"/>
            <w:vAlign w:val="center"/>
          </w:tcPr>
          <w:p w:rsidR="00FD69D4" w:rsidRPr="007D6009" w:rsidP="00FF1C79" w14:paraId="45898D2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547" w:type="dxa"/>
            <w:tcBorders>
              <w:top w:val="single" w:sz="8" w:space="0" w:color="auto"/>
              <w:bottom w:val="single" w:sz="8" w:space="0" w:color="auto"/>
              <w:right w:val="single" w:sz="8" w:space="0" w:color="auto"/>
            </w:tcBorders>
            <w:shd w:val="clear" w:color="auto" w:fill="D9D9D9" w:themeFill="background1" w:themeFillShade="D9"/>
            <w:vAlign w:val="center"/>
          </w:tcPr>
          <w:p w:rsidR="00FD69D4" w:rsidRPr="007D6009" w:rsidP="00FF1C79" w14:paraId="514BC17F" w14:textId="49AFB5B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r>
      <w:tr w14:paraId="047CE73D" w14:textId="77777777" w:rsidTr="00FD69D4">
        <w:tblPrEx>
          <w:tblW w:w="9530" w:type="dxa"/>
          <w:tblLook w:val="04A0"/>
        </w:tblPrEx>
        <w:trPr>
          <w:trHeight w:val="432"/>
        </w:trPr>
        <w:tc>
          <w:tcPr>
            <w:tcW w:w="4220" w:type="dxa"/>
            <w:tcBorders>
              <w:top w:val="nil"/>
              <w:left w:val="single" w:sz="8" w:space="0" w:color="auto"/>
              <w:bottom w:val="single" w:sz="8" w:space="0" w:color="auto"/>
              <w:right w:val="single" w:sz="8" w:space="0" w:color="auto"/>
            </w:tcBorders>
            <w:shd w:val="clear" w:color="auto" w:fill="auto"/>
            <w:vAlign w:val="center"/>
            <w:hideMark/>
          </w:tcPr>
          <w:p w:rsidR="00FD69D4" w:rsidRPr="007D6009" w:rsidP="00FD69D4" w14:paraId="725B2C08" w14:textId="46B1BBE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leftChars="68"/>
              <w:rPr>
                <w:rFonts w:cstheme="minorHAnsi"/>
                <w:color w:val="000000"/>
                <w:szCs w:val="22"/>
              </w:rPr>
            </w:pPr>
            <w:r>
              <w:rPr>
                <w:rFonts w:ascii="Calibri" w:hAnsi="Calibri" w:cs="Calibri"/>
                <w:color w:val="000000"/>
                <w:szCs w:val="22"/>
              </w:rPr>
              <w:t xml:space="preserve">Develop </w:t>
            </w:r>
            <w:r w:rsidR="004D23DB">
              <w:rPr>
                <w:rFonts w:ascii="Calibri" w:hAnsi="Calibri" w:cs="Calibri"/>
                <w:color w:val="000000"/>
                <w:szCs w:val="22"/>
              </w:rPr>
              <w:t>p</w:t>
            </w:r>
            <w:r>
              <w:rPr>
                <w:rFonts w:ascii="Calibri" w:hAnsi="Calibri" w:cs="Calibri"/>
                <w:color w:val="000000"/>
                <w:szCs w:val="22"/>
              </w:rPr>
              <w:t xml:space="preserve">rescribed </w:t>
            </w:r>
            <w:r w:rsidR="004D23DB">
              <w:rPr>
                <w:rFonts w:ascii="Calibri" w:hAnsi="Calibri" w:cs="Calibri"/>
                <w:color w:val="000000"/>
                <w:szCs w:val="22"/>
              </w:rPr>
              <w:t>b</w:t>
            </w:r>
            <w:r>
              <w:rPr>
                <w:rFonts w:ascii="Calibri" w:hAnsi="Calibri" w:cs="Calibri"/>
                <w:color w:val="000000"/>
                <w:szCs w:val="22"/>
              </w:rPr>
              <w:t xml:space="preserve">urning </w:t>
            </w:r>
            <w:r w:rsidR="004D23DB">
              <w:rPr>
                <w:rFonts w:ascii="Calibri" w:hAnsi="Calibri" w:cs="Calibri"/>
                <w:color w:val="000000"/>
                <w:szCs w:val="22"/>
              </w:rPr>
              <w:t>d</w:t>
            </w:r>
            <w:r>
              <w:rPr>
                <w:rFonts w:ascii="Calibri" w:hAnsi="Calibri" w:cs="Calibri"/>
                <w:color w:val="000000"/>
                <w:szCs w:val="22"/>
              </w:rPr>
              <w:t xml:space="preserve">ata </w:t>
            </w:r>
            <w:r w:rsidR="004D23DB">
              <w:rPr>
                <w:rFonts w:ascii="Calibri" w:hAnsi="Calibri" w:cs="Calibri"/>
                <w:color w:val="000000"/>
                <w:szCs w:val="22"/>
              </w:rPr>
              <w:t>c</w:t>
            </w:r>
            <w:r>
              <w:rPr>
                <w:rFonts w:ascii="Calibri" w:hAnsi="Calibri" w:cs="Calibri"/>
                <w:color w:val="000000"/>
                <w:szCs w:val="22"/>
              </w:rPr>
              <w:t>ollection</w:t>
            </w:r>
          </w:p>
        </w:tc>
        <w:tc>
          <w:tcPr>
            <w:tcW w:w="1080" w:type="dxa"/>
            <w:tcBorders>
              <w:top w:val="nil"/>
              <w:left w:val="nil"/>
              <w:bottom w:val="single" w:sz="8" w:space="0" w:color="auto"/>
              <w:right w:val="single" w:sz="8" w:space="0" w:color="auto"/>
            </w:tcBorders>
            <w:shd w:val="clear" w:color="auto" w:fill="auto"/>
            <w:noWrap/>
            <w:vAlign w:val="center"/>
            <w:hideMark/>
          </w:tcPr>
          <w:p w:rsidR="00FD69D4" w:rsidRPr="007D6009" w:rsidP="00FD69D4" w14:paraId="2EB52D16" w14:textId="32E8268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267</w:t>
            </w:r>
          </w:p>
        </w:tc>
        <w:tc>
          <w:tcPr>
            <w:tcW w:w="1170" w:type="dxa"/>
            <w:gridSpan w:val="3"/>
            <w:tcBorders>
              <w:top w:val="nil"/>
              <w:left w:val="nil"/>
              <w:bottom w:val="single" w:sz="8" w:space="0" w:color="auto"/>
              <w:right w:val="single" w:sz="8" w:space="0" w:color="auto"/>
            </w:tcBorders>
            <w:shd w:val="clear" w:color="auto" w:fill="auto"/>
            <w:noWrap/>
            <w:vAlign w:val="center"/>
            <w:hideMark/>
          </w:tcPr>
          <w:p w:rsidR="00FD69D4" w:rsidRPr="007D6009" w:rsidP="00FD69D4" w14:paraId="778F7A55" w14:textId="2A3EDAC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853</w:t>
            </w:r>
          </w:p>
        </w:tc>
        <w:tc>
          <w:tcPr>
            <w:tcW w:w="1080" w:type="dxa"/>
            <w:gridSpan w:val="3"/>
            <w:tcBorders>
              <w:top w:val="nil"/>
              <w:left w:val="nil"/>
              <w:bottom w:val="single" w:sz="8" w:space="0" w:color="auto"/>
              <w:right w:val="single" w:sz="8" w:space="0" w:color="auto"/>
            </w:tcBorders>
            <w:shd w:val="clear" w:color="auto" w:fill="auto"/>
            <w:noWrap/>
            <w:vAlign w:val="center"/>
            <w:hideMark/>
          </w:tcPr>
          <w:p w:rsidR="00FD69D4" w:rsidRPr="007D6009" w:rsidP="00FD69D4" w14:paraId="56550ACF" w14:textId="0A1D30B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1,120</w:t>
            </w:r>
          </w:p>
        </w:tc>
        <w:tc>
          <w:tcPr>
            <w:tcW w:w="923" w:type="dxa"/>
            <w:gridSpan w:val="3"/>
            <w:tcBorders>
              <w:top w:val="nil"/>
              <w:left w:val="nil"/>
              <w:bottom w:val="single" w:sz="8" w:space="0" w:color="auto"/>
              <w:right w:val="single" w:sz="8" w:space="0" w:color="auto"/>
            </w:tcBorders>
            <w:shd w:val="clear" w:color="auto" w:fill="auto"/>
            <w:noWrap/>
            <w:vAlign w:val="center"/>
            <w:hideMark/>
          </w:tcPr>
          <w:p w:rsidR="00FD69D4" w:rsidRPr="007D6009" w:rsidP="00FD69D4" w14:paraId="178C91D3" w14:textId="51ACF35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2,240</w:t>
            </w:r>
          </w:p>
        </w:tc>
        <w:tc>
          <w:tcPr>
            <w:tcW w:w="1057" w:type="dxa"/>
            <w:gridSpan w:val="2"/>
            <w:tcBorders>
              <w:top w:val="nil"/>
              <w:left w:val="nil"/>
              <w:bottom w:val="single" w:sz="8" w:space="0" w:color="auto"/>
              <w:right w:val="single" w:sz="8" w:space="0" w:color="auto"/>
            </w:tcBorders>
            <w:shd w:val="clear" w:color="auto" w:fill="auto"/>
            <w:noWrap/>
            <w:vAlign w:val="center"/>
            <w:hideMark/>
          </w:tcPr>
          <w:p w:rsidR="00FD69D4" w:rsidRPr="007D6009" w:rsidP="00FD69D4" w14:paraId="06C31157" w14:textId="5F50D1D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cstheme="minorHAnsi"/>
                <w:color w:val="000000"/>
                <w:szCs w:val="22"/>
              </w:rPr>
            </w:pPr>
            <w:r>
              <w:rPr>
                <w:rFonts w:ascii="Calibri" w:hAnsi="Calibri" w:cs="Calibri"/>
                <w:color w:val="000000"/>
                <w:szCs w:val="22"/>
              </w:rPr>
              <w:t xml:space="preserve">$199,963 </w:t>
            </w:r>
          </w:p>
        </w:tc>
      </w:tr>
      <w:tr w14:paraId="27CA7C0F" w14:textId="77777777" w:rsidTr="00FD69D4">
        <w:tblPrEx>
          <w:tblW w:w="9530" w:type="dxa"/>
          <w:tblLook w:val="04A0"/>
        </w:tblPrEx>
        <w:trPr>
          <w:trHeight w:val="432"/>
        </w:trPr>
        <w:tc>
          <w:tcPr>
            <w:tcW w:w="5308" w:type="dxa"/>
            <w:gridSpan w:val="3"/>
            <w:tcBorders>
              <w:top w:val="single" w:sz="8" w:space="0" w:color="auto"/>
              <w:left w:val="single" w:sz="8" w:space="0" w:color="auto"/>
              <w:bottom w:val="single" w:sz="8" w:space="0" w:color="auto"/>
            </w:tcBorders>
            <w:shd w:val="clear" w:color="auto" w:fill="D9D9D9" w:themeFill="background1" w:themeFillShade="D9"/>
            <w:noWrap/>
            <w:vAlign w:val="center"/>
            <w:hideMark/>
          </w:tcPr>
          <w:p w:rsidR="00FD69D4" w:rsidRPr="007D6009" w:rsidP="00FD69D4" w14:paraId="54DB871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r w:rsidRPr="00814DE6">
              <w:rPr>
                <w:rFonts w:cstheme="minorHAnsi"/>
                <w:b/>
                <w:bCs/>
                <w:color w:val="000000"/>
                <w:szCs w:val="22"/>
              </w:rPr>
              <w:t>Point Sources</w:t>
            </w:r>
            <w:r>
              <w:rPr>
                <w:rFonts w:cstheme="minorHAnsi"/>
                <w:b/>
                <w:bCs/>
                <w:color w:val="000000"/>
                <w:szCs w:val="22"/>
              </w:rPr>
              <w:t xml:space="preserve"> Required Activities</w:t>
            </w:r>
          </w:p>
        </w:tc>
        <w:tc>
          <w:tcPr>
            <w:tcW w:w="1170" w:type="dxa"/>
            <w:gridSpan w:val="3"/>
            <w:tcBorders>
              <w:top w:val="single" w:sz="8" w:space="0" w:color="auto"/>
              <w:bottom w:val="single" w:sz="8" w:space="0" w:color="auto"/>
            </w:tcBorders>
            <w:shd w:val="clear" w:color="auto" w:fill="D9D9D9" w:themeFill="background1" w:themeFillShade="D9"/>
            <w:vAlign w:val="center"/>
          </w:tcPr>
          <w:p w:rsidR="00FD69D4" w:rsidRPr="007D6009" w:rsidP="00FD69D4" w14:paraId="395B6468" w14:textId="030AEAB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1548" w:type="dxa"/>
            <w:gridSpan w:val="3"/>
            <w:tcBorders>
              <w:top w:val="single" w:sz="8" w:space="0" w:color="auto"/>
              <w:bottom w:val="single" w:sz="8" w:space="0" w:color="auto"/>
            </w:tcBorders>
            <w:shd w:val="clear" w:color="auto" w:fill="D9D9D9" w:themeFill="background1" w:themeFillShade="D9"/>
            <w:vAlign w:val="center"/>
          </w:tcPr>
          <w:p w:rsidR="00FD69D4" w:rsidRPr="007D6009" w:rsidP="00FD69D4" w14:paraId="3A64C795" w14:textId="032EE6D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236" w:type="dxa"/>
            <w:tcBorders>
              <w:top w:val="single" w:sz="8" w:space="0" w:color="auto"/>
              <w:bottom w:val="single" w:sz="8" w:space="0" w:color="auto"/>
            </w:tcBorders>
            <w:shd w:val="clear" w:color="auto" w:fill="D9D9D9" w:themeFill="background1" w:themeFillShade="D9"/>
            <w:vAlign w:val="center"/>
          </w:tcPr>
          <w:p w:rsidR="00FD69D4" w:rsidRPr="007D6009" w:rsidP="00FD69D4" w14:paraId="47496E7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721" w:type="dxa"/>
            <w:gridSpan w:val="2"/>
            <w:tcBorders>
              <w:top w:val="single" w:sz="8" w:space="0" w:color="auto"/>
              <w:bottom w:val="single" w:sz="8" w:space="0" w:color="auto"/>
            </w:tcBorders>
            <w:shd w:val="clear" w:color="auto" w:fill="D9D9D9" w:themeFill="background1" w:themeFillShade="D9"/>
            <w:vAlign w:val="center"/>
          </w:tcPr>
          <w:p w:rsidR="00FD69D4" w:rsidRPr="007D6009" w:rsidP="00FD69D4" w14:paraId="672025D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c>
          <w:tcPr>
            <w:tcW w:w="547" w:type="dxa"/>
            <w:tcBorders>
              <w:top w:val="single" w:sz="8" w:space="0" w:color="auto"/>
              <w:bottom w:val="single" w:sz="8" w:space="0" w:color="auto"/>
            </w:tcBorders>
            <w:shd w:val="clear" w:color="auto" w:fill="D9D9D9" w:themeFill="background1" w:themeFillShade="D9"/>
            <w:vAlign w:val="center"/>
          </w:tcPr>
          <w:p w:rsidR="00FD69D4" w:rsidRPr="007D6009" w:rsidP="00FD69D4" w14:paraId="5759B6E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b/>
                <w:bCs/>
                <w:color w:val="000000"/>
                <w:szCs w:val="22"/>
              </w:rPr>
            </w:pPr>
          </w:p>
        </w:tc>
      </w:tr>
      <w:tr w14:paraId="75DE9AF0" w14:textId="77777777" w:rsidTr="00FD69D4">
        <w:tblPrEx>
          <w:tblW w:w="9530" w:type="dxa"/>
          <w:tblLook w:val="04A0"/>
        </w:tblPrEx>
        <w:trPr>
          <w:trHeight w:val="432"/>
        </w:trPr>
        <w:tc>
          <w:tcPr>
            <w:tcW w:w="4220" w:type="dxa"/>
            <w:tcBorders>
              <w:top w:val="nil"/>
              <w:left w:val="single" w:sz="8" w:space="0" w:color="auto"/>
              <w:bottom w:val="single" w:sz="8" w:space="0" w:color="auto"/>
              <w:right w:val="single" w:sz="8" w:space="0" w:color="auto"/>
            </w:tcBorders>
            <w:shd w:val="clear" w:color="auto" w:fill="auto"/>
            <w:vAlign w:val="center"/>
            <w:hideMark/>
          </w:tcPr>
          <w:p w:rsidR="00783892" w:rsidRPr="007D6009" w:rsidP="00783892" w14:paraId="46BFBE37" w14:textId="4D6486B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rPr>
                <w:rFonts w:cstheme="minorHAnsi"/>
                <w:color w:val="000000"/>
                <w:szCs w:val="22"/>
              </w:rPr>
            </w:pPr>
            <w:r>
              <w:rPr>
                <w:rFonts w:ascii="Calibri" w:hAnsi="Calibri" w:cs="Calibri"/>
                <w:color w:val="000000"/>
                <w:szCs w:val="22"/>
              </w:rPr>
              <w:t xml:space="preserve">Reporting with EIS or CAERS </w:t>
            </w:r>
            <w:r w:rsidR="00CF71A4">
              <w:rPr>
                <w:rFonts w:ascii="Calibri" w:hAnsi="Calibri" w:cs="Calibri"/>
                <w:color w:val="000000"/>
                <w:szCs w:val="22"/>
              </w:rPr>
              <w:t>case</w:t>
            </w:r>
            <w:r>
              <w:rPr>
                <w:rFonts w:ascii="Calibri" w:hAnsi="Calibri" w:cs="Calibri"/>
                <w:color w:val="000000"/>
                <w:szCs w:val="22"/>
              </w:rPr>
              <w:t xml:space="preserve"> 1, 2 or 3: Update regulations and data storage system</w:t>
            </w:r>
          </w:p>
        </w:tc>
        <w:tc>
          <w:tcPr>
            <w:tcW w:w="1080" w:type="dxa"/>
            <w:tcBorders>
              <w:top w:val="nil"/>
              <w:left w:val="nil"/>
              <w:bottom w:val="single" w:sz="8" w:space="0" w:color="auto"/>
              <w:right w:val="single" w:sz="8" w:space="0" w:color="auto"/>
            </w:tcBorders>
            <w:shd w:val="clear" w:color="auto" w:fill="auto"/>
            <w:noWrap/>
            <w:vAlign w:val="center"/>
            <w:hideMark/>
          </w:tcPr>
          <w:p w:rsidR="00783892" w:rsidRPr="007D6009" w:rsidP="00783892" w14:paraId="44F12084" w14:textId="41B72BC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59</w:t>
            </w:r>
          </w:p>
        </w:tc>
        <w:tc>
          <w:tcPr>
            <w:tcW w:w="1170" w:type="dxa"/>
            <w:gridSpan w:val="3"/>
            <w:tcBorders>
              <w:top w:val="nil"/>
              <w:left w:val="nil"/>
              <w:bottom w:val="single" w:sz="8" w:space="0" w:color="auto"/>
              <w:right w:val="single" w:sz="8" w:space="0" w:color="auto"/>
            </w:tcBorders>
            <w:shd w:val="clear" w:color="auto" w:fill="auto"/>
            <w:noWrap/>
            <w:vAlign w:val="center"/>
            <w:hideMark/>
          </w:tcPr>
          <w:p w:rsidR="00783892" w:rsidRPr="007D6009" w:rsidP="00783892" w14:paraId="71794E4D" w14:textId="1C0AE72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240</w:t>
            </w:r>
          </w:p>
        </w:tc>
        <w:tc>
          <w:tcPr>
            <w:tcW w:w="1080" w:type="dxa"/>
            <w:gridSpan w:val="3"/>
            <w:tcBorders>
              <w:top w:val="nil"/>
              <w:left w:val="nil"/>
              <w:bottom w:val="single" w:sz="8" w:space="0" w:color="auto"/>
              <w:right w:val="single" w:sz="8" w:space="0" w:color="auto"/>
            </w:tcBorders>
            <w:shd w:val="clear" w:color="auto" w:fill="auto"/>
            <w:noWrap/>
            <w:vAlign w:val="center"/>
            <w:hideMark/>
          </w:tcPr>
          <w:p w:rsidR="00783892" w:rsidRPr="007D6009" w:rsidP="00783892" w14:paraId="55BDE4D2" w14:textId="3407907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347</w:t>
            </w:r>
          </w:p>
        </w:tc>
        <w:tc>
          <w:tcPr>
            <w:tcW w:w="923" w:type="dxa"/>
            <w:gridSpan w:val="3"/>
            <w:tcBorders>
              <w:top w:val="nil"/>
              <w:left w:val="nil"/>
              <w:bottom w:val="single" w:sz="8" w:space="0" w:color="auto"/>
              <w:right w:val="single" w:sz="8" w:space="0" w:color="auto"/>
            </w:tcBorders>
            <w:shd w:val="clear" w:color="auto" w:fill="auto"/>
            <w:noWrap/>
            <w:vAlign w:val="center"/>
            <w:hideMark/>
          </w:tcPr>
          <w:p w:rsidR="00783892" w:rsidRPr="007D6009" w:rsidP="00783892" w14:paraId="71002813" w14:textId="598A8DA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645</w:t>
            </w:r>
          </w:p>
        </w:tc>
        <w:tc>
          <w:tcPr>
            <w:tcW w:w="1057" w:type="dxa"/>
            <w:gridSpan w:val="2"/>
            <w:tcBorders>
              <w:top w:val="nil"/>
              <w:left w:val="nil"/>
              <w:bottom w:val="single" w:sz="8" w:space="0" w:color="auto"/>
              <w:right w:val="single" w:sz="8" w:space="0" w:color="auto"/>
            </w:tcBorders>
            <w:shd w:val="clear" w:color="auto" w:fill="auto"/>
            <w:noWrap/>
            <w:vAlign w:val="center"/>
            <w:hideMark/>
          </w:tcPr>
          <w:p w:rsidR="00783892" w:rsidRPr="007D6009" w:rsidP="00783892" w14:paraId="2E0E4E4D" w14:textId="4B67265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cstheme="minorHAnsi"/>
                <w:color w:val="000000"/>
                <w:szCs w:val="22"/>
              </w:rPr>
            </w:pPr>
            <w:r>
              <w:rPr>
                <w:rFonts w:ascii="Calibri" w:hAnsi="Calibri" w:cs="Calibri"/>
                <w:color w:val="000000"/>
                <w:szCs w:val="22"/>
              </w:rPr>
              <w:t xml:space="preserve">$56,862 </w:t>
            </w:r>
          </w:p>
        </w:tc>
      </w:tr>
      <w:tr w14:paraId="123CE2AC" w14:textId="77777777" w:rsidTr="00FD69D4">
        <w:tblPrEx>
          <w:tblW w:w="9530" w:type="dxa"/>
          <w:tblLook w:val="04A0"/>
        </w:tblPrEx>
        <w:trPr>
          <w:trHeight w:val="432"/>
        </w:trPr>
        <w:tc>
          <w:tcPr>
            <w:tcW w:w="4220" w:type="dxa"/>
            <w:tcBorders>
              <w:top w:val="nil"/>
              <w:left w:val="single" w:sz="8" w:space="0" w:color="auto"/>
              <w:bottom w:val="single" w:sz="8" w:space="0" w:color="auto"/>
              <w:right w:val="single" w:sz="8" w:space="0" w:color="auto"/>
            </w:tcBorders>
            <w:shd w:val="clear" w:color="auto" w:fill="auto"/>
            <w:vAlign w:val="center"/>
          </w:tcPr>
          <w:p w:rsidR="00783892" w:rsidRPr="007D6009" w:rsidP="00783892" w14:paraId="19A9EA42" w14:textId="782EB22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rPr>
                <w:rFonts w:cstheme="minorHAnsi"/>
                <w:color w:val="000000"/>
                <w:szCs w:val="22"/>
              </w:rPr>
            </w:pPr>
            <w:r>
              <w:rPr>
                <w:rFonts w:ascii="Calibri" w:hAnsi="Calibri" w:cs="Calibri"/>
                <w:color w:val="000000"/>
                <w:szCs w:val="22"/>
              </w:rPr>
              <w:t xml:space="preserve">Reporting with CAERS </w:t>
            </w:r>
            <w:r w:rsidR="00CF71A4">
              <w:rPr>
                <w:rFonts w:ascii="Calibri" w:hAnsi="Calibri" w:cs="Calibri"/>
                <w:color w:val="000000"/>
                <w:szCs w:val="22"/>
              </w:rPr>
              <w:t>case</w:t>
            </w:r>
            <w:r>
              <w:rPr>
                <w:rFonts w:ascii="Calibri" w:hAnsi="Calibri" w:cs="Calibri"/>
                <w:color w:val="000000"/>
                <w:szCs w:val="22"/>
              </w:rPr>
              <w:t xml:space="preserve"> 4: Update regulations</w:t>
            </w:r>
          </w:p>
        </w:tc>
        <w:tc>
          <w:tcPr>
            <w:tcW w:w="1080" w:type="dxa"/>
            <w:tcBorders>
              <w:top w:val="nil"/>
              <w:left w:val="nil"/>
              <w:bottom w:val="single" w:sz="8" w:space="0" w:color="auto"/>
              <w:right w:val="single" w:sz="8" w:space="0" w:color="auto"/>
            </w:tcBorders>
            <w:shd w:val="clear" w:color="auto" w:fill="auto"/>
            <w:noWrap/>
            <w:vAlign w:val="center"/>
          </w:tcPr>
          <w:p w:rsidR="00783892" w:rsidRPr="007D6009" w:rsidP="00783892" w14:paraId="268CB135" w14:textId="683DACC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17</w:t>
            </w:r>
          </w:p>
        </w:tc>
        <w:tc>
          <w:tcPr>
            <w:tcW w:w="1170" w:type="dxa"/>
            <w:gridSpan w:val="3"/>
            <w:tcBorders>
              <w:top w:val="nil"/>
              <w:left w:val="nil"/>
              <w:bottom w:val="single" w:sz="8" w:space="0" w:color="auto"/>
              <w:right w:val="single" w:sz="8" w:space="0" w:color="auto"/>
            </w:tcBorders>
            <w:shd w:val="clear" w:color="auto" w:fill="auto"/>
            <w:noWrap/>
            <w:vAlign w:val="center"/>
          </w:tcPr>
          <w:p w:rsidR="00783892" w:rsidRPr="007D6009" w:rsidP="00783892" w14:paraId="7E76FFD0" w14:textId="0E1BF7F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173</w:t>
            </w:r>
          </w:p>
        </w:tc>
        <w:tc>
          <w:tcPr>
            <w:tcW w:w="1080" w:type="dxa"/>
            <w:gridSpan w:val="3"/>
            <w:tcBorders>
              <w:top w:val="nil"/>
              <w:left w:val="nil"/>
              <w:bottom w:val="single" w:sz="8" w:space="0" w:color="auto"/>
              <w:right w:val="single" w:sz="8" w:space="0" w:color="auto"/>
            </w:tcBorders>
            <w:shd w:val="clear" w:color="auto" w:fill="auto"/>
            <w:noWrap/>
            <w:vAlign w:val="center"/>
          </w:tcPr>
          <w:p w:rsidR="00783892" w:rsidRPr="007D6009" w:rsidP="00783892" w14:paraId="3640CC4B" w14:textId="407853A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0</w:t>
            </w:r>
          </w:p>
        </w:tc>
        <w:tc>
          <w:tcPr>
            <w:tcW w:w="923" w:type="dxa"/>
            <w:gridSpan w:val="3"/>
            <w:tcBorders>
              <w:top w:val="nil"/>
              <w:left w:val="nil"/>
              <w:bottom w:val="single" w:sz="8" w:space="0" w:color="auto"/>
              <w:right w:val="single" w:sz="8" w:space="0" w:color="auto"/>
            </w:tcBorders>
            <w:shd w:val="clear" w:color="auto" w:fill="auto"/>
            <w:noWrap/>
            <w:vAlign w:val="center"/>
          </w:tcPr>
          <w:p w:rsidR="00783892" w:rsidRPr="007D6009" w:rsidP="00783892" w14:paraId="6EEA2B4A" w14:textId="1A3ECC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191</w:t>
            </w:r>
          </w:p>
        </w:tc>
        <w:tc>
          <w:tcPr>
            <w:tcW w:w="1057" w:type="dxa"/>
            <w:gridSpan w:val="2"/>
            <w:tcBorders>
              <w:top w:val="nil"/>
              <w:left w:val="nil"/>
              <w:bottom w:val="single" w:sz="8" w:space="0" w:color="auto"/>
              <w:right w:val="single" w:sz="8" w:space="0" w:color="auto"/>
            </w:tcBorders>
            <w:shd w:val="clear" w:color="auto" w:fill="auto"/>
            <w:noWrap/>
            <w:vAlign w:val="center"/>
          </w:tcPr>
          <w:p w:rsidR="00783892" w:rsidRPr="00B26904" w:rsidP="00783892" w14:paraId="288BB21E" w14:textId="70459D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cstheme="minorHAnsi"/>
                <w:color w:val="000000"/>
                <w:szCs w:val="22"/>
              </w:rPr>
            </w:pPr>
            <w:r>
              <w:rPr>
                <w:rFonts w:ascii="Calibri" w:hAnsi="Calibri" w:cs="Calibri"/>
                <w:color w:val="000000"/>
                <w:szCs w:val="22"/>
              </w:rPr>
              <w:t xml:space="preserve">$17,805 </w:t>
            </w:r>
          </w:p>
        </w:tc>
      </w:tr>
      <w:tr w14:paraId="42BFAC55" w14:textId="77777777" w:rsidTr="00783892">
        <w:tblPrEx>
          <w:tblW w:w="9530" w:type="dxa"/>
          <w:tblLook w:val="04A0"/>
        </w:tblPrEx>
        <w:trPr>
          <w:trHeight w:val="432"/>
        </w:trPr>
        <w:tc>
          <w:tcPr>
            <w:tcW w:w="6396" w:type="dxa"/>
            <w:gridSpan w:val="4"/>
            <w:tcBorders>
              <w:top w:val="single" w:sz="8" w:space="0" w:color="auto"/>
              <w:left w:val="single" w:sz="8" w:space="0" w:color="auto"/>
              <w:bottom w:val="single" w:sz="8" w:space="0" w:color="auto"/>
            </w:tcBorders>
            <w:shd w:val="clear" w:color="auto" w:fill="D9D9D9" w:themeFill="background1" w:themeFillShade="D9"/>
            <w:noWrap/>
            <w:vAlign w:val="center"/>
            <w:hideMark/>
          </w:tcPr>
          <w:p w:rsidR="00FD69D4" w:rsidRPr="00FD69D4" w:rsidP="00FD69D4" w14:paraId="13691974" w14:textId="2A69CD8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814DE6">
              <w:rPr>
                <w:rFonts w:cstheme="minorHAnsi"/>
                <w:b/>
                <w:bCs/>
                <w:color w:val="000000"/>
                <w:szCs w:val="22"/>
              </w:rPr>
              <w:t>Point Sources</w:t>
            </w:r>
            <w:r>
              <w:rPr>
                <w:rFonts w:cstheme="minorHAnsi"/>
                <w:b/>
                <w:bCs/>
                <w:color w:val="000000"/>
                <w:szCs w:val="22"/>
              </w:rPr>
              <w:t xml:space="preserve"> </w:t>
            </w:r>
            <w:r w:rsidR="003C2FA0">
              <w:rPr>
                <w:rFonts w:cstheme="minorHAnsi"/>
                <w:b/>
                <w:bCs/>
                <w:color w:val="000000"/>
                <w:szCs w:val="22"/>
              </w:rPr>
              <w:t>Voluntary</w:t>
            </w:r>
            <w:r>
              <w:rPr>
                <w:rFonts w:cstheme="minorHAnsi"/>
                <w:b/>
                <w:bCs/>
                <w:color w:val="000000"/>
                <w:szCs w:val="22"/>
              </w:rPr>
              <w:t xml:space="preserve"> Activities</w:t>
            </w:r>
          </w:p>
        </w:tc>
        <w:tc>
          <w:tcPr>
            <w:tcW w:w="630" w:type="dxa"/>
            <w:gridSpan w:val="3"/>
            <w:tcBorders>
              <w:top w:val="single" w:sz="8" w:space="0" w:color="auto"/>
              <w:bottom w:val="single" w:sz="8" w:space="0" w:color="auto"/>
            </w:tcBorders>
            <w:shd w:val="clear" w:color="auto" w:fill="D9D9D9" w:themeFill="background1" w:themeFillShade="D9"/>
            <w:vAlign w:val="center"/>
          </w:tcPr>
          <w:p w:rsidR="00FD69D4" w:rsidRPr="00FD69D4" w:rsidP="00FD69D4" w14:paraId="420244C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p>
        </w:tc>
        <w:tc>
          <w:tcPr>
            <w:tcW w:w="1000" w:type="dxa"/>
            <w:gridSpan w:val="2"/>
            <w:tcBorders>
              <w:top w:val="single" w:sz="8" w:space="0" w:color="auto"/>
              <w:bottom w:val="single" w:sz="8" w:space="0" w:color="auto"/>
            </w:tcBorders>
            <w:shd w:val="clear" w:color="auto" w:fill="D9D9D9" w:themeFill="background1" w:themeFillShade="D9"/>
            <w:vAlign w:val="center"/>
          </w:tcPr>
          <w:p w:rsidR="00FD69D4" w:rsidRPr="00FD69D4" w:rsidP="00FD69D4" w14:paraId="7C9DF2F5" w14:textId="385797D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p>
        </w:tc>
        <w:tc>
          <w:tcPr>
            <w:tcW w:w="236" w:type="dxa"/>
            <w:tcBorders>
              <w:top w:val="single" w:sz="8" w:space="0" w:color="auto"/>
              <w:bottom w:val="single" w:sz="8" w:space="0" w:color="auto"/>
            </w:tcBorders>
            <w:shd w:val="clear" w:color="auto" w:fill="D9D9D9" w:themeFill="background1" w:themeFillShade="D9"/>
            <w:vAlign w:val="center"/>
          </w:tcPr>
          <w:p w:rsidR="00FD69D4" w:rsidRPr="007D6009" w:rsidP="00FD69D4" w14:paraId="527EAB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color w:val="000000"/>
                <w:szCs w:val="22"/>
              </w:rPr>
            </w:pPr>
          </w:p>
        </w:tc>
        <w:tc>
          <w:tcPr>
            <w:tcW w:w="721" w:type="dxa"/>
            <w:gridSpan w:val="2"/>
            <w:tcBorders>
              <w:top w:val="single" w:sz="8" w:space="0" w:color="auto"/>
              <w:bottom w:val="single" w:sz="8" w:space="0" w:color="auto"/>
            </w:tcBorders>
            <w:shd w:val="clear" w:color="auto" w:fill="D9D9D9" w:themeFill="background1" w:themeFillShade="D9"/>
            <w:vAlign w:val="center"/>
          </w:tcPr>
          <w:p w:rsidR="00FD69D4" w:rsidRPr="007D6009" w:rsidP="00FD69D4" w14:paraId="607F4E9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color w:val="000000"/>
                <w:szCs w:val="22"/>
              </w:rPr>
            </w:pPr>
          </w:p>
        </w:tc>
        <w:tc>
          <w:tcPr>
            <w:tcW w:w="547" w:type="dxa"/>
            <w:tcBorders>
              <w:top w:val="single" w:sz="8" w:space="0" w:color="auto"/>
              <w:bottom w:val="single" w:sz="8" w:space="0" w:color="auto"/>
              <w:right w:val="single" w:sz="8" w:space="0" w:color="auto"/>
            </w:tcBorders>
            <w:shd w:val="clear" w:color="auto" w:fill="D9D9D9" w:themeFill="background1" w:themeFillShade="D9"/>
            <w:vAlign w:val="center"/>
          </w:tcPr>
          <w:p w:rsidR="00FD69D4" w:rsidRPr="007D6009" w:rsidP="00FD69D4" w14:paraId="69C4ECDC" w14:textId="47C5717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cstheme="minorHAnsi"/>
                <w:color w:val="000000"/>
                <w:szCs w:val="22"/>
              </w:rPr>
            </w:pPr>
          </w:p>
        </w:tc>
      </w:tr>
      <w:tr w14:paraId="2DE19408" w14:textId="77777777" w:rsidTr="00783892">
        <w:tblPrEx>
          <w:tblW w:w="9530" w:type="dxa"/>
          <w:tblLook w:val="04A0"/>
        </w:tblPrEx>
        <w:trPr>
          <w:trHeight w:val="300"/>
        </w:trPr>
        <w:tc>
          <w:tcPr>
            <w:tcW w:w="4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83892" w:rsidRPr="007D6009" w:rsidP="00783892" w14:paraId="4E430EBF" w14:textId="548D894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rPr>
                <w:rFonts w:cstheme="minorHAnsi"/>
                <w:color w:val="000000"/>
                <w:szCs w:val="22"/>
              </w:rPr>
            </w:pPr>
            <w:r>
              <w:rPr>
                <w:rFonts w:ascii="Calibri" w:hAnsi="Calibri" w:cs="Calibri"/>
                <w:color w:val="000000"/>
                <w:szCs w:val="22"/>
              </w:rPr>
              <w:t>Revise regulations, update SLT data system for HAP, and complete/submit application to EPA to report on behalf of owners/operators.</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783892" w:rsidRPr="007D6009" w:rsidP="00783892" w14:paraId="7D99955E" w14:textId="77CE875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87</w:t>
            </w:r>
          </w:p>
        </w:tc>
        <w:tc>
          <w:tcPr>
            <w:tcW w:w="1170" w:type="dxa"/>
            <w:gridSpan w:val="3"/>
            <w:tcBorders>
              <w:top w:val="single" w:sz="8" w:space="0" w:color="auto"/>
              <w:left w:val="nil"/>
              <w:bottom w:val="single" w:sz="8" w:space="0" w:color="auto"/>
              <w:right w:val="single" w:sz="8" w:space="0" w:color="auto"/>
            </w:tcBorders>
            <w:shd w:val="clear" w:color="auto" w:fill="auto"/>
            <w:noWrap/>
            <w:vAlign w:val="center"/>
            <w:hideMark/>
          </w:tcPr>
          <w:p w:rsidR="00783892" w:rsidRPr="007D6009" w:rsidP="00783892" w14:paraId="08042B24" w14:textId="733D1D5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520</w:t>
            </w:r>
          </w:p>
        </w:tc>
        <w:tc>
          <w:tcPr>
            <w:tcW w:w="1080" w:type="dxa"/>
            <w:gridSpan w:val="3"/>
            <w:tcBorders>
              <w:top w:val="single" w:sz="8" w:space="0" w:color="auto"/>
              <w:left w:val="nil"/>
              <w:bottom w:val="single" w:sz="8" w:space="0" w:color="auto"/>
              <w:right w:val="single" w:sz="8" w:space="0" w:color="auto"/>
            </w:tcBorders>
            <w:shd w:val="clear" w:color="auto" w:fill="auto"/>
            <w:noWrap/>
            <w:vAlign w:val="center"/>
            <w:hideMark/>
          </w:tcPr>
          <w:p w:rsidR="00783892" w:rsidRPr="007D6009" w:rsidP="00783892" w14:paraId="22F7BE73" w14:textId="3671A7D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347</w:t>
            </w:r>
          </w:p>
        </w:tc>
        <w:tc>
          <w:tcPr>
            <w:tcW w:w="923" w:type="dxa"/>
            <w:gridSpan w:val="3"/>
            <w:tcBorders>
              <w:top w:val="single" w:sz="8" w:space="0" w:color="auto"/>
              <w:left w:val="nil"/>
              <w:bottom w:val="single" w:sz="8" w:space="0" w:color="auto"/>
              <w:right w:val="single" w:sz="8" w:space="0" w:color="auto"/>
            </w:tcBorders>
            <w:shd w:val="clear" w:color="auto" w:fill="auto"/>
            <w:noWrap/>
            <w:vAlign w:val="center"/>
            <w:hideMark/>
          </w:tcPr>
          <w:p w:rsidR="00783892" w:rsidRPr="007D6009" w:rsidP="00783892" w14:paraId="1552085D" w14:textId="4AD0FB5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cstheme="minorHAnsi"/>
                <w:color w:val="000000"/>
                <w:szCs w:val="22"/>
              </w:rPr>
            </w:pPr>
            <w:r>
              <w:rPr>
                <w:rFonts w:ascii="Calibri" w:hAnsi="Calibri" w:cs="Calibri"/>
                <w:color w:val="000000"/>
                <w:szCs w:val="22"/>
              </w:rPr>
              <w:t>953</w:t>
            </w:r>
          </w:p>
        </w:tc>
        <w:tc>
          <w:tcPr>
            <w:tcW w:w="1057" w:type="dxa"/>
            <w:gridSpan w:val="2"/>
            <w:tcBorders>
              <w:top w:val="single" w:sz="8" w:space="0" w:color="auto"/>
              <w:left w:val="nil"/>
              <w:bottom w:val="single" w:sz="8" w:space="0" w:color="auto"/>
              <w:right w:val="single" w:sz="8" w:space="0" w:color="auto"/>
            </w:tcBorders>
            <w:shd w:val="clear" w:color="auto" w:fill="auto"/>
            <w:noWrap/>
            <w:vAlign w:val="center"/>
            <w:hideMark/>
          </w:tcPr>
          <w:p w:rsidR="00783892" w:rsidRPr="007D6009" w:rsidP="00783892" w14:paraId="07178F50" w14:textId="21C4DC0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cstheme="minorHAnsi"/>
                <w:color w:val="000000"/>
                <w:szCs w:val="22"/>
              </w:rPr>
            </w:pPr>
            <w:r>
              <w:rPr>
                <w:rFonts w:ascii="Calibri" w:hAnsi="Calibri" w:cs="Calibri"/>
                <w:color w:val="000000"/>
                <w:szCs w:val="22"/>
              </w:rPr>
              <w:t xml:space="preserve">$85,624 </w:t>
            </w:r>
          </w:p>
        </w:tc>
      </w:tr>
      <w:tr w14:paraId="42D90521" w14:textId="77777777" w:rsidTr="00783892">
        <w:tblPrEx>
          <w:tblW w:w="9530" w:type="dxa"/>
          <w:tblLook w:val="04A0"/>
        </w:tblPrEx>
        <w:trPr>
          <w:trHeight w:val="300"/>
        </w:trPr>
        <w:tc>
          <w:tcPr>
            <w:tcW w:w="4220" w:type="dxa"/>
            <w:tcBorders>
              <w:top w:val="single" w:sz="8" w:space="0" w:color="auto"/>
              <w:left w:val="single" w:sz="8" w:space="0" w:color="auto"/>
              <w:bottom w:val="single" w:sz="8" w:space="0" w:color="auto"/>
              <w:right w:val="single" w:sz="8" w:space="0" w:color="auto"/>
            </w:tcBorders>
            <w:shd w:val="clear" w:color="auto" w:fill="auto"/>
            <w:vAlign w:val="center"/>
          </w:tcPr>
          <w:p w:rsidR="00783892" w:rsidP="00783892" w14:paraId="022CB562" w14:textId="183A896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rPr>
                <w:rFonts w:ascii="Calibri" w:hAnsi="Calibri" w:cs="Calibri"/>
                <w:color w:val="000000"/>
                <w:szCs w:val="22"/>
              </w:rPr>
            </w:pPr>
            <w:r>
              <w:rPr>
                <w:rFonts w:ascii="Calibri" w:hAnsi="Calibri" w:cs="Calibri"/>
                <w:color w:val="000000"/>
                <w:szCs w:val="22"/>
              </w:rPr>
              <w:t>Transition Tasks for CAERS Case 3</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783892" w:rsidP="00783892" w14:paraId="08372402" w14:textId="18B72F5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123</w:t>
            </w:r>
          </w:p>
        </w:tc>
        <w:tc>
          <w:tcPr>
            <w:tcW w:w="1170"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466D0512" w14:textId="6C9B94D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533</w:t>
            </w:r>
          </w:p>
        </w:tc>
        <w:tc>
          <w:tcPr>
            <w:tcW w:w="1080"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5F6851AE" w14:textId="5FB2BF4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693</w:t>
            </w:r>
          </w:p>
        </w:tc>
        <w:tc>
          <w:tcPr>
            <w:tcW w:w="923"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40125C13" w14:textId="1955C1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1,349</w:t>
            </w:r>
          </w:p>
        </w:tc>
        <w:tc>
          <w:tcPr>
            <w:tcW w:w="1057" w:type="dxa"/>
            <w:gridSpan w:val="2"/>
            <w:tcBorders>
              <w:top w:val="single" w:sz="8" w:space="0" w:color="auto"/>
              <w:left w:val="nil"/>
              <w:bottom w:val="single" w:sz="8" w:space="0" w:color="auto"/>
              <w:right w:val="single" w:sz="8" w:space="0" w:color="auto"/>
            </w:tcBorders>
            <w:shd w:val="clear" w:color="auto" w:fill="auto"/>
            <w:noWrap/>
            <w:vAlign w:val="center"/>
          </w:tcPr>
          <w:p w:rsidR="00783892" w:rsidP="00783892" w14:paraId="1B6312E8" w14:textId="09E02E5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$119,203 </w:t>
            </w:r>
          </w:p>
        </w:tc>
      </w:tr>
      <w:tr w14:paraId="03363CD4" w14:textId="77777777" w:rsidTr="00783892">
        <w:tblPrEx>
          <w:tblW w:w="9530" w:type="dxa"/>
          <w:tblLook w:val="04A0"/>
        </w:tblPrEx>
        <w:trPr>
          <w:trHeight w:val="300"/>
        </w:trPr>
        <w:tc>
          <w:tcPr>
            <w:tcW w:w="4220" w:type="dxa"/>
            <w:tcBorders>
              <w:top w:val="single" w:sz="8" w:space="0" w:color="auto"/>
              <w:left w:val="single" w:sz="8" w:space="0" w:color="auto"/>
              <w:bottom w:val="single" w:sz="8" w:space="0" w:color="auto"/>
              <w:right w:val="single" w:sz="8" w:space="0" w:color="auto"/>
            </w:tcBorders>
            <w:shd w:val="clear" w:color="auto" w:fill="auto"/>
            <w:vAlign w:val="center"/>
          </w:tcPr>
          <w:p w:rsidR="00783892" w:rsidP="00783892" w14:paraId="37C441C6" w14:textId="2F3563A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50"/>
              <w:rPr>
                <w:rFonts w:ascii="Calibri" w:hAnsi="Calibri" w:cs="Calibri"/>
                <w:color w:val="000000"/>
                <w:szCs w:val="22"/>
              </w:rPr>
            </w:pPr>
            <w:r>
              <w:rPr>
                <w:rFonts w:ascii="Calibri" w:hAnsi="Calibri" w:cs="Calibri"/>
                <w:color w:val="000000"/>
                <w:szCs w:val="22"/>
              </w:rPr>
              <w:t xml:space="preserve">Transition Tasks for CAERS </w:t>
            </w:r>
            <w:r w:rsidR="00CF71A4">
              <w:rPr>
                <w:rFonts w:ascii="Calibri" w:hAnsi="Calibri" w:cs="Calibri"/>
                <w:color w:val="000000"/>
                <w:szCs w:val="22"/>
              </w:rPr>
              <w:t>C</w:t>
            </w:r>
            <w:r>
              <w:rPr>
                <w:rFonts w:ascii="Calibri" w:hAnsi="Calibri" w:cs="Calibri"/>
                <w:color w:val="000000"/>
                <w:szCs w:val="22"/>
              </w:rPr>
              <w:t>ase 4</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783892" w:rsidP="00783892" w14:paraId="7F1C0B9C" w14:textId="3CBEB45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29</w:t>
            </w:r>
          </w:p>
        </w:tc>
        <w:tc>
          <w:tcPr>
            <w:tcW w:w="1170"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71F64B31" w14:textId="7B1A58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293</w:t>
            </w:r>
          </w:p>
        </w:tc>
        <w:tc>
          <w:tcPr>
            <w:tcW w:w="1080"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10AF89D2" w14:textId="3CC71A9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923" w:type="dxa"/>
            <w:gridSpan w:val="3"/>
            <w:tcBorders>
              <w:top w:val="single" w:sz="8" w:space="0" w:color="auto"/>
              <w:left w:val="nil"/>
              <w:bottom w:val="single" w:sz="8" w:space="0" w:color="auto"/>
              <w:right w:val="single" w:sz="8" w:space="0" w:color="auto"/>
            </w:tcBorders>
            <w:shd w:val="clear" w:color="auto" w:fill="auto"/>
            <w:noWrap/>
            <w:vAlign w:val="center"/>
          </w:tcPr>
          <w:p w:rsidR="00783892" w:rsidP="00783892" w14:paraId="3946E9DF" w14:textId="3D52EC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323</w:t>
            </w:r>
          </w:p>
        </w:tc>
        <w:tc>
          <w:tcPr>
            <w:tcW w:w="1057" w:type="dxa"/>
            <w:gridSpan w:val="2"/>
            <w:tcBorders>
              <w:top w:val="single" w:sz="8" w:space="0" w:color="auto"/>
              <w:left w:val="nil"/>
              <w:bottom w:val="single" w:sz="8" w:space="0" w:color="auto"/>
              <w:right w:val="single" w:sz="8" w:space="0" w:color="auto"/>
            </w:tcBorders>
            <w:shd w:val="clear" w:color="auto" w:fill="auto"/>
            <w:noWrap/>
            <w:vAlign w:val="center"/>
          </w:tcPr>
          <w:p w:rsidR="00783892" w:rsidP="00783892" w14:paraId="7086ECC5" w14:textId="3150F41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$30,131 </w:t>
            </w:r>
          </w:p>
        </w:tc>
      </w:tr>
    </w:tbl>
    <w:p w:rsidR="002A7BDB" w:rsidP="009E08D8" w14:paraId="09350AA8" w14:textId="77777777"/>
    <w:p w:rsidR="004E6C7D" w:rsidRPr="00C44F5A" w:rsidP="00C44F5A" w14:paraId="3688F11C" w14:textId="5CE214E9">
      <w:pPr>
        <w:pStyle w:val="Heading3"/>
      </w:pPr>
      <w:bookmarkStart w:id="15" w:name="_Ref106896318"/>
      <w:r w:rsidRPr="00C44F5A">
        <w:t>SLT annual activities under proposed AERR</w:t>
      </w:r>
      <w:bookmarkEnd w:id="15"/>
    </w:p>
    <w:p w:rsidR="0012524C" w:rsidP="009E08D8" w14:paraId="6E720600" w14:textId="2EC9C367">
      <w:r>
        <w:t xml:space="preserve">Annual </w:t>
      </w:r>
      <w:r w:rsidR="00A90699">
        <w:t xml:space="preserve">SLT </w:t>
      </w:r>
      <w:r>
        <w:t xml:space="preserve">activities </w:t>
      </w:r>
      <w:r w:rsidR="00A90699">
        <w:t xml:space="preserve">would </w:t>
      </w:r>
      <w:r w:rsidR="00D003E7">
        <w:t xml:space="preserve">be </w:t>
      </w:r>
      <w:r w:rsidR="00046D64">
        <w:t>done to</w:t>
      </w:r>
      <w:r w:rsidR="00D003E7">
        <w:t xml:space="preserve"> </w:t>
      </w:r>
      <w:r>
        <w:t xml:space="preserve">submit emissions data for </w:t>
      </w:r>
      <w:r w:rsidR="009E0352">
        <w:t xml:space="preserve">annually reported </w:t>
      </w:r>
      <w:r>
        <w:t>point sources with potential to emit 2,500 tons per year (tpy) of NO</w:t>
      </w:r>
      <w:r w:rsidRPr="00C26C44">
        <w:rPr>
          <w:vertAlign w:val="subscript"/>
        </w:rPr>
        <w:t>x</w:t>
      </w:r>
      <w:r>
        <w:t>, CO, or SO</w:t>
      </w:r>
      <w:r w:rsidRPr="00C26C44">
        <w:rPr>
          <w:vertAlign w:val="subscript"/>
        </w:rPr>
        <w:t>2</w:t>
      </w:r>
      <w:r>
        <w:t>; or 250 tpy of VOC, PM</w:t>
      </w:r>
      <w:r w:rsidRPr="00C26C44">
        <w:rPr>
          <w:vertAlign w:val="subscript"/>
        </w:rPr>
        <w:t>10</w:t>
      </w:r>
      <w:r>
        <w:t>, PM</w:t>
      </w:r>
      <w:r w:rsidRPr="00C26C44">
        <w:rPr>
          <w:vertAlign w:val="subscript"/>
        </w:rPr>
        <w:t>2.5</w:t>
      </w:r>
      <w:r>
        <w:t xml:space="preserve"> or NH</w:t>
      </w:r>
      <w:r w:rsidRPr="00C26C44">
        <w:rPr>
          <w:vertAlign w:val="subscript"/>
        </w:rPr>
        <w:t>3</w:t>
      </w:r>
      <w:r>
        <w:t>.</w:t>
      </w:r>
      <w:r w:rsidR="00523CED">
        <w:t xml:space="preserve"> </w:t>
      </w:r>
      <w:r>
        <w:t>The key steps to perform th</w:t>
      </w:r>
      <w:r w:rsidR="00D003E7">
        <w:t>e</w:t>
      </w:r>
      <w:r>
        <w:t xml:space="preserve"> work </w:t>
      </w:r>
      <w:r w:rsidR="00D003E7">
        <w:t xml:space="preserve">to meet the AERR requirements </w:t>
      </w:r>
      <w:r>
        <w:t>are:</w:t>
      </w:r>
    </w:p>
    <w:p w:rsidR="0012524C" w:rsidP="009E08D8" w14:paraId="275D28E2" w14:textId="77777777"/>
    <w:p w:rsidR="00153B20" w:rsidP="00F17B08" w14:paraId="3D8D2152" w14:textId="07229519">
      <w:pPr>
        <w:pStyle w:val="ListParagraph"/>
        <w:numPr>
          <w:ilvl w:val="0"/>
          <w:numId w:val="3"/>
        </w:numPr>
        <w:spacing w:after="120"/>
        <w:contextualSpacing w:val="0"/>
      </w:pPr>
      <w:r>
        <w:t>Maintain the state’s data system to collect data from facilities;</w:t>
      </w:r>
    </w:p>
    <w:p w:rsidR="00153B20" w:rsidP="00F17B08" w14:paraId="6A440E32" w14:textId="24139CDD">
      <w:pPr>
        <w:pStyle w:val="ListParagraph"/>
        <w:numPr>
          <w:ilvl w:val="0"/>
          <w:numId w:val="3"/>
        </w:numPr>
        <w:spacing w:after="120"/>
        <w:contextualSpacing w:val="0"/>
      </w:pPr>
      <w:r>
        <w:t>Collect emissions data and other associated information;</w:t>
      </w:r>
    </w:p>
    <w:p w:rsidR="00153B20" w:rsidP="00F17B08" w14:paraId="4FE171F9" w14:textId="362421E3">
      <w:pPr>
        <w:pStyle w:val="ListParagraph"/>
        <w:numPr>
          <w:ilvl w:val="0"/>
          <w:numId w:val="3"/>
        </w:numPr>
        <w:spacing w:after="120"/>
        <w:contextualSpacing w:val="0"/>
      </w:pPr>
      <w:r>
        <w:t xml:space="preserve">Train staff in coding and </w:t>
      </w:r>
      <w:r w:rsidR="00C20D06">
        <w:t xml:space="preserve">data </w:t>
      </w:r>
      <w:r>
        <w:t>submission techniques;</w:t>
      </w:r>
    </w:p>
    <w:p w:rsidR="00A90699" w:rsidP="00F17B08" w14:paraId="37B84FC7" w14:textId="0E658080">
      <w:pPr>
        <w:pStyle w:val="ListParagraph"/>
        <w:numPr>
          <w:ilvl w:val="0"/>
          <w:numId w:val="3"/>
        </w:numPr>
        <w:spacing w:after="120"/>
        <w:contextualSpacing w:val="0"/>
      </w:pPr>
      <w:r>
        <w:t>Quality-assur</w:t>
      </w:r>
      <w:r w:rsidR="00FF159D">
        <w:t>e</w:t>
      </w:r>
      <w:r>
        <w:t xml:space="preserve"> and quality-control emissions data and resolv</w:t>
      </w:r>
      <w:r w:rsidR="00283025">
        <w:t>e</w:t>
      </w:r>
      <w:r>
        <w:t xml:space="preserve"> errors and anomalies prior to submitting to the EIS electronic quality-assurance;</w:t>
      </w:r>
    </w:p>
    <w:p w:rsidR="00A90699" w:rsidP="00F17B08" w14:paraId="34D952D8" w14:textId="39E61AD3">
      <w:pPr>
        <w:pStyle w:val="ListParagraph"/>
        <w:numPr>
          <w:ilvl w:val="0"/>
          <w:numId w:val="3"/>
        </w:numPr>
        <w:spacing w:after="120"/>
        <w:contextualSpacing w:val="0"/>
      </w:pPr>
      <w:r>
        <w:t>Maintain records associated with data submitted by sources</w:t>
      </w:r>
      <w:r w:rsidR="000B75DF">
        <w:t>;</w:t>
      </w:r>
    </w:p>
    <w:p w:rsidR="0012524C" w:rsidP="00F17B08" w14:paraId="705ED976" w14:textId="4B9FE000">
      <w:pPr>
        <w:pStyle w:val="ListParagraph"/>
        <w:numPr>
          <w:ilvl w:val="0"/>
          <w:numId w:val="3"/>
        </w:numPr>
        <w:spacing w:after="120"/>
        <w:contextualSpacing w:val="0"/>
      </w:pPr>
      <w:r>
        <w:t>Extract the necessary data from the state electronic data system;</w:t>
      </w:r>
    </w:p>
    <w:p w:rsidR="0012524C" w:rsidP="00F17B08" w14:paraId="2AE23807" w14:textId="4688253C">
      <w:pPr>
        <w:pStyle w:val="ListParagraph"/>
        <w:numPr>
          <w:ilvl w:val="0"/>
          <w:numId w:val="3"/>
        </w:numPr>
        <w:spacing w:after="120"/>
        <w:contextualSpacing w:val="0"/>
      </w:pPr>
      <w:r>
        <w:t>Convert any facility inventory data (</w:t>
      </w:r>
      <w:r w:rsidRPr="008E5C9F" w:rsidR="008E5C9F">
        <w:rPr>
          <w:i/>
        </w:rPr>
        <w:t>i.e.</w:t>
      </w:r>
      <w:r>
        <w:t>, attributes of the facility including details about its units, processes, release points and controls) for new facilities into the XML submittal format;</w:t>
      </w:r>
    </w:p>
    <w:p w:rsidR="0012524C" w:rsidP="00F17B08" w14:paraId="7600013F" w14:textId="6202C71C">
      <w:pPr>
        <w:pStyle w:val="ListParagraph"/>
        <w:numPr>
          <w:ilvl w:val="0"/>
          <w:numId w:val="3"/>
        </w:numPr>
        <w:spacing w:after="120"/>
        <w:contextualSpacing w:val="0"/>
      </w:pPr>
      <w:r>
        <w:t>Convert the point emissions data into the XML submittal format;</w:t>
      </w:r>
    </w:p>
    <w:p w:rsidR="0012524C" w:rsidP="00F17B08" w14:paraId="2E02CB5C" w14:textId="09B2C247">
      <w:pPr>
        <w:pStyle w:val="ListParagraph"/>
        <w:numPr>
          <w:ilvl w:val="0"/>
          <w:numId w:val="3"/>
        </w:numPr>
        <w:spacing w:after="120"/>
        <w:contextualSpacing w:val="0"/>
      </w:pPr>
      <w:r>
        <w:t>Run the automated quality-assurance checks provided in the EPA data system and resolv</w:t>
      </w:r>
      <w:r w:rsidR="00283025">
        <w:t>e</w:t>
      </w:r>
      <w:r>
        <w:t xml:space="preserve"> any critical errors;</w:t>
      </w:r>
    </w:p>
    <w:p w:rsidR="0012524C" w:rsidP="00F17B08" w14:paraId="0C993AEE" w14:textId="08DFB270">
      <w:pPr>
        <w:pStyle w:val="ListParagraph"/>
        <w:numPr>
          <w:ilvl w:val="0"/>
          <w:numId w:val="3"/>
        </w:numPr>
        <w:spacing w:after="120"/>
        <w:contextualSpacing w:val="0"/>
      </w:pPr>
      <w:r>
        <w:t xml:space="preserve">Submit the final file to </w:t>
      </w:r>
      <w:r w:rsidR="00204E7E">
        <w:t>EPA</w:t>
      </w:r>
      <w:r>
        <w:t>; and</w:t>
      </w:r>
    </w:p>
    <w:p w:rsidR="0012524C" w:rsidP="00F17B08" w14:paraId="74189733" w14:textId="44180A15">
      <w:pPr>
        <w:pStyle w:val="ListParagraph"/>
        <w:numPr>
          <w:ilvl w:val="0"/>
          <w:numId w:val="3"/>
        </w:numPr>
        <w:spacing w:after="120"/>
        <w:contextualSpacing w:val="0"/>
      </w:pPr>
      <w:r>
        <w:t xml:space="preserve">Respond to any follow-up inquiries </w:t>
      </w:r>
      <w:r w:rsidR="00FF159D">
        <w:t xml:space="preserve">and point source data reviews </w:t>
      </w:r>
      <w:r>
        <w:t xml:space="preserve">from </w:t>
      </w:r>
      <w:r w:rsidR="00204E7E">
        <w:t>EPA</w:t>
      </w:r>
      <w:r>
        <w:t>.</w:t>
      </w:r>
    </w:p>
    <w:p w:rsidR="00D003E7" w:rsidP="009E08D8" w14:paraId="5622A053" w14:textId="264B06DD">
      <w:r>
        <w:t xml:space="preserve">In addition, SLTs may optionally include in their submissions additional data, including emissions for facilities that are not required to be reported annually as well as HAP </w:t>
      </w:r>
      <w:r w:rsidR="00F905B4">
        <w:t xml:space="preserve">and GHG </w:t>
      </w:r>
      <w:r>
        <w:t xml:space="preserve">emissions. To accomplish this optional work, the same </w:t>
      </w:r>
      <w:r w:rsidR="00173D09">
        <w:t>activities</w:t>
      </w:r>
      <w:r>
        <w:t xml:space="preserve"> would be done as are listed above to meet AERR requirements, but that work would take incrementally more effort.</w:t>
      </w:r>
    </w:p>
    <w:p w:rsidR="00D003E7" w:rsidP="009E08D8" w14:paraId="56E2A682" w14:textId="77777777"/>
    <w:p w:rsidR="00F86D1D" w:rsidP="00F86D1D" w14:paraId="39C7202B" w14:textId="042391F1">
      <w:r>
        <w:t xml:space="preserve">For 2 of the 3 years in each triennial cycle, the agencies submit only </w:t>
      </w:r>
      <w:r w:rsidR="009E0352">
        <w:t>the largest sources as described above</w:t>
      </w:r>
      <w:r>
        <w:t xml:space="preserve">. To help estimate the time needed to report emissions for </w:t>
      </w:r>
      <w:r w:rsidR="00D003E7">
        <w:t xml:space="preserve">only </w:t>
      </w:r>
      <w:r w:rsidR="009E0352">
        <w:t>the annually reported</w:t>
      </w:r>
      <w:r>
        <w:t xml:space="preserve"> sources, we </w:t>
      </w:r>
      <w:r>
        <w:t xml:space="preserve">estimate the number of such sources by considering the emissions reporting thresholds. The </w:t>
      </w:r>
      <w:r w:rsidR="009E0352">
        <w:t xml:space="preserve">AERR </w:t>
      </w:r>
      <w:r>
        <w:t>reporting thresholds are</w:t>
      </w:r>
      <w:r w:rsidR="004D2F8A">
        <w:t xml:space="preserve"> potential-to-emit</w:t>
      </w:r>
      <w:r>
        <w:t xml:space="preserve"> </w:t>
      </w:r>
      <w:r w:rsidR="004D2F8A">
        <w:t>(</w:t>
      </w:r>
      <w:r w:rsidR="0068287C">
        <w:t>PTE</w:t>
      </w:r>
      <w:r w:rsidR="004D2F8A">
        <w:t>)</w:t>
      </w:r>
      <w:r w:rsidR="0068287C">
        <w:t xml:space="preserve"> </w:t>
      </w:r>
      <w:r>
        <w:t xml:space="preserve">thresholds; however, </w:t>
      </w:r>
      <w:r w:rsidR="00204E7E">
        <w:t>EPA</w:t>
      </w:r>
      <w:r>
        <w:t xml:space="preserve"> does not collect </w:t>
      </w:r>
      <w:r w:rsidR="00F14AD6">
        <w:t>PTE</w:t>
      </w:r>
      <w:r>
        <w:t xml:space="preserve"> data</w:t>
      </w:r>
      <w:r w:rsidR="006E256D">
        <w:t xml:space="preserve"> under the AERR</w:t>
      </w:r>
      <w:r>
        <w:t xml:space="preserve">. The EPA only collects actual emissions, and actual emissions are lower than </w:t>
      </w:r>
      <w:r w:rsidR="00F14AD6">
        <w:t>PTE</w:t>
      </w:r>
      <w:r>
        <w:t xml:space="preserve"> values. Since EPA does not collect data on </w:t>
      </w:r>
      <w:r w:rsidR="00F14AD6">
        <w:t>PTE</w:t>
      </w:r>
      <w:r>
        <w:t xml:space="preserve">, it is difficult to know with certainty the number of </w:t>
      </w:r>
      <w:r w:rsidR="009E0352">
        <w:t>annually reported</w:t>
      </w:r>
      <w:r>
        <w:t xml:space="preserve"> sources. Furthermore, many states voluntarily submit many more facilities than those required. For these reasons, </w:t>
      </w:r>
      <w:r w:rsidR="00C003A5">
        <w:t>EPA</w:t>
      </w:r>
      <w:r>
        <w:t xml:space="preserve"> must estimate the number of </w:t>
      </w:r>
      <w:r w:rsidR="009E0352">
        <w:t>required</w:t>
      </w:r>
      <w:r>
        <w:t xml:space="preserve"> sources</w:t>
      </w:r>
      <w:r w:rsidR="009E0352">
        <w:t xml:space="preserve"> for annual reporting</w:t>
      </w:r>
      <w:r>
        <w:t>.</w:t>
      </w:r>
    </w:p>
    <w:p w:rsidR="00F86D1D" w:rsidP="00F86D1D" w14:paraId="2729EF35" w14:textId="77777777"/>
    <w:p w:rsidR="00D003E7" w:rsidP="00F86D1D" w14:paraId="10144F57" w14:textId="68AFE179">
      <w:r>
        <w:t>Based on an analysis of the 201</w:t>
      </w:r>
      <w:r>
        <w:t>7</w:t>
      </w:r>
      <w:r>
        <w:t xml:space="preserve"> NEI, 1,</w:t>
      </w:r>
      <w:r w:rsidR="00225A78">
        <w:t>055</w:t>
      </w:r>
      <w:r>
        <w:t xml:space="preserve"> facilities had </w:t>
      </w:r>
      <w:r w:rsidRPr="00F40F41">
        <w:rPr>
          <w:i/>
        </w:rPr>
        <w:t>actual</w:t>
      </w:r>
      <w:r>
        <w:t xml:space="preserve"> emissions greater than the </w:t>
      </w:r>
      <w:r w:rsidR="00770024">
        <w:t>2024 and 2025 inventory year</w:t>
      </w:r>
      <w:r>
        <w:t xml:space="preserve"> </w:t>
      </w:r>
      <w:r w:rsidR="00F14AD6">
        <w:t>PTE</w:t>
      </w:r>
      <w:r>
        <w:t xml:space="preserve"> thresholds of 2,500 tpy of NO</w:t>
      </w:r>
      <w:r w:rsidRPr="00722851">
        <w:rPr>
          <w:vertAlign w:val="subscript"/>
        </w:rPr>
        <w:t>x</w:t>
      </w:r>
      <w:r>
        <w:t>, CO, or</w:t>
      </w:r>
      <w:r w:rsidRPr="00CC7B2E">
        <w:t xml:space="preserve"> </w:t>
      </w:r>
      <w:r>
        <w:t>SO</w:t>
      </w:r>
      <w:r w:rsidRPr="00722851">
        <w:rPr>
          <w:vertAlign w:val="subscript"/>
        </w:rPr>
        <w:t>2</w:t>
      </w:r>
      <w:r>
        <w:t>, or 250 tpy of VOC, PM</w:t>
      </w:r>
      <w:r w:rsidRPr="00722851">
        <w:rPr>
          <w:vertAlign w:val="subscript"/>
        </w:rPr>
        <w:t>10</w:t>
      </w:r>
      <w:r>
        <w:t>, PM</w:t>
      </w:r>
      <w:r w:rsidRPr="00722851">
        <w:rPr>
          <w:vertAlign w:val="subscript"/>
        </w:rPr>
        <w:t>2.5</w:t>
      </w:r>
      <w:r>
        <w:t>, or NH</w:t>
      </w:r>
      <w:r w:rsidRPr="00722851">
        <w:rPr>
          <w:vertAlign w:val="subscript"/>
        </w:rPr>
        <w:t>3</w:t>
      </w:r>
      <w:r w:rsidRPr="00C21FDC">
        <w:t>.</w:t>
      </w:r>
      <w:r>
        <w:t xml:space="preserve"> To adjust for the undercounting due to actual emissions, we </w:t>
      </w:r>
      <w:r w:rsidR="00DD1628">
        <w:t>retained the number of estimated facilities from the previous AERR ICR, which is about 2.3x the facility count based on actual emissions</w:t>
      </w:r>
      <w:r>
        <w:t xml:space="preserve">. As a result, we assume </w:t>
      </w:r>
      <w:r w:rsidRPr="00DD1628">
        <w:t>2,510</w:t>
      </w:r>
      <w:r>
        <w:t xml:space="preserve"> </w:t>
      </w:r>
      <w:r w:rsidR="00770024">
        <w:t>of the 2024- and 2025-year</w:t>
      </w:r>
      <w:r>
        <w:t xml:space="preserve"> sources are reported for the purposes of this analysis across 54 state/territorial and 23 local and tribal air agencies. This equates to an average of </w:t>
      </w:r>
      <w:r w:rsidRPr="00DD1628">
        <w:t>33</w:t>
      </w:r>
      <w:r w:rsidR="009E0352">
        <w:t xml:space="preserve"> annually reported</w:t>
      </w:r>
      <w:r>
        <w:t xml:space="preserve"> sources </w:t>
      </w:r>
      <w:r w:rsidR="009E0352">
        <w:t xml:space="preserve">that would be required </w:t>
      </w:r>
      <w:r>
        <w:t xml:space="preserve">on average per agency for 2 of the 3 years. The number of </w:t>
      </w:r>
      <w:r w:rsidR="009E0352">
        <w:t>required</w:t>
      </w:r>
      <w:r>
        <w:t xml:space="preserve"> sources can be much larger for heavily industrialized states and smaller (all the way down to zero) for some smaller states and local agencies.</w:t>
      </w:r>
    </w:p>
    <w:p w:rsidR="00DD1628" w:rsidP="00F86D1D" w14:paraId="3E69D8CA" w14:textId="77777777"/>
    <w:p w:rsidR="00F86D1D" w:rsidP="00F86D1D" w14:paraId="4A19AE3E" w14:textId="20F188C6">
      <w:r>
        <w:t xml:space="preserve">To account for states that we estimate will use the CAERS for </w:t>
      </w:r>
      <w:r w:rsidR="009E0352">
        <w:t>the required annually reported</w:t>
      </w:r>
      <w:r>
        <w:t xml:space="preserve"> sources in the 202</w:t>
      </w:r>
      <w:r w:rsidR="006779B1">
        <w:t>3</w:t>
      </w:r>
      <w:r>
        <w:t xml:space="preserve"> through 202</w:t>
      </w:r>
      <w:r w:rsidR="006779B1">
        <w:t>5</w:t>
      </w:r>
      <w:r>
        <w:t xml:space="preserve"> </w:t>
      </w:r>
      <w:r w:rsidR="006779B1">
        <w:t xml:space="preserve">emission inventory </w:t>
      </w:r>
      <w:r>
        <w:t>years, we have considered the reduction in effort associated with the steps for reporting to EIS necessary only when a state maintains their own data system and thus needs to convert that data for submission to the EIS. As shown in Table 1, the rightmost column shows which steps are necessary for agencies that use CAERS.</w:t>
      </w:r>
    </w:p>
    <w:p w:rsidR="00F86D1D" w:rsidP="009E08D8" w14:paraId="19DC76D2" w14:textId="4FA96245"/>
    <w:p w:rsidR="004E6C7D" w:rsidRPr="00C44F5A" w:rsidP="00C44F5A" w14:paraId="2EF223E2" w14:textId="63E8273A">
      <w:pPr>
        <w:pStyle w:val="Heading3"/>
      </w:pPr>
      <w:bookmarkStart w:id="16" w:name="_Ref106896333"/>
      <w:r w:rsidRPr="00C44F5A">
        <w:t>SLT triennial activities under proposed AERR</w:t>
      </w:r>
      <w:bookmarkEnd w:id="16"/>
    </w:p>
    <w:p w:rsidR="006A099E" w:rsidRPr="00EB38B2" w:rsidP="00DD1628" w14:paraId="3D7729BB" w14:textId="7CC773ED">
      <w:pPr>
        <w:keepNext/>
        <w:rPr>
          <w:i/>
          <w:iCs/>
          <w:u w:val="single"/>
        </w:rPr>
      </w:pPr>
      <w:r w:rsidRPr="00EB38B2">
        <w:rPr>
          <w:i/>
          <w:iCs/>
          <w:u w:val="single"/>
        </w:rPr>
        <w:t xml:space="preserve">Triennial Point Source </w:t>
      </w:r>
      <w:r>
        <w:rPr>
          <w:i/>
          <w:iCs/>
          <w:u w:val="single"/>
        </w:rPr>
        <w:t>Activities and Assumptions</w:t>
      </w:r>
    </w:p>
    <w:p w:rsidR="0012524C" w:rsidP="00BC14A2" w14:paraId="6066D499" w14:textId="6B7E7DE4">
      <w:r>
        <w:t xml:space="preserve">Although the AERR proposal includes removing triennial point source reporting starting with emissions for 2026, for purposes of this document, we refer to the point source reporting for 2023 emissions as triennial reporting. </w:t>
      </w:r>
      <w:r>
        <w:t>For triennial reporting</w:t>
      </w:r>
      <w:r w:rsidR="00A90699">
        <w:t xml:space="preserve"> </w:t>
      </w:r>
      <w:r>
        <w:t xml:space="preserve">of 2023 emissions </w:t>
      </w:r>
      <w:r w:rsidR="00A90699">
        <w:t>in 2024</w:t>
      </w:r>
      <w:r>
        <w:t xml:space="preserve">, </w:t>
      </w:r>
      <w:r w:rsidR="00FF159D">
        <w:t xml:space="preserve">SLTs would have the same point source </w:t>
      </w:r>
      <w:r w:rsidR="00173D09">
        <w:t>activities</w:t>
      </w:r>
      <w:r w:rsidR="00FF159D">
        <w:t xml:space="preserve"> as described for the annual reporting</w:t>
      </w:r>
      <w:r w:rsidR="00BC14A2">
        <w:t xml:space="preserve"> above</w:t>
      </w:r>
      <w:r w:rsidR="00FF159D">
        <w:t xml:space="preserve">, but those </w:t>
      </w:r>
      <w:r w:rsidR="00173D09">
        <w:t>activities</w:t>
      </w:r>
      <w:r w:rsidR="00FF159D">
        <w:t xml:space="preserve"> would take longer because more sources would be involved</w:t>
      </w:r>
      <w:r w:rsidR="00B63D21">
        <w:t xml:space="preserve">. </w:t>
      </w:r>
      <w:r w:rsidR="00BC14A2">
        <w:t xml:space="preserve">Rather than the </w:t>
      </w:r>
      <w:r w:rsidR="00F14AD6">
        <w:t>PTE</w:t>
      </w:r>
      <w:r w:rsidR="006A099E">
        <w:t xml:space="preserve"> </w:t>
      </w:r>
      <w:r w:rsidR="00BC14A2">
        <w:t xml:space="preserve">thresholds listed above for annual reporting, SLTs would submit </w:t>
      </w:r>
      <w:r w:rsidR="006A099E">
        <w:t xml:space="preserve">additional </w:t>
      </w:r>
      <w:r w:rsidR="00BC14A2">
        <w:t xml:space="preserve">emissions data </w:t>
      </w:r>
      <w:r w:rsidR="006A099E">
        <w:t xml:space="preserve">for </w:t>
      </w:r>
      <w:r w:rsidR="00BC14A2">
        <w:t xml:space="preserve">point sources that </w:t>
      </w:r>
      <w:r w:rsidR="005665B3">
        <w:t>have lower emissions</w:t>
      </w:r>
      <w:r w:rsidR="00BC14A2">
        <w:t xml:space="preserve"> than the annually reported sources and have a potential to emit 100 tpy of NO</w:t>
      </w:r>
      <w:r w:rsidRPr="00BC14A2" w:rsidR="00BC14A2">
        <w:rPr>
          <w:vertAlign w:val="subscript"/>
        </w:rPr>
        <w:t>x</w:t>
      </w:r>
      <w:r w:rsidR="00BC14A2">
        <w:t>, SO</w:t>
      </w:r>
      <w:r w:rsidRPr="00BC14A2" w:rsidR="00BC14A2">
        <w:rPr>
          <w:vertAlign w:val="subscript"/>
        </w:rPr>
        <w:t>2</w:t>
      </w:r>
      <w:r w:rsidR="00BC14A2">
        <w:t>, VOC, PM</w:t>
      </w:r>
      <w:r w:rsidRPr="00BC14A2" w:rsidR="00BC14A2">
        <w:rPr>
          <w:vertAlign w:val="subscript"/>
        </w:rPr>
        <w:t>10</w:t>
      </w:r>
      <w:r w:rsidR="00BC14A2">
        <w:t>, PM</w:t>
      </w:r>
      <w:r w:rsidRPr="00BC14A2" w:rsidR="00BC14A2">
        <w:rPr>
          <w:vertAlign w:val="subscript"/>
        </w:rPr>
        <w:t>2.5</w:t>
      </w:r>
      <w:r w:rsidR="00BC14A2">
        <w:t>, or NH</w:t>
      </w:r>
      <w:r w:rsidRPr="00BC14A2" w:rsidR="00BC14A2">
        <w:rPr>
          <w:vertAlign w:val="subscript"/>
        </w:rPr>
        <w:t>3</w:t>
      </w:r>
      <w:r w:rsidR="00BC14A2">
        <w:t>; or 1,000 tpy of CO; or that have actual emissions of at least 0.5 tons of lead</w:t>
      </w:r>
      <w:r w:rsidR="00DD1628">
        <w:t xml:space="preserve"> (Pb)</w:t>
      </w:r>
      <w:r w:rsidR="00BC14A2">
        <w:t xml:space="preserve">. Further, </w:t>
      </w:r>
      <w:r w:rsidR="00291981">
        <w:t>the emissions reporting thresholds for facilities within</w:t>
      </w:r>
      <w:r>
        <w:t xml:space="preserve"> nonattainment areas</w:t>
      </w:r>
      <w:r w:rsidR="00BC14A2">
        <w:t xml:space="preserve"> </w:t>
      </w:r>
      <w:r w:rsidR="00291981">
        <w:t>are even lower for</w:t>
      </w:r>
      <w:r>
        <w:t xml:space="preserve"> </w:t>
      </w:r>
      <w:r w:rsidR="009E0352">
        <w:t>triennially reported</w:t>
      </w:r>
      <w:r>
        <w:t xml:space="preserve"> </w:t>
      </w:r>
      <w:r w:rsidR="00FF159D">
        <w:t xml:space="preserve">point </w:t>
      </w:r>
      <w:r>
        <w:t>sources, in accordance with Table 1</w:t>
      </w:r>
      <w:r w:rsidR="00874A60">
        <w:t>A</w:t>
      </w:r>
      <w:r>
        <w:t xml:space="preserve"> of </w:t>
      </w:r>
      <w:r w:rsidR="0027358E">
        <w:t>Appendix A</w:t>
      </w:r>
      <w:r>
        <w:t xml:space="preserve"> to Subpart A of 40 CFR </w:t>
      </w:r>
      <w:r w:rsidR="00C003A5">
        <w:t>p</w:t>
      </w:r>
      <w:r>
        <w:t>art 51</w:t>
      </w:r>
      <w:r w:rsidR="00506ECA">
        <w:t xml:space="preserve"> (for which no changes are proposed)</w:t>
      </w:r>
      <w:r w:rsidR="002F7927">
        <w:t>.</w:t>
      </w:r>
    </w:p>
    <w:p w:rsidR="00BC14A2" w:rsidP="00BC14A2" w14:paraId="43E36ACA" w14:textId="6FFBDDBD"/>
    <w:p w:rsidR="006A099E" w:rsidP="006A099E" w14:paraId="3CEE961C" w14:textId="1B518433">
      <w:r>
        <w:t xml:space="preserve">Like annually reported sources, the triennial reporting thresholds are based on </w:t>
      </w:r>
      <w:r w:rsidR="00F14AD6">
        <w:t>PTE</w:t>
      </w:r>
      <w:r>
        <w:t xml:space="preserve"> values, but </w:t>
      </w:r>
      <w:r w:rsidR="00204E7E">
        <w:t>EPA</w:t>
      </w:r>
      <w:r>
        <w:t xml:space="preserve"> does not collect </w:t>
      </w:r>
      <w:r w:rsidR="00F14AD6">
        <w:t>PTE</w:t>
      </w:r>
      <w:r>
        <w:t xml:space="preserve"> data. Fortunately, the triennial source reporting criteria are nearly the same as the major source definition for criteria pollutants and precursors, and a list of such major sources is available from the EPA Enforcement and Compliance History Online (ECHO) web application. ECHO is fed by reporting </w:t>
      </w:r>
      <w:r>
        <w:t xml:space="preserve">of compliance data from the state agencies. These data are sent from states to the ECHO system many times per year, which helps ensure that we are using updated information. </w:t>
      </w:r>
    </w:p>
    <w:p w:rsidR="006A099E" w:rsidP="006A099E" w14:paraId="28017A81" w14:textId="77777777"/>
    <w:p w:rsidR="006A099E" w:rsidP="006A099E" w14:paraId="5BC56188" w14:textId="185F4136">
      <w:r>
        <w:t xml:space="preserve">For the previous version of this ICR using the ECHO database, </w:t>
      </w:r>
      <w:r w:rsidR="00204E7E">
        <w:t>EPA</w:t>
      </w:r>
      <w:r>
        <w:t xml:space="preserve"> determined that there are 13,408 Major Title V facilities nationwide. To adjust this facility-count for the triennial definition, we also needed to consider the triennial threshold for </w:t>
      </w:r>
      <w:r w:rsidR="00DD1628">
        <w:t>Pb</w:t>
      </w:r>
      <w:r>
        <w:t xml:space="preserve">, which is 0.5 tons of actual emissions per year (and more stringent than the major source definition). Since the </w:t>
      </w:r>
      <w:r w:rsidR="00DD1628">
        <w:t>Pb</w:t>
      </w:r>
      <w:r>
        <w:t xml:space="preserve"> threshold is based on actual emissions, we used the 2014 NEI to determine that just 12 additional facilities have 0.5 tons of </w:t>
      </w:r>
      <w:r w:rsidR="00DD1628">
        <w:t>Pb</w:t>
      </w:r>
      <w:r>
        <w:t xml:space="preserve"> emissions or more and are not otherwise identified as major sources.</w:t>
      </w:r>
      <w:r>
        <w:rPr>
          <w:rStyle w:val="FootnoteReference"/>
          <w:vertAlign w:val="superscript"/>
        </w:rPr>
        <w:footnoteReference w:id="19"/>
      </w:r>
      <w:r>
        <w:t xml:space="preserve"> The resulting triennial source facility total used for this work is 13,420. Because the number of major source facilities has decreased</w:t>
      </w:r>
      <w:r>
        <w:rPr>
          <w:rStyle w:val="FootnoteReference"/>
          <w:vertAlign w:val="superscript"/>
        </w:rPr>
        <w:footnoteReference w:id="20"/>
      </w:r>
      <w:r>
        <w:t xml:space="preserve"> since the previous ICR</w:t>
      </w:r>
      <w:r w:rsidR="00CF71A4">
        <w:t xml:space="preserve">, </w:t>
      </w:r>
      <w:r>
        <w:t xml:space="preserve">these numbers provide a conservative </w:t>
      </w:r>
      <w:r w:rsidR="0068287C">
        <w:t xml:space="preserve">(or overstated) </w:t>
      </w:r>
      <w:r>
        <w:t>estimate of the number of facilities.</w:t>
      </w:r>
    </w:p>
    <w:p w:rsidR="006A099E" w:rsidP="006A099E" w14:paraId="7A725D2D" w14:textId="106D7C77"/>
    <w:p w:rsidR="006A099E" w:rsidP="006A099E" w14:paraId="0BCB6BB1" w14:textId="00F69F50">
      <w:r>
        <w:t xml:space="preserve">Since there are 85 reporting agencies in triennial years, we estimate an average of 158 facilities to be reported per agency for the triennial inventories. The number of sources can be much larger for the large, heavily industrialized states, and smaller for some </w:t>
      </w:r>
      <w:r w:rsidR="005C32C5">
        <w:t>SLT</w:t>
      </w:r>
      <w:r>
        <w:t xml:space="preserve"> agencies. Because much of the effort needed to report the point source emissions data from the state data systems to </w:t>
      </w:r>
      <w:r w:rsidR="00204E7E">
        <w:t>EPA</w:t>
      </w:r>
      <w:r>
        <w:t xml:space="preserve"> involves automated data manipulations, there are economies of scale for the states with many sources. The idea of economies of scale is further supported by the actual number of facilities reported. States reported about </w:t>
      </w:r>
      <w:r w:rsidR="00CF423A">
        <w:t xml:space="preserve">72 </w:t>
      </w:r>
      <w:r w:rsidRPr="002F7927">
        <w:t>thousand facilities</w:t>
      </w:r>
      <w:r>
        <w:t xml:space="preserve"> </w:t>
      </w:r>
      <w:r w:rsidR="006A01BD">
        <w:t xml:space="preserve">(which excludes most airports and railyards that are </w:t>
      </w:r>
      <w:r w:rsidR="00F103FA">
        <w:t>reported</w:t>
      </w:r>
      <w:r w:rsidR="006A01BD">
        <w:t xml:space="preserve"> differently) </w:t>
      </w:r>
      <w:r>
        <w:t>in the most recent 2020 triennial reporting years, which is far greater than the 13,420 facilities that we estimate are required.</w:t>
      </w:r>
    </w:p>
    <w:p w:rsidR="0068287C" w:rsidP="00BC14A2" w14:paraId="3EBFB223" w14:textId="77777777"/>
    <w:p w:rsidR="006A099E" w:rsidP="00DD1628" w14:paraId="08B55039" w14:textId="44E294F5">
      <w:pPr>
        <w:keepNext/>
      </w:pPr>
      <w:r w:rsidRPr="00623E86">
        <w:rPr>
          <w:i/>
          <w:iCs/>
          <w:u w:val="single"/>
        </w:rPr>
        <w:t>Other</w:t>
      </w:r>
      <w:r>
        <w:rPr>
          <w:i/>
          <w:iCs/>
          <w:u w:val="single"/>
        </w:rPr>
        <w:t xml:space="preserve"> Triennial Activities for SLTs</w:t>
      </w:r>
    </w:p>
    <w:p w:rsidR="0012524C" w:rsidP="00DD1628" w14:paraId="63F6E5DE" w14:textId="16AD5DFB">
      <w:pPr>
        <w:spacing w:after="120"/>
      </w:pPr>
      <w:r>
        <w:t xml:space="preserve">In addition to the triennial point source collection and reporting, the AERR would include additional triennial </w:t>
      </w:r>
      <w:r w:rsidR="00173D09">
        <w:t>activities</w:t>
      </w:r>
      <w:r w:rsidR="006A099E">
        <w:t xml:space="preserve"> for SLTs</w:t>
      </w:r>
      <w:r>
        <w:t>:</w:t>
      </w:r>
    </w:p>
    <w:p w:rsidR="00186ECC" w:rsidP="00F17B08" w14:paraId="175E696B" w14:textId="77777777">
      <w:pPr>
        <w:pStyle w:val="ListParagraph"/>
        <w:numPr>
          <w:ilvl w:val="0"/>
          <w:numId w:val="4"/>
        </w:numPr>
        <w:spacing w:after="120"/>
        <w:contextualSpacing w:val="0"/>
      </w:pPr>
      <w:r>
        <w:t>For nonpoint sources, complete a nonpoint survey to indicate plans for reporting each nonpoint category;</w:t>
      </w:r>
    </w:p>
    <w:p w:rsidR="00186ECC" w:rsidP="00F17B08" w14:paraId="43FE0A08" w14:textId="5D3FF14A">
      <w:pPr>
        <w:pStyle w:val="ListParagraph"/>
        <w:numPr>
          <w:ilvl w:val="0"/>
          <w:numId w:val="4"/>
        </w:numPr>
        <w:spacing w:after="120"/>
        <w:contextualSpacing w:val="0"/>
      </w:pPr>
      <w:r>
        <w:t xml:space="preserve">For nonpoint sources with EPA-provided emissions calculation tools (excluding commercial marine vessels and locomotives), either submit nonpoint tool input data or review, comment on, and accept EPA-provided nonpoint tool inputs. This includes compiling and </w:t>
      </w:r>
      <w:r w:rsidR="008551AF">
        <w:t>reporting</w:t>
      </w:r>
      <w:r>
        <w:t xml:space="preserve"> total point source activity data for those data categories for which EPA provides templates for use in reconciliation between point and nonpoint sources to avoid double counting (</w:t>
      </w:r>
      <w:r w:rsidRPr="008E5C9F" w:rsidR="008E5C9F">
        <w:rPr>
          <w:i/>
          <w:iCs/>
        </w:rPr>
        <w:t>e.g.</w:t>
      </w:r>
      <w:r>
        <w:t>, industr</w:t>
      </w:r>
      <w:r w:rsidR="0068287C">
        <w:t>ial</w:t>
      </w:r>
      <w:r>
        <w:t xml:space="preserve">, commercial, and institutional boilers); </w:t>
      </w:r>
    </w:p>
    <w:p w:rsidR="00186ECC" w:rsidP="00F17B08" w14:paraId="579BEBB3" w14:textId="6CA546B3">
      <w:pPr>
        <w:pStyle w:val="ListParagraph"/>
        <w:numPr>
          <w:ilvl w:val="0"/>
          <w:numId w:val="4"/>
        </w:numPr>
        <w:spacing w:after="120"/>
        <w:contextualSpacing w:val="0"/>
      </w:pPr>
      <w:r>
        <w:t>For nonpoint sources without EPA-provide</w:t>
      </w:r>
      <w:r w:rsidR="005C32C5">
        <w:t>d</w:t>
      </w:r>
      <w:r>
        <w:t xml:space="preserve"> methods and tools, estimate emissions, run quality assurance checks, format data into XML format, and submit emissions data and documentation</w:t>
      </w:r>
      <w:r w:rsidR="005C32C5">
        <w:t>.</w:t>
      </w:r>
      <w:r>
        <w:t xml:space="preserve"> </w:t>
      </w:r>
    </w:p>
    <w:p w:rsidR="00B367CA" w:rsidP="00F17B08" w14:paraId="5E504DFD" w14:textId="392789E6">
      <w:pPr>
        <w:pStyle w:val="ListParagraph"/>
        <w:numPr>
          <w:ilvl w:val="0"/>
          <w:numId w:val="4"/>
        </w:numPr>
        <w:spacing w:after="120"/>
        <w:contextualSpacing w:val="0"/>
      </w:pPr>
      <w:r>
        <w:t>For nonpoint sources in states that overlap with tribes that submit data, adjust nonpoint submissions for tribal boundaries</w:t>
      </w:r>
      <w:r w:rsidR="005C32C5">
        <w:t>.</w:t>
      </w:r>
    </w:p>
    <w:p w:rsidR="00B367CA" w:rsidP="00F17B08" w14:paraId="2B148A5B" w14:textId="77C33BAD">
      <w:pPr>
        <w:pStyle w:val="ListParagraph"/>
        <w:numPr>
          <w:ilvl w:val="0"/>
          <w:numId w:val="4"/>
        </w:numPr>
        <w:spacing w:after="120"/>
        <w:contextualSpacing w:val="0"/>
      </w:pPr>
      <w:r>
        <w:t>Either submit airport activity data (</w:t>
      </w:r>
      <w:r w:rsidRPr="008E5C9F" w:rsidR="008E5C9F">
        <w:rPr>
          <w:i/>
        </w:rPr>
        <w:t>i.e.</w:t>
      </w:r>
      <w:r>
        <w:t>, landings and takeoffs) or review EPA-provided data, submit comments on that data, and/or accept that data.</w:t>
      </w:r>
    </w:p>
    <w:p w:rsidR="00186ECC" w:rsidP="00F17B08" w14:paraId="609CB1D3" w14:textId="6A54111A">
      <w:pPr>
        <w:pStyle w:val="ListParagraph"/>
        <w:numPr>
          <w:ilvl w:val="0"/>
          <w:numId w:val="4"/>
        </w:numPr>
        <w:spacing w:after="120"/>
        <w:contextualSpacing w:val="0"/>
      </w:pPr>
      <w:r>
        <w:t>Either submit rail yard activity data and associated documentation or review EPA-provided data, submit comments on that data, and/or accept that data.</w:t>
      </w:r>
    </w:p>
    <w:p w:rsidR="00B367CA" w:rsidP="00F17B08" w14:paraId="53516B67" w14:textId="77777777">
      <w:pPr>
        <w:pStyle w:val="ListParagraph"/>
        <w:numPr>
          <w:ilvl w:val="0"/>
          <w:numId w:val="4"/>
        </w:numPr>
        <w:spacing w:after="120"/>
        <w:contextualSpacing w:val="0"/>
      </w:pPr>
      <w:r>
        <w:t>For commercial marine vessels and locomotives, either report annual actual emissions and associated documentation, provide comment on EPA-provided emissions, or accept EPA-provided emissions.</w:t>
      </w:r>
    </w:p>
    <w:p w:rsidR="0012524C" w:rsidP="00F17B08" w14:paraId="5F2A2C49" w14:textId="631F7641">
      <w:pPr>
        <w:pStyle w:val="ListParagraph"/>
        <w:numPr>
          <w:ilvl w:val="0"/>
          <w:numId w:val="4"/>
        </w:numPr>
        <w:spacing w:after="120"/>
        <w:contextualSpacing w:val="0"/>
      </w:pPr>
      <w:r>
        <w:t xml:space="preserve">For all states except California, develop </w:t>
      </w:r>
      <w:r w:rsidR="00291981">
        <w:t>inputs to the MOtor Vehicle Emissions Simulator (</w:t>
      </w:r>
      <w:r w:rsidR="00FF159D">
        <w:t>MOVES</w:t>
      </w:r>
      <w:r w:rsidR="00291981">
        <w:t>)</w:t>
      </w:r>
      <w:r>
        <w:t xml:space="preserve"> for onroad mobile and nonroad mobile sources</w:t>
      </w:r>
      <w:r w:rsidR="0077221B">
        <w:t>. R</w:t>
      </w:r>
      <w:r>
        <w:t>eview and revis</w:t>
      </w:r>
      <w:r w:rsidR="0077221B">
        <w:t>e</w:t>
      </w:r>
      <w:r>
        <w:t xml:space="preserve"> draft data from </w:t>
      </w:r>
      <w:r w:rsidR="00204E7E">
        <w:t>EPA</w:t>
      </w:r>
      <w:r>
        <w:t xml:space="preserve"> and/or collec</w:t>
      </w:r>
      <w:r w:rsidR="0077221B">
        <w:t>t</w:t>
      </w:r>
      <w:r>
        <w:t xml:space="preserve"> such data, review and edit that data, format data into required XML format, run quality assurance checks, and submit the data to </w:t>
      </w:r>
      <w:r w:rsidR="00204E7E">
        <w:t>EPA</w:t>
      </w:r>
      <w:r w:rsidR="005C32C5">
        <w:t>.</w:t>
      </w:r>
    </w:p>
    <w:p w:rsidR="0012524C" w:rsidP="00DD1628" w14:paraId="2AA6B9D6" w14:textId="3442B0C6">
      <w:pPr>
        <w:pStyle w:val="ListParagraph"/>
        <w:numPr>
          <w:ilvl w:val="0"/>
          <w:numId w:val="4"/>
        </w:numPr>
        <w:spacing w:after="240"/>
        <w:contextualSpacing w:val="0"/>
      </w:pPr>
      <w:r>
        <w:t>For California, develop and report statewide inventory emission estimates for onroad and nonroad mobile sources for all criteria pollutants</w:t>
      </w:r>
      <w:r w:rsidR="0077221B">
        <w:t>. D</w:t>
      </w:r>
      <w:r>
        <w:t>evelop model inputs for California’s mobile source model</w:t>
      </w:r>
      <w:r w:rsidR="0077221B">
        <w:t>(s)</w:t>
      </w:r>
      <w:r>
        <w:t>, run the California mobile source model</w:t>
      </w:r>
      <w:r w:rsidR="0077221B">
        <w:t>(s)</w:t>
      </w:r>
      <w:r>
        <w:t xml:space="preserve">, </w:t>
      </w:r>
      <w:r w:rsidR="0077221B">
        <w:t>run quality assurance checks, format data into XML format, and submit emissions data and documentation</w:t>
      </w:r>
      <w:r w:rsidR="005C32C5">
        <w:t>.</w:t>
      </w:r>
      <w:r w:rsidR="0077221B">
        <w:t xml:space="preserve"> </w:t>
      </w:r>
    </w:p>
    <w:p w:rsidR="0077221B" w:rsidP="00DD1628" w14:paraId="01BD8D01" w14:textId="2D70DC68">
      <w:pPr>
        <w:spacing w:after="120"/>
      </w:pPr>
      <w:r>
        <w:t xml:space="preserve">Additionally for triennial years for this ICR period, SLTs could perform several additional voluntary </w:t>
      </w:r>
      <w:r w:rsidR="00173D09">
        <w:t>activities</w:t>
      </w:r>
      <w:r>
        <w:t xml:space="preserve"> under the AERR collection:</w:t>
      </w:r>
    </w:p>
    <w:p w:rsidR="00A00C5E" w:rsidP="00F17B08" w14:paraId="5056C3A1" w14:textId="35BC335C">
      <w:pPr>
        <w:pStyle w:val="ListParagraph"/>
        <w:numPr>
          <w:ilvl w:val="0"/>
          <w:numId w:val="4"/>
        </w:numPr>
        <w:spacing w:after="120"/>
        <w:contextualSpacing w:val="0"/>
      </w:pPr>
      <w:r>
        <w:t>For nonpoint sources with EPA-provide</w:t>
      </w:r>
      <w:r w:rsidR="005C32C5">
        <w:t>d</w:t>
      </w:r>
      <w:r>
        <w:t xml:space="preserve"> methods and tools, estimate emissions, run quality assurance checks, format data into XML format, and submit emissions data and documentation</w:t>
      </w:r>
      <w:r w:rsidR="005C32C5">
        <w:t>.</w:t>
      </w:r>
      <w:r>
        <w:t xml:space="preserve"> </w:t>
      </w:r>
    </w:p>
    <w:p w:rsidR="00A20573" w:rsidP="00F17B08" w14:paraId="4F40155F" w14:textId="0F925270">
      <w:pPr>
        <w:pStyle w:val="ListParagraph"/>
        <w:numPr>
          <w:ilvl w:val="0"/>
          <w:numId w:val="4"/>
        </w:numPr>
        <w:spacing w:after="120"/>
        <w:contextualSpacing w:val="0"/>
      </w:pPr>
      <w:r>
        <w:t>For aircraft, ground support equipment (GSE), and/or rail yards, voluntarily estimate and submit emissions and documentation of the associated calculations.</w:t>
      </w:r>
    </w:p>
    <w:p w:rsidR="0012524C" w:rsidP="00DD1628" w14:paraId="45500C44" w14:textId="62AEAFBB">
      <w:pPr>
        <w:pStyle w:val="ListParagraph"/>
        <w:numPr>
          <w:ilvl w:val="0"/>
          <w:numId w:val="4"/>
        </w:numPr>
        <w:spacing w:after="360"/>
        <w:contextualSpacing w:val="0"/>
      </w:pPr>
      <w:r>
        <w:t>For</w:t>
      </w:r>
      <w:r w:rsidR="00FF159D">
        <w:t xml:space="preserve"> </w:t>
      </w:r>
      <w:r>
        <w:t>prescribed fire</w:t>
      </w:r>
      <w:r w:rsidR="00467C86">
        <w:t>, agricultural fire,</w:t>
      </w:r>
      <w:r>
        <w:t xml:space="preserve"> and wild</w:t>
      </w:r>
      <w:r>
        <w:t>fire</w:t>
      </w:r>
      <w:r>
        <w:t xml:space="preserve">s, review, comment on, and/or accept </w:t>
      </w:r>
      <w:r w:rsidR="00EF192C">
        <w:t xml:space="preserve">EPA-provided </w:t>
      </w:r>
      <w:r>
        <w:t xml:space="preserve">activity </w:t>
      </w:r>
      <w:r>
        <w:t xml:space="preserve">data </w:t>
      </w:r>
      <w:r>
        <w:t>and emissions data</w:t>
      </w:r>
      <w:r>
        <w:t xml:space="preserve"> or submit emissions.</w:t>
      </w:r>
    </w:p>
    <w:p w:rsidR="00F86D1D" w:rsidRPr="00C44F5A" w:rsidP="00C44F5A" w14:paraId="5D316A50" w14:textId="539ABB31">
      <w:pPr>
        <w:pStyle w:val="Heading3"/>
      </w:pPr>
      <w:bookmarkStart w:id="17" w:name="_Ref116647222"/>
      <w:r w:rsidRPr="00C44F5A">
        <w:t>SLT burden for annual and triennial years</w:t>
      </w:r>
      <w:bookmarkEnd w:id="17"/>
    </w:p>
    <w:p w:rsidR="001F1A7C" w:rsidP="009E08D8" w14:paraId="7D6E4FDF" w14:textId="491ED37A">
      <w:r>
        <w:t>The SLT burden for annual and triennial years is presented in this section as an average per year. The burden hours are provided separately for data system activities, point source reporting, and nonpoint reporting. Furthermore, required activities are separated from voluntary activities.</w:t>
      </w:r>
    </w:p>
    <w:p w:rsidR="001E3269" w:rsidP="009E08D8" w14:paraId="3EA3D513" w14:textId="6C4861F2"/>
    <w:p w:rsidR="001E3269" w:rsidP="001E3269" w14:paraId="6729467B" w14:textId="77777777">
      <w:r>
        <w:t xml:space="preserve">Use of these averages should provide an overly conservative (larger) estimate of total burden hours because the burden values for the smaller agencies are being overestimated since they will have fewer sources than average, and the average burden values do not include the economies of scale experienced by the larger agencies. The idea of economies of scale is further supported by the actual number of facilities and pollutants reported in these years as compared to those that we believe are required. </w:t>
      </w:r>
    </w:p>
    <w:p w:rsidR="001E3269" w:rsidP="001E3269" w14:paraId="3581D7F1" w14:textId="77777777"/>
    <w:p w:rsidR="001E3269" w:rsidP="001E3269" w14:paraId="51460AAC" w14:textId="7584B51D">
      <w:r>
        <w:t xml:space="preserve">To account for states that we estimate will use the CAERS for the required annually reported sources in the 2023 through 2025 emission inventory years, we have considered the reduction in effort associated with the steps for reporting to EIS necessary only when a state maintains their own data system and thus needs to convert that </w:t>
      </w:r>
      <w:r w:rsidRPr="007464CD">
        <w:t xml:space="preserve">data for submission to the EIS. As shown in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a and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b, the</w:t>
      </w:r>
      <w:r>
        <w:t xml:space="preserve"> rightmost column indicates which steps are necessary for agencies that use CAERS.</w:t>
      </w:r>
    </w:p>
    <w:p w:rsidR="001E3269" w:rsidP="009E08D8" w14:paraId="2FE271FB" w14:textId="77777777"/>
    <w:p w:rsidR="0093260C" w:rsidRPr="00EB38B2" w:rsidP="009E08D8" w14:paraId="496B56C3" w14:textId="6D5DE41A">
      <w:pPr>
        <w:rPr>
          <w:i/>
          <w:iCs/>
          <w:u w:val="single"/>
        </w:rPr>
      </w:pPr>
      <w:r>
        <w:rPr>
          <w:i/>
          <w:iCs/>
          <w:u w:val="single"/>
        </w:rPr>
        <w:t xml:space="preserve">Maintaining SLT </w:t>
      </w:r>
      <w:r w:rsidR="00160F71">
        <w:rPr>
          <w:i/>
          <w:iCs/>
          <w:u w:val="single"/>
        </w:rPr>
        <w:t>point source collection</w:t>
      </w:r>
      <w:r>
        <w:rPr>
          <w:i/>
          <w:iCs/>
          <w:u w:val="single"/>
        </w:rPr>
        <w:t xml:space="preserve"> system</w:t>
      </w:r>
    </w:p>
    <w:p w:rsidR="001F1A7C" w:rsidRPr="007464CD" w:rsidP="009E08D8" w14:paraId="066F9686" w14:textId="484553B5">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a</w:t>
      </w:r>
      <w:r w:rsidRPr="007464CD">
        <w:t xml:space="preserve"> summarizes the average hour burden estimates</w:t>
      </w:r>
      <w:r w:rsidRPr="007464CD" w:rsidR="0093260C">
        <w:t xml:space="preserve"> for </w:t>
      </w:r>
      <w:r w:rsidRPr="007464CD" w:rsidR="0099384E">
        <w:t xml:space="preserve">operation and </w:t>
      </w:r>
      <w:r w:rsidRPr="007464CD">
        <w:t>maint</w:t>
      </w:r>
      <w:r w:rsidRPr="007464CD" w:rsidR="0099384E">
        <w:t>enance (O&amp;M) of</w:t>
      </w:r>
      <w:r w:rsidRPr="007464CD">
        <w:t xml:space="preserve"> the SLT data system for collecting point source data</w:t>
      </w:r>
      <w:r w:rsidRPr="007464CD" w:rsidR="006B0DCD">
        <w:t xml:space="preserve"> from owners/operators in the state</w:t>
      </w:r>
      <w:r w:rsidRPr="007464CD">
        <w:t xml:space="preserve">. </w:t>
      </w:r>
      <w:r w:rsidRPr="007464CD" w:rsidR="006B0DCD">
        <w:t xml:space="preserve">The table includes 50% of a </w:t>
      </w:r>
      <w:r w:rsidRPr="007464CD" w:rsidR="00F560DA">
        <w:t>full-time</w:t>
      </w:r>
      <w:r w:rsidRPr="007464CD" w:rsidR="006B0DCD">
        <w:t xml:space="preserve"> employee (FTE) for information technology (IT) administration and additional hours for an engineer to provide guidance to IT administration, making minor annual updates to the data system, and user support. Major data system updates have been covered </w:t>
      </w:r>
      <w:r w:rsidRPr="007464CD" w:rsidR="00954876">
        <w:t xml:space="preserve">previously </w:t>
      </w:r>
      <w:r w:rsidRPr="007464CD" w:rsidR="006B0DCD">
        <w:t xml:space="preserve">in Section </w:t>
      </w:r>
      <w:r w:rsidRPr="007464CD" w:rsidR="006B0DCD">
        <w:fldChar w:fldCharType="begin"/>
      </w:r>
      <w:r w:rsidRPr="007464CD" w:rsidR="006B0DCD">
        <w:instrText xml:space="preserve"> REF _Ref106891946 \r \h </w:instrText>
      </w:r>
      <w:r w:rsidRPr="007464CD" w:rsidR="007464CD">
        <w:instrText xml:space="preserve"> \* MERGEFORMAT </w:instrText>
      </w:r>
      <w:r w:rsidRPr="007464CD" w:rsidR="006B0DCD">
        <w:fldChar w:fldCharType="separate"/>
      </w:r>
      <w:r w:rsidR="00646F0F">
        <w:t>12.3.1</w:t>
      </w:r>
      <w:r w:rsidRPr="007464CD" w:rsidR="006B0DCD">
        <w:fldChar w:fldCharType="end"/>
      </w:r>
      <w:r w:rsidRPr="007464CD" w:rsidR="006B0DCD">
        <w:t xml:space="preserve"> </w:t>
      </w:r>
      <w:r w:rsidRPr="007464CD" w:rsidR="00954876">
        <w:t>as</w:t>
      </w:r>
      <w:r w:rsidRPr="007464CD" w:rsidR="006B0DCD">
        <w:t xml:space="preserve"> a one-time </w:t>
      </w:r>
      <w:r w:rsidRPr="007464CD" w:rsidR="00173D09">
        <w:t>activity</w:t>
      </w:r>
      <w:r w:rsidRPr="007464CD" w:rsidR="006B0DCD">
        <w:t xml:space="preserve"> during the period of this ICR and not included in </w:t>
      </w:r>
      <w:r w:rsidRPr="007464CD" w:rsidR="006B0DCD">
        <w:fldChar w:fldCharType="begin"/>
      </w:r>
      <w:r w:rsidRPr="007464CD" w:rsidR="006B0DCD">
        <w:instrText xml:space="preserve"> REF _Ref106891332 \h  \* MERGEFORMAT </w:instrText>
      </w:r>
      <w:r w:rsidRPr="007464CD" w:rsidR="006B0DCD">
        <w:fldChar w:fldCharType="separate"/>
      </w:r>
      <w:r w:rsidRPr="0020098E" w:rsidR="00646F0F">
        <w:t xml:space="preserve">Table </w:t>
      </w:r>
      <w:r w:rsidR="00646F0F">
        <w:rPr>
          <w:noProof/>
        </w:rPr>
        <w:t>6</w:t>
      </w:r>
      <w:r w:rsidRPr="007464CD" w:rsidR="006B0DCD">
        <w:fldChar w:fldCharType="end"/>
      </w:r>
      <w:r w:rsidRPr="007464CD" w:rsidR="006B0DCD">
        <w:t xml:space="preserve">a. The </w:t>
      </w:r>
      <w:r w:rsidR="00743DEF">
        <w:t xml:space="preserve">hours for the </w:t>
      </w:r>
      <w:r w:rsidRPr="007464CD" w:rsidR="006B0DCD">
        <w:t xml:space="preserve">engineering activities are </w:t>
      </w:r>
      <w:r w:rsidR="00743DEF">
        <w:t xml:space="preserve">estimated to be </w:t>
      </w:r>
      <w:r w:rsidRPr="007464CD" w:rsidR="006B0DCD">
        <w:t xml:space="preserve">about 20% of an FTE’s time. Engineering managerial hours have been estimated </w:t>
      </w:r>
      <w:r w:rsidRPr="007464CD" w:rsidR="00826AB8">
        <w:t>as</w:t>
      </w:r>
      <w:r w:rsidRPr="007464CD" w:rsidR="006B0DCD">
        <w:t xml:space="preserve"> 10% of the engineering and IT administrative hours</w:t>
      </w:r>
      <w:r w:rsidRPr="007464CD" w:rsidR="00826AB8">
        <w:t xml:space="preserve"> associated with each activity</w:t>
      </w:r>
      <w:r w:rsidRPr="007464CD" w:rsidR="006B0DCD">
        <w:t>.</w:t>
      </w:r>
      <w:r w:rsidRPr="007464CD" w:rsidR="00954876">
        <w:t xml:space="preserve"> The table includes estimates of O&amp;M adjusted for estimated reductions in labor associated with CAERS </w:t>
      </w:r>
      <w:r w:rsidRPr="007464CD" w:rsidR="009A3E47">
        <w:t>case</w:t>
      </w:r>
      <w:r w:rsidRPr="007464CD" w:rsidR="00954876">
        <w:t>s 3 and 4.</w:t>
      </w:r>
    </w:p>
    <w:p w:rsidR="006B0DCD" w:rsidP="009E08D8" w14:paraId="126B7AD7" w14:textId="77777777"/>
    <w:p w:rsidR="00F149BB" w:rsidP="00C01B44" w14:paraId="0E570693" w14:textId="70E49417">
      <w:pPr>
        <w:pStyle w:val="Caption"/>
      </w:pPr>
      <w:bookmarkStart w:id="18" w:name="_Ref106891332"/>
      <w:r w:rsidRPr="0020098E">
        <w:t xml:space="preserve">Table </w:t>
      </w:r>
      <w:r w:rsidR="00E05ECE">
        <w:fldChar w:fldCharType="begin"/>
      </w:r>
      <w:r w:rsidR="00E05ECE">
        <w:instrText xml:space="preserve"> SEQ Table \* ARABIC </w:instrText>
      </w:r>
      <w:r w:rsidR="00E05ECE">
        <w:fldChar w:fldCharType="separate"/>
      </w:r>
      <w:r w:rsidR="00646F0F">
        <w:rPr>
          <w:noProof/>
        </w:rPr>
        <w:t>6</w:t>
      </w:r>
      <w:r w:rsidR="00E05ECE">
        <w:rPr>
          <w:noProof/>
        </w:rPr>
        <w:fldChar w:fldCharType="end"/>
      </w:r>
      <w:bookmarkEnd w:id="18"/>
      <w:r w:rsidRPr="0020098E">
        <w:t>a:</w:t>
      </w:r>
      <w:r>
        <w:t xml:space="preserve"> </w:t>
      </w:r>
      <w:r w:rsidR="00163A88">
        <w:t>SLT</w:t>
      </w:r>
      <w:r w:rsidRPr="00F149BB">
        <w:t xml:space="preserve"> data system </w:t>
      </w:r>
      <w:r w:rsidR="0028549B">
        <w:t xml:space="preserve">operation and maintenance </w:t>
      </w:r>
      <w:r w:rsidR="00163A88">
        <w:t xml:space="preserve">hours </w:t>
      </w:r>
      <w:r w:rsidRPr="00F149BB">
        <w:t xml:space="preserve">for NEI Collection from </w:t>
      </w:r>
      <w:r w:rsidR="006B0DCD">
        <w:t>owners/operators</w:t>
      </w:r>
    </w:p>
    <w:tbl>
      <w:tblPr>
        <w:tblW w:w="9620" w:type="dxa"/>
        <w:tblLook w:val="04A0"/>
      </w:tblPr>
      <w:tblGrid>
        <w:gridCol w:w="3908"/>
        <w:gridCol w:w="1294"/>
        <w:gridCol w:w="1294"/>
        <w:gridCol w:w="900"/>
        <w:gridCol w:w="719"/>
        <w:gridCol w:w="1505"/>
      </w:tblGrid>
      <w:tr w14:paraId="1EC5584E" w14:textId="0181DBF5" w:rsidTr="00D33F77">
        <w:tblPrEx>
          <w:tblW w:w="9620" w:type="dxa"/>
          <w:tblLook w:val="04A0"/>
        </w:tblPrEx>
        <w:trPr>
          <w:trHeight w:val="300"/>
          <w:tblHeader/>
        </w:trPr>
        <w:tc>
          <w:tcPr>
            <w:tcW w:w="3908" w:type="dxa"/>
            <w:tcBorders>
              <w:top w:val="single" w:sz="8" w:space="0" w:color="000000"/>
              <w:left w:val="single" w:sz="8" w:space="0" w:color="000000"/>
              <w:right w:val="nil"/>
            </w:tcBorders>
            <w:shd w:val="clear" w:color="auto" w:fill="auto"/>
            <w:vAlign w:val="center"/>
            <w:hideMark/>
          </w:tcPr>
          <w:p w:rsidR="00160F71" w:rsidRPr="00EB38B2" w:rsidP="00C01B44" w14:paraId="308669F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szCs w:val="22"/>
              </w:rPr>
            </w:pPr>
            <w:r w:rsidRPr="00EB38B2">
              <w:rPr>
                <w:b/>
                <w:bCs/>
                <w:color w:val="000000"/>
                <w:szCs w:val="22"/>
              </w:rPr>
              <w:t> </w:t>
            </w:r>
          </w:p>
        </w:tc>
        <w:tc>
          <w:tcPr>
            <w:tcW w:w="4207" w:type="dxa"/>
            <w:gridSpan w:val="4"/>
            <w:tcBorders>
              <w:top w:val="single" w:sz="8" w:space="0" w:color="000000"/>
              <w:left w:val="single" w:sz="8" w:space="0" w:color="000000"/>
              <w:bottom w:val="single" w:sz="4" w:space="0" w:color="auto"/>
              <w:right w:val="single" w:sz="8" w:space="0" w:color="000000"/>
            </w:tcBorders>
            <w:shd w:val="clear" w:color="auto" w:fill="auto"/>
            <w:vAlign w:val="center"/>
            <w:hideMark/>
          </w:tcPr>
          <w:p w:rsidR="00160F71" w:rsidRPr="00EB38B2" w:rsidP="00C01B44" w14:paraId="2F9C6B19" w14:textId="2EA76D6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b/>
                <w:bCs/>
                <w:color w:val="000000"/>
                <w:szCs w:val="22"/>
              </w:rPr>
              <w:t xml:space="preserve">      </w:t>
            </w:r>
            <w:r w:rsidRPr="00EB38B2">
              <w:rPr>
                <w:b/>
                <w:bCs/>
                <w:color w:val="000000"/>
                <w:szCs w:val="22"/>
              </w:rPr>
              <w:t>Hours Per Respondent</w:t>
            </w:r>
          </w:p>
        </w:tc>
        <w:tc>
          <w:tcPr>
            <w:tcW w:w="1505" w:type="dxa"/>
            <w:tcBorders>
              <w:top w:val="single" w:sz="8" w:space="0" w:color="000000"/>
              <w:right w:val="single" w:sz="8" w:space="0" w:color="000000"/>
            </w:tcBorders>
          </w:tcPr>
          <w:p w:rsidR="00160F71" w:rsidRPr="00EB38B2" w:rsidP="00C01B44" w14:paraId="6DDFED4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p>
        </w:tc>
      </w:tr>
      <w:tr w14:paraId="17F2BD1D" w14:textId="429E2A70" w:rsidTr="00D33F77">
        <w:tblPrEx>
          <w:tblW w:w="9620" w:type="dxa"/>
          <w:tblLook w:val="04A0"/>
        </w:tblPrEx>
        <w:trPr>
          <w:trHeight w:val="853"/>
          <w:tblHeader/>
        </w:trPr>
        <w:tc>
          <w:tcPr>
            <w:tcW w:w="3908" w:type="dxa"/>
            <w:tcBorders>
              <w:left w:val="single" w:sz="8" w:space="0" w:color="auto"/>
              <w:bottom w:val="single" w:sz="8" w:space="0" w:color="auto"/>
              <w:right w:val="nil"/>
            </w:tcBorders>
            <w:shd w:val="clear" w:color="auto" w:fill="auto"/>
            <w:vAlign w:val="bottom"/>
            <w:hideMark/>
          </w:tcPr>
          <w:p w:rsidR="00160F71" w:rsidRPr="00EB38B2" w:rsidP="00C01B44" w14:paraId="13D960F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szCs w:val="22"/>
              </w:rPr>
            </w:pPr>
            <w:r w:rsidRPr="00EB38B2">
              <w:rPr>
                <w:b/>
                <w:bCs/>
                <w:color w:val="000000"/>
                <w:szCs w:val="22"/>
              </w:rPr>
              <w:t>Activity</w:t>
            </w:r>
          </w:p>
        </w:tc>
        <w:tc>
          <w:tcPr>
            <w:tcW w:w="1294" w:type="dxa"/>
            <w:tcBorders>
              <w:top w:val="single" w:sz="4" w:space="0" w:color="auto"/>
              <w:left w:val="single" w:sz="8" w:space="0" w:color="000000"/>
              <w:bottom w:val="single" w:sz="8" w:space="0" w:color="auto"/>
              <w:right w:val="nil"/>
            </w:tcBorders>
            <w:shd w:val="clear" w:color="auto" w:fill="auto"/>
            <w:vAlign w:val="bottom"/>
            <w:hideMark/>
          </w:tcPr>
          <w:p w:rsidR="00160F71" w:rsidRPr="00EB38B2" w:rsidP="00C01B44" w14:paraId="156A635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Engineering Managerial Hours</w:t>
            </w:r>
          </w:p>
        </w:tc>
        <w:tc>
          <w:tcPr>
            <w:tcW w:w="1294" w:type="dxa"/>
            <w:tcBorders>
              <w:top w:val="single" w:sz="4" w:space="0" w:color="auto"/>
              <w:left w:val="single" w:sz="8" w:space="0" w:color="000000"/>
              <w:bottom w:val="single" w:sz="8" w:space="0" w:color="auto"/>
              <w:right w:val="nil"/>
            </w:tcBorders>
            <w:shd w:val="clear" w:color="auto" w:fill="auto"/>
            <w:vAlign w:val="bottom"/>
            <w:hideMark/>
          </w:tcPr>
          <w:p w:rsidR="00160F71" w:rsidRPr="00EB38B2" w:rsidP="00C01B44" w14:paraId="2D70BDA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Engineering Technical Hours</w:t>
            </w:r>
          </w:p>
        </w:tc>
        <w:tc>
          <w:tcPr>
            <w:tcW w:w="900" w:type="dxa"/>
            <w:tcBorders>
              <w:top w:val="single" w:sz="4" w:space="0" w:color="auto"/>
              <w:left w:val="single" w:sz="8" w:space="0" w:color="000000"/>
              <w:bottom w:val="single" w:sz="8" w:space="0" w:color="auto"/>
              <w:right w:val="nil"/>
            </w:tcBorders>
            <w:shd w:val="clear" w:color="auto" w:fill="auto"/>
            <w:vAlign w:val="bottom"/>
            <w:hideMark/>
          </w:tcPr>
          <w:p w:rsidR="00160F71" w:rsidRPr="00EB38B2" w:rsidP="00C01B44" w14:paraId="592824A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IT Admin Hours</w:t>
            </w:r>
          </w:p>
        </w:tc>
        <w:tc>
          <w:tcPr>
            <w:tcW w:w="719" w:type="dxa"/>
            <w:tcBorders>
              <w:top w:val="single" w:sz="4" w:space="0" w:color="auto"/>
              <w:left w:val="single" w:sz="8" w:space="0" w:color="000000"/>
              <w:bottom w:val="single" w:sz="8" w:space="0" w:color="auto"/>
              <w:right w:val="single" w:sz="8" w:space="0" w:color="000000"/>
            </w:tcBorders>
            <w:shd w:val="clear" w:color="auto" w:fill="auto"/>
            <w:vAlign w:val="bottom"/>
            <w:hideMark/>
          </w:tcPr>
          <w:p w:rsidR="00160F71" w:rsidRPr="00EB38B2" w:rsidP="00C01B44" w14:paraId="7412FFF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Total</w:t>
            </w:r>
          </w:p>
        </w:tc>
        <w:tc>
          <w:tcPr>
            <w:tcW w:w="1505" w:type="dxa"/>
            <w:tcBorders>
              <w:left w:val="single" w:sz="8" w:space="0" w:color="000000"/>
              <w:bottom w:val="single" w:sz="8" w:space="0" w:color="auto"/>
              <w:right w:val="single" w:sz="8" w:space="0" w:color="auto"/>
            </w:tcBorders>
          </w:tcPr>
          <w:p w:rsidR="00954876" w:rsidRPr="00160F71" w:rsidP="00C01B44" w14:paraId="48CEDCE2" w14:textId="27714E9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Applies </w:t>
            </w:r>
            <w:r>
              <w:rPr>
                <w:rFonts w:ascii="Calibri" w:hAnsi="Calibri" w:cs="Calibri"/>
                <w:b/>
                <w:bCs/>
                <w:color w:val="000000"/>
                <w:szCs w:val="22"/>
              </w:rPr>
              <w:t>to</w:t>
            </w:r>
            <w:r>
              <w:rPr>
                <w:rFonts w:ascii="Calibri" w:hAnsi="Calibri" w:cs="Calibri"/>
                <w:b/>
                <w:bCs/>
                <w:color w:val="000000"/>
                <w:szCs w:val="22"/>
              </w:rPr>
              <w:t xml:space="preserve"> CAERS </w:t>
            </w:r>
            <w:r>
              <w:rPr>
                <w:rFonts w:ascii="Calibri" w:hAnsi="Calibri" w:cs="Calibri"/>
                <w:b/>
                <w:bCs/>
                <w:color w:val="000000"/>
                <w:szCs w:val="22"/>
              </w:rPr>
              <w:t>C</w:t>
            </w:r>
            <w:r>
              <w:rPr>
                <w:rFonts w:ascii="Calibri" w:hAnsi="Calibri" w:cs="Calibri"/>
                <w:b/>
                <w:bCs/>
                <w:color w:val="000000"/>
                <w:szCs w:val="22"/>
              </w:rPr>
              <w:t>ase</w:t>
            </w:r>
            <w:r>
              <w:rPr>
                <w:rFonts w:ascii="Calibri" w:hAnsi="Calibri" w:cs="Calibri"/>
                <w:b/>
                <w:bCs/>
                <w:color w:val="000000"/>
                <w:szCs w:val="22"/>
              </w:rPr>
              <w:t>s?</w:t>
            </w:r>
          </w:p>
        </w:tc>
      </w:tr>
      <w:tr w14:paraId="5F5843DC" w14:textId="439E358E" w:rsidTr="00D33F77">
        <w:tblPrEx>
          <w:tblW w:w="9620" w:type="dxa"/>
          <w:tblLook w:val="04A0"/>
        </w:tblPrEx>
        <w:trPr>
          <w:trHeight w:val="475"/>
        </w:trPr>
        <w:tc>
          <w:tcPr>
            <w:tcW w:w="3908" w:type="dxa"/>
            <w:tcBorders>
              <w:top w:val="single" w:sz="8" w:space="0" w:color="auto"/>
              <w:left w:val="single" w:sz="8" w:space="0" w:color="000000"/>
              <w:bottom w:val="nil"/>
              <w:right w:val="nil"/>
            </w:tcBorders>
            <w:shd w:val="clear" w:color="auto" w:fill="auto"/>
            <w:vAlign w:val="center"/>
            <w:hideMark/>
          </w:tcPr>
          <w:p w:rsidR="0099384E" w:rsidRPr="00EB38B2" w:rsidP="0099384E" w14:paraId="1E259AAE" w14:textId="383C2FF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szCs w:val="22"/>
              </w:rPr>
            </w:pPr>
            <w:r w:rsidRPr="00EB38B2">
              <w:rPr>
                <w:color w:val="000000"/>
                <w:szCs w:val="22"/>
              </w:rPr>
              <w:t xml:space="preserve">1. </w:t>
            </w:r>
            <w:r w:rsidRPr="00EB38B2">
              <w:rPr>
                <w:color w:val="000000"/>
                <w:szCs w:val="22"/>
              </w:rPr>
              <w:tab/>
              <w:t>Collection system</w:t>
            </w:r>
            <w:r w:rsidR="0028549B">
              <w:rPr>
                <w:color w:val="000000"/>
                <w:szCs w:val="22"/>
              </w:rPr>
              <w:t xml:space="preserve"> operation &amp; maintenance (O&amp;M)</w:t>
            </w:r>
          </w:p>
        </w:tc>
        <w:tc>
          <w:tcPr>
            <w:tcW w:w="12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84E" w:rsidRPr="00EB38B2" w:rsidP="0099384E" w14:paraId="23ABB8F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112</w:t>
            </w:r>
          </w:p>
        </w:tc>
        <w:tc>
          <w:tcPr>
            <w:tcW w:w="1294" w:type="dxa"/>
            <w:tcBorders>
              <w:top w:val="single" w:sz="8" w:space="0" w:color="auto"/>
              <w:left w:val="nil"/>
              <w:bottom w:val="single" w:sz="8" w:space="0" w:color="000000"/>
              <w:right w:val="single" w:sz="8" w:space="0" w:color="000000"/>
            </w:tcBorders>
            <w:shd w:val="clear" w:color="auto" w:fill="auto"/>
            <w:vAlign w:val="center"/>
            <w:hideMark/>
          </w:tcPr>
          <w:p w:rsidR="0099384E" w:rsidRPr="00EB38B2" w:rsidP="0099384E" w14:paraId="0DE4891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80</w:t>
            </w:r>
          </w:p>
        </w:tc>
        <w:tc>
          <w:tcPr>
            <w:tcW w:w="900" w:type="dxa"/>
            <w:tcBorders>
              <w:top w:val="single" w:sz="8" w:space="0" w:color="auto"/>
              <w:left w:val="nil"/>
              <w:bottom w:val="single" w:sz="8" w:space="0" w:color="000000"/>
              <w:right w:val="single" w:sz="8" w:space="0" w:color="000000"/>
            </w:tcBorders>
            <w:shd w:val="clear" w:color="auto" w:fill="auto"/>
            <w:vAlign w:val="center"/>
            <w:hideMark/>
          </w:tcPr>
          <w:p w:rsidR="0099384E" w:rsidRPr="00EB38B2" w:rsidP="0099384E" w14:paraId="136C26A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1,040</w:t>
            </w:r>
          </w:p>
        </w:tc>
        <w:tc>
          <w:tcPr>
            <w:tcW w:w="719" w:type="dxa"/>
            <w:tcBorders>
              <w:top w:val="single" w:sz="8" w:space="0" w:color="auto"/>
              <w:left w:val="nil"/>
              <w:bottom w:val="single" w:sz="8" w:space="0" w:color="auto"/>
              <w:right w:val="single" w:sz="8" w:space="0" w:color="auto"/>
            </w:tcBorders>
            <w:shd w:val="clear" w:color="auto" w:fill="auto"/>
            <w:noWrap/>
            <w:vAlign w:val="center"/>
            <w:hideMark/>
          </w:tcPr>
          <w:p w:rsidR="0099384E" w:rsidRPr="00EB38B2" w:rsidP="0099384E" w14:paraId="371297D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1,232</w:t>
            </w:r>
          </w:p>
        </w:tc>
        <w:tc>
          <w:tcPr>
            <w:tcW w:w="1505" w:type="dxa"/>
            <w:tcBorders>
              <w:top w:val="single" w:sz="8" w:space="0" w:color="auto"/>
              <w:left w:val="nil"/>
              <w:bottom w:val="single" w:sz="8" w:space="0" w:color="auto"/>
              <w:right w:val="single" w:sz="8" w:space="0" w:color="auto"/>
            </w:tcBorders>
            <w:vAlign w:val="center"/>
          </w:tcPr>
          <w:p w:rsidR="0099384E" w:rsidRPr="00EB38B2" w:rsidP="0099384E" w14:paraId="2779626D" w14:textId="3067ABD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Pr>
                <w:rFonts w:ascii="Calibri" w:hAnsi="Calibri" w:cs="Calibri"/>
                <w:color w:val="000000"/>
                <w:szCs w:val="22"/>
              </w:rPr>
              <w:t xml:space="preserve">case </w:t>
            </w:r>
            <w:r>
              <w:rPr>
                <w:rFonts w:ascii="Calibri" w:hAnsi="Calibri" w:cs="Calibri"/>
                <w:color w:val="000000"/>
                <w:szCs w:val="22"/>
              </w:rPr>
              <w:t>3 @ 80%</w:t>
            </w:r>
          </w:p>
        </w:tc>
      </w:tr>
      <w:tr w14:paraId="13B15EEC" w14:textId="76C1C144" w:rsidTr="00D33F77">
        <w:tblPrEx>
          <w:tblW w:w="9620" w:type="dxa"/>
          <w:tblLook w:val="04A0"/>
        </w:tblPrEx>
        <w:trPr>
          <w:trHeight w:val="864"/>
        </w:trPr>
        <w:tc>
          <w:tcPr>
            <w:tcW w:w="3908" w:type="dxa"/>
            <w:tcBorders>
              <w:top w:val="single" w:sz="8" w:space="0" w:color="000000"/>
              <w:left w:val="single" w:sz="8" w:space="0" w:color="000000"/>
              <w:bottom w:val="single" w:sz="8" w:space="0" w:color="auto"/>
              <w:right w:val="nil"/>
            </w:tcBorders>
            <w:shd w:val="clear" w:color="auto" w:fill="auto"/>
            <w:vAlign w:val="center"/>
            <w:hideMark/>
          </w:tcPr>
          <w:p w:rsidR="0099384E" w:rsidRPr="00EB38B2" w:rsidP="0099384E" w14:paraId="58303B91" w14:textId="6BA0B8E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szCs w:val="22"/>
              </w:rPr>
            </w:pPr>
            <w:r w:rsidRPr="00EB38B2">
              <w:rPr>
                <w:color w:val="000000"/>
                <w:szCs w:val="22"/>
              </w:rPr>
              <w:t xml:space="preserve">2. </w:t>
            </w:r>
            <w:r w:rsidRPr="00EB38B2">
              <w:rPr>
                <w:color w:val="000000"/>
                <w:szCs w:val="22"/>
              </w:rPr>
              <w:tab/>
              <w:t>Update collection system with new codes, emission</w:t>
            </w:r>
            <w:r>
              <w:rPr>
                <w:color w:val="000000"/>
                <w:szCs w:val="22"/>
              </w:rPr>
              <w:t xml:space="preserve"> </w:t>
            </w:r>
            <w:r w:rsidRPr="00EB38B2">
              <w:rPr>
                <w:color w:val="000000"/>
                <w:szCs w:val="22"/>
              </w:rPr>
              <w:t>factors, and other new information for reporting year</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99384E" w:rsidRPr="00EB38B2" w:rsidP="0099384E" w14:paraId="4D6A120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w:t>
            </w:r>
          </w:p>
        </w:tc>
        <w:tc>
          <w:tcPr>
            <w:tcW w:w="1294" w:type="dxa"/>
            <w:tcBorders>
              <w:top w:val="nil"/>
              <w:left w:val="nil"/>
              <w:bottom w:val="single" w:sz="8" w:space="0" w:color="auto"/>
              <w:right w:val="single" w:sz="8" w:space="0" w:color="000000"/>
            </w:tcBorders>
            <w:shd w:val="clear" w:color="auto" w:fill="auto"/>
            <w:vAlign w:val="center"/>
            <w:hideMark/>
          </w:tcPr>
          <w:p w:rsidR="0099384E" w:rsidRPr="00EB38B2" w:rsidP="0099384E" w14:paraId="7943578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40</w:t>
            </w:r>
          </w:p>
        </w:tc>
        <w:tc>
          <w:tcPr>
            <w:tcW w:w="900" w:type="dxa"/>
            <w:tcBorders>
              <w:top w:val="nil"/>
              <w:left w:val="nil"/>
              <w:bottom w:val="single" w:sz="8" w:space="0" w:color="auto"/>
              <w:right w:val="single" w:sz="8" w:space="0" w:color="000000"/>
            </w:tcBorders>
            <w:shd w:val="clear" w:color="auto" w:fill="auto"/>
            <w:vAlign w:val="center"/>
            <w:hideMark/>
          </w:tcPr>
          <w:p w:rsidR="0099384E" w:rsidRPr="00EB38B2" w:rsidP="0099384E" w14:paraId="2782024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80</w:t>
            </w:r>
          </w:p>
        </w:tc>
        <w:tc>
          <w:tcPr>
            <w:tcW w:w="719" w:type="dxa"/>
            <w:tcBorders>
              <w:top w:val="nil"/>
              <w:left w:val="nil"/>
              <w:bottom w:val="single" w:sz="8" w:space="0" w:color="auto"/>
              <w:right w:val="single" w:sz="8" w:space="0" w:color="auto"/>
            </w:tcBorders>
            <w:shd w:val="clear" w:color="auto" w:fill="auto"/>
            <w:noWrap/>
            <w:vAlign w:val="center"/>
            <w:hideMark/>
          </w:tcPr>
          <w:p w:rsidR="0099384E" w:rsidRPr="00EB38B2" w:rsidP="0099384E" w14:paraId="419F349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132</w:t>
            </w:r>
          </w:p>
        </w:tc>
        <w:tc>
          <w:tcPr>
            <w:tcW w:w="1505" w:type="dxa"/>
            <w:tcBorders>
              <w:top w:val="single" w:sz="8" w:space="0" w:color="auto"/>
              <w:left w:val="nil"/>
              <w:bottom w:val="single" w:sz="8" w:space="0" w:color="auto"/>
              <w:right w:val="single" w:sz="8" w:space="0" w:color="auto"/>
            </w:tcBorders>
            <w:vAlign w:val="center"/>
          </w:tcPr>
          <w:p w:rsidR="0099384E" w:rsidRPr="00EB38B2" w:rsidP="0099384E" w14:paraId="02204D76" w14:textId="3E3E6F3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Pr>
                <w:rFonts w:ascii="Calibri" w:hAnsi="Calibri" w:cs="Calibri"/>
                <w:color w:val="000000"/>
                <w:szCs w:val="22"/>
              </w:rPr>
              <w:t xml:space="preserve">case </w:t>
            </w:r>
            <w:r>
              <w:rPr>
                <w:rFonts w:ascii="Calibri" w:hAnsi="Calibri" w:cs="Calibri"/>
                <w:color w:val="000000"/>
                <w:szCs w:val="22"/>
              </w:rPr>
              <w:t>3 @ 80%</w:t>
            </w:r>
          </w:p>
        </w:tc>
      </w:tr>
      <w:tr w14:paraId="30CE2818" w14:textId="2C484FCE" w:rsidTr="00D33F77">
        <w:tblPrEx>
          <w:tblW w:w="9620" w:type="dxa"/>
          <w:tblLook w:val="04A0"/>
        </w:tblPrEx>
        <w:trPr>
          <w:trHeight w:val="576"/>
        </w:trPr>
        <w:tc>
          <w:tcPr>
            <w:tcW w:w="3908" w:type="dxa"/>
            <w:tcBorders>
              <w:top w:val="single" w:sz="8" w:space="0" w:color="auto"/>
              <w:left w:val="single" w:sz="8" w:space="0" w:color="000000"/>
              <w:bottom w:val="nil"/>
              <w:right w:val="nil"/>
            </w:tcBorders>
            <w:shd w:val="clear" w:color="auto" w:fill="auto"/>
            <w:vAlign w:val="center"/>
            <w:hideMark/>
          </w:tcPr>
          <w:p w:rsidR="0099384E" w:rsidRPr="00EB38B2" w:rsidP="0099384E" w14:paraId="169343F3" w14:textId="1EF3549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rPr>
                <w:color w:val="000000"/>
                <w:szCs w:val="22"/>
              </w:rPr>
            </w:pPr>
            <w:r w:rsidRPr="00EB38B2">
              <w:rPr>
                <w:color w:val="000000"/>
                <w:szCs w:val="22"/>
              </w:rPr>
              <w:t xml:space="preserve">3. </w:t>
            </w:r>
            <w:r w:rsidRPr="00EB38B2">
              <w:rPr>
                <w:color w:val="000000"/>
                <w:szCs w:val="22"/>
              </w:rPr>
              <w:tab/>
              <w:t>User support for point source emissions data reporting</w:t>
            </w:r>
          </w:p>
        </w:tc>
        <w:tc>
          <w:tcPr>
            <w:tcW w:w="12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384E" w:rsidRPr="00EB38B2" w:rsidP="0099384E" w14:paraId="2AA28E4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36</w:t>
            </w:r>
          </w:p>
        </w:tc>
        <w:tc>
          <w:tcPr>
            <w:tcW w:w="1294" w:type="dxa"/>
            <w:tcBorders>
              <w:top w:val="single" w:sz="8" w:space="0" w:color="auto"/>
              <w:left w:val="nil"/>
              <w:bottom w:val="single" w:sz="8" w:space="0" w:color="000000"/>
              <w:right w:val="single" w:sz="8" w:space="0" w:color="000000"/>
            </w:tcBorders>
            <w:shd w:val="clear" w:color="auto" w:fill="auto"/>
            <w:vAlign w:val="center"/>
            <w:hideMark/>
          </w:tcPr>
          <w:p w:rsidR="0099384E" w:rsidRPr="00EB38B2" w:rsidP="0099384E" w14:paraId="393A15B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320</w:t>
            </w:r>
          </w:p>
        </w:tc>
        <w:tc>
          <w:tcPr>
            <w:tcW w:w="900" w:type="dxa"/>
            <w:tcBorders>
              <w:top w:val="single" w:sz="8" w:space="0" w:color="auto"/>
              <w:left w:val="nil"/>
              <w:bottom w:val="single" w:sz="8" w:space="0" w:color="000000"/>
              <w:right w:val="single" w:sz="8" w:space="0" w:color="000000"/>
            </w:tcBorders>
            <w:shd w:val="clear" w:color="auto" w:fill="auto"/>
            <w:vAlign w:val="center"/>
            <w:hideMark/>
          </w:tcPr>
          <w:p w:rsidR="0099384E" w:rsidRPr="00EB38B2" w:rsidP="0099384E" w14:paraId="045EC22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40</w:t>
            </w:r>
          </w:p>
        </w:tc>
        <w:tc>
          <w:tcPr>
            <w:tcW w:w="719" w:type="dxa"/>
            <w:tcBorders>
              <w:top w:val="single" w:sz="8" w:space="0" w:color="auto"/>
              <w:left w:val="nil"/>
              <w:bottom w:val="single" w:sz="8" w:space="0" w:color="auto"/>
              <w:right w:val="single" w:sz="8" w:space="0" w:color="auto"/>
            </w:tcBorders>
            <w:shd w:val="clear" w:color="auto" w:fill="auto"/>
            <w:noWrap/>
            <w:vAlign w:val="center"/>
            <w:hideMark/>
          </w:tcPr>
          <w:p w:rsidR="0099384E" w:rsidRPr="00EB38B2" w:rsidP="0099384E" w14:paraId="424A208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396</w:t>
            </w:r>
          </w:p>
        </w:tc>
        <w:tc>
          <w:tcPr>
            <w:tcW w:w="1505" w:type="dxa"/>
            <w:tcBorders>
              <w:top w:val="single" w:sz="8" w:space="0" w:color="auto"/>
              <w:left w:val="nil"/>
              <w:bottom w:val="single" w:sz="8" w:space="0" w:color="auto"/>
              <w:right w:val="single" w:sz="8" w:space="0" w:color="auto"/>
            </w:tcBorders>
            <w:vAlign w:val="bottom"/>
          </w:tcPr>
          <w:p w:rsidR="0099384E" w:rsidRPr="00EB38B2" w:rsidP="0099384E" w14:paraId="6D2A648F" w14:textId="6FD953F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Pr>
                <w:rFonts w:ascii="Calibri" w:hAnsi="Calibri" w:cs="Calibri"/>
                <w:color w:val="000000"/>
                <w:szCs w:val="22"/>
              </w:rPr>
              <w:t xml:space="preserve">case </w:t>
            </w:r>
            <w:r>
              <w:rPr>
                <w:rFonts w:ascii="Calibri" w:hAnsi="Calibri" w:cs="Calibri"/>
                <w:color w:val="000000"/>
                <w:szCs w:val="22"/>
              </w:rPr>
              <w:t xml:space="preserve">3 @ 50%, </w:t>
            </w:r>
            <w:r>
              <w:rPr>
                <w:rFonts w:ascii="Calibri" w:hAnsi="Calibri" w:cs="Calibri"/>
                <w:color w:val="000000"/>
                <w:szCs w:val="22"/>
              </w:rPr>
              <w:t xml:space="preserve">case </w:t>
            </w:r>
            <w:r>
              <w:rPr>
                <w:rFonts w:ascii="Calibri" w:hAnsi="Calibri" w:cs="Calibri"/>
                <w:color w:val="000000"/>
                <w:szCs w:val="22"/>
              </w:rPr>
              <w:t>4 @ 50%</w:t>
            </w:r>
          </w:p>
        </w:tc>
      </w:tr>
      <w:tr w14:paraId="29E41547" w14:textId="77777777" w:rsidTr="00142882">
        <w:tblPrEx>
          <w:tblW w:w="9620" w:type="dxa"/>
          <w:tblLook w:val="04A0"/>
        </w:tblPrEx>
        <w:trPr>
          <w:trHeight w:val="432"/>
        </w:trPr>
        <w:tc>
          <w:tcPr>
            <w:tcW w:w="3908" w:type="dxa"/>
            <w:tcBorders>
              <w:top w:val="single" w:sz="8" w:space="0" w:color="000000"/>
              <w:left w:val="single" w:sz="8" w:space="0" w:color="000000"/>
              <w:bottom w:val="nil"/>
              <w:right w:val="nil"/>
            </w:tcBorders>
            <w:shd w:val="clear" w:color="auto" w:fill="auto"/>
            <w:vAlign w:val="center"/>
          </w:tcPr>
          <w:p w:rsidR="0099384E" w:rsidRPr="00EB38B2" w:rsidP="0099384E" w14:paraId="66F435D6" w14:textId="2FD9B20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hanging="237"/>
              <w:jc w:val="right"/>
              <w:rPr>
                <w:color w:val="000000"/>
                <w:szCs w:val="22"/>
              </w:rPr>
            </w:pPr>
            <w:r>
              <w:rPr>
                <w:rFonts w:ascii="Calibri" w:hAnsi="Calibri" w:cs="Calibri"/>
                <w:b/>
                <w:bCs/>
                <w:color w:val="000000"/>
                <w:szCs w:val="22"/>
              </w:rPr>
              <w:t xml:space="preserve">Subtotal for </w:t>
            </w:r>
            <w:r w:rsidR="0028549B">
              <w:rPr>
                <w:rFonts w:ascii="Calibri" w:hAnsi="Calibri" w:cs="Calibri"/>
                <w:b/>
                <w:bCs/>
                <w:color w:val="000000"/>
                <w:szCs w:val="22"/>
              </w:rPr>
              <w:t xml:space="preserve">System O&amp;M </w:t>
            </w:r>
            <w:r>
              <w:rPr>
                <w:rFonts w:ascii="Calibri" w:hAnsi="Calibri" w:cs="Calibri"/>
                <w:b/>
                <w:bCs/>
                <w:color w:val="000000"/>
                <w:szCs w:val="22"/>
              </w:rPr>
              <w:t xml:space="preserve">EIS and </w:t>
            </w:r>
            <w:r w:rsidR="0028549B">
              <w:rPr>
                <w:rFonts w:ascii="Calibri" w:hAnsi="Calibri" w:cs="Calibri"/>
                <w:b/>
                <w:bCs/>
                <w:color w:val="000000"/>
                <w:szCs w:val="22"/>
              </w:rPr>
              <w:br/>
            </w:r>
            <w:r>
              <w:rPr>
                <w:rFonts w:ascii="Calibri" w:hAnsi="Calibri" w:cs="Calibri"/>
                <w:b/>
                <w:bCs/>
                <w:color w:val="000000"/>
                <w:szCs w:val="22"/>
              </w:rPr>
              <w:t>Case 1 &amp; 2</w:t>
            </w:r>
          </w:p>
        </w:tc>
        <w:tc>
          <w:tcPr>
            <w:tcW w:w="1294" w:type="dxa"/>
            <w:tcBorders>
              <w:top w:val="nil"/>
              <w:left w:val="single" w:sz="8" w:space="0" w:color="auto"/>
              <w:bottom w:val="single" w:sz="8" w:space="0" w:color="auto"/>
              <w:right w:val="single" w:sz="8" w:space="0" w:color="auto"/>
            </w:tcBorders>
            <w:shd w:val="clear" w:color="auto" w:fill="auto"/>
            <w:noWrap/>
            <w:vAlign w:val="center"/>
          </w:tcPr>
          <w:p w:rsidR="0099384E" w:rsidRPr="00954876" w:rsidP="0099384E" w14:paraId="41C232BA" w14:textId="58DC846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160</w:t>
            </w:r>
          </w:p>
        </w:tc>
        <w:tc>
          <w:tcPr>
            <w:tcW w:w="1294" w:type="dxa"/>
            <w:tcBorders>
              <w:top w:val="nil"/>
              <w:left w:val="nil"/>
              <w:bottom w:val="single" w:sz="8" w:space="0" w:color="000000"/>
              <w:right w:val="single" w:sz="8" w:space="0" w:color="000000"/>
            </w:tcBorders>
            <w:shd w:val="clear" w:color="auto" w:fill="auto"/>
            <w:vAlign w:val="center"/>
          </w:tcPr>
          <w:p w:rsidR="0099384E" w:rsidRPr="00954876" w:rsidP="0099384E" w14:paraId="5220D732" w14:textId="1ECF73E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440</w:t>
            </w:r>
          </w:p>
        </w:tc>
        <w:tc>
          <w:tcPr>
            <w:tcW w:w="900" w:type="dxa"/>
            <w:tcBorders>
              <w:top w:val="nil"/>
              <w:left w:val="nil"/>
              <w:bottom w:val="single" w:sz="8" w:space="0" w:color="000000"/>
              <w:right w:val="single" w:sz="8" w:space="0" w:color="000000"/>
            </w:tcBorders>
            <w:shd w:val="clear" w:color="auto" w:fill="auto"/>
            <w:vAlign w:val="center"/>
          </w:tcPr>
          <w:p w:rsidR="0099384E" w:rsidRPr="00954876" w:rsidP="0099384E" w14:paraId="50EC79E5" w14:textId="179F1A2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1,160</w:t>
            </w:r>
          </w:p>
        </w:tc>
        <w:tc>
          <w:tcPr>
            <w:tcW w:w="719" w:type="dxa"/>
            <w:tcBorders>
              <w:top w:val="nil"/>
              <w:left w:val="nil"/>
              <w:bottom w:val="single" w:sz="8" w:space="0" w:color="auto"/>
              <w:right w:val="single" w:sz="8" w:space="0" w:color="auto"/>
            </w:tcBorders>
            <w:shd w:val="clear" w:color="auto" w:fill="auto"/>
            <w:noWrap/>
            <w:vAlign w:val="center"/>
          </w:tcPr>
          <w:p w:rsidR="0099384E" w:rsidRPr="00954876" w:rsidP="0099384E" w14:paraId="1B0D3324" w14:textId="4DBAEF7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1,760</w:t>
            </w:r>
          </w:p>
        </w:tc>
        <w:tc>
          <w:tcPr>
            <w:tcW w:w="1505" w:type="dxa"/>
            <w:tcBorders>
              <w:top w:val="nil"/>
              <w:left w:val="nil"/>
              <w:bottom w:val="single" w:sz="8" w:space="0" w:color="auto"/>
              <w:right w:val="single" w:sz="8" w:space="0" w:color="auto"/>
            </w:tcBorders>
            <w:vAlign w:val="center"/>
          </w:tcPr>
          <w:p w:rsidR="0099384E" w:rsidP="00142882" w14:paraId="646FA399" w14:textId="00C45CE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b/>
                <w:bCs/>
                <w:color w:val="000000"/>
                <w:szCs w:val="22"/>
              </w:rPr>
              <w:t xml:space="preserve">Hours </w:t>
            </w:r>
            <w:r w:rsidRPr="00EB38B2">
              <w:rPr>
                <w:b/>
                <w:bCs/>
                <w:color w:val="000000"/>
                <w:szCs w:val="22"/>
              </w:rPr>
              <w:t>Reduction</w:t>
            </w:r>
          </w:p>
        </w:tc>
      </w:tr>
      <w:tr w14:paraId="15AE9080" w14:textId="0E60A0D0" w:rsidTr="00D33F77">
        <w:tblPrEx>
          <w:tblW w:w="9620" w:type="dxa"/>
          <w:tblLook w:val="04A0"/>
        </w:tblPrEx>
        <w:trPr>
          <w:trHeight w:val="432"/>
        </w:trPr>
        <w:tc>
          <w:tcPr>
            <w:tcW w:w="3908" w:type="dxa"/>
            <w:tcBorders>
              <w:top w:val="single" w:sz="8" w:space="0" w:color="000000"/>
              <w:left w:val="single" w:sz="8" w:space="0" w:color="000000"/>
              <w:bottom w:val="nil"/>
              <w:right w:val="nil"/>
            </w:tcBorders>
            <w:shd w:val="clear" w:color="auto" w:fill="auto"/>
            <w:vAlign w:val="center"/>
            <w:hideMark/>
          </w:tcPr>
          <w:p w:rsidR="00D33F77" w:rsidRPr="00EB38B2" w:rsidP="00D33F77" w14:paraId="6FE4E6C6" w14:textId="0E3C813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jc w:val="right"/>
              <w:rPr>
                <w:b/>
                <w:bCs/>
                <w:color w:val="000000"/>
                <w:szCs w:val="22"/>
              </w:rPr>
            </w:pPr>
            <w:r>
              <w:rPr>
                <w:rFonts w:ascii="Calibri" w:hAnsi="Calibri" w:cs="Calibri"/>
                <w:b/>
                <w:bCs/>
                <w:color w:val="000000"/>
                <w:szCs w:val="22"/>
              </w:rPr>
              <w:t xml:space="preserve">Subtotal for System O&amp;M with </w:t>
            </w:r>
            <w:r>
              <w:rPr>
                <w:rFonts w:ascii="Calibri" w:hAnsi="Calibri" w:cs="Calibri"/>
                <w:b/>
                <w:bCs/>
                <w:color w:val="000000"/>
                <w:szCs w:val="22"/>
              </w:rPr>
              <w:br/>
              <w:t>CAERS Case 3</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D33F77" w:rsidRPr="00954876" w:rsidP="00D33F77" w14:paraId="3B7633C4" w14:textId="6C6BC4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117</w:t>
            </w:r>
          </w:p>
        </w:tc>
        <w:tc>
          <w:tcPr>
            <w:tcW w:w="1294"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40ACA72B" w14:textId="03D96A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256</w:t>
            </w:r>
          </w:p>
        </w:tc>
        <w:tc>
          <w:tcPr>
            <w:tcW w:w="900"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3A95E29B" w14:textId="269F646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916</w:t>
            </w:r>
          </w:p>
        </w:tc>
        <w:tc>
          <w:tcPr>
            <w:tcW w:w="719"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232320D0" w14:textId="64CAFB7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1,289</w:t>
            </w:r>
          </w:p>
        </w:tc>
        <w:tc>
          <w:tcPr>
            <w:tcW w:w="1505" w:type="dxa"/>
            <w:tcBorders>
              <w:top w:val="nil"/>
              <w:left w:val="nil"/>
              <w:bottom w:val="single" w:sz="8" w:space="0" w:color="auto"/>
              <w:right w:val="single" w:sz="8" w:space="0" w:color="auto"/>
            </w:tcBorders>
            <w:vAlign w:val="center"/>
          </w:tcPr>
          <w:p w:rsidR="00D33F77" w:rsidRPr="00B729AA" w:rsidP="00D33F77" w14:paraId="2C05FD8B" w14:textId="5002230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rFonts w:ascii="Calibri" w:hAnsi="Calibri" w:cs="Calibri"/>
                <w:b/>
                <w:bCs/>
                <w:color w:val="000000"/>
                <w:szCs w:val="22"/>
              </w:rPr>
              <w:t>27%</w:t>
            </w:r>
          </w:p>
        </w:tc>
      </w:tr>
      <w:tr w14:paraId="0F2A7437" w14:textId="7CDC76E3" w:rsidTr="00D33F77">
        <w:tblPrEx>
          <w:tblW w:w="9620" w:type="dxa"/>
          <w:tblLook w:val="04A0"/>
        </w:tblPrEx>
        <w:trPr>
          <w:trHeight w:val="432"/>
        </w:trPr>
        <w:tc>
          <w:tcPr>
            <w:tcW w:w="3908" w:type="dxa"/>
            <w:tcBorders>
              <w:top w:val="single" w:sz="8" w:space="0" w:color="000000"/>
              <w:left w:val="single" w:sz="8" w:space="0" w:color="000000"/>
              <w:bottom w:val="single" w:sz="8" w:space="0" w:color="auto"/>
              <w:right w:val="nil"/>
            </w:tcBorders>
            <w:shd w:val="clear" w:color="auto" w:fill="auto"/>
            <w:vAlign w:val="center"/>
            <w:hideMark/>
          </w:tcPr>
          <w:p w:rsidR="00D33F77" w:rsidRPr="00B729AA" w:rsidP="00D33F77" w14:paraId="64EA362B" w14:textId="78BF2A0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37"/>
              <w:jc w:val="right"/>
              <w:rPr>
                <w:b/>
                <w:bCs/>
                <w:color w:val="000000"/>
                <w:szCs w:val="22"/>
              </w:rPr>
            </w:pPr>
            <w:r>
              <w:rPr>
                <w:rFonts w:ascii="Calibri" w:hAnsi="Calibri" w:cs="Calibri"/>
                <w:b/>
                <w:bCs/>
                <w:color w:val="000000"/>
                <w:szCs w:val="22"/>
              </w:rPr>
              <w:t xml:space="preserve">Subtotal for System with </w:t>
            </w:r>
            <w:r>
              <w:rPr>
                <w:rFonts w:ascii="Calibri" w:hAnsi="Calibri" w:cs="Calibri"/>
                <w:b/>
                <w:bCs/>
                <w:color w:val="000000"/>
                <w:szCs w:val="22"/>
              </w:rPr>
              <w:br/>
              <w:t>CAERS Case 4</w:t>
            </w:r>
          </w:p>
        </w:tc>
        <w:tc>
          <w:tcPr>
            <w:tcW w:w="1294" w:type="dxa"/>
            <w:tcBorders>
              <w:top w:val="nil"/>
              <w:left w:val="single" w:sz="8" w:space="0" w:color="auto"/>
              <w:bottom w:val="single" w:sz="8" w:space="0" w:color="auto"/>
              <w:right w:val="single" w:sz="8" w:space="0" w:color="auto"/>
            </w:tcBorders>
            <w:shd w:val="clear" w:color="auto" w:fill="auto"/>
            <w:noWrap/>
            <w:vAlign w:val="center"/>
            <w:hideMark/>
          </w:tcPr>
          <w:p w:rsidR="00D33F77" w:rsidRPr="00954876" w:rsidP="00D33F77" w14:paraId="082D0E41" w14:textId="3FFF80F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18</w:t>
            </w:r>
          </w:p>
        </w:tc>
        <w:tc>
          <w:tcPr>
            <w:tcW w:w="1294"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4388860A" w14:textId="68CFD59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160</w:t>
            </w:r>
          </w:p>
        </w:tc>
        <w:tc>
          <w:tcPr>
            <w:tcW w:w="900"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678B10D6" w14:textId="63ACB54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20</w:t>
            </w:r>
          </w:p>
        </w:tc>
        <w:tc>
          <w:tcPr>
            <w:tcW w:w="719" w:type="dxa"/>
            <w:tcBorders>
              <w:top w:val="nil"/>
              <w:left w:val="nil"/>
              <w:bottom w:val="single" w:sz="8" w:space="0" w:color="auto"/>
              <w:right w:val="single" w:sz="8" w:space="0" w:color="auto"/>
            </w:tcBorders>
            <w:shd w:val="clear" w:color="auto" w:fill="auto"/>
            <w:noWrap/>
            <w:vAlign w:val="center"/>
            <w:hideMark/>
          </w:tcPr>
          <w:p w:rsidR="00D33F77" w:rsidRPr="00954876" w:rsidP="00D33F77" w14:paraId="5D11CE76" w14:textId="4441DBC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954876">
              <w:rPr>
                <w:rFonts w:ascii="Calibri" w:hAnsi="Calibri" w:cs="Calibri"/>
                <w:b/>
                <w:bCs/>
                <w:color w:val="000000"/>
                <w:szCs w:val="22"/>
              </w:rPr>
              <w:t>198</w:t>
            </w:r>
          </w:p>
        </w:tc>
        <w:tc>
          <w:tcPr>
            <w:tcW w:w="1505" w:type="dxa"/>
            <w:tcBorders>
              <w:top w:val="nil"/>
              <w:left w:val="nil"/>
              <w:bottom w:val="single" w:sz="8" w:space="0" w:color="auto"/>
              <w:right w:val="single" w:sz="8" w:space="0" w:color="auto"/>
            </w:tcBorders>
            <w:vAlign w:val="center"/>
          </w:tcPr>
          <w:p w:rsidR="00D33F77" w:rsidRPr="00B729AA" w:rsidP="00D33F77" w14:paraId="30C9E7EA" w14:textId="4A21F33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rFonts w:ascii="Calibri" w:hAnsi="Calibri" w:cs="Calibri"/>
                <w:b/>
                <w:bCs/>
                <w:color w:val="000000"/>
                <w:szCs w:val="22"/>
              </w:rPr>
              <w:t>89%</w:t>
            </w:r>
          </w:p>
        </w:tc>
      </w:tr>
    </w:tbl>
    <w:p w:rsidR="001F1A7C" w:rsidRPr="00B729AA" w:rsidP="009E08D8" w14:paraId="3D162678" w14:textId="2242B728">
      <w:pPr>
        <w:rPr>
          <w:b/>
          <w:bCs/>
        </w:rPr>
      </w:pPr>
    </w:p>
    <w:p w:rsidR="004F1B8A" w:rsidP="0093260C" w14:paraId="7D71BB06" w14:textId="4549DE84">
      <w:r>
        <w:t xml:space="preserve">For states that choose CAERS </w:t>
      </w:r>
      <w:r w:rsidR="009A3E47">
        <w:t>case</w:t>
      </w:r>
      <w:r>
        <w:t xml:space="preserve"> 3, EPA estimates that the burden of activities 1 and 2 are reduced by about 20% because the state would no longer need to maintain the public-facing user interface for their collection system. Activities 1 and 2 are eliminated for CAERS </w:t>
      </w:r>
      <w:r w:rsidR="009A3E47">
        <w:t>case</w:t>
      </w:r>
      <w:r>
        <w:t xml:space="preserve"> 4. In both CAERS </w:t>
      </w:r>
      <w:r w:rsidR="009A3E47">
        <w:t>case</w:t>
      </w:r>
      <w:r>
        <w:t xml:space="preserve">s 3 and 4, </w:t>
      </w:r>
      <w:r w:rsidR="00204E7E">
        <w:t>EPA</w:t>
      </w:r>
      <w:r>
        <w:t xml:space="preserve"> also assumes that user support is reduced by 50% based on the streamlined processes put in place. </w:t>
      </w:r>
      <w:r w:rsidR="00EA09BB">
        <w:t>The user support reduction</w:t>
      </w:r>
      <w:r>
        <w:t xml:space="preserve"> would be average</w:t>
      </w:r>
      <w:r w:rsidR="003B664F">
        <w:t>d</w:t>
      </w:r>
      <w:r>
        <w:t xml:space="preserve"> over the course of the 3-year period and </w:t>
      </w:r>
      <w:r w:rsidR="00EA09BB">
        <w:t>would not be realized until the second and third years of CAERS implementation.</w:t>
      </w:r>
      <w:r w:rsidR="0078465E">
        <w:t xml:space="preserve"> </w:t>
      </w:r>
      <w:r>
        <w:t xml:space="preserve">Further, EPA has attempted to include only those hours associated with the sources and pollutants that EPA requires to be collected for </w:t>
      </w:r>
      <w:r>
        <w:t xml:space="preserve">reporting under the AERR (see also </w:t>
      </w:r>
      <w:r w:rsidRPr="007464CD">
        <w:t xml:space="preserve">explanation provided in Section </w:t>
      </w:r>
      <w:r w:rsidRPr="007464CD">
        <w:fldChar w:fldCharType="begin"/>
      </w:r>
      <w:r w:rsidRPr="007464CD">
        <w:instrText xml:space="preserve"> REF _Ref106892581 \r \h  \* MERGEFORMAT </w:instrText>
      </w:r>
      <w:r w:rsidRPr="007464CD">
        <w:fldChar w:fldCharType="separate"/>
      </w:r>
      <w:r w:rsidR="00646F0F">
        <w:t>12.3</w:t>
      </w:r>
      <w:r w:rsidRPr="007464CD">
        <w:fldChar w:fldCharType="end"/>
      </w:r>
      <w:r w:rsidRPr="007464CD">
        <w:t xml:space="preserve">, </w:t>
      </w:r>
      <w:r w:rsidRPr="007464CD">
        <w:fldChar w:fldCharType="begin"/>
      </w:r>
      <w:r w:rsidRPr="007464CD">
        <w:instrText xml:space="preserve"> REF _Ref106373855 \h  \* MERGEFORMAT </w:instrText>
      </w:r>
      <w:r w:rsidRPr="007464CD">
        <w:fldChar w:fldCharType="separate"/>
      </w:r>
      <w:r w:rsidRPr="0020098E" w:rsidR="00646F0F">
        <w:t xml:space="preserve">Table </w:t>
      </w:r>
      <w:r w:rsidR="00646F0F">
        <w:rPr>
          <w:noProof/>
        </w:rPr>
        <w:t>2</w:t>
      </w:r>
      <w:r w:rsidRPr="007464CD">
        <w:fldChar w:fldCharType="end"/>
      </w:r>
      <w:r w:rsidRPr="007464CD">
        <w:t>). In other words</w:t>
      </w:r>
      <w:r>
        <w:t>, if SLTs incur additional burden (</w:t>
      </w:r>
      <w:r w:rsidRPr="008E5C9F">
        <w:rPr>
          <w:i/>
        </w:rPr>
        <w:t>e.g.</w:t>
      </w:r>
      <w:r>
        <w:t xml:space="preserve">, more help desk requests) associated with collecting emissions data from facilities that the SLT chooses to collect, this ICR does not cover that burden. Based on this information, EPA estimates that the overall estimated O&amp;M burden reduction for </w:t>
      </w:r>
      <w:r w:rsidR="00264111">
        <w:t xml:space="preserve">SLTs, on </w:t>
      </w:r>
      <w:r w:rsidR="00A66AA4">
        <w:t xml:space="preserve">average, would be a 27% reduction for </w:t>
      </w:r>
      <w:r>
        <w:t xml:space="preserve">CAERS case 3 and </w:t>
      </w:r>
      <w:r w:rsidR="00A66AA4">
        <w:t>a</w:t>
      </w:r>
      <w:r w:rsidR="004B61B9">
        <w:t>n</w:t>
      </w:r>
      <w:r w:rsidR="00A66AA4">
        <w:t xml:space="preserve"> 89% reduction for  case </w:t>
      </w:r>
      <w:r>
        <w:t>4.</w:t>
      </w:r>
    </w:p>
    <w:p w:rsidR="00163A88" w:rsidP="0093260C" w14:paraId="6575AE3E" w14:textId="6EAA6B38"/>
    <w:p w:rsidR="0093260C" w:rsidRPr="007464CD" w:rsidP="009E08D8" w14:paraId="0402BEAC" w14:textId="155CCA88">
      <w:r w:rsidRPr="007464CD">
        <w:t xml:space="preserve">EPA recognizes that many SLTs subcontract their point source emissions collection systems to a third party; however, the cost approach taken in later sections uses the hours estimates assumed in </w:t>
      </w:r>
      <w:r w:rsidRPr="007464CD" w:rsidR="00B965FD">
        <w:t xml:space="preserve">Table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a as the basis for data system costs. This will be further addressed </w:t>
      </w:r>
      <w:r w:rsidRPr="007464CD" w:rsidR="00DE478D">
        <w:t>in</w:t>
      </w:r>
      <w:r w:rsidRPr="007464CD" w:rsidR="00BA697D">
        <w:t xml:space="preserve"> </w:t>
      </w:r>
      <w:r w:rsidRPr="007464CD" w:rsidR="00BA697D">
        <w:fldChar w:fldCharType="begin"/>
      </w:r>
      <w:r w:rsidRPr="007464CD" w:rsidR="00BA697D">
        <w:instrText xml:space="preserve"> REF _Ref107481236 \h  \* MERGEFORMAT </w:instrText>
      </w:r>
      <w:r w:rsidRPr="007464CD" w:rsidR="00BA697D">
        <w:fldChar w:fldCharType="separate"/>
      </w:r>
      <w:r w:rsidRPr="0020098E" w:rsidR="00646F0F">
        <w:t xml:space="preserve">Table </w:t>
      </w:r>
      <w:r w:rsidR="00646F0F">
        <w:rPr>
          <w:noProof/>
        </w:rPr>
        <w:t>8</w:t>
      </w:r>
      <w:r w:rsidRPr="007464CD" w:rsidR="00BA697D">
        <w:fldChar w:fldCharType="end"/>
      </w:r>
      <w:r w:rsidRPr="007464CD" w:rsidR="00AF5BFF">
        <w:t>b</w:t>
      </w:r>
      <w:r w:rsidRPr="007464CD" w:rsidR="00BA697D">
        <w:t xml:space="preserve"> </w:t>
      </w:r>
      <w:r w:rsidRPr="007464CD" w:rsidR="00E13E51">
        <w:t>later in this section</w:t>
      </w:r>
      <w:r w:rsidRPr="007464CD">
        <w:t xml:space="preserve">. </w:t>
      </w:r>
    </w:p>
    <w:p w:rsidR="00163A88" w:rsidP="009E08D8" w14:paraId="168A140D" w14:textId="77777777"/>
    <w:p w:rsidR="0078465E" w:rsidP="00CF71A4" w14:paraId="5B7F6E31" w14:textId="306A156B">
      <w:pPr>
        <w:keepNext/>
        <w:rPr>
          <w:i/>
          <w:iCs/>
          <w:u w:val="single"/>
        </w:rPr>
      </w:pPr>
      <w:r>
        <w:rPr>
          <w:i/>
          <w:iCs/>
          <w:u w:val="single"/>
        </w:rPr>
        <w:t>Annual and Triennial Point Source Reporting</w:t>
      </w:r>
    </w:p>
    <w:p w:rsidR="0046622D" w:rsidP="009E08D8" w14:paraId="74FD3817" w14:textId="30CC7687">
      <w:r>
        <w:t>In addition</w:t>
      </w:r>
      <w:r w:rsidR="00163A88">
        <w:t xml:space="preserve"> to</w:t>
      </w:r>
      <w:r w:rsidR="006A099E">
        <w:t xml:space="preserve"> the point source</w:t>
      </w:r>
      <w:r w:rsidR="00163A88">
        <w:t xml:space="preserve"> data system </w:t>
      </w:r>
      <w:r w:rsidR="006A099E">
        <w:t>activities</w:t>
      </w:r>
      <w:r>
        <w:t xml:space="preserve">, </w:t>
      </w:r>
      <w:r w:rsidRPr="00B965FD" w:rsidR="006A099E">
        <w:fldChar w:fldCharType="begin"/>
      </w:r>
      <w:r w:rsidRPr="00B965FD" w:rsidR="006A099E">
        <w:instrText xml:space="preserve"> REF _Ref106891332 \h  \* MERGEFORMAT </w:instrText>
      </w:r>
      <w:r w:rsidRPr="00B965FD" w:rsidR="006A099E">
        <w:fldChar w:fldCharType="separate"/>
      </w:r>
      <w:r w:rsidRPr="0020098E" w:rsidR="00646F0F">
        <w:t xml:space="preserve">Table </w:t>
      </w:r>
      <w:r w:rsidR="00646F0F">
        <w:rPr>
          <w:noProof/>
        </w:rPr>
        <w:t>6</w:t>
      </w:r>
      <w:r w:rsidRPr="00B965FD" w:rsidR="006A099E">
        <w:fldChar w:fldCharType="end"/>
      </w:r>
      <w:r w:rsidRPr="00B965FD" w:rsidR="006A099E">
        <w:t>b</w:t>
      </w:r>
      <w:r w:rsidR="006A099E">
        <w:t xml:space="preserve"> </w:t>
      </w:r>
      <w:r>
        <w:t>provides</w:t>
      </w:r>
      <w:r w:rsidR="0012524C">
        <w:t xml:space="preserve"> the average hour burden estimates </w:t>
      </w:r>
      <w:r>
        <w:t xml:space="preserve">for an SLT to perform </w:t>
      </w:r>
      <w:r w:rsidR="0012524C">
        <w:t>point source reporting</w:t>
      </w:r>
      <w:r>
        <w:t xml:space="preserve"> for the proposed AERR during the period of the ICR</w:t>
      </w:r>
      <w:r w:rsidR="0012524C">
        <w:t>.</w:t>
      </w:r>
      <w:r w:rsidR="0078465E">
        <w:t xml:space="preserve"> </w:t>
      </w:r>
      <w:r>
        <w:t xml:space="preserve">The </w:t>
      </w:r>
      <w:r w:rsidR="00173D09">
        <w:t xml:space="preserve">activities </w:t>
      </w:r>
      <w:r>
        <w:t xml:space="preserve">listed in this table match with those point source </w:t>
      </w:r>
      <w:r w:rsidR="00173D09">
        <w:t>activities</w:t>
      </w:r>
      <w:r>
        <w:t xml:space="preserve"> described in Sections </w:t>
      </w:r>
      <w:r>
        <w:fldChar w:fldCharType="begin"/>
      </w:r>
      <w:r>
        <w:instrText xml:space="preserve"> REF _Ref106896318 \r \h </w:instrText>
      </w:r>
      <w:r>
        <w:fldChar w:fldCharType="separate"/>
      </w:r>
      <w:r w:rsidR="00646F0F">
        <w:t>12.3.2</w:t>
      </w:r>
      <w:r>
        <w:fldChar w:fldCharType="end"/>
      </w:r>
      <w:r>
        <w:t xml:space="preserve"> and </w:t>
      </w:r>
      <w:r>
        <w:fldChar w:fldCharType="begin"/>
      </w:r>
      <w:r>
        <w:instrText xml:space="preserve"> REF _Ref106896333 \r \h </w:instrText>
      </w:r>
      <w:r>
        <w:fldChar w:fldCharType="separate"/>
      </w:r>
      <w:r w:rsidR="00646F0F">
        <w:t>12.3.3</w:t>
      </w:r>
      <w:r>
        <w:fldChar w:fldCharType="end"/>
      </w:r>
      <w:r>
        <w:t xml:space="preserve"> above.</w:t>
      </w:r>
    </w:p>
    <w:p w:rsidR="0046622D" w:rsidP="009E08D8" w14:paraId="762DC1E6" w14:textId="77777777"/>
    <w:p w:rsidR="0093260C" w:rsidP="009E08D8" w14:paraId="64D945FB" w14:textId="6250C901">
      <w:r>
        <w:t xml:space="preserve">In the hour estimates </w:t>
      </w:r>
      <w:r w:rsidRPr="007464CD">
        <w:t xml:space="preserve">included in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b, </w:t>
      </w:r>
      <w:r w:rsidRPr="007464CD" w:rsidR="0078465E">
        <w:t>EPA has not distinguished</w:t>
      </w:r>
      <w:r w:rsidR="0078465E">
        <w:t xml:space="preserve"> between collection and reporting of those sources </w:t>
      </w:r>
      <w:r w:rsidR="009A3E47">
        <w:t xml:space="preserve">and pollutants </w:t>
      </w:r>
      <w:r w:rsidR="0078465E">
        <w:t xml:space="preserve">required to be reported versus those sources that SLTs report voluntarily. </w:t>
      </w:r>
      <w:r>
        <w:t xml:space="preserve">Unlike the incremental burden for SLTs to </w:t>
      </w:r>
      <w:r w:rsidRPr="00EB38B2">
        <w:rPr>
          <w:i/>
          <w:iCs/>
        </w:rPr>
        <w:t>collect</w:t>
      </w:r>
      <w:r>
        <w:t xml:space="preserve"> emissions from facilities not required by the AERR, </w:t>
      </w:r>
      <w:r w:rsidR="0078465E">
        <w:t xml:space="preserve">the incremental burden to </w:t>
      </w:r>
      <w:r w:rsidRPr="00EB38B2" w:rsidR="0078465E">
        <w:rPr>
          <w:i/>
          <w:iCs/>
        </w:rPr>
        <w:t>report</w:t>
      </w:r>
      <w:r w:rsidR="0078465E">
        <w:t xml:space="preserve"> </w:t>
      </w:r>
      <w:r>
        <w:t xml:space="preserve">these additional facilities is small. This is because states who report many additional sources </w:t>
      </w:r>
      <w:r w:rsidR="009A3E47">
        <w:t xml:space="preserve">and pollutants </w:t>
      </w:r>
      <w:r>
        <w:t>voluntar</w:t>
      </w:r>
      <w:r w:rsidR="00857EC1">
        <w:t>il</w:t>
      </w:r>
      <w:r>
        <w:t xml:space="preserve">y do so using automated processes to export, convert, and send the data to EPA. Over many years of collecting data from SLTs, EPA has heard numerous times from such agencies that it’s harder for these SLTs to exclude facilities </w:t>
      </w:r>
      <w:r w:rsidR="009A3E47">
        <w:t xml:space="preserve">and pollutants </w:t>
      </w:r>
      <w:r>
        <w:t>than simply to report both required and voluntarily provided facilities in every submission. Because of these considerations, EPA has not tried to separate out the hours by required and voluntarily reported facilities</w:t>
      </w:r>
      <w:r w:rsidR="009A3E47">
        <w:t xml:space="preserve"> and pollutants</w:t>
      </w:r>
      <w:r>
        <w:t xml:space="preserve">, but rather </w:t>
      </w:r>
      <w:r w:rsidR="00EE4378">
        <w:t xml:space="preserve">(in this table) </w:t>
      </w:r>
      <w:r>
        <w:t>has attempted to estimate hours to reflect both required and voluntarily reported sources</w:t>
      </w:r>
      <w:r w:rsidR="00EE4378">
        <w:t xml:space="preserve"> and pollutants</w:t>
      </w:r>
      <w:r>
        <w:t>.</w:t>
      </w:r>
    </w:p>
    <w:p w:rsidR="0046622D" w:rsidP="009E08D8" w14:paraId="211332FC" w14:textId="0236DA83"/>
    <w:p w:rsidR="0046622D" w:rsidRPr="00C22879" w:rsidP="00EB38B2" w14:paraId="1AB2D717" w14:textId="2F287869">
      <w:pPr>
        <w:pStyle w:val="Caption"/>
      </w:pPr>
      <w:r w:rsidRPr="0020098E">
        <w:fldChar w:fldCharType="begin"/>
      </w:r>
      <w:r w:rsidRPr="0020098E">
        <w:instrText xml:space="preserve"> REF _Ref106891332 \h  \* MERGEFORMAT </w:instrText>
      </w:r>
      <w:r w:rsidRPr="0020098E">
        <w:fldChar w:fldCharType="separate"/>
      </w:r>
      <w:r w:rsidRPr="0020098E" w:rsidR="00646F0F">
        <w:t xml:space="preserve">Table </w:t>
      </w:r>
      <w:r w:rsidR="00646F0F">
        <w:rPr>
          <w:noProof/>
        </w:rPr>
        <w:t>6</w:t>
      </w:r>
      <w:r w:rsidRPr="0020098E">
        <w:fldChar w:fldCharType="end"/>
      </w:r>
      <w:r w:rsidRPr="0020098E">
        <w:t>b</w:t>
      </w:r>
      <w:r w:rsidRPr="00EB38B2">
        <w:rPr>
          <w:b/>
          <w:bCs/>
        </w:rPr>
        <w:t>:</w:t>
      </w:r>
      <w:r w:rsidRPr="00C22879">
        <w:t xml:space="preserve"> </w:t>
      </w:r>
      <w:r>
        <w:t>SLT point source reporting burden hours by activity</w:t>
      </w:r>
      <w:r w:rsidRPr="00C22879">
        <w:t xml:space="preserve"> </w:t>
      </w:r>
    </w:p>
    <w:tbl>
      <w:tblPr>
        <w:tblW w:w="9440" w:type="dxa"/>
        <w:tblLayout w:type="fixed"/>
        <w:tblLook w:val="04A0"/>
      </w:tblPr>
      <w:tblGrid>
        <w:gridCol w:w="4167"/>
        <w:gridCol w:w="1365"/>
        <w:gridCol w:w="160"/>
        <w:gridCol w:w="273"/>
        <w:gridCol w:w="967"/>
        <w:gridCol w:w="167"/>
        <w:gridCol w:w="91"/>
        <w:gridCol w:w="630"/>
        <w:gridCol w:w="360"/>
        <w:gridCol w:w="90"/>
        <w:gridCol w:w="180"/>
        <w:gridCol w:w="89"/>
        <w:gridCol w:w="236"/>
        <w:gridCol w:w="236"/>
        <w:gridCol w:w="39"/>
        <w:gridCol w:w="390"/>
      </w:tblGrid>
      <w:tr w14:paraId="2A84EF33" w14:textId="77777777" w:rsidTr="004F1B8A">
        <w:tblPrEx>
          <w:tblW w:w="9440" w:type="dxa"/>
          <w:tblLayout w:type="fixed"/>
          <w:tblLook w:val="04A0"/>
        </w:tblPrEx>
        <w:trPr>
          <w:trHeight w:val="340"/>
          <w:tblHeader/>
        </w:trPr>
        <w:tc>
          <w:tcPr>
            <w:tcW w:w="4167" w:type="dxa"/>
            <w:tcBorders>
              <w:top w:val="single" w:sz="8" w:space="0" w:color="000000"/>
              <w:left w:val="single" w:sz="8" w:space="0" w:color="000000"/>
              <w:bottom w:val="nil"/>
              <w:right w:val="nil"/>
            </w:tcBorders>
            <w:shd w:val="clear" w:color="auto" w:fill="auto"/>
            <w:vAlign w:val="center"/>
            <w:hideMark/>
          </w:tcPr>
          <w:p w:rsidR="00F22EDB" w:rsidRPr="00EB38B2" w:rsidP="00EB38B2" w14:paraId="41385C9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szCs w:val="22"/>
              </w:rPr>
            </w:pPr>
            <w:r w:rsidRPr="00EB38B2">
              <w:rPr>
                <w:b/>
                <w:bCs/>
                <w:color w:val="000000"/>
                <w:szCs w:val="22"/>
              </w:rPr>
              <w:t> </w:t>
            </w:r>
          </w:p>
        </w:tc>
        <w:tc>
          <w:tcPr>
            <w:tcW w:w="4372" w:type="dxa"/>
            <w:gridSpan w:val="11"/>
            <w:tcBorders>
              <w:top w:val="single" w:sz="8" w:space="0" w:color="000000"/>
              <w:left w:val="single" w:sz="8" w:space="0" w:color="000000"/>
              <w:bottom w:val="single" w:sz="8" w:space="0" w:color="000000"/>
            </w:tcBorders>
            <w:shd w:val="clear" w:color="auto" w:fill="auto"/>
            <w:vAlign w:val="center"/>
            <w:hideMark/>
          </w:tcPr>
          <w:p w:rsidR="00F22EDB" w:rsidRPr="00EB38B2" w:rsidP="00EB38B2" w14:paraId="0ABF832C" w14:textId="32A46A2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b/>
                <w:bCs/>
                <w:color w:val="000000"/>
                <w:szCs w:val="22"/>
              </w:rPr>
              <w:t xml:space="preserve">             </w:t>
            </w:r>
            <w:r w:rsidRPr="00EB38B2">
              <w:rPr>
                <w:b/>
                <w:bCs/>
                <w:color w:val="000000"/>
                <w:szCs w:val="22"/>
              </w:rPr>
              <w:t>Hours Per Respondent</w:t>
            </w:r>
          </w:p>
        </w:tc>
        <w:tc>
          <w:tcPr>
            <w:tcW w:w="236" w:type="dxa"/>
            <w:tcBorders>
              <w:top w:val="single" w:sz="8" w:space="0" w:color="000000"/>
              <w:bottom w:val="single" w:sz="8" w:space="0" w:color="000000"/>
            </w:tcBorders>
            <w:shd w:val="clear" w:color="auto" w:fill="auto"/>
            <w:vAlign w:val="center"/>
          </w:tcPr>
          <w:p w:rsidR="00F22EDB" w:rsidRPr="00EB38B2" w:rsidP="00EB38B2" w14:paraId="7017E84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p>
        </w:tc>
        <w:tc>
          <w:tcPr>
            <w:tcW w:w="236" w:type="dxa"/>
            <w:tcBorders>
              <w:top w:val="single" w:sz="8" w:space="0" w:color="000000"/>
              <w:bottom w:val="single" w:sz="8" w:space="0" w:color="000000"/>
            </w:tcBorders>
            <w:shd w:val="clear" w:color="auto" w:fill="auto"/>
            <w:vAlign w:val="center"/>
          </w:tcPr>
          <w:p w:rsidR="00F22EDB" w:rsidRPr="00EB38B2" w:rsidP="00EB38B2" w14:paraId="6037D07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p>
        </w:tc>
        <w:tc>
          <w:tcPr>
            <w:tcW w:w="429" w:type="dxa"/>
            <w:gridSpan w:val="2"/>
            <w:tcBorders>
              <w:top w:val="single" w:sz="8" w:space="0" w:color="000000"/>
              <w:bottom w:val="single" w:sz="8" w:space="0" w:color="000000"/>
              <w:right w:val="single" w:sz="8" w:space="0" w:color="000000"/>
            </w:tcBorders>
            <w:shd w:val="clear" w:color="auto" w:fill="auto"/>
            <w:vAlign w:val="center"/>
          </w:tcPr>
          <w:p w:rsidR="00F22EDB" w:rsidRPr="00EB38B2" w:rsidP="00EB38B2" w14:paraId="2A44BFF5" w14:textId="60A08FF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p>
        </w:tc>
      </w:tr>
      <w:tr w14:paraId="591FCEC3" w14:textId="77777777" w:rsidTr="004F1B8A">
        <w:tblPrEx>
          <w:tblW w:w="9440" w:type="dxa"/>
          <w:tblLayout w:type="fixed"/>
          <w:tblLook w:val="04A0"/>
        </w:tblPrEx>
        <w:trPr>
          <w:trHeight w:val="880"/>
          <w:tblHeader/>
        </w:trPr>
        <w:tc>
          <w:tcPr>
            <w:tcW w:w="4167" w:type="dxa"/>
            <w:tcBorders>
              <w:top w:val="nil"/>
              <w:left w:val="single" w:sz="8" w:space="0" w:color="000000"/>
              <w:bottom w:val="nil"/>
              <w:right w:val="nil"/>
            </w:tcBorders>
            <w:shd w:val="clear" w:color="auto" w:fill="auto"/>
            <w:vAlign w:val="bottom"/>
            <w:hideMark/>
          </w:tcPr>
          <w:p w:rsidR="00E840FF" w:rsidRPr="00EB38B2" w:rsidP="00EB38B2" w14:paraId="48D93F2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szCs w:val="22"/>
              </w:rPr>
            </w:pPr>
            <w:r w:rsidRPr="00EB38B2">
              <w:rPr>
                <w:b/>
                <w:bCs/>
                <w:color w:val="000000"/>
                <w:szCs w:val="22"/>
              </w:rPr>
              <w:t>Activity</w:t>
            </w:r>
          </w:p>
        </w:tc>
        <w:tc>
          <w:tcPr>
            <w:tcW w:w="1365" w:type="dxa"/>
            <w:tcBorders>
              <w:top w:val="nil"/>
              <w:left w:val="single" w:sz="8" w:space="0" w:color="000000"/>
              <w:bottom w:val="nil"/>
              <w:right w:val="nil"/>
            </w:tcBorders>
            <w:shd w:val="clear" w:color="auto" w:fill="auto"/>
            <w:vAlign w:val="bottom"/>
            <w:hideMark/>
          </w:tcPr>
          <w:p w:rsidR="00E840FF" w:rsidRPr="00EB38B2" w:rsidP="00EB38B2" w14:paraId="5158D43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Engineering Managerial Hours</w:t>
            </w:r>
          </w:p>
        </w:tc>
        <w:tc>
          <w:tcPr>
            <w:tcW w:w="1400" w:type="dxa"/>
            <w:gridSpan w:val="3"/>
            <w:tcBorders>
              <w:top w:val="nil"/>
              <w:left w:val="single" w:sz="8" w:space="0" w:color="000000"/>
              <w:bottom w:val="nil"/>
              <w:right w:val="nil"/>
            </w:tcBorders>
            <w:shd w:val="clear" w:color="auto" w:fill="auto"/>
            <w:vAlign w:val="bottom"/>
            <w:hideMark/>
          </w:tcPr>
          <w:p w:rsidR="00E840FF" w:rsidRPr="00EB38B2" w:rsidP="00EB38B2" w14:paraId="57D3523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Engineering Technical Hours</w:t>
            </w:r>
          </w:p>
        </w:tc>
        <w:tc>
          <w:tcPr>
            <w:tcW w:w="1248" w:type="dxa"/>
            <w:gridSpan w:val="4"/>
            <w:tcBorders>
              <w:top w:val="nil"/>
              <w:left w:val="single" w:sz="8" w:space="0" w:color="000000"/>
              <w:bottom w:val="nil"/>
              <w:right w:val="single" w:sz="8" w:space="0" w:color="000000"/>
            </w:tcBorders>
            <w:shd w:val="clear" w:color="auto" w:fill="auto"/>
            <w:vAlign w:val="bottom"/>
            <w:hideMark/>
          </w:tcPr>
          <w:p w:rsidR="00E840FF" w:rsidRPr="00EB38B2" w:rsidP="00EB38B2" w14:paraId="6107212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Total</w:t>
            </w:r>
          </w:p>
        </w:tc>
        <w:tc>
          <w:tcPr>
            <w:tcW w:w="1260" w:type="dxa"/>
            <w:gridSpan w:val="7"/>
            <w:tcBorders>
              <w:top w:val="single" w:sz="8" w:space="0" w:color="000000"/>
              <w:left w:val="nil"/>
              <w:bottom w:val="single" w:sz="8" w:space="0" w:color="000000"/>
              <w:right w:val="single" w:sz="8" w:space="0" w:color="000000"/>
            </w:tcBorders>
            <w:shd w:val="clear" w:color="auto" w:fill="auto"/>
            <w:vAlign w:val="bottom"/>
            <w:hideMark/>
          </w:tcPr>
          <w:p w:rsidR="00E840FF" w:rsidRPr="00EB38B2" w:rsidP="00EB38B2" w14:paraId="69901FC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Applies to CAERS Cases?</w:t>
            </w:r>
          </w:p>
        </w:tc>
      </w:tr>
      <w:tr w14:paraId="73E2BFD6" w14:textId="77777777" w:rsidTr="004F1B8A">
        <w:tblPrEx>
          <w:tblW w:w="9440" w:type="dxa"/>
          <w:tblLayout w:type="fixed"/>
          <w:tblLook w:val="04A0"/>
        </w:tblPrEx>
        <w:trPr>
          <w:trHeight w:val="432"/>
        </w:trPr>
        <w:tc>
          <w:tcPr>
            <w:tcW w:w="5692" w:type="dxa"/>
            <w:gridSpan w:val="3"/>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rsidR="00E840FF" w:rsidRPr="00636D9F" w:rsidP="00EB38B2" w14:paraId="344BF4E5" w14:textId="360F64E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szCs w:val="22"/>
              </w:rPr>
            </w:pPr>
            <w:r w:rsidRPr="00636D9F">
              <w:rPr>
                <w:b/>
                <w:bCs/>
                <w:szCs w:val="22"/>
              </w:rPr>
              <w:t>Point sources - Annual (required and voluntary)</w:t>
            </w:r>
          </w:p>
        </w:tc>
        <w:tc>
          <w:tcPr>
            <w:tcW w:w="273" w:type="dxa"/>
            <w:tcBorders>
              <w:top w:val="single" w:sz="8" w:space="0" w:color="000000"/>
              <w:left w:val="nil"/>
              <w:bottom w:val="single" w:sz="8" w:space="0" w:color="000000"/>
              <w:right w:val="nil"/>
            </w:tcBorders>
            <w:shd w:val="clear" w:color="auto" w:fill="D9D9D9" w:themeFill="background1" w:themeFillShade="D9"/>
            <w:noWrap/>
            <w:vAlign w:val="center"/>
            <w:hideMark/>
          </w:tcPr>
          <w:p w:rsidR="00E840FF" w:rsidRPr="00636D9F" w:rsidP="00EB38B2" w14:paraId="60FEB7C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szCs w:val="22"/>
              </w:rPr>
            </w:pPr>
            <w:r w:rsidRPr="00636D9F">
              <w:rPr>
                <w:szCs w:val="22"/>
              </w:rPr>
              <w:t> </w:t>
            </w:r>
          </w:p>
        </w:tc>
        <w:tc>
          <w:tcPr>
            <w:tcW w:w="1134" w:type="dxa"/>
            <w:gridSpan w:val="2"/>
            <w:tcBorders>
              <w:top w:val="single" w:sz="8" w:space="0" w:color="000000"/>
              <w:left w:val="nil"/>
              <w:bottom w:val="single" w:sz="8" w:space="0" w:color="000000"/>
              <w:right w:val="nil"/>
            </w:tcBorders>
            <w:shd w:val="clear" w:color="auto" w:fill="D9D9D9" w:themeFill="background1" w:themeFillShade="D9"/>
            <w:noWrap/>
            <w:vAlign w:val="center"/>
            <w:hideMark/>
          </w:tcPr>
          <w:p w:rsidR="00E840FF" w:rsidRPr="00636D9F" w:rsidP="00EB38B2" w14:paraId="26DE1FA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szCs w:val="22"/>
              </w:rPr>
            </w:pPr>
            <w:r w:rsidRPr="00636D9F">
              <w:rPr>
                <w:szCs w:val="22"/>
              </w:rPr>
              <w:t> </w:t>
            </w:r>
          </w:p>
        </w:tc>
        <w:tc>
          <w:tcPr>
            <w:tcW w:w="1351" w:type="dxa"/>
            <w:gridSpan w:val="5"/>
            <w:tcBorders>
              <w:top w:val="single" w:sz="8" w:space="0" w:color="000000"/>
              <w:left w:val="nil"/>
              <w:bottom w:val="single" w:sz="8" w:space="0" w:color="000000"/>
              <w:right w:val="nil"/>
            </w:tcBorders>
            <w:shd w:val="clear" w:color="auto" w:fill="D9D9D9" w:themeFill="background1" w:themeFillShade="D9"/>
            <w:noWrap/>
            <w:vAlign w:val="center"/>
            <w:hideMark/>
          </w:tcPr>
          <w:p w:rsidR="00E840FF" w:rsidRPr="00636D9F" w:rsidP="00EB38B2" w14:paraId="3271C80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szCs w:val="22"/>
              </w:rPr>
            </w:pPr>
            <w:r w:rsidRPr="00636D9F">
              <w:rPr>
                <w:szCs w:val="22"/>
              </w:rPr>
              <w:t> </w:t>
            </w:r>
          </w:p>
        </w:tc>
        <w:tc>
          <w:tcPr>
            <w:tcW w:w="990" w:type="dxa"/>
            <w:gridSpan w:val="5"/>
            <w:tcBorders>
              <w:top w:val="single" w:sz="8" w:space="0" w:color="000000"/>
              <w:left w:val="nil"/>
              <w:bottom w:val="single" w:sz="8" w:space="0" w:color="000000"/>
              <w:right w:val="single" w:sz="8" w:space="0" w:color="auto"/>
            </w:tcBorders>
            <w:shd w:val="clear" w:color="auto" w:fill="D9D9D9" w:themeFill="background1" w:themeFillShade="D9"/>
            <w:noWrap/>
            <w:vAlign w:val="center"/>
            <w:hideMark/>
          </w:tcPr>
          <w:p w:rsidR="00E840FF" w:rsidRPr="00636D9F" w:rsidP="00EB38B2" w14:paraId="521467E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szCs w:val="22"/>
              </w:rPr>
            </w:pPr>
            <w:r w:rsidRPr="00636D9F">
              <w:rPr>
                <w:szCs w:val="22"/>
              </w:rPr>
              <w:t> </w:t>
            </w:r>
          </w:p>
        </w:tc>
      </w:tr>
      <w:tr w14:paraId="303D0537"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5CE67A6A" w14:textId="2B5C46F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4.</w:t>
            </w:r>
            <w:r w:rsidRPr="00EB38B2">
              <w:rPr>
                <w:color w:val="000000"/>
                <w:szCs w:val="22"/>
              </w:rPr>
              <w:tab/>
              <w:t>Quality assurance of submitted data and revision support</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10F3102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7BF3AE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E43732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5CA4903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 100%, 4 @ 50%</w:t>
            </w:r>
          </w:p>
        </w:tc>
      </w:tr>
      <w:tr w14:paraId="579B007D"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2FFDDF28" w14:textId="36CB670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5.</w:t>
            </w:r>
            <w:r w:rsidRPr="00EB38B2">
              <w:rPr>
                <w:color w:val="000000"/>
                <w:szCs w:val="22"/>
              </w:rPr>
              <w:tab/>
              <w:t>Extract data from the state data system</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3966C2A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364607D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37A86D8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537F598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2E97C5B8"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706E90D3" w14:textId="343B8F2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6.</w:t>
            </w:r>
            <w:r w:rsidRPr="00EB38B2">
              <w:rPr>
                <w:color w:val="000000"/>
                <w:szCs w:val="22"/>
              </w:rPr>
              <w:tab/>
              <w:t xml:space="preserve">Convert data into the XML format – </w:t>
            </w:r>
            <w:r w:rsidR="002D454C">
              <w:rPr>
                <w:color w:val="000000"/>
                <w:szCs w:val="22"/>
              </w:rPr>
              <w:t>f</w:t>
            </w:r>
            <w:r w:rsidRPr="00EB38B2">
              <w:rPr>
                <w:color w:val="000000"/>
                <w:szCs w:val="22"/>
              </w:rPr>
              <w:t xml:space="preserve">acility </w:t>
            </w:r>
            <w:r w:rsidR="002D454C">
              <w:rPr>
                <w:color w:val="000000"/>
                <w:szCs w:val="22"/>
              </w:rPr>
              <w:t xml:space="preserve">attributes </w:t>
            </w:r>
            <w:r w:rsidRPr="00EB38B2">
              <w:rPr>
                <w:color w:val="000000"/>
                <w:szCs w:val="22"/>
              </w:rPr>
              <w:t>info</w:t>
            </w:r>
            <w:r w:rsidR="002D454C">
              <w:rPr>
                <w:color w:val="000000"/>
                <w:szCs w:val="22"/>
              </w:rPr>
              <w:t>rmation</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CB6F18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715D94A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2E1C89C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17DDAF3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24A68E06"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0F88FD89" w14:textId="6BF03D7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7.</w:t>
            </w:r>
            <w:r w:rsidRPr="00EB38B2">
              <w:rPr>
                <w:color w:val="000000"/>
                <w:szCs w:val="22"/>
              </w:rPr>
              <w:tab/>
              <w:t xml:space="preserve">Convert data into the XML format – </w:t>
            </w:r>
            <w:r w:rsidR="002D454C">
              <w:rPr>
                <w:color w:val="000000"/>
                <w:szCs w:val="22"/>
              </w:rPr>
              <w:t>annual e</w:t>
            </w:r>
            <w:r w:rsidRPr="00EB38B2">
              <w:rPr>
                <w:color w:val="000000"/>
                <w:szCs w:val="22"/>
              </w:rPr>
              <w:t xml:space="preserve">missions </w:t>
            </w:r>
            <w:r w:rsidR="002D454C">
              <w:rPr>
                <w:color w:val="000000"/>
                <w:szCs w:val="22"/>
              </w:rPr>
              <w:t>information</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1573348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7FB21A7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6EAF479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555B24F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4E678202"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24A331AE" w14:textId="15DBFE9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8.</w:t>
            </w:r>
            <w:r w:rsidRPr="00EB38B2">
              <w:rPr>
                <w:color w:val="000000"/>
                <w:szCs w:val="22"/>
              </w:rPr>
              <w:tab/>
              <w:t xml:space="preserve">Run </w:t>
            </w:r>
            <w:r w:rsidR="00716C1D">
              <w:rPr>
                <w:color w:val="000000"/>
                <w:szCs w:val="22"/>
              </w:rPr>
              <w:t xml:space="preserve">EIS </w:t>
            </w:r>
            <w:r w:rsidRPr="00EB38B2">
              <w:rPr>
                <w:color w:val="000000"/>
                <w:szCs w:val="22"/>
              </w:rPr>
              <w:t>quality-assurance checks and resolve critical errors</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23B5AE3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0BE92AD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0B1CDF5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6DB185D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r>
      <w:tr w14:paraId="5B34452E"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73F373E5" w14:textId="150C84A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9.</w:t>
            </w:r>
            <w:r w:rsidRPr="00EB38B2">
              <w:rPr>
                <w:color w:val="000000"/>
                <w:szCs w:val="22"/>
              </w:rPr>
              <w:tab/>
              <w:t xml:space="preserve">Submit final file to the EPA </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DB20AF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125C238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73CB3AB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5699894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3, 4</w:t>
            </w:r>
          </w:p>
        </w:tc>
      </w:tr>
      <w:tr w14:paraId="1C48FF86"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7F4ECE1F" w14:textId="09C873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EB38B2">
              <w:rPr>
                <w:color w:val="000000"/>
                <w:szCs w:val="22"/>
              </w:rPr>
              <w:t>10.</w:t>
            </w:r>
            <w:r w:rsidRPr="00EB38B2">
              <w:rPr>
                <w:color w:val="000000"/>
                <w:szCs w:val="22"/>
              </w:rPr>
              <w:tab/>
              <w:t>Respond to follow-up inquiries from the EPA</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0D46885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65E9BFB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36D5D5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840FF" w14:paraId="25A3E9B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3, 4</w:t>
            </w:r>
          </w:p>
        </w:tc>
      </w:tr>
      <w:tr w14:paraId="0FC17D2E"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370665" w14:paraId="377F717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jc w:val="right"/>
              <w:rPr>
                <w:b/>
                <w:bCs/>
                <w:color w:val="000000"/>
                <w:szCs w:val="22"/>
              </w:rPr>
            </w:pPr>
            <w:r w:rsidRPr="00EB38B2">
              <w:rPr>
                <w:b/>
                <w:bCs/>
                <w:color w:val="000000"/>
                <w:szCs w:val="22"/>
              </w:rPr>
              <w:t>Subtotal Annual Point Source Reporting via EIS</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2F30245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6</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64EEF61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70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3E63E46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76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193E8D5A" w14:textId="4F35F42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b/>
                <w:bCs/>
                <w:color w:val="000000"/>
                <w:szCs w:val="22"/>
              </w:rPr>
              <w:t xml:space="preserve">Hours </w:t>
            </w:r>
            <w:r w:rsidRPr="00EB38B2">
              <w:rPr>
                <w:b/>
                <w:bCs/>
                <w:color w:val="000000"/>
                <w:szCs w:val="22"/>
              </w:rPr>
              <w:t>Reduction</w:t>
            </w:r>
          </w:p>
        </w:tc>
      </w:tr>
      <w:tr w14:paraId="6DB03685"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370665" w14:paraId="0CEC0C21" w14:textId="4DDC2DB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jc w:val="right"/>
              <w:rPr>
                <w:b/>
                <w:bCs/>
                <w:color w:val="000000"/>
                <w:szCs w:val="22"/>
              </w:rPr>
            </w:pPr>
            <w:r w:rsidRPr="00EB38B2">
              <w:rPr>
                <w:b/>
                <w:bCs/>
                <w:color w:val="000000"/>
                <w:szCs w:val="22"/>
              </w:rPr>
              <w:t xml:space="preserve">Subtotal Annual Point Source Reporting via CAERS </w:t>
            </w:r>
            <w:r w:rsidR="00CF71A4">
              <w:rPr>
                <w:b/>
                <w:bCs/>
                <w:color w:val="000000"/>
                <w:szCs w:val="22"/>
              </w:rPr>
              <w:t>case</w:t>
            </w:r>
            <w:r w:rsidRPr="00EB38B2">
              <w:rPr>
                <w:b/>
                <w:bCs/>
                <w:color w:val="000000"/>
                <w:szCs w:val="22"/>
              </w:rPr>
              <w:t xml:space="preserve"> 3</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569A0D3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4</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6EFA4F9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46</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370665" w14:paraId="13CC7F2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50</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370665" w14:paraId="27366AE9" w14:textId="024D03D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b/>
                <w:bCs/>
                <w:color w:val="000000"/>
                <w:szCs w:val="22"/>
              </w:rPr>
              <w:t>34</w:t>
            </w:r>
            <w:r w:rsidRPr="00EB38B2">
              <w:rPr>
                <w:b/>
                <w:bCs/>
                <w:color w:val="000000"/>
                <w:szCs w:val="22"/>
              </w:rPr>
              <w:t>%</w:t>
            </w:r>
          </w:p>
        </w:tc>
      </w:tr>
      <w:tr w14:paraId="2817A0D4"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636D9F" w14:paraId="1C289045" w14:textId="001FF18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jc w:val="right"/>
              <w:rPr>
                <w:b/>
                <w:bCs/>
                <w:color w:val="000000"/>
                <w:szCs w:val="22"/>
              </w:rPr>
            </w:pPr>
            <w:r w:rsidRPr="00EB38B2">
              <w:rPr>
                <w:b/>
                <w:bCs/>
                <w:color w:val="000000"/>
                <w:szCs w:val="22"/>
              </w:rPr>
              <w:t xml:space="preserve">Subtotal Annual Point Source Reporting via CAERS, </w:t>
            </w:r>
            <w:r w:rsidR="00CF71A4">
              <w:rPr>
                <w:b/>
                <w:bCs/>
                <w:color w:val="000000"/>
                <w:szCs w:val="22"/>
              </w:rPr>
              <w:t>case</w:t>
            </w:r>
            <w:r w:rsidRPr="00EB38B2">
              <w:rPr>
                <w:b/>
                <w:bCs/>
                <w:color w:val="000000"/>
                <w:szCs w:val="22"/>
              </w:rPr>
              <w:t xml:space="preserve"> 4</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B33559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3</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5B67A0B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16</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E840FF" w:rsidRPr="00EB38B2" w:rsidP="00E840FF" w14:paraId="318CF63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19</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840FF" w:rsidRPr="00EB38B2" w:rsidP="00EB38B2" w14:paraId="07CEEAF0" w14:textId="56D4346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Pr>
                <w:b/>
                <w:bCs/>
                <w:color w:val="000000"/>
                <w:szCs w:val="22"/>
              </w:rPr>
              <w:t>75</w:t>
            </w:r>
            <w:r w:rsidRPr="00EB38B2">
              <w:rPr>
                <w:b/>
                <w:bCs/>
                <w:color w:val="000000"/>
                <w:szCs w:val="22"/>
              </w:rPr>
              <w:t>%</w:t>
            </w:r>
          </w:p>
        </w:tc>
      </w:tr>
      <w:tr w14:paraId="604545A0" w14:textId="77777777" w:rsidTr="004F1B8A">
        <w:tblPrEx>
          <w:tblW w:w="9440" w:type="dxa"/>
          <w:tblLayout w:type="fixed"/>
          <w:tblLook w:val="04A0"/>
        </w:tblPrEx>
        <w:trPr>
          <w:trHeight w:val="432"/>
        </w:trPr>
        <w:tc>
          <w:tcPr>
            <w:tcW w:w="7190" w:type="dxa"/>
            <w:gridSpan w:val="7"/>
            <w:tcBorders>
              <w:top w:val="single" w:sz="8" w:space="0" w:color="000000"/>
              <w:left w:val="single" w:sz="8" w:space="0" w:color="000000"/>
              <w:bottom w:val="single" w:sz="8" w:space="0" w:color="000000"/>
            </w:tcBorders>
            <w:shd w:val="clear" w:color="auto" w:fill="D9D9D9" w:themeFill="background1" w:themeFillShade="D9"/>
            <w:vAlign w:val="center"/>
            <w:hideMark/>
          </w:tcPr>
          <w:p w:rsidR="00FE2443" w:rsidRPr="00636D9F" w:rsidP="00195A92" w14:paraId="086EC69B" w14:textId="6CB84790">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1" w:hanging="331"/>
              <w:rPr>
                <w:b/>
                <w:bCs/>
                <w:szCs w:val="22"/>
              </w:rPr>
            </w:pPr>
            <w:r w:rsidRPr="00636D9F">
              <w:rPr>
                <w:b/>
                <w:bCs/>
                <w:szCs w:val="22"/>
              </w:rPr>
              <w:t>Point sources - Triennial (required and voluntary)</w:t>
            </w:r>
            <w:r w:rsidR="00260A48">
              <w:rPr>
                <w:b/>
                <w:bCs/>
                <w:szCs w:val="22"/>
              </w:rPr>
              <w:t>, additional hours</w:t>
            </w:r>
          </w:p>
        </w:tc>
        <w:tc>
          <w:tcPr>
            <w:tcW w:w="630" w:type="dxa"/>
            <w:tcBorders>
              <w:top w:val="single" w:sz="8" w:space="0" w:color="000000"/>
              <w:bottom w:val="single" w:sz="8" w:space="0" w:color="000000"/>
            </w:tcBorders>
            <w:shd w:val="clear" w:color="auto" w:fill="D9D9D9" w:themeFill="background1" w:themeFillShade="D9"/>
            <w:vAlign w:val="center"/>
          </w:tcPr>
          <w:p w:rsidR="00FE2443" w:rsidRPr="00636D9F" w:rsidP="00195A92" w14:paraId="1CC5ECA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1" w:hanging="331"/>
              <w:rPr>
                <w:b/>
                <w:bCs/>
                <w:szCs w:val="22"/>
              </w:rPr>
            </w:pPr>
          </w:p>
        </w:tc>
        <w:tc>
          <w:tcPr>
            <w:tcW w:w="450" w:type="dxa"/>
            <w:gridSpan w:val="2"/>
            <w:tcBorders>
              <w:top w:val="single" w:sz="8" w:space="0" w:color="000000"/>
              <w:bottom w:val="single" w:sz="8" w:space="0" w:color="000000"/>
            </w:tcBorders>
            <w:shd w:val="clear" w:color="auto" w:fill="D9D9D9" w:themeFill="background1" w:themeFillShade="D9"/>
            <w:vAlign w:val="center"/>
          </w:tcPr>
          <w:p w:rsidR="00FE2443" w:rsidRPr="00636D9F" w:rsidP="00195A92" w14:paraId="7014429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1" w:hanging="331"/>
              <w:rPr>
                <w:b/>
                <w:bCs/>
                <w:szCs w:val="22"/>
              </w:rPr>
            </w:pPr>
          </w:p>
        </w:tc>
        <w:tc>
          <w:tcPr>
            <w:tcW w:w="780" w:type="dxa"/>
            <w:gridSpan w:val="5"/>
            <w:tcBorders>
              <w:top w:val="single" w:sz="8" w:space="0" w:color="000000"/>
              <w:bottom w:val="single" w:sz="8" w:space="0" w:color="000000"/>
            </w:tcBorders>
            <w:shd w:val="clear" w:color="auto" w:fill="D9D9D9" w:themeFill="background1" w:themeFillShade="D9"/>
            <w:vAlign w:val="center"/>
          </w:tcPr>
          <w:p w:rsidR="00FE2443" w:rsidRPr="00636D9F" w:rsidP="00195A92" w14:paraId="544B941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1" w:hanging="331"/>
              <w:rPr>
                <w:b/>
                <w:bCs/>
                <w:szCs w:val="22"/>
              </w:rPr>
            </w:pPr>
          </w:p>
        </w:tc>
        <w:tc>
          <w:tcPr>
            <w:tcW w:w="390" w:type="dxa"/>
            <w:tcBorders>
              <w:top w:val="single" w:sz="8" w:space="0" w:color="000000"/>
              <w:bottom w:val="single" w:sz="8" w:space="0" w:color="000000"/>
              <w:right w:val="single" w:sz="8" w:space="0" w:color="000000"/>
            </w:tcBorders>
            <w:shd w:val="clear" w:color="auto" w:fill="D9D9D9" w:themeFill="background1" w:themeFillShade="D9"/>
            <w:vAlign w:val="center"/>
          </w:tcPr>
          <w:p w:rsidR="00FE2443" w:rsidRPr="00636D9F" w:rsidP="00195A92" w14:paraId="2D819BDD" w14:textId="6937456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szCs w:val="22"/>
              </w:rPr>
            </w:pPr>
          </w:p>
        </w:tc>
      </w:tr>
      <w:tr w14:paraId="3261F748"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195A92" w14:paraId="5C8CEAE2" w14:textId="0978AD5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4.</w:t>
            </w:r>
            <w:r w:rsidRPr="00C22879">
              <w:rPr>
                <w:color w:val="000000"/>
                <w:szCs w:val="22"/>
              </w:rPr>
              <w:tab/>
              <w:t>Quality assurance of submitted data and revision support</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195A92" w14:paraId="251BBF3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195A92" w14:paraId="34825B2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195A92" w14:paraId="07F06C7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132</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195A92" w14:paraId="2D7D138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 100%, 4 @ 50%</w:t>
            </w:r>
          </w:p>
        </w:tc>
      </w:tr>
      <w:tr w14:paraId="4FF0F851" w14:textId="77777777" w:rsidTr="004F1B8A">
        <w:tblPrEx>
          <w:tblW w:w="9440" w:type="dxa"/>
          <w:tblLayout w:type="fixed"/>
          <w:tblLook w:val="04A0"/>
        </w:tblPrEx>
        <w:trPr>
          <w:trHeight w:val="538"/>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EB38B2" w14:paraId="73586091" w14:textId="7A73A8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5.</w:t>
            </w:r>
            <w:r w:rsidRPr="00C22879">
              <w:rPr>
                <w:color w:val="000000"/>
                <w:szCs w:val="22"/>
              </w:rPr>
              <w:tab/>
              <w:t>Extract data from the state data system</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207D8B9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0</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0B6115D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2690C2B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4</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1A8A8A8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1DB44359"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EB38B2" w14:paraId="6A7319C2" w14:textId="7B0F71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6.</w:t>
            </w:r>
            <w:r w:rsidRPr="00C22879">
              <w:rPr>
                <w:color w:val="000000"/>
                <w:szCs w:val="22"/>
              </w:rPr>
              <w:tab/>
              <w:t xml:space="preserve">Convert data into the XML format – </w:t>
            </w:r>
            <w:r>
              <w:rPr>
                <w:color w:val="000000"/>
                <w:szCs w:val="22"/>
              </w:rPr>
              <w:t>f</w:t>
            </w:r>
            <w:r w:rsidRPr="00C22879">
              <w:rPr>
                <w:color w:val="000000"/>
                <w:szCs w:val="22"/>
              </w:rPr>
              <w:t xml:space="preserve">acility </w:t>
            </w:r>
            <w:r>
              <w:rPr>
                <w:color w:val="000000"/>
                <w:szCs w:val="22"/>
              </w:rPr>
              <w:t xml:space="preserve">attributes </w:t>
            </w:r>
            <w:r w:rsidRPr="00C22879">
              <w:rPr>
                <w:color w:val="000000"/>
                <w:szCs w:val="22"/>
              </w:rPr>
              <w:t>info</w:t>
            </w:r>
            <w:r>
              <w:rPr>
                <w:color w:val="000000"/>
                <w:szCs w:val="22"/>
              </w:rPr>
              <w:t>rmation</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5CB01B9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0</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6B2044B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16</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4FF8921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0E09815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6092C137"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EB38B2" w14:paraId="27886528" w14:textId="1A77210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7.</w:t>
            </w:r>
            <w:r w:rsidRPr="00C22879">
              <w:rPr>
                <w:color w:val="000000"/>
                <w:szCs w:val="22"/>
              </w:rPr>
              <w:tab/>
              <w:t xml:space="preserve">Convert data into the XML format – </w:t>
            </w:r>
            <w:r>
              <w:rPr>
                <w:color w:val="000000"/>
                <w:szCs w:val="22"/>
              </w:rPr>
              <w:t>annual e</w:t>
            </w:r>
            <w:r w:rsidRPr="00C22879">
              <w:rPr>
                <w:color w:val="000000"/>
                <w:szCs w:val="22"/>
              </w:rPr>
              <w:t xml:space="preserve">missions </w:t>
            </w:r>
            <w:r>
              <w:rPr>
                <w:color w:val="000000"/>
                <w:szCs w:val="22"/>
              </w:rPr>
              <w:t>information</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369D6F5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0</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50C6600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6560036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8</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2F6F6C1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r>
      <w:tr w14:paraId="2A0CCB27"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EB38B2" w14:paraId="790B356A" w14:textId="0C6F619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8.</w:t>
            </w:r>
            <w:r w:rsidRPr="00C22879">
              <w:rPr>
                <w:color w:val="000000"/>
                <w:szCs w:val="22"/>
              </w:rPr>
              <w:tab/>
              <w:t>Run</w:t>
            </w:r>
            <w:r w:rsidR="00716C1D">
              <w:rPr>
                <w:color w:val="000000"/>
                <w:szCs w:val="22"/>
              </w:rPr>
              <w:t xml:space="preserve"> EIS</w:t>
            </w:r>
            <w:r>
              <w:rPr>
                <w:color w:val="000000"/>
                <w:szCs w:val="22"/>
              </w:rPr>
              <w:t xml:space="preserve"> </w:t>
            </w:r>
            <w:r w:rsidRPr="00C22879">
              <w:rPr>
                <w:color w:val="000000"/>
                <w:szCs w:val="22"/>
              </w:rPr>
              <w:t>quality-assurance checks and resolve critical errors</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3E0D2CE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1A815F0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120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7027951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132</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398E7AE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 </w:t>
            </w:r>
          </w:p>
        </w:tc>
      </w:tr>
      <w:tr w14:paraId="2F74CF59"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EB38B2" w14:paraId="47DA6099" w14:textId="27FF8C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9.</w:t>
            </w:r>
            <w:r w:rsidRPr="00C22879">
              <w:rPr>
                <w:color w:val="000000"/>
                <w:szCs w:val="22"/>
              </w:rPr>
              <w:tab/>
              <w:t xml:space="preserve">Submit final file to the EPA </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1FB8A7B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0A072B6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2D454C" w14:paraId="5018643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2D454C" w14:paraId="52CA218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3, 4</w:t>
            </w:r>
          </w:p>
        </w:tc>
      </w:tr>
      <w:tr w14:paraId="5F38DE28"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B5526D" w14:paraId="2F434F9E" w14:textId="7C626B8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hanging="327"/>
              <w:rPr>
                <w:color w:val="000000"/>
                <w:szCs w:val="22"/>
              </w:rPr>
            </w:pPr>
            <w:r w:rsidRPr="00C22879">
              <w:rPr>
                <w:color w:val="000000"/>
                <w:szCs w:val="22"/>
              </w:rPr>
              <w:t>10.</w:t>
            </w:r>
            <w:r w:rsidRPr="00C22879">
              <w:rPr>
                <w:color w:val="000000"/>
                <w:szCs w:val="22"/>
              </w:rPr>
              <w:tab/>
              <w:t>Respond to follow-up inquiries from the EPA</w:t>
            </w:r>
          </w:p>
        </w:tc>
        <w:tc>
          <w:tcPr>
            <w:tcW w:w="136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B5526D" w14:paraId="4452226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10</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B5526D" w14:paraId="1DFEF0F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20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2D454C" w:rsidRPr="00EB38B2" w:rsidP="00B5526D" w14:paraId="586EC68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30</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454C" w:rsidRPr="00EB38B2" w:rsidP="00B5526D" w14:paraId="2CC3665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EB38B2">
              <w:rPr>
                <w:color w:val="000000"/>
                <w:szCs w:val="22"/>
              </w:rPr>
              <w:t>3, 4</w:t>
            </w:r>
          </w:p>
        </w:tc>
      </w:tr>
      <w:tr w14:paraId="6D1764C5" w14:textId="77777777" w:rsidTr="004F1B8A">
        <w:tblPrEx>
          <w:tblW w:w="9440" w:type="dxa"/>
          <w:tblLayout w:type="fixed"/>
          <w:tblLook w:val="04A0"/>
        </w:tblPrEx>
        <w:trPr>
          <w:trHeight w:val="720"/>
        </w:trPr>
        <w:tc>
          <w:tcPr>
            <w:tcW w:w="416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E2443" w:rsidRPr="00EB38B2" w:rsidP="00B5526D" w14:paraId="23AF8F3B" w14:textId="745C3E0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417"/>
              <w:jc w:val="right"/>
              <w:rPr>
                <w:b/>
                <w:bCs/>
                <w:color w:val="000000"/>
                <w:szCs w:val="22"/>
              </w:rPr>
            </w:pPr>
            <w:r w:rsidRPr="00EB38B2">
              <w:rPr>
                <w:b/>
                <w:bCs/>
                <w:color w:val="000000"/>
                <w:szCs w:val="22"/>
              </w:rPr>
              <w:t xml:space="preserve">Subtotal </w:t>
            </w:r>
            <w:r>
              <w:rPr>
                <w:b/>
                <w:bCs/>
                <w:color w:val="000000"/>
                <w:szCs w:val="22"/>
              </w:rPr>
              <w:t>Triennial</w:t>
            </w:r>
            <w:r w:rsidRPr="00EB38B2">
              <w:rPr>
                <w:b/>
                <w:bCs/>
                <w:color w:val="000000"/>
                <w:szCs w:val="22"/>
              </w:rPr>
              <w:t xml:space="preserve"> Point Source Reporting via EIS – all point sources via EIS</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B5526D" w14:paraId="2116971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35</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B5526D" w14:paraId="7AAEF9D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290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B5526D" w14:paraId="25B4691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325</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B5526D" w14:paraId="152FFD5C" w14:textId="6DAD0B5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Pr>
                <w:b/>
                <w:bCs/>
                <w:color w:val="000000"/>
                <w:szCs w:val="22"/>
              </w:rPr>
              <w:t xml:space="preserve">Hours </w:t>
            </w:r>
            <w:r w:rsidRPr="00C22879">
              <w:rPr>
                <w:b/>
                <w:bCs/>
                <w:color w:val="000000"/>
                <w:szCs w:val="22"/>
              </w:rPr>
              <w:t>Reduction</w:t>
            </w:r>
          </w:p>
        </w:tc>
      </w:tr>
      <w:tr w14:paraId="5ECE70C2"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E2443" w:rsidRPr="00EB38B2" w:rsidP="00636D9F" w14:paraId="3581DC2B" w14:textId="240A30F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417"/>
              <w:jc w:val="right"/>
              <w:rPr>
                <w:b/>
                <w:bCs/>
                <w:color w:val="000000"/>
                <w:szCs w:val="22"/>
              </w:rPr>
            </w:pPr>
            <w:r w:rsidRPr="00EB38B2">
              <w:rPr>
                <w:b/>
                <w:bCs/>
                <w:color w:val="000000"/>
                <w:szCs w:val="22"/>
              </w:rPr>
              <w:t xml:space="preserve">Subtotal </w:t>
            </w:r>
            <w:r>
              <w:rPr>
                <w:b/>
                <w:bCs/>
                <w:color w:val="000000"/>
                <w:szCs w:val="22"/>
              </w:rPr>
              <w:t>Triennial</w:t>
            </w:r>
            <w:r w:rsidRPr="00C22879">
              <w:rPr>
                <w:b/>
                <w:bCs/>
                <w:color w:val="000000"/>
                <w:szCs w:val="22"/>
              </w:rPr>
              <w:t xml:space="preserve"> </w:t>
            </w:r>
            <w:r w:rsidRPr="00EB38B2">
              <w:rPr>
                <w:b/>
                <w:bCs/>
                <w:color w:val="000000"/>
                <w:szCs w:val="22"/>
              </w:rPr>
              <w:t xml:space="preserve">Point Sources Reporting via CAERS </w:t>
            </w:r>
            <w:r w:rsidR="00CF71A4">
              <w:rPr>
                <w:b/>
                <w:bCs/>
                <w:color w:val="000000"/>
                <w:szCs w:val="22"/>
              </w:rPr>
              <w:t>case</w:t>
            </w:r>
            <w:r w:rsidRPr="00EB38B2">
              <w:rPr>
                <w:b/>
                <w:bCs/>
                <w:color w:val="000000"/>
                <w:szCs w:val="22"/>
              </w:rPr>
              <w:t xml:space="preserve"> 3 </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51E8282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23</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525A15E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170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6507D4D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193</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E2443" w:rsidRPr="00EB38B2" w:rsidP="00EB38B2" w14:paraId="787C978A" w14:textId="3EAF440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C22879">
              <w:rPr>
                <w:b/>
                <w:bCs/>
                <w:color w:val="000000"/>
                <w:szCs w:val="22"/>
              </w:rPr>
              <w:t>41%</w:t>
            </w:r>
          </w:p>
        </w:tc>
      </w:tr>
      <w:tr w14:paraId="351261E4" w14:textId="77777777" w:rsidTr="004F1B8A">
        <w:tblPrEx>
          <w:tblW w:w="9440" w:type="dxa"/>
          <w:tblLayout w:type="fixed"/>
          <w:tblLook w:val="04A0"/>
        </w:tblPrEx>
        <w:trPr>
          <w:trHeight w:val="576"/>
        </w:trPr>
        <w:tc>
          <w:tcPr>
            <w:tcW w:w="416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E2443" w:rsidRPr="00EB38B2" w:rsidP="00636D9F" w14:paraId="30C8A469" w14:textId="3392CBE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417"/>
              <w:jc w:val="right"/>
              <w:rPr>
                <w:b/>
                <w:bCs/>
                <w:color w:val="000000"/>
                <w:szCs w:val="22"/>
              </w:rPr>
            </w:pPr>
            <w:r w:rsidRPr="00EB38B2">
              <w:rPr>
                <w:b/>
                <w:bCs/>
                <w:color w:val="000000"/>
                <w:szCs w:val="22"/>
              </w:rPr>
              <w:t xml:space="preserve">Subtotal </w:t>
            </w:r>
            <w:r>
              <w:rPr>
                <w:b/>
                <w:bCs/>
                <w:color w:val="000000"/>
                <w:szCs w:val="22"/>
              </w:rPr>
              <w:t>Triennial</w:t>
            </w:r>
            <w:r w:rsidRPr="00C22879">
              <w:rPr>
                <w:b/>
                <w:bCs/>
                <w:color w:val="000000"/>
                <w:szCs w:val="22"/>
              </w:rPr>
              <w:t xml:space="preserve"> </w:t>
            </w:r>
            <w:r w:rsidRPr="00EB38B2">
              <w:rPr>
                <w:b/>
                <w:bCs/>
                <w:color w:val="000000"/>
                <w:szCs w:val="22"/>
              </w:rPr>
              <w:t xml:space="preserve">Point Source Reporting via CAERS </w:t>
            </w:r>
            <w:r w:rsidR="00CF71A4">
              <w:rPr>
                <w:b/>
                <w:bCs/>
                <w:color w:val="000000"/>
                <w:szCs w:val="22"/>
              </w:rPr>
              <w:t>case</w:t>
            </w:r>
            <w:r w:rsidRPr="00EB38B2">
              <w:rPr>
                <w:b/>
                <w:bCs/>
                <w:color w:val="000000"/>
                <w:szCs w:val="22"/>
              </w:rPr>
              <w:t xml:space="preserve"> 4</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1C5813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16</w:t>
            </w:r>
          </w:p>
        </w:tc>
        <w:tc>
          <w:tcPr>
            <w:tcW w:w="140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79E2C1A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80</w:t>
            </w:r>
          </w:p>
        </w:tc>
        <w:tc>
          <w:tcPr>
            <w:tcW w:w="1248"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noWrap/>
            <w:vAlign w:val="center"/>
            <w:hideMark/>
          </w:tcPr>
          <w:p w:rsidR="00FE2443" w:rsidRPr="00EB38B2" w:rsidP="00FE2443" w14:paraId="0B2C671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szCs w:val="22"/>
              </w:rPr>
            </w:pPr>
            <w:r w:rsidRPr="00EB38B2">
              <w:rPr>
                <w:b/>
                <w:bCs/>
                <w:color w:val="000000"/>
                <w:szCs w:val="22"/>
              </w:rPr>
              <w:t>96</w:t>
            </w:r>
          </w:p>
        </w:tc>
        <w:tc>
          <w:tcPr>
            <w:tcW w:w="1260"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FE2443" w:rsidRPr="00EB38B2" w:rsidP="00EB38B2" w14:paraId="417B5FAE" w14:textId="64D11E6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szCs w:val="22"/>
              </w:rPr>
            </w:pPr>
            <w:r w:rsidRPr="00C22879">
              <w:rPr>
                <w:b/>
                <w:bCs/>
                <w:color w:val="000000"/>
                <w:szCs w:val="22"/>
              </w:rPr>
              <w:t>70%</w:t>
            </w:r>
          </w:p>
        </w:tc>
      </w:tr>
    </w:tbl>
    <w:p w:rsidR="00E840FF" w14:paraId="5D452574" w14:textId="73118270"/>
    <w:p w:rsidR="0012524C" w:rsidRPr="007464CD" w:rsidP="009E08D8" w14:paraId="2AF35383" w14:textId="48B01FF6">
      <w:r>
        <w:t xml:space="preserve">To create the hours </w:t>
      </w:r>
      <w:r w:rsidRPr="007464CD">
        <w:t xml:space="preserve">estimates in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b, EPA</w:t>
      </w:r>
      <w:r w:rsidRPr="007464CD">
        <w:t xml:space="preserve"> conservatively estimated that the additional hours needed for </w:t>
      </w:r>
      <w:r w:rsidRPr="007464CD" w:rsidR="00173D09">
        <w:t>activities</w:t>
      </w:r>
      <w:r w:rsidRPr="007464CD">
        <w:t xml:space="preserve"> </w:t>
      </w:r>
      <w:r w:rsidRPr="007464CD" w:rsidR="003212A5">
        <w:t xml:space="preserve">4, </w:t>
      </w:r>
      <w:r w:rsidRPr="007464CD" w:rsidR="002D454C">
        <w:t>8</w:t>
      </w:r>
      <w:r w:rsidRPr="007464CD" w:rsidR="00A10E87">
        <w:t>,</w:t>
      </w:r>
      <w:r w:rsidRPr="007464CD">
        <w:t xml:space="preserve"> and </w:t>
      </w:r>
      <w:r w:rsidRPr="007464CD" w:rsidR="002D454C">
        <w:t>10</w:t>
      </w:r>
      <w:r w:rsidRPr="007464CD" w:rsidR="003212A5">
        <w:t xml:space="preserve"> in triennial years</w:t>
      </w:r>
      <w:r w:rsidRPr="007464CD">
        <w:t xml:space="preserve"> will increase by a factor of 5 compared to the annual </w:t>
      </w:r>
      <w:r w:rsidRPr="007464CD" w:rsidR="002D454C">
        <w:t>facility</w:t>
      </w:r>
      <w:r w:rsidRPr="007464CD">
        <w:t xml:space="preserve"> reporting.</w:t>
      </w:r>
      <w:r w:rsidRPr="007464CD" w:rsidR="00523CED">
        <w:t xml:space="preserve"> </w:t>
      </w:r>
      <w:r w:rsidRPr="007464CD">
        <w:t xml:space="preserve">This factor is derived by dividing the average </w:t>
      </w:r>
      <w:r w:rsidRPr="007464CD" w:rsidR="003212A5">
        <w:t>triennially reported</w:t>
      </w:r>
      <w:r w:rsidRPr="007464CD">
        <w:t xml:space="preserve"> facility count per </w:t>
      </w:r>
      <w:r w:rsidRPr="007464CD">
        <w:t xml:space="preserve">agency (158) by the average </w:t>
      </w:r>
      <w:r w:rsidRPr="007464CD" w:rsidR="003212A5">
        <w:t>annually reported</w:t>
      </w:r>
      <w:r w:rsidRPr="007464CD">
        <w:t xml:space="preserve"> facility count per agency (33). </w:t>
      </w:r>
      <w:r w:rsidRPr="007464CD" w:rsidR="00173D09">
        <w:t>Activities</w:t>
      </w:r>
      <w:r w:rsidRPr="007464CD" w:rsidR="003212A5">
        <w:t xml:space="preserve"> 6 and 7 </w:t>
      </w:r>
      <w:r w:rsidRPr="007464CD">
        <w:t>are conservatively estimated to require just twice the effort needed for the annual</w:t>
      </w:r>
      <w:r w:rsidRPr="007464CD" w:rsidR="003212A5">
        <w:t xml:space="preserve">ly reported </w:t>
      </w:r>
      <w:r w:rsidRPr="007464CD">
        <w:t xml:space="preserve">sources, because the </w:t>
      </w:r>
      <w:r w:rsidRPr="007464CD" w:rsidR="00173D09">
        <w:t>activity</w:t>
      </w:r>
      <w:r w:rsidRPr="007464CD">
        <w:t xml:space="preserve"> is largely the same regardless of the number of sources</w:t>
      </w:r>
      <w:r w:rsidR="001110F5">
        <w:t>. The EPA</w:t>
      </w:r>
      <w:r w:rsidRPr="007464CD" w:rsidR="003212A5">
        <w:t xml:space="preserve"> estimates that </w:t>
      </w:r>
      <w:r w:rsidRPr="007464CD" w:rsidR="00173D09">
        <w:t>activities</w:t>
      </w:r>
      <w:r w:rsidRPr="007464CD" w:rsidR="003212A5">
        <w:t xml:space="preserve"> 5 and 9 would</w:t>
      </w:r>
      <w:r w:rsidRPr="007464CD">
        <w:t xml:space="preserve"> require the same amount of effort </w:t>
      </w:r>
      <w:r w:rsidRPr="007464CD" w:rsidR="003212A5">
        <w:t>in both triennial and non-triennial years.</w:t>
      </w:r>
    </w:p>
    <w:p w:rsidR="003D16BE" w:rsidRPr="007464CD" w:rsidP="009E08D8" w14:paraId="4F3E8996" w14:textId="77777777"/>
    <w:p w:rsidR="00716C1D" w:rsidP="009E08D8" w14:paraId="04DCF537" w14:textId="60069DDA">
      <w:r w:rsidRPr="007464CD">
        <w:t xml:space="preserve">To account for </w:t>
      </w:r>
      <w:r w:rsidR="004F1B8A">
        <w:t xml:space="preserve">the </w:t>
      </w:r>
      <w:r w:rsidRPr="007464CD">
        <w:t>states</w:t>
      </w:r>
      <w:r w:rsidR="004F1B8A">
        <w:t xml:space="preserve"> forecast</w:t>
      </w:r>
      <w:r w:rsidRPr="007464CD">
        <w:t xml:space="preserve"> </w:t>
      </w:r>
      <w:r w:rsidR="004F1B8A">
        <w:t>to</w:t>
      </w:r>
      <w:r w:rsidRPr="007464CD">
        <w:t xml:space="preserve"> use the CAERS for </w:t>
      </w:r>
      <w:r w:rsidRPr="007464CD" w:rsidR="003212A5">
        <w:t xml:space="preserve">triennial reporting for </w:t>
      </w:r>
      <w:r w:rsidRPr="007464CD">
        <w:t>the 202</w:t>
      </w:r>
      <w:r w:rsidRPr="007464CD" w:rsidR="003212A5">
        <w:t>3</w:t>
      </w:r>
      <w:r w:rsidRPr="007464CD">
        <w:t xml:space="preserve"> </w:t>
      </w:r>
      <w:r w:rsidRPr="007464CD" w:rsidR="003212A5">
        <w:t>inventory year (reported in 2024)</w:t>
      </w:r>
      <w:r w:rsidRPr="007464CD">
        <w:t xml:space="preserve">, </w:t>
      </w:r>
      <w:r w:rsidR="004F1B8A">
        <w:t>EPA has</w:t>
      </w:r>
      <w:r w:rsidRPr="007464CD">
        <w:t xml:space="preserve"> considered the reduction in effort associated with</w:t>
      </w:r>
      <w:r w:rsidRPr="007464CD" w:rsidR="003212A5">
        <w:t xml:space="preserve"> certain </w:t>
      </w:r>
      <w:r w:rsidRPr="007464CD" w:rsidR="00173D09">
        <w:t>activities</w:t>
      </w:r>
      <w:r w:rsidRPr="007464CD" w:rsidR="003212A5">
        <w:t xml:space="preserve">. The rightmost column of </w:t>
      </w:r>
      <w:r w:rsidRPr="007464CD" w:rsidR="003212A5">
        <w:fldChar w:fldCharType="begin"/>
      </w:r>
      <w:r w:rsidRPr="007464CD" w:rsidR="003212A5">
        <w:instrText xml:space="preserve"> REF _Ref106891332 \h  \* MERGEFORMAT </w:instrText>
      </w:r>
      <w:r w:rsidRPr="007464CD" w:rsidR="003212A5">
        <w:fldChar w:fldCharType="separate"/>
      </w:r>
      <w:r w:rsidRPr="0020098E" w:rsidR="00646F0F">
        <w:t xml:space="preserve">Table </w:t>
      </w:r>
      <w:r w:rsidR="00646F0F">
        <w:rPr>
          <w:noProof/>
        </w:rPr>
        <w:t>6</w:t>
      </w:r>
      <w:r w:rsidRPr="007464CD" w:rsidR="003212A5">
        <w:fldChar w:fldCharType="end"/>
      </w:r>
      <w:r w:rsidRPr="007464CD" w:rsidR="003212A5">
        <w:t>b</w:t>
      </w:r>
      <w:r w:rsidRPr="007464CD">
        <w:t xml:space="preserve"> </w:t>
      </w:r>
      <w:r w:rsidRPr="007464CD" w:rsidR="003212A5">
        <w:t>indicates</w:t>
      </w:r>
      <w:r w:rsidR="003212A5">
        <w:t xml:space="preserve"> EPA’s assumptions about whether the </w:t>
      </w:r>
      <w:r w:rsidR="00173D09">
        <w:t>activity</w:t>
      </w:r>
      <w:r w:rsidR="003212A5">
        <w:t xml:space="preserve"> is relevant for CAERS </w:t>
      </w:r>
      <w:r>
        <w:t xml:space="preserve">cases. For CAERS </w:t>
      </w:r>
      <w:r w:rsidR="009A3E47">
        <w:t>c</w:t>
      </w:r>
      <w:r w:rsidR="003212A5">
        <w:t>ase 3</w:t>
      </w:r>
      <w:r>
        <w:t xml:space="preserve">, the state would use the CAERS user interface to collect the data and </w:t>
      </w:r>
      <w:r w:rsidR="00E44D09">
        <w:t xml:space="preserve">send </w:t>
      </w:r>
      <w:r>
        <w:t xml:space="preserve">it to the state for further processing and submission back to </w:t>
      </w:r>
      <w:r w:rsidR="00204E7E">
        <w:t>EPA</w:t>
      </w:r>
      <w:r>
        <w:t xml:space="preserve">. This approach would have the </w:t>
      </w:r>
      <w:r w:rsidR="00D10DF5">
        <w:t>effect</w:t>
      </w:r>
      <w:r>
        <w:t xml:space="preserve"> of running the quality assurance checks while the owners/operators were reporting in CAERS. Thus</w:t>
      </w:r>
      <w:r w:rsidR="00173D09">
        <w:t>,</w:t>
      </w:r>
      <w:r>
        <w:t xml:space="preserve"> </w:t>
      </w:r>
      <w:r w:rsidR="00173D09">
        <w:t>activity</w:t>
      </w:r>
      <w:r>
        <w:t xml:space="preserve"> 8 is essentially eliminated because all data collected via CAERS will already be able to pass EIS QA checks. For</w:t>
      </w:r>
      <w:r w:rsidR="003212A5">
        <w:t xml:space="preserve"> CAERS </w:t>
      </w:r>
      <w:r w:rsidR="009A3E47">
        <w:t>c</w:t>
      </w:r>
      <w:r w:rsidR="003212A5">
        <w:t>ase 4</w:t>
      </w:r>
      <w:r>
        <w:t xml:space="preserve">, an SLT is using </w:t>
      </w:r>
      <w:r w:rsidR="003212A5">
        <w:t>only CAERS</w:t>
      </w:r>
      <w:r>
        <w:t xml:space="preserve">, which eliminates </w:t>
      </w:r>
      <w:r w:rsidR="00173D09">
        <w:t>activities</w:t>
      </w:r>
      <w:r>
        <w:t xml:space="preserve"> 5</w:t>
      </w:r>
      <w:r w:rsidR="00CF71A4">
        <w:t xml:space="preserve"> through </w:t>
      </w:r>
      <w:r>
        <w:t>8 and 50% of</w:t>
      </w:r>
      <w:r w:rsidR="00173D09">
        <w:t xml:space="preserve"> activity</w:t>
      </w:r>
      <w:r>
        <w:t xml:space="preserve"> 4</w:t>
      </w:r>
      <w:r w:rsidR="003212A5">
        <w:t xml:space="preserve">. </w:t>
      </w:r>
    </w:p>
    <w:p w:rsidR="00716C1D" w:rsidP="009E08D8" w14:paraId="4B787D31" w14:textId="77777777"/>
    <w:p w:rsidR="003D16BE" w:rsidP="009E08D8" w14:paraId="4419E701" w14:textId="25CDCADE">
      <w:r>
        <w:t xml:space="preserve">Based on these numbers, EPA estimates SLTs reporting point sources without CAERS would spend 76 hours for annually reported sources and 325 hours for triennial reported sources. SLTs using CAERS </w:t>
      </w:r>
      <w:r w:rsidR="009A3E47">
        <w:t>case</w:t>
      </w:r>
      <w:r>
        <w:t xml:space="preserve"> 3 would have a burden reduction of </w:t>
      </w:r>
      <w:r w:rsidR="00FE2443">
        <w:t>41</w:t>
      </w:r>
      <w:r>
        <w:t xml:space="preserve">% in triennial years and </w:t>
      </w:r>
      <w:r w:rsidR="00FE2443">
        <w:t>34</w:t>
      </w:r>
      <w:r>
        <w:t xml:space="preserve">% in other years. Finally, SLTs using CAERS </w:t>
      </w:r>
      <w:r w:rsidR="009A3E47">
        <w:t>case</w:t>
      </w:r>
      <w:r>
        <w:t xml:space="preserve"> 4 would have a burden reduction of </w:t>
      </w:r>
      <w:r w:rsidR="00FE2443">
        <w:t>70</w:t>
      </w:r>
      <w:r>
        <w:t xml:space="preserve">% in triennial years and </w:t>
      </w:r>
      <w:r w:rsidR="00FE2443">
        <w:t>75</w:t>
      </w:r>
      <w:r>
        <w:t>% in other years.</w:t>
      </w:r>
    </w:p>
    <w:p w:rsidR="00402F60" w:rsidP="009E08D8" w14:paraId="62EC66B6" w14:textId="3B018483"/>
    <w:p w:rsidR="005926D1" w:rsidP="005926D1" w14:paraId="193987D4" w14:textId="7CABD7EA">
      <w:r w:rsidRPr="007464CD">
        <w:t xml:space="preserve">While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b includes both </w:t>
      </w:r>
      <w:r w:rsidR="00A63C96">
        <w:t xml:space="preserve">hours for reporting both </w:t>
      </w:r>
      <w:r w:rsidRPr="007464CD">
        <w:t xml:space="preserve">required and voluntary </w:t>
      </w:r>
      <w:r w:rsidR="00A63C96">
        <w:t>pollutants</w:t>
      </w:r>
      <w:r w:rsidRPr="007464CD">
        <w:t xml:space="preserve"> as a total, EPA has made assumptions about the proportion of activity occuring for CAP and HAP, depending on each of the reporting cases available. During the 2024-2026 period, the HAP reporting is voluntary, and thus the information in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c is used below in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 xml:space="preserve">a when providing cost information broken out by required and voluntary costs. To create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c, EPA assumed that the total reporting burdens from the summary rows of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b were divided as follows. For reporting without CAERS, 30% of the effort is associated with HAP reporting. For reporting with CAERS case 3 or 4, 20% of the effort is associated with HAP reporting. This lower fraction of burden for HAP reporting</w:t>
      </w:r>
      <w:r>
        <w:t xml:space="preserve"> via CAERS is based on the integrated nature with which CAERS provides for HAP reporting.</w:t>
      </w:r>
      <w:r w:rsidR="00EE4378">
        <w:t xml:space="preserve"> This table allows for voluntary versus required costs splits provided later in </w:t>
      </w:r>
      <w:r w:rsidR="00EE4378">
        <w:fldChar w:fldCharType="begin"/>
      </w:r>
      <w:r w:rsidR="00EE4378">
        <w:instrText xml:space="preserve"> REF _Ref107481236 \h </w:instrText>
      </w:r>
      <w:r w:rsidR="00EE4378">
        <w:fldChar w:fldCharType="separate"/>
      </w:r>
      <w:r w:rsidRPr="0020098E" w:rsidR="00646F0F">
        <w:t xml:space="preserve">Table </w:t>
      </w:r>
      <w:r w:rsidR="00646F0F">
        <w:rPr>
          <w:noProof/>
        </w:rPr>
        <w:t>8</w:t>
      </w:r>
      <w:r w:rsidR="00EE4378">
        <w:fldChar w:fldCharType="end"/>
      </w:r>
      <w:r w:rsidR="00EE4378">
        <w:t>a.</w:t>
      </w:r>
    </w:p>
    <w:p w:rsidR="005926D1" w:rsidP="009E08D8" w14:paraId="1D30D565" w14:textId="77777777"/>
    <w:p w:rsidR="00402F60" w:rsidP="00402F60" w14:paraId="35CBD828" w14:textId="387E636B">
      <w:r w:rsidRPr="0020098E">
        <w:fldChar w:fldCharType="begin"/>
      </w:r>
      <w:r w:rsidRPr="0020098E">
        <w:instrText xml:space="preserve"> REF _Ref106891332 \h  \* MERGEFORMAT </w:instrText>
      </w:r>
      <w:r w:rsidRPr="0020098E">
        <w:fldChar w:fldCharType="separate"/>
      </w:r>
      <w:r w:rsidRPr="0020098E" w:rsidR="00646F0F">
        <w:t xml:space="preserve">Table </w:t>
      </w:r>
      <w:r w:rsidR="00646F0F">
        <w:rPr>
          <w:noProof/>
        </w:rPr>
        <w:t>6</w:t>
      </w:r>
      <w:r w:rsidRPr="0020098E">
        <w:fldChar w:fldCharType="end"/>
      </w:r>
      <w:r w:rsidRPr="0020098E">
        <w:t>c:</w:t>
      </w:r>
      <w:r w:rsidRPr="00402F60">
        <w:t xml:space="preserve"> </w:t>
      </w:r>
      <w:r w:rsidR="005926D1">
        <w:t>Split of burden for CAP and HAP reporting.</w:t>
      </w:r>
    </w:p>
    <w:tbl>
      <w:tblPr>
        <w:tblW w:w="9526" w:type="dxa"/>
        <w:tblInd w:w="-10" w:type="dxa"/>
        <w:tblLook w:val="04A0"/>
      </w:tblPr>
      <w:tblGrid>
        <w:gridCol w:w="4320"/>
        <w:gridCol w:w="1298"/>
        <w:gridCol w:w="1298"/>
        <w:gridCol w:w="1316"/>
        <w:gridCol w:w="1294"/>
      </w:tblGrid>
      <w:tr w14:paraId="2CBAC6C4" w14:textId="77777777" w:rsidTr="005926D1">
        <w:tblPrEx>
          <w:tblW w:w="9526" w:type="dxa"/>
          <w:tblInd w:w="-10" w:type="dxa"/>
          <w:tblLook w:val="04A0"/>
        </w:tblPrEx>
        <w:trPr>
          <w:trHeight w:val="590"/>
        </w:trPr>
        <w:tc>
          <w:tcPr>
            <w:tcW w:w="4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2F60" w:rsidRPr="00402F60" w:rsidP="00402F60" w14:paraId="35EDB98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szCs w:val="22"/>
              </w:rPr>
            </w:pPr>
            <w:r w:rsidRPr="00402F60">
              <w:rPr>
                <w:rFonts w:ascii="Calibri" w:hAnsi="Calibri" w:cs="Calibri"/>
                <w:b/>
                <w:bCs/>
                <w:szCs w:val="22"/>
              </w:rPr>
              <w:t> </w:t>
            </w:r>
          </w:p>
        </w:tc>
        <w:tc>
          <w:tcPr>
            <w:tcW w:w="2596" w:type="dxa"/>
            <w:gridSpan w:val="2"/>
            <w:tcBorders>
              <w:top w:val="single" w:sz="8" w:space="0" w:color="auto"/>
              <w:left w:val="nil"/>
              <w:bottom w:val="single" w:sz="8" w:space="0" w:color="auto"/>
              <w:right w:val="single" w:sz="8" w:space="0" w:color="auto"/>
            </w:tcBorders>
            <w:shd w:val="clear" w:color="auto" w:fill="auto"/>
            <w:vAlign w:val="center"/>
            <w:hideMark/>
          </w:tcPr>
          <w:p w:rsidR="00402F60" w:rsidRPr="00402F60" w:rsidP="00402F60" w14:paraId="7BF456F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Hours Per Respondent</w:t>
            </w:r>
          </w:p>
        </w:tc>
        <w:tc>
          <w:tcPr>
            <w:tcW w:w="2610" w:type="dxa"/>
            <w:gridSpan w:val="2"/>
            <w:tcBorders>
              <w:top w:val="single" w:sz="8" w:space="0" w:color="auto"/>
              <w:left w:val="nil"/>
              <w:bottom w:val="single" w:sz="8" w:space="0" w:color="auto"/>
              <w:right w:val="single" w:sz="8" w:space="0" w:color="auto"/>
            </w:tcBorders>
            <w:shd w:val="clear" w:color="auto" w:fill="auto"/>
            <w:vAlign w:val="center"/>
            <w:hideMark/>
          </w:tcPr>
          <w:p w:rsidR="00402F60" w:rsidRPr="00402F60" w:rsidP="00402F60" w14:paraId="67B8845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Hours Per Respondent</w:t>
            </w:r>
          </w:p>
        </w:tc>
      </w:tr>
      <w:tr w14:paraId="73BB217D" w14:textId="77777777" w:rsidTr="005926D1">
        <w:tblPrEx>
          <w:tblW w:w="9526" w:type="dxa"/>
          <w:tblInd w:w="-10" w:type="dxa"/>
          <w:tblLook w:val="04A0"/>
        </w:tblPrEx>
        <w:trPr>
          <w:trHeight w:val="380"/>
        </w:trPr>
        <w:tc>
          <w:tcPr>
            <w:tcW w:w="4320" w:type="dxa"/>
            <w:tcBorders>
              <w:top w:val="nil"/>
              <w:left w:val="single" w:sz="8" w:space="0" w:color="auto"/>
              <w:bottom w:val="single" w:sz="8" w:space="0" w:color="auto"/>
              <w:right w:val="single" w:sz="8" w:space="0" w:color="auto"/>
            </w:tcBorders>
            <w:shd w:val="clear" w:color="auto" w:fill="auto"/>
            <w:noWrap/>
            <w:vAlign w:val="center"/>
            <w:hideMark/>
          </w:tcPr>
          <w:p w:rsidR="00402F60" w:rsidRPr="00402F60" w:rsidP="00402F60" w14:paraId="1468250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szCs w:val="22"/>
              </w:rPr>
            </w:pPr>
            <w:r w:rsidRPr="00402F60">
              <w:rPr>
                <w:rFonts w:ascii="Calibri" w:hAnsi="Calibri" w:cs="Calibri"/>
                <w:b/>
                <w:bCs/>
                <w:szCs w:val="22"/>
              </w:rPr>
              <w:t> </w:t>
            </w:r>
          </w:p>
        </w:tc>
        <w:tc>
          <w:tcPr>
            <w:tcW w:w="2596" w:type="dxa"/>
            <w:gridSpan w:val="2"/>
            <w:tcBorders>
              <w:top w:val="single" w:sz="8" w:space="0" w:color="auto"/>
              <w:left w:val="nil"/>
              <w:bottom w:val="single" w:sz="8" w:space="0" w:color="auto"/>
              <w:right w:val="single" w:sz="8" w:space="0" w:color="000000"/>
            </w:tcBorders>
            <w:shd w:val="clear" w:color="auto" w:fill="auto"/>
            <w:vAlign w:val="center"/>
            <w:hideMark/>
          </w:tcPr>
          <w:p w:rsidR="00402F60" w:rsidRPr="00402F60" w:rsidP="00402F60" w14:paraId="7A61062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CAPs</w:t>
            </w:r>
          </w:p>
        </w:tc>
        <w:tc>
          <w:tcPr>
            <w:tcW w:w="2610" w:type="dxa"/>
            <w:gridSpan w:val="2"/>
            <w:tcBorders>
              <w:top w:val="single" w:sz="8" w:space="0" w:color="auto"/>
              <w:left w:val="nil"/>
              <w:bottom w:val="single" w:sz="8" w:space="0" w:color="auto"/>
              <w:right w:val="single" w:sz="8" w:space="0" w:color="000000"/>
            </w:tcBorders>
            <w:shd w:val="clear" w:color="auto" w:fill="auto"/>
            <w:vAlign w:val="center"/>
            <w:hideMark/>
          </w:tcPr>
          <w:p w:rsidR="00402F60" w:rsidRPr="00402F60" w:rsidP="00402F60" w14:paraId="7736287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HAPs</w:t>
            </w:r>
          </w:p>
        </w:tc>
      </w:tr>
      <w:tr w14:paraId="652F46FF" w14:textId="77777777" w:rsidTr="005926D1">
        <w:tblPrEx>
          <w:tblW w:w="9526" w:type="dxa"/>
          <w:tblInd w:w="-10" w:type="dxa"/>
          <w:tblLook w:val="04A0"/>
        </w:tblPrEx>
        <w:trPr>
          <w:trHeight w:val="880"/>
        </w:trPr>
        <w:tc>
          <w:tcPr>
            <w:tcW w:w="4320" w:type="dxa"/>
            <w:tcBorders>
              <w:top w:val="nil"/>
              <w:left w:val="single" w:sz="8" w:space="0" w:color="auto"/>
              <w:bottom w:val="single" w:sz="8" w:space="0" w:color="auto"/>
              <w:right w:val="single" w:sz="8" w:space="0" w:color="auto"/>
            </w:tcBorders>
            <w:shd w:val="clear" w:color="auto" w:fill="auto"/>
            <w:noWrap/>
            <w:vAlign w:val="center"/>
            <w:hideMark/>
          </w:tcPr>
          <w:p w:rsidR="00402F60" w:rsidRPr="00402F60" w:rsidP="00402F60" w14:paraId="6D00A487" w14:textId="2CD9063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szCs w:val="22"/>
              </w:rPr>
            </w:pPr>
            <w:r>
              <w:rPr>
                <w:rFonts w:ascii="Calibri" w:hAnsi="Calibri" w:cs="Calibri"/>
                <w:b/>
                <w:bCs/>
                <w:szCs w:val="22"/>
              </w:rPr>
              <w:t>Activity</w:t>
            </w:r>
          </w:p>
        </w:tc>
        <w:tc>
          <w:tcPr>
            <w:tcW w:w="1298" w:type="dxa"/>
            <w:tcBorders>
              <w:top w:val="nil"/>
              <w:left w:val="nil"/>
              <w:bottom w:val="single" w:sz="8" w:space="0" w:color="auto"/>
              <w:right w:val="single" w:sz="8" w:space="0" w:color="auto"/>
            </w:tcBorders>
            <w:shd w:val="clear" w:color="auto" w:fill="auto"/>
            <w:vAlign w:val="center"/>
            <w:hideMark/>
          </w:tcPr>
          <w:p w:rsidR="00402F60" w:rsidRPr="00402F60" w:rsidP="00402F60" w14:paraId="4CB4D37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Engineering Managerial Hours/yr</w:t>
            </w:r>
          </w:p>
        </w:tc>
        <w:tc>
          <w:tcPr>
            <w:tcW w:w="1298" w:type="dxa"/>
            <w:tcBorders>
              <w:top w:val="nil"/>
              <w:left w:val="nil"/>
              <w:bottom w:val="single" w:sz="8" w:space="0" w:color="auto"/>
              <w:right w:val="single" w:sz="8" w:space="0" w:color="auto"/>
            </w:tcBorders>
            <w:shd w:val="clear" w:color="auto" w:fill="auto"/>
            <w:vAlign w:val="center"/>
            <w:hideMark/>
          </w:tcPr>
          <w:p w:rsidR="00402F60" w:rsidRPr="00402F60" w:rsidP="00402F60" w14:paraId="50206E6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Engineering Technical Hours/Yr</w:t>
            </w:r>
          </w:p>
        </w:tc>
        <w:tc>
          <w:tcPr>
            <w:tcW w:w="1316" w:type="dxa"/>
            <w:tcBorders>
              <w:top w:val="nil"/>
              <w:left w:val="nil"/>
              <w:bottom w:val="single" w:sz="8" w:space="0" w:color="auto"/>
              <w:right w:val="single" w:sz="8" w:space="0" w:color="auto"/>
            </w:tcBorders>
            <w:shd w:val="clear" w:color="auto" w:fill="auto"/>
            <w:vAlign w:val="center"/>
            <w:hideMark/>
          </w:tcPr>
          <w:p w:rsidR="00402F60" w:rsidRPr="00402F60" w:rsidP="00402F60" w14:paraId="0737D21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Engineering Managerial Hours/Yr</w:t>
            </w:r>
          </w:p>
        </w:tc>
        <w:tc>
          <w:tcPr>
            <w:tcW w:w="1294" w:type="dxa"/>
            <w:tcBorders>
              <w:top w:val="nil"/>
              <w:left w:val="nil"/>
              <w:bottom w:val="single" w:sz="8" w:space="0" w:color="auto"/>
              <w:right w:val="single" w:sz="8" w:space="0" w:color="auto"/>
            </w:tcBorders>
            <w:shd w:val="clear" w:color="auto" w:fill="auto"/>
            <w:vAlign w:val="center"/>
            <w:hideMark/>
          </w:tcPr>
          <w:p w:rsidR="00402F60" w:rsidRPr="00402F60" w:rsidP="00402F60" w14:paraId="0383751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szCs w:val="22"/>
              </w:rPr>
            </w:pPr>
            <w:r w:rsidRPr="00402F60">
              <w:rPr>
                <w:rFonts w:ascii="Calibri" w:hAnsi="Calibri" w:cs="Calibri"/>
                <w:b/>
                <w:bCs/>
                <w:szCs w:val="22"/>
              </w:rPr>
              <w:t>Engineering Technical Hours/Yr</w:t>
            </w:r>
          </w:p>
        </w:tc>
      </w:tr>
      <w:tr w14:paraId="41045D7F" w14:textId="77777777" w:rsidTr="005926D1">
        <w:tblPrEx>
          <w:tblW w:w="9526" w:type="dxa"/>
          <w:tblInd w:w="-10" w:type="dxa"/>
          <w:tblLook w:val="04A0"/>
        </w:tblPrEx>
        <w:trPr>
          <w:trHeight w:val="380"/>
        </w:trPr>
        <w:tc>
          <w:tcPr>
            <w:tcW w:w="4320" w:type="dxa"/>
            <w:tcBorders>
              <w:top w:val="nil"/>
              <w:left w:val="single" w:sz="8" w:space="0" w:color="auto"/>
              <w:bottom w:val="single" w:sz="8" w:space="0" w:color="auto"/>
              <w:right w:val="single" w:sz="8" w:space="0" w:color="auto"/>
            </w:tcBorders>
            <w:shd w:val="clear" w:color="auto" w:fill="auto"/>
            <w:noWrap/>
            <w:vAlign w:val="center"/>
            <w:hideMark/>
          </w:tcPr>
          <w:p w:rsidR="00402F60" w:rsidRPr="00402F60" w:rsidP="00402F60" w14:paraId="61C3907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60">
              <w:rPr>
                <w:rFonts w:ascii="Calibri" w:hAnsi="Calibri" w:cs="Calibri"/>
                <w:color w:val="000000"/>
                <w:szCs w:val="22"/>
              </w:rPr>
              <w:t>2024 and 2025 emissions reporting without CAERS</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2689C0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4.20</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0DBC326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49</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07E734A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1.80</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4BDB8ED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21</w:t>
            </w:r>
          </w:p>
        </w:tc>
      </w:tr>
      <w:tr w14:paraId="07C984DF" w14:textId="77777777" w:rsidTr="005926D1">
        <w:tblPrEx>
          <w:tblW w:w="9526" w:type="dxa"/>
          <w:tblInd w:w="-10" w:type="dxa"/>
          <w:tblLook w:val="04A0"/>
        </w:tblPrEx>
        <w:trPr>
          <w:trHeight w:val="300"/>
        </w:trPr>
        <w:tc>
          <w:tcPr>
            <w:tcW w:w="4320" w:type="dxa"/>
            <w:tcBorders>
              <w:top w:val="nil"/>
              <w:left w:val="single" w:sz="8" w:space="0" w:color="auto"/>
              <w:bottom w:val="single" w:sz="8" w:space="0" w:color="auto"/>
              <w:right w:val="single" w:sz="8" w:space="0" w:color="auto"/>
            </w:tcBorders>
            <w:shd w:val="clear" w:color="auto" w:fill="auto"/>
            <w:noWrap/>
            <w:vAlign w:val="center"/>
            <w:hideMark/>
          </w:tcPr>
          <w:p w:rsidR="00402F60" w:rsidRPr="00402F60" w:rsidP="00402F60" w14:paraId="5F83A73A" w14:textId="6E9735D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60">
              <w:rPr>
                <w:rFonts w:ascii="Calibri" w:hAnsi="Calibri" w:cs="Calibri"/>
                <w:color w:val="000000"/>
                <w:szCs w:val="22"/>
              </w:rPr>
              <w:t xml:space="preserve">2024 and 2025 emissions reporting with CAERS, </w:t>
            </w:r>
            <w:r w:rsidR="00CF71A4">
              <w:rPr>
                <w:rFonts w:ascii="Calibri" w:hAnsi="Calibri" w:cs="Calibri"/>
                <w:color w:val="000000"/>
                <w:szCs w:val="22"/>
              </w:rPr>
              <w:t>case</w:t>
            </w:r>
            <w:r w:rsidRPr="00402F60">
              <w:rPr>
                <w:rFonts w:ascii="Calibri" w:hAnsi="Calibri" w:cs="Calibri"/>
                <w:color w:val="000000"/>
                <w:szCs w:val="22"/>
              </w:rPr>
              <w:t xml:space="preserve"> 3</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58B350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3.20</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7235AEA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36.80</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1079385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0.80</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15736A8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9.20</w:t>
            </w:r>
          </w:p>
        </w:tc>
      </w:tr>
      <w:tr w14:paraId="49306F77" w14:textId="77777777" w:rsidTr="005926D1">
        <w:tblPrEx>
          <w:tblW w:w="9526" w:type="dxa"/>
          <w:tblInd w:w="-10" w:type="dxa"/>
          <w:tblLook w:val="04A0"/>
        </w:tblPrEx>
        <w:trPr>
          <w:trHeight w:val="300"/>
        </w:trPr>
        <w:tc>
          <w:tcPr>
            <w:tcW w:w="4320" w:type="dxa"/>
            <w:tcBorders>
              <w:top w:val="nil"/>
              <w:left w:val="single" w:sz="8" w:space="0" w:color="auto"/>
              <w:bottom w:val="single" w:sz="8" w:space="0" w:color="auto"/>
              <w:right w:val="single" w:sz="8" w:space="0" w:color="auto"/>
            </w:tcBorders>
            <w:shd w:val="clear" w:color="auto" w:fill="auto"/>
            <w:noWrap/>
            <w:vAlign w:val="center"/>
            <w:hideMark/>
          </w:tcPr>
          <w:p w:rsidR="00402F60" w:rsidRPr="00402F60" w:rsidP="00402F60" w14:paraId="58FB26B8" w14:textId="0AA1582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60">
              <w:rPr>
                <w:rFonts w:ascii="Calibri" w:hAnsi="Calibri" w:cs="Calibri"/>
                <w:color w:val="000000"/>
                <w:szCs w:val="22"/>
              </w:rPr>
              <w:t xml:space="preserve">2024 and 2025 emissions reporting with CAERS, </w:t>
            </w:r>
            <w:r w:rsidR="00CF71A4">
              <w:rPr>
                <w:rFonts w:ascii="Calibri" w:hAnsi="Calibri" w:cs="Calibri"/>
                <w:color w:val="000000"/>
                <w:szCs w:val="22"/>
              </w:rPr>
              <w:t>case</w:t>
            </w:r>
            <w:r w:rsidRPr="00402F60">
              <w:rPr>
                <w:rFonts w:ascii="Calibri" w:hAnsi="Calibri" w:cs="Calibri"/>
                <w:color w:val="000000"/>
                <w:szCs w:val="22"/>
              </w:rPr>
              <w:t xml:space="preserve"> 4</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3609342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2.40</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1A23088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12.80</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4D09D6C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0.60</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0D81D76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60">
              <w:rPr>
                <w:rFonts w:ascii="Calibri" w:hAnsi="Calibri" w:cs="Calibri"/>
                <w:color w:val="000000"/>
                <w:szCs w:val="22"/>
              </w:rPr>
              <w:t>3.20</w:t>
            </w:r>
          </w:p>
        </w:tc>
      </w:tr>
      <w:tr w14:paraId="67953A14" w14:textId="77777777" w:rsidTr="005926D1">
        <w:tblPrEx>
          <w:tblW w:w="9526" w:type="dxa"/>
          <w:tblInd w:w="-10" w:type="dxa"/>
          <w:tblLook w:val="04A0"/>
        </w:tblPrEx>
        <w:trPr>
          <w:trHeight w:val="590"/>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402F60" w:rsidRPr="00402F60" w:rsidP="00402F60" w14:paraId="6231102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szCs w:val="22"/>
              </w:rPr>
            </w:pPr>
            <w:r w:rsidRPr="00402F60">
              <w:rPr>
                <w:rFonts w:ascii="Calibri" w:hAnsi="Calibri" w:cs="Calibri"/>
                <w:szCs w:val="22"/>
              </w:rPr>
              <w:t>2026 emissions reporting, 3-year average triennial increment without CAERS</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0F45A5E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8.17</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7DFA3A7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67.67</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03A13C1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3.50</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5B8A66C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29</w:t>
            </w:r>
          </w:p>
        </w:tc>
      </w:tr>
      <w:tr w14:paraId="12D10D9A" w14:textId="77777777" w:rsidTr="005926D1">
        <w:tblPrEx>
          <w:tblW w:w="9526" w:type="dxa"/>
          <w:tblInd w:w="-10" w:type="dxa"/>
          <w:tblLook w:val="04A0"/>
        </w:tblPrEx>
        <w:trPr>
          <w:trHeight w:val="590"/>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402F60" w:rsidRPr="00402F60" w:rsidP="00402F60" w14:paraId="62E1F90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szCs w:val="22"/>
              </w:rPr>
            </w:pPr>
            <w:r w:rsidRPr="00402F60">
              <w:rPr>
                <w:rFonts w:ascii="Calibri" w:hAnsi="Calibri" w:cs="Calibri"/>
                <w:szCs w:val="22"/>
              </w:rPr>
              <w:t>2026 emissions reporting, 3-year average, triennial increment with CAERS, case 3</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121BE46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6.13</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531703B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45.33</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34F730D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1.53</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0A19976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11.33</w:t>
            </w:r>
          </w:p>
        </w:tc>
      </w:tr>
      <w:tr w14:paraId="2A43146A" w14:textId="77777777" w:rsidTr="005926D1">
        <w:tblPrEx>
          <w:tblW w:w="9526" w:type="dxa"/>
          <w:tblInd w:w="-10" w:type="dxa"/>
          <w:tblLook w:val="04A0"/>
        </w:tblPrEx>
        <w:trPr>
          <w:trHeight w:val="590"/>
        </w:trPr>
        <w:tc>
          <w:tcPr>
            <w:tcW w:w="4320" w:type="dxa"/>
            <w:tcBorders>
              <w:top w:val="nil"/>
              <w:left w:val="single" w:sz="8" w:space="0" w:color="auto"/>
              <w:bottom w:val="single" w:sz="8" w:space="0" w:color="auto"/>
              <w:right w:val="single" w:sz="8" w:space="0" w:color="auto"/>
            </w:tcBorders>
            <w:shd w:val="clear" w:color="auto" w:fill="auto"/>
            <w:vAlign w:val="center"/>
            <w:hideMark/>
          </w:tcPr>
          <w:p w:rsidR="00402F60" w:rsidRPr="00402F60" w:rsidP="00402F60" w14:paraId="79038A9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szCs w:val="22"/>
              </w:rPr>
            </w:pPr>
            <w:r w:rsidRPr="00402F60">
              <w:rPr>
                <w:rFonts w:ascii="Calibri" w:hAnsi="Calibri" w:cs="Calibri"/>
                <w:szCs w:val="22"/>
              </w:rPr>
              <w:t>2026 emissions reporting,  3-year average, triennial increment with CAERS, case 4</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17E96F5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4.27</w:t>
            </w:r>
          </w:p>
        </w:tc>
        <w:tc>
          <w:tcPr>
            <w:tcW w:w="1298" w:type="dxa"/>
            <w:tcBorders>
              <w:top w:val="nil"/>
              <w:left w:val="nil"/>
              <w:bottom w:val="single" w:sz="8" w:space="0" w:color="auto"/>
              <w:right w:val="single" w:sz="8" w:space="0" w:color="auto"/>
            </w:tcBorders>
            <w:shd w:val="clear" w:color="auto" w:fill="auto"/>
            <w:noWrap/>
            <w:vAlign w:val="center"/>
            <w:hideMark/>
          </w:tcPr>
          <w:p w:rsidR="00402F60" w:rsidRPr="00402F60" w:rsidP="00402F60" w14:paraId="71605EF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21.33</w:t>
            </w:r>
          </w:p>
        </w:tc>
        <w:tc>
          <w:tcPr>
            <w:tcW w:w="1316"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1927790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1.07</w:t>
            </w:r>
          </w:p>
        </w:tc>
        <w:tc>
          <w:tcPr>
            <w:tcW w:w="1294" w:type="dxa"/>
            <w:tcBorders>
              <w:top w:val="nil"/>
              <w:left w:val="nil"/>
              <w:bottom w:val="single" w:sz="8" w:space="0" w:color="auto"/>
              <w:right w:val="single" w:sz="8" w:space="0" w:color="auto"/>
            </w:tcBorders>
            <w:shd w:val="clear" w:color="auto" w:fill="auto"/>
            <w:noWrap/>
            <w:vAlign w:val="center"/>
            <w:hideMark/>
          </w:tcPr>
          <w:p w:rsidR="00402F60" w:rsidRPr="00402F60" w:rsidP="005926D1" w14:paraId="1A5AD8F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sidRPr="00402F60">
              <w:rPr>
                <w:rFonts w:ascii="Calibri" w:hAnsi="Calibri" w:cs="Calibri"/>
                <w:szCs w:val="22"/>
              </w:rPr>
              <w:t>5.33</w:t>
            </w:r>
          </w:p>
        </w:tc>
      </w:tr>
    </w:tbl>
    <w:p w:rsidR="0012524C" w:rsidP="009E08D8" w14:paraId="53D79504" w14:textId="562BC220"/>
    <w:p w:rsidR="00FE2443" w:rsidP="003C2FA0" w14:paraId="7101BB0B" w14:textId="4ED985F4">
      <w:pPr>
        <w:keepNext/>
        <w:rPr>
          <w:i/>
          <w:iCs/>
          <w:u w:val="single"/>
        </w:rPr>
      </w:pPr>
      <w:r>
        <w:rPr>
          <w:i/>
          <w:iCs/>
          <w:u w:val="single"/>
        </w:rPr>
        <w:t>Additional Triennial Reporting</w:t>
      </w:r>
      <w:r w:rsidR="00ED3519">
        <w:rPr>
          <w:i/>
          <w:iCs/>
          <w:u w:val="single"/>
        </w:rPr>
        <w:t xml:space="preserve"> for Nonpoint, Mobile, and Event Sources</w:t>
      </w:r>
    </w:p>
    <w:p w:rsidR="00FE2443" w:rsidRPr="007464CD" w:rsidP="009E08D8" w14:paraId="2D348063" w14:textId="37D7C3E8">
      <w:r>
        <w:t xml:space="preserve">In addition to </w:t>
      </w:r>
      <w:r w:rsidRPr="007464CD">
        <w:t xml:space="preserve">the </w:t>
      </w:r>
      <w:r w:rsidRPr="007464CD">
        <w:t>triennial</w:t>
      </w:r>
      <w:r w:rsidRPr="007464CD">
        <w:t xml:space="preserve"> point source reporting, </w:t>
      </w:r>
      <w:r w:rsidRPr="007464CD">
        <w:t xml:space="preserve">additional </w:t>
      </w:r>
      <w:r w:rsidRPr="007464CD" w:rsidR="00173D09">
        <w:t>activities</w:t>
      </w:r>
      <w:r w:rsidRPr="007464CD">
        <w:t xml:space="preserve"> are required for other source categories as listed in Section </w:t>
      </w:r>
      <w:r w:rsidRPr="007464CD">
        <w:fldChar w:fldCharType="begin"/>
      </w:r>
      <w:r w:rsidRPr="007464CD">
        <w:instrText xml:space="preserve"> REF _Ref106896333 \r \h </w:instrText>
      </w:r>
      <w:r w:rsidRPr="007464CD" w:rsidR="007464CD">
        <w:instrText xml:space="preserve"> \* MERGEFORMAT </w:instrText>
      </w:r>
      <w:r w:rsidRPr="007464CD">
        <w:fldChar w:fldCharType="separate"/>
      </w:r>
      <w:r w:rsidR="00646F0F">
        <w:t>12.3.3</w:t>
      </w:r>
      <w:r w:rsidRPr="007464CD">
        <w:fldChar w:fldCharType="end"/>
      </w:r>
      <w:r w:rsidRPr="007464CD">
        <w:t xml:space="preserve"> above. </w:t>
      </w:r>
      <w:r w:rsidRPr="007464CD" w:rsidR="00177FF9">
        <w:fldChar w:fldCharType="begin"/>
      </w:r>
      <w:r w:rsidRPr="007464CD" w:rsidR="00177FF9">
        <w:instrText xml:space="preserve"> REF _Ref106909225 \h  \* MERGEFORMAT </w:instrText>
      </w:r>
      <w:r w:rsidRPr="007464CD" w:rsidR="00177FF9">
        <w:fldChar w:fldCharType="separate"/>
      </w:r>
      <w:r w:rsidRPr="0020098E" w:rsidR="00646F0F">
        <w:t xml:space="preserve">Table </w:t>
      </w:r>
      <w:r w:rsidR="00646F0F">
        <w:rPr>
          <w:noProof/>
        </w:rPr>
        <w:t>7</w:t>
      </w:r>
      <w:r w:rsidRPr="007464CD" w:rsidR="00177FF9">
        <w:fldChar w:fldCharType="end"/>
      </w:r>
      <w:r w:rsidRPr="007464CD" w:rsidR="00177FF9">
        <w:t xml:space="preserve">a </w:t>
      </w:r>
      <w:r w:rsidRPr="007464CD" w:rsidR="00186ECC">
        <w:t xml:space="preserve">provides the average hour burden estimates for </w:t>
      </w:r>
      <w:r w:rsidRPr="007464CD" w:rsidR="00177FF9">
        <w:t>states (not local</w:t>
      </w:r>
      <w:r w:rsidRPr="007464CD" w:rsidR="00FD48C4">
        <w:t xml:space="preserve"> agencies</w:t>
      </w:r>
      <w:r w:rsidRPr="007464CD" w:rsidR="00177FF9">
        <w:t xml:space="preserve"> or tribes)</w:t>
      </w:r>
      <w:r w:rsidRPr="007464CD" w:rsidR="00186ECC">
        <w:t xml:space="preserve"> to perform </w:t>
      </w:r>
      <w:r w:rsidRPr="007464CD" w:rsidR="00177FF9">
        <w:t xml:space="preserve">the </w:t>
      </w:r>
      <w:r w:rsidRPr="007464CD" w:rsidR="00186ECC">
        <w:t>ste</w:t>
      </w:r>
      <w:r w:rsidRPr="007464CD" w:rsidR="00177FF9">
        <w:t>ps that would be required by the AERR or that could be done voluntarily by states on triennial years for</w:t>
      </w:r>
      <w:r w:rsidRPr="007464CD" w:rsidR="00186ECC">
        <w:t xml:space="preserve"> </w:t>
      </w:r>
      <w:r w:rsidRPr="007464CD" w:rsidR="00177FF9">
        <w:t xml:space="preserve">nonpoint sources, </w:t>
      </w:r>
      <w:r w:rsidRPr="007464CD" w:rsidR="00186ECC">
        <w:t>airports, railyards, locomotives, commercial marine vessels, and onroad and nonroad mobile sources.</w:t>
      </w:r>
      <w:r w:rsidRPr="007464CD" w:rsidR="00177FF9">
        <w:t xml:space="preserve"> This table also provides the assumed number of states and territories for which </w:t>
      </w:r>
      <w:r w:rsidRPr="007464CD" w:rsidR="00143D95">
        <w:t>each activity</w:t>
      </w:r>
      <w:r w:rsidRPr="007464CD" w:rsidR="00177FF9">
        <w:t xml:space="preserve"> would apply. </w:t>
      </w:r>
      <w:r w:rsidRPr="007464CD" w:rsidR="000742C8">
        <w:t xml:space="preserve">Where these values do not equal the total number of states or territories, it is because with the many ways to comply with the AERR requirements, states and territories choose different approaches. </w:t>
      </w:r>
      <w:r w:rsidRPr="007464CD" w:rsidR="00177FF9">
        <w:t xml:space="preserve">Similarly, </w:t>
      </w:r>
      <w:r w:rsidRPr="007464CD" w:rsidR="00177FF9">
        <w:fldChar w:fldCharType="begin"/>
      </w:r>
      <w:r w:rsidRPr="007464CD" w:rsidR="00177FF9">
        <w:instrText xml:space="preserve"> REF _Ref106909225 \h  \* MERGEFORMAT </w:instrText>
      </w:r>
      <w:r w:rsidRPr="007464CD" w:rsidR="00177FF9">
        <w:fldChar w:fldCharType="separate"/>
      </w:r>
      <w:r w:rsidRPr="0020098E" w:rsidR="00646F0F">
        <w:t xml:space="preserve">Table </w:t>
      </w:r>
      <w:r w:rsidR="00646F0F">
        <w:rPr>
          <w:noProof/>
        </w:rPr>
        <w:t>7</w:t>
      </w:r>
      <w:r w:rsidRPr="007464CD" w:rsidR="00177FF9">
        <w:fldChar w:fldCharType="end"/>
      </w:r>
      <w:r w:rsidRPr="007464CD" w:rsidR="000742C8">
        <w:t>c</w:t>
      </w:r>
      <w:r w:rsidRPr="007464CD" w:rsidR="00177FF9">
        <w:t xml:space="preserve"> provides the average hour burden estimates and affected entities for local and tribal agencies.</w:t>
      </w:r>
    </w:p>
    <w:p w:rsidR="00FE2443" w:rsidP="009E08D8" w14:paraId="67089DA5" w14:textId="77777777"/>
    <w:p w:rsidR="002D454C" w:rsidRPr="007255E5" w:rsidP="007255E5" w14:paraId="7F29C05C" w14:textId="2E7CD9A5">
      <w:pPr>
        <w:pStyle w:val="Caption"/>
        <w:rPr>
          <w:b/>
          <w:bCs/>
        </w:rPr>
      </w:pPr>
      <w:bookmarkStart w:id="19" w:name="_Ref106909225"/>
      <w:r w:rsidRPr="0020098E">
        <w:t xml:space="preserve">Table </w:t>
      </w:r>
      <w:r w:rsidR="00E05ECE">
        <w:fldChar w:fldCharType="begin"/>
      </w:r>
      <w:r w:rsidR="00E05ECE">
        <w:instrText xml:space="preserve"> SEQ Table \* ARABIC </w:instrText>
      </w:r>
      <w:r w:rsidR="00E05ECE">
        <w:fldChar w:fldCharType="separate"/>
      </w:r>
      <w:r w:rsidR="00646F0F">
        <w:rPr>
          <w:noProof/>
        </w:rPr>
        <w:t>7</w:t>
      </w:r>
      <w:r w:rsidR="00E05ECE">
        <w:rPr>
          <w:noProof/>
        </w:rPr>
        <w:fldChar w:fldCharType="end"/>
      </w:r>
      <w:bookmarkEnd w:id="19"/>
      <w:r w:rsidRPr="0020098E">
        <w:t>a:</w:t>
      </w:r>
      <w:r w:rsidRPr="007255E5">
        <w:rPr>
          <w:b/>
          <w:bCs/>
        </w:rPr>
        <w:t xml:space="preserve"> </w:t>
      </w:r>
      <w:r w:rsidRPr="00177FF9" w:rsidR="00177FF9">
        <w:t>State nonpoint, mobile, and other reporting burden hours by activity</w:t>
      </w:r>
      <w:r w:rsidR="00177FF9">
        <w:rPr>
          <w:b/>
          <w:bCs/>
        </w:rPr>
        <w:t xml:space="preserve"> </w:t>
      </w:r>
    </w:p>
    <w:tbl>
      <w:tblPr>
        <w:tblW w:w="9278" w:type="dxa"/>
        <w:tblLook w:val="04A0"/>
      </w:tblPr>
      <w:tblGrid>
        <w:gridCol w:w="4830"/>
        <w:gridCol w:w="790"/>
        <w:gridCol w:w="1390"/>
        <w:gridCol w:w="1470"/>
        <w:gridCol w:w="305"/>
        <w:gridCol w:w="244"/>
        <w:gridCol w:w="242"/>
        <w:gridCol w:w="7"/>
      </w:tblGrid>
      <w:tr w14:paraId="410D859D" w14:textId="77777777" w:rsidTr="00F22EDB">
        <w:tblPrEx>
          <w:tblW w:w="9278" w:type="dxa"/>
          <w:tblLook w:val="04A0"/>
        </w:tblPrEx>
        <w:trPr>
          <w:trHeight w:val="300"/>
          <w:tblHeader/>
        </w:trPr>
        <w:tc>
          <w:tcPr>
            <w:tcW w:w="4830" w:type="dxa"/>
            <w:tcBorders>
              <w:top w:val="single" w:sz="8" w:space="0" w:color="000000"/>
              <w:left w:val="single" w:sz="8" w:space="0" w:color="000000"/>
              <w:bottom w:val="nil"/>
              <w:right w:val="nil"/>
            </w:tcBorders>
            <w:shd w:val="clear" w:color="auto" w:fill="auto"/>
            <w:vAlign w:val="center"/>
            <w:hideMark/>
          </w:tcPr>
          <w:p w:rsidR="00F22EDB" w:rsidRPr="007255E5" w:rsidP="00177FF9" w14:paraId="159BE7C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 </w:t>
            </w:r>
          </w:p>
        </w:tc>
        <w:tc>
          <w:tcPr>
            <w:tcW w:w="790" w:type="dxa"/>
            <w:tcBorders>
              <w:top w:val="single" w:sz="8" w:space="0" w:color="000000"/>
              <w:left w:val="single" w:sz="8" w:space="0" w:color="000000"/>
              <w:bottom w:val="nil"/>
              <w:right w:val="nil"/>
            </w:tcBorders>
            <w:shd w:val="clear" w:color="auto" w:fill="auto"/>
            <w:vAlign w:val="center"/>
            <w:hideMark/>
          </w:tcPr>
          <w:p w:rsidR="00F22EDB" w:rsidRPr="007255E5" w:rsidP="00177FF9" w14:paraId="19182A7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 </w:t>
            </w:r>
          </w:p>
        </w:tc>
        <w:tc>
          <w:tcPr>
            <w:tcW w:w="3165" w:type="dxa"/>
            <w:gridSpan w:val="3"/>
            <w:tcBorders>
              <w:top w:val="single" w:sz="8" w:space="0" w:color="000000"/>
              <w:left w:val="single" w:sz="8" w:space="0" w:color="000000"/>
              <w:bottom w:val="single" w:sz="8" w:space="0" w:color="000000"/>
            </w:tcBorders>
            <w:shd w:val="clear" w:color="auto" w:fill="auto"/>
            <w:vAlign w:val="center"/>
            <w:hideMark/>
          </w:tcPr>
          <w:p w:rsidR="00F22EDB" w:rsidRPr="007255E5" w:rsidP="00177FF9" w14:paraId="5EC84560" w14:textId="1FEBCCB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b/>
                <w:bCs/>
                <w:color w:val="000000"/>
              </w:rPr>
              <w:t xml:space="preserve">         </w:t>
            </w:r>
            <w:r w:rsidRPr="007255E5">
              <w:rPr>
                <w:b/>
                <w:bCs/>
                <w:color w:val="000000"/>
              </w:rPr>
              <w:t>Hours Per Respondent</w:t>
            </w:r>
          </w:p>
        </w:tc>
        <w:tc>
          <w:tcPr>
            <w:tcW w:w="244" w:type="dxa"/>
            <w:tcBorders>
              <w:top w:val="single" w:sz="8" w:space="0" w:color="000000"/>
              <w:bottom w:val="single" w:sz="8" w:space="0" w:color="000000"/>
            </w:tcBorders>
            <w:shd w:val="clear" w:color="auto" w:fill="auto"/>
            <w:vAlign w:val="center"/>
          </w:tcPr>
          <w:p w:rsidR="00F22EDB" w:rsidRPr="007255E5" w:rsidP="00177FF9" w14:paraId="441A4DB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249" w:type="dxa"/>
            <w:gridSpan w:val="2"/>
            <w:tcBorders>
              <w:top w:val="single" w:sz="8" w:space="0" w:color="000000"/>
              <w:bottom w:val="single" w:sz="8" w:space="0" w:color="000000"/>
              <w:right w:val="single" w:sz="4" w:space="0" w:color="000000"/>
            </w:tcBorders>
            <w:shd w:val="clear" w:color="auto" w:fill="auto"/>
            <w:vAlign w:val="center"/>
          </w:tcPr>
          <w:p w:rsidR="00F22EDB" w:rsidRPr="007255E5" w:rsidP="00177FF9" w14:paraId="4F2106C5" w14:textId="0577C4D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5FA44756" w14:textId="77777777" w:rsidTr="00A34D4C">
        <w:tblPrEx>
          <w:tblW w:w="9278" w:type="dxa"/>
          <w:tblLook w:val="04A0"/>
        </w:tblPrEx>
        <w:trPr>
          <w:gridAfter w:val="1"/>
          <w:wAfter w:w="7" w:type="dxa"/>
          <w:trHeight w:val="853"/>
          <w:tblHeader/>
        </w:trPr>
        <w:tc>
          <w:tcPr>
            <w:tcW w:w="4830" w:type="dxa"/>
            <w:tcBorders>
              <w:top w:val="nil"/>
              <w:left w:val="single" w:sz="8" w:space="0" w:color="000000"/>
              <w:bottom w:val="single" w:sz="8" w:space="0" w:color="auto"/>
              <w:right w:val="nil"/>
            </w:tcBorders>
            <w:shd w:val="clear" w:color="auto" w:fill="auto"/>
            <w:vAlign w:val="bottom"/>
            <w:hideMark/>
          </w:tcPr>
          <w:p w:rsidR="007255E5" w:rsidRPr="007255E5" w:rsidP="00177FF9" w14:paraId="3ECBADE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Activity</w:t>
            </w:r>
          </w:p>
        </w:tc>
        <w:tc>
          <w:tcPr>
            <w:tcW w:w="790" w:type="dxa"/>
            <w:tcBorders>
              <w:top w:val="nil"/>
              <w:left w:val="single" w:sz="8" w:space="0" w:color="000000"/>
              <w:bottom w:val="single" w:sz="8" w:space="0" w:color="auto"/>
              <w:right w:val="nil"/>
            </w:tcBorders>
            <w:shd w:val="clear" w:color="auto" w:fill="auto"/>
            <w:vAlign w:val="bottom"/>
            <w:hideMark/>
          </w:tcPr>
          <w:p w:rsidR="007255E5" w:rsidRPr="007255E5" w:rsidP="00177FF9" w14:paraId="26DB56E7" w14:textId="2726C3B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State</w:t>
            </w:r>
            <w:r w:rsidRPr="00177FF9">
              <w:rPr>
                <w:b/>
                <w:bCs/>
                <w:color w:val="000000"/>
              </w:rPr>
              <w:t xml:space="preserve"> </w:t>
            </w:r>
            <w:r w:rsidRPr="007255E5">
              <w:rPr>
                <w:b/>
                <w:bCs/>
                <w:color w:val="000000"/>
              </w:rPr>
              <w:t>count</w:t>
            </w:r>
          </w:p>
        </w:tc>
        <w:tc>
          <w:tcPr>
            <w:tcW w:w="1390" w:type="dxa"/>
            <w:tcBorders>
              <w:top w:val="nil"/>
              <w:left w:val="single" w:sz="8" w:space="0" w:color="000000"/>
              <w:bottom w:val="single" w:sz="8" w:space="0" w:color="auto"/>
              <w:right w:val="nil"/>
            </w:tcBorders>
            <w:shd w:val="clear" w:color="auto" w:fill="auto"/>
            <w:vAlign w:val="bottom"/>
            <w:hideMark/>
          </w:tcPr>
          <w:p w:rsidR="007255E5" w:rsidRPr="007255E5" w:rsidP="00177FF9" w14:paraId="47A1A98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Engineering Managerial Hours</w:t>
            </w:r>
          </w:p>
        </w:tc>
        <w:tc>
          <w:tcPr>
            <w:tcW w:w="1470" w:type="dxa"/>
            <w:tcBorders>
              <w:top w:val="nil"/>
              <w:left w:val="single" w:sz="8" w:space="0" w:color="000000"/>
              <w:bottom w:val="single" w:sz="8" w:space="0" w:color="auto"/>
              <w:right w:val="nil"/>
            </w:tcBorders>
            <w:shd w:val="clear" w:color="auto" w:fill="auto"/>
            <w:vAlign w:val="bottom"/>
            <w:hideMark/>
          </w:tcPr>
          <w:p w:rsidR="007255E5" w:rsidRPr="007255E5" w:rsidP="00177FF9" w14:paraId="1FF21A3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Engineering Technical Hours</w:t>
            </w:r>
          </w:p>
        </w:tc>
        <w:tc>
          <w:tcPr>
            <w:tcW w:w="791" w:type="dxa"/>
            <w:gridSpan w:val="3"/>
            <w:tcBorders>
              <w:top w:val="nil"/>
              <w:left w:val="single" w:sz="8" w:space="0" w:color="000000"/>
              <w:bottom w:val="single" w:sz="8" w:space="0" w:color="auto"/>
              <w:right w:val="single" w:sz="8" w:space="0" w:color="000000"/>
            </w:tcBorders>
            <w:shd w:val="clear" w:color="auto" w:fill="auto"/>
            <w:vAlign w:val="bottom"/>
            <w:hideMark/>
          </w:tcPr>
          <w:p w:rsidR="007255E5" w:rsidRPr="007255E5" w:rsidP="00177FF9" w14:paraId="25E5100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Total</w:t>
            </w:r>
          </w:p>
        </w:tc>
      </w:tr>
      <w:tr w14:paraId="4818F9F3" w14:textId="77777777" w:rsidTr="00A34D4C">
        <w:tblPrEx>
          <w:tblW w:w="9278" w:type="dxa"/>
          <w:tblLook w:val="04A0"/>
        </w:tblPrEx>
        <w:trPr>
          <w:gridAfter w:val="1"/>
          <w:wAfter w:w="7" w:type="dxa"/>
          <w:trHeight w:val="432"/>
        </w:trPr>
        <w:tc>
          <w:tcPr>
            <w:tcW w:w="483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7255E5" w:rsidRPr="00177FF9" w:rsidP="00177FF9" w14:paraId="5DC9FCC1" w14:textId="0FD8AA7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177FF9">
              <w:rPr>
                <w:b/>
                <w:bCs/>
                <w:color w:val="000000"/>
              </w:rPr>
              <w:t>Required Activities</w:t>
            </w:r>
          </w:p>
        </w:tc>
        <w:tc>
          <w:tcPr>
            <w:tcW w:w="7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7255E5" w:rsidRPr="00177FF9" w:rsidP="007255E5" w14:paraId="28F25F5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13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7255E5" w:rsidRPr="00177FF9" w:rsidP="007255E5" w14:paraId="7541582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14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7255E5" w:rsidRPr="00177FF9" w:rsidP="007255E5" w14:paraId="66E013E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79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tcPr>
          <w:p w:rsidR="007255E5" w:rsidRPr="00177FF9" w:rsidP="007255E5" w14:paraId="3D6789A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4C6FDF27" w14:textId="77777777" w:rsidTr="00A34D4C">
        <w:tblPrEx>
          <w:tblW w:w="9278" w:type="dxa"/>
          <w:tblLook w:val="04A0"/>
        </w:tblPrEx>
        <w:trPr>
          <w:gridAfter w:val="1"/>
          <w:wAfter w:w="7" w:type="dxa"/>
          <w:trHeight w:val="302"/>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661B5E" w14:paraId="60FC5167" w14:textId="4131BDCD">
            <w:pPr>
              <w:pStyle w:val="ListParagraph"/>
              <w:keepNext/>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1"/>
              <w:rPr>
                <w:color w:val="000000"/>
              </w:rPr>
            </w:pPr>
            <w:r w:rsidRPr="00177FF9">
              <w:rPr>
                <w:color w:val="000000"/>
              </w:rPr>
              <w:t xml:space="preserve">Complete Nonpoint Survey </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4ACBD7AD" w14:textId="0CCAB0C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54</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091DD9F9" w14:textId="251E8EF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593FDBEE" w14:textId="0DA722C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01E51554" w14:textId="1D5BB3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42</w:t>
            </w:r>
          </w:p>
        </w:tc>
      </w:tr>
      <w:tr w14:paraId="1251A956"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7AD0B861" w14:textId="2B48B5A2">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Report inputs for EPA nonpoint tools or review, comment and/or accept EPA data.</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343E5095" w14:textId="3F9A3E6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54</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55A63AF8" w14:textId="3E74CAB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62</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653129F0" w14:textId="5804E9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1,231</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2A22C0F8" w14:textId="7EFB7D4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1,293</w:t>
            </w:r>
          </w:p>
        </w:tc>
      </w:tr>
      <w:tr w14:paraId="7665E3C0"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61DA0768" w14:textId="4C1358D6">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 xml:space="preserve">Report emissions </w:t>
            </w:r>
            <w:r w:rsidR="007F625D">
              <w:rPr>
                <w:color w:val="000000"/>
              </w:rPr>
              <w:t xml:space="preserve">and documentation </w:t>
            </w:r>
            <w:r w:rsidRPr="00177FF9">
              <w:rPr>
                <w:color w:val="000000"/>
              </w:rPr>
              <w:t>for sectors not included in nonpoint tools</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045AFF58" w14:textId="258319F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18</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32028F4A" w14:textId="67244F9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273FC5D4" w14:textId="283574D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240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5495157B" w14:textId="5F456AE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252</w:t>
            </w:r>
          </w:p>
        </w:tc>
      </w:tr>
      <w:tr w14:paraId="2584C1CF"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3DDF354F" w14:textId="24736D37">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Adjust nonpoint submissions for boundaries</w:t>
            </w:r>
            <w:r w:rsidR="00A34D4C">
              <w:rPr>
                <w:color w:val="000000"/>
              </w:rPr>
              <w:t xml:space="preserve"> of Indian country</w:t>
            </w:r>
          </w:p>
        </w:tc>
        <w:tc>
          <w:tcPr>
            <w:tcW w:w="7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370CFB94" w14:textId="461A538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081C3B7B" w14:textId="267E8AF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3E228193" w14:textId="6FDF7BC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64</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4CD1BE77" w14:textId="56A905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68</w:t>
            </w:r>
          </w:p>
        </w:tc>
      </w:tr>
      <w:tr w14:paraId="409BAB5B"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710BEF39" w14:textId="7CB6A325">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Submit or review, comment, and/or accept EPA airport activity data</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71E5536B" w14:textId="66567D0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54</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05BE1780" w14:textId="26BA08B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68984511" w14:textId="05BE3F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349E8687" w14:textId="401B30C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42</w:t>
            </w:r>
          </w:p>
        </w:tc>
      </w:tr>
      <w:tr w14:paraId="6959DFAF"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2F099262" w14:textId="13DD95F4">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Submit or review, comment, and/or accept EPA rail yard activity data</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1D4188A7" w14:textId="291C8BD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43</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76243A58" w14:textId="37A6020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66DF2D57" w14:textId="4D2F33B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16</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1ADB47B0" w14:textId="77975DA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17</w:t>
            </w:r>
          </w:p>
        </w:tc>
      </w:tr>
      <w:tr w14:paraId="2BC2A339" w14:textId="77777777" w:rsidTr="00A34D4C">
        <w:tblPrEx>
          <w:tblW w:w="9278" w:type="dxa"/>
          <w:tblLook w:val="04A0"/>
        </w:tblPrEx>
        <w:trPr>
          <w:gridAfter w:val="1"/>
          <w:wAfter w:w="7" w:type="dxa"/>
          <w:trHeight w:val="864"/>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37E737FB" w14:textId="4E15AD19">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bookmarkStart w:id="20" w:name="_Hlk117691238"/>
            <w:r w:rsidRPr="00177FF9">
              <w:rPr>
                <w:color w:val="000000"/>
              </w:rPr>
              <w:t>Submit CMV and locomotive emissions data and documentation or review, comment, and/or accept EPA emissions estimates.</w:t>
            </w:r>
            <w:bookmarkEnd w:id="20"/>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3C5B783E" w14:textId="79EF243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42</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1C20B71F" w14:textId="6CB67C2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2E1DD683" w14:textId="3E3F920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49BB268C" w14:textId="5900833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84</w:t>
            </w:r>
          </w:p>
        </w:tc>
      </w:tr>
      <w:tr w14:paraId="1E969CCF"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64FC9DCB" w14:textId="364A91D1">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Pr>
                <w:color w:val="000000"/>
              </w:rPr>
              <w:t>For all states but California, r</w:t>
            </w:r>
            <w:r w:rsidRPr="00177FF9">
              <w:rPr>
                <w:color w:val="000000"/>
              </w:rPr>
              <w:t>eport MOVES inputs</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4A3E57A7" w14:textId="20D6B94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53</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54B57284" w14:textId="2BA88B1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6</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4FF70B6B" w14:textId="2580E7D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537DDD10" w14:textId="04CFE46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126</w:t>
            </w:r>
          </w:p>
        </w:tc>
      </w:tr>
      <w:tr w14:paraId="5F1EFA1A"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177FF9" w:rsidP="009B7ABD" w14:paraId="130A7D8E" w14:textId="2125A07B">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7FF9">
              <w:rPr>
                <w:color w:val="000000"/>
              </w:rPr>
              <w:t>For California, report onroad and nonroad emissions and documentation</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147F6796" w14:textId="69A942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76B5A567" w14:textId="46F9829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9</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7ABD" w:rsidRPr="007255E5" w:rsidP="009B7ABD" w14:paraId="31975E4C" w14:textId="074F9B3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180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9B7ABD" w:rsidRPr="007255E5" w:rsidP="009B7ABD" w14:paraId="17096972" w14:textId="18C7E4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189</w:t>
            </w:r>
          </w:p>
        </w:tc>
      </w:tr>
      <w:tr w14:paraId="440E8B0C" w14:textId="77777777" w:rsidTr="00A34D4C">
        <w:tblPrEx>
          <w:tblW w:w="9278" w:type="dxa"/>
          <w:tblLook w:val="04A0"/>
        </w:tblPrEx>
        <w:trPr>
          <w:gridAfter w:val="1"/>
          <w:wAfter w:w="7" w:type="dxa"/>
          <w:trHeight w:val="432"/>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tcPr>
          <w:p w:rsidR="009B7ABD" w:rsidRPr="007D6009" w:rsidP="009B7ABD" w14:paraId="1206C8EC" w14:textId="53477A2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Pr>
                <w:rFonts w:ascii="Calibri" w:hAnsi="Calibri" w:cs="Calibri"/>
                <w:b/>
                <w:bCs/>
                <w:color w:val="000000"/>
                <w:szCs w:val="22"/>
              </w:rPr>
              <w:t>Average hours per state, required activities</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tcPr>
          <w:p w:rsidR="009B7ABD" w:rsidRPr="007D6009" w:rsidP="009B7ABD" w14:paraId="2956C833" w14:textId="3843606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b/>
                <w:bCs/>
                <w:color w:val="000000"/>
                <w:szCs w:val="22"/>
              </w:rPr>
              <w:t>54</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rsidR="009B7ABD" w:rsidRPr="007D6009" w:rsidP="009B7ABD" w14:paraId="014B046E" w14:textId="53E2941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b/>
                <w:bCs/>
                <w:color w:val="000000"/>
                <w:szCs w:val="22"/>
              </w:rPr>
              <w:t>80</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B7ABD" w:rsidRPr="007D6009" w:rsidP="009B7ABD" w14:paraId="35F59068" w14:textId="633FBE3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b/>
                <w:bCs/>
                <w:color w:val="000000"/>
                <w:szCs w:val="22"/>
              </w:rPr>
              <w:t>1,592</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B7ABD" w:rsidRPr="007D6009" w:rsidP="009B7ABD" w14:paraId="28B1B236" w14:textId="7C25E88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b/>
                <w:bCs/>
                <w:color w:val="000000"/>
                <w:szCs w:val="22"/>
              </w:rPr>
              <w:t>1,672</w:t>
            </w:r>
          </w:p>
        </w:tc>
      </w:tr>
      <w:tr w14:paraId="1C24D3F2" w14:textId="77777777" w:rsidTr="00A34D4C">
        <w:tblPrEx>
          <w:tblW w:w="9278" w:type="dxa"/>
          <w:tblLook w:val="04A0"/>
        </w:tblPrEx>
        <w:trPr>
          <w:gridAfter w:val="1"/>
          <w:wAfter w:w="7" w:type="dxa"/>
          <w:trHeight w:val="432"/>
        </w:trPr>
        <w:tc>
          <w:tcPr>
            <w:tcW w:w="4830" w:type="dxa"/>
            <w:tcBorders>
              <w:top w:val="single" w:sz="8" w:space="0" w:color="auto"/>
              <w:left w:val="single" w:sz="8" w:space="0" w:color="auto"/>
              <w:bottom w:val="single" w:sz="8" w:space="0" w:color="auto"/>
            </w:tcBorders>
            <w:shd w:val="clear" w:color="auto" w:fill="D9D9D9" w:themeFill="background1" w:themeFillShade="D9"/>
            <w:vAlign w:val="center"/>
          </w:tcPr>
          <w:p w:rsidR="007255E5" w:rsidRPr="00177FF9" w:rsidP="00D10DF5" w14:paraId="2D9FA900" w14:textId="51E656E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177FF9">
              <w:rPr>
                <w:b/>
                <w:bCs/>
                <w:color w:val="000000"/>
              </w:rPr>
              <w:t>Voluntary Activities</w:t>
            </w:r>
          </w:p>
        </w:tc>
        <w:tc>
          <w:tcPr>
            <w:tcW w:w="790" w:type="dxa"/>
            <w:tcBorders>
              <w:top w:val="single" w:sz="8" w:space="0" w:color="auto"/>
              <w:bottom w:val="single" w:sz="8" w:space="0" w:color="auto"/>
            </w:tcBorders>
            <w:shd w:val="clear" w:color="auto" w:fill="D9D9D9" w:themeFill="background1" w:themeFillShade="D9"/>
            <w:vAlign w:val="center"/>
          </w:tcPr>
          <w:p w:rsidR="007255E5" w:rsidRPr="00177FF9" w:rsidP="00D10DF5" w14:paraId="61233C2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1390" w:type="dxa"/>
            <w:tcBorders>
              <w:top w:val="single" w:sz="8" w:space="0" w:color="auto"/>
              <w:bottom w:val="single" w:sz="8" w:space="0" w:color="auto"/>
            </w:tcBorders>
            <w:shd w:val="clear" w:color="auto" w:fill="D9D9D9" w:themeFill="background1" w:themeFillShade="D9"/>
            <w:vAlign w:val="center"/>
          </w:tcPr>
          <w:p w:rsidR="007255E5" w:rsidRPr="00177FF9" w:rsidP="00D10DF5" w14:paraId="1FC7146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1470" w:type="dxa"/>
            <w:tcBorders>
              <w:top w:val="single" w:sz="8" w:space="0" w:color="auto"/>
              <w:bottom w:val="single" w:sz="8" w:space="0" w:color="auto"/>
            </w:tcBorders>
            <w:shd w:val="clear" w:color="auto" w:fill="D9D9D9" w:themeFill="background1" w:themeFillShade="D9"/>
            <w:noWrap/>
            <w:vAlign w:val="center"/>
          </w:tcPr>
          <w:p w:rsidR="007255E5" w:rsidRPr="00177FF9" w:rsidP="00D10DF5" w14:paraId="3367BA9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791" w:type="dxa"/>
            <w:gridSpan w:val="3"/>
            <w:tcBorders>
              <w:top w:val="single" w:sz="8" w:space="0" w:color="auto"/>
              <w:bottom w:val="single" w:sz="8" w:space="0" w:color="auto"/>
              <w:right w:val="single" w:sz="8" w:space="0" w:color="auto"/>
            </w:tcBorders>
            <w:shd w:val="clear" w:color="auto" w:fill="D9D9D9" w:themeFill="background1" w:themeFillShade="D9"/>
            <w:vAlign w:val="center"/>
          </w:tcPr>
          <w:p w:rsidR="007255E5" w:rsidRPr="00177FF9" w:rsidP="00D10DF5" w14:paraId="2D6F268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68CCF08E" w14:textId="77777777" w:rsidTr="00A34D4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F17B08" w14:paraId="795A9340" w14:textId="796C1CB1">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43D95">
              <w:rPr>
                <w:color w:val="000000"/>
              </w:rPr>
              <w:t xml:space="preserve">Report emissions for sectors </w:t>
            </w:r>
            <w:r w:rsidRPr="00D547B5">
              <w:rPr>
                <w:i/>
                <w:iCs/>
                <w:color w:val="000000"/>
              </w:rPr>
              <w:t>included</w:t>
            </w:r>
            <w:r w:rsidRPr="00143D95">
              <w:rPr>
                <w:color w:val="000000"/>
              </w:rPr>
              <w:t xml:space="preserve"> in nonpoint tools, including documentation</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22D00220" w14:textId="2BFA903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13</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20EE537A" w14:textId="336E589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44</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72CC3" w:rsidRPr="00143D95" w:rsidP="00572CC3" w14:paraId="72053E97" w14:textId="2E9BDFC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880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4E3F2DCD" w14:textId="5ADAABA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924</w:t>
            </w:r>
          </w:p>
        </w:tc>
      </w:tr>
      <w:tr w14:paraId="0F438DE0" w14:textId="77777777" w:rsidTr="00A34D4C">
        <w:tblPrEx>
          <w:tblW w:w="9278" w:type="dxa"/>
          <w:tblLook w:val="04A0"/>
        </w:tblPrEx>
        <w:trPr>
          <w:gridAfter w:val="1"/>
          <w:wAfter w:w="7" w:type="dxa"/>
          <w:trHeight w:val="864"/>
        </w:trPr>
        <w:tc>
          <w:tcPr>
            <w:tcW w:w="483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F17B08" w14:paraId="193564AF" w14:textId="3364DE40">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43D95">
              <w:rPr>
                <w:color w:val="000000"/>
              </w:rPr>
              <w:t xml:space="preserve">Report emissions for aircraft, ground support equipment, and/or rail yards, including documentation </w:t>
            </w:r>
          </w:p>
        </w:tc>
        <w:tc>
          <w:tcPr>
            <w:tcW w:w="79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30645309" w14:textId="5BCDD05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5</w:t>
            </w:r>
          </w:p>
        </w:tc>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13D2425C" w14:textId="13A7870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w:t>
            </w:r>
          </w:p>
        </w:tc>
        <w:tc>
          <w:tcPr>
            <w:tcW w:w="1470" w:type="dxa"/>
            <w:tcBorders>
              <w:top w:val="single" w:sz="8" w:space="0" w:color="auto"/>
              <w:left w:val="single" w:sz="8" w:space="0" w:color="auto"/>
              <w:bottom w:val="single" w:sz="8" w:space="0" w:color="auto"/>
              <w:right w:val="single" w:sz="8" w:space="0" w:color="auto"/>
            </w:tcBorders>
            <w:shd w:val="clear" w:color="auto" w:fill="auto"/>
            <w:noWrap/>
            <w:vAlign w:val="center"/>
          </w:tcPr>
          <w:p w:rsidR="00572CC3" w:rsidRPr="00143D95" w:rsidP="00572CC3" w14:paraId="04487ED8" w14:textId="7BD2CBE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240</w:t>
            </w:r>
          </w:p>
        </w:tc>
        <w:tc>
          <w:tcPr>
            <w:tcW w:w="7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72CC3" w:rsidRPr="00143D95" w:rsidP="00572CC3" w14:paraId="6C36D984" w14:textId="3E25C31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252</w:t>
            </w:r>
          </w:p>
        </w:tc>
      </w:tr>
      <w:tr w14:paraId="52C304A0" w14:textId="77777777" w:rsidTr="000E23BC">
        <w:tblPrEx>
          <w:tblW w:w="9278" w:type="dxa"/>
          <w:tblLook w:val="04A0"/>
        </w:tblPrEx>
        <w:trPr>
          <w:gridAfter w:val="1"/>
          <w:wAfter w:w="7" w:type="dxa"/>
          <w:trHeight w:val="576"/>
        </w:trPr>
        <w:tc>
          <w:tcPr>
            <w:tcW w:w="4830" w:type="dxa"/>
            <w:tcBorders>
              <w:top w:val="single" w:sz="8" w:space="0" w:color="auto"/>
              <w:left w:val="single" w:sz="8" w:space="0" w:color="auto"/>
              <w:bottom w:val="single" w:sz="8" w:space="0" w:color="000000"/>
              <w:right w:val="single" w:sz="8" w:space="0" w:color="auto"/>
            </w:tcBorders>
            <w:shd w:val="clear" w:color="auto" w:fill="auto"/>
            <w:vAlign w:val="center"/>
          </w:tcPr>
          <w:p w:rsidR="00572CC3" w:rsidRPr="00143D95" w:rsidP="00F17B08" w14:paraId="2DA673A9" w14:textId="6215CD26">
            <w:pPr>
              <w:pStyle w:val="ListParagraph"/>
              <w:numPr>
                <w:ilvl w:val="0"/>
                <w:numId w:val="15"/>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43D95">
              <w:rPr>
                <w:color w:val="000000"/>
              </w:rPr>
              <w:t>Comment on prescribed fire and wildfire activity data, submit activity data, or submit emissions</w:t>
            </w:r>
          </w:p>
        </w:tc>
        <w:tc>
          <w:tcPr>
            <w:tcW w:w="790" w:type="dxa"/>
            <w:tcBorders>
              <w:top w:val="single" w:sz="8" w:space="0" w:color="auto"/>
              <w:left w:val="single" w:sz="8" w:space="0" w:color="auto"/>
              <w:bottom w:val="single" w:sz="8" w:space="0" w:color="000000"/>
              <w:right w:val="single" w:sz="8" w:space="0" w:color="auto"/>
            </w:tcBorders>
            <w:shd w:val="clear" w:color="auto" w:fill="auto"/>
            <w:vAlign w:val="center"/>
          </w:tcPr>
          <w:p w:rsidR="00572CC3" w:rsidRPr="00143D95" w:rsidP="00572CC3" w14:paraId="65AFF774" w14:textId="5F95149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20</w:t>
            </w:r>
          </w:p>
        </w:tc>
        <w:tc>
          <w:tcPr>
            <w:tcW w:w="1390" w:type="dxa"/>
            <w:tcBorders>
              <w:top w:val="single" w:sz="8" w:space="0" w:color="auto"/>
              <w:left w:val="single" w:sz="8" w:space="0" w:color="auto"/>
              <w:bottom w:val="single" w:sz="8" w:space="0" w:color="000000"/>
              <w:right w:val="single" w:sz="8" w:space="0" w:color="auto"/>
            </w:tcBorders>
            <w:shd w:val="clear" w:color="auto" w:fill="auto"/>
            <w:vAlign w:val="center"/>
          </w:tcPr>
          <w:p w:rsidR="00572CC3" w:rsidRPr="00143D95" w:rsidP="00572CC3" w14:paraId="2AB50DE9" w14:textId="3CEFE9C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w:t>
            </w:r>
          </w:p>
        </w:tc>
        <w:tc>
          <w:tcPr>
            <w:tcW w:w="1470"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572CC3" w:rsidRPr="00143D95" w:rsidP="00572CC3" w14:paraId="7EE36547" w14:textId="271FA81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160</w:t>
            </w:r>
          </w:p>
        </w:tc>
        <w:tc>
          <w:tcPr>
            <w:tcW w:w="791" w:type="dxa"/>
            <w:gridSpan w:val="3"/>
            <w:tcBorders>
              <w:top w:val="single" w:sz="8" w:space="0" w:color="auto"/>
              <w:left w:val="single" w:sz="8" w:space="0" w:color="auto"/>
              <w:bottom w:val="single" w:sz="8" w:space="0" w:color="000000"/>
              <w:right w:val="single" w:sz="8" w:space="0" w:color="auto"/>
            </w:tcBorders>
            <w:shd w:val="clear" w:color="auto" w:fill="auto"/>
            <w:vAlign w:val="center"/>
          </w:tcPr>
          <w:p w:rsidR="00572CC3" w:rsidRPr="00143D95" w:rsidP="00572CC3" w14:paraId="74B1597D" w14:textId="20E42F3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168</w:t>
            </w:r>
          </w:p>
        </w:tc>
      </w:tr>
      <w:tr w14:paraId="36A3491C" w14:textId="77777777" w:rsidTr="00A63C96">
        <w:tblPrEx>
          <w:tblW w:w="9278" w:type="dxa"/>
          <w:tblLook w:val="04A0"/>
        </w:tblPrEx>
        <w:trPr>
          <w:gridAfter w:val="1"/>
          <w:wAfter w:w="7" w:type="dxa"/>
          <w:trHeight w:val="432"/>
        </w:trPr>
        <w:tc>
          <w:tcPr>
            <w:tcW w:w="48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6009" w:rsidRPr="007D6009" w:rsidP="007D6009" w14:paraId="61ABD367" w14:textId="3DD7BB3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sidRPr="007D6009">
              <w:rPr>
                <w:rFonts w:ascii="Calibri" w:hAnsi="Calibri" w:cs="Calibri"/>
                <w:b/>
                <w:bCs/>
                <w:color w:val="000000"/>
                <w:szCs w:val="22"/>
              </w:rPr>
              <w:t>Average hours per state, voluntary activities</w:t>
            </w:r>
          </w:p>
        </w:tc>
        <w:tc>
          <w:tcPr>
            <w:tcW w:w="7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6009" w:rsidRPr="007D6009" w:rsidP="007D6009" w14:paraId="17DA0BFC" w14:textId="1836536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7D6009">
              <w:rPr>
                <w:rFonts w:ascii="Calibri" w:hAnsi="Calibri" w:cs="Calibri"/>
                <w:b/>
                <w:bCs/>
                <w:color w:val="000000"/>
                <w:szCs w:val="22"/>
              </w:rPr>
              <w:t>20</w:t>
            </w:r>
          </w:p>
        </w:tc>
        <w:tc>
          <w:tcPr>
            <w:tcW w:w="13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D6009" w:rsidRPr="007D6009" w:rsidP="007D6009" w14:paraId="230A75CD" w14:textId="772A42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7D6009">
              <w:rPr>
                <w:rFonts w:ascii="Calibri" w:hAnsi="Calibri" w:cs="Calibri"/>
                <w:b/>
                <w:bCs/>
                <w:color w:val="000000"/>
                <w:szCs w:val="22"/>
              </w:rPr>
              <w:t>40</w:t>
            </w:r>
          </w:p>
        </w:tc>
        <w:tc>
          <w:tcPr>
            <w:tcW w:w="147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7D6009" w:rsidRPr="007D6009" w:rsidP="007D6009" w14:paraId="6355F63D" w14:textId="2B39952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7D6009">
              <w:rPr>
                <w:rFonts w:ascii="Calibri" w:hAnsi="Calibri" w:cs="Calibri"/>
                <w:b/>
                <w:bCs/>
                <w:color w:val="000000"/>
                <w:szCs w:val="22"/>
              </w:rPr>
              <w:t>792</w:t>
            </w:r>
          </w:p>
        </w:tc>
        <w:tc>
          <w:tcPr>
            <w:tcW w:w="79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D6009" w:rsidRPr="007D6009" w:rsidP="007D6009" w14:paraId="73D467E9" w14:textId="5B1D08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7D6009">
              <w:rPr>
                <w:rFonts w:ascii="Calibri" w:hAnsi="Calibri" w:cs="Calibri"/>
                <w:b/>
                <w:bCs/>
                <w:color w:val="000000"/>
                <w:szCs w:val="22"/>
              </w:rPr>
              <w:t>832</w:t>
            </w:r>
          </w:p>
        </w:tc>
      </w:tr>
    </w:tbl>
    <w:p w:rsidR="00177FF9" w14:paraId="4050B861" w14:textId="0FF8C0A8">
      <w:pPr>
        <w:rPr>
          <w:b/>
          <w:bCs/>
        </w:rPr>
      </w:pPr>
    </w:p>
    <w:p w:rsidR="005A63CC" w:rsidRPr="007464CD" w14:paraId="45CA5A6C" w14:textId="31FEEEF2">
      <w:r w:rsidRPr="007464CD">
        <w:t xml:space="preserve">Regarding the number of states impacted by each of the activities in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a, EPA made several assumptions based on past collections of NEI data from states. </w:t>
      </w:r>
      <w:r w:rsidRPr="007464CD">
        <w:t>For all estimates in this table, EPA assumes the managerial hours to be about 5% of the engineering technical hours, rounded up to the nearest hour.</w:t>
      </w:r>
    </w:p>
    <w:p w:rsidR="005A63CC" w:rsidRPr="007464CD" w14:paraId="1CBFDCFF" w14:textId="77777777"/>
    <w:p w:rsidR="005A63CC" w:rsidRPr="007464CD" w:rsidP="005A63CC" w14:paraId="54E96946" w14:textId="2B22DD9E">
      <w:r w:rsidRPr="007464CD">
        <w:t xml:space="preserve">For </w:t>
      </w:r>
      <w:r w:rsidRPr="007464CD" w:rsidR="00475121">
        <w:t xml:space="preserve">activities other than 2 and 3 in </w:t>
      </w:r>
      <w:r w:rsidRPr="007464CD" w:rsidR="00C01B44">
        <w:fldChar w:fldCharType="begin"/>
      </w:r>
      <w:r w:rsidRPr="007464CD" w:rsidR="00C01B44">
        <w:instrText xml:space="preserve"> REF _Ref106909225 \h  \* MERGEFORMAT </w:instrText>
      </w:r>
      <w:r w:rsidRPr="007464CD" w:rsidR="00C01B44">
        <w:fldChar w:fldCharType="separate"/>
      </w:r>
      <w:r w:rsidRPr="0020098E" w:rsidR="00646F0F">
        <w:t xml:space="preserve">Table </w:t>
      </w:r>
      <w:r w:rsidR="00646F0F">
        <w:rPr>
          <w:noProof/>
        </w:rPr>
        <w:t>7</w:t>
      </w:r>
      <w:r w:rsidRPr="007464CD" w:rsidR="00C01B44">
        <w:fldChar w:fldCharType="end"/>
      </w:r>
      <w:r w:rsidRPr="007464CD" w:rsidR="00C01B44">
        <w:t>a</w:t>
      </w:r>
      <w:r w:rsidRPr="007464CD">
        <w:t>, EPA used</w:t>
      </w:r>
      <w:r>
        <w:t xml:space="preserve"> expert judgement</w:t>
      </w:r>
      <w:r w:rsidR="00333D25">
        <w:t xml:space="preserve"> based on EPA’s implementation of the AERR for 15 years</w:t>
      </w:r>
      <w:r w:rsidR="00C01B44">
        <w:t xml:space="preserve"> </w:t>
      </w:r>
      <w:r>
        <w:t xml:space="preserve">to specify the engineering technical hours. The number of states affected by these tasks are based on the following. Under the proposed revision, all states </w:t>
      </w:r>
      <w:r w:rsidR="007C1B7F">
        <w:t xml:space="preserve">(including the District of Columbia and 3 territories) </w:t>
      </w:r>
      <w:r>
        <w:t>would be required to complete the nonpoint survey (activity 1). Four states overlap Indian country for tribes that reported to the 2017 NEI: Arizona, Colorado, Idaho, and Montana (activity 4). All states have airports and</w:t>
      </w:r>
      <w:r w:rsidR="0021336C">
        <w:t>,</w:t>
      </w:r>
      <w:r>
        <w:t xml:space="preserve"> under the proposed revision, they would all be required to act on these sources (activity 5)</w:t>
      </w:r>
      <w:r w:rsidR="0021336C">
        <w:t>.</w:t>
      </w:r>
      <w:r w:rsidR="00D8730C">
        <w:t xml:space="preserve"> </w:t>
      </w:r>
      <w:r w:rsidR="00475121">
        <w:t>Forty-three</w:t>
      </w:r>
      <w:r w:rsidR="00D8730C">
        <w:t xml:space="preserve"> states have rail yards (activity 6), and 42 states have waterways with commercial marine vessels (activity 7</w:t>
      </w:r>
      <w:r w:rsidRPr="007464CD" w:rsidR="00D8730C">
        <w:t>). California is excluded from MOVES inputs reporting leaving just 5</w:t>
      </w:r>
      <w:r w:rsidRPr="007464CD" w:rsidR="00B965FD">
        <w:t>3</w:t>
      </w:r>
      <w:r w:rsidRPr="007464CD" w:rsidR="00D8730C">
        <w:t xml:space="preserve"> states/territories (activity 8) and that is the only state required to report emissions (activity 9). </w:t>
      </w:r>
    </w:p>
    <w:p w:rsidR="005A63CC" w:rsidRPr="007464CD" w:rsidP="005A63CC" w14:paraId="1AB9680C" w14:textId="7BCB108B"/>
    <w:p w:rsidR="00205038" w14:paraId="4C851BEB" w14:textId="7D33647A">
      <w:r w:rsidRPr="007464CD">
        <w:t>For activit</w:t>
      </w:r>
      <w:r w:rsidRPr="007464CD" w:rsidR="00D8730C">
        <w:t>y</w:t>
      </w:r>
      <w:r w:rsidRPr="007464CD">
        <w:t xml:space="preserve"> 2, EPA considered </w:t>
      </w:r>
      <w:r w:rsidRPr="007464CD" w:rsidR="001E17FC">
        <w:t>more detailed tasks</w:t>
      </w:r>
      <w:r w:rsidRPr="007464CD">
        <w:t xml:space="preserve"> associated with these activities to build the hours estimate provided. </w:t>
      </w:r>
      <w:r w:rsidRPr="007464CD" w:rsidR="00D8730C">
        <w:t xml:space="preserve">First, </w:t>
      </w:r>
      <w:r w:rsidRPr="007464CD" w:rsidR="00981F90">
        <w:t xml:space="preserve">EPA estimates </w:t>
      </w:r>
      <w:r w:rsidRPr="007464CD">
        <w:t xml:space="preserve">an average per state of </w:t>
      </w:r>
      <w:r w:rsidRPr="007464CD" w:rsidR="00572CC3">
        <w:t>1,2</w:t>
      </w:r>
      <w:r w:rsidRPr="007464CD">
        <w:t>3</w:t>
      </w:r>
      <w:r w:rsidRPr="007464CD" w:rsidR="00B5526D">
        <w:t>1</w:t>
      </w:r>
      <w:r w:rsidRPr="007464CD" w:rsidR="00572CC3">
        <w:t xml:space="preserve"> engineering technical hours for activity 2 based on calculations included in</w:t>
      </w:r>
      <w:r w:rsidRPr="007464CD" w:rsidR="00821D86">
        <w:t xml:space="preserve"> </w:t>
      </w:r>
      <w:r w:rsidRPr="007464CD" w:rsidR="00821D86">
        <w:fldChar w:fldCharType="begin"/>
      </w:r>
      <w:r w:rsidRPr="007464CD" w:rsidR="00821D86">
        <w:instrText xml:space="preserve"> REF _Ref106909225 \h  \* MERGEFORMAT </w:instrText>
      </w:r>
      <w:r w:rsidRPr="007464CD" w:rsidR="00821D86">
        <w:fldChar w:fldCharType="separate"/>
      </w:r>
      <w:r w:rsidRPr="0020098E" w:rsidR="00646F0F">
        <w:t xml:space="preserve">Table </w:t>
      </w:r>
      <w:r w:rsidR="00646F0F">
        <w:rPr>
          <w:noProof/>
        </w:rPr>
        <w:t>7</w:t>
      </w:r>
      <w:r w:rsidRPr="007464CD" w:rsidR="00821D86">
        <w:fldChar w:fldCharType="end"/>
      </w:r>
      <w:r w:rsidRPr="007464CD" w:rsidR="00821D86">
        <w:t>b</w:t>
      </w:r>
      <w:r w:rsidRPr="007464CD" w:rsidR="00572CC3">
        <w:t xml:space="preserve"> below</w:t>
      </w:r>
      <w:r w:rsidRPr="007464CD" w:rsidR="00D8730C">
        <w:t>. A</w:t>
      </w:r>
      <w:r w:rsidRPr="007464CD">
        <w:t>ctual state hours burden depends on implementation choices that the state would have to comply with the AERR revisions.</w:t>
      </w:r>
      <w:r w:rsidRPr="007464CD" w:rsidR="00821D86">
        <w:t xml:space="preserve"> </w:t>
      </w:r>
      <w:r w:rsidRPr="007464CD" w:rsidR="00981F90">
        <w:t>The</w:t>
      </w:r>
      <w:r w:rsidRPr="007464CD" w:rsidR="00D8730C">
        <w:t>se</w:t>
      </w:r>
      <w:r w:rsidRPr="007464CD" w:rsidR="00981F90">
        <w:t xml:space="preserve"> calculations include </w:t>
      </w:r>
      <w:r w:rsidRPr="007464CD">
        <w:t>state activities for three types of tools: the Wagon Wheel,</w:t>
      </w:r>
      <w:r>
        <w:rPr>
          <w:rStyle w:val="FootnoteReference"/>
          <w:vertAlign w:val="superscript"/>
        </w:rPr>
        <w:footnoteReference w:id="21"/>
      </w:r>
      <w:r w:rsidRPr="007464CD">
        <w:t xml:space="preserve"> which is the primary tool covering </w:t>
      </w:r>
      <w:r w:rsidRPr="007464CD">
        <w:t>the bulk of the nonpoint sectors, (2) the oil and gas tool, and (3) four other</w:t>
      </w:r>
      <w:r>
        <w:t xml:space="preserve"> stand-alone spreadsheet tools for agricultural fertilizer, livestock, fuel containers, and stage II gasoline.</w:t>
      </w:r>
    </w:p>
    <w:p w:rsidR="00C632E2" w14:paraId="46644183" w14:textId="0F322BC3"/>
    <w:p w:rsidR="00D8730C" w:rsidP="00D8730C" w14:paraId="7DD1DFA6" w14:textId="37E059C6">
      <w:pPr>
        <w:pStyle w:val="Caption"/>
      </w:pPr>
      <w:r w:rsidRPr="0020098E">
        <w:fldChar w:fldCharType="begin"/>
      </w:r>
      <w:r w:rsidRPr="0020098E">
        <w:instrText xml:space="preserve"> REF _Ref106909225 \h  \* MERGEFORMAT </w:instrText>
      </w:r>
      <w:r w:rsidRPr="0020098E">
        <w:fldChar w:fldCharType="separate"/>
      </w:r>
      <w:r w:rsidRPr="0020098E" w:rsidR="00646F0F">
        <w:t xml:space="preserve">Table </w:t>
      </w:r>
      <w:r w:rsidR="00646F0F">
        <w:rPr>
          <w:noProof/>
        </w:rPr>
        <w:t>7</w:t>
      </w:r>
      <w:r w:rsidRPr="0020098E">
        <w:fldChar w:fldCharType="end"/>
      </w:r>
      <w:r w:rsidRPr="0020098E">
        <w:t>b:</w:t>
      </w:r>
      <w:r>
        <w:t xml:space="preserve"> Assumptions and calculations for state nonpoint tool submissions</w:t>
      </w:r>
      <w:r w:rsidR="009711B0">
        <w:t xml:space="preserve"> (activity 2)</w:t>
      </w:r>
    </w:p>
    <w:tbl>
      <w:tblPr>
        <w:tblW w:w="9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589"/>
        <w:gridCol w:w="830"/>
        <w:gridCol w:w="1043"/>
        <w:gridCol w:w="1283"/>
        <w:gridCol w:w="1190"/>
        <w:gridCol w:w="1460"/>
        <w:gridCol w:w="1320"/>
      </w:tblGrid>
      <w:tr w14:paraId="715A84FD" w14:textId="77777777" w:rsidTr="00A34D4C">
        <w:tblPrEx>
          <w:tblW w:w="9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1460"/>
          <w:tblHeader/>
        </w:trPr>
        <w:tc>
          <w:tcPr>
            <w:tcW w:w="2589" w:type="dxa"/>
            <w:shd w:val="clear" w:color="auto" w:fill="auto"/>
            <w:noWrap/>
            <w:vAlign w:val="bottom"/>
            <w:hideMark/>
          </w:tcPr>
          <w:p w:rsidR="00D8730C" w:rsidRPr="00B729AA" w:rsidP="00B729AA" w14:paraId="777DD81D" w14:textId="77777777">
            <w:pPr>
              <w:jc w:val="center"/>
              <w:rPr>
                <w:b/>
                <w:bCs/>
              </w:rPr>
            </w:pPr>
            <w:r w:rsidRPr="00B729AA">
              <w:rPr>
                <w:b/>
                <w:bCs/>
              </w:rPr>
              <w:t>Sub-Task</w:t>
            </w:r>
          </w:p>
        </w:tc>
        <w:tc>
          <w:tcPr>
            <w:tcW w:w="830" w:type="dxa"/>
            <w:shd w:val="clear" w:color="auto" w:fill="auto"/>
            <w:vAlign w:val="bottom"/>
            <w:hideMark/>
          </w:tcPr>
          <w:p w:rsidR="00D8730C" w:rsidRPr="00B729AA" w:rsidP="00B729AA" w14:paraId="31D8D7A2" w14:textId="2B8B1785">
            <w:pPr>
              <w:jc w:val="center"/>
              <w:rPr>
                <w:rFonts w:cs="Calibri"/>
                <w:b/>
                <w:bCs/>
                <w:color w:val="000000"/>
              </w:rPr>
            </w:pPr>
            <w:r w:rsidRPr="00B729AA">
              <w:rPr>
                <w:rFonts w:cs="Calibri"/>
                <w:b/>
                <w:bCs/>
                <w:color w:val="000000"/>
              </w:rPr>
              <w:t>No. States</w:t>
            </w:r>
          </w:p>
        </w:tc>
        <w:tc>
          <w:tcPr>
            <w:tcW w:w="1043" w:type="dxa"/>
            <w:shd w:val="clear" w:color="auto" w:fill="auto"/>
            <w:vAlign w:val="bottom"/>
            <w:hideMark/>
          </w:tcPr>
          <w:p w:rsidR="00D8730C" w:rsidRPr="00B729AA" w:rsidP="00B729AA" w14:paraId="66D52882" w14:textId="77777777">
            <w:pPr>
              <w:jc w:val="center"/>
              <w:rPr>
                <w:rFonts w:cs="Calibri"/>
                <w:b/>
                <w:bCs/>
                <w:color w:val="000000"/>
              </w:rPr>
            </w:pPr>
            <w:r w:rsidRPr="00B729AA">
              <w:rPr>
                <w:rFonts w:cs="Calibri"/>
                <w:b/>
                <w:bCs/>
                <w:color w:val="000000"/>
              </w:rPr>
              <w:t>Basis</w:t>
            </w:r>
          </w:p>
        </w:tc>
        <w:tc>
          <w:tcPr>
            <w:tcW w:w="1283" w:type="dxa"/>
            <w:shd w:val="clear" w:color="auto" w:fill="auto"/>
            <w:vAlign w:val="bottom"/>
            <w:hideMark/>
          </w:tcPr>
          <w:p w:rsidR="00D8730C" w:rsidRPr="00B729AA" w:rsidP="00B729AA" w14:paraId="1A7FE815" w14:textId="77777777">
            <w:pPr>
              <w:jc w:val="center"/>
              <w:rPr>
                <w:rFonts w:cs="Calibri"/>
                <w:b/>
                <w:bCs/>
                <w:color w:val="000000"/>
              </w:rPr>
            </w:pPr>
            <w:r w:rsidRPr="00B729AA">
              <w:rPr>
                <w:rFonts w:cs="Calibri"/>
                <w:b/>
                <w:bCs/>
                <w:color w:val="000000"/>
              </w:rPr>
              <w:t>Average Submitted Templates or Sectors per State</w:t>
            </w:r>
          </w:p>
        </w:tc>
        <w:tc>
          <w:tcPr>
            <w:tcW w:w="1190" w:type="dxa"/>
            <w:shd w:val="clear" w:color="auto" w:fill="auto"/>
            <w:vAlign w:val="bottom"/>
            <w:hideMark/>
          </w:tcPr>
          <w:p w:rsidR="00D8730C" w:rsidRPr="00B729AA" w:rsidP="00B729AA" w14:paraId="37F733D6" w14:textId="77777777">
            <w:pPr>
              <w:jc w:val="center"/>
              <w:rPr>
                <w:rFonts w:cs="Calibri"/>
                <w:b/>
                <w:bCs/>
                <w:color w:val="000000"/>
              </w:rPr>
            </w:pPr>
            <w:r w:rsidRPr="00B729AA">
              <w:rPr>
                <w:rFonts w:cs="Calibri"/>
                <w:b/>
                <w:bCs/>
                <w:color w:val="000000"/>
              </w:rPr>
              <w:t>Average Hours/</w:t>
            </w:r>
            <w:r w:rsidRPr="00B729AA">
              <w:rPr>
                <w:rFonts w:cs="Calibri"/>
                <w:b/>
                <w:bCs/>
                <w:color w:val="000000"/>
              </w:rPr>
              <w:br/>
              <w:t>Template or sector</w:t>
            </w:r>
          </w:p>
        </w:tc>
        <w:tc>
          <w:tcPr>
            <w:tcW w:w="1460" w:type="dxa"/>
            <w:shd w:val="clear" w:color="auto" w:fill="auto"/>
            <w:vAlign w:val="bottom"/>
            <w:hideMark/>
          </w:tcPr>
          <w:p w:rsidR="00D8730C" w:rsidRPr="00B729AA" w:rsidP="00B729AA" w14:paraId="218C7A27" w14:textId="77777777">
            <w:pPr>
              <w:jc w:val="center"/>
              <w:rPr>
                <w:rFonts w:cs="Calibri"/>
                <w:b/>
                <w:bCs/>
                <w:color w:val="000000"/>
              </w:rPr>
            </w:pPr>
            <w:r w:rsidRPr="00B729AA">
              <w:rPr>
                <w:rFonts w:cs="Calibri"/>
                <w:b/>
                <w:bCs/>
                <w:color w:val="000000"/>
              </w:rPr>
              <w:t>Total for All States Performing Sub-task</w:t>
            </w:r>
          </w:p>
        </w:tc>
        <w:tc>
          <w:tcPr>
            <w:tcW w:w="1320" w:type="dxa"/>
            <w:shd w:val="clear" w:color="auto" w:fill="auto"/>
            <w:vAlign w:val="bottom"/>
            <w:hideMark/>
          </w:tcPr>
          <w:p w:rsidR="00D8730C" w:rsidRPr="00B729AA" w:rsidP="00B729AA" w14:paraId="2536E2BE" w14:textId="77777777">
            <w:pPr>
              <w:jc w:val="center"/>
              <w:rPr>
                <w:rFonts w:cs="Calibri"/>
                <w:b/>
                <w:bCs/>
                <w:color w:val="000000"/>
              </w:rPr>
            </w:pPr>
            <w:r w:rsidRPr="00B729AA">
              <w:rPr>
                <w:rFonts w:cs="Calibri"/>
                <w:b/>
                <w:bCs/>
                <w:color w:val="000000"/>
              </w:rPr>
              <w:t>Average Hours</w:t>
            </w:r>
          </w:p>
          <w:p w:rsidR="00D8730C" w:rsidRPr="00B729AA" w:rsidP="00B729AA" w14:paraId="45A54BD2" w14:textId="77777777">
            <w:pPr>
              <w:jc w:val="center"/>
              <w:rPr>
                <w:rFonts w:cs="Calibri"/>
                <w:b/>
                <w:bCs/>
                <w:color w:val="000000"/>
              </w:rPr>
            </w:pPr>
            <w:r w:rsidRPr="00B729AA">
              <w:rPr>
                <w:rFonts w:cs="Calibri"/>
                <w:b/>
                <w:bCs/>
                <w:color w:val="000000"/>
              </w:rPr>
              <w:t>Across All States</w:t>
            </w:r>
          </w:p>
        </w:tc>
      </w:tr>
      <w:tr w14:paraId="2B2376EE" w14:textId="77777777" w:rsidTr="00A34D4C">
        <w:tblPrEx>
          <w:tblW w:w="9715" w:type="dxa"/>
          <w:tblLook w:val="04A0"/>
        </w:tblPrEx>
        <w:trPr>
          <w:trHeight w:val="576"/>
        </w:trPr>
        <w:tc>
          <w:tcPr>
            <w:tcW w:w="2589" w:type="dxa"/>
            <w:shd w:val="clear" w:color="auto" w:fill="auto"/>
            <w:noWrap/>
            <w:vAlign w:val="center"/>
            <w:hideMark/>
          </w:tcPr>
          <w:p w:rsidR="00661B5E" w:rsidRPr="00572CC3" w:rsidP="00661B5E" w14:paraId="38ACC59D" w14:textId="77777777">
            <w:pPr>
              <w:rPr>
                <w:rFonts w:cs="Calibri"/>
                <w:color w:val="000000"/>
              </w:rPr>
            </w:pPr>
            <w:r w:rsidRPr="00572CC3">
              <w:rPr>
                <w:rFonts w:cs="Calibri"/>
                <w:color w:val="000000"/>
              </w:rPr>
              <w:t>Prepare/</w:t>
            </w:r>
            <w:r>
              <w:rPr>
                <w:rFonts w:cs="Calibri"/>
                <w:color w:val="000000"/>
              </w:rPr>
              <w:t>s</w:t>
            </w:r>
            <w:r w:rsidRPr="00572CC3">
              <w:rPr>
                <w:rFonts w:cs="Calibri"/>
                <w:color w:val="000000"/>
              </w:rPr>
              <w:t xml:space="preserve">ubmit Wagon Wheel </w:t>
            </w:r>
            <w:r>
              <w:rPr>
                <w:rFonts w:cs="Calibri"/>
                <w:color w:val="000000"/>
              </w:rPr>
              <w:t>i</w:t>
            </w:r>
            <w:r w:rsidRPr="00572CC3">
              <w:rPr>
                <w:rFonts w:cs="Calibri"/>
                <w:color w:val="000000"/>
              </w:rPr>
              <w:t>nput templates</w:t>
            </w:r>
          </w:p>
        </w:tc>
        <w:tc>
          <w:tcPr>
            <w:tcW w:w="830" w:type="dxa"/>
            <w:shd w:val="clear" w:color="auto" w:fill="auto"/>
            <w:noWrap/>
            <w:vAlign w:val="center"/>
            <w:hideMark/>
          </w:tcPr>
          <w:p w:rsidR="00661B5E" w:rsidRPr="00572CC3" w:rsidP="00661B5E" w14:paraId="5725DA7F" w14:textId="77777777">
            <w:pPr>
              <w:jc w:val="center"/>
              <w:rPr>
                <w:rFonts w:cs="Calibri"/>
                <w:color w:val="000000"/>
              </w:rPr>
            </w:pPr>
            <w:r w:rsidRPr="00572CC3">
              <w:rPr>
                <w:rFonts w:cs="Calibri"/>
                <w:color w:val="000000"/>
              </w:rPr>
              <w:t>36</w:t>
            </w:r>
          </w:p>
        </w:tc>
        <w:tc>
          <w:tcPr>
            <w:tcW w:w="1043" w:type="dxa"/>
            <w:shd w:val="clear" w:color="auto" w:fill="auto"/>
            <w:noWrap/>
            <w:vAlign w:val="center"/>
            <w:hideMark/>
          </w:tcPr>
          <w:p w:rsidR="00661B5E" w:rsidRPr="00572CC3" w:rsidP="00661B5E" w14:paraId="623C1865" w14:textId="77777777">
            <w:pPr>
              <w:jc w:val="center"/>
              <w:rPr>
                <w:rFonts w:cs="Calibri"/>
                <w:color w:val="000000"/>
              </w:rPr>
            </w:pPr>
            <w:r w:rsidRPr="00572CC3">
              <w:rPr>
                <w:rFonts w:cs="Calibri"/>
                <w:color w:val="000000"/>
              </w:rPr>
              <w:t>Per template</w:t>
            </w:r>
          </w:p>
        </w:tc>
        <w:tc>
          <w:tcPr>
            <w:tcW w:w="1283" w:type="dxa"/>
            <w:shd w:val="clear" w:color="auto" w:fill="auto"/>
            <w:noWrap/>
            <w:vAlign w:val="center"/>
            <w:hideMark/>
          </w:tcPr>
          <w:p w:rsidR="00661B5E" w:rsidRPr="00572CC3" w:rsidP="00661B5E" w14:paraId="3680C7DD" w14:textId="052A1987">
            <w:pPr>
              <w:jc w:val="center"/>
              <w:rPr>
                <w:rFonts w:cs="Calibri"/>
                <w:color w:val="000000"/>
              </w:rPr>
            </w:pPr>
            <w:r>
              <w:rPr>
                <w:rFonts w:ascii="Calibri" w:hAnsi="Calibri" w:cs="Calibri"/>
                <w:color w:val="000000"/>
                <w:szCs w:val="22"/>
              </w:rPr>
              <w:t>12</w:t>
            </w:r>
          </w:p>
        </w:tc>
        <w:tc>
          <w:tcPr>
            <w:tcW w:w="1190" w:type="dxa"/>
            <w:shd w:val="clear" w:color="auto" w:fill="auto"/>
            <w:noWrap/>
            <w:vAlign w:val="center"/>
            <w:hideMark/>
          </w:tcPr>
          <w:p w:rsidR="00661B5E" w:rsidRPr="00572CC3" w:rsidP="00661B5E" w14:paraId="058035B7" w14:textId="23A8AE96">
            <w:pPr>
              <w:jc w:val="center"/>
              <w:rPr>
                <w:rFonts w:cs="Calibri"/>
                <w:color w:val="000000"/>
              </w:rPr>
            </w:pPr>
            <w:r>
              <w:rPr>
                <w:rFonts w:ascii="Calibri" w:hAnsi="Calibri" w:cs="Calibri"/>
                <w:color w:val="000000"/>
                <w:szCs w:val="22"/>
              </w:rPr>
              <w:t>20</w:t>
            </w:r>
          </w:p>
        </w:tc>
        <w:tc>
          <w:tcPr>
            <w:tcW w:w="1460" w:type="dxa"/>
            <w:shd w:val="clear" w:color="auto" w:fill="auto"/>
            <w:noWrap/>
            <w:vAlign w:val="center"/>
            <w:hideMark/>
          </w:tcPr>
          <w:p w:rsidR="00661B5E" w:rsidRPr="00572CC3" w:rsidP="00661B5E" w14:paraId="22996B73" w14:textId="09969262">
            <w:pPr>
              <w:jc w:val="center"/>
              <w:rPr>
                <w:rFonts w:cs="Calibri"/>
                <w:color w:val="000000"/>
              </w:rPr>
            </w:pPr>
            <w:r>
              <w:rPr>
                <w:rFonts w:ascii="Calibri" w:hAnsi="Calibri" w:cs="Calibri"/>
                <w:color w:val="000000"/>
                <w:szCs w:val="22"/>
              </w:rPr>
              <w:t>8,640</w:t>
            </w:r>
          </w:p>
        </w:tc>
        <w:tc>
          <w:tcPr>
            <w:tcW w:w="1320" w:type="dxa"/>
            <w:vMerge w:val="restart"/>
            <w:shd w:val="clear" w:color="auto" w:fill="auto"/>
            <w:noWrap/>
            <w:vAlign w:val="center"/>
            <w:hideMark/>
          </w:tcPr>
          <w:p w:rsidR="00661B5E" w:rsidRPr="00572CC3" w:rsidP="00661B5E" w14:paraId="72BBD691" w14:textId="7543403B">
            <w:pPr>
              <w:jc w:val="center"/>
              <w:rPr>
                <w:rFonts w:cs="Calibri"/>
                <w:color w:val="000000"/>
              </w:rPr>
            </w:pPr>
            <w:r w:rsidRPr="00572CC3">
              <w:rPr>
                <w:rFonts w:cs="Calibri"/>
                <w:color w:val="000000"/>
              </w:rPr>
              <w:t>1,</w:t>
            </w:r>
            <w:r>
              <w:rPr>
                <w:rFonts w:cs="Calibri"/>
                <w:color w:val="000000"/>
              </w:rPr>
              <w:t>168</w:t>
            </w:r>
          </w:p>
        </w:tc>
      </w:tr>
      <w:tr w14:paraId="1430F81C" w14:textId="77777777" w:rsidTr="00A34D4C">
        <w:tblPrEx>
          <w:tblW w:w="9715" w:type="dxa"/>
          <w:tblLook w:val="04A0"/>
        </w:tblPrEx>
        <w:trPr>
          <w:trHeight w:val="576"/>
        </w:trPr>
        <w:tc>
          <w:tcPr>
            <w:tcW w:w="2589" w:type="dxa"/>
            <w:shd w:val="clear" w:color="auto" w:fill="auto"/>
            <w:noWrap/>
            <w:vAlign w:val="center"/>
            <w:hideMark/>
          </w:tcPr>
          <w:p w:rsidR="00661B5E" w:rsidRPr="00572CC3" w:rsidP="00661B5E" w14:paraId="0A9664DA" w14:textId="77777777">
            <w:pPr>
              <w:rPr>
                <w:rFonts w:cs="Calibri"/>
                <w:color w:val="000000"/>
              </w:rPr>
            </w:pPr>
            <w:r w:rsidRPr="00572CC3">
              <w:rPr>
                <w:rFonts w:cs="Calibri"/>
                <w:color w:val="000000"/>
              </w:rPr>
              <w:t xml:space="preserve">Review/accept Wagon Wheel </w:t>
            </w:r>
            <w:r>
              <w:rPr>
                <w:rFonts w:cs="Calibri"/>
                <w:color w:val="000000"/>
              </w:rPr>
              <w:t>i</w:t>
            </w:r>
            <w:r w:rsidRPr="00572CC3">
              <w:rPr>
                <w:rFonts w:cs="Calibri"/>
                <w:color w:val="000000"/>
              </w:rPr>
              <w:t>nput templates</w:t>
            </w:r>
          </w:p>
        </w:tc>
        <w:tc>
          <w:tcPr>
            <w:tcW w:w="830" w:type="dxa"/>
            <w:shd w:val="clear" w:color="auto" w:fill="auto"/>
            <w:noWrap/>
            <w:vAlign w:val="center"/>
            <w:hideMark/>
          </w:tcPr>
          <w:p w:rsidR="00661B5E" w:rsidRPr="00572CC3" w:rsidP="00661B5E" w14:paraId="46A7B13F" w14:textId="4D060B9F">
            <w:pPr>
              <w:jc w:val="center"/>
              <w:rPr>
                <w:rFonts w:cs="Calibri"/>
                <w:color w:val="000000"/>
              </w:rPr>
            </w:pPr>
            <w:r w:rsidRPr="00572CC3">
              <w:rPr>
                <w:rFonts w:cs="Calibri"/>
                <w:color w:val="000000"/>
              </w:rPr>
              <w:t>5</w:t>
            </w:r>
            <w:r>
              <w:rPr>
                <w:rFonts w:cs="Calibri"/>
                <w:color w:val="000000"/>
              </w:rPr>
              <w:t>4</w:t>
            </w:r>
          </w:p>
        </w:tc>
        <w:tc>
          <w:tcPr>
            <w:tcW w:w="1043" w:type="dxa"/>
            <w:shd w:val="clear" w:color="auto" w:fill="auto"/>
            <w:noWrap/>
            <w:vAlign w:val="center"/>
            <w:hideMark/>
          </w:tcPr>
          <w:p w:rsidR="00661B5E" w:rsidRPr="00572CC3" w:rsidP="00661B5E" w14:paraId="2A47A49D" w14:textId="77777777">
            <w:pPr>
              <w:jc w:val="center"/>
              <w:rPr>
                <w:rFonts w:cs="Calibri"/>
                <w:color w:val="000000"/>
              </w:rPr>
            </w:pPr>
            <w:r w:rsidRPr="00572CC3">
              <w:rPr>
                <w:rFonts w:cs="Calibri"/>
                <w:color w:val="000000"/>
              </w:rPr>
              <w:t>Per template</w:t>
            </w:r>
          </w:p>
        </w:tc>
        <w:tc>
          <w:tcPr>
            <w:tcW w:w="1283" w:type="dxa"/>
            <w:shd w:val="clear" w:color="auto" w:fill="auto"/>
            <w:noWrap/>
            <w:vAlign w:val="center"/>
            <w:hideMark/>
          </w:tcPr>
          <w:p w:rsidR="00661B5E" w:rsidRPr="00572CC3" w:rsidP="00661B5E" w14:paraId="1982F600" w14:textId="21CBE00E">
            <w:pPr>
              <w:jc w:val="center"/>
              <w:rPr>
                <w:rFonts w:cs="Calibri"/>
                <w:color w:val="000000"/>
              </w:rPr>
            </w:pPr>
            <w:r>
              <w:rPr>
                <w:rFonts w:ascii="Calibri" w:hAnsi="Calibri" w:cs="Calibri"/>
                <w:color w:val="000000"/>
                <w:szCs w:val="22"/>
              </w:rPr>
              <w:t>84</w:t>
            </w:r>
          </w:p>
        </w:tc>
        <w:tc>
          <w:tcPr>
            <w:tcW w:w="1190" w:type="dxa"/>
            <w:shd w:val="clear" w:color="auto" w:fill="auto"/>
            <w:noWrap/>
            <w:vAlign w:val="center"/>
            <w:hideMark/>
          </w:tcPr>
          <w:p w:rsidR="00661B5E" w:rsidRPr="00572CC3" w:rsidP="00661B5E" w14:paraId="5024251B" w14:textId="514E4A30">
            <w:pPr>
              <w:jc w:val="center"/>
              <w:rPr>
                <w:rFonts w:cs="Calibri"/>
                <w:color w:val="000000"/>
              </w:rPr>
            </w:pPr>
            <w:r>
              <w:rPr>
                <w:rFonts w:ascii="Calibri" w:hAnsi="Calibri" w:cs="Calibri"/>
                <w:color w:val="000000"/>
                <w:szCs w:val="22"/>
              </w:rPr>
              <w:t>12</w:t>
            </w:r>
          </w:p>
        </w:tc>
        <w:tc>
          <w:tcPr>
            <w:tcW w:w="1460" w:type="dxa"/>
            <w:shd w:val="clear" w:color="auto" w:fill="auto"/>
            <w:noWrap/>
            <w:vAlign w:val="center"/>
            <w:hideMark/>
          </w:tcPr>
          <w:p w:rsidR="00661B5E" w:rsidRPr="00572CC3" w:rsidP="00661B5E" w14:paraId="15B0651D" w14:textId="45633FB9">
            <w:pPr>
              <w:jc w:val="center"/>
              <w:rPr>
                <w:rFonts w:cs="Calibri"/>
                <w:color w:val="000000"/>
              </w:rPr>
            </w:pPr>
            <w:r>
              <w:rPr>
                <w:rFonts w:ascii="Calibri" w:hAnsi="Calibri" w:cs="Calibri"/>
                <w:color w:val="000000"/>
                <w:szCs w:val="22"/>
              </w:rPr>
              <w:t>54,432</w:t>
            </w:r>
          </w:p>
        </w:tc>
        <w:tc>
          <w:tcPr>
            <w:tcW w:w="1320" w:type="dxa"/>
            <w:vMerge/>
            <w:vAlign w:val="center"/>
            <w:hideMark/>
          </w:tcPr>
          <w:p w:rsidR="00661B5E" w:rsidRPr="00572CC3" w:rsidP="00661B5E" w14:paraId="2B23B705" w14:textId="77777777">
            <w:pPr>
              <w:jc w:val="center"/>
              <w:rPr>
                <w:rFonts w:cs="Calibri"/>
                <w:color w:val="000000"/>
              </w:rPr>
            </w:pPr>
          </w:p>
        </w:tc>
      </w:tr>
      <w:tr w14:paraId="551D587A" w14:textId="77777777" w:rsidTr="00A34D4C">
        <w:tblPrEx>
          <w:tblW w:w="9715" w:type="dxa"/>
          <w:tblLook w:val="04A0"/>
        </w:tblPrEx>
        <w:trPr>
          <w:trHeight w:val="576"/>
        </w:trPr>
        <w:tc>
          <w:tcPr>
            <w:tcW w:w="2589" w:type="dxa"/>
            <w:shd w:val="clear" w:color="auto" w:fill="auto"/>
            <w:noWrap/>
            <w:vAlign w:val="center"/>
            <w:hideMark/>
          </w:tcPr>
          <w:p w:rsidR="00D8730C" w:rsidRPr="00572CC3" w:rsidP="00B729AA" w14:paraId="35AB13FA" w14:textId="77777777">
            <w:pPr>
              <w:rPr>
                <w:rFonts w:cs="Calibri"/>
                <w:color w:val="000000"/>
              </w:rPr>
            </w:pPr>
            <w:r w:rsidRPr="00572CC3">
              <w:rPr>
                <w:rFonts w:cs="Calibri"/>
                <w:color w:val="000000"/>
              </w:rPr>
              <w:t>Prepare/</w:t>
            </w:r>
            <w:r>
              <w:rPr>
                <w:rFonts w:cs="Calibri"/>
                <w:color w:val="000000"/>
              </w:rPr>
              <w:t>s</w:t>
            </w:r>
            <w:r w:rsidRPr="00572CC3">
              <w:rPr>
                <w:rFonts w:cs="Calibri"/>
                <w:color w:val="000000"/>
              </w:rPr>
              <w:t xml:space="preserve">ubmit </w:t>
            </w:r>
            <w:r>
              <w:rPr>
                <w:rFonts w:cs="Calibri"/>
                <w:color w:val="000000"/>
              </w:rPr>
              <w:t>oil and gas tool i</w:t>
            </w:r>
            <w:r w:rsidRPr="00572CC3">
              <w:rPr>
                <w:rFonts w:cs="Calibri"/>
                <w:color w:val="000000"/>
              </w:rPr>
              <w:t>nputs</w:t>
            </w:r>
          </w:p>
        </w:tc>
        <w:tc>
          <w:tcPr>
            <w:tcW w:w="830" w:type="dxa"/>
            <w:shd w:val="clear" w:color="auto" w:fill="auto"/>
            <w:noWrap/>
            <w:vAlign w:val="center"/>
            <w:hideMark/>
          </w:tcPr>
          <w:p w:rsidR="00D8730C" w:rsidRPr="00572CC3" w:rsidP="00B729AA" w14:paraId="7F2A346F" w14:textId="77777777">
            <w:pPr>
              <w:jc w:val="center"/>
              <w:rPr>
                <w:rFonts w:cs="Calibri"/>
              </w:rPr>
            </w:pPr>
            <w:r w:rsidRPr="00572CC3">
              <w:rPr>
                <w:rFonts w:cs="Calibri"/>
              </w:rPr>
              <w:t>14</w:t>
            </w:r>
          </w:p>
        </w:tc>
        <w:tc>
          <w:tcPr>
            <w:tcW w:w="1043" w:type="dxa"/>
            <w:shd w:val="clear" w:color="auto" w:fill="auto"/>
            <w:noWrap/>
            <w:vAlign w:val="center"/>
            <w:hideMark/>
          </w:tcPr>
          <w:p w:rsidR="00D8730C" w:rsidRPr="00572CC3" w:rsidP="00B729AA" w14:paraId="112A85A1" w14:textId="77777777">
            <w:pPr>
              <w:jc w:val="center"/>
              <w:rPr>
                <w:rFonts w:cs="Calibri"/>
              </w:rPr>
            </w:pPr>
            <w:r w:rsidRPr="00572CC3">
              <w:rPr>
                <w:rFonts w:cs="Calibri"/>
              </w:rPr>
              <w:t>Per sector</w:t>
            </w:r>
          </w:p>
        </w:tc>
        <w:tc>
          <w:tcPr>
            <w:tcW w:w="1283" w:type="dxa"/>
            <w:shd w:val="clear" w:color="auto" w:fill="auto"/>
            <w:noWrap/>
            <w:vAlign w:val="center"/>
            <w:hideMark/>
          </w:tcPr>
          <w:p w:rsidR="00D8730C" w:rsidRPr="00572CC3" w:rsidP="00B729AA" w14:paraId="27553C58" w14:textId="77777777">
            <w:pPr>
              <w:jc w:val="center"/>
              <w:rPr>
                <w:rFonts w:cs="Calibri"/>
                <w:color w:val="000000"/>
              </w:rPr>
            </w:pPr>
            <w:r w:rsidRPr="00572CC3">
              <w:rPr>
                <w:rFonts w:cs="Calibri"/>
                <w:color w:val="000000"/>
              </w:rPr>
              <w:t>1</w:t>
            </w:r>
          </w:p>
        </w:tc>
        <w:tc>
          <w:tcPr>
            <w:tcW w:w="1190" w:type="dxa"/>
            <w:shd w:val="clear" w:color="auto" w:fill="auto"/>
            <w:noWrap/>
            <w:vAlign w:val="center"/>
            <w:hideMark/>
          </w:tcPr>
          <w:p w:rsidR="00D8730C" w:rsidRPr="00572CC3" w:rsidP="00B729AA" w14:paraId="0BF8C10E" w14:textId="77777777">
            <w:pPr>
              <w:jc w:val="center"/>
              <w:rPr>
                <w:rFonts w:cs="Calibri"/>
                <w:color w:val="000000"/>
              </w:rPr>
            </w:pPr>
            <w:r w:rsidRPr="00572CC3">
              <w:rPr>
                <w:rFonts w:cs="Calibri"/>
                <w:color w:val="000000"/>
              </w:rPr>
              <w:t>40</w:t>
            </w:r>
          </w:p>
        </w:tc>
        <w:tc>
          <w:tcPr>
            <w:tcW w:w="1460" w:type="dxa"/>
            <w:shd w:val="clear" w:color="auto" w:fill="auto"/>
            <w:noWrap/>
            <w:vAlign w:val="center"/>
            <w:hideMark/>
          </w:tcPr>
          <w:p w:rsidR="00D8730C" w:rsidRPr="00572CC3" w:rsidP="00B729AA" w14:paraId="6112FBB1" w14:textId="77777777">
            <w:pPr>
              <w:jc w:val="center"/>
              <w:rPr>
                <w:rFonts w:cs="Calibri"/>
                <w:color w:val="000000"/>
              </w:rPr>
            </w:pPr>
            <w:r w:rsidRPr="00572CC3">
              <w:rPr>
                <w:rFonts w:cs="Calibri"/>
                <w:color w:val="000000"/>
              </w:rPr>
              <w:t>560</w:t>
            </w:r>
          </w:p>
        </w:tc>
        <w:tc>
          <w:tcPr>
            <w:tcW w:w="1320" w:type="dxa"/>
            <w:vMerge w:val="restart"/>
            <w:shd w:val="clear" w:color="auto" w:fill="auto"/>
            <w:noWrap/>
            <w:vAlign w:val="center"/>
            <w:hideMark/>
          </w:tcPr>
          <w:p w:rsidR="00D8730C" w:rsidRPr="00572CC3" w:rsidP="00B729AA" w14:paraId="304EABB0" w14:textId="30CC57EC">
            <w:pPr>
              <w:jc w:val="center"/>
              <w:rPr>
                <w:rFonts w:cs="Calibri"/>
                <w:color w:val="000000"/>
              </w:rPr>
            </w:pPr>
            <w:r w:rsidRPr="00572CC3">
              <w:rPr>
                <w:rFonts w:cs="Calibri"/>
                <w:color w:val="000000"/>
              </w:rPr>
              <w:t>1</w:t>
            </w:r>
            <w:r w:rsidR="00A34D4C">
              <w:rPr>
                <w:rFonts w:cs="Calibri"/>
                <w:color w:val="000000"/>
              </w:rPr>
              <w:t>5</w:t>
            </w:r>
          </w:p>
        </w:tc>
      </w:tr>
      <w:tr w14:paraId="29B29E0A" w14:textId="77777777" w:rsidTr="00A34D4C">
        <w:tblPrEx>
          <w:tblW w:w="9715" w:type="dxa"/>
          <w:tblLook w:val="04A0"/>
        </w:tblPrEx>
        <w:trPr>
          <w:trHeight w:val="576"/>
        </w:trPr>
        <w:tc>
          <w:tcPr>
            <w:tcW w:w="2589" w:type="dxa"/>
            <w:shd w:val="clear" w:color="auto" w:fill="auto"/>
            <w:noWrap/>
            <w:vAlign w:val="center"/>
            <w:hideMark/>
          </w:tcPr>
          <w:p w:rsidR="00D8730C" w:rsidRPr="00572CC3" w:rsidP="00B729AA" w14:paraId="61D81C7B" w14:textId="77777777">
            <w:pPr>
              <w:rPr>
                <w:rFonts w:cs="Calibri"/>
                <w:color w:val="000000"/>
              </w:rPr>
            </w:pPr>
            <w:r w:rsidRPr="00572CC3">
              <w:rPr>
                <w:rFonts w:cs="Calibri"/>
                <w:color w:val="000000"/>
              </w:rPr>
              <w:t>Review/</w:t>
            </w:r>
            <w:r>
              <w:rPr>
                <w:rFonts w:cs="Calibri"/>
                <w:color w:val="000000"/>
              </w:rPr>
              <w:t>a</w:t>
            </w:r>
            <w:r w:rsidRPr="00572CC3">
              <w:rPr>
                <w:rFonts w:cs="Calibri"/>
                <w:color w:val="000000"/>
              </w:rPr>
              <w:t xml:space="preserve">ccept </w:t>
            </w:r>
            <w:r>
              <w:rPr>
                <w:rFonts w:cs="Calibri"/>
                <w:color w:val="000000"/>
              </w:rPr>
              <w:t>oil and gas tool i</w:t>
            </w:r>
            <w:r w:rsidRPr="00572CC3">
              <w:rPr>
                <w:rFonts w:cs="Calibri"/>
                <w:color w:val="000000"/>
              </w:rPr>
              <w:t>nputs</w:t>
            </w:r>
          </w:p>
        </w:tc>
        <w:tc>
          <w:tcPr>
            <w:tcW w:w="830" w:type="dxa"/>
            <w:shd w:val="clear" w:color="auto" w:fill="auto"/>
            <w:noWrap/>
            <w:vAlign w:val="center"/>
            <w:hideMark/>
          </w:tcPr>
          <w:p w:rsidR="00D8730C" w:rsidRPr="00572CC3" w:rsidP="00B729AA" w14:paraId="3AC9848F" w14:textId="77777777">
            <w:pPr>
              <w:jc w:val="center"/>
              <w:rPr>
                <w:rFonts w:cs="Calibri"/>
                <w:color w:val="000000"/>
              </w:rPr>
            </w:pPr>
            <w:r w:rsidRPr="00572CC3">
              <w:rPr>
                <w:rFonts w:cs="Calibri"/>
                <w:color w:val="000000"/>
              </w:rPr>
              <w:t>22</w:t>
            </w:r>
          </w:p>
        </w:tc>
        <w:tc>
          <w:tcPr>
            <w:tcW w:w="1043" w:type="dxa"/>
            <w:shd w:val="clear" w:color="auto" w:fill="auto"/>
            <w:noWrap/>
            <w:vAlign w:val="center"/>
            <w:hideMark/>
          </w:tcPr>
          <w:p w:rsidR="00D8730C" w:rsidRPr="00572CC3" w:rsidP="00B729AA" w14:paraId="5FEF2EAD" w14:textId="77777777">
            <w:pPr>
              <w:jc w:val="center"/>
              <w:rPr>
                <w:rFonts w:cs="Calibri"/>
              </w:rPr>
            </w:pPr>
            <w:r w:rsidRPr="00572CC3">
              <w:rPr>
                <w:rFonts w:cs="Calibri"/>
              </w:rPr>
              <w:t>Per sector</w:t>
            </w:r>
          </w:p>
        </w:tc>
        <w:tc>
          <w:tcPr>
            <w:tcW w:w="1283" w:type="dxa"/>
            <w:shd w:val="clear" w:color="auto" w:fill="auto"/>
            <w:noWrap/>
            <w:vAlign w:val="center"/>
            <w:hideMark/>
          </w:tcPr>
          <w:p w:rsidR="00D8730C" w:rsidRPr="00572CC3" w:rsidP="00B729AA" w14:paraId="75DE7CAF" w14:textId="77777777">
            <w:pPr>
              <w:jc w:val="center"/>
              <w:rPr>
                <w:rFonts w:cs="Calibri"/>
                <w:color w:val="000000"/>
              </w:rPr>
            </w:pPr>
            <w:r w:rsidRPr="00572CC3">
              <w:rPr>
                <w:rFonts w:cs="Calibri"/>
                <w:color w:val="000000"/>
              </w:rPr>
              <w:t>1</w:t>
            </w:r>
          </w:p>
        </w:tc>
        <w:tc>
          <w:tcPr>
            <w:tcW w:w="1190" w:type="dxa"/>
            <w:shd w:val="clear" w:color="auto" w:fill="auto"/>
            <w:noWrap/>
            <w:vAlign w:val="center"/>
            <w:hideMark/>
          </w:tcPr>
          <w:p w:rsidR="00D8730C" w:rsidRPr="00572CC3" w:rsidP="00B729AA" w14:paraId="73623D9B" w14:textId="77777777">
            <w:pPr>
              <w:jc w:val="center"/>
              <w:rPr>
                <w:rFonts w:cs="Calibri"/>
                <w:color w:val="000000"/>
              </w:rPr>
            </w:pPr>
            <w:r w:rsidRPr="00572CC3">
              <w:rPr>
                <w:rFonts w:cs="Calibri"/>
                <w:color w:val="000000"/>
              </w:rPr>
              <w:t>12</w:t>
            </w:r>
          </w:p>
        </w:tc>
        <w:tc>
          <w:tcPr>
            <w:tcW w:w="1460" w:type="dxa"/>
            <w:shd w:val="clear" w:color="auto" w:fill="auto"/>
            <w:noWrap/>
            <w:vAlign w:val="center"/>
            <w:hideMark/>
          </w:tcPr>
          <w:p w:rsidR="00D8730C" w:rsidRPr="00572CC3" w:rsidP="00B729AA" w14:paraId="1AE26337" w14:textId="77777777">
            <w:pPr>
              <w:jc w:val="center"/>
              <w:rPr>
                <w:rFonts w:cs="Calibri"/>
                <w:color w:val="000000"/>
              </w:rPr>
            </w:pPr>
            <w:r w:rsidRPr="00572CC3">
              <w:rPr>
                <w:rFonts w:cs="Calibri"/>
                <w:color w:val="000000"/>
              </w:rPr>
              <w:t>264</w:t>
            </w:r>
          </w:p>
        </w:tc>
        <w:tc>
          <w:tcPr>
            <w:tcW w:w="1320" w:type="dxa"/>
            <w:vMerge/>
            <w:vAlign w:val="center"/>
            <w:hideMark/>
          </w:tcPr>
          <w:p w:rsidR="00D8730C" w:rsidRPr="00572CC3" w:rsidP="00B729AA" w14:paraId="7A04EADA" w14:textId="77777777">
            <w:pPr>
              <w:jc w:val="center"/>
              <w:rPr>
                <w:rFonts w:cs="Calibri"/>
                <w:color w:val="000000"/>
              </w:rPr>
            </w:pPr>
          </w:p>
        </w:tc>
      </w:tr>
      <w:tr w14:paraId="1FE936DE" w14:textId="77777777" w:rsidTr="00A34D4C">
        <w:tblPrEx>
          <w:tblW w:w="9715" w:type="dxa"/>
          <w:tblLook w:val="04A0"/>
        </w:tblPrEx>
        <w:trPr>
          <w:trHeight w:val="576"/>
        </w:trPr>
        <w:tc>
          <w:tcPr>
            <w:tcW w:w="2589" w:type="dxa"/>
            <w:shd w:val="clear" w:color="auto" w:fill="auto"/>
            <w:vAlign w:val="center"/>
            <w:hideMark/>
          </w:tcPr>
          <w:p w:rsidR="00D8730C" w:rsidRPr="00572CC3" w:rsidP="00B729AA" w14:paraId="4465AE63" w14:textId="77777777">
            <w:pPr>
              <w:rPr>
                <w:rFonts w:cs="Calibri"/>
                <w:color w:val="000000"/>
              </w:rPr>
            </w:pPr>
            <w:r w:rsidRPr="00572CC3">
              <w:rPr>
                <w:rFonts w:cs="Calibri"/>
                <w:color w:val="000000"/>
              </w:rPr>
              <w:t>Review/comment/accept other tool inputs</w:t>
            </w:r>
          </w:p>
        </w:tc>
        <w:tc>
          <w:tcPr>
            <w:tcW w:w="830" w:type="dxa"/>
            <w:shd w:val="clear" w:color="auto" w:fill="auto"/>
            <w:noWrap/>
            <w:vAlign w:val="center"/>
            <w:hideMark/>
          </w:tcPr>
          <w:p w:rsidR="00D8730C" w:rsidRPr="00572CC3" w:rsidP="00B729AA" w14:paraId="0BDFF41E" w14:textId="75DE5CAA">
            <w:pPr>
              <w:jc w:val="center"/>
              <w:rPr>
                <w:rFonts w:cs="Calibri"/>
                <w:color w:val="000000"/>
              </w:rPr>
            </w:pPr>
            <w:r w:rsidRPr="00572CC3">
              <w:rPr>
                <w:rFonts w:cs="Calibri"/>
                <w:color w:val="000000"/>
              </w:rPr>
              <w:t>5</w:t>
            </w:r>
            <w:r w:rsidR="00661B5E">
              <w:rPr>
                <w:rFonts w:cs="Calibri"/>
                <w:color w:val="000000"/>
              </w:rPr>
              <w:t>4</w:t>
            </w:r>
          </w:p>
        </w:tc>
        <w:tc>
          <w:tcPr>
            <w:tcW w:w="1043" w:type="dxa"/>
            <w:shd w:val="clear" w:color="auto" w:fill="auto"/>
            <w:noWrap/>
            <w:vAlign w:val="center"/>
            <w:hideMark/>
          </w:tcPr>
          <w:p w:rsidR="00D8730C" w:rsidRPr="00572CC3" w:rsidP="00B729AA" w14:paraId="29A4E8CF" w14:textId="77777777">
            <w:pPr>
              <w:jc w:val="center"/>
              <w:rPr>
                <w:rFonts w:cs="Calibri"/>
              </w:rPr>
            </w:pPr>
            <w:r w:rsidRPr="00572CC3">
              <w:rPr>
                <w:rFonts w:cs="Calibri"/>
              </w:rPr>
              <w:t>Per sector</w:t>
            </w:r>
          </w:p>
        </w:tc>
        <w:tc>
          <w:tcPr>
            <w:tcW w:w="1283" w:type="dxa"/>
            <w:shd w:val="clear" w:color="auto" w:fill="auto"/>
            <w:noWrap/>
            <w:vAlign w:val="center"/>
            <w:hideMark/>
          </w:tcPr>
          <w:p w:rsidR="00D8730C" w:rsidRPr="00572CC3" w:rsidP="00B729AA" w14:paraId="368412BC" w14:textId="77777777">
            <w:pPr>
              <w:jc w:val="center"/>
              <w:rPr>
                <w:rFonts w:cs="Calibri"/>
                <w:color w:val="000000"/>
              </w:rPr>
            </w:pPr>
            <w:r>
              <w:rPr>
                <w:rFonts w:ascii="Calibri" w:hAnsi="Calibri" w:cs="Calibri"/>
                <w:color w:val="000000"/>
                <w:szCs w:val="22"/>
              </w:rPr>
              <w:t>4</w:t>
            </w:r>
          </w:p>
        </w:tc>
        <w:tc>
          <w:tcPr>
            <w:tcW w:w="1190" w:type="dxa"/>
            <w:shd w:val="clear" w:color="auto" w:fill="auto"/>
            <w:noWrap/>
            <w:vAlign w:val="center"/>
            <w:hideMark/>
          </w:tcPr>
          <w:p w:rsidR="00D8730C" w:rsidRPr="00572CC3" w:rsidP="00B729AA" w14:paraId="03CF7F5B" w14:textId="77777777">
            <w:pPr>
              <w:jc w:val="center"/>
              <w:rPr>
                <w:rFonts w:cs="Calibri"/>
                <w:color w:val="000000"/>
              </w:rPr>
            </w:pPr>
            <w:r>
              <w:rPr>
                <w:rFonts w:ascii="Calibri" w:hAnsi="Calibri" w:cs="Calibri"/>
                <w:color w:val="000000"/>
                <w:szCs w:val="22"/>
              </w:rPr>
              <w:t>12</w:t>
            </w:r>
          </w:p>
        </w:tc>
        <w:tc>
          <w:tcPr>
            <w:tcW w:w="1460" w:type="dxa"/>
            <w:shd w:val="clear" w:color="auto" w:fill="auto"/>
            <w:noWrap/>
            <w:vAlign w:val="center"/>
            <w:hideMark/>
          </w:tcPr>
          <w:p w:rsidR="00D8730C" w:rsidRPr="00572CC3" w:rsidP="00B729AA" w14:paraId="4A557D5B" w14:textId="48E5DEB9">
            <w:pPr>
              <w:jc w:val="center"/>
              <w:rPr>
                <w:rFonts w:cs="Calibri"/>
                <w:color w:val="000000"/>
              </w:rPr>
            </w:pPr>
            <w:r>
              <w:rPr>
                <w:rFonts w:ascii="Calibri" w:hAnsi="Calibri" w:cs="Calibri"/>
                <w:color w:val="000000"/>
                <w:szCs w:val="22"/>
              </w:rPr>
              <w:t>2,</w:t>
            </w:r>
            <w:r w:rsidR="00661B5E">
              <w:rPr>
                <w:rFonts w:ascii="Calibri" w:hAnsi="Calibri" w:cs="Calibri"/>
                <w:color w:val="000000"/>
                <w:szCs w:val="22"/>
              </w:rPr>
              <w:t>592</w:t>
            </w:r>
          </w:p>
        </w:tc>
        <w:tc>
          <w:tcPr>
            <w:tcW w:w="1320" w:type="dxa"/>
            <w:shd w:val="clear" w:color="auto" w:fill="auto"/>
            <w:noWrap/>
            <w:vAlign w:val="center"/>
            <w:hideMark/>
          </w:tcPr>
          <w:p w:rsidR="00D8730C" w:rsidRPr="00572CC3" w:rsidP="00B729AA" w14:paraId="4CB6E7D8" w14:textId="77777777">
            <w:pPr>
              <w:jc w:val="center"/>
              <w:rPr>
                <w:rFonts w:cs="Calibri"/>
                <w:color w:val="000000"/>
              </w:rPr>
            </w:pPr>
            <w:r>
              <w:rPr>
                <w:rFonts w:ascii="Calibri" w:hAnsi="Calibri" w:cs="Calibri"/>
                <w:color w:val="000000"/>
                <w:szCs w:val="22"/>
              </w:rPr>
              <w:t>48</w:t>
            </w:r>
          </w:p>
        </w:tc>
      </w:tr>
      <w:tr w14:paraId="63A7AA28" w14:textId="77777777" w:rsidTr="00A34D4C">
        <w:tblPrEx>
          <w:tblW w:w="9715" w:type="dxa"/>
          <w:tblLook w:val="04A0"/>
        </w:tblPrEx>
        <w:trPr>
          <w:trHeight w:val="432"/>
        </w:trPr>
        <w:tc>
          <w:tcPr>
            <w:tcW w:w="2589" w:type="dxa"/>
            <w:shd w:val="clear" w:color="auto" w:fill="auto"/>
            <w:vAlign w:val="center"/>
            <w:hideMark/>
          </w:tcPr>
          <w:p w:rsidR="00D8730C" w:rsidRPr="00B729AA" w:rsidP="00B729AA" w14:paraId="50EA9D9E" w14:textId="77777777">
            <w:pPr>
              <w:jc w:val="right"/>
              <w:rPr>
                <w:rFonts w:cs="Calibri"/>
                <w:b/>
                <w:bCs/>
                <w:color w:val="000000"/>
              </w:rPr>
            </w:pPr>
            <w:r w:rsidRPr="00B729AA">
              <w:rPr>
                <w:rFonts w:cs="Calibri"/>
                <w:b/>
                <w:bCs/>
                <w:color w:val="000000"/>
              </w:rPr>
              <w:t>Total</w:t>
            </w:r>
          </w:p>
        </w:tc>
        <w:tc>
          <w:tcPr>
            <w:tcW w:w="830" w:type="dxa"/>
            <w:shd w:val="clear" w:color="auto" w:fill="auto"/>
            <w:noWrap/>
            <w:vAlign w:val="center"/>
            <w:hideMark/>
          </w:tcPr>
          <w:p w:rsidR="00D8730C" w:rsidRPr="00B729AA" w:rsidP="00B729AA" w14:paraId="53AD8E5D" w14:textId="77777777">
            <w:pPr>
              <w:rPr>
                <w:rFonts w:cs="Calibri"/>
                <w:b/>
                <w:bCs/>
                <w:color w:val="000000"/>
              </w:rPr>
            </w:pPr>
          </w:p>
        </w:tc>
        <w:tc>
          <w:tcPr>
            <w:tcW w:w="1043" w:type="dxa"/>
            <w:shd w:val="clear" w:color="auto" w:fill="auto"/>
            <w:noWrap/>
            <w:vAlign w:val="center"/>
            <w:hideMark/>
          </w:tcPr>
          <w:p w:rsidR="00D8730C" w:rsidRPr="00B729AA" w:rsidP="00B729AA" w14:paraId="443B6911" w14:textId="77777777">
            <w:pPr>
              <w:rPr>
                <w:b/>
                <w:bCs/>
              </w:rPr>
            </w:pPr>
          </w:p>
        </w:tc>
        <w:tc>
          <w:tcPr>
            <w:tcW w:w="1283" w:type="dxa"/>
            <w:shd w:val="clear" w:color="auto" w:fill="auto"/>
            <w:noWrap/>
            <w:vAlign w:val="center"/>
            <w:hideMark/>
          </w:tcPr>
          <w:p w:rsidR="00D8730C" w:rsidRPr="00B729AA" w:rsidP="00B729AA" w14:paraId="363A7E81" w14:textId="77777777">
            <w:pPr>
              <w:rPr>
                <w:b/>
                <w:bCs/>
              </w:rPr>
            </w:pPr>
          </w:p>
        </w:tc>
        <w:tc>
          <w:tcPr>
            <w:tcW w:w="1190" w:type="dxa"/>
            <w:shd w:val="clear" w:color="auto" w:fill="auto"/>
            <w:noWrap/>
            <w:vAlign w:val="center"/>
            <w:hideMark/>
          </w:tcPr>
          <w:p w:rsidR="00D8730C" w:rsidRPr="00B729AA" w:rsidP="00B729AA" w14:paraId="7D13DFB8" w14:textId="77777777">
            <w:pPr>
              <w:rPr>
                <w:b/>
                <w:bCs/>
              </w:rPr>
            </w:pPr>
          </w:p>
        </w:tc>
        <w:tc>
          <w:tcPr>
            <w:tcW w:w="1460" w:type="dxa"/>
            <w:shd w:val="clear" w:color="auto" w:fill="auto"/>
            <w:noWrap/>
            <w:vAlign w:val="center"/>
            <w:hideMark/>
          </w:tcPr>
          <w:p w:rsidR="00D8730C" w:rsidRPr="00B729AA" w:rsidP="00B729AA" w14:paraId="7E7A9345" w14:textId="77777777">
            <w:pPr>
              <w:rPr>
                <w:b/>
                <w:bCs/>
              </w:rPr>
            </w:pPr>
          </w:p>
        </w:tc>
        <w:tc>
          <w:tcPr>
            <w:tcW w:w="1320" w:type="dxa"/>
            <w:shd w:val="clear" w:color="auto" w:fill="auto"/>
            <w:noWrap/>
            <w:vAlign w:val="center"/>
            <w:hideMark/>
          </w:tcPr>
          <w:p w:rsidR="00661B5E" w:rsidRPr="00B729AA" w:rsidP="00661B5E" w14:paraId="3F70C0F7" w14:textId="0E57FBCC">
            <w:pPr>
              <w:jc w:val="center"/>
              <w:rPr>
                <w:rFonts w:ascii="Calibri" w:hAnsi="Calibri" w:cs="Calibri"/>
                <w:b/>
                <w:bCs/>
                <w:color w:val="000000"/>
                <w:szCs w:val="22"/>
              </w:rPr>
            </w:pPr>
            <w:r w:rsidRPr="00B729AA">
              <w:rPr>
                <w:rFonts w:ascii="Calibri" w:hAnsi="Calibri" w:cs="Calibri"/>
                <w:b/>
                <w:bCs/>
                <w:color w:val="000000"/>
                <w:szCs w:val="22"/>
              </w:rPr>
              <w:t>1,23</w:t>
            </w:r>
            <w:r>
              <w:rPr>
                <w:rFonts w:ascii="Calibri" w:hAnsi="Calibri" w:cs="Calibri"/>
                <w:b/>
                <w:bCs/>
                <w:color w:val="000000"/>
                <w:szCs w:val="22"/>
              </w:rPr>
              <w:t>1</w:t>
            </w:r>
          </w:p>
        </w:tc>
      </w:tr>
    </w:tbl>
    <w:p w:rsidR="00D8730C" w14:paraId="4057A7EC" w14:textId="77777777"/>
    <w:p w:rsidR="00572CC3" w14:paraId="20D8F5C2" w14:textId="616AC910">
      <w:r>
        <w:t xml:space="preserve">As shown in </w:t>
      </w:r>
      <w:r w:rsidRPr="00177FF9">
        <w:fldChar w:fldCharType="begin"/>
      </w:r>
      <w:r w:rsidRPr="00177FF9">
        <w:instrText xml:space="preserve"> REF _Ref106909225 \h  \* MERGEFORMAT </w:instrText>
      </w:r>
      <w:r w:rsidRPr="00177FF9">
        <w:fldChar w:fldCharType="separate"/>
      </w:r>
      <w:r w:rsidRPr="0020098E" w:rsidR="00646F0F">
        <w:t xml:space="preserve">Table </w:t>
      </w:r>
      <w:r w:rsidR="00646F0F">
        <w:rPr>
          <w:noProof/>
        </w:rPr>
        <w:t>7</w:t>
      </w:r>
      <w:r w:rsidRPr="00177FF9">
        <w:fldChar w:fldCharType="end"/>
      </w:r>
      <w:r>
        <w:t>b</w:t>
      </w:r>
      <w:r w:rsidR="00821D86">
        <w:t>,</w:t>
      </w:r>
      <w:r w:rsidR="00981F90">
        <w:t xml:space="preserve"> EPA</w:t>
      </w:r>
      <w:r w:rsidR="00821D86">
        <w:t xml:space="preserve"> </w:t>
      </w:r>
      <w:r w:rsidR="00981F90">
        <w:t>identified that 36 states submitted Wagon Wheel input templates to EPA for the 2020 NEI and for these submissions, just 6 of the 92 possible templates were submitted by each state on average. Since these counts were made before the 2020 NEI process had been completed, EPA conservatively estimates that a total of 12 templates would be submitted by each state.</w:t>
      </w:r>
      <w:r>
        <w:rPr>
          <w:rStyle w:val="FootnoteReference"/>
          <w:vertAlign w:val="superscript"/>
        </w:rPr>
        <w:footnoteReference w:id="22"/>
      </w:r>
      <w:r w:rsidR="00981F90">
        <w:t xml:space="preserve"> EPA expects that all 5</w:t>
      </w:r>
      <w:r w:rsidR="00770024">
        <w:t>4</w:t>
      </w:r>
      <w:r w:rsidR="00981F90">
        <w:t xml:space="preserve"> states </w:t>
      </w:r>
      <w:r w:rsidR="00770024">
        <w:t xml:space="preserve">(including </w:t>
      </w:r>
      <w:r w:rsidR="00B965FD">
        <w:t>District of Columbia</w:t>
      </w:r>
      <w:r w:rsidR="00770024">
        <w:t xml:space="preserve"> and 3 territories) </w:t>
      </w:r>
      <w:r w:rsidR="00981F90">
        <w:t xml:space="preserve">will accept at least some of the 92 EPA-provided templates. To calculate the average number of templates states would review/accept rather than submit (84), </w:t>
      </w:r>
      <w:r w:rsidR="00204E7E">
        <w:t>EPA</w:t>
      </w:r>
      <w:r w:rsidR="00981F90">
        <w:t xml:space="preserve"> averaged the 80 templates for review/accept by the 36 states with the 92 templates for review/accept by the remaining 16 states</w:t>
      </w:r>
      <w:r w:rsidR="001110F5">
        <w:t>. The EPA</w:t>
      </w:r>
      <w:r w:rsidR="00205038">
        <w:t xml:space="preserve"> estimates that a state would spen</w:t>
      </w:r>
      <w:r w:rsidR="00BA697D">
        <w:t>d</w:t>
      </w:r>
      <w:r w:rsidR="00205038">
        <w:t xml:space="preserve"> </w:t>
      </w:r>
      <w:r w:rsidR="008551AF">
        <w:t xml:space="preserve">an average of </w:t>
      </w:r>
      <w:r w:rsidR="00205038">
        <w:t>20 hours to prepare and submit a Wagon Wheel template and 12 hours to review each template. Based on these estimates, states would spend an average of 1,1</w:t>
      </w:r>
      <w:r w:rsidR="00B5526D">
        <w:t>68</w:t>
      </w:r>
      <w:r w:rsidR="00205038">
        <w:t xml:space="preserve"> hours per state on Wagon Wheel template activities.</w:t>
      </w:r>
    </w:p>
    <w:p w:rsidR="00205038" w14:paraId="01E04914" w14:textId="768FEA95"/>
    <w:p w:rsidR="00205038" w:rsidRPr="007464CD" w14:paraId="6A249CCF" w14:textId="34914245">
      <w:r>
        <w:t>In addition</w:t>
      </w:r>
      <w:r w:rsidR="00B729AA">
        <w:t>,</w:t>
      </w:r>
      <w:r w:rsidR="00D8730C">
        <w:t xml:space="preserve"> for </w:t>
      </w:r>
      <w:r w:rsidRPr="007464CD" w:rsidR="00D8730C">
        <w:t>activity 2</w:t>
      </w:r>
      <w:r w:rsidRPr="007464CD">
        <w:t xml:space="preserve">, </w:t>
      </w:r>
      <w:r w:rsidRPr="007464CD" w:rsidR="00D8730C">
        <w:fldChar w:fldCharType="begin"/>
      </w:r>
      <w:r w:rsidRPr="007464CD" w:rsidR="00D8730C">
        <w:instrText xml:space="preserve"> REF _Ref106909225 \h  \* MERGEFORMAT </w:instrText>
      </w:r>
      <w:r w:rsidRPr="007464CD" w:rsidR="00D8730C">
        <w:fldChar w:fldCharType="separate"/>
      </w:r>
      <w:r w:rsidRPr="0020098E" w:rsidR="00646F0F">
        <w:t xml:space="preserve">Table </w:t>
      </w:r>
      <w:r w:rsidR="00646F0F">
        <w:rPr>
          <w:noProof/>
        </w:rPr>
        <w:t>7</w:t>
      </w:r>
      <w:r w:rsidRPr="007464CD" w:rsidR="00D8730C">
        <w:fldChar w:fldCharType="end"/>
      </w:r>
      <w:r w:rsidRPr="007464CD" w:rsidR="00D8730C">
        <w:t>b provides more</w:t>
      </w:r>
      <w:r w:rsidR="00D8730C">
        <w:t xml:space="preserve"> information for the oil and gas tool activity. The </w:t>
      </w:r>
      <w:r>
        <w:t>EPA used the 2017 NEI submissions for the oil and gas tool to determine that 6 states submitted tool inputs, 8 states submitt</w:t>
      </w:r>
      <w:r w:rsidR="0021336C">
        <w:t>ed</w:t>
      </w:r>
      <w:r>
        <w:t xml:space="preserve"> emissions, and 22 states reviewed and accepted EPA oil and gas tool inputs and emissions. Because the proposed AERR revision would require all states to submit tool inputs, </w:t>
      </w:r>
      <w:r w:rsidR="00204E7E">
        <w:t>EPA</w:t>
      </w:r>
      <w:r>
        <w:t xml:space="preserve"> summed together the counts of states submitting tool inputs and submitting emissions to assume that 14 </w:t>
      </w:r>
      <w:r w:rsidRPr="007464CD">
        <w:t xml:space="preserve">states would submit </w:t>
      </w:r>
      <w:r w:rsidRPr="007464CD" w:rsidR="00E06173">
        <w:t xml:space="preserve">oil and gas tool inputs. The EPA estimates 40 hours to prepare and submit oil </w:t>
      </w:r>
      <w:r w:rsidRPr="007464CD" w:rsidR="00E06173">
        <w:t xml:space="preserve">and gas tool inputs and 12 hours to review and accept such inputs. Finally, since the total hours as used in </w:t>
      </w:r>
      <w:r w:rsidRPr="007464CD" w:rsidR="00E06173">
        <w:fldChar w:fldCharType="begin"/>
      </w:r>
      <w:r w:rsidRPr="007464CD" w:rsidR="00E06173">
        <w:instrText xml:space="preserve"> REF _Ref106909225 \h  \* MERGEFORMAT </w:instrText>
      </w:r>
      <w:r w:rsidRPr="007464CD" w:rsidR="00E06173">
        <w:fldChar w:fldCharType="separate"/>
      </w:r>
      <w:r w:rsidRPr="0020098E" w:rsidR="00646F0F">
        <w:t xml:space="preserve">Table </w:t>
      </w:r>
      <w:r w:rsidR="00646F0F">
        <w:rPr>
          <w:noProof/>
        </w:rPr>
        <w:t>7</w:t>
      </w:r>
      <w:r w:rsidRPr="007464CD" w:rsidR="00E06173">
        <w:fldChar w:fldCharType="end"/>
      </w:r>
      <w:r w:rsidRPr="007464CD" w:rsidR="00E06173">
        <w:t xml:space="preserve">a will be multiplied by the total number of states submitting nonpoint sources, </w:t>
      </w:r>
      <w:r w:rsidR="00204E7E">
        <w:t>EPA</w:t>
      </w:r>
      <w:r w:rsidRPr="007464CD" w:rsidR="00E06173">
        <w:t xml:space="preserve"> divided by this total number to determine that</w:t>
      </w:r>
      <w:r w:rsidRPr="007464CD" w:rsidR="0021336C">
        <w:t>,</w:t>
      </w:r>
      <w:r w:rsidRPr="007464CD" w:rsidR="00E06173">
        <w:t xml:space="preserve"> on average across all states (including those that do not have these sources), oil and gas tool activities account for 16 hours. </w:t>
      </w:r>
    </w:p>
    <w:p w:rsidR="00E06173" w:rsidRPr="007464CD" w14:paraId="0B259D55" w14:textId="3D117A41"/>
    <w:p w:rsidR="00E06173" w:rsidRPr="007464CD" w14:paraId="628BE82D" w14:textId="49093703">
      <w:r w:rsidRPr="007464CD">
        <w:t>To complete the hours estimates for activity 2</w:t>
      </w:r>
      <w:r w:rsidRPr="007464CD">
        <w:t xml:space="preserve">, EPA </w:t>
      </w:r>
      <w:r w:rsidRPr="007464CD">
        <w:t xml:space="preserve">also </w:t>
      </w:r>
      <w:r w:rsidRPr="007464CD">
        <w:t xml:space="preserve">used estimates </w:t>
      </w:r>
      <w:r w:rsidRPr="007464CD">
        <w:t xml:space="preserve">of burden </w:t>
      </w:r>
      <w:r w:rsidRPr="007464CD">
        <w:t>for the four other nonpoint tools</w:t>
      </w:r>
      <w:r w:rsidR="001110F5">
        <w:t>. The EPA</w:t>
      </w:r>
      <w:r w:rsidRPr="007464CD">
        <w:t xml:space="preserve"> expects that based on the proposed AERR revisions,</w:t>
      </w:r>
      <w:r w:rsidRPr="007464CD">
        <w:t xml:space="preserve"> all states </w:t>
      </w:r>
      <w:r w:rsidRPr="007464CD">
        <w:t xml:space="preserve">would </w:t>
      </w:r>
      <w:r w:rsidRPr="007464CD">
        <w:t>participate in review/comment/acceptance of those data</w:t>
      </w:r>
      <w:r w:rsidRPr="007464CD">
        <w:t>,</w:t>
      </w:r>
      <w:r w:rsidRPr="007464CD">
        <w:t xml:space="preserve"> and this would take each state on average 12 hours per tool. Based on these assumptions, states would spend an additional 48 hours. The sum of the 1,1</w:t>
      </w:r>
      <w:r w:rsidR="00A63C96">
        <w:t>68</w:t>
      </w:r>
      <w:r w:rsidRPr="007464CD">
        <w:t xml:space="preserve"> hours from the </w:t>
      </w:r>
      <w:r w:rsidR="00A63C96">
        <w:t>W</w:t>
      </w:r>
      <w:r w:rsidRPr="007464CD">
        <w:t xml:space="preserve">agon </w:t>
      </w:r>
      <w:r w:rsidR="00A63C96">
        <w:t>W</w:t>
      </w:r>
      <w:r w:rsidRPr="007464CD">
        <w:t>heel, the 1</w:t>
      </w:r>
      <w:r w:rsidR="00A63C96">
        <w:t>5</w:t>
      </w:r>
      <w:r w:rsidRPr="007464CD">
        <w:t xml:space="preserve"> hours from the oil and gas tool, and the 48 hours for other tools provides the final average hour count for activity 2 of 1,23</w:t>
      </w:r>
      <w:r w:rsidR="00A63C96">
        <w:t>1</w:t>
      </w:r>
      <w:r w:rsidRPr="007464CD">
        <w:t xml:space="preserve"> hours.</w:t>
      </w:r>
    </w:p>
    <w:p w:rsidR="00572CC3" w:rsidRPr="007464CD" w14:paraId="73FCB4F3" w14:textId="77777777"/>
    <w:p w:rsidR="009711B0" w:rsidRPr="007464CD" w:rsidP="009711B0" w14:paraId="60DEE3AB" w14:textId="393B47EA">
      <w:r w:rsidRPr="007464CD">
        <w:t xml:space="preserve">For </w:t>
      </w:r>
      <w:r w:rsidRPr="007464CD">
        <w:t xml:space="preserve">activity </w:t>
      </w:r>
      <w:r w:rsidRPr="007464CD">
        <w:t>3</w:t>
      </w:r>
      <w:r w:rsidRPr="007464CD">
        <w:t xml:space="preserve"> in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a, states would report </w:t>
      </w:r>
      <w:r w:rsidRPr="007464CD">
        <w:rPr>
          <w:color w:val="000000"/>
        </w:rPr>
        <w:t>emissions for sectors not included in EPA’s nonpoint tools</w:t>
      </w:r>
      <w:r w:rsidR="001110F5">
        <w:rPr>
          <w:color w:val="000000"/>
        </w:rPr>
        <w:t>. The EPA</w:t>
      </w:r>
      <w:r w:rsidRPr="007464CD">
        <w:rPr>
          <w:color w:val="000000"/>
        </w:rPr>
        <w:t xml:space="preserve"> estimates that about one-third of the states (18) will</w:t>
      </w:r>
      <w:r w:rsidRPr="007464CD" w:rsidR="00B5526D">
        <w:rPr>
          <w:color w:val="000000"/>
        </w:rPr>
        <w:t>,</w:t>
      </w:r>
      <w:r w:rsidRPr="007464CD">
        <w:rPr>
          <w:color w:val="000000"/>
        </w:rPr>
        <w:t xml:space="preserve"> on average</w:t>
      </w:r>
      <w:r w:rsidRPr="007464CD" w:rsidR="00B5526D">
        <w:rPr>
          <w:color w:val="000000"/>
        </w:rPr>
        <w:t>,</w:t>
      </w:r>
      <w:r w:rsidRPr="007464CD">
        <w:rPr>
          <w:color w:val="000000"/>
        </w:rPr>
        <w:t xml:space="preserve"> report emissions for 2 sectors for which EPA does not have nonpoint</w:t>
      </w:r>
      <w:r>
        <w:rPr>
          <w:color w:val="000000"/>
        </w:rPr>
        <w:t xml:space="preserve"> emissions tools. Each sector is estimated to take 120 hours to estimate and submit, which is greater than the burden for other sectors because the state cannot benefit </w:t>
      </w:r>
      <w:r w:rsidRPr="007464CD">
        <w:rPr>
          <w:color w:val="000000"/>
        </w:rPr>
        <w:t xml:space="preserve">from an EPA-provided tool. Based on these assumptions, each state </w:t>
      </w:r>
      <w:r w:rsidR="00A63C96">
        <w:rPr>
          <w:color w:val="000000"/>
        </w:rPr>
        <w:t xml:space="preserve">staff person </w:t>
      </w:r>
      <w:r w:rsidRPr="007464CD">
        <w:rPr>
          <w:color w:val="000000"/>
        </w:rPr>
        <w:t>would spend 240 hours to estimate and submit these emissions</w:t>
      </w:r>
      <w:r w:rsidR="00A63C96">
        <w:rPr>
          <w:color w:val="000000"/>
        </w:rPr>
        <w:t>, and with manager hours included, a total of 252 hours.</w:t>
      </w:r>
    </w:p>
    <w:p w:rsidR="009711B0" w:rsidRPr="007464CD" w:rsidP="00D8730C" w14:paraId="486BA45A" w14:textId="2DE14A6A"/>
    <w:p w:rsidR="00A569F9" w:rsidP="00D8730C" w14:paraId="4413EE5B" w14:textId="45E9193A">
      <w:r w:rsidRPr="007464CD">
        <w:t xml:space="preserve">In total,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a </w:t>
      </w:r>
      <w:r w:rsidRPr="007464CD">
        <w:t xml:space="preserve">shows </w:t>
      </w:r>
      <w:r w:rsidRPr="007464CD">
        <w:t>that states would spend at minimum 1,5</w:t>
      </w:r>
      <w:r w:rsidR="00300845">
        <w:t>03</w:t>
      </w:r>
      <w:r w:rsidRPr="007464CD">
        <w:t xml:space="preserve"> hours (activities 1, 2, 5, and 8) and at maximum 1,9</w:t>
      </w:r>
      <w:r w:rsidR="00300845">
        <w:t>87</w:t>
      </w:r>
      <w:r w:rsidRPr="007464CD">
        <w:t xml:space="preserve"> (if California were to do activities 1-7 and 9) performing required activities for nonpoint and mobile source submissions in triennial years. </w:t>
      </w:r>
      <w:r w:rsidRPr="007464CD">
        <w:t>We have also computed the average hours per state for required activities separately</w:t>
      </w:r>
      <w:r>
        <w:t xml:space="preserve"> for each labor category. To do this, we multiplied the total number of states expected to perform each activity by the number of hours for that activity. Then, we summed the total number of hours across all activity-state combinations and divided by the total number of states. The number of hours expected for each state would depend on the choices they make for meeting the AERR requirements. The total average number of hours for required activities</w:t>
      </w:r>
      <w:r w:rsidR="009C51F1">
        <w:t>, including manager hours,</w:t>
      </w:r>
      <w:r>
        <w:t xml:space="preserve"> is 1,6</w:t>
      </w:r>
      <w:r w:rsidR="009C51F1">
        <w:t>7</w:t>
      </w:r>
      <w:r>
        <w:t>2</w:t>
      </w:r>
      <w:r w:rsidR="00DD2FB6">
        <w:t xml:space="preserve"> hours</w:t>
      </w:r>
      <w:r>
        <w:t xml:space="preserve">. </w:t>
      </w:r>
    </w:p>
    <w:p w:rsidR="00A569F9" w:rsidP="00D8730C" w14:paraId="2038C038" w14:textId="77777777"/>
    <w:p w:rsidR="009711B0" w:rsidP="00D8730C" w14:paraId="7C5965E3" w14:textId="06258E32">
      <w:r>
        <w:t xml:space="preserve">In addition, several voluntary activities could be performed </w:t>
      </w:r>
      <w:r w:rsidR="00A569F9">
        <w:t>by states</w:t>
      </w:r>
      <w:r>
        <w:t>.</w:t>
      </w:r>
      <w:r w:rsidR="00A569F9">
        <w:t xml:space="preserve"> </w:t>
      </w:r>
      <w:r>
        <w:t xml:space="preserve">For voluntary activity </w:t>
      </w:r>
      <w:r w:rsidR="00D8730C">
        <w:t>10,</w:t>
      </w:r>
      <w:r>
        <w:t xml:space="preserve"> EPA estimates</w:t>
      </w:r>
      <w:r w:rsidR="00D8730C">
        <w:t xml:space="preserve"> that</w:t>
      </w:r>
      <w:r w:rsidR="00C92DCD">
        <w:t>,</w:t>
      </w:r>
      <w:r w:rsidR="00D8730C">
        <w:t xml:space="preserve"> under the proposed approach</w:t>
      </w:r>
      <w:r w:rsidR="00C92DCD">
        <w:t>,</w:t>
      </w:r>
      <w:r w:rsidR="00D8730C">
        <w:t xml:space="preserve"> just 25% of states will still submit emissions for nonpoint sources with EPA tools. Not many states are expected to take this voluntary step because it is </w:t>
      </w:r>
      <w:r w:rsidR="000C6B32">
        <w:t xml:space="preserve">an </w:t>
      </w:r>
      <w:r w:rsidR="00D8730C">
        <w:t xml:space="preserve">additional burden beyond the proposed new AERR requirements. </w:t>
      </w:r>
      <w:r>
        <w:t xml:space="preserve">For states that do take this </w:t>
      </w:r>
      <w:r w:rsidR="00333D25">
        <w:t>step</w:t>
      </w:r>
      <w:r>
        <w:t xml:space="preserve">, EPA estimates 880 hours for states to report an average of 11 sectors </w:t>
      </w:r>
      <w:r w:rsidR="00DD4A34">
        <w:t>taking 80 hours per sector. The average of 11 sectors per state was derived from EPA observations during the 2020 submission period based on 26 states submitting 290 state-sector combinations. Because the AERR required emissions submissions for the 2020 cycle (rather than only tool inputs), this estimated number of sectors per state may be an overestimate for this ICR since states would not be required to report emissions under the AERR revision.</w:t>
      </w:r>
    </w:p>
    <w:p w:rsidR="009711B0" w:rsidP="00D8730C" w14:paraId="73D34496" w14:textId="77777777"/>
    <w:p w:rsidR="00D8730C" w:rsidRPr="007464CD" w:rsidP="00DD4A34" w14:paraId="71B00DBA" w14:textId="19AC23BB">
      <w:r>
        <w:t xml:space="preserve">For voluntary activity 11, states have rarely submitted airport emissions data except as part of their point source submissions for the largest airports. Even so, to capture the burden associated with this </w:t>
      </w:r>
      <w:r>
        <w:t xml:space="preserve">voluntary </w:t>
      </w:r>
      <w:r w:rsidRPr="007464CD">
        <w:t>activity, EPA assumes that up to 5 states may choose to do so</w:t>
      </w:r>
      <w:r w:rsidRPr="007464CD" w:rsidR="00DD4A34">
        <w:t>. The EPA estimates that</w:t>
      </w:r>
      <w:r w:rsidRPr="007464CD" w:rsidR="009C51F1">
        <w:t>, including manager hours,</w:t>
      </w:r>
      <w:r w:rsidRPr="007464CD" w:rsidR="00DD4A34">
        <w:t xml:space="preserve"> this labor-intensive step would take </w:t>
      </w:r>
      <w:r w:rsidRPr="007464CD" w:rsidR="009C51F1">
        <w:t>252</w:t>
      </w:r>
      <w:r w:rsidRPr="007464CD" w:rsidR="00DD4A34">
        <w:t xml:space="preserve"> hours per state.</w:t>
      </w:r>
    </w:p>
    <w:p w:rsidR="00DD4A34" w:rsidRPr="007464CD" w:rsidP="00DD4A34" w14:paraId="01DA638D" w14:textId="77777777"/>
    <w:p w:rsidR="00D8730C" w:rsidRPr="007464CD" w:rsidP="00D8730C" w14:paraId="7152EE58" w14:textId="311B32BB">
      <w:r w:rsidRPr="007464CD">
        <w:t xml:space="preserve">Finally, </w:t>
      </w:r>
      <w:r w:rsidRPr="007464CD" w:rsidR="00DD4A34">
        <w:t xml:space="preserve">for the last voluntary activity in </w:t>
      </w:r>
      <w:r w:rsidRPr="007464CD" w:rsidR="00DD4A34">
        <w:fldChar w:fldCharType="begin"/>
      </w:r>
      <w:r w:rsidRPr="007464CD" w:rsidR="00DD4A34">
        <w:instrText xml:space="preserve"> REF _Ref106909225 \h  \* MERGEFORMAT </w:instrText>
      </w:r>
      <w:r w:rsidRPr="007464CD" w:rsidR="00DD4A34">
        <w:fldChar w:fldCharType="separate"/>
      </w:r>
      <w:r w:rsidRPr="0020098E" w:rsidR="00646F0F">
        <w:t xml:space="preserve">Table </w:t>
      </w:r>
      <w:r w:rsidR="00646F0F">
        <w:rPr>
          <w:noProof/>
        </w:rPr>
        <w:t>7</w:t>
      </w:r>
      <w:r w:rsidRPr="007464CD" w:rsidR="00DD4A34">
        <w:fldChar w:fldCharType="end"/>
      </w:r>
      <w:r w:rsidRPr="007464CD" w:rsidR="00DD4A34">
        <w:t xml:space="preserve">a (activity 12), EPA determined from the 2020 NEI process that 20 states voluntary reported prescribed fire and/or wildfire data to EPA in the 2017 NEI cycle. The EPA assumes that these efforts take about 160 hours </w:t>
      </w:r>
      <w:r w:rsidR="00300845">
        <w:t xml:space="preserve">staff time </w:t>
      </w:r>
      <w:r w:rsidRPr="007464CD" w:rsidR="00DD4A34">
        <w:t>per state. Based on these estimates</w:t>
      </w:r>
      <w:r w:rsidRPr="007464CD" w:rsidR="009C51F1">
        <w:t xml:space="preserve"> and including manager hours</w:t>
      </w:r>
      <w:r w:rsidRPr="007464CD" w:rsidR="00DD4A34">
        <w:t>, states could spend</w:t>
      </w:r>
      <w:r w:rsidRPr="007464CD" w:rsidR="009C51F1">
        <w:t xml:space="preserve"> on average</w:t>
      </w:r>
      <w:r w:rsidRPr="007464CD" w:rsidR="00DD4A34">
        <w:t xml:space="preserve"> an additional </w:t>
      </w:r>
      <w:r w:rsidRPr="007464CD" w:rsidR="009C51F1">
        <w:t>832</w:t>
      </w:r>
      <w:r w:rsidRPr="007464CD" w:rsidR="00DD4A34">
        <w:t xml:space="preserve"> hours on voluntary activities associated with nonpoint, mobile, and fire emissions data for the triennial NEI.</w:t>
      </w:r>
    </w:p>
    <w:p w:rsidR="00A569F9" w:rsidRPr="007464CD" w:rsidP="00D8730C" w14:paraId="2E3EA8AC" w14:textId="34D9AB65"/>
    <w:p w:rsidR="00177FF9" w:rsidRPr="007464CD" w14:paraId="63F01FCE" w14:textId="305BD564">
      <w:r w:rsidRPr="007464CD">
        <w:t xml:space="preserve">In addition to the burden for states/territories,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c separately provides estimates for local and tribal agencies that also report to the NEI. </w:t>
      </w:r>
      <w:r w:rsidRPr="007464CD" w:rsidR="00620F39">
        <w:t xml:space="preserve">The assumptions made in compiling </w:t>
      </w:r>
      <w:r w:rsidRPr="007464CD" w:rsidR="00620F39">
        <w:fldChar w:fldCharType="begin"/>
      </w:r>
      <w:r w:rsidRPr="007464CD" w:rsidR="00620F39">
        <w:instrText xml:space="preserve"> REF _Ref106909225 \h  \* MERGEFORMAT </w:instrText>
      </w:r>
      <w:r w:rsidRPr="007464CD" w:rsidR="00620F39">
        <w:fldChar w:fldCharType="separate"/>
      </w:r>
      <w:r w:rsidRPr="0020098E" w:rsidR="00646F0F">
        <w:t xml:space="preserve">Table </w:t>
      </w:r>
      <w:r w:rsidR="00646F0F">
        <w:rPr>
          <w:noProof/>
        </w:rPr>
        <w:t>7</w:t>
      </w:r>
      <w:r w:rsidRPr="007464CD" w:rsidR="00620F39">
        <w:fldChar w:fldCharType="end"/>
      </w:r>
      <w:r w:rsidRPr="007464CD" w:rsidR="00620F39">
        <w:t xml:space="preserve">c are generally the same as the assumptions described previously for </w:t>
      </w:r>
      <w:r w:rsidRPr="007464CD" w:rsidR="00620F39">
        <w:fldChar w:fldCharType="begin"/>
      </w:r>
      <w:r w:rsidRPr="007464CD" w:rsidR="00620F39">
        <w:instrText xml:space="preserve"> REF _Ref106909225 \h  \* MERGEFORMAT </w:instrText>
      </w:r>
      <w:r w:rsidRPr="007464CD" w:rsidR="00620F39">
        <w:fldChar w:fldCharType="separate"/>
      </w:r>
      <w:r w:rsidRPr="0020098E" w:rsidR="00646F0F">
        <w:t xml:space="preserve">Table </w:t>
      </w:r>
      <w:r w:rsidR="00646F0F">
        <w:rPr>
          <w:noProof/>
        </w:rPr>
        <w:t>7</w:t>
      </w:r>
      <w:r w:rsidRPr="007464CD" w:rsidR="00620F39">
        <w:fldChar w:fldCharType="end"/>
      </w:r>
      <w:r w:rsidRPr="007464CD" w:rsidR="00620F39">
        <w:t>a, with several notable exceptions.</w:t>
      </w:r>
    </w:p>
    <w:p w:rsidR="00620F39" w14:paraId="0FF0A3DC" w14:textId="1DCAE6BF"/>
    <w:p w:rsidR="00177FF9" w:rsidRPr="00177FF9" w:rsidP="00661B5E" w14:paraId="77B2DC5B" w14:textId="1E00BF78">
      <w:pPr>
        <w:keepNext/>
        <w:rPr>
          <w:b/>
          <w:bCs/>
        </w:rPr>
      </w:pPr>
      <w:r w:rsidRPr="0020098E">
        <w:fldChar w:fldCharType="begin"/>
      </w:r>
      <w:r w:rsidRPr="0020098E">
        <w:instrText xml:space="preserve"> REF _Ref106909225 \h  \* MERGEFORMAT </w:instrText>
      </w:r>
      <w:r w:rsidRPr="0020098E">
        <w:fldChar w:fldCharType="separate"/>
      </w:r>
      <w:r w:rsidRPr="0020098E" w:rsidR="00646F0F">
        <w:t xml:space="preserve">Table </w:t>
      </w:r>
      <w:r w:rsidR="00646F0F">
        <w:rPr>
          <w:noProof/>
        </w:rPr>
        <w:t>7</w:t>
      </w:r>
      <w:r w:rsidRPr="0020098E">
        <w:fldChar w:fldCharType="end"/>
      </w:r>
      <w:r w:rsidRPr="0020098E" w:rsidR="00821D86">
        <w:t>c</w:t>
      </w:r>
      <w:r w:rsidRPr="0020098E">
        <w:t xml:space="preserve">: </w:t>
      </w:r>
      <w:r w:rsidRPr="0020098E" w:rsidR="00173D09">
        <w:t>L</w:t>
      </w:r>
      <w:r w:rsidRPr="00173D09" w:rsidR="00173D09">
        <w:t xml:space="preserve">ocal and tribal </w:t>
      </w:r>
      <w:r w:rsidRPr="00173D09" w:rsidR="00661B5E">
        <w:t xml:space="preserve">nonpoint, mobile, and other sources </w:t>
      </w:r>
      <w:r w:rsidRPr="00173D09" w:rsidR="00173D09">
        <w:t>burden hours by activity</w:t>
      </w:r>
    </w:p>
    <w:tbl>
      <w:tblPr>
        <w:tblW w:w="9440" w:type="dxa"/>
        <w:tblLook w:val="04A0"/>
      </w:tblPr>
      <w:tblGrid>
        <w:gridCol w:w="4764"/>
        <w:gridCol w:w="854"/>
        <w:gridCol w:w="1532"/>
        <w:gridCol w:w="1470"/>
        <w:gridCol w:w="280"/>
        <w:gridCol w:w="270"/>
        <w:gridCol w:w="270"/>
      </w:tblGrid>
      <w:tr w14:paraId="41B2411D" w14:textId="77777777" w:rsidTr="00F22EDB">
        <w:tblPrEx>
          <w:tblW w:w="9440" w:type="dxa"/>
          <w:tblLook w:val="04A0"/>
        </w:tblPrEx>
        <w:trPr>
          <w:trHeight w:val="300"/>
          <w:tblHeader/>
        </w:trPr>
        <w:tc>
          <w:tcPr>
            <w:tcW w:w="4764" w:type="dxa"/>
            <w:tcBorders>
              <w:top w:val="single" w:sz="8" w:space="0" w:color="000000"/>
              <w:left w:val="single" w:sz="8" w:space="0" w:color="000000"/>
              <w:bottom w:val="nil"/>
              <w:right w:val="nil"/>
            </w:tcBorders>
            <w:shd w:val="clear" w:color="auto" w:fill="auto"/>
            <w:vAlign w:val="center"/>
            <w:hideMark/>
          </w:tcPr>
          <w:p w:rsidR="00F22EDB" w:rsidRPr="007255E5" w:rsidP="009C51F1" w14:paraId="3799D9A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 </w:t>
            </w:r>
          </w:p>
        </w:tc>
        <w:tc>
          <w:tcPr>
            <w:tcW w:w="854" w:type="dxa"/>
            <w:tcBorders>
              <w:top w:val="single" w:sz="8" w:space="0" w:color="000000"/>
              <w:left w:val="single" w:sz="8" w:space="0" w:color="000000"/>
              <w:bottom w:val="nil"/>
              <w:right w:val="nil"/>
            </w:tcBorders>
            <w:shd w:val="clear" w:color="auto" w:fill="auto"/>
            <w:vAlign w:val="center"/>
            <w:hideMark/>
          </w:tcPr>
          <w:p w:rsidR="00F22EDB" w:rsidRPr="007255E5" w:rsidP="009C51F1" w14:paraId="2440866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 </w:t>
            </w:r>
          </w:p>
        </w:tc>
        <w:tc>
          <w:tcPr>
            <w:tcW w:w="3282" w:type="dxa"/>
            <w:gridSpan w:val="3"/>
            <w:tcBorders>
              <w:top w:val="single" w:sz="8" w:space="0" w:color="000000"/>
              <w:left w:val="single" w:sz="8" w:space="0" w:color="000000"/>
              <w:bottom w:val="single" w:sz="8" w:space="0" w:color="000000"/>
            </w:tcBorders>
            <w:shd w:val="clear" w:color="auto" w:fill="auto"/>
            <w:vAlign w:val="center"/>
            <w:hideMark/>
          </w:tcPr>
          <w:p w:rsidR="00F22EDB" w:rsidRPr="007255E5" w:rsidP="009C51F1" w14:paraId="21C70C84" w14:textId="72A472A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b/>
                <w:bCs/>
                <w:color w:val="000000"/>
              </w:rPr>
              <w:t xml:space="preserve">        </w:t>
            </w:r>
            <w:r w:rsidRPr="007255E5">
              <w:rPr>
                <w:b/>
                <w:bCs/>
                <w:color w:val="000000"/>
              </w:rPr>
              <w:t>Hours Per Respondent</w:t>
            </w:r>
          </w:p>
        </w:tc>
        <w:tc>
          <w:tcPr>
            <w:tcW w:w="270" w:type="dxa"/>
            <w:tcBorders>
              <w:top w:val="single" w:sz="8" w:space="0" w:color="000000"/>
              <w:bottom w:val="single" w:sz="8" w:space="0" w:color="000000"/>
            </w:tcBorders>
            <w:shd w:val="clear" w:color="auto" w:fill="auto"/>
            <w:vAlign w:val="center"/>
          </w:tcPr>
          <w:p w:rsidR="00F22EDB" w:rsidRPr="007255E5" w:rsidP="009C51F1" w14:paraId="6C37EF0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c>
          <w:tcPr>
            <w:tcW w:w="270" w:type="dxa"/>
            <w:tcBorders>
              <w:top w:val="single" w:sz="8" w:space="0" w:color="000000"/>
              <w:bottom w:val="single" w:sz="8" w:space="0" w:color="000000"/>
              <w:right w:val="single" w:sz="4" w:space="0" w:color="000000"/>
            </w:tcBorders>
            <w:shd w:val="clear" w:color="auto" w:fill="auto"/>
            <w:vAlign w:val="center"/>
          </w:tcPr>
          <w:p w:rsidR="00F22EDB" w:rsidRPr="007255E5" w:rsidP="009C51F1" w14:paraId="5A712556" w14:textId="3894066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p>
        </w:tc>
      </w:tr>
      <w:tr w14:paraId="2A768FBC" w14:textId="77777777" w:rsidTr="00F22EDB">
        <w:tblPrEx>
          <w:tblW w:w="9440" w:type="dxa"/>
          <w:tblLook w:val="04A0"/>
        </w:tblPrEx>
        <w:trPr>
          <w:trHeight w:val="853"/>
          <w:tblHeader/>
        </w:trPr>
        <w:tc>
          <w:tcPr>
            <w:tcW w:w="4764" w:type="dxa"/>
            <w:tcBorders>
              <w:top w:val="nil"/>
              <w:left w:val="single" w:sz="8" w:space="0" w:color="000000"/>
              <w:bottom w:val="single" w:sz="4" w:space="0" w:color="000000"/>
              <w:right w:val="nil"/>
            </w:tcBorders>
            <w:shd w:val="clear" w:color="auto" w:fill="auto"/>
            <w:vAlign w:val="bottom"/>
            <w:hideMark/>
          </w:tcPr>
          <w:p w:rsidR="007255E5" w:rsidRPr="007255E5" w:rsidP="009C51F1" w14:paraId="6E78CC7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Activity</w:t>
            </w:r>
          </w:p>
        </w:tc>
        <w:tc>
          <w:tcPr>
            <w:tcW w:w="854" w:type="dxa"/>
            <w:tcBorders>
              <w:top w:val="nil"/>
              <w:left w:val="single" w:sz="8" w:space="0" w:color="000000"/>
              <w:bottom w:val="single" w:sz="4" w:space="0" w:color="000000"/>
              <w:right w:val="nil"/>
            </w:tcBorders>
            <w:shd w:val="clear" w:color="auto" w:fill="auto"/>
            <w:vAlign w:val="bottom"/>
            <w:hideMark/>
          </w:tcPr>
          <w:p w:rsidR="007255E5" w:rsidRPr="007255E5" w:rsidP="009C51F1" w14:paraId="2B484C98" w14:textId="4D5227F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177FF9">
              <w:rPr>
                <w:b/>
                <w:bCs/>
                <w:color w:val="000000"/>
              </w:rPr>
              <w:t>Local/</w:t>
            </w:r>
            <w:r w:rsidRPr="00177FF9">
              <w:rPr>
                <w:b/>
                <w:bCs/>
                <w:color w:val="000000"/>
              </w:rPr>
              <w:br/>
              <w:t xml:space="preserve">Tribe </w:t>
            </w:r>
            <w:r w:rsidRPr="007255E5">
              <w:rPr>
                <w:b/>
                <w:bCs/>
                <w:color w:val="000000"/>
              </w:rPr>
              <w:t>count</w:t>
            </w:r>
          </w:p>
        </w:tc>
        <w:tc>
          <w:tcPr>
            <w:tcW w:w="1532" w:type="dxa"/>
            <w:tcBorders>
              <w:top w:val="nil"/>
              <w:left w:val="single" w:sz="8" w:space="0" w:color="000000"/>
              <w:bottom w:val="single" w:sz="4" w:space="0" w:color="000000"/>
              <w:right w:val="nil"/>
            </w:tcBorders>
            <w:shd w:val="clear" w:color="auto" w:fill="auto"/>
            <w:vAlign w:val="bottom"/>
            <w:hideMark/>
          </w:tcPr>
          <w:p w:rsidR="007255E5" w:rsidRPr="007255E5" w:rsidP="009C51F1" w14:paraId="0FAF1D9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Engineering Managerial Hours</w:t>
            </w:r>
          </w:p>
        </w:tc>
        <w:tc>
          <w:tcPr>
            <w:tcW w:w="1470" w:type="dxa"/>
            <w:tcBorders>
              <w:top w:val="nil"/>
              <w:left w:val="single" w:sz="8" w:space="0" w:color="000000"/>
              <w:bottom w:val="single" w:sz="4" w:space="0" w:color="000000"/>
              <w:right w:val="nil"/>
            </w:tcBorders>
            <w:shd w:val="clear" w:color="auto" w:fill="auto"/>
            <w:vAlign w:val="bottom"/>
            <w:hideMark/>
          </w:tcPr>
          <w:p w:rsidR="007255E5" w:rsidRPr="007255E5" w:rsidP="009C51F1" w14:paraId="4C0EF07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Engineering Technical Hours</w:t>
            </w:r>
          </w:p>
        </w:tc>
        <w:tc>
          <w:tcPr>
            <w:tcW w:w="820" w:type="dxa"/>
            <w:gridSpan w:val="3"/>
            <w:tcBorders>
              <w:top w:val="nil"/>
              <w:left w:val="single" w:sz="8" w:space="0" w:color="000000"/>
              <w:bottom w:val="single" w:sz="4" w:space="0" w:color="000000"/>
              <w:right w:val="single" w:sz="8" w:space="0" w:color="000000"/>
            </w:tcBorders>
            <w:shd w:val="clear" w:color="auto" w:fill="auto"/>
            <w:vAlign w:val="bottom"/>
            <w:hideMark/>
          </w:tcPr>
          <w:p w:rsidR="007255E5" w:rsidRPr="007255E5" w:rsidP="009C51F1" w14:paraId="742AD69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sidRPr="007255E5">
              <w:rPr>
                <w:b/>
                <w:bCs/>
                <w:color w:val="000000"/>
              </w:rPr>
              <w:t>Total</w:t>
            </w:r>
          </w:p>
        </w:tc>
      </w:tr>
      <w:tr w14:paraId="403E54FC" w14:textId="77777777" w:rsidTr="007D6009">
        <w:tblPrEx>
          <w:tblW w:w="9440" w:type="dxa"/>
          <w:tblLook w:val="04A0"/>
        </w:tblPrEx>
        <w:trPr>
          <w:trHeight w:val="432"/>
        </w:trPr>
        <w:tc>
          <w:tcPr>
            <w:tcW w:w="4764" w:type="dxa"/>
            <w:tcBorders>
              <w:top w:val="single" w:sz="4" w:space="0" w:color="000000"/>
              <w:left w:val="single" w:sz="8" w:space="0" w:color="000000"/>
              <w:bottom w:val="single" w:sz="4" w:space="0" w:color="000000"/>
              <w:right w:val="nil"/>
            </w:tcBorders>
            <w:shd w:val="clear" w:color="auto" w:fill="D9D9D9" w:themeFill="background1" w:themeFillShade="D9"/>
            <w:vAlign w:val="center"/>
            <w:hideMark/>
          </w:tcPr>
          <w:p w:rsidR="007255E5" w:rsidRPr="007255E5" w:rsidP="009C51F1" w14:paraId="426DA06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Local and Tribal Reporters</w:t>
            </w:r>
          </w:p>
        </w:tc>
        <w:tc>
          <w:tcPr>
            <w:tcW w:w="854" w:type="dxa"/>
            <w:tcBorders>
              <w:top w:val="single" w:sz="8" w:space="0" w:color="000000"/>
              <w:left w:val="nil"/>
              <w:bottom w:val="single" w:sz="4" w:space="0" w:color="000000"/>
              <w:right w:val="nil"/>
            </w:tcBorders>
            <w:shd w:val="clear" w:color="auto" w:fill="D9D9D9" w:themeFill="background1" w:themeFillShade="D9"/>
            <w:vAlign w:val="center"/>
            <w:hideMark/>
          </w:tcPr>
          <w:p w:rsidR="007255E5" w:rsidRPr="007255E5" w:rsidP="009C51F1" w14:paraId="02B0151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7255E5">
              <w:rPr>
                <w:b/>
                <w:bCs/>
                <w:color w:val="000000"/>
              </w:rPr>
              <w:t> </w:t>
            </w:r>
          </w:p>
        </w:tc>
        <w:tc>
          <w:tcPr>
            <w:tcW w:w="1532" w:type="dxa"/>
            <w:tcBorders>
              <w:top w:val="single" w:sz="8" w:space="0" w:color="000000"/>
              <w:left w:val="nil"/>
              <w:bottom w:val="single" w:sz="4" w:space="0" w:color="000000"/>
              <w:right w:val="nil"/>
            </w:tcBorders>
            <w:shd w:val="clear" w:color="auto" w:fill="D9D9D9" w:themeFill="background1" w:themeFillShade="D9"/>
            <w:noWrap/>
            <w:vAlign w:val="bottom"/>
            <w:hideMark/>
          </w:tcPr>
          <w:p w:rsidR="007255E5" w:rsidRPr="007255E5" w:rsidP="009C51F1" w14:paraId="3825121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7255E5">
              <w:rPr>
                <w:color w:val="000000"/>
              </w:rPr>
              <w:t> </w:t>
            </w:r>
          </w:p>
        </w:tc>
        <w:tc>
          <w:tcPr>
            <w:tcW w:w="1470" w:type="dxa"/>
            <w:tcBorders>
              <w:top w:val="single" w:sz="8" w:space="0" w:color="000000"/>
              <w:left w:val="nil"/>
              <w:bottom w:val="single" w:sz="4" w:space="0" w:color="000000"/>
              <w:right w:val="nil"/>
            </w:tcBorders>
            <w:shd w:val="clear" w:color="auto" w:fill="D9D9D9" w:themeFill="background1" w:themeFillShade="D9"/>
            <w:noWrap/>
            <w:vAlign w:val="bottom"/>
            <w:hideMark/>
          </w:tcPr>
          <w:p w:rsidR="007255E5" w:rsidRPr="007255E5" w:rsidP="009C51F1" w14:paraId="013462F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7255E5">
              <w:rPr>
                <w:color w:val="000000"/>
              </w:rPr>
              <w:t> </w:t>
            </w:r>
          </w:p>
        </w:tc>
        <w:tc>
          <w:tcPr>
            <w:tcW w:w="820" w:type="dxa"/>
            <w:gridSpan w:val="3"/>
            <w:tcBorders>
              <w:top w:val="single" w:sz="8" w:space="0" w:color="000000"/>
              <w:left w:val="nil"/>
              <w:bottom w:val="single" w:sz="4" w:space="0" w:color="000000"/>
              <w:right w:val="single" w:sz="8" w:space="0" w:color="auto"/>
            </w:tcBorders>
            <w:shd w:val="clear" w:color="auto" w:fill="D9D9D9" w:themeFill="background1" w:themeFillShade="D9"/>
            <w:noWrap/>
            <w:vAlign w:val="bottom"/>
            <w:hideMark/>
          </w:tcPr>
          <w:p w:rsidR="007255E5" w:rsidRPr="007255E5" w:rsidP="009C51F1" w14:paraId="51C651D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color w:val="000000"/>
              </w:rPr>
            </w:pPr>
            <w:r w:rsidRPr="007255E5">
              <w:rPr>
                <w:color w:val="000000"/>
              </w:rPr>
              <w:t> </w:t>
            </w:r>
          </w:p>
        </w:tc>
      </w:tr>
      <w:tr w14:paraId="0C85B412" w14:textId="77777777" w:rsidTr="00F22EDB">
        <w:tblPrEx>
          <w:tblW w:w="9440" w:type="dxa"/>
          <w:tblLook w:val="04A0"/>
        </w:tblPrEx>
        <w:trPr>
          <w:trHeight w:val="302"/>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324F2F79" w14:textId="3F606BF5">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 xml:space="preserve">Complete Nonpoint Survey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22DD0C53" w14:textId="3D79DA0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52E9E0D" w14:textId="53A466A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387220A8" w14:textId="1693D7E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D5B8EE6" w14:textId="3E70D6F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21</w:t>
            </w:r>
          </w:p>
        </w:tc>
      </w:tr>
      <w:tr w14:paraId="271A0FCF" w14:textId="77777777" w:rsidTr="00F22EDB">
        <w:tblPrEx>
          <w:tblW w:w="9440" w:type="dxa"/>
          <w:tblLook w:val="04A0"/>
        </w:tblPrEx>
        <w:trPr>
          <w:trHeight w:val="576"/>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0059D7F5" w14:textId="1C5BB900">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Report inputs for EPA nonpoint tools or review, comment and/or accept EPA data.</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1BE7513" w14:textId="08D11E7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529E0DAE" w14:textId="5DE068E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19</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47FA1C3" w14:textId="03140FB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372</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7F6D81D0" w14:textId="0391BF1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391</w:t>
            </w:r>
          </w:p>
        </w:tc>
      </w:tr>
      <w:tr w14:paraId="5C5BB48D" w14:textId="77777777" w:rsidTr="00F22EDB">
        <w:tblPrEx>
          <w:tblW w:w="9440" w:type="dxa"/>
          <w:tblLook w:val="04A0"/>
        </w:tblPrEx>
        <w:trPr>
          <w:trHeight w:val="576"/>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2DDD4CCB" w14:textId="121AA6C1">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Report emissions</w:t>
            </w:r>
            <w:r w:rsidR="007F625D">
              <w:rPr>
                <w:color w:val="000000"/>
              </w:rPr>
              <w:t xml:space="preserve"> </w:t>
            </w:r>
            <w:r w:rsidRPr="007F625D" w:rsidR="007F625D">
              <w:rPr>
                <w:color w:val="000000"/>
              </w:rPr>
              <w:t>and documentation</w:t>
            </w:r>
            <w:r w:rsidRPr="00173D09">
              <w:rPr>
                <w:color w:val="000000"/>
              </w:rPr>
              <w:t xml:space="preserve"> for sectors not included in nonpoint tools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DD7E45C" w14:textId="474639F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7E606460" w14:textId="3E44B7A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52F7B79A" w14:textId="3D0974B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240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44B6B30" w14:textId="7AFA2DF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252</w:t>
            </w:r>
          </w:p>
        </w:tc>
      </w:tr>
      <w:tr w14:paraId="70EB6A6E" w14:textId="77777777" w:rsidTr="00F22EDB">
        <w:tblPrEx>
          <w:tblW w:w="9440" w:type="dxa"/>
          <w:tblLook w:val="04A0"/>
        </w:tblPrEx>
        <w:trPr>
          <w:trHeight w:val="576"/>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452A7431" w14:textId="119244FE">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Adjust nonpoint submissions for tribal boundaries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8B85605" w14:textId="20F496C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7</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22C8A59B" w14:textId="4D440B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685F019" w14:textId="09CB09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37</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5B5898D1" w14:textId="26BBEF5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39</w:t>
            </w:r>
          </w:p>
        </w:tc>
      </w:tr>
      <w:tr w14:paraId="498AB70A" w14:textId="77777777" w:rsidTr="00F22EDB">
        <w:tblPrEx>
          <w:tblW w:w="9440" w:type="dxa"/>
          <w:tblLook w:val="04A0"/>
        </w:tblPrEx>
        <w:trPr>
          <w:trHeight w:val="576"/>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125EFC5E" w14:textId="08AC1D08">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Submit or review, comment, and/or accept EPA airport activity data</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6104661B" w14:textId="35FC549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23</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0CE1059" w14:textId="0767B8A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7C55E771" w14:textId="6050EC8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69CD457" w14:textId="2E01B21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42</w:t>
            </w:r>
          </w:p>
        </w:tc>
      </w:tr>
      <w:tr w14:paraId="364D5E9A" w14:textId="77777777" w:rsidTr="00F22EDB">
        <w:tblPrEx>
          <w:tblW w:w="9440" w:type="dxa"/>
          <w:tblLook w:val="04A0"/>
        </w:tblPrEx>
        <w:trPr>
          <w:trHeight w:val="576"/>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699CE5A1" w14:textId="01ACE1BA">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Submit or review, comment, and/or accept EPA rail yard activity data</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43223A03" w14:textId="210B393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3186DD8" w14:textId="4ADE3C4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2B3AA866" w14:textId="269EA2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16</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045B1BFD" w14:textId="2004A80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17</w:t>
            </w:r>
          </w:p>
        </w:tc>
      </w:tr>
      <w:tr w14:paraId="1DFAD15E" w14:textId="77777777" w:rsidTr="00F22EDB">
        <w:tblPrEx>
          <w:tblW w:w="9440" w:type="dxa"/>
          <w:tblLook w:val="04A0"/>
        </w:tblPrEx>
        <w:trPr>
          <w:trHeight w:val="302"/>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5132FB6F" w14:textId="24D21F6B">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Report MOVES inputs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2BE4A1B9" w14:textId="6824B7F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23</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7D1D0C39" w14:textId="7532101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5E6AD4A0" w14:textId="3E36CEA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436BE9F2" w14:textId="4008C0B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42</w:t>
            </w:r>
          </w:p>
        </w:tc>
      </w:tr>
      <w:tr w14:paraId="12A03B37" w14:textId="77777777" w:rsidTr="007D6009">
        <w:tblPrEx>
          <w:tblW w:w="9440" w:type="dxa"/>
          <w:tblLook w:val="04A0"/>
        </w:tblPrEx>
        <w:trPr>
          <w:trHeight w:val="1152"/>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173D09" w:rsidP="00F17B08" w14:paraId="3A3EBE91" w14:textId="01D26411">
            <w:pPr>
              <w:pStyle w:val="ListParagraph"/>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 xml:space="preserve">For local agencies, coordinate with state agencies to complete stationary nonpoint, nonroad mobile, and onroad mobile sources for all pollutants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14219C17" w14:textId="55405A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23</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686DE8E8" w14:textId="0AAA5CE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5B8D0238" w14:textId="298D7EA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20F39" w:rsidRPr="007255E5" w:rsidP="00620F39" w14:paraId="4B9AF470" w14:textId="06FF8A8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84</w:t>
            </w:r>
          </w:p>
        </w:tc>
      </w:tr>
      <w:tr w14:paraId="7850CF8D" w14:textId="77777777" w:rsidTr="007D6009">
        <w:tblPrEx>
          <w:tblW w:w="9440" w:type="dxa"/>
          <w:tblLook w:val="04A0"/>
        </w:tblPrEx>
        <w:trPr>
          <w:trHeight w:val="432"/>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0F23D52F" w14:textId="0238244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Pr>
                <w:rFonts w:ascii="Calibri" w:hAnsi="Calibri" w:cs="Calibri"/>
                <w:b/>
                <w:bCs/>
                <w:color w:val="000000"/>
                <w:szCs w:val="22"/>
              </w:rPr>
              <w:t>Average hours per entity, required activities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6CB61967" w14:textId="519D94C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30</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20F98080" w14:textId="256172D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31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1EC3808D" w14:textId="4E9253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61</w:t>
            </w:r>
            <w:r w:rsidR="00572EAF">
              <w:rPr>
                <w:rFonts w:ascii="Calibri" w:hAnsi="Calibri" w:cs="Calibri"/>
                <w:b/>
                <w:bCs/>
                <w:color w:val="000000"/>
                <w:szCs w:val="22"/>
              </w:rPr>
              <w:t>2</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4D2750BA" w14:textId="7996360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64</w:t>
            </w:r>
            <w:r w:rsidR="00572EAF">
              <w:rPr>
                <w:rFonts w:ascii="Calibri" w:hAnsi="Calibri" w:cs="Calibri"/>
                <w:b/>
                <w:bCs/>
                <w:color w:val="000000"/>
                <w:szCs w:val="22"/>
              </w:rPr>
              <w:t>3</w:t>
            </w:r>
          </w:p>
        </w:tc>
      </w:tr>
      <w:tr w14:paraId="0992A909" w14:textId="77777777" w:rsidTr="007D6009">
        <w:tblPrEx>
          <w:tblW w:w="9440" w:type="dxa"/>
          <w:tblLook w:val="04A0"/>
        </w:tblPrEx>
        <w:trPr>
          <w:trHeight w:val="432"/>
        </w:trPr>
        <w:tc>
          <w:tcPr>
            <w:tcW w:w="4764" w:type="dxa"/>
            <w:tcBorders>
              <w:top w:val="single" w:sz="4" w:space="0" w:color="000000"/>
              <w:left w:val="single" w:sz="8" w:space="0" w:color="auto"/>
              <w:bottom w:val="single" w:sz="8" w:space="0" w:color="auto"/>
            </w:tcBorders>
            <w:shd w:val="clear" w:color="auto" w:fill="D9D9D9" w:themeFill="background1" w:themeFillShade="D9"/>
            <w:vAlign w:val="center"/>
          </w:tcPr>
          <w:p w:rsidR="00620F39" w:rsidRPr="00177FF9" w:rsidP="000742C8" w14:paraId="37AE79A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b/>
                <w:bCs/>
                <w:color w:val="000000"/>
              </w:rPr>
            </w:pPr>
            <w:r w:rsidRPr="00177FF9">
              <w:rPr>
                <w:b/>
                <w:bCs/>
                <w:color w:val="000000"/>
              </w:rPr>
              <w:t>Voluntary Activities</w:t>
            </w:r>
          </w:p>
        </w:tc>
        <w:tc>
          <w:tcPr>
            <w:tcW w:w="854" w:type="dxa"/>
            <w:tcBorders>
              <w:top w:val="single" w:sz="4" w:space="0" w:color="000000"/>
              <w:bottom w:val="single" w:sz="4" w:space="0" w:color="000000"/>
            </w:tcBorders>
            <w:shd w:val="clear" w:color="auto" w:fill="D9D9D9" w:themeFill="background1" w:themeFillShade="D9"/>
            <w:vAlign w:val="center"/>
          </w:tcPr>
          <w:p w:rsidR="00620F39" w:rsidRPr="00177FF9" w:rsidP="000742C8" w14:paraId="3B7DF9EC" w14:textId="147260E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b/>
                <w:bCs/>
                <w:color w:val="000000"/>
                <w:szCs w:val="22"/>
              </w:rPr>
              <w:t> </w:t>
            </w:r>
          </w:p>
        </w:tc>
        <w:tc>
          <w:tcPr>
            <w:tcW w:w="1532" w:type="dxa"/>
            <w:tcBorders>
              <w:top w:val="single" w:sz="4" w:space="0" w:color="000000"/>
              <w:bottom w:val="single" w:sz="4" w:space="0" w:color="000000"/>
            </w:tcBorders>
            <w:shd w:val="clear" w:color="auto" w:fill="D9D9D9" w:themeFill="background1" w:themeFillShade="D9"/>
            <w:vAlign w:val="center"/>
          </w:tcPr>
          <w:p w:rsidR="00620F39" w:rsidRPr="00177FF9" w:rsidP="000742C8" w14:paraId="6AE9AF0B" w14:textId="02FCE53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color w:val="000000"/>
                <w:szCs w:val="22"/>
              </w:rPr>
              <w:t> </w:t>
            </w:r>
          </w:p>
        </w:tc>
        <w:tc>
          <w:tcPr>
            <w:tcW w:w="1470" w:type="dxa"/>
            <w:tcBorders>
              <w:top w:val="single" w:sz="4" w:space="0" w:color="000000"/>
              <w:bottom w:val="single" w:sz="4" w:space="0" w:color="000000"/>
            </w:tcBorders>
            <w:shd w:val="clear" w:color="auto" w:fill="D9D9D9" w:themeFill="background1" w:themeFillShade="D9"/>
            <w:noWrap/>
            <w:vAlign w:val="center"/>
          </w:tcPr>
          <w:p w:rsidR="00620F39" w:rsidRPr="00177FF9" w:rsidP="000742C8" w14:paraId="21ED30CF" w14:textId="3AF28AF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color w:val="000000"/>
                <w:szCs w:val="22"/>
              </w:rPr>
              <w:t> </w:t>
            </w:r>
          </w:p>
        </w:tc>
        <w:tc>
          <w:tcPr>
            <w:tcW w:w="820" w:type="dxa"/>
            <w:gridSpan w:val="3"/>
            <w:tcBorders>
              <w:top w:val="single" w:sz="4" w:space="0" w:color="000000"/>
              <w:bottom w:val="single" w:sz="4" w:space="0" w:color="000000"/>
              <w:right w:val="single" w:sz="8" w:space="0" w:color="auto"/>
            </w:tcBorders>
            <w:shd w:val="clear" w:color="auto" w:fill="D9D9D9" w:themeFill="background1" w:themeFillShade="D9"/>
            <w:vAlign w:val="center"/>
          </w:tcPr>
          <w:p w:rsidR="00620F39" w:rsidRPr="00177FF9" w:rsidP="000742C8" w14:paraId="237639C3" w14:textId="05CA9FC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color w:val="000000"/>
              </w:rPr>
            </w:pPr>
            <w:r>
              <w:rPr>
                <w:rFonts w:ascii="Calibri" w:hAnsi="Calibri" w:cs="Calibri"/>
                <w:color w:val="000000"/>
                <w:szCs w:val="22"/>
              </w:rPr>
              <w:t> </w:t>
            </w:r>
          </w:p>
        </w:tc>
      </w:tr>
      <w:tr w14:paraId="1EA4E911" w14:textId="77777777" w:rsidTr="00F22EDB">
        <w:tblPrEx>
          <w:tblW w:w="9440" w:type="dxa"/>
          <w:tblLook w:val="04A0"/>
        </w:tblPrEx>
        <w:trPr>
          <w:trHeight w:val="576"/>
        </w:trPr>
        <w:tc>
          <w:tcPr>
            <w:tcW w:w="4764" w:type="dxa"/>
            <w:tcBorders>
              <w:top w:val="single" w:sz="8" w:space="0" w:color="auto"/>
              <w:left w:val="single" w:sz="8" w:space="0" w:color="auto"/>
              <w:bottom w:val="single" w:sz="8" w:space="0" w:color="auto"/>
              <w:right w:val="single" w:sz="4" w:space="0" w:color="000000"/>
            </w:tcBorders>
            <w:shd w:val="clear" w:color="auto" w:fill="auto"/>
            <w:vAlign w:val="center"/>
          </w:tcPr>
          <w:p w:rsidR="00620F39" w:rsidRPr="00173D09" w:rsidP="00F17B08" w14:paraId="5A6B84C7" w14:textId="54AB8085">
            <w:pPr>
              <w:pStyle w:val="ListParagraph"/>
              <w:keepNext/>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 xml:space="preserve">Report emissions </w:t>
            </w:r>
            <w:r w:rsidRPr="007F625D" w:rsidR="007F625D">
              <w:rPr>
                <w:color w:val="000000"/>
              </w:rPr>
              <w:t xml:space="preserve">and documentation </w:t>
            </w:r>
            <w:r w:rsidRPr="00173D09">
              <w:rPr>
                <w:color w:val="000000"/>
              </w:rPr>
              <w:t xml:space="preserve">for sectors </w:t>
            </w:r>
            <w:r w:rsidRPr="00173D09">
              <w:rPr>
                <w:b/>
                <w:bCs/>
                <w:i/>
                <w:iCs/>
                <w:color w:val="000000"/>
              </w:rPr>
              <w:t>included</w:t>
            </w:r>
            <w:r w:rsidRPr="00173D09">
              <w:rPr>
                <w:color w:val="000000"/>
              </w:rPr>
              <w:t xml:space="preserve"> in nonpoint tools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69D19D35" w14:textId="068DD30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9</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2988EF12" w14:textId="5B1C8C0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20F39" w:rsidRPr="00143D95" w:rsidP="000742C8" w14:paraId="05483FD6" w14:textId="38FCA40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440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3FC5B45B" w14:textId="0522FA2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462</w:t>
            </w:r>
          </w:p>
        </w:tc>
      </w:tr>
      <w:tr w14:paraId="6AC58C91" w14:textId="77777777" w:rsidTr="00F22EDB">
        <w:tblPrEx>
          <w:tblW w:w="9440" w:type="dxa"/>
          <w:tblLook w:val="04A0"/>
        </w:tblPrEx>
        <w:trPr>
          <w:trHeight w:val="864"/>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73D09" w:rsidP="00F17B08" w14:paraId="416139DC" w14:textId="65F49021">
            <w:pPr>
              <w:pStyle w:val="ListParagraph"/>
              <w:keepNext/>
              <w:numPr>
                <w:ilvl w:val="0"/>
                <w:numId w:val="16"/>
              </w:num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27"/>
              <w:rPr>
                <w:color w:val="000000"/>
              </w:rPr>
            </w:pPr>
            <w:r w:rsidRPr="00173D09">
              <w:rPr>
                <w:color w:val="000000"/>
              </w:rPr>
              <w:t xml:space="preserve">Report emissions for aircraft, ground support equipment, and/or rail yards, including documentation </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49F592AD" w14:textId="00C8E13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6D08C3F2" w14:textId="522E570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12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04521799" w14:textId="428B28F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240</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0F39" w:rsidRPr="00143D95" w:rsidP="000742C8" w14:paraId="5C6005A6" w14:textId="50BA199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color w:val="000000"/>
              </w:rPr>
            </w:pPr>
            <w:r>
              <w:rPr>
                <w:rFonts w:ascii="Calibri" w:hAnsi="Calibri" w:cs="Calibri"/>
                <w:color w:val="000000"/>
                <w:szCs w:val="22"/>
              </w:rPr>
              <w:t>252</w:t>
            </w:r>
          </w:p>
        </w:tc>
      </w:tr>
      <w:tr w14:paraId="7B3BD79B" w14:textId="77777777" w:rsidTr="007D6009">
        <w:tblPrEx>
          <w:tblW w:w="9440" w:type="dxa"/>
          <w:tblLook w:val="04A0"/>
        </w:tblPrEx>
        <w:trPr>
          <w:trHeight w:val="432"/>
        </w:trPr>
        <w:tc>
          <w:tcPr>
            <w:tcW w:w="4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757EB69D" w14:textId="01A74B3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b/>
                <w:bCs/>
                <w:color w:val="000000"/>
              </w:rPr>
            </w:pPr>
            <w:r>
              <w:rPr>
                <w:rFonts w:ascii="Calibri" w:hAnsi="Calibri" w:cs="Calibri"/>
                <w:b/>
                <w:bCs/>
                <w:color w:val="000000"/>
                <w:szCs w:val="22"/>
              </w:rPr>
              <w:t>Average hours per entity, voluntary activities</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1930A743" w14:textId="09FDB3E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9</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7A8D837D" w14:textId="64EAA75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21FA3D8F" w14:textId="192289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467</w:t>
            </w:r>
          </w:p>
        </w:tc>
        <w:tc>
          <w:tcPr>
            <w:tcW w:w="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009" w:rsidRPr="00B729AA" w:rsidP="007D6009" w14:paraId="18186733" w14:textId="5D0055B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490</w:t>
            </w:r>
          </w:p>
        </w:tc>
      </w:tr>
    </w:tbl>
    <w:p w:rsidR="007255E5" w:rsidP="002D454C" w14:paraId="344E3E40" w14:textId="77777777"/>
    <w:p w:rsidR="0051562F" w:rsidRPr="007464CD" w:rsidP="0051562F" w14:paraId="1D836411" w14:textId="1A3601C5">
      <w:r w:rsidRPr="007464CD">
        <w:t xml:space="preserve">In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c, the local/tribal counts are provided rather than state counts. These values reflect the 2017 NEI process which included 23 local agencies and 7 tribes reporting emissions. For the proposed AERR revisions, </w:t>
      </w:r>
      <w:r w:rsidR="00204E7E">
        <w:t>EPA</w:t>
      </w:r>
      <w:r w:rsidRPr="007464CD">
        <w:t xml:space="preserve"> assumes that all these agencies would complete the Nonpoint Survey (activity 1) and report inputs for EPA nonpoint tools or review, comment and/or accept EPA data (activity 2). Because local</w:t>
      </w:r>
      <w:r w:rsidRPr="007464CD" w:rsidR="009C2403">
        <w:t xml:space="preserve"> agencies</w:t>
      </w:r>
      <w:r w:rsidRPr="007464CD">
        <w:t xml:space="preserve"> and tribes may have fewer sectors to report, the technical engineering hours for completing the nonpoint survey are assumed to be half of the burden as for states. Similarly, because local</w:t>
      </w:r>
      <w:r w:rsidRPr="007464CD" w:rsidR="00366DED">
        <w:t xml:space="preserve"> agencies</w:t>
      </w:r>
      <w:r w:rsidRPr="007464CD">
        <w:t xml:space="preserve"> and tribes may have fewer sectors and do have fewer areas (</w:t>
      </w:r>
      <w:r w:rsidRPr="008E5C9F" w:rsidR="008E5C9F">
        <w:rPr>
          <w:i/>
        </w:rPr>
        <w:t>i.e.</w:t>
      </w:r>
      <w:r w:rsidRPr="007464CD">
        <w:t xml:space="preserve">, counties), EPA has assumed that the technical engineering hours for activity 2 is 30% </w:t>
      </w:r>
      <w:r w:rsidR="00300845">
        <w:t xml:space="preserve">lower than </w:t>
      </w:r>
      <w:r w:rsidRPr="007464CD">
        <w:t xml:space="preserve">the </w:t>
      </w:r>
      <w:r w:rsidR="00300845">
        <w:t>hours</w:t>
      </w:r>
      <w:r w:rsidRPr="007464CD">
        <w:t xml:space="preserve"> for states. The EPA additionally assumes that only local agencies would need to act on airport activity data (activity 5) and submit MOVES inputs (activity 7) </w:t>
      </w:r>
      <w:r w:rsidR="00300845">
        <w:t xml:space="preserve">because </w:t>
      </w:r>
      <w:r w:rsidRPr="007464CD">
        <w:t>past tribal submissions</w:t>
      </w:r>
      <w:r w:rsidR="00300845">
        <w:t xml:space="preserve"> did not include this information</w:t>
      </w:r>
      <w:r w:rsidRPr="007464CD">
        <w:t xml:space="preserve">. Further EPA has found just 20 local agencies and no tribes have rail yards (activity 6). </w:t>
      </w:r>
    </w:p>
    <w:p w:rsidR="0051562F" w:rsidP="0051562F" w14:paraId="54A2B272" w14:textId="77777777"/>
    <w:p w:rsidR="0051562F" w:rsidRPr="007464CD" w:rsidP="0051562F" w14:paraId="00A4AA31" w14:textId="1275D4D6">
      <w:r w:rsidRPr="007464CD">
        <w:t>As a result of these assumptions, EPA estimates that local agencies would need to spend between 59</w:t>
      </w:r>
      <w:r w:rsidR="00300845">
        <w:t>7</w:t>
      </w:r>
      <w:r w:rsidRPr="007464CD">
        <w:t xml:space="preserve"> hours (activities 1, 2, and 5-8) and 84</w:t>
      </w:r>
      <w:r w:rsidR="00300845">
        <w:t>9</w:t>
      </w:r>
      <w:r w:rsidRPr="007464CD">
        <w:t xml:space="preserve"> hours (including activity 3) on required activities. Tribal agencies that are affected by the AERR would need to spend between 4</w:t>
      </w:r>
      <w:r w:rsidR="0017408B">
        <w:t>51</w:t>
      </w:r>
      <w:r w:rsidRPr="007464CD">
        <w:t xml:space="preserve"> hours (activities 1, 2 and 4) and 70</w:t>
      </w:r>
      <w:r w:rsidR="0017408B">
        <w:t>3</w:t>
      </w:r>
      <w:r w:rsidRPr="007464CD">
        <w:t xml:space="preserve"> hours (including activity 3).</w:t>
      </w:r>
      <w:r w:rsidRPr="007464CD" w:rsidR="00DD2FB6">
        <w:t xml:space="preserve"> The average number of hours for required activities, computed in the same way as for states, is 64</w:t>
      </w:r>
      <w:r w:rsidRPr="007464CD" w:rsidR="009C51F1">
        <w:t>3</w:t>
      </w:r>
      <w:r w:rsidRPr="007464CD" w:rsidR="00DD2FB6">
        <w:t xml:space="preserve"> hours.</w:t>
      </w:r>
    </w:p>
    <w:p w:rsidR="0051562F" w:rsidRPr="007464CD" w:rsidP="0051562F" w14:paraId="4821C70F" w14:textId="57EBBF61"/>
    <w:p w:rsidR="00903A7C" w:rsidRPr="007464CD" w:rsidP="0051562F" w14:paraId="0A19C9AD" w14:textId="5E11F270">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c also includes voluntary activities for local and tribal agencies. The EPA estimates that 2 local agencies and all 7 tribal agencies that have previously reported nonpoint data would continue to report nonpoint emissions voluntarily (activity 9). This assumption for </w:t>
      </w:r>
      <w:r w:rsidRPr="007464CD" w:rsidR="00BA697D">
        <w:t xml:space="preserve">Indian </w:t>
      </w:r>
      <w:r w:rsidRPr="007464CD">
        <w:t xml:space="preserve">tribes accounts for the possibility that rather than do activities 1 and 2 and report nonpoint tool inputs, tribes will report emissions using techniques they have used in the past. </w:t>
      </w:r>
      <w:r w:rsidRPr="007464CD" w:rsidR="00FE34DE">
        <w:t xml:space="preserve">Since those tribes are also accounted for in burden estimates for activities 1 and 2, but those tribes may not be required to do those activities, </w:t>
      </w:r>
      <w:r w:rsidRPr="007464CD">
        <w:t xml:space="preserve">these estimates </w:t>
      </w:r>
      <w:r w:rsidRPr="007464CD" w:rsidR="00FE34DE">
        <w:t xml:space="preserve">of voluntary burden </w:t>
      </w:r>
      <w:r w:rsidRPr="007464CD">
        <w:t>may represent some double counting</w:t>
      </w:r>
      <w:r w:rsidRPr="007464CD" w:rsidR="006D30B3">
        <w:t xml:space="preserve"> of burden</w:t>
      </w:r>
      <w:r w:rsidRPr="007464CD" w:rsidR="00FE34DE">
        <w:t xml:space="preserve"> with an overestimate on the required burden for activities 1 and 2. Even so</w:t>
      </w:r>
      <w:r w:rsidRPr="007464CD">
        <w:t xml:space="preserve">, the impact on the </w:t>
      </w:r>
      <w:r w:rsidRPr="007464CD" w:rsidR="00FE34DE">
        <w:t xml:space="preserve">overall burden </w:t>
      </w:r>
      <w:r w:rsidRPr="007464CD">
        <w:t>estimates are small</w:t>
      </w:r>
      <w:r w:rsidRPr="007464CD" w:rsidR="00FE34DE">
        <w:t xml:space="preserve">. </w:t>
      </w:r>
      <w:r w:rsidRPr="007464CD">
        <w:t xml:space="preserve">The estimate of 440 </w:t>
      </w:r>
      <w:r w:rsidRPr="007464CD" w:rsidR="009C51F1">
        <w:t xml:space="preserve">engineering technical </w:t>
      </w:r>
      <w:r w:rsidRPr="007464CD">
        <w:t xml:space="preserve">hours for activity 9 is created by halving the estimate for states. Finally, EPA assumes just 1 local agency may report aircraft emissions and that it would take the same number of hours as for a state to do so. Based on these assumptions, </w:t>
      </w:r>
      <w:r w:rsidR="00204E7E">
        <w:t>EPA</w:t>
      </w:r>
      <w:r w:rsidRPr="007464CD">
        <w:t xml:space="preserve"> estimates that local</w:t>
      </w:r>
      <w:r w:rsidRPr="007464CD" w:rsidR="00CA15DC">
        <w:t xml:space="preserve"> agencies</w:t>
      </w:r>
      <w:r w:rsidRPr="007464CD">
        <w:t xml:space="preserve"> and tribes could voluntarily spend between 462 and 714 additional hours </w:t>
      </w:r>
      <w:r w:rsidRPr="007464CD" w:rsidR="009C51F1">
        <w:t xml:space="preserve">(including manager hours) </w:t>
      </w:r>
      <w:r w:rsidRPr="007464CD">
        <w:t>providing emissions data under the proposed AERR.</w:t>
      </w:r>
      <w:r w:rsidRPr="007464CD" w:rsidR="00DD2FB6">
        <w:t xml:space="preserve"> Based on EPA’s calculations, EPA also expects that the average hours for voluntary activities by local and tribal agencies would be 490 hours.</w:t>
      </w:r>
    </w:p>
    <w:p w:rsidR="0051562F" w:rsidRPr="007464CD" w:rsidP="0051562F" w14:paraId="52DE5933" w14:textId="74551659"/>
    <w:p w:rsidR="00DD2FB6" w:rsidP="009C51F1" w14:paraId="6468CC2D" w14:textId="09476FBF">
      <w:pPr>
        <w:keepNext/>
        <w:rPr>
          <w:i/>
          <w:iCs/>
          <w:u w:val="single"/>
        </w:rPr>
      </w:pPr>
      <w:r>
        <w:rPr>
          <w:i/>
          <w:iCs/>
          <w:u w:val="single"/>
        </w:rPr>
        <w:t xml:space="preserve">Costs </w:t>
      </w:r>
      <w:r w:rsidR="00CB1115">
        <w:rPr>
          <w:i/>
          <w:iCs/>
          <w:u w:val="single"/>
        </w:rPr>
        <w:t>of</w:t>
      </w:r>
      <w:r>
        <w:rPr>
          <w:i/>
          <w:iCs/>
          <w:u w:val="single"/>
        </w:rPr>
        <w:t xml:space="preserve"> Annual and Triennial Emissions Reporting</w:t>
      </w:r>
      <w:r w:rsidR="000329AD">
        <w:rPr>
          <w:i/>
          <w:iCs/>
          <w:u w:val="single"/>
        </w:rPr>
        <w:t xml:space="preserve"> and Associated Voluntary Activities</w:t>
      </w:r>
    </w:p>
    <w:p w:rsidR="00C632E2" w:rsidRPr="007464CD" w:rsidP="009E08D8" w14:paraId="404D1C32" w14:textId="2A5747AF">
      <w:r>
        <w:t xml:space="preserve">In </w:t>
      </w:r>
      <w:r w:rsidRPr="007464CD">
        <w:t>addition to the hours per task as described by the tables above,</w:t>
      </w:r>
      <w:r w:rsidRPr="007464CD" w:rsidR="00C0460E">
        <w:t xml:space="preserve"> </w:t>
      </w:r>
      <w:r w:rsidRPr="007464CD" w:rsidR="00DD2FB6">
        <w:t xml:space="preserve">EPA has computed the annualized </w:t>
      </w:r>
      <w:r w:rsidRPr="007464CD" w:rsidR="002F2DCE">
        <w:t xml:space="preserve">average </w:t>
      </w:r>
      <w:r w:rsidRPr="007464CD" w:rsidR="00DD2FB6">
        <w:t>costs</w:t>
      </w:r>
      <w:r w:rsidRPr="007464CD" w:rsidR="002F2DCE">
        <w:t xml:space="preserve"> for</w:t>
      </w:r>
      <w:r w:rsidRPr="007464CD" w:rsidR="00DD2FB6">
        <w:t xml:space="preserve"> SLTs </w:t>
      </w:r>
      <w:r w:rsidRPr="007464CD" w:rsidR="002F2DCE">
        <w:t xml:space="preserve">to submit annual and triennial emissions data </w:t>
      </w:r>
      <w:r w:rsidRPr="007464CD" w:rsidR="00DD2FB6">
        <w:t xml:space="preserve">to EPA. </w:t>
      </w:r>
      <w:r w:rsidRPr="007464CD" w:rsidR="008530F5">
        <w:fldChar w:fldCharType="begin"/>
      </w:r>
      <w:r w:rsidRPr="007464CD" w:rsidR="008530F5">
        <w:instrText xml:space="preserve"> REF _Ref107481236 \h  \* MERGEFORMAT </w:instrText>
      </w:r>
      <w:r w:rsidRPr="007464CD" w:rsidR="008530F5">
        <w:fldChar w:fldCharType="separate"/>
      </w:r>
      <w:r w:rsidRPr="0020098E" w:rsidR="00646F0F">
        <w:t xml:space="preserve">Table </w:t>
      </w:r>
      <w:r w:rsidR="00646F0F">
        <w:rPr>
          <w:noProof/>
        </w:rPr>
        <w:t>8</w:t>
      </w:r>
      <w:r w:rsidRPr="007464CD" w:rsidR="008530F5">
        <w:fldChar w:fldCharType="end"/>
      </w:r>
      <w:r w:rsidRPr="007464CD" w:rsidR="00C0460E">
        <w:t xml:space="preserve">a </w:t>
      </w:r>
      <w:r w:rsidRPr="007464CD">
        <w:t>provid</w:t>
      </w:r>
      <w:r w:rsidRPr="007464CD" w:rsidR="00C0460E">
        <w:t>e</w:t>
      </w:r>
      <w:r w:rsidRPr="007464CD">
        <w:t>s</w:t>
      </w:r>
      <w:r w:rsidRPr="007464CD" w:rsidR="00C0460E">
        <w:t xml:space="preserve"> </w:t>
      </w:r>
      <w:r w:rsidRPr="007464CD" w:rsidR="0012524C">
        <w:t>respondent annualized hours and costs</w:t>
      </w:r>
      <w:r w:rsidRPr="007464CD">
        <w:t xml:space="preserve"> for SLTs that use EIS rather than CAERS to collect point sources</w:t>
      </w:r>
      <w:r w:rsidRPr="007464CD" w:rsidR="002F2DCE">
        <w:t xml:space="preserve"> (cost reductions from CAERS are provided separately)</w:t>
      </w:r>
      <w:r w:rsidRPr="007464CD">
        <w:t>.</w:t>
      </w:r>
      <w:r w:rsidRPr="007464CD" w:rsidR="002F2DCE">
        <w:t xml:space="preserve"> </w:t>
      </w:r>
      <w:r w:rsidRPr="007464CD" w:rsidR="00F503A5">
        <w:t>T</w:t>
      </w:r>
      <w:r w:rsidRPr="007464CD">
        <w:t>his</w:t>
      </w:r>
      <w:r w:rsidRPr="007464CD" w:rsidR="00F503A5">
        <w:t xml:space="preserve"> table</w:t>
      </w:r>
      <w:r w:rsidRPr="007464CD">
        <w:t xml:space="preserve"> </w:t>
      </w:r>
      <w:r w:rsidRPr="007464CD" w:rsidR="00F503A5">
        <w:t>include</w:t>
      </w:r>
      <w:r w:rsidRPr="007464CD" w:rsidR="00D338B8">
        <w:t>s</w:t>
      </w:r>
      <w:r w:rsidRPr="007464CD" w:rsidR="00F503A5">
        <w:t xml:space="preserve"> operation and maintenance (O&amp;M) costs</w:t>
      </w:r>
      <w:r w:rsidRPr="007464CD" w:rsidR="00160F71">
        <w:t xml:space="preserve"> for the point source data system as introduced previously in </w:t>
      </w:r>
      <w:r w:rsidRPr="007464CD" w:rsidR="00160F71">
        <w:fldChar w:fldCharType="begin"/>
      </w:r>
      <w:r w:rsidRPr="007464CD" w:rsidR="00160F71">
        <w:instrText xml:space="preserve"> REF _Ref106891332 \h  \* MERGEFORMAT </w:instrText>
      </w:r>
      <w:r w:rsidRPr="007464CD" w:rsidR="00160F71">
        <w:fldChar w:fldCharType="separate"/>
      </w:r>
      <w:r w:rsidRPr="0020098E" w:rsidR="00646F0F">
        <w:t xml:space="preserve">Table </w:t>
      </w:r>
      <w:r w:rsidR="00646F0F">
        <w:rPr>
          <w:noProof/>
        </w:rPr>
        <w:t>6</w:t>
      </w:r>
      <w:r w:rsidRPr="007464CD" w:rsidR="00160F71">
        <w:fldChar w:fldCharType="end"/>
      </w:r>
      <w:r w:rsidRPr="007464CD" w:rsidR="00160F71">
        <w:t>a</w:t>
      </w:r>
      <w:r w:rsidRPr="007464CD" w:rsidR="00F503A5">
        <w:t xml:space="preserve">. </w:t>
      </w:r>
      <w:r w:rsidRPr="007464CD">
        <w:t>For point sources</w:t>
      </w:r>
      <w:r w:rsidRPr="007464CD" w:rsidR="00160F71">
        <w:t xml:space="preserve"> annual and triennial labor costs</w:t>
      </w:r>
      <w:r w:rsidRPr="007464CD">
        <w:t xml:space="preserve">, </w:t>
      </w:r>
      <w:r w:rsidRPr="007464CD" w:rsidR="00160F71">
        <w:fldChar w:fldCharType="begin"/>
      </w:r>
      <w:r w:rsidRPr="007464CD" w:rsidR="00160F71">
        <w:instrText xml:space="preserve"> REF _Ref107481236 \h  \* MERGEFORMAT </w:instrText>
      </w:r>
      <w:r w:rsidRPr="007464CD" w:rsidR="00160F71">
        <w:fldChar w:fldCharType="separate"/>
      </w:r>
      <w:r w:rsidRPr="0020098E" w:rsidR="00646F0F">
        <w:t xml:space="preserve">Table </w:t>
      </w:r>
      <w:r w:rsidR="00646F0F">
        <w:rPr>
          <w:noProof/>
        </w:rPr>
        <w:t>8</w:t>
      </w:r>
      <w:r w:rsidRPr="007464CD" w:rsidR="00160F71">
        <w:fldChar w:fldCharType="end"/>
      </w:r>
      <w:r w:rsidRPr="007464CD" w:rsidR="00160F71">
        <w:t xml:space="preserve">a </w:t>
      </w:r>
      <w:r w:rsidRPr="007464CD">
        <w:t xml:space="preserve">uses the </w:t>
      </w:r>
      <w:r w:rsidRPr="007464CD" w:rsidR="00160F71">
        <w:t xml:space="preserve">EIS and CAERS </w:t>
      </w:r>
      <w:r w:rsidRPr="007464CD" w:rsidR="009A3E47">
        <w:t>case</w:t>
      </w:r>
      <w:r w:rsidRPr="007464CD" w:rsidR="00160F71">
        <w:t xml:space="preserve">s 1 and 2 </w:t>
      </w:r>
      <w:r w:rsidRPr="007464CD">
        <w:t xml:space="preserve">subtotals from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rsidR="00A15F90">
        <w:t>b</w:t>
      </w:r>
      <w:r w:rsidRPr="007464CD">
        <w:t xml:space="preserve">. For other </w:t>
      </w:r>
      <w:r w:rsidR="0017408B">
        <w:t>data categories (</w:t>
      </w:r>
      <w:r w:rsidR="0017408B">
        <w:rPr>
          <w:i/>
          <w:iCs/>
        </w:rPr>
        <w:t xml:space="preserve">i.e., </w:t>
      </w:r>
      <w:r w:rsidR="0017408B">
        <w:t>nonpoint and mobile)</w:t>
      </w:r>
      <w:r w:rsidRPr="007464CD">
        <w:t xml:space="preserve">, the table relies on the </w:t>
      </w:r>
      <w:r w:rsidRPr="007464CD">
        <w:rPr>
          <w:i/>
          <w:iCs/>
        </w:rPr>
        <w:t>average</w:t>
      </w:r>
      <w:r w:rsidRPr="007464CD">
        <w:t xml:space="preserve"> </w:t>
      </w:r>
      <w:r w:rsidRPr="007464CD" w:rsidR="00DD2FB6">
        <w:t>hours</w:t>
      </w:r>
      <w:r w:rsidRPr="007464CD">
        <w:t xml:space="preserve"> per entity </w:t>
      </w:r>
      <w:r w:rsidRPr="007464CD" w:rsidR="00DD2FB6">
        <w:t>as provided by</w:t>
      </w:r>
      <w:r w:rsidRPr="007464CD">
        <w:t xml:space="preserve">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a </w:t>
      </w:r>
      <w:r w:rsidRPr="007464CD" w:rsidR="00A15F90">
        <w:t xml:space="preserve">and </w:t>
      </w:r>
      <w:r w:rsidRPr="007464CD">
        <w:fldChar w:fldCharType="begin"/>
      </w:r>
      <w:r w:rsidRPr="007464CD">
        <w:instrText xml:space="preserve"> REF _Ref106909225 \h  \* MERGEFORMAT </w:instrText>
      </w:r>
      <w:r w:rsidRPr="007464CD">
        <w:fldChar w:fldCharType="separate"/>
      </w:r>
      <w:r w:rsidRPr="0020098E" w:rsidR="00646F0F">
        <w:t xml:space="preserve">Table </w:t>
      </w:r>
      <w:r w:rsidR="00646F0F">
        <w:rPr>
          <w:noProof/>
        </w:rPr>
        <w:t>7</w:t>
      </w:r>
      <w:r w:rsidRPr="007464CD">
        <w:fldChar w:fldCharType="end"/>
      </w:r>
      <w:r w:rsidRPr="007464CD">
        <w:t xml:space="preserve">b. </w:t>
      </w:r>
      <w:r w:rsidRPr="007464CD" w:rsidR="002F2DCE">
        <w:t>To estimate annualized hours and costs for triennial activities, we divide the burden estimate by three to estimate the annualized burden spread over a 3-year period.</w:t>
      </w:r>
    </w:p>
    <w:p w:rsidR="00C632E2" w:rsidP="009E08D8" w14:paraId="41D80D25" w14:textId="246434F8"/>
    <w:p w:rsidR="00C632E2" w:rsidRPr="007464CD" w:rsidP="009E08D8" w14:paraId="46CE6E71" w14:textId="4234CE3B">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rsidR="00C0460E">
        <w:t>a</w:t>
      </w:r>
      <w:r w:rsidRPr="007464CD" w:rsidR="00F503A5">
        <w:t xml:space="preserve"> </w:t>
      </w:r>
      <w:r w:rsidRPr="007464CD" w:rsidR="00DD2FB6">
        <w:t>also includes the number of entities for each activity</w:t>
      </w:r>
      <w:r w:rsidR="001110F5">
        <w:t>. The EPA</w:t>
      </w:r>
      <w:r w:rsidRPr="007464CD" w:rsidR="002F2DCE">
        <w:t xml:space="preserve"> has used t</w:t>
      </w:r>
      <w:r w:rsidRPr="007464CD" w:rsidR="00DD2FB6">
        <w:t xml:space="preserve">hese values </w:t>
      </w:r>
      <w:r w:rsidRPr="007464CD" w:rsidR="002F2DCE">
        <w:t>to compute</w:t>
      </w:r>
      <w:r w:rsidRPr="007464CD" w:rsidR="00DD2FB6">
        <w:t xml:space="preserve"> average costs per SLT</w:t>
      </w:r>
      <w:r w:rsidRPr="007464CD" w:rsidR="002F2DCE">
        <w:t xml:space="preserve">, which are </w:t>
      </w:r>
      <w:r w:rsidRPr="007464CD" w:rsidR="00DD2FB6">
        <w:t xml:space="preserve">provided in the table. In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rsidR="00DD2FB6">
        <w:t>a, EPA has assumed that 5</w:t>
      </w:r>
      <w:r w:rsidR="0017408B">
        <w:t>6</w:t>
      </w:r>
      <w:r w:rsidRPr="007464CD" w:rsidR="00DD2FB6">
        <w:t xml:space="preserve"> </w:t>
      </w:r>
      <w:r w:rsidR="0017408B">
        <w:t xml:space="preserve">out of a total of 84 </w:t>
      </w:r>
      <w:r w:rsidRPr="007464CD" w:rsidR="00DD2FB6">
        <w:t>agen</w:t>
      </w:r>
      <w:r w:rsidRPr="007464CD" w:rsidR="002F2DCE">
        <w:t>cies report point sources</w:t>
      </w:r>
      <w:r w:rsidR="0017408B">
        <w:t xml:space="preserve"> using CAERS cases 1 and 2</w:t>
      </w:r>
      <w:r w:rsidRPr="007464CD" w:rsidR="002F2DCE">
        <w:t>, while 5</w:t>
      </w:r>
      <w:r w:rsidRPr="007464CD" w:rsidR="004E4F82">
        <w:t>4</w:t>
      </w:r>
      <w:r w:rsidRPr="007464CD" w:rsidR="002F2DCE">
        <w:t xml:space="preserve"> state and 30 local and tribal agencies report nonpoint and mobile sources. These assumptions are consistent with previous tables. </w:t>
      </w:r>
      <w:r w:rsidR="0015405C">
        <w:t>The additional SLTs reporting via CAERS cases 3 and 4 are reflected in subsequent tables.</w:t>
      </w:r>
    </w:p>
    <w:p w:rsidR="00C632E2" w:rsidRPr="007464CD" w:rsidP="009E08D8" w14:paraId="73A46F5B" w14:textId="77777777"/>
    <w:p w:rsidR="00EE4378" w:rsidP="009E08D8" w14:paraId="7FEF477E" w14:textId="146D3658">
      <w:r w:rsidRPr="007464CD">
        <w:t xml:space="preserve">As shown in </w:t>
      </w:r>
      <w:r w:rsidRPr="007464CD" w:rsidR="008530F5">
        <w:fldChar w:fldCharType="begin"/>
      </w:r>
      <w:r w:rsidRPr="007464CD" w:rsidR="008530F5">
        <w:instrText xml:space="preserve"> REF _Ref107481236 \h  \* MERGEFORMAT </w:instrText>
      </w:r>
      <w:r w:rsidRPr="007464CD" w:rsidR="008530F5">
        <w:fldChar w:fldCharType="separate"/>
      </w:r>
      <w:r w:rsidRPr="0020098E" w:rsidR="00646F0F">
        <w:t xml:space="preserve">Table </w:t>
      </w:r>
      <w:r w:rsidR="00646F0F">
        <w:rPr>
          <w:noProof/>
        </w:rPr>
        <w:t>8</w:t>
      </w:r>
      <w:r w:rsidRPr="007464CD" w:rsidR="008530F5">
        <w:fldChar w:fldCharType="end"/>
      </w:r>
      <w:r w:rsidRPr="007464CD">
        <w:t>a, EPA estimates that the largest</w:t>
      </w:r>
      <w:r w:rsidRPr="008530F5">
        <w:t xml:space="preserve"> cost associated with this collection</w:t>
      </w:r>
      <w:r>
        <w:t xml:space="preserve"> is the data system operations and maintenance (about $15</w:t>
      </w:r>
      <w:r w:rsidR="00A578B5">
        <w:t>3</w:t>
      </w:r>
      <w:r>
        <w:t>K)</w:t>
      </w:r>
      <w:r w:rsidR="001601E4">
        <w:t>.</w:t>
      </w:r>
      <w:r>
        <w:t xml:space="preserve"> </w:t>
      </w:r>
      <w:r w:rsidR="001601E4">
        <w:t>This cost</w:t>
      </w:r>
      <w:r>
        <w:t xml:space="preserve"> had not been included in previous ICRs for the AERR</w:t>
      </w:r>
      <w:r w:rsidR="001601E4">
        <w:t xml:space="preserve"> but has been occuring under the current AERR and is therefore not attributable to the proposed revisions</w:t>
      </w:r>
      <w:r w:rsidR="001110F5">
        <w:t>. The EPA</w:t>
      </w:r>
      <w:r w:rsidR="00260A48">
        <w:t xml:space="preserve"> estimates additional annualized labor costs for required activities of about $6</w:t>
      </w:r>
      <w:r w:rsidR="0017408B">
        <w:t>3</w:t>
      </w:r>
      <w:r w:rsidR="00260A48">
        <w:t xml:space="preserve">K for states </w:t>
      </w:r>
      <w:r w:rsidR="0017408B">
        <w:t xml:space="preserve">($5K + </w:t>
      </w:r>
      <w:r>
        <w:t>$</w:t>
      </w:r>
      <w:r w:rsidR="0017408B">
        <w:t xml:space="preserve">7K + </w:t>
      </w:r>
      <w:r>
        <w:t>$</w:t>
      </w:r>
      <w:r w:rsidR="0017408B">
        <w:t xml:space="preserve">51K) </w:t>
      </w:r>
      <w:r w:rsidR="00260A48">
        <w:t xml:space="preserve">and about $38K </w:t>
      </w:r>
      <w:r w:rsidR="0017408B">
        <w:t xml:space="preserve">($5K + $7K + </w:t>
      </w:r>
      <w:r>
        <w:t xml:space="preserve">$20K) </w:t>
      </w:r>
      <w:r w:rsidR="00260A48">
        <w:t>for local</w:t>
      </w:r>
      <w:r w:rsidR="00FD48C4">
        <w:t xml:space="preserve"> agencies</w:t>
      </w:r>
      <w:r w:rsidR="00260A48">
        <w:t xml:space="preserve"> and tribes. </w:t>
      </w:r>
    </w:p>
    <w:p w:rsidR="00EE4378" w:rsidP="009E08D8" w14:paraId="42A7F977" w14:textId="5811439D"/>
    <w:p w:rsidR="0015405C" w:rsidP="0015405C" w14:paraId="541B31D0" w14:textId="48255AF0">
      <w:r>
        <w:t xml:space="preserve">For the resulting operations and maintenance costs, EPA attempted to verify the costs of SLT data collection systems and posed the question to a CAERS workgroup. Prior to the work done to make these cost estimates, EPA heard back from just a single state that their collection system costs ranged from $10K/year to $80K/ year, with an average of $55K per year. Based on this feedback, the estimated costs shown in </w:t>
      </w:r>
      <w:r w:rsidRPr="0020098E" w:rsidR="000E23BC">
        <w:t xml:space="preserve">Table </w:t>
      </w:r>
      <w:r w:rsidR="000E23BC">
        <w:rPr>
          <w:noProof/>
        </w:rPr>
        <w:t>8a</w:t>
      </w:r>
      <w:r>
        <w:fldChar w:fldCharType="begin"/>
      </w:r>
      <w:r>
        <w:instrText xml:space="preserve"> REF _Ref107498455 \h </w:instrText>
      </w:r>
      <w:r>
        <w:fldChar w:fldCharType="separate"/>
      </w:r>
      <w:r w:rsidR="00646F0F">
        <w:rPr>
          <w:b/>
          <w:bCs/>
        </w:rPr>
        <w:t>Error! Reference source not found.</w:t>
      </w:r>
      <w:r>
        <w:fldChar w:fldCharType="end"/>
      </w:r>
      <w:r>
        <w:t xml:space="preserve"> of about $153K should be conservative. The data system cost estimates can be further revised in the final ICR based on any additional input provided by SLT agencies.</w:t>
      </w:r>
    </w:p>
    <w:p w:rsidR="0015405C" w:rsidP="009E08D8" w14:paraId="1741D87F" w14:textId="77777777"/>
    <w:p w:rsidR="00C632E2" w:rsidP="009E08D8" w14:paraId="6B8E33E0" w14:textId="4EFB7E17">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 xml:space="preserve">a </w:t>
      </w:r>
      <w:r w:rsidR="0015405C">
        <w:t>a</w:t>
      </w:r>
      <w:r w:rsidR="00260A48">
        <w:t>dditional</w:t>
      </w:r>
      <w:r w:rsidR="0015405C">
        <w:t>ly provides</w:t>
      </w:r>
      <w:r w:rsidR="00260A48">
        <w:t xml:space="preserve"> annualized costs for voluntary activities</w:t>
      </w:r>
      <w:r w:rsidR="0015405C">
        <w:t xml:space="preserve">. The annual submission of HAP is reflected using information from </w:t>
      </w:r>
      <w:r w:rsidRPr="005B3BC5" w:rsidR="0015405C">
        <w:rPr>
          <w:rFonts w:ascii="Calibri" w:hAnsi="Calibri" w:cs="Calibri"/>
          <w:szCs w:val="22"/>
        </w:rPr>
        <w:fldChar w:fldCharType="begin"/>
      </w:r>
      <w:r w:rsidRPr="005B3BC5" w:rsidR="0015405C">
        <w:rPr>
          <w:rFonts w:ascii="Calibri" w:hAnsi="Calibri" w:cs="Calibri"/>
          <w:szCs w:val="22"/>
        </w:rPr>
        <w:instrText xml:space="preserve"> REF _Ref106891332 \h  \* MERGEFORMAT </w:instrText>
      </w:r>
      <w:r w:rsidRPr="005B3BC5" w:rsidR="0015405C">
        <w:rPr>
          <w:rFonts w:ascii="Calibri" w:hAnsi="Calibri" w:cs="Calibri"/>
          <w:szCs w:val="22"/>
        </w:rPr>
        <w:fldChar w:fldCharType="separate"/>
      </w:r>
      <w:r w:rsidRPr="0020098E" w:rsidR="00646F0F">
        <w:t xml:space="preserve">Table </w:t>
      </w:r>
      <w:r w:rsidR="00646F0F">
        <w:rPr>
          <w:noProof/>
        </w:rPr>
        <w:t>6</w:t>
      </w:r>
      <w:r w:rsidRPr="005B3BC5" w:rsidR="0015405C">
        <w:rPr>
          <w:rFonts w:ascii="Calibri" w:hAnsi="Calibri" w:cs="Calibri"/>
          <w:szCs w:val="22"/>
        </w:rPr>
        <w:fldChar w:fldCharType="end"/>
      </w:r>
      <w:r w:rsidR="0015405C">
        <w:rPr>
          <w:rFonts w:ascii="Calibri" w:hAnsi="Calibri" w:cs="Calibri"/>
          <w:szCs w:val="22"/>
        </w:rPr>
        <w:t xml:space="preserve">b and </w:t>
      </w:r>
      <w:r w:rsidR="000E23BC">
        <w:rPr>
          <w:rFonts w:ascii="Calibri" w:hAnsi="Calibri" w:cs="Calibri"/>
          <w:szCs w:val="22"/>
        </w:rPr>
        <w:t>6c</w:t>
      </w:r>
      <w:r w:rsidR="0015405C">
        <w:t xml:space="preserve">.  The costs </w:t>
      </w:r>
      <w:r w:rsidR="00260A48">
        <w:t>range from $</w:t>
      </w:r>
      <w:r w:rsidR="00ED3519">
        <w:t>15</w:t>
      </w:r>
      <w:r w:rsidR="00260A48">
        <w:t>K for local</w:t>
      </w:r>
      <w:r w:rsidR="00FD48C4">
        <w:t xml:space="preserve"> agencies</w:t>
      </w:r>
      <w:r w:rsidR="00260A48">
        <w:t>/tribes to $</w:t>
      </w:r>
      <w:r w:rsidR="00ED3519">
        <w:t>26</w:t>
      </w:r>
      <w:r w:rsidR="00260A48">
        <w:t>K for states. Based on the expected number of states and local</w:t>
      </w:r>
      <w:r w:rsidR="00FD48C4">
        <w:t xml:space="preserve"> agencies</w:t>
      </w:r>
      <w:r w:rsidR="00260A48">
        <w:t xml:space="preserve"> to participate in voluntary activities in triennial years, </w:t>
      </w:r>
      <w:r w:rsidR="00ED3519">
        <w:t>EPA estimates an average annualized cost for voluntary activities of $22K for the 29 SLT agencies expected to submit data voluntarily.</w:t>
      </w:r>
    </w:p>
    <w:p w:rsidR="00D05E37" w:rsidP="009E08D8" w14:paraId="663D4175" w14:textId="77777777"/>
    <w:p w:rsidR="006E789F" w:rsidP="009E08D8" w14:paraId="42D416CF" w14:textId="06B9E3C8">
      <w:pPr>
        <w:sectPr w:rsidSect="00370665">
          <w:footerReference w:type="default" r:id="rId11"/>
          <w:pgSz w:w="12240" w:h="15840"/>
          <w:pgMar w:top="1080" w:right="1440" w:bottom="1080" w:left="1440" w:header="1440" w:footer="864" w:gutter="0"/>
          <w:cols w:space="720"/>
          <w:noEndnote/>
          <w:docGrid w:linePitch="326"/>
        </w:sectPr>
      </w:pPr>
    </w:p>
    <w:p w:rsidR="00D40143" w:rsidRPr="00D40143" w:rsidP="00D40143" w14:paraId="199645C4" w14:textId="21156D02">
      <w:pPr>
        <w:pStyle w:val="Caption"/>
      </w:pPr>
      <w:bookmarkStart w:id="21" w:name="_Ref107481236"/>
      <w:bookmarkStart w:id="22" w:name="RANGE!AI2"/>
      <w:r w:rsidRPr="0020098E">
        <w:t xml:space="preserve">Table </w:t>
      </w:r>
      <w:r w:rsidR="00E05ECE">
        <w:fldChar w:fldCharType="begin"/>
      </w:r>
      <w:r w:rsidR="00E05ECE">
        <w:instrText xml:space="preserve"> SEQ Table \* ARABIC </w:instrText>
      </w:r>
      <w:r w:rsidR="00E05ECE">
        <w:fldChar w:fldCharType="separate"/>
      </w:r>
      <w:r w:rsidR="00646F0F">
        <w:rPr>
          <w:noProof/>
        </w:rPr>
        <w:t>8</w:t>
      </w:r>
      <w:r w:rsidR="00E05ECE">
        <w:rPr>
          <w:noProof/>
        </w:rPr>
        <w:fldChar w:fldCharType="end"/>
      </w:r>
      <w:bookmarkEnd w:id="21"/>
      <w:r w:rsidRPr="0020098E">
        <w:t>a:</w:t>
      </w:r>
      <w:r w:rsidRPr="00D05E37">
        <w:rPr>
          <w:b/>
          <w:bCs/>
        </w:rPr>
        <w:t xml:space="preserve"> </w:t>
      </w:r>
      <w:bookmarkEnd w:id="22"/>
      <w:r w:rsidRPr="00D40143">
        <w:t>Annualized Burden of NEI submission per Respondent for EIS Approach and CAERS Cases 1 and 2</w:t>
      </w:r>
    </w:p>
    <w:tbl>
      <w:tblPr>
        <w:tblW w:w="13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200"/>
        <w:gridCol w:w="1350"/>
        <w:gridCol w:w="818"/>
        <w:gridCol w:w="537"/>
        <w:gridCol w:w="22"/>
        <w:gridCol w:w="1122"/>
        <w:gridCol w:w="22"/>
        <w:gridCol w:w="1349"/>
        <w:gridCol w:w="852"/>
        <w:gridCol w:w="1100"/>
        <w:gridCol w:w="22"/>
      </w:tblGrid>
      <w:tr w14:paraId="0BF8A8FE" w14:textId="77777777" w:rsidTr="007F625D">
        <w:tblPrEx>
          <w:tblW w:w="13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rPr>
          <w:trHeight w:val="20"/>
        </w:trPr>
        <w:tc>
          <w:tcPr>
            <w:tcW w:w="6200" w:type="dxa"/>
            <w:shd w:val="clear" w:color="auto" w:fill="auto"/>
            <w:vAlign w:val="center"/>
            <w:hideMark/>
          </w:tcPr>
          <w:p w:rsidR="00073AF7" w:rsidRPr="000329AD" w:rsidP="000329AD" w14:paraId="7273959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sidRPr="000329AD">
              <w:rPr>
                <w:rFonts w:ascii="Calibri" w:hAnsi="Calibri" w:cs="Calibri"/>
                <w:b/>
                <w:bCs/>
                <w:color w:val="000000"/>
                <w:szCs w:val="22"/>
              </w:rPr>
              <w:t>Information Collection Activity</w:t>
            </w:r>
          </w:p>
        </w:tc>
        <w:tc>
          <w:tcPr>
            <w:tcW w:w="1350" w:type="dxa"/>
            <w:shd w:val="clear" w:color="auto" w:fill="auto"/>
            <w:vAlign w:val="center"/>
            <w:hideMark/>
          </w:tcPr>
          <w:p w:rsidR="00073AF7" w:rsidRPr="000329AD" w:rsidP="000329AD" w14:paraId="573E5E5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State, local, or tribal count</w:t>
            </w:r>
          </w:p>
        </w:tc>
        <w:tc>
          <w:tcPr>
            <w:tcW w:w="1355" w:type="dxa"/>
            <w:gridSpan w:val="2"/>
            <w:shd w:val="clear" w:color="auto" w:fill="auto"/>
            <w:vAlign w:val="center"/>
            <w:hideMark/>
          </w:tcPr>
          <w:p w:rsidR="00073AF7" w:rsidRPr="000329AD" w:rsidP="000329AD" w14:paraId="0EB5974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Manager Hrs/yr @ $118.94/Hr</w:t>
            </w:r>
          </w:p>
        </w:tc>
        <w:tc>
          <w:tcPr>
            <w:tcW w:w="1144" w:type="dxa"/>
            <w:gridSpan w:val="2"/>
            <w:shd w:val="clear" w:color="auto" w:fill="auto"/>
            <w:vAlign w:val="center"/>
            <w:hideMark/>
          </w:tcPr>
          <w:p w:rsidR="00073AF7" w:rsidRPr="000329AD" w:rsidP="000329AD" w14:paraId="6778712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Engineer Hrs/yr @ $90.83/Hr</w:t>
            </w:r>
          </w:p>
        </w:tc>
        <w:tc>
          <w:tcPr>
            <w:tcW w:w="1371" w:type="dxa"/>
            <w:gridSpan w:val="2"/>
            <w:shd w:val="clear" w:color="auto" w:fill="auto"/>
            <w:vAlign w:val="bottom"/>
            <w:hideMark/>
          </w:tcPr>
          <w:p w:rsidR="00073AF7" w:rsidRPr="000329AD" w:rsidP="00073AF7" w14:paraId="129AC00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IT Hrs/yr @ $81.02/Hr</w:t>
            </w:r>
          </w:p>
        </w:tc>
        <w:tc>
          <w:tcPr>
            <w:tcW w:w="852" w:type="dxa"/>
            <w:shd w:val="clear" w:color="auto" w:fill="auto"/>
            <w:vAlign w:val="center"/>
            <w:hideMark/>
          </w:tcPr>
          <w:p w:rsidR="00073AF7" w:rsidRPr="000329AD" w:rsidP="000329AD" w14:paraId="55C505C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Total Hours/</w:t>
            </w:r>
            <w:r w:rsidRPr="000329AD">
              <w:rPr>
                <w:rFonts w:ascii="Calibri" w:hAnsi="Calibri" w:cs="Calibri"/>
                <w:b/>
                <w:bCs/>
                <w:color w:val="000000"/>
                <w:szCs w:val="22"/>
              </w:rPr>
              <w:br/>
              <w:t>Year</w:t>
            </w:r>
          </w:p>
        </w:tc>
        <w:tc>
          <w:tcPr>
            <w:tcW w:w="1122" w:type="dxa"/>
            <w:gridSpan w:val="2"/>
            <w:shd w:val="clear" w:color="auto" w:fill="auto"/>
            <w:vAlign w:val="center"/>
            <w:hideMark/>
          </w:tcPr>
          <w:p w:rsidR="00073AF7" w:rsidRPr="000329AD" w:rsidP="00073AF7" w14:paraId="027CC46C" w14:textId="535F377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0329AD">
              <w:rPr>
                <w:rFonts w:ascii="Calibri" w:hAnsi="Calibri" w:cs="Calibri"/>
                <w:b/>
                <w:bCs/>
                <w:color w:val="000000"/>
                <w:szCs w:val="22"/>
              </w:rPr>
              <w:t>Cost/</w:t>
            </w:r>
            <w:r>
              <w:rPr>
                <w:rFonts w:ascii="Calibri" w:hAnsi="Calibri" w:cs="Calibri"/>
                <w:b/>
                <w:bCs/>
                <w:color w:val="000000"/>
                <w:szCs w:val="22"/>
              </w:rPr>
              <w:br/>
            </w:r>
            <w:r w:rsidRPr="000329AD">
              <w:rPr>
                <w:rFonts w:ascii="Calibri" w:hAnsi="Calibri" w:cs="Calibri"/>
                <w:b/>
                <w:bCs/>
                <w:color w:val="000000"/>
                <w:szCs w:val="22"/>
              </w:rPr>
              <w:t>Year</w:t>
            </w:r>
          </w:p>
        </w:tc>
      </w:tr>
      <w:tr w14:paraId="43AD5852" w14:textId="77777777" w:rsidTr="007F625D">
        <w:tblPrEx>
          <w:tblW w:w="13394" w:type="dxa"/>
          <w:tblLook w:val="04A0"/>
        </w:tblPrEx>
        <w:trPr>
          <w:trHeight w:val="20"/>
        </w:trPr>
        <w:tc>
          <w:tcPr>
            <w:tcW w:w="6200" w:type="dxa"/>
            <w:shd w:val="clear" w:color="000000" w:fill="D9D9D9"/>
            <w:vAlign w:val="center"/>
            <w:hideMark/>
          </w:tcPr>
          <w:p w:rsidR="00073AF7" w:rsidRPr="000329AD" w:rsidP="000329AD" w14:paraId="5D77C9F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sidRPr="000329AD">
              <w:rPr>
                <w:rFonts w:ascii="Calibri" w:hAnsi="Calibri" w:cs="Calibri"/>
                <w:b/>
                <w:bCs/>
                <w:color w:val="000000"/>
                <w:szCs w:val="22"/>
              </w:rPr>
              <w:t>Annual Required Activities</w:t>
            </w:r>
          </w:p>
        </w:tc>
        <w:tc>
          <w:tcPr>
            <w:tcW w:w="1350" w:type="dxa"/>
            <w:shd w:val="clear" w:color="000000" w:fill="D9D9D9"/>
            <w:vAlign w:val="center"/>
            <w:hideMark/>
          </w:tcPr>
          <w:p w:rsidR="00073AF7" w:rsidRPr="000329AD" w:rsidP="000329AD" w14:paraId="578AFD8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355" w:type="dxa"/>
            <w:gridSpan w:val="2"/>
            <w:shd w:val="clear" w:color="000000" w:fill="D9D9D9"/>
            <w:vAlign w:val="center"/>
            <w:hideMark/>
          </w:tcPr>
          <w:p w:rsidR="00073AF7" w:rsidRPr="000329AD" w:rsidP="000329AD" w14:paraId="0A2D8C0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144" w:type="dxa"/>
            <w:gridSpan w:val="2"/>
            <w:shd w:val="clear" w:color="000000" w:fill="D9D9D9"/>
            <w:vAlign w:val="center"/>
            <w:hideMark/>
          </w:tcPr>
          <w:p w:rsidR="00073AF7" w:rsidRPr="000329AD" w:rsidP="000329AD" w14:paraId="1061837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371" w:type="dxa"/>
            <w:gridSpan w:val="2"/>
            <w:shd w:val="clear" w:color="000000" w:fill="D9D9D9"/>
            <w:vAlign w:val="center"/>
            <w:hideMark/>
          </w:tcPr>
          <w:p w:rsidR="00073AF7" w:rsidRPr="000329AD" w:rsidP="000329AD" w14:paraId="07FC67E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852" w:type="dxa"/>
            <w:shd w:val="clear" w:color="000000" w:fill="D9D9D9"/>
            <w:vAlign w:val="center"/>
            <w:hideMark/>
          </w:tcPr>
          <w:p w:rsidR="00073AF7" w:rsidRPr="000329AD" w:rsidP="000329AD" w14:paraId="792B11A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122" w:type="dxa"/>
            <w:gridSpan w:val="2"/>
            <w:shd w:val="clear" w:color="000000" w:fill="D9D9D9"/>
            <w:vAlign w:val="center"/>
            <w:hideMark/>
          </w:tcPr>
          <w:p w:rsidR="00073AF7" w:rsidRPr="000329AD" w:rsidP="000329AD" w14:paraId="04516D3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r>
      <w:tr w14:paraId="16BDEBEE" w14:textId="77777777" w:rsidTr="007F625D">
        <w:tblPrEx>
          <w:tblW w:w="13394" w:type="dxa"/>
          <w:tblLook w:val="04A0"/>
        </w:tblPrEx>
        <w:trPr>
          <w:trHeight w:val="20"/>
        </w:trPr>
        <w:tc>
          <w:tcPr>
            <w:tcW w:w="6200" w:type="dxa"/>
            <w:shd w:val="clear" w:color="auto" w:fill="auto"/>
            <w:vAlign w:val="center"/>
          </w:tcPr>
          <w:p w:rsidR="00502F49" w:rsidRPr="000329AD" w:rsidP="00502F49" w14:paraId="48C08D1C" w14:textId="6EFED19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Pr>
                <w:rFonts w:ascii="Calibri" w:hAnsi="Calibri" w:cs="Calibri"/>
                <w:szCs w:val="22"/>
              </w:rPr>
              <w:t xml:space="preserve">Point source data collection system operations and maintenance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sidR="005B3BC5">
              <w:rPr>
                <w:rFonts w:ascii="Calibri" w:hAnsi="Calibri" w:cs="Calibri"/>
                <w:szCs w:val="22"/>
              </w:rPr>
              <w:t>a</w:t>
            </w:r>
            <w:r>
              <w:rPr>
                <w:rFonts w:ascii="Calibri" w:hAnsi="Calibri" w:cs="Calibri"/>
                <w:szCs w:val="22"/>
              </w:rPr>
              <w:t>)</w:t>
            </w:r>
          </w:p>
        </w:tc>
        <w:tc>
          <w:tcPr>
            <w:tcW w:w="1350" w:type="dxa"/>
            <w:shd w:val="clear" w:color="auto" w:fill="auto"/>
            <w:vAlign w:val="center"/>
          </w:tcPr>
          <w:p w:rsidR="00502F49" w:rsidRPr="000329AD" w:rsidP="00502F49" w14:paraId="1DF24337" w14:textId="59C6DA0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1355" w:type="dxa"/>
            <w:gridSpan w:val="2"/>
            <w:shd w:val="clear" w:color="auto" w:fill="auto"/>
            <w:vAlign w:val="center"/>
          </w:tcPr>
          <w:p w:rsidR="00502F49" w:rsidRPr="000329AD" w:rsidP="00502F49" w14:paraId="720958DD" w14:textId="0A2CFB9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160</w:t>
            </w:r>
          </w:p>
        </w:tc>
        <w:tc>
          <w:tcPr>
            <w:tcW w:w="1144" w:type="dxa"/>
            <w:gridSpan w:val="2"/>
            <w:shd w:val="clear" w:color="auto" w:fill="auto"/>
            <w:vAlign w:val="center"/>
          </w:tcPr>
          <w:p w:rsidR="00502F49" w:rsidRPr="000329AD" w:rsidP="00502F49" w14:paraId="6BA305DA" w14:textId="36C3556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440</w:t>
            </w:r>
          </w:p>
        </w:tc>
        <w:tc>
          <w:tcPr>
            <w:tcW w:w="1371" w:type="dxa"/>
            <w:gridSpan w:val="2"/>
            <w:shd w:val="clear" w:color="auto" w:fill="auto"/>
            <w:vAlign w:val="center"/>
          </w:tcPr>
          <w:p w:rsidR="00502F49" w:rsidRPr="000329AD" w:rsidP="00502F49" w14:paraId="682467DD" w14:textId="68FBB3E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1,160</w:t>
            </w:r>
          </w:p>
        </w:tc>
        <w:tc>
          <w:tcPr>
            <w:tcW w:w="852" w:type="dxa"/>
            <w:shd w:val="clear" w:color="auto" w:fill="auto"/>
            <w:vAlign w:val="center"/>
          </w:tcPr>
          <w:p w:rsidR="00502F49" w:rsidRPr="000329AD" w:rsidP="00502F49" w14:paraId="57B18A3C" w14:textId="7CBADEC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1,760</w:t>
            </w:r>
          </w:p>
        </w:tc>
        <w:tc>
          <w:tcPr>
            <w:tcW w:w="1122" w:type="dxa"/>
            <w:gridSpan w:val="2"/>
            <w:shd w:val="clear" w:color="auto" w:fill="auto"/>
            <w:vAlign w:val="center"/>
          </w:tcPr>
          <w:p w:rsidR="00502F49" w:rsidRPr="000329AD" w:rsidP="00502F49" w14:paraId="511110CA" w14:textId="5DEB15B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$152,975 </w:t>
            </w:r>
          </w:p>
        </w:tc>
      </w:tr>
      <w:tr w14:paraId="477A12E8" w14:textId="77777777" w:rsidTr="007F625D">
        <w:tblPrEx>
          <w:tblW w:w="13394" w:type="dxa"/>
          <w:tblLook w:val="04A0"/>
        </w:tblPrEx>
        <w:trPr>
          <w:trHeight w:val="20"/>
        </w:trPr>
        <w:tc>
          <w:tcPr>
            <w:tcW w:w="6200" w:type="dxa"/>
            <w:shd w:val="clear" w:color="auto" w:fill="auto"/>
            <w:vAlign w:val="center"/>
          </w:tcPr>
          <w:p w:rsidR="00502F49" w:rsidRPr="000329AD" w:rsidP="00502F49" w14:paraId="4F19D8CE" w14:textId="0D79F11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Pr>
                <w:rFonts w:ascii="Calibri" w:hAnsi="Calibri" w:cs="Calibri"/>
                <w:szCs w:val="22"/>
              </w:rPr>
              <w:t>Submit annually reported point source</w:t>
            </w:r>
            <w:r w:rsidR="007F625D">
              <w:rPr>
                <w:rFonts w:ascii="Calibri" w:hAnsi="Calibri" w:cs="Calibri"/>
                <w:szCs w:val="22"/>
              </w:rPr>
              <w:t xml:space="preserve"> CAPs </w:t>
            </w:r>
            <w:r>
              <w:rPr>
                <w:rFonts w:ascii="Calibri" w:hAnsi="Calibri" w:cs="Calibri"/>
                <w:szCs w:val="22"/>
              </w:rPr>
              <w:t xml:space="preserve">with EIS or CAERS cases 1 or 2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sidR="005B3BC5">
              <w:rPr>
                <w:rFonts w:ascii="Calibri" w:hAnsi="Calibri" w:cs="Calibri"/>
                <w:szCs w:val="22"/>
              </w:rPr>
              <w:t>b</w:t>
            </w:r>
            <w:r>
              <w:rPr>
                <w:rFonts w:ascii="Calibri" w:hAnsi="Calibri" w:cs="Calibri"/>
                <w:szCs w:val="22"/>
              </w:rPr>
              <w:t>)</w:t>
            </w:r>
          </w:p>
        </w:tc>
        <w:tc>
          <w:tcPr>
            <w:tcW w:w="1350" w:type="dxa"/>
            <w:shd w:val="clear" w:color="auto" w:fill="auto"/>
            <w:vAlign w:val="center"/>
          </w:tcPr>
          <w:p w:rsidR="00502F49" w:rsidRPr="000329AD" w:rsidP="00502F49" w14:paraId="2D9F2F67" w14:textId="4647842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1355" w:type="dxa"/>
            <w:gridSpan w:val="2"/>
            <w:shd w:val="clear" w:color="auto" w:fill="auto"/>
            <w:vAlign w:val="center"/>
          </w:tcPr>
          <w:p w:rsidR="00502F49" w:rsidRPr="000329AD" w:rsidP="00502F49" w14:paraId="4EEA50B8" w14:textId="4E3D978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w:t>
            </w:r>
          </w:p>
        </w:tc>
        <w:tc>
          <w:tcPr>
            <w:tcW w:w="1144" w:type="dxa"/>
            <w:gridSpan w:val="2"/>
            <w:shd w:val="clear" w:color="auto" w:fill="auto"/>
            <w:vAlign w:val="center"/>
          </w:tcPr>
          <w:p w:rsidR="00502F49" w:rsidRPr="000329AD" w:rsidP="00502F49" w14:paraId="0E277591" w14:textId="132C42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49</w:t>
            </w:r>
          </w:p>
        </w:tc>
        <w:tc>
          <w:tcPr>
            <w:tcW w:w="1371" w:type="dxa"/>
            <w:gridSpan w:val="2"/>
            <w:shd w:val="clear" w:color="auto" w:fill="auto"/>
            <w:vAlign w:val="center"/>
          </w:tcPr>
          <w:p w:rsidR="00502F49" w:rsidRPr="000329AD" w:rsidP="00502F49" w14:paraId="1AD60389" w14:textId="0B9F982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tcPr>
          <w:p w:rsidR="00502F49" w:rsidRPr="000329AD" w:rsidP="00502F49" w14:paraId="1F5259AA" w14:textId="6A49D2E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53</w:t>
            </w:r>
          </w:p>
        </w:tc>
        <w:tc>
          <w:tcPr>
            <w:tcW w:w="1122" w:type="dxa"/>
            <w:gridSpan w:val="2"/>
            <w:shd w:val="clear" w:color="auto" w:fill="auto"/>
            <w:vAlign w:val="center"/>
          </w:tcPr>
          <w:p w:rsidR="00502F49" w:rsidRPr="000329AD" w:rsidP="00502F49" w14:paraId="35469FC2" w14:textId="0377524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$4,950 </w:t>
            </w:r>
          </w:p>
        </w:tc>
      </w:tr>
      <w:tr w14:paraId="0148E6D4" w14:textId="77777777" w:rsidTr="007F625D">
        <w:tblPrEx>
          <w:tblW w:w="13394" w:type="dxa"/>
          <w:tblLook w:val="04A0"/>
        </w:tblPrEx>
        <w:trPr>
          <w:trHeight w:val="20"/>
        </w:trPr>
        <w:tc>
          <w:tcPr>
            <w:tcW w:w="6200" w:type="dxa"/>
            <w:shd w:val="clear" w:color="000000" w:fill="D9D9D9"/>
            <w:vAlign w:val="center"/>
            <w:hideMark/>
          </w:tcPr>
          <w:p w:rsidR="004E036E" w:rsidRPr="000329AD" w:rsidP="004E036E" w14:paraId="313416BD" w14:textId="12E375A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Pr>
                <w:rFonts w:ascii="Calibri" w:hAnsi="Calibri" w:cs="Calibri"/>
                <w:b/>
                <w:bCs/>
                <w:color w:val="000000"/>
                <w:szCs w:val="22"/>
              </w:rPr>
              <w:t>Point Source Triennial Required Activities</w:t>
            </w:r>
          </w:p>
        </w:tc>
        <w:tc>
          <w:tcPr>
            <w:tcW w:w="1350" w:type="dxa"/>
            <w:shd w:val="clear" w:color="000000" w:fill="D9D9D9"/>
            <w:vAlign w:val="center"/>
            <w:hideMark/>
          </w:tcPr>
          <w:p w:rsidR="004E036E" w:rsidRPr="000329AD" w:rsidP="004E036E" w14:paraId="36591CF0" w14:textId="27FA3D4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355" w:type="dxa"/>
            <w:gridSpan w:val="2"/>
            <w:shd w:val="clear" w:color="000000" w:fill="D9D9D9"/>
            <w:vAlign w:val="center"/>
            <w:hideMark/>
          </w:tcPr>
          <w:p w:rsidR="004E036E" w:rsidRPr="000329AD" w:rsidP="004E036E" w14:paraId="13B7F995" w14:textId="1A13C91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144" w:type="dxa"/>
            <w:gridSpan w:val="2"/>
            <w:shd w:val="clear" w:color="000000" w:fill="D9D9D9"/>
            <w:vAlign w:val="center"/>
            <w:hideMark/>
          </w:tcPr>
          <w:p w:rsidR="004E036E" w:rsidRPr="000329AD" w:rsidP="004E036E" w14:paraId="13EE8D2B" w14:textId="6CBEDD1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371" w:type="dxa"/>
            <w:gridSpan w:val="2"/>
            <w:shd w:val="clear" w:color="000000" w:fill="D9D9D9"/>
            <w:vAlign w:val="center"/>
            <w:hideMark/>
          </w:tcPr>
          <w:p w:rsidR="004E036E" w:rsidRPr="000329AD" w:rsidP="004E036E" w14:paraId="41AA5B66" w14:textId="783855B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852" w:type="dxa"/>
            <w:shd w:val="clear" w:color="000000" w:fill="D9D9D9"/>
            <w:vAlign w:val="center"/>
            <w:hideMark/>
          </w:tcPr>
          <w:p w:rsidR="004E036E" w:rsidRPr="000329AD" w:rsidP="004E036E" w14:paraId="3F813B69" w14:textId="352064E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122" w:type="dxa"/>
            <w:gridSpan w:val="2"/>
            <w:shd w:val="clear" w:color="000000" w:fill="D9D9D9"/>
            <w:vAlign w:val="center"/>
            <w:hideMark/>
          </w:tcPr>
          <w:p w:rsidR="004E036E" w:rsidRPr="000329AD" w:rsidP="004E036E" w14:paraId="5BD0FF70" w14:textId="39D7B06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w:t>
            </w:r>
          </w:p>
        </w:tc>
      </w:tr>
      <w:tr w14:paraId="361E6CC9"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64CC0597" w14:textId="666DBFE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Pr>
                <w:rFonts w:ascii="Calibri" w:hAnsi="Calibri" w:cs="Calibri"/>
                <w:szCs w:val="22"/>
              </w:rPr>
              <w:t xml:space="preserve">Submit additional triennial point source </w:t>
            </w:r>
            <w:r w:rsidR="007F625D">
              <w:rPr>
                <w:rFonts w:ascii="Calibri" w:hAnsi="Calibri" w:cs="Calibri"/>
                <w:szCs w:val="22"/>
              </w:rPr>
              <w:t xml:space="preserve">CAPs </w:t>
            </w:r>
            <w:r>
              <w:rPr>
                <w:rFonts w:ascii="Calibri" w:hAnsi="Calibri" w:cs="Calibri"/>
                <w:szCs w:val="22"/>
              </w:rPr>
              <w:t xml:space="preserve">with EIS or CAERS cases 1 or 2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sidR="005B3BC5">
              <w:rPr>
                <w:rFonts w:ascii="Calibri" w:hAnsi="Calibri" w:cs="Calibri"/>
                <w:szCs w:val="22"/>
              </w:rPr>
              <w:t>b</w:t>
            </w:r>
            <w:r>
              <w:rPr>
                <w:rFonts w:ascii="Calibri" w:hAnsi="Calibri" w:cs="Calibri"/>
                <w:szCs w:val="22"/>
              </w:rPr>
              <w:t>)</w:t>
            </w:r>
          </w:p>
        </w:tc>
        <w:tc>
          <w:tcPr>
            <w:tcW w:w="1350" w:type="dxa"/>
            <w:shd w:val="clear" w:color="auto" w:fill="auto"/>
            <w:vAlign w:val="center"/>
            <w:hideMark/>
          </w:tcPr>
          <w:p w:rsidR="00502F49" w:rsidRPr="000329AD" w:rsidP="00502F49" w14:paraId="01FF6301" w14:textId="55C878B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1355" w:type="dxa"/>
            <w:gridSpan w:val="2"/>
            <w:shd w:val="clear" w:color="auto" w:fill="auto"/>
            <w:vAlign w:val="center"/>
            <w:hideMark/>
          </w:tcPr>
          <w:p w:rsidR="00502F49" w:rsidRPr="000329AD" w:rsidP="00502F49" w14:paraId="3D85C094" w14:textId="6D4F764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8.17</w:t>
            </w:r>
          </w:p>
        </w:tc>
        <w:tc>
          <w:tcPr>
            <w:tcW w:w="1144" w:type="dxa"/>
            <w:gridSpan w:val="2"/>
            <w:shd w:val="clear" w:color="auto" w:fill="auto"/>
            <w:vAlign w:val="center"/>
            <w:hideMark/>
          </w:tcPr>
          <w:p w:rsidR="00502F49" w:rsidRPr="000329AD" w:rsidP="00502F49" w14:paraId="4F39D5D8" w14:textId="714DE63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67.67</w:t>
            </w:r>
          </w:p>
        </w:tc>
        <w:tc>
          <w:tcPr>
            <w:tcW w:w="1371" w:type="dxa"/>
            <w:gridSpan w:val="2"/>
            <w:shd w:val="clear" w:color="auto" w:fill="auto"/>
            <w:vAlign w:val="center"/>
            <w:hideMark/>
          </w:tcPr>
          <w:p w:rsidR="00502F49" w:rsidRPr="000329AD" w:rsidP="00502F49" w14:paraId="78CD9569" w14:textId="04A75DA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hideMark/>
          </w:tcPr>
          <w:p w:rsidR="00502F49" w:rsidRPr="000329AD" w:rsidP="00502F49" w14:paraId="01E9C41A" w14:textId="44F3EE6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76</w:t>
            </w:r>
          </w:p>
        </w:tc>
        <w:tc>
          <w:tcPr>
            <w:tcW w:w="1122" w:type="dxa"/>
            <w:gridSpan w:val="2"/>
            <w:shd w:val="clear" w:color="auto" w:fill="auto"/>
            <w:vAlign w:val="center"/>
            <w:hideMark/>
          </w:tcPr>
          <w:p w:rsidR="00502F49" w:rsidRPr="000329AD" w:rsidP="00502F49" w14:paraId="0014BCBE" w14:textId="04DF2F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$7,117 </w:t>
            </w:r>
          </w:p>
        </w:tc>
      </w:tr>
      <w:tr w14:paraId="2ED05816"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48403169" w14:textId="299B566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szCs w:val="22"/>
              </w:rPr>
            </w:pPr>
            <w:r>
              <w:rPr>
                <w:rFonts w:ascii="Calibri" w:hAnsi="Calibri" w:cs="Calibri"/>
                <w:b/>
                <w:bCs/>
                <w:szCs w:val="22"/>
              </w:rPr>
              <w:t>Average Burden per Entity, Required Point Source Activities</w:t>
            </w:r>
          </w:p>
        </w:tc>
        <w:tc>
          <w:tcPr>
            <w:tcW w:w="1350" w:type="dxa"/>
            <w:shd w:val="clear" w:color="auto" w:fill="auto"/>
            <w:vAlign w:val="center"/>
            <w:hideMark/>
          </w:tcPr>
          <w:p w:rsidR="00502F49" w:rsidRPr="000329AD" w:rsidP="00502F49" w14:paraId="61B4738A" w14:textId="223612C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56</w:t>
            </w:r>
          </w:p>
        </w:tc>
        <w:tc>
          <w:tcPr>
            <w:tcW w:w="1355" w:type="dxa"/>
            <w:gridSpan w:val="2"/>
            <w:shd w:val="clear" w:color="auto" w:fill="auto"/>
            <w:vAlign w:val="center"/>
            <w:hideMark/>
          </w:tcPr>
          <w:p w:rsidR="00502F49" w:rsidRPr="000329AD" w:rsidP="00502F49" w14:paraId="62C172A3" w14:textId="10C26A5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172</w:t>
            </w:r>
          </w:p>
        </w:tc>
        <w:tc>
          <w:tcPr>
            <w:tcW w:w="1144" w:type="dxa"/>
            <w:gridSpan w:val="2"/>
            <w:shd w:val="clear" w:color="auto" w:fill="auto"/>
            <w:vAlign w:val="center"/>
            <w:hideMark/>
          </w:tcPr>
          <w:p w:rsidR="00502F49" w:rsidRPr="000329AD" w:rsidP="00502F49" w14:paraId="3257BA92" w14:textId="6666BF9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557</w:t>
            </w:r>
          </w:p>
        </w:tc>
        <w:tc>
          <w:tcPr>
            <w:tcW w:w="1371" w:type="dxa"/>
            <w:gridSpan w:val="2"/>
            <w:shd w:val="clear" w:color="auto" w:fill="auto"/>
            <w:vAlign w:val="center"/>
            <w:hideMark/>
          </w:tcPr>
          <w:p w:rsidR="00502F49" w:rsidRPr="000329AD" w:rsidP="00502F49" w14:paraId="6A9D4755" w14:textId="248E795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1,160</w:t>
            </w:r>
          </w:p>
        </w:tc>
        <w:tc>
          <w:tcPr>
            <w:tcW w:w="852" w:type="dxa"/>
            <w:shd w:val="clear" w:color="auto" w:fill="auto"/>
            <w:vAlign w:val="center"/>
            <w:hideMark/>
          </w:tcPr>
          <w:p w:rsidR="00502F49" w:rsidRPr="000329AD" w:rsidP="00502F49" w14:paraId="2EC66EFB" w14:textId="5585CE5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1,889</w:t>
            </w:r>
          </w:p>
        </w:tc>
        <w:tc>
          <w:tcPr>
            <w:tcW w:w="1122" w:type="dxa"/>
            <w:gridSpan w:val="2"/>
            <w:shd w:val="clear" w:color="auto" w:fill="auto"/>
            <w:vAlign w:val="center"/>
            <w:hideMark/>
          </w:tcPr>
          <w:p w:rsidR="00502F49" w:rsidRPr="000329AD" w:rsidP="00502F49" w14:paraId="0D9C6AA1" w14:textId="1ABBC5F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b/>
                <w:bCs/>
                <w:color w:val="000000"/>
                <w:szCs w:val="22"/>
              </w:rPr>
              <w:t>$165,042</w:t>
            </w:r>
          </w:p>
        </w:tc>
      </w:tr>
      <w:tr w14:paraId="62D77D11" w14:textId="77777777" w:rsidTr="007F625D">
        <w:tblPrEx>
          <w:tblW w:w="13394" w:type="dxa"/>
          <w:tblLook w:val="04A0"/>
        </w:tblPrEx>
        <w:trPr>
          <w:trHeight w:val="20"/>
        </w:trPr>
        <w:tc>
          <w:tcPr>
            <w:tcW w:w="6200" w:type="dxa"/>
            <w:shd w:val="clear" w:color="000000" w:fill="D9D9D9"/>
            <w:vAlign w:val="center"/>
            <w:hideMark/>
          </w:tcPr>
          <w:p w:rsidR="00073AF7" w:rsidRPr="000329AD" w:rsidP="000329AD" w14:paraId="09D0063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sidRPr="000329AD">
              <w:rPr>
                <w:rFonts w:ascii="Calibri" w:hAnsi="Calibri" w:cs="Calibri"/>
                <w:b/>
                <w:bCs/>
                <w:color w:val="000000"/>
                <w:szCs w:val="22"/>
              </w:rPr>
              <w:t>Other Triennial Required Activities</w:t>
            </w:r>
          </w:p>
        </w:tc>
        <w:tc>
          <w:tcPr>
            <w:tcW w:w="1350" w:type="dxa"/>
            <w:shd w:val="clear" w:color="000000" w:fill="D9D9D9"/>
            <w:vAlign w:val="center"/>
            <w:hideMark/>
          </w:tcPr>
          <w:p w:rsidR="00073AF7" w:rsidRPr="000329AD" w:rsidP="000329AD" w14:paraId="0C8BCEC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355" w:type="dxa"/>
            <w:gridSpan w:val="2"/>
            <w:shd w:val="clear" w:color="000000" w:fill="D9D9D9"/>
            <w:vAlign w:val="center"/>
            <w:hideMark/>
          </w:tcPr>
          <w:p w:rsidR="00073AF7" w:rsidRPr="000329AD" w:rsidP="000329AD" w14:paraId="6A88EE8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144" w:type="dxa"/>
            <w:gridSpan w:val="2"/>
            <w:shd w:val="clear" w:color="000000" w:fill="D9D9D9"/>
            <w:vAlign w:val="center"/>
            <w:hideMark/>
          </w:tcPr>
          <w:p w:rsidR="00073AF7" w:rsidRPr="000329AD" w:rsidP="000329AD" w14:paraId="223488E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371" w:type="dxa"/>
            <w:gridSpan w:val="2"/>
            <w:shd w:val="clear" w:color="000000" w:fill="D9D9D9"/>
            <w:vAlign w:val="center"/>
            <w:hideMark/>
          </w:tcPr>
          <w:p w:rsidR="00073AF7" w:rsidRPr="000329AD" w:rsidP="000329AD" w14:paraId="54745B5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852" w:type="dxa"/>
            <w:shd w:val="clear" w:color="000000" w:fill="D9D9D9"/>
            <w:vAlign w:val="center"/>
            <w:hideMark/>
          </w:tcPr>
          <w:p w:rsidR="00073AF7" w:rsidRPr="000329AD" w:rsidP="000329AD" w14:paraId="0EE1ABA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122" w:type="dxa"/>
            <w:gridSpan w:val="2"/>
            <w:shd w:val="clear" w:color="000000" w:fill="D9D9D9"/>
            <w:vAlign w:val="center"/>
            <w:hideMark/>
          </w:tcPr>
          <w:p w:rsidR="00073AF7" w:rsidRPr="000329AD" w:rsidP="00073AF7" w14:paraId="0283916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sidRPr="000329AD">
              <w:rPr>
                <w:rFonts w:ascii="Calibri" w:hAnsi="Calibri" w:cs="Calibri"/>
                <w:color w:val="000000"/>
                <w:szCs w:val="22"/>
              </w:rPr>
              <w:t> </w:t>
            </w:r>
          </w:p>
        </w:tc>
      </w:tr>
      <w:tr w14:paraId="22C70608"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7FE5DAEA" w14:textId="620732B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0329AD">
              <w:rPr>
                <w:rFonts w:ascii="Calibri" w:hAnsi="Calibri" w:cs="Calibri"/>
                <w:szCs w:val="22"/>
              </w:rPr>
              <w:t>States: submit triennial nonpoint, onroad mobile, and nonroad mobile sources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_Ref106909225 \h  \* MERGEFORMAT </w:instrText>
            </w:r>
            <w:r w:rsidRPr="005B3BC5" w:rsidR="005B3BC5">
              <w:rPr>
                <w:rFonts w:ascii="Calibri" w:hAnsi="Calibri" w:cs="Calibri"/>
                <w:szCs w:val="22"/>
              </w:rPr>
              <w:fldChar w:fldCharType="separate"/>
            </w:r>
            <w:r w:rsidRPr="0020098E" w:rsidR="00646F0F">
              <w:t xml:space="preserve">Table </w:t>
            </w:r>
            <w:r w:rsidR="00646F0F">
              <w:rPr>
                <w:noProof/>
              </w:rPr>
              <w:t>7</w:t>
            </w:r>
            <w:r w:rsidRPr="005B3BC5" w:rsidR="005B3BC5">
              <w:rPr>
                <w:rFonts w:ascii="Calibri" w:hAnsi="Calibri" w:cs="Calibri"/>
                <w:szCs w:val="22"/>
              </w:rPr>
              <w:fldChar w:fldCharType="end"/>
            </w:r>
            <w:r w:rsidR="005B3BC5">
              <w:rPr>
                <w:rFonts w:ascii="Calibri" w:hAnsi="Calibri" w:cs="Calibri"/>
                <w:szCs w:val="22"/>
              </w:rPr>
              <w:t>a</w:t>
            </w:r>
            <w:r w:rsidRPr="000329AD">
              <w:rPr>
                <w:rFonts w:ascii="Calibri" w:hAnsi="Calibri" w:cs="Calibri"/>
                <w:szCs w:val="22"/>
              </w:rPr>
              <w:t>)</w:t>
            </w:r>
          </w:p>
        </w:tc>
        <w:tc>
          <w:tcPr>
            <w:tcW w:w="1350" w:type="dxa"/>
            <w:shd w:val="clear" w:color="auto" w:fill="auto"/>
            <w:vAlign w:val="center"/>
            <w:hideMark/>
          </w:tcPr>
          <w:p w:rsidR="00502F49" w:rsidRPr="000329AD" w:rsidP="00502F49" w14:paraId="300C4D8D" w14:textId="71A04C1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54</w:t>
            </w:r>
          </w:p>
        </w:tc>
        <w:tc>
          <w:tcPr>
            <w:tcW w:w="1355" w:type="dxa"/>
            <w:gridSpan w:val="2"/>
            <w:shd w:val="clear" w:color="auto" w:fill="auto"/>
            <w:vAlign w:val="center"/>
            <w:hideMark/>
          </w:tcPr>
          <w:p w:rsidR="00502F49" w:rsidRPr="000329AD" w:rsidP="00502F49" w14:paraId="6307EE84" w14:textId="7E25699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26.67</w:t>
            </w:r>
          </w:p>
        </w:tc>
        <w:tc>
          <w:tcPr>
            <w:tcW w:w="1144" w:type="dxa"/>
            <w:gridSpan w:val="2"/>
            <w:shd w:val="clear" w:color="auto" w:fill="auto"/>
            <w:vAlign w:val="center"/>
            <w:hideMark/>
          </w:tcPr>
          <w:p w:rsidR="00502F49" w:rsidRPr="000329AD" w:rsidP="00502F49" w14:paraId="4256250E" w14:textId="2B6A210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530.67</w:t>
            </w:r>
          </w:p>
        </w:tc>
        <w:tc>
          <w:tcPr>
            <w:tcW w:w="1371" w:type="dxa"/>
            <w:gridSpan w:val="2"/>
            <w:shd w:val="clear" w:color="auto" w:fill="auto"/>
            <w:vAlign w:val="center"/>
            <w:hideMark/>
          </w:tcPr>
          <w:p w:rsidR="00502F49" w:rsidRPr="000329AD" w:rsidP="00502F49" w14:paraId="7DD86186" w14:textId="004D217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hideMark/>
          </w:tcPr>
          <w:p w:rsidR="00502F49" w:rsidRPr="000329AD" w:rsidP="00502F49" w14:paraId="712250E8" w14:textId="1F37734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557</w:t>
            </w:r>
          </w:p>
        </w:tc>
        <w:tc>
          <w:tcPr>
            <w:tcW w:w="1122" w:type="dxa"/>
            <w:gridSpan w:val="2"/>
            <w:shd w:val="clear" w:color="auto" w:fill="auto"/>
            <w:vAlign w:val="center"/>
            <w:hideMark/>
          </w:tcPr>
          <w:p w:rsidR="00502F49" w:rsidRPr="000329AD" w:rsidP="00502F49" w14:paraId="4C86BE9B" w14:textId="4BDD7C4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$51,370 </w:t>
            </w:r>
          </w:p>
        </w:tc>
      </w:tr>
      <w:tr w14:paraId="042695A4"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483F30B4" w14:textId="6F1ECE7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0329AD">
              <w:rPr>
                <w:rFonts w:ascii="Calibri" w:hAnsi="Calibri" w:cs="Calibri"/>
                <w:szCs w:val="22"/>
              </w:rPr>
              <w:t>Local</w:t>
            </w:r>
            <w:r>
              <w:rPr>
                <w:rFonts w:ascii="Calibri" w:hAnsi="Calibri" w:cs="Calibri"/>
                <w:szCs w:val="22"/>
              </w:rPr>
              <w:t xml:space="preserve"> agencies</w:t>
            </w:r>
            <w:r w:rsidRPr="000329AD">
              <w:rPr>
                <w:rFonts w:ascii="Calibri" w:hAnsi="Calibri" w:cs="Calibri"/>
                <w:szCs w:val="22"/>
              </w:rPr>
              <w:t>/tribes: nonpoint, onroad mobile, and nonroad mobile sources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_Ref106909225 \h  \* MERGEFORMAT </w:instrText>
            </w:r>
            <w:r w:rsidRPr="005B3BC5" w:rsidR="005B3BC5">
              <w:rPr>
                <w:rFonts w:ascii="Calibri" w:hAnsi="Calibri" w:cs="Calibri"/>
                <w:szCs w:val="22"/>
              </w:rPr>
              <w:fldChar w:fldCharType="separate"/>
            </w:r>
            <w:r w:rsidRPr="0020098E" w:rsidR="00646F0F">
              <w:t xml:space="preserve">Table </w:t>
            </w:r>
            <w:r w:rsidR="00646F0F">
              <w:rPr>
                <w:noProof/>
              </w:rPr>
              <w:t>7</w:t>
            </w:r>
            <w:r w:rsidRPr="005B3BC5" w:rsidR="005B3BC5">
              <w:rPr>
                <w:rFonts w:ascii="Calibri" w:hAnsi="Calibri" w:cs="Calibri"/>
                <w:szCs w:val="22"/>
              </w:rPr>
              <w:fldChar w:fldCharType="end"/>
            </w:r>
            <w:r w:rsidR="005B3BC5">
              <w:rPr>
                <w:rFonts w:ascii="Calibri" w:hAnsi="Calibri" w:cs="Calibri"/>
                <w:szCs w:val="22"/>
              </w:rPr>
              <w:t>c</w:t>
            </w:r>
            <w:r w:rsidRPr="000329AD">
              <w:rPr>
                <w:rFonts w:ascii="Calibri" w:hAnsi="Calibri" w:cs="Calibri"/>
                <w:szCs w:val="22"/>
              </w:rPr>
              <w:t>)</w:t>
            </w:r>
          </w:p>
        </w:tc>
        <w:tc>
          <w:tcPr>
            <w:tcW w:w="1350" w:type="dxa"/>
            <w:shd w:val="clear" w:color="auto" w:fill="auto"/>
            <w:vAlign w:val="center"/>
            <w:hideMark/>
          </w:tcPr>
          <w:p w:rsidR="00502F49" w:rsidRPr="000329AD" w:rsidP="00502F49" w14:paraId="3B3C5464" w14:textId="06E7B1F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30</w:t>
            </w:r>
          </w:p>
        </w:tc>
        <w:tc>
          <w:tcPr>
            <w:tcW w:w="1355" w:type="dxa"/>
            <w:gridSpan w:val="2"/>
            <w:shd w:val="clear" w:color="auto" w:fill="auto"/>
            <w:vAlign w:val="center"/>
            <w:hideMark/>
          </w:tcPr>
          <w:p w:rsidR="00502F49" w:rsidRPr="000329AD" w:rsidP="00502F49" w14:paraId="147E427E" w14:textId="5FEBFBB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10.33</w:t>
            </w:r>
          </w:p>
        </w:tc>
        <w:tc>
          <w:tcPr>
            <w:tcW w:w="1144" w:type="dxa"/>
            <w:gridSpan w:val="2"/>
            <w:shd w:val="clear" w:color="auto" w:fill="auto"/>
            <w:vAlign w:val="center"/>
            <w:hideMark/>
          </w:tcPr>
          <w:p w:rsidR="00502F49" w:rsidRPr="000329AD" w:rsidP="00502F49" w14:paraId="4AC99E29" w14:textId="52BE183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204.00</w:t>
            </w:r>
          </w:p>
        </w:tc>
        <w:tc>
          <w:tcPr>
            <w:tcW w:w="1371" w:type="dxa"/>
            <w:gridSpan w:val="2"/>
            <w:shd w:val="clear" w:color="auto" w:fill="auto"/>
            <w:vAlign w:val="center"/>
            <w:hideMark/>
          </w:tcPr>
          <w:p w:rsidR="00502F49" w:rsidRPr="000329AD" w:rsidP="00502F49" w14:paraId="33C56230" w14:textId="5CF8E4F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hideMark/>
          </w:tcPr>
          <w:p w:rsidR="00502F49" w:rsidRPr="000329AD" w:rsidP="00502F49" w14:paraId="3654965E" w14:textId="5EF58D5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214</w:t>
            </w:r>
          </w:p>
        </w:tc>
        <w:tc>
          <w:tcPr>
            <w:tcW w:w="1122" w:type="dxa"/>
            <w:gridSpan w:val="2"/>
            <w:shd w:val="clear" w:color="auto" w:fill="auto"/>
            <w:vAlign w:val="center"/>
            <w:hideMark/>
          </w:tcPr>
          <w:p w:rsidR="00502F49" w:rsidRPr="000329AD" w:rsidP="00502F49" w14:paraId="66196033" w14:textId="3B46082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$19,757 </w:t>
            </w:r>
          </w:p>
        </w:tc>
      </w:tr>
      <w:tr w14:paraId="3BB9D213"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5747644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sidRPr="000329AD">
              <w:rPr>
                <w:rFonts w:ascii="Calibri" w:hAnsi="Calibri" w:cs="Calibri"/>
                <w:b/>
                <w:bCs/>
                <w:szCs w:val="22"/>
              </w:rPr>
              <w:t>Average Burden per Entity, Required Other Triennial Activities</w:t>
            </w:r>
          </w:p>
        </w:tc>
        <w:tc>
          <w:tcPr>
            <w:tcW w:w="1350" w:type="dxa"/>
            <w:shd w:val="clear" w:color="auto" w:fill="auto"/>
            <w:vAlign w:val="center"/>
            <w:hideMark/>
          </w:tcPr>
          <w:p w:rsidR="00502F49" w:rsidRPr="000329AD" w:rsidP="00502F49" w14:paraId="68DFF939" w14:textId="0E1415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84</w:t>
            </w:r>
          </w:p>
        </w:tc>
        <w:tc>
          <w:tcPr>
            <w:tcW w:w="1355" w:type="dxa"/>
            <w:gridSpan w:val="2"/>
            <w:shd w:val="clear" w:color="auto" w:fill="auto"/>
            <w:vAlign w:val="center"/>
            <w:hideMark/>
          </w:tcPr>
          <w:p w:rsidR="00502F49" w:rsidRPr="000329AD" w:rsidP="00502F49" w14:paraId="7368E754" w14:textId="1FAD602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21</w:t>
            </w:r>
          </w:p>
        </w:tc>
        <w:tc>
          <w:tcPr>
            <w:tcW w:w="1144" w:type="dxa"/>
            <w:gridSpan w:val="2"/>
            <w:shd w:val="clear" w:color="auto" w:fill="auto"/>
            <w:vAlign w:val="center"/>
            <w:hideMark/>
          </w:tcPr>
          <w:p w:rsidR="00502F49" w:rsidRPr="000329AD" w:rsidP="00502F49" w14:paraId="1A7F89BD" w14:textId="334D4A8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414</w:t>
            </w:r>
          </w:p>
        </w:tc>
        <w:tc>
          <w:tcPr>
            <w:tcW w:w="1371" w:type="dxa"/>
            <w:gridSpan w:val="2"/>
            <w:shd w:val="clear" w:color="auto" w:fill="auto"/>
            <w:vAlign w:val="center"/>
            <w:hideMark/>
          </w:tcPr>
          <w:p w:rsidR="00502F49" w:rsidRPr="000329AD" w:rsidP="00502F49" w14:paraId="29D3D3D4" w14:textId="7FBAF01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852" w:type="dxa"/>
            <w:shd w:val="clear" w:color="auto" w:fill="auto"/>
            <w:vAlign w:val="center"/>
            <w:hideMark/>
          </w:tcPr>
          <w:p w:rsidR="00502F49" w:rsidRPr="000329AD" w:rsidP="00502F49" w14:paraId="3E724063" w14:textId="543999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435</w:t>
            </w:r>
          </w:p>
        </w:tc>
        <w:tc>
          <w:tcPr>
            <w:tcW w:w="1122" w:type="dxa"/>
            <w:gridSpan w:val="2"/>
            <w:shd w:val="clear" w:color="auto" w:fill="auto"/>
            <w:vAlign w:val="center"/>
            <w:hideMark/>
          </w:tcPr>
          <w:p w:rsidR="00502F49" w:rsidRPr="000329AD" w:rsidP="00502F49" w14:paraId="401CDDAC" w14:textId="458CDBC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$40,099 </w:t>
            </w:r>
          </w:p>
        </w:tc>
      </w:tr>
      <w:tr w14:paraId="35EAECCA" w14:textId="77777777" w:rsidTr="007F625D">
        <w:tblPrEx>
          <w:tblW w:w="13394" w:type="dxa"/>
          <w:tblLook w:val="04A0"/>
        </w:tblPrEx>
        <w:trPr>
          <w:gridAfter w:val="1"/>
          <w:wAfter w:w="22" w:type="dxa"/>
          <w:trHeight w:val="20"/>
        </w:trPr>
        <w:tc>
          <w:tcPr>
            <w:tcW w:w="8368" w:type="dxa"/>
            <w:gridSpan w:val="3"/>
            <w:shd w:val="clear" w:color="000000" w:fill="D9D9D9"/>
            <w:noWrap/>
            <w:vAlign w:val="center"/>
            <w:hideMark/>
          </w:tcPr>
          <w:p w:rsidR="00073AF7" w:rsidRPr="000329AD" w:rsidP="000329AD" w14:paraId="62BD098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szCs w:val="22"/>
              </w:rPr>
            </w:pPr>
            <w:r w:rsidRPr="000329AD">
              <w:rPr>
                <w:rFonts w:ascii="Calibri" w:hAnsi="Calibri" w:cs="Calibri"/>
                <w:b/>
                <w:bCs/>
                <w:szCs w:val="22"/>
              </w:rPr>
              <w:t>Triennial Voluntary Activities (hours from other tables divided by 3 to annualize)</w:t>
            </w:r>
          </w:p>
        </w:tc>
        <w:tc>
          <w:tcPr>
            <w:tcW w:w="559" w:type="dxa"/>
            <w:gridSpan w:val="2"/>
            <w:shd w:val="clear" w:color="000000" w:fill="D9D9D9"/>
            <w:vAlign w:val="center"/>
            <w:hideMark/>
          </w:tcPr>
          <w:p w:rsidR="00073AF7" w:rsidRPr="000329AD" w:rsidP="000329AD" w14:paraId="0924609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144" w:type="dxa"/>
            <w:gridSpan w:val="2"/>
            <w:shd w:val="clear" w:color="000000" w:fill="D9D9D9"/>
            <w:vAlign w:val="center"/>
            <w:hideMark/>
          </w:tcPr>
          <w:p w:rsidR="00073AF7" w:rsidRPr="000329AD" w:rsidP="000329AD" w14:paraId="5399FF5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349" w:type="dxa"/>
            <w:shd w:val="clear" w:color="000000" w:fill="D9D9D9"/>
            <w:vAlign w:val="center"/>
            <w:hideMark/>
          </w:tcPr>
          <w:p w:rsidR="00073AF7" w:rsidRPr="000329AD" w:rsidP="000329AD" w14:paraId="55E62DF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0329AD">
              <w:rPr>
                <w:rFonts w:ascii="Calibri" w:hAnsi="Calibri" w:cs="Calibri"/>
                <w:color w:val="000000"/>
                <w:szCs w:val="22"/>
              </w:rPr>
              <w:t> </w:t>
            </w:r>
          </w:p>
        </w:tc>
        <w:tc>
          <w:tcPr>
            <w:tcW w:w="1952" w:type="dxa"/>
            <w:gridSpan w:val="2"/>
            <w:shd w:val="clear" w:color="000000" w:fill="D9D9D9"/>
            <w:vAlign w:val="center"/>
            <w:hideMark/>
          </w:tcPr>
          <w:p w:rsidR="00073AF7" w:rsidRPr="000329AD" w:rsidP="00073AF7" w14:paraId="7A7EF3E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sidRPr="000329AD">
              <w:rPr>
                <w:rFonts w:ascii="Calibri" w:hAnsi="Calibri" w:cs="Calibri"/>
                <w:color w:val="000000"/>
                <w:szCs w:val="22"/>
              </w:rPr>
              <w:t> </w:t>
            </w:r>
          </w:p>
        </w:tc>
      </w:tr>
      <w:tr w14:paraId="43304C4E" w14:textId="77777777" w:rsidTr="007F625D">
        <w:tblPrEx>
          <w:tblW w:w="13394" w:type="dxa"/>
          <w:tblLook w:val="04A0"/>
        </w:tblPrEx>
        <w:trPr>
          <w:trHeight w:val="20"/>
        </w:trPr>
        <w:tc>
          <w:tcPr>
            <w:tcW w:w="6200" w:type="dxa"/>
            <w:shd w:val="clear" w:color="auto" w:fill="auto"/>
            <w:vAlign w:val="center"/>
            <w:hideMark/>
          </w:tcPr>
          <w:p w:rsidR="00502F49" w:rsidRPr="000329AD" w:rsidP="00502F49" w14:paraId="108AD11C" w14:textId="28FCC68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Pr>
                <w:rFonts w:ascii="Calibri" w:hAnsi="Calibri" w:cs="Calibri"/>
                <w:szCs w:val="22"/>
              </w:rPr>
              <w:t xml:space="preserve">State annual and triennial voluntary point source HAP reporting with EIS or CAERS </w:t>
            </w:r>
            <w:r w:rsidR="00CF71A4">
              <w:rPr>
                <w:rFonts w:ascii="Calibri" w:hAnsi="Calibri" w:cs="Calibri"/>
                <w:szCs w:val="22"/>
              </w:rPr>
              <w:t>case</w:t>
            </w:r>
            <w:r>
              <w:rPr>
                <w:rFonts w:ascii="Calibri" w:hAnsi="Calibri" w:cs="Calibri"/>
                <w:szCs w:val="22"/>
              </w:rPr>
              <w:t xml:space="preserve">s 1 or 2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sidR="005B3BC5">
              <w:rPr>
                <w:rFonts w:ascii="Calibri" w:hAnsi="Calibri" w:cs="Calibri"/>
                <w:szCs w:val="22"/>
              </w:rPr>
              <w:t xml:space="preserve">b </w:t>
            </w:r>
            <w:r w:rsidR="005926D1">
              <w:rPr>
                <w:rFonts w:ascii="Calibri" w:hAnsi="Calibri" w:cs="Calibri"/>
                <w:szCs w:val="22"/>
              </w:rPr>
              <w:t>and</w:t>
            </w:r>
            <w:r>
              <w:rPr>
                <w:rFonts w:ascii="Calibri" w:hAnsi="Calibri" w:cs="Calibri"/>
                <w:szCs w:val="22"/>
              </w:rPr>
              <w:t xml:space="preserve"> </w:t>
            </w:r>
            <w:r w:rsidR="005B3BC5">
              <w:rPr>
                <w:rFonts w:ascii="Calibri" w:hAnsi="Calibri" w:cs="Calibri"/>
                <w:szCs w:val="22"/>
              </w:rPr>
              <w:t>7</w:t>
            </w:r>
            <w:r w:rsidR="00C46794">
              <w:rPr>
                <w:rFonts w:ascii="Calibri" w:hAnsi="Calibri" w:cs="Calibri"/>
                <w:szCs w:val="22"/>
              </w:rPr>
              <w:t>c</w:t>
            </w:r>
            <w:r>
              <w:rPr>
                <w:rFonts w:ascii="Calibri" w:hAnsi="Calibri" w:cs="Calibri"/>
                <w:szCs w:val="22"/>
              </w:rPr>
              <w:t>)</w:t>
            </w:r>
          </w:p>
        </w:tc>
        <w:tc>
          <w:tcPr>
            <w:tcW w:w="1350" w:type="dxa"/>
            <w:shd w:val="clear" w:color="auto" w:fill="auto"/>
            <w:vAlign w:val="center"/>
            <w:hideMark/>
          </w:tcPr>
          <w:p w:rsidR="00502F49" w:rsidRPr="000329AD" w:rsidP="00502F49" w14:paraId="3884DCD7" w14:textId="495E034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1355" w:type="dxa"/>
            <w:gridSpan w:val="2"/>
            <w:shd w:val="clear" w:color="auto" w:fill="auto"/>
            <w:vAlign w:val="center"/>
            <w:hideMark/>
          </w:tcPr>
          <w:p w:rsidR="00502F49" w:rsidRPr="000329AD" w:rsidP="00502F49" w14:paraId="5C18EA63" w14:textId="1E42E05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w:t>
            </w:r>
          </w:p>
        </w:tc>
        <w:tc>
          <w:tcPr>
            <w:tcW w:w="1144" w:type="dxa"/>
            <w:gridSpan w:val="2"/>
            <w:shd w:val="clear" w:color="auto" w:fill="auto"/>
            <w:vAlign w:val="center"/>
            <w:hideMark/>
          </w:tcPr>
          <w:p w:rsidR="00502F49" w:rsidRPr="000329AD" w:rsidP="00502F49" w14:paraId="42E4C057" w14:textId="73F25FC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50</w:t>
            </w:r>
          </w:p>
        </w:tc>
        <w:tc>
          <w:tcPr>
            <w:tcW w:w="1371" w:type="dxa"/>
            <w:gridSpan w:val="2"/>
            <w:shd w:val="clear" w:color="auto" w:fill="auto"/>
            <w:vAlign w:val="center"/>
            <w:hideMark/>
          </w:tcPr>
          <w:p w:rsidR="00502F49" w:rsidRPr="000329AD" w:rsidP="00502F49" w14:paraId="5CB3A46B" w14:textId="2750D6B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hideMark/>
          </w:tcPr>
          <w:p w:rsidR="00502F49" w:rsidRPr="000329AD" w:rsidP="00502F49" w14:paraId="72B77C67" w14:textId="1ADC190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55</w:t>
            </w:r>
          </w:p>
        </w:tc>
        <w:tc>
          <w:tcPr>
            <w:tcW w:w="1122" w:type="dxa"/>
            <w:gridSpan w:val="2"/>
            <w:shd w:val="clear" w:color="auto" w:fill="auto"/>
            <w:vAlign w:val="center"/>
            <w:hideMark/>
          </w:tcPr>
          <w:p w:rsidR="00502F49" w:rsidRPr="000329AD" w:rsidP="00502F49" w14:paraId="042C6BF7" w14:textId="1DC6A76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$5,172 </w:t>
            </w:r>
          </w:p>
        </w:tc>
      </w:tr>
      <w:tr w14:paraId="132BCC08" w14:textId="77777777" w:rsidTr="007F625D">
        <w:tblPrEx>
          <w:tblW w:w="13394" w:type="dxa"/>
          <w:tblLook w:val="04A0"/>
        </w:tblPrEx>
        <w:trPr>
          <w:trHeight w:val="20"/>
        </w:trPr>
        <w:tc>
          <w:tcPr>
            <w:tcW w:w="6200" w:type="dxa"/>
            <w:shd w:val="clear" w:color="auto" w:fill="auto"/>
            <w:vAlign w:val="center"/>
          </w:tcPr>
          <w:p w:rsidR="00502F49" w:rsidRPr="000329AD" w:rsidP="00502F49" w14:paraId="56AA59EE" w14:textId="11DEFC0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0329AD">
              <w:rPr>
                <w:rFonts w:ascii="Calibri" w:hAnsi="Calibri" w:cs="Calibri"/>
                <w:szCs w:val="22"/>
              </w:rPr>
              <w:t>State voluntary triennial data reporting activities (see</w:t>
            </w:r>
            <w:r w:rsidR="005B3BC5">
              <w:rPr>
                <w:rFonts w:ascii="Calibri" w:hAnsi="Calibri" w:cs="Calibri"/>
                <w:szCs w:val="22"/>
              </w:rPr>
              <w:t xml:space="preserv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_Ref106909225 \h  \* MERGEFORMAT </w:instrText>
            </w:r>
            <w:r w:rsidRPr="005B3BC5" w:rsidR="005B3BC5">
              <w:rPr>
                <w:rFonts w:ascii="Calibri" w:hAnsi="Calibri" w:cs="Calibri"/>
                <w:szCs w:val="22"/>
              </w:rPr>
              <w:fldChar w:fldCharType="separate"/>
            </w:r>
            <w:r w:rsidRPr="0020098E" w:rsidR="00646F0F">
              <w:t xml:space="preserve">Table </w:t>
            </w:r>
            <w:r w:rsidR="00646F0F">
              <w:rPr>
                <w:noProof/>
              </w:rPr>
              <w:t>7</w:t>
            </w:r>
            <w:r w:rsidRPr="005B3BC5" w:rsidR="005B3BC5">
              <w:rPr>
                <w:rFonts w:ascii="Calibri" w:hAnsi="Calibri" w:cs="Calibri"/>
                <w:szCs w:val="22"/>
              </w:rPr>
              <w:fldChar w:fldCharType="end"/>
            </w:r>
            <w:r w:rsidR="005B3BC5">
              <w:rPr>
                <w:rFonts w:ascii="Calibri" w:hAnsi="Calibri" w:cs="Calibri"/>
                <w:szCs w:val="22"/>
              </w:rPr>
              <w:t>a</w:t>
            </w:r>
            <w:r w:rsidRPr="000329AD">
              <w:rPr>
                <w:rFonts w:ascii="Calibri" w:hAnsi="Calibri" w:cs="Calibri"/>
                <w:szCs w:val="22"/>
              </w:rPr>
              <w:t>)</w:t>
            </w:r>
          </w:p>
        </w:tc>
        <w:tc>
          <w:tcPr>
            <w:tcW w:w="1350" w:type="dxa"/>
            <w:shd w:val="clear" w:color="auto" w:fill="auto"/>
            <w:vAlign w:val="center"/>
          </w:tcPr>
          <w:p w:rsidR="00502F49" w:rsidRPr="000329AD" w:rsidP="00502F49" w14:paraId="6048D720" w14:textId="690FE6E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20</w:t>
            </w:r>
          </w:p>
        </w:tc>
        <w:tc>
          <w:tcPr>
            <w:tcW w:w="1355" w:type="dxa"/>
            <w:gridSpan w:val="2"/>
            <w:shd w:val="clear" w:color="auto" w:fill="auto"/>
            <w:vAlign w:val="center"/>
          </w:tcPr>
          <w:p w:rsidR="00502F49" w:rsidRPr="000329AD" w:rsidP="00502F49" w14:paraId="6571D465" w14:textId="22198A9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13</w:t>
            </w:r>
          </w:p>
        </w:tc>
        <w:tc>
          <w:tcPr>
            <w:tcW w:w="1144" w:type="dxa"/>
            <w:gridSpan w:val="2"/>
            <w:shd w:val="clear" w:color="auto" w:fill="auto"/>
            <w:vAlign w:val="center"/>
          </w:tcPr>
          <w:p w:rsidR="00502F49" w:rsidRPr="000329AD" w:rsidP="00502F49" w14:paraId="5AEE0480" w14:textId="48E609C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264</w:t>
            </w:r>
          </w:p>
        </w:tc>
        <w:tc>
          <w:tcPr>
            <w:tcW w:w="1371" w:type="dxa"/>
            <w:gridSpan w:val="2"/>
            <w:shd w:val="clear" w:color="auto" w:fill="auto"/>
            <w:vAlign w:val="center"/>
          </w:tcPr>
          <w:p w:rsidR="00502F49" w:rsidRPr="000329AD" w:rsidP="00502F49" w14:paraId="782F8C39" w14:textId="3C1147F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shd w:val="clear" w:color="auto" w:fill="auto"/>
            <w:vAlign w:val="center"/>
          </w:tcPr>
          <w:p w:rsidR="00502F49" w:rsidRPr="000329AD" w:rsidP="00502F49" w14:paraId="53234BDC" w14:textId="7E01DB0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277</w:t>
            </w:r>
          </w:p>
        </w:tc>
        <w:tc>
          <w:tcPr>
            <w:tcW w:w="1122" w:type="dxa"/>
            <w:gridSpan w:val="2"/>
            <w:shd w:val="clear" w:color="auto" w:fill="auto"/>
            <w:vAlign w:val="center"/>
          </w:tcPr>
          <w:p w:rsidR="00502F49" w:rsidRPr="000329AD" w:rsidP="00502F49" w14:paraId="0C221928" w14:textId="283CFD7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$25,564 </w:t>
            </w:r>
          </w:p>
        </w:tc>
      </w:tr>
      <w:tr w14:paraId="6B6C9D2F" w14:textId="77777777" w:rsidTr="00EE4378">
        <w:tblPrEx>
          <w:tblW w:w="13394" w:type="dxa"/>
          <w:tblLook w:val="04A0"/>
        </w:tblPrEx>
        <w:trPr>
          <w:trHeight w:val="20"/>
        </w:trPr>
        <w:tc>
          <w:tcPr>
            <w:tcW w:w="6200" w:type="dxa"/>
            <w:tcBorders>
              <w:bottom w:val="single" w:sz="8" w:space="0" w:color="000000"/>
            </w:tcBorders>
            <w:shd w:val="clear" w:color="auto" w:fill="auto"/>
            <w:vAlign w:val="center"/>
            <w:hideMark/>
          </w:tcPr>
          <w:p w:rsidR="00502F49" w:rsidRPr="000329AD" w:rsidP="00502F49" w14:paraId="2EEC371C" w14:textId="7D55F83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0329AD">
              <w:rPr>
                <w:rFonts w:ascii="Calibri" w:hAnsi="Calibri" w:cs="Calibri"/>
                <w:szCs w:val="22"/>
              </w:rPr>
              <w:t xml:space="preserve">Local and tribal voluntary triennial data activities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_Ref106909225 \h  \* MERGEFORMAT </w:instrText>
            </w:r>
            <w:r w:rsidRPr="005B3BC5" w:rsidR="005B3BC5">
              <w:rPr>
                <w:rFonts w:ascii="Calibri" w:hAnsi="Calibri" w:cs="Calibri"/>
                <w:szCs w:val="22"/>
              </w:rPr>
              <w:fldChar w:fldCharType="separate"/>
            </w:r>
            <w:r w:rsidRPr="0020098E" w:rsidR="00646F0F">
              <w:t xml:space="preserve">Table </w:t>
            </w:r>
            <w:r w:rsidR="00646F0F">
              <w:rPr>
                <w:noProof/>
              </w:rPr>
              <w:t>7</w:t>
            </w:r>
            <w:r w:rsidRPr="005B3BC5" w:rsidR="005B3BC5">
              <w:rPr>
                <w:rFonts w:ascii="Calibri" w:hAnsi="Calibri" w:cs="Calibri"/>
                <w:szCs w:val="22"/>
              </w:rPr>
              <w:fldChar w:fldCharType="end"/>
            </w:r>
            <w:r w:rsidRPr="000329AD">
              <w:rPr>
                <w:rFonts w:ascii="Calibri" w:hAnsi="Calibri" w:cs="Calibri"/>
                <w:szCs w:val="22"/>
              </w:rPr>
              <w:t>c)</w:t>
            </w:r>
          </w:p>
        </w:tc>
        <w:tc>
          <w:tcPr>
            <w:tcW w:w="1350" w:type="dxa"/>
            <w:tcBorders>
              <w:bottom w:val="single" w:sz="8" w:space="0" w:color="000000"/>
            </w:tcBorders>
            <w:shd w:val="clear" w:color="auto" w:fill="auto"/>
            <w:vAlign w:val="center"/>
            <w:hideMark/>
          </w:tcPr>
          <w:p w:rsidR="00502F49" w:rsidRPr="000329AD" w:rsidP="00502F49" w14:paraId="370B00CB" w14:textId="51961A2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9</w:t>
            </w:r>
          </w:p>
        </w:tc>
        <w:tc>
          <w:tcPr>
            <w:tcW w:w="1355" w:type="dxa"/>
            <w:gridSpan w:val="2"/>
            <w:tcBorders>
              <w:bottom w:val="single" w:sz="8" w:space="0" w:color="000000"/>
            </w:tcBorders>
            <w:shd w:val="clear" w:color="auto" w:fill="auto"/>
            <w:vAlign w:val="center"/>
            <w:hideMark/>
          </w:tcPr>
          <w:p w:rsidR="00502F49" w:rsidRPr="000329AD" w:rsidP="00502F49" w14:paraId="3C2A3A7F" w14:textId="626EA80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8</w:t>
            </w:r>
          </w:p>
        </w:tc>
        <w:tc>
          <w:tcPr>
            <w:tcW w:w="1144" w:type="dxa"/>
            <w:gridSpan w:val="2"/>
            <w:tcBorders>
              <w:bottom w:val="single" w:sz="8" w:space="0" w:color="000000"/>
            </w:tcBorders>
            <w:shd w:val="clear" w:color="auto" w:fill="auto"/>
            <w:vAlign w:val="center"/>
            <w:hideMark/>
          </w:tcPr>
          <w:p w:rsidR="00502F49" w:rsidRPr="000329AD" w:rsidP="00502F49" w14:paraId="3B12F04E" w14:textId="309D7A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156</w:t>
            </w:r>
          </w:p>
        </w:tc>
        <w:tc>
          <w:tcPr>
            <w:tcW w:w="1371" w:type="dxa"/>
            <w:gridSpan w:val="2"/>
            <w:tcBorders>
              <w:bottom w:val="single" w:sz="8" w:space="0" w:color="000000"/>
            </w:tcBorders>
            <w:shd w:val="clear" w:color="auto" w:fill="auto"/>
            <w:vAlign w:val="center"/>
            <w:hideMark/>
          </w:tcPr>
          <w:p w:rsidR="00502F49" w:rsidRPr="000329AD" w:rsidP="00502F49" w14:paraId="6099B5D4" w14:textId="0A3B14D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852" w:type="dxa"/>
            <w:tcBorders>
              <w:bottom w:val="single" w:sz="8" w:space="0" w:color="000000"/>
            </w:tcBorders>
            <w:shd w:val="clear" w:color="auto" w:fill="auto"/>
            <w:vAlign w:val="center"/>
            <w:hideMark/>
          </w:tcPr>
          <w:p w:rsidR="00502F49" w:rsidRPr="000329AD" w:rsidP="00502F49" w14:paraId="03E16986" w14:textId="3926A5A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163</w:t>
            </w:r>
          </w:p>
        </w:tc>
        <w:tc>
          <w:tcPr>
            <w:tcW w:w="1122" w:type="dxa"/>
            <w:gridSpan w:val="2"/>
            <w:tcBorders>
              <w:bottom w:val="single" w:sz="8" w:space="0" w:color="000000"/>
            </w:tcBorders>
            <w:shd w:val="clear" w:color="auto" w:fill="auto"/>
            <w:vAlign w:val="center"/>
            <w:hideMark/>
          </w:tcPr>
          <w:p w:rsidR="00502F49" w:rsidRPr="000329AD" w:rsidP="00502F49" w14:paraId="7999F58B" w14:textId="254EEF8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$15,050 </w:t>
            </w:r>
          </w:p>
        </w:tc>
      </w:tr>
      <w:tr w14:paraId="35181877" w14:textId="77777777" w:rsidTr="00EE4378">
        <w:tblPrEx>
          <w:tblW w:w="13394" w:type="dxa"/>
          <w:tblLook w:val="04A0"/>
        </w:tblPrEx>
        <w:trPr>
          <w:trHeight w:val="20"/>
        </w:trPr>
        <w:tc>
          <w:tcPr>
            <w:tcW w:w="6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40D6F3D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sidRPr="000329AD">
              <w:rPr>
                <w:rFonts w:ascii="Calibri" w:hAnsi="Calibri" w:cs="Calibri"/>
                <w:b/>
                <w:bCs/>
                <w:color w:val="000000"/>
                <w:szCs w:val="22"/>
              </w:rPr>
              <w:t>Average Burden per Entity, Triennial Voluntary Activities</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1155119E" w14:textId="365D1C1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56</w:t>
            </w:r>
          </w:p>
        </w:tc>
        <w:tc>
          <w:tcPr>
            <w:tcW w:w="135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079188B5" w14:textId="39EA084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11</w:t>
            </w:r>
          </w:p>
        </w:tc>
        <w:tc>
          <w:tcPr>
            <w:tcW w:w="11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753644F8" w14:textId="7C5E3EC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169</w:t>
            </w:r>
          </w:p>
        </w:tc>
        <w:tc>
          <w:tcPr>
            <w:tcW w:w="13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3E00C74B" w14:textId="5E2975E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8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3EEA62FC" w14:textId="70CE6C8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181</w:t>
            </w:r>
          </w:p>
        </w:tc>
        <w:tc>
          <w:tcPr>
            <w:tcW w:w="112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02F49" w:rsidRPr="000329AD" w:rsidP="00502F49" w14:paraId="40E4361D" w14:textId="4DDF0F0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$16,720</w:t>
            </w:r>
          </w:p>
        </w:tc>
      </w:tr>
    </w:tbl>
    <w:p w:rsidR="00D05E37" w:rsidP="009E08D8" w14:paraId="75E873A0" w14:textId="71A8AB26"/>
    <w:p w:rsidR="00ED3519" w:rsidP="009E08D8" w14:paraId="6BA0898C" w14:textId="77777777"/>
    <w:p w:rsidR="00ED3519" w:rsidP="009E08D8" w14:paraId="738DFDCB" w14:textId="46A96550">
      <w:pPr>
        <w:sectPr w:rsidSect="00370665">
          <w:pgSz w:w="15840" w:h="12240" w:orient="landscape"/>
          <w:pgMar w:top="1440" w:right="1080" w:bottom="1440" w:left="1080" w:header="1440" w:footer="864" w:gutter="0"/>
          <w:cols w:space="720"/>
          <w:noEndnote/>
          <w:docGrid w:linePitch="326"/>
        </w:sectPr>
      </w:pPr>
    </w:p>
    <w:p w:rsidR="00ED3519" w:rsidRPr="007464CD" w:rsidP="00ED3519" w14:paraId="06BA82E0" w14:textId="14F4F3AF">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 xml:space="preserve">b provides the hours and cost burden reductions associated with SLTs using CAERS to submit point sources. These cost reductions are consistent with the difference between the EIS hours and CAERS hours provided in </w:t>
      </w:r>
      <w:r w:rsidRPr="007464CD">
        <w:fldChar w:fldCharType="begin"/>
      </w:r>
      <w:r w:rsidRPr="007464CD">
        <w:instrText xml:space="preserve"> REF _Ref106891332 \h  \* MERGEFORMAT </w:instrText>
      </w:r>
      <w:r w:rsidRPr="007464CD">
        <w:fldChar w:fldCharType="separate"/>
      </w:r>
      <w:r w:rsidRPr="0020098E" w:rsidR="00646F0F">
        <w:t xml:space="preserve">Table </w:t>
      </w:r>
      <w:r w:rsidR="00646F0F">
        <w:rPr>
          <w:noProof/>
        </w:rPr>
        <w:t>6</w:t>
      </w:r>
      <w:r w:rsidRPr="007464CD">
        <w:fldChar w:fldCharType="end"/>
      </w:r>
      <w:r w:rsidRPr="007464CD">
        <w:t xml:space="preserve">b. As shown in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 xml:space="preserve">b, EPA estimates that SLTs </w:t>
      </w:r>
      <w:r w:rsidR="005F558C">
        <w:t>implementing</w:t>
      </w:r>
      <w:r w:rsidRPr="007464CD">
        <w:t xml:space="preserve"> CAERS </w:t>
      </w:r>
      <w:r w:rsidRPr="007464CD" w:rsidR="009A3E47">
        <w:t>case</w:t>
      </w:r>
      <w:r w:rsidRPr="007464CD">
        <w:t xml:space="preserve"> 3 would save about $</w:t>
      </w:r>
      <w:r w:rsidR="005F558C">
        <w:t>48</w:t>
      </w:r>
      <w:r w:rsidRPr="007464CD">
        <w:t xml:space="preserve">K per year while SLTs choosing CAERS </w:t>
      </w:r>
      <w:r w:rsidRPr="007464CD" w:rsidR="009A3E47">
        <w:t>case</w:t>
      </w:r>
      <w:r w:rsidRPr="007464CD">
        <w:t xml:space="preserve"> 4 implementation would save about $1</w:t>
      </w:r>
      <w:r w:rsidR="005F558C">
        <w:t>47</w:t>
      </w:r>
      <w:r w:rsidRPr="007464CD">
        <w:t xml:space="preserve">K per year. This significant difference between </w:t>
      </w:r>
      <w:r w:rsidRPr="007464CD" w:rsidR="009A3E47">
        <w:t>case</w:t>
      </w:r>
      <w:r w:rsidRPr="007464CD">
        <w:t xml:space="preserve">s 3 and 4 results from the additional cost savings SLTs would </w:t>
      </w:r>
      <w:r w:rsidRPr="007464CD" w:rsidR="00A15F90">
        <w:t xml:space="preserve">realize </w:t>
      </w:r>
      <w:r w:rsidRPr="007464CD">
        <w:t xml:space="preserve">under </w:t>
      </w:r>
      <w:r w:rsidRPr="007464CD" w:rsidR="009A3E47">
        <w:t>case</w:t>
      </w:r>
      <w:r w:rsidRPr="007464CD">
        <w:t xml:space="preserve"> 4 for eliminating the need to operate and maintain a point source emissions collection data system.</w:t>
      </w:r>
    </w:p>
    <w:p w:rsidR="00ED3519" w:rsidP="00ED3519" w14:paraId="3C3B85F8" w14:textId="0C27B914"/>
    <w:p w:rsidR="00153505" w:rsidRPr="0020098E" w:rsidP="00153505" w14:paraId="2AF9EB18" w14:textId="701535EB">
      <w:pPr>
        <w:pStyle w:val="Caption"/>
      </w:pPr>
      <w:r w:rsidRPr="0020098E">
        <w:fldChar w:fldCharType="begin"/>
      </w:r>
      <w:r w:rsidRPr="0020098E">
        <w:instrText xml:space="preserve"> REF _Ref107481236 \h </w:instrText>
      </w:r>
      <w:r w:rsidR="0020098E">
        <w:instrText xml:space="preserve"> \* MERGEFORMAT </w:instrText>
      </w:r>
      <w:r w:rsidRPr="0020098E">
        <w:fldChar w:fldCharType="separate"/>
      </w:r>
      <w:r w:rsidRPr="0020098E" w:rsidR="00646F0F">
        <w:t xml:space="preserve">Table </w:t>
      </w:r>
      <w:r w:rsidR="00646F0F">
        <w:rPr>
          <w:noProof/>
        </w:rPr>
        <w:t>8</w:t>
      </w:r>
      <w:r w:rsidRPr="0020098E">
        <w:fldChar w:fldCharType="end"/>
      </w:r>
      <w:r w:rsidRPr="0020098E">
        <w:t xml:space="preserve">b: </w:t>
      </w:r>
      <w:r w:rsidRPr="0020098E" w:rsidR="008711C9">
        <w:t>Annualized Burden Changes per Respondent of NEI Submission for CAERS Cases 3 and 4 Approach</w:t>
      </w:r>
    </w:p>
    <w:tbl>
      <w:tblPr>
        <w:tblW w:w="9440" w:type="dxa"/>
        <w:tblLook w:val="04A0"/>
      </w:tblPr>
      <w:tblGrid>
        <w:gridCol w:w="3590"/>
        <w:gridCol w:w="1340"/>
        <w:gridCol w:w="1220"/>
        <w:gridCol w:w="1144"/>
        <w:gridCol w:w="987"/>
        <w:gridCol w:w="1159"/>
      </w:tblGrid>
      <w:tr w14:paraId="48F0060D" w14:textId="77777777" w:rsidTr="00386ECB">
        <w:tblPrEx>
          <w:tblW w:w="9440" w:type="dxa"/>
          <w:tblLook w:val="04A0"/>
        </w:tblPrEx>
        <w:trPr>
          <w:trHeight w:val="20"/>
        </w:trPr>
        <w:tc>
          <w:tcPr>
            <w:tcW w:w="3590" w:type="dxa"/>
            <w:tcBorders>
              <w:top w:val="single" w:sz="8" w:space="0" w:color="000000"/>
              <w:left w:val="single" w:sz="8" w:space="0" w:color="000000"/>
              <w:bottom w:val="nil"/>
              <w:right w:val="single" w:sz="8" w:space="0" w:color="000000"/>
            </w:tcBorders>
            <w:shd w:val="clear" w:color="auto" w:fill="auto"/>
            <w:vAlign w:val="bottom"/>
            <w:hideMark/>
          </w:tcPr>
          <w:p w:rsidR="00073AF7" w:rsidRPr="00073AF7" w:rsidP="00073AF7" w14:paraId="7BC19E2F" w14:textId="1F625AC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Pr>
                <w:rFonts w:ascii="Calibri" w:hAnsi="Calibri" w:cs="Calibri"/>
                <w:b/>
                <w:bCs/>
                <w:color w:val="000000"/>
                <w:szCs w:val="22"/>
              </w:rPr>
              <w:t>Information Collection Activity</w:t>
            </w:r>
          </w:p>
        </w:tc>
        <w:tc>
          <w:tcPr>
            <w:tcW w:w="1340" w:type="dxa"/>
            <w:tcBorders>
              <w:top w:val="single" w:sz="8" w:space="0" w:color="000000"/>
              <w:left w:val="nil"/>
              <w:bottom w:val="nil"/>
              <w:right w:val="nil"/>
            </w:tcBorders>
            <w:shd w:val="clear" w:color="auto" w:fill="auto"/>
            <w:vAlign w:val="center"/>
            <w:hideMark/>
          </w:tcPr>
          <w:p w:rsidR="00073AF7" w:rsidRPr="00073AF7" w:rsidP="00073AF7" w14:paraId="4DDE76D2" w14:textId="464F318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Manager Hrs/yr @ $118.94/Hr</w:t>
            </w:r>
          </w:p>
        </w:tc>
        <w:tc>
          <w:tcPr>
            <w:tcW w:w="1220" w:type="dxa"/>
            <w:tcBorders>
              <w:top w:val="single" w:sz="8" w:space="0" w:color="000000"/>
              <w:left w:val="single" w:sz="8" w:space="0" w:color="000000"/>
              <w:bottom w:val="nil"/>
              <w:right w:val="nil"/>
            </w:tcBorders>
            <w:shd w:val="clear" w:color="auto" w:fill="auto"/>
            <w:vAlign w:val="center"/>
            <w:hideMark/>
          </w:tcPr>
          <w:p w:rsidR="00073AF7" w:rsidRPr="00073AF7" w:rsidP="00073AF7" w14:paraId="6A8138F8" w14:textId="181E1CF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Engineer Hrs/yr @ $90.83/Hr</w:t>
            </w:r>
          </w:p>
        </w:tc>
        <w:tc>
          <w:tcPr>
            <w:tcW w:w="1144" w:type="dxa"/>
            <w:tcBorders>
              <w:top w:val="single" w:sz="8" w:space="0" w:color="000000"/>
              <w:left w:val="single" w:sz="8" w:space="0" w:color="000000"/>
              <w:bottom w:val="nil"/>
              <w:right w:val="nil"/>
            </w:tcBorders>
            <w:shd w:val="clear" w:color="auto" w:fill="auto"/>
            <w:vAlign w:val="center"/>
            <w:hideMark/>
          </w:tcPr>
          <w:p w:rsidR="00073AF7" w:rsidRPr="00073AF7" w:rsidP="00073AF7" w14:paraId="7A736465" w14:textId="4B840BA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xml:space="preserve">IT </w:t>
            </w:r>
            <w:r>
              <w:rPr>
                <w:rFonts w:ascii="Calibri" w:hAnsi="Calibri" w:cs="Calibri"/>
                <w:b/>
                <w:bCs/>
                <w:color w:val="000000"/>
                <w:szCs w:val="22"/>
              </w:rPr>
              <w:br/>
              <w:t>Hrs/yr @ $81.02/Hr</w:t>
            </w:r>
          </w:p>
        </w:tc>
        <w:tc>
          <w:tcPr>
            <w:tcW w:w="987" w:type="dxa"/>
            <w:tcBorders>
              <w:top w:val="single" w:sz="8" w:space="0" w:color="000000"/>
              <w:left w:val="single" w:sz="8" w:space="0" w:color="000000"/>
              <w:bottom w:val="nil"/>
              <w:right w:val="nil"/>
            </w:tcBorders>
            <w:shd w:val="clear" w:color="auto" w:fill="auto"/>
            <w:vAlign w:val="center"/>
            <w:hideMark/>
          </w:tcPr>
          <w:p w:rsidR="00073AF7" w:rsidRPr="00073AF7" w:rsidP="00073AF7" w14:paraId="37DF82E2" w14:textId="2A8B5FE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Total Hours Change/</w:t>
            </w:r>
            <w:r>
              <w:rPr>
                <w:rFonts w:ascii="Calibri" w:hAnsi="Calibri" w:cs="Calibri"/>
                <w:b/>
                <w:bCs/>
                <w:color w:val="000000"/>
                <w:szCs w:val="22"/>
              </w:rPr>
              <w:br/>
              <w:t>Year</w:t>
            </w:r>
          </w:p>
        </w:tc>
        <w:tc>
          <w:tcPr>
            <w:tcW w:w="1159" w:type="dxa"/>
            <w:tcBorders>
              <w:top w:val="single" w:sz="8" w:space="0" w:color="000000"/>
              <w:left w:val="single" w:sz="8" w:space="0" w:color="000000"/>
              <w:bottom w:val="nil"/>
              <w:right w:val="single" w:sz="8" w:space="0" w:color="000000"/>
            </w:tcBorders>
            <w:shd w:val="clear" w:color="auto" w:fill="auto"/>
            <w:vAlign w:val="center"/>
            <w:hideMark/>
          </w:tcPr>
          <w:p w:rsidR="00073AF7" w:rsidRPr="00073AF7" w:rsidP="00073AF7" w14:paraId="14ACEC40" w14:textId="5797038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xml:space="preserve"> Cost Change/</w:t>
            </w:r>
            <w:r>
              <w:rPr>
                <w:rFonts w:ascii="Calibri" w:hAnsi="Calibri" w:cs="Calibri"/>
                <w:b/>
                <w:bCs/>
                <w:color w:val="000000"/>
                <w:szCs w:val="22"/>
              </w:rPr>
              <w:br/>
              <w:t>Year</w:t>
            </w:r>
          </w:p>
        </w:tc>
      </w:tr>
      <w:tr w14:paraId="47B3E023" w14:textId="77777777" w:rsidTr="00386ECB">
        <w:tblPrEx>
          <w:tblW w:w="9440" w:type="dxa"/>
          <w:tblLook w:val="04A0"/>
        </w:tblPrEx>
        <w:trPr>
          <w:trHeight w:val="20"/>
        </w:trPr>
        <w:tc>
          <w:tcPr>
            <w:tcW w:w="3590" w:type="dxa"/>
            <w:tcBorders>
              <w:top w:val="single" w:sz="8" w:space="0" w:color="auto"/>
              <w:left w:val="single" w:sz="8" w:space="0" w:color="auto"/>
              <w:bottom w:val="single" w:sz="8" w:space="0" w:color="auto"/>
              <w:right w:val="nil"/>
            </w:tcBorders>
            <w:shd w:val="clear" w:color="000000" w:fill="D9D9D9"/>
            <w:noWrap/>
            <w:vAlign w:val="center"/>
            <w:hideMark/>
          </w:tcPr>
          <w:p w:rsidR="00073AF7" w:rsidRPr="00073AF7" w:rsidP="00073AF7" w14:paraId="3B250068" w14:textId="0A8CF89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Pr>
                <w:rFonts w:ascii="Calibri" w:hAnsi="Calibri" w:cs="Calibri"/>
                <w:b/>
                <w:bCs/>
                <w:color w:val="000000"/>
                <w:szCs w:val="22"/>
              </w:rPr>
              <w:t>CAERS Case 3 Burden Changes</w:t>
            </w:r>
          </w:p>
        </w:tc>
        <w:tc>
          <w:tcPr>
            <w:tcW w:w="1340" w:type="dxa"/>
            <w:tcBorders>
              <w:top w:val="single" w:sz="8" w:space="0" w:color="auto"/>
              <w:left w:val="nil"/>
              <w:bottom w:val="single" w:sz="8" w:space="0" w:color="auto"/>
              <w:right w:val="nil"/>
            </w:tcBorders>
            <w:shd w:val="clear" w:color="000000" w:fill="D9D9D9"/>
            <w:noWrap/>
            <w:vAlign w:val="bottom"/>
            <w:hideMark/>
          </w:tcPr>
          <w:p w:rsidR="00073AF7" w:rsidRPr="00073AF7" w:rsidP="00073AF7" w14:paraId="158D6DE6" w14:textId="2F6C2A5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220" w:type="dxa"/>
            <w:tcBorders>
              <w:top w:val="single" w:sz="8" w:space="0" w:color="auto"/>
              <w:left w:val="nil"/>
              <w:bottom w:val="single" w:sz="8" w:space="0" w:color="auto"/>
              <w:right w:val="nil"/>
            </w:tcBorders>
            <w:shd w:val="clear" w:color="000000" w:fill="D9D9D9"/>
            <w:noWrap/>
            <w:vAlign w:val="bottom"/>
            <w:hideMark/>
          </w:tcPr>
          <w:p w:rsidR="00073AF7" w:rsidRPr="00073AF7" w:rsidP="00073AF7" w14:paraId="6DBDDB68" w14:textId="503662F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144" w:type="dxa"/>
            <w:tcBorders>
              <w:top w:val="single" w:sz="8" w:space="0" w:color="auto"/>
              <w:left w:val="nil"/>
              <w:bottom w:val="single" w:sz="8" w:space="0" w:color="auto"/>
              <w:right w:val="nil"/>
            </w:tcBorders>
            <w:shd w:val="clear" w:color="000000" w:fill="D9D9D9"/>
            <w:noWrap/>
            <w:vAlign w:val="bottom"/>
            <w:hideMark/>
          </w:tcPr>
          <w:p w:rsidR="00073AF7" w:rsidRPr="00073AF7" w:rsidP="00073AF7" w14:paraId="2797103B" w14:textId="7E5D695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987" w:type="dxa"/>
            <w:tcBorders>
              <w:top w:val="single" w:sz="8" w:space="0" w:color="auto"/>
              <w:left w:val="nil"/>
              <w:bottom w:val="single" w:sz="8" w:space="0" w:color="auto"/>
              <w:right w:val="nil"/>
            </w:tcBorders>
            <w:shd w:val="clear" w:color="000000" w:fill="D9D9D9"/>
            <w:noWrap/>
            <w:vAlign w:val="bottom"/>
            <w:hideMark/>
          </w:tcPr>
          <w:p w:rsidR="00073AF7" w:rsidRPr="00073AF7" w:rsidP="00073AF7" w14:paraId="69566D31" w14:textId="66916C3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c>
          <w:tcPr>
            <w:tcW w:w="1159" w:type="dxa"/>
            <w:tcBorders>
              <w:top w:val="single" w:sz="8" w:space="0" w:color="auto"/>
              <w:left w:val="nil"/>
              <w:bottom w:val="single" w:sz="8" w:space="0" w:color="auto"/>
              <w:right w:val="single" w:sz="8" w:space="0" w:color="000000"/>
            </w:tcBorders>
            <w:shd w:val="clear" w:color="000000" w:fill="D9D9D9"/>
            <w:noWrap/>
            <w:vAlign w:val="bottom"/>
            <w:hideMark/>
          </w:tcPr>
          <w:p w:rsidR="00073AF7" w:rsidRPr="00073AF7" w:rsidP="00073AF7" w14:paraId="33A7CEC3" w14:textId="707BCFB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w:t>
            </w:r>
          </w:p>
        </w:tc>
      </w:tr>
      <w:tr w14:paraId="2AB97E5C"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tcPr>
          <w:p w:rsidR="0081725F" w:rsidRPr="00073AF7" w:rsidP="0081725F" w14:paraId="0DA6FE39" w14:textId="5E219A1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szCs w:val="22"/>
              </w:rPr>
              <w:t xml:space="preserve">Point source data collection system operations and maintenance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szCs w:val="22"/>
              </w:rPr>
              <w:t>a)</w:t>
            </w:r>
          </w:p>
        </w:tc>
        <w:tc>
          <w:tcPr>
            <w:tcW w:w="1340" w:type="dxa"/>
            <w:tcBorders>
              <w:top w:val="nil"/>
              <w:left w:val="nil"/>
              <w:bottom w:val="single" w:sz="8" w:space="0" w:color="auto"/>
              <w:right w:val="single" w:sz="8" w:space="0" w:color="auto"/>
            </w:tcBorders>
            <w:shd w:val="clear" w:color="auto" w:fill="auto"/>
            <w:noWrap/>
            <w:vAlign w:val="center"/>
          </w:tcPr>
          <w:p w:rsidR="0081725F" w:rsidRPr="00073AF7" w:rsidP="0081725F" w14:paraId="5A738382" w14:textId="05A1CE4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-43</w:t>
            </w:r>
          </w:p>
        </w:tc>
        <w:tc>
          <w:tcPr>
            <w:tcW w:w="1220" w:type="dxa"/>
            <w:tcBorders>
              <w:top w:val="nil"/>
              <w:left w:val="nil"/>
              <w:bottom w:val="single" w:sz="8" w:space="0" w:color="auto"/>
              <w:right w:val="single" w:sz="8" w:space="0" w:color="auto"/>
            </w:tcBorders>
            <w:shd w:val="clear" w:color="auto" w:fill="auto"/>
            <w:noWrap/>
            <w:vAlign w:val="center"/>
          </w:tcPr>
          <w:p w:rsidR="0081725F" w:rsidRPr="00073AF7" w:rsidP="0081725F" w14:paraId="1C88F1EA" w14:textId="5815C66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-184</w:t>
            </w:r>
          </w:p>
        </w:tc>
        <w:tc>
          <w:tcPr>
            <w:tcW w:w="1144" w:type="dxa"/>
            <w:tcBorders>
              <w:top w:val="nil"/>
              <w:left w:val="nil"/>
              <w:bottom w:val="single" w:sz="8" w:space="0" w:color="auto"/>
              <w:right w:val="single" w:sz="8" w:space="0" w:color="auto"/>
            </w:tcBorders>
            <w:shd w:val="clear" w:color="auto" w:fill="auto"/>
            <w:noWrap/>
            <w:vAlign w:val="center"/>
          </w:tcPr>
          <w:p w:rsidR="0081725F" w:rsidRPr="00073AF7" w:rsidP="0081725F" w14:paraId="4CB54FC2" w14:textId="4DF2E25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-244</w:t>
            </w:r>
          </w:p>
        </w:tc>
        <w:tc>
          <w:tcPr>
            <w:tcW w:w="987" w:type="dxa"/>
            <w:tcBorders>
              <w:top w:val="nil"/>
              <w:left w:val="nil"/>
              <w:bottom w:val="single" w:sz="8" w:space="0" w:color="auto"/>
              <w:right w:val="single" w:sz="8" w:space="0" w:color="auto"/>
            </w:tcBorders>
            <w:shd w:val="clear" w:color="auto" w:fill="auto"/>
            <w:noWrap/>
            <w:vAlign w:val="center"/>
          </w:tcPr>
          <w:p w:rsidR="0081725F" w:rsidRPr="00073AF7" w:rsidP="0081725F" w14:paraId="62C1B6B1" w14:textId="7AB15B3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-471</w:t>
            </w:r>
          </w:p>
        </w:tc>
        <w:tc>
          <w:tcPr>
            <w:tcW w:w="1159" w:type="dxa"/>
            <w:tcBorders>
              <w:top w:val="nil"/>
              <w:left w:val="nil"/>
              <w:bottom w:val="single" w:sz="8" w:space="0" w:color="auto"/>
              <w:right w:val="single" w:sz="8" w:space="0" w:color="000000"/>
            </w:tcBorders>
            <w:shd w:val="clear" w:color="auto" w:fill="auto"/>
            <w:noWrap/>
            <w:vAlign w:val="center"/>
          </w:tcPr>
          <w:p w:rsidR="0081725F" w:rsidRPr="00073AF7" w:rsidP="0081725F" w14:paraId="3C8A8FC0" w14:textId="56ADB82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-$41,571</w:t>
            </w:r>
          </w:p>
        </w:tc>
      </w:tr>
      <w:tr w14:paraId="0884F486"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81725F" w:rsidRPr="00073AF7" w:rsidP="0081725F" w14:paraId="5AAA7BA0" w14:textId="3B7C3FB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xml:space="preserve">Annual </w:t>
            </w:r>
            <w:r w:rsidR="007470E4">
              <w:rPr>
                <w:rFonts w:ascii="Calibri" w:hAnsi="Calibri" w:cs="Calibri"/>
                <w:color w:val="000000"/>
                <w:szCs w:val="22"/>
              </w:rPr>
              <w:t>p</w:t>
            </w:r>
            <w:r>
              <w:rPr>
                <w:rFonts w:ascii="Calibri" w:hAnsi="Calibri" w:cs="Calibri"/>
                <w:color w:val="000000"/>
                <w:szCs w:val="22"/>
              </w:rPr>
              <w:t xml:space="preserve">oint </w:t>
            </w:r>
            <w:r w:rsidR="007F625D">
              <w:rPr>
                <w:rFonts w:ascii="Calibri" w:hAnsi="Calibri" w:cs="Calibri"/>
                <w:color w:val="000000"/>
                <w:szCs w:val="22"/>
              </w:rPr>
              <w:t>s</w:t>
            </w:r>
            <w:r>
              <w:rPr>
                <w:rFonts w:ascii="Calibri" w:hAnsi="Calibri" w:cs="Calibri"/>
                <w:color w:val="000000"/>
                <w:szCs w:val="22"/>
              </w:rPr>
              <w:t xml:space="preserve">ource </w:t>
            </w:r>
            <w:r w:rsidR="007F625D">
              <w:rPr>
                <w:rFonts w:ascii="Calibri" w:hAnsi="Calibri" w:cs="Calibri"/>
                <w:color w:val="000000"/>
                <w:szCs w:val="22"/>
              </w:rPr>
              <w:t>CAP r</w:t>
            </w:r>
            <w:r>
              <w:rPr>
                <w:rFonts w:ascii="Calibri" w:hAnsi="Calibri" w:cs="Calibri"/>
                <w:color w:val="000000"/>
                <w:szCs w:val="22"/>
              </w:rPr>
              <w:t xml:space="preserve">eporting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color w:val="000000"/>
                <w:szCs w:val="22"/>
              </w:rPr>
              <w:t>b)</w:t>
            </w:r>
          </w:p>
        </w:tc>
        <w:tc>
          <w:tcPr>
            <w:tcW w:w="1340"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59558BF4" w14:textId="444703C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w:t>
            </w:r>
          </w:p>
        </w:tc>
        <w:tc>
          <w:tcPr>
            <w:tcW w:w="1220"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41E6FFE2" w14:textId="30DA411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-12.2</w:t>
            </w:r>
          </w:p>
        </w:tc>
        <w:tc>
          <w:tcPr>
            <w:tcW w:w="1144"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55F35EB0" w14:textId="3C30B0E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74845AC1" w14:textId="14042A0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-13.2</w:t>
            </w:r>
          </w:p>
        </w:tc>
        <w:tc>
          <w:tcPr>
            <w:tcW w:w="1159" w:type="dxa"/>
            <w:tcBorders>
              <w:top w:val="nil"/>
              <w:left w:val="nil"/>
              <w:bottom w:val="single" w:sz="8" w:space="0" w:color="auto"/>
              <w:right w:val="single" w:sz="8" w:space="0" w:color="000000"/>
            </w:tcBorders>
            <w:shd w:val="clear" w:color="auto" w:fill="auto"/>
            <w:noWrap/>
            <w:vAlign w:val="center"/>
            <w:hideMark/>
          </w:tcPr>
          <w:p w:rsidR="0081725F" w:rsidRPr="00073AF7" w:rsidP="0081725F" w14:paraId="149A8FA2" w14:textId="0E3CD0F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-$1,227</w:t>
            </w:r>
          </w:p>
        </w:tc>
      </w:tr>
      <w:tr w14:paraId="5C964148"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vAlign w:val="center"/>
            <w:hideMark/>
          </w:tcPr>
          <w:p w:rsidR="0081725F" w:rsidRPr="00073AF7" w:rsidP="0081725F" w14:paraId="6FA574C5" w14:textId="525A2EF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xml:space="preserve">Triennial </w:t>
            </w:r>
            <w:r w:rsidR="007F625D">
              <w:rPr>
                <w:rFonts w:ascii="Calibri" w:hAnsi="Calibri" w:cs="Calibri"/>
                <w:color w:val="000000"/>
                <w:szCs w:val="22"/>
              </w:rPr>
              <w:t>p</w:t>
            </w:r>
            <w:r>
              <w:rPr>
                <w:rFonts w:ascii="Calibri" w:hAnsi="Calibri" w:cs="Calibri"/>
                <w:color w:val="000000"/>
                <w:szCs w:val="22"/>
              </w:rPr>
              <w:t>oint</w:t>
            </w:r>
            <w:r w:rsidR="007F625D">
              <w:rPr>
                <w:rFonts w:ascii="Calibri" w:hAnsi="Calibri" w:cs="Calibri"/>
                <w:color w:val="000000"/>
                <w:szCs w:val="22"/>
              </w:rPr>
              <w:t xml:space="preserve"> s</w:t>
            </w:r>
            <w:r>
              <w:rPr>
                <w:rFonts w:ascii="Calibri" w:hAnsi="Calibri" w:cs="Calibri"/>
                <w:color w:val="000000"/>
                <w:szCs w:val="22"/>
              </w:rPr>
              <w:t xml:space="preserve">ource </w:t>
            </w:r>
            <w:r w:rsidR="007F625D">
              <w:rPr>
                <w:rFonts w:ascii="Calibri" w:hAnsi="Calibri" w:cs="Calibri"/>
                <w:color w:val="000000"/>
                <w:szCs w:val="22"/>
              </w:rPr>
              <w:t>CAP r</w:t>
            </w:r>
            <w:r>
              <w:rPr>
                <w:rFonts w:ascii="Calibri" w:hAnsi="Calibri" w:cs="Calibri"/>
                <w:color w:val="000000"/>
                <w:szCs w:val="22"/>
              </w:rPr>
              <w:t xml:space="preserve">eporting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color w:val="000000"/>
                <w:szCs w:val="22"/>
              </w:rPr>
              <w:t>b)</w:t>
            </w:r>
          </w:p>
        </w:tc>
        <w:tc>
          <w:tcPr>
            <w:tcW w:w="1340"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397D9D55" w14:textId="1D63689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-2.0</w:t>
            </w:r>
          </w:p>
        </w:tc>
        <w:tc>
          <w:tcPr>
            <w:tcW w:w="1220"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230991C9" w14:textId="4D7C5B7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-22.3</w:t>
            </w:r>
          </w:p>
        </w:tc>
        <w:tc>
          <w:tcPr>
            <w:tcW w:w="1144"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412A7F92" w14:textId="2FA9D69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hideMark/>
          </w:tcPr>
          <w:p w:rsidR="0081725F" w:rsidRPr="00073AF7" w:rsidP="0081725F" w14:paraId="166CDCAF" w14:textId="3AB64EB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-24.4</w:t>
            </w:r>
          </w:p>
        </w:tc>
        <w:tc>
          <w:tcPr>
            <w:tcW w:w="1159" w:type="dxa"/>
            <w:tcBorders>
              <w:top w:val="nil"/>
              <w:left w:val="nil"/>
              <w:bottom w:val="single" w:sz="8" w:space="0" w:color="auto"/>
              <w:right w:val="single" w:sz="8" w:space="0" w:color="000000"/>
            </w:tcBorders>
            <w:shd w:val="clear" w:color="auto" w:fill="auto"/>
            <w:noWrap/>
            <w:vAlign w:val="center"/>
            <w:hideMark/>
          </w:tcPr>
          <w:p w:rsidR="0081725F" w:rsidRPr="00073AF7" w:rsidP="0081725F" w14:paraId="695AD47A" w14:textId="3056F76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-$2,270</w:t>
            </w:r>
          </w:p>
        </w:tc>
      </w:tr>
      <w:tr w14:paraId="7C879C07"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vAlign w:val="center"/>
          </w:tcPr>
          <w:p w:rsidR="0081725F" w:rsidP="0081725F" w14:paraId="1473E643" w14:textId="539DA1E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szCs w:val="22"/>
              </w:rPr>
              <w:t xml:space="preserve">State annual and triennial voluntary point source HAP reporting with CAERS </w:t>
            </w:r>
            <w:r w:rsidR="00CF71A4">
              <w:rPr>
                <w:rFonts w:ascii="Calibri" w:hAnsi="Calibri" w:cs="Calibri"/>
                <w:szCs w:val="22"/>
              </w:rPr>
              <w:t>case</w:t>
            </w:r>
            <w:r>
              <w:rPr>
                <w:rFonts w:ascii="Calibri" w:hAnsi="Calibri" w:cs="Calibri"/>
                <w:szCs w:val="22"/>
              </w:rPr>
              <w:t xml:space="preserve"> 3</w:t>
            </w:r>
          </w:p>
        </w:tc>
        <w:tc>
          <w:tcPr>
            <w:tcW w:w="1340" w:type="dxa"/>
            <w:tcBorders>
              <w:top w:val="nil"/>
              <w:left w:val="nil"/>
              <w:bottom w:val="single" w:sz="8" w:space="0" w:color="auto"/>
              <w:right w:val="single" w:sz="8" w:space="0" w:color="auto"/>
            </w:tcBorders>
            <w:shd w:val="clear" w:color="auto" w:fill="auto"/>
            <w:noWrap/>
            <w:vAlign w:val="center"/>
          </w:tcPr>
          <w:p w:rsidR="0081725F" w:rsidP="0081725F" w14:paraId="3D5541C7" w14:textId="716F36B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-3.0</w:t>
            </w:r>
          </w:p>
        </w:tc>
        <w:tc>
          <w:tcPr>
            <w:tcW w:w="1220" w:type="dxa"/>
            <w:tcBorders>
              <w:top w:val="nil"/>
              <w:left w:val="nil"/>
              <w:bottom w:val="single" w:sz="8" w:space="0" w:color="auto"/>
              <w:right w:val="single" w:sz="8" w:space="0" w:color="auto"/>
            </w:tcBorders>
            <w:shd w:val="clear" w:color="auto" w:fill="auto"/>
            <w:noWrap/>
            <w:vAlign w:val="center"/>
          </w:tcPr>
          <w:p w:rsidR="0081725F" w:rsidP="0081725F" w14:paraId="0AC933EE" w14:textId="5292D11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-29.5</w:t>
            </w:r>
          </w:p>
        </w:tc>
        <w:tc>
          <w:tcPr>
            <w:tcW w:w="1144" w:type="dxa"/>
            <w:tcBorders>
              <w:top w:val="nil"/>
              <w:left w:val="nil"/>
              <w:bottom w:val="single" w:sz="8" w:space="0" w:color="auto"/>
              <w:right w:val="single" w:sz="8" w:space="0" w:color="auto"/>
            </w:tcBorders>
            <w:shd w:val="clear" w:color="auto" w:fill="auto"/>
            <w:noWrap/>
            <w:vAlign w:val="center"/>
          </w:tcPr>
          <w:p w:rsidR="0081725F" w:rsidP="0081725F" w14:paraId="63D9F39F" w14:textId="656B47C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tcPr>
          <w:p w:rsidR="0081725F" w:rsidP="0081725F" w14:paraId="3B640383" w14:textId="5FAD658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-32.4</w:t>
            </w:r>
          </w:p>
        </w:tc>
        <w:tc>
          <w:tcPr>
            <w:tcW w:w="1159" w:type="dxa"/>
            <w:tcBorders>
              <w:top w:val="nil"/>
              <w:left w:val="nil"/>
              <w:bottom w:val="single" w:sz="8" w:space="0" w:color="auto"/>
              <w:right w:val="single" w:sz="8" w:space="0" w:color="000000"/>
            </w:tcBorders>
            <w:shd w:val="clear" w:color="auto" w:fill="auto"/>
            <w:noWrap/>
            <w:vAlign w:val="center"/>
          </w:tcPr>
          <w:p w:rsidR="0081725F" w:rsidP="0081725F" w14:paraId="06E78FE3" w14:textId="1A1CA36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-$3,029</w:t>
            </w:r>
          </w:p>
        </w:tc>
      </w:tr>
      <w:tr w14:paraId="7FF8E5D2" w14:textId="77777777" w:rsidTr="005F558C">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EE4C7E" w:rsidRPr="00073AF7" w:rsidP="00EE4C7E" w14:paraId="0B5355C1" w14:textId="5526D19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Subtotal Case 3</w:t>
            </w:r>
          </w:p>
        </w:tc>
        <w:tc>
          <w:tcPr>
            <w:tcW w:w="1340"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170D847D" w14:textId="13CA166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-49</w:t>
            </w:r>
          </w:p>
        </w:tc>
        <w:tc>
          <w:tcPr>
            <w:tcW w:w="1220"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7CA06BCD" w14:textId="533DFA0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-248</w:t>
            </w:r>
          </w:p>
        </w:tc>
        <w:tc>
          <w:tcPr>
            <w:tcW w:w="1144"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315480C0" w14:textId="2FF53E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-244</w:t>
            </w:r>
          </w:p>
        </w:tc>
        <w:tc>
          <w:tcPr>
            <w:tcW w:w="987"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11DC012C" w14:textId="41EB18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-541</w:t>
            </w:r>
          </w:p>
        </w:tc>
        <w:tc>
          <w:tcPr>
            <w:tcW w:w="1159" w:type="dxa"/>
            <w:tcBorders>
              <w:top w:val="nil"/>
              <w:left w:val="nil"/>
              <w:bottom w:val="single" w:sz="8" w:space="0" w:color="auto"/>
              <w:right w:val="single" w:sz="8" w:space="0" w:color="000000"/>
            </w:tcBorders>
            <w:shd w:val="clear" w:color="auto" w:fill="auto"/>
            <w:noWrap/>
            <w:vAlign w:val="center"/>
            <w:hideMark/>
          </w:tcPr>
          <w:p w:rsidR="00EE4C7E" w:rsidRPr="00073AF7" w:rsidP="00EE4C7E" w14:paraId="4025AA09" w14:textId="2B49881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-$48,097</w:t>
            </w:r>
          </w:p>
        </w:tc>
      </w:tr>
      <w:tr w14:paraId="774EA633" w14:textId="77777777" w:rsidTr="005F558C">
        <w:tblPrEx>
          <w:tblW w:w="9440" w:type="dxa"/>
          <w:tblLook w:val="04A0"/>
        </w:tblPrEx>
        <w:trPr>
          <w:trHeight w:val="20"/>
        </w:trPr>
        <w:tc>
          <w:tcPr>
            <w:tcW w:w="3590" w:type="dxa"/>
            <w:tcBorders>
              <w:top w:val="nil"/>
              <w:left w:val="single" w:sz="8" w:space="0" w:color="auto"/>
              <w:bottom w:val="single" w:sz="8" w:space="0" w:color="auto"/>
              <w:right w:val="nil"/>
            </w:tcBorders>
            <w:shd w:val="clear" w:color="000000" w:fill="D9D9D9"/>
            <w:noWrap/>
            <w:vAlign w:val="center"/>
            <w:hideMark/>
          </w:tcPr>
          <w:p w:rsidR="00EE4C7E" w:rsidRPr="00073AF7" w:rsidP="00EE4C7E" w14:paraId="0A959F3B" w14:textId="7B582B3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Pr>
                <w:rFonts w:ascii="Calibri" w:hAnsi="Calibri" w:cs="Calibri"/>
                <w:b/>
                <w:bCs/>
                <w:color w:val="000000"/>
                <w:szCs w:val="22"/>
              </w:rPr>
              <w:t>CAERS Case 4 Burden Changes</w:t>
            </w:r>
          </w:p>
        </w:tc>
        <w:tc>
          <w:tcPr>
            <w:tcW w:w="1340" w:type="dxa"/>
            <w:tcBorders>
              <w:top w:val="nil"/>
              <w:left w:val="nil"/>
              <w:bottom w:val="single" w:sz="8" w:space="0" w:color="auto"/>
              <w:right w:val="nil"/>
            </w:tcBorders>
            <w:shd w:val="clear" w:color="000000" w:fill="D9D9D9"/>
            <w:noWrap/>
            <w:vAlign w:val="center"/>
            <w:hideMark/>
          </w:tcPr>
          <w:p w:rsidR="00EE4C7E" w:rsidRPr="00073AF7" w:rsidP="00EE4C7E" w14:paraId="290A4A51" w14:textId="1C9975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220" w:type="dxa"/>
            <w:tcBorders>
              <w:top w:val="nil"/>
              <w:left w:val="nil"/>
              <w:bottom w:val="single" w:sz="8" w:space="0" w:color="auto"/>
              <w:right w:val="nil"/>
            </w:tcBorders>
            <w:shd w:val="clear" w:color="000000" w:fill="D9D9D9"/>
            <w:noWrap/>
            <w:vAlign w:val="center"/>
            <w:hideMark/>
          </w:tcPr>
          <w:p w:rsidR="00EE4C7E" w:rsidRPr="00073AF7" w:rsidP="00EE4C7E" w14:paraId="0AD1BB87" w14:textId="531982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144" w:type="dxa"/>
            <w:tcBorders>
              <w:top w:val="nil"/>
              <w:left w:val="nil"/>
              <w:bottom w:val="single" w:sz="8" w:space="0" w:color="auto"/>
              <w:right w:val="nil"/>
            </w:tcBorders>
            <w:shd w:val="clear" w:color="000000" w:fill="D9D9D9"/>
            <w:noWrap/>
            <w:vAlign w:val="center"/>
            <w:hideMark/>
          </w:tcPr>
          <w:p w:rsidR="00EE4C7E" w:rsidRPr="00073AF7" w:rsidP="00EE4C7E" w14:paraId="2B13E311" w14:textId="674E207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nil"/>
            </w:tcBorders>
            <w:shd w:val="clear" w:color="000000" w:fill="D9D9D9"/>
            <w:noWrap/>
            <w:vAlign w:val="center"/>
            <w:hideMark/>
          </w:tcPr>
          <w:p w:rsidR="00EE4C7E" w:rsidRPr="00073AF7" w:rsidP="00EE4C7E" w14:paraId="34FABF6B" w14:textId="19CD760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159" w:type="dxa"/>
            <w:tcBorders>
              <w:top w:val="single" w:sz="8" w:space="0" w:color="auto"/>
              <w:left w:val="nil"/>
              <w:bottom w:val="single" w:sz="8" w:space="0" w:color="000000"/>
              <w:right w:val="single" w:sz="8" w:space="0" w:color="000000"/>
            </w:tcBorders>
            <w:shd w:val="clear" w:color="000000" w:fill="D9D9D9"/>
            <w:noWrap/>
            <w:vAlign w:val="center"/>
            <w:hideMark/>
          </w:tcPr>
          <w:p w:rsidR="00EE4C7E" w:rsidRPr="00073AF7" w:rsidP="00EE4C7E" w14:paraId="128E4736" w14:textId="3F3FE02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szCs w:val="22"/>
              </w:rPr>
            </w:pPr>
            <w:r>
              <w:rPr>
                <w:rFonts w:ascii="Calibri" w:hAnsi="Calibri" w:cs="Calibri"/>
                <w:szCs w:val="22"/>
              </w:rPr>
              <w:t> </w:t>
            </w:r>
          </w:p>
        </w:tc>
      </w:tr>
      <w:tr w14:paraId="272DFC20"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tcPr>
          <w:p w:rsidR="0081725F" w:rsidRPr="00073AF7" w:rsidP="0081725F" w14:paraId="6F5D6B8D" w14:textId="2A32FE4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szCs w:val="22"/>
              </w:rPr>
              <w:t xml:space="preserve">Point source data collection system operations and maintenance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szCs w:val="22"/>
              </w:rPr>
              <w:t>a)</w:t>
            </w:r>
          </w:p>
        </w:tc>
        <w:tc>
          <w:tcPr>
            <w:tcW w:w="1340" w:type="dxa"/>
            <w:tcBorders>
              <w:top w:val="nil"/>
              <w:left w:val="nil"/>
              <w:bottom w:val="single" w:sz="8" w:space="0" w:color="auto"/>
              <w:right w:val="single" w:sz="8" w:space="0" w:color="auto"/>
            </w:tcBorders>
            <w:shd w:val="clear" w:color="auto" w:fill="auto"/>
            <w:noWrap/>
            <w:vAlign w:val="center"/>
          </w:tcPr>
          <w:p w:rsidR="0081725F" w:rsidRPr="00073AF7" w:rsidP="0081725F" w14:paraId="6DF3FFF9" w14:textId="38DF4E9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-142</w:t>
            </w:r>
          </w:p>
        </w:tc>
        <w:tc>
          <w:tcPr>
            <w:tcW w:w="1220" w:type="dxa"/>
            <w:tcBorders>
              <w:top w:val="nil"/>
              <w:left w:val="nil"/>
              <w:bottom w:val="single" w:sz="8" w:space="0" w:color="auto"/>
              <w:right w:val="single" w:sz="8" w:space="0" w:color="auto"/>
            </w:tcBorders>
            <w:shd w:val="clear" w:color="auto" w:fill="auto"/>
            <w:noWrap/>
            <w:vAlign w:val="center"/>
          </w:tcPr>
          <w:p w:rsidR="0081725F" w:rsidRPr="00073AF7" w:rsidP="0081725F" w14:paraId="44AFE81F" w14:textId="480C86C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-280</w:t>
            </w:r>
          </w:p>
        </w:tc>
        <w:tc>
          <w:tcPr>
            <w:tcW w:w="1144" w:type="dxa"/>
            <w:tcBorders>
              <w:top w:val="nil"/>
              <w:left w:val="nil"/>
              <w:bottom w:val="single" w:sz="8" w:space="0" w:color="auto"/>
              <w:right w:val="single" w:sz="8" w:space="0" w:color="auto"/>
            </w:tcBorders>
            <w:shd w:val="clear" w:color="auto" w:fill="auto"/>
            <w:noWrap/>
            <w:vAlign w:val="center"/>
          </w:tcPr>
          <w:p w:rsidR="0081725F" w:rsidRPr="00073AF7" w:rsidP="0081725F" w14:paraId="2B68C00F" w14:textId="052BEA6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-1,140</w:t>
            </w:r>
          </w:p>
        </w:tc>
        <w:tc>
          <w:tcPr>
            <w:tcW w:w="987" w:type="dxa"/>
            <w:tcBorders>
              <w:top w:val="nil"/>
              <w:left w:val="nil"/>
              <w:bottom w:val="single" w:sz="8" w:space="0" w:color="auto"/>
              <w:right w:val="single" w:sz="8" w:space="0" w:color="auto"/>
            </w:tcBorders>
            <w:shd w:val="clear" w:color="auto" w:fill="auto"/>
            <w:noWrap/>
            <w:vAlign w:val="center"/>
          </w:tcPr>
          <w:p w:rsidR="0081725F" w:rsidRPr="00073AF7" w:rsidP="0081725F" w14:paraId="6C9CCE45" w14:textId="0A41289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-1,562</w:t>
            </w:r>
          </w:p>
        </w:tc>
        <w:tc>
          <w:tcPr>
            <w:tcW w:w="1159" w:type="dxa"/>
            <w:tcBorders>
              <w:top w:val="nil"/>
              <w:left w:val="nil"/>
              <w:bottom w:val="single" w:sz="8" w:space="0" w:color="auto"/>
              <w:right w:val="single" w:sz="8" w:space="0" w:color="auto"/>
            </w:tcBorders>
            <w:shd w:val="clear" w:color="auto" w:fill="auto"/>
            <w:noWrap/>
            <w:vAlign w:val="center"/>
          </w:tcPr>
          <w:p w:rsidR="0081725F" w:rsidRPr="00073AF7" w:rsidP="0081725F" w14:paraId="56A23091" w14:textId="1747BD6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szCs w:val="22"/>
              </w:rPr>
            </w:pPr>
            <w:r>
              <w:rPr>
                <w:rFonts w:ascii="Calibri" w:hAnsi="Calibri" w:cs="Calibri"/>
                <w:color w:val="000000"/>
                <w:szCs w:val="22"/>
              </w:rPr>
              <w:t>-$134,682</w:t>
            </w:r>
          </w:p>
        </w:tc>
      </w:tr>
      <w:tr w14:paraId="1A4462D3"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7470E4" w:rsidRPr="00073AF7" w:rsidP="007470E4" w14:paraId="1F4AEC96" w14:textId="6949E56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xml:space="preserve">Annual point source CAP reporting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color w:val="000000"/>
                <w:szCs w:val="22"/>
              </w:rPr>
              <w:t>b)</w:t>
            </w:r>
          </w:p>
        </w:tc>
        <w:tc>
          <w:tcPr>
            <w:tcW w:w="1340"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18630C4A" w14:textId="4ABC188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-1.8</w:t>
            </w:r>
          </w:p>
        </w:tc>
        <w:tc>
          <w:tcPr>
            <w:tcW w:w="1220"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2ADB2589" w14:textId="542CD94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-36.2</w:t>
            </w:r>
          </w:p>
        </w:tc>
        <w:tc>
          <w:tcPr>
            <w:tcW w:w="1144"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343BCA84" w14:textId="0D4199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74D50A4F" w14:textId="62EBF9D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-38.0</w:t>
            </w:r>
          </w:p>
        </w:tc>
        <w:tc>
          <w:tcPr>
            <w:tcW w:w="1159"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2BF9692B" w14:textId="666551F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szCs w:val="22"/>
              </w:rPr>
            </w:pPr>
            <w:r>
              <w:rPr>
                <w:rFonts w:ascii="Calibri" w:hAnsi="Calibri" w:cs="Calibri"/>
                <w:szCs w:val="22"/>
              </w:rPr>
              <w:t>-$3,502</w:t>
            </w:r>
          </w:p>
        </w:tc>
      </w:tr>
      <w:tr w14:paraId="641CE114"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vAlign w:val="center"/>
            <w:hideMark/>
          </w:tcPr>
          <w:p w:rsidR="007470E4" w:rsidRPr="00073AF7" w:rsidP="007470E4" w14:paraId="4C900813" w14:textId="4546790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 xml:space="preserve">Triennial point source CAP reporting (see </w:t>
            </w:r>
            <w:r w:rsidRPr="005B3BC5" w:rsidR="005B3BC5">
              <w:rPr>
                <w:rFonts w:ascii="Calibri" w:hAnsi="Calibri" w:cs="Calibri"/>
                <w:szCs w:val="22"/>
              </w:rPr>
              <w:fldChar w:fldCharType="begin"/>
            </w:r>
            <w:r w:rsidRPr="005B3BC5" w:rsidR="005B3BC5">
              <w:rPr>
                <w:rFonts w:ascii="Calibri" w:hAnsi="Calibri" w:cs="Calibri"/>
                <w:szCs w:val="22"/>
              </w:rPr>
              <w:instrText xml:space="preserve"> REF _Ref106891332 \h  \* MERGEFORMAT </w:instrText>
            </w:r>
            <w:r w:rsidRPr="005B3BC5" w:rsidR="005B3BC5">
              <w:rPr>
                <w:rFonts w:ascii="Calibri" w:hAnsi="Calibri" w:cs="Calibri"/>
                <w:szCs w:val="22"/>
              </w:rPr>
              <w:fldChar w:fldCharType="separate"/>
            </w:r>
            <w:r w:rsidRPr="0020098E" w:rsidR="00646F0F">
              <w:t xml:space="preserve">Table </w:t>
            </w:r>
            <w:r w:rsidR="00646F0F">
              <w:rPr>
                <w:noProof/>
              </w:rPr>
              <w:t>6</w:t>
            </w:r>
            <w:r w:rsidRPr="005B3BC5" w:rsidR="005B3BC5">
              <w:rPr>
                <w:rFonts w:ascii="Calibri" w:hAnsi="Calibri" w:cs="Calibri"/>
                <w:szCs w:val="22"/>
              </w:rPr>
              <w:fldChar w:fldCharType="end"/>
            </w:r>
            <w:r>
              <w:rPr>
                <w:rFonts w:ascii="Calibri" w:hAnsi="Calibri" w:cs="Calibri"/>
                <w:color w:val="000000"/>
                <w:szCs w:val="22"/>
              </w:rPr>
              <w:t>b)</w:t>
            </w:r>
          </w:p>
        </w:tc>
        <w:tc>
          <w:tcPr>
            <w:tcW w:w="1340"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4C92AF6C" w14:textId="73A0426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-3.9</w:t>
            </w:r>
          </w:p>
        </w:tc>
        <w:tc>
          <w:tcPr>
            <w:tcW w:w="1220"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32609901" w14:textId="63F0C18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-46.3</w:t>
            </w:r>
          </w:p>
        </w:tc>
        <w:tc>
          <w:tcPr>
            <w:tcW w:w="1144"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3EDA7BE0" w14:textId="3B2A619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5ECF2946" w14:textId="40336BE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-50.2</w:t>
            </w:r>
          </w:p>
        </w:tc>
        <w:tc>
          <w:tcPr>
            <w:tcW w:w="1159" w:type="dxa"/>
            <w:tcBorders>
              <w:top w:val="nil"/>
              <w:left w:val="nil"/>
              <w:bottom w:val="single" w:sz="8" w:space="0" w:color="auto"/>
              <w:right w:val="single" w:sz="8" w:space="0" w:color="auto"/>
            </w:tcBorders>
            <w:shd w:val="clear" w:color="auto" w:fill="auto"/>
            <w:noWrap/>
            <w:vAlign w:val="center"/>
            <w:hideMark/>
          </w:tcPr>
          <w:p w:rsidR="007470E4" w:rsidRPr="00073AF7" w:rsidP="007470E4" w14:paraId="4C6F47A8" w14:textId="2F32C39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szCs w:val="22"/>
              </w:rPr>
            </w:pPr>
            <w:r>
              <w:rPr>
                <w:rFonts w:ascii="Calibri" w:hAnsi="Calibri" w:cs="Calibri"/>
                <w:szCs w:val="22"/>
              </w:rPr>
              <w:t>-$4,672</w:t>
            </w:r>
          </w:p>
        </w:tc>
      </w:tr>
      <w:tr w14:paraId="349BF7FC"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vAlign w:val="center"/>
          </w:tcPr>
          <w:p w:rsidR="0081725F" w:rsidP="0081725F" w14:paraId="4ED0C347" w14:textId="69C3674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szCs w:val="22"/>
              </w:rPr>
              <w:t xml:space="preserve">State annual and triennial voluntary point source HAP reporting with CAERS </w:t>
            </w:r>
            <w:r w:rsidR="00CF71A4">
              <w:rPr>
                <w:rFonts w:ascii="Calibri" w:hAnsi="Calibri" w:cs="Calibri"/>
                <w:szCs w:val="22"/>
              </w:rPr>
              <w:t>case</w:t>
            </w:r>
            <w:r>
              <w:rPr>
                <w:rFonts w:ascii="Calibri" w:hAnsi="Calibri" w:cs="Calibri"/>
                <w:szCs w:val="22"/>
              </w:rPr>
              <w:t xml:space="preserve"> 4</w:t>
            </w:r>
          </w:p>
        </w:tc>
        <w:tc>
          <w:tcPr>
            <w:tcW w:w="1340" w:type="dxa"/>
            <w:tcBorders>
              <w:top w:val="nil"/>
              <w:left w:val="nil"/>
              <w:bottom w:val="single" w:sz="8" w:space="0" w:color="auto"/>
              <w:right w:val="single" w:sz="8" w:space="0" w:color="auto"/>
            </w:tcBorders>
            <w:shd w:val="clear" w:color="auto" w:fill="auto"/>
            <w:noWrap/>
            <w:vAlign w:val="center"/>
          </w:tcPr>
          <w:p w:rsidR="0081725F" w:rsidP="0081725F" w14:paraId="39E06172" w14:textId="5531E26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-3.6</w:t>
            </w:r>
          </w:p>
        </w:tc>
        <w:tc>
          <w:tcPr>
            <w:tcW w:w="1220" w:type="dxa"/>
            <w:tcBorders>
              <w:top w:val="nil"/>
              <w:left w:val="nil"/>
              <w:bottom w:val="single" w:sz="8" w:space="0" w:color="auto"/>
              <w:right w:val="single" w:sz="8" w:space="0" w:color="auto"/>
            </w:tcBorders>
            <w:shd w:val="clear" w:color="auto" w:fill="auto"/>
            <w:noWrap/>
            <w:vAlign w:val="center"/>
          </w:tcPr>
          <w:p w:rsidR="0081725F" w:rsidP="0081725F" w14:paraId="70072668" w14:textId="75C810B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-41.5</w:t>
            </w:r>
          </w:p>
        </w:tc>
        <w:tc>
          <w:tcPr>
            <w:tcW w:w="1144" w:type="dxa"/>
            <w:tcBorders>
              <w:top w:val="nil"/>
              <w:left w:val="nil"/>
              <w:bottom w:val="single" w:sz="8" w:space="0" w:color="auto"/>
              <w:right w:val="single" w:sz="8" w:space="0" w:color="auto"/>
            </w:tcBorders>
            <w:shd w:val="clear" w:color="auto" w:fill="auto"/>
            <w:noWrap/>
            <w:vAlign w:val="center"/>
          </w:tcPr>
          <w:p w:rsidR="0081725F" w:rsidP="0081725F" w14:paraId="5D59555F" w14:textId="1736214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987" w:type="dxa"/>
            <w:tcBorders>
              <w:top w:val="nil"/>
              <w:left w:val="nil"/>
              <w:bottom w:val="single" w:sz="8" w:space="0" w:color="auto"/>
              <w:right w:val="single" w:sz="8" w:space="0" w:color="auto"/>
            </w:tcBorders>
            <w:shd w:val="clear" w:color="auto" w:fill="auto"/>
            <w:noWrap/>
            <w:vAlign w:val="center"/>
          </w:tcPr>
          <w:p w:rsidR="0081725F" w:rsidP="0081725F" w14:paraId="472D0570" w14:textId="12A6C6A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-45.1</w:t>
            </w:r>
          </w:p>
        </w:tc>
        <w:tc>
          <w:tcPr>
            <w:tcW w:w="1159" w:type="dxa"/>
            <w:tcBorders>
              <w:top w:val="nil"/>
              <w:left w:val="nil"/>
              <w:bottom w:val="single" w:sz="8" w:space="0" w:color="auto"/>
              <w:right w:val="single" w:sz="8" w:space="0" w:color="auto"/>
            </w:tcBorders>
            <w:shd w:val="clear" w:color="auto" w:fill="auto"/>
            <w:noWrap/>
            <w:vAlign w:val="center"/>
          </w:tcPr>
          <w:p w:rsidR="0081725F" w:rsidP="0081725F" w14:paraId="2536710E" w14:textId="231FE12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szCs w:val="22"/>
              </w:rPr>
            </w:pPr>
            <w:r>
              <w:rPr>
                <w:rFonts w:ascii="Calibri" w:hAnsi="Calibri" w:cs="Calibri"/>
                <w:szCs w:val="22"/>
              </w:rPr>
              <w:t>-$4,198</w:t>
            </w:r>
          </w:p>
        </w:tc>
      </w:tr>
      <w:tr w14:paraId="20FF5517" w14:textId="77777777" w:rsidTr="00386ECB">
        <w:tblPrEx>
          <w:tblW w:w="9440" w:type="dxa"/>
          <w:tblLook w:val="04A0"/>
        </w:tblPrEx>
        <w:trPr>
          <w:trHeight w:val="2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EE4C7E" w:rsidRPr="00073AF7" w:rsidP="00EE4C7E" w14:paraId="42F3AF6E" w14:textId="13FC8A4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Subtotal Case 4</w:t>
            </w:r>
          </w:p>
        </w:tc>
        <w:tc>
          <w:tcPr>
            <w:tcW w:w="1340"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199DEFC5" w14:textId="227E2EF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-151</w:t>
            </w:r>
          </w:p>
        </w:tc>
        <w:tc>
          <w:tcPr>
            <w:tcW w:w="1220"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5B04261E" w14:textId="79CA00F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-404</w:t>
            </w:r>
          </w:p>
        </w:tc>
        <w:tc>
          <w:tcPr>
            <w:tcW w:w="1144"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493726AA" w14:textId="4E9B18A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-1,140</w:t>
            </w:r>
          </w:p>
        </w:tc>
        <w:tc>
          <w:tcPr>
            <w:tcW w:w="987"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63D31276" w14:textId="0E797EE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-1,695</w:t>
            </w:r>
          </w:p>
        </w:tc>
        <w:tc>
          <w:tcPr>
            <w:tcW w:w="1159" w:type="dxa"/>
            <w:tcBorders>
              <w:top w:val="nil"/>
              <w:left w:val="nil"/>
              <w:bottom w:val="single" w:sz="8" w:space="0" w:color="auto"/>
              <w:right w:val="single" w:sz="8" w:space="0" w:color="auto"/>
            </w:tcBorders>
            <w:shd w:val="clear" w:color="auto" w:fill="auto"/>
            <w:noWrap/>
            <w:vAlign w:val="center"/>
            <w:hideMark/>
          </w:tcPr>
          <w:p w:rsidR="00EE4C7E" w:rsidRPr="00073AF7" w:rsidP="00EE4C7E" w14:paraId="33781661" w14:textId="54D0CE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Pr>
                <w:rFonts w:ascii="Calibri" w:hAnsi="Calibri" w:cs="Calibri"/>
                <w:b/>
                <w:bCs/>
                <w:szCs w:val="22"/>
              </w:rPr>
              <w:t>-$147,054</w:t>
            </w:r>
          </w:p>
        </w:tc>
      </w:tr>
    </w:tbl>
    <w:p w:rsidR="00073AF7" w:rsidP="00073AF7" w14:paraId="75E12AA6" w14:textId="5A2E28A6"/>
    <w:p w:rsidR="00163A88" w:rsidP="009E08D8" w14:paraId="0200EA38" w14:textId="09125D95">
      <w:r w:rsidRPr="00D83321">
        <w:t xml:space="preserve">EPA recognizes that many SLTs subcontract their point source </w:t>
      </w:r>
      <w:r w:rsidRPr="00D83321" w:rsidR="00D83321">
        <w:t xml:space="preserve">emissions </w:t>
      </w:r>
      <w:r w:rsidRPr="00D83321">
        <w:t>collection systems to a third party</w:t>
      </w:r>
      <w:r w:rsidRPr="00D83321" w:rsidR="00D83321">
        <w:t xml:space="preserve">, </w:t>
      </w:r>
      <w:r w:rsidR="00085BE3">
        <w:t>while</w:t>
      </w:r>
      <w:r w:rsidRPr="00D83321" w:rsidR="00085BE3">
        <w:t xml:space="preserve"> </w:t>
      </w:r>
      <w:r w:rsidRPr="00D83321" w:rsidR="00D83321">
        <w:t>EPA’s cost estimation approach assumes the system is operated and maintain</w:t>
      </w:r>
      <w:r w:rsidR="005F2504">
        <w:t>ed</w:t>
      </w:r>
      <w:r w:rsidRPr="00D83321" w:rsidR="00D83321">
        <w:t xml:space="preserve"> using in-house resources. H</w:t>
      </w:r>
      <w:r w:rsidRPr="00D83321">
        <w:t xml:space="preserve">owever, EPA assumes that the cost of in-house systems are higher than outsourcing </w:t>
      </w:r>
      <w:r w:rsidRPr="00D83321">
        <w:t>costs</w:t>
      </w:r>
      <w:r w:rsidRPr="00D83321" w:rsidR="00D83321">
        <w:t xml:space="preserve"> because SLTs are unlikely to </w:t>
      </w:r>
      <w:r w:rsidRPr="007464CD" w:rsidR="00D83321">
        <w:t>outsource such a system unless costs would be reduced</w:t>
      </w:r>
      <w:r w:rsidRPr="007464CD">
        <w:t xml:space="preserve">. Since EPA’s estimates </w:t>
      </w:r>
      <w:r w:rsidRPr="007464CD" w:rsidR="00D83321">
        <w:t xml:space="preserve">for data system operations and maintenance in </w:t>
      </w:r>
      <w:r w:rsidRPr="007464CD" w:rsidR="00D83321">
        <w:fldChar w:fldCharType="begin"/>
      </w:r>
      <w:r w:rsidRPr="007464CD" w:rsidR="00D83321">
        <w:instrText xml:space="preserve"> REF _Ref106891332 \h  \* MERGEFORMAT </w:instrText>
      </w:r>
      <w:r w:rsidRPr="007464CD" w:rsidR="00D83321">
        <w:fldChar w:fldCharType="separate"/>
      </w:r>
      <w:r w:rsidRPr="0020098E" w:rsidR="00646F0F">
        <w:t xml:space="preserve">Table </w:t>
      </w:r>
      <w:r w:rsidR="00646F0F">
        <w:rPr>
          <w:noProof/>
        </w:rPr>
        <w:t>6</w:t>
      </w:r>
      <w:r w:rsidRPr="007464CD" w:rsidR="00D83321">
        <w:fldChar w:fldCharType="end"/>
      </w:r>
      <w:r w:rsidRPr="007464CD" w:rsidR="00D83321">
        <w:t xml:space="preserve">a, </w:t>
      </w:r>
      <w:r w:rsidRPr="007464CD" w:rsidR="00D83321">
        <w:fldChar w:fldCharType="begin"/>
      </w:r>
      <w:r w:rsidRPr="007464CD" w:rsidR="00D83321">
        <w:instrText xml:space="preserve"> REF _Ref107481236 \h  \* MERGEFORMAT </w:instrText>
      </w:r>
      <w:r w:rsidRPr="007464CD" w:rsidR="00D83321">
        <w:fldChar w:fldCharType="separate"/>
      </w:r>
      <w:r w:rsidRPr="0020098E" w:rsidR="00646F0F">
        <w:t xml:space="preserve">Table </w:t>
      </w:r>
      <w:r w:rsidR="00646F0F">
        <w:rPr>
          <w:noProof/>
        </w:rPr>
        <w:t>8</w:t>
      </w:r>
      <w:r w:rsidRPr="007464CD" w:rsidR="00D83321">
        <w:fldChar w:fldCharType="end"/>
      </w:r>
      <w:r w:rsidRPr="007464CD" w:rsidR="00D83321">
        <w:t xml:space="preserve">a, and </w:t>
      </w:r>
      <w:r w:rsidRPr="007464CD" w:rsidR="00D83321">
        <w:fldChar w:fldCharType="begin"/>
      </w:r>
      <w:r w:rsidRPr="007464CD" w:rsidR="00D83321">
        <w:instrText xml:space="preserve"> REF _Ref107481236 \h  \* MERGEFORMAT </w:instrText>
      </w:r>
      <w:r w:rsidRPr="007464CD" w:rsidR="00D83321">
        <w:fldChar w:fldCharType="separate"/>
      </w:r>
      <w:r w:rsidRPr="0020098E" w:rsidR="00646F0F">
        <w:t xml:space="preserve">Table </w:t>
      </w:r>
      <w:r w:rsidR="00646F0F">
        <w:rPr>
          <w:noProof/>
        </w:rPr>
        <w:t>8</w:t>
      </w:r>
      <w:r w:rsidRPr="007464CD" w:rsidR="00D83321">
        <w:fldChar w:fldCharType="end"/>
      </w:r>
      <w:r w:rsidRPr="007464CD" w:rsidR="00D83321">
        <w:t xml:space="preserve">b </w:t>
      </w:r>
      <w:r w:rsidRPr="007464CD">
        <w:t>assume in-house systems only, we believe that we have not</w:t>
      </w:r>
      <w:r w:rsidRPr="00D83321">
        <w:t xml:space="preserve"> only included outsourcing costs, but may have overestimated such costs</w:t>
      </w:r>
      <w:r w:rsidR="00D83321">
        <w:t xml:space="preserve"> in this ICR.</w:t>
      </w:r>
      <w:r w:rsidR="005F558C">
        <w:t xml:space="preserve"> This approach would also potentially overestimate burden reduction associated with CAERS case 4.</w:t>
      </w:r>
    </w:p>
    <w:p w:rsidR="006E789F" w:rsidP="009E08D8" w14:paraId="34D5C849" w14:textId="08717B21"/>
    <w:p w:rsidR="00E52435" w:rsidP="00945CC7" w14:paraId="0D15BB92" w14:textId="3A7DCA9E">
      <w:pPr>
        <w:pStyle w:val="Heading2"/>
      </w:pPr>
      <w:r>
        <w:tab/>
      </w:r>
      <w:bookmarkStart w:id="23" w:name="_Ref116850397"/>
      <w:r>
        <w:t>Number of owners/operators responding</w:t>
      </w:r>
      <w:bookmarkEnd w:id="23"/>
    </w:p>
    <w:p w:rsidR="00293608" w:rsidRPr="00CA547D" w:rsidP="00E52435" w14:paraId="67E9BFDD" w14:textId="17B2CE67">
      <w:r>
        <w:t xml:space="preserve">Various provisions of this proposed rule impact certain owners/operators, and to estimate the burden that the </w:t>
      </w:r>
      <w:r w:rsidRPr="007464CD">
        <w:t xml:space="preserve">proposed requirements could have, EPA has estimated the number of </w:t>
      </w:r>
      <w:r w:rsidRPr="007464CD" w:rsidR="007B1F74">
        <w:t xml:space="preserve">facilities (not owners/operators) </w:t>
      </w:r>
      <w:r w:rsidRPr="007464CD">
        <w:t xml:space="preserve">associated with activities that would be necessary if the proposed requirements were finalized. </w:t>
      </w:r>
      <w:r w:rsidRPr="007464CD" w:rsidR="00EA34C9">
        <w:fldChar w:fldCharType="begin"/>
      </w:r>
      <w:r w:rsidRPr="007464CD" w:rsidR="00EA34C9">
        <w:instrText xml:space="preserve"> REF _Ref106373855 \h  \* MERGEFORMAT </w:instrText>
      </w:r>
      <w:r w:rsidRPr="007464CD" w:rsidR="00EA34C9">
        <w:fldChar w:fldCharType="separate"/>
      </w:r>
      <w:r w:rsidRPr="0020098E" w:rsidR="00646F0F">
        <w:t xml:space="preserve">Table </w:t>
      </w:r>
      <w:r w:rsidR="00646F0F">
        <w:rPr>
          <w:noProof/>
        </w:rPr>
        <w:t>2</w:t>
      </w:r>
      <w:r w:rsidRPr="007464CD" w:rsidR="00EA34C9">
        <w:fldChar w:fldCharType="end"/>
      </w:r>
      <w:r w:rsidRPr="007464CD" w:rsidR="00EA34C9">
        <w:t xml:space="preserve"> </w:t>
      </w:r>
      <w:r w:rsidRPr="007464CD" w:rsidR="00CA547D">
        <w:t>has</w:t>
      </w:r>
      <w:r w:rsidR="00CA547D">
        <w:t xml:space="preserve"> previously provided the </w:t>
      </w:r>
      <w:r w:rsidR="00EA34C9">
        <w:t xml:space="preserve">data flows that are covered by this ICR and the associated </w:t>
      </w:r>
      <w:r w:rsidR="00CA547D">
        <w:t>relationship</w:t>
      </w:r>
      <w:r w:rsidR="00EA34C9">
        <w:t>s</w:t>
      </w:r>
      <w:r w:rsidR="00CA547D">
        <w:t xml:space="preserve"> between state</w:t>
      </w:r>
      <w:r w:rsidR="00EA34C9">
        <w:t xml:space="preserve">s </w:t>
      </w:r>
      <w:r w:rsidR="00CA547D">
        <w:t xml:space="preserve">and owners/operators. </w:t>
      </w:r>
      <w:r w:rsidR="007B1F74">
        <w:t xml:space="preserve">It is necessary to use facilities to estimate this burden because much better information about facility counts is available than </w:t>
      </w:r>
      <w:r w:rsidR="00EA34C9">
        <w:t xml:space="preserve">counts of the </w:t>
      </w:r>
      <w:r w:rsidR="007B1F74">
        <w:t>owners/operators</w:t>
      </w:r>
      <w:r w:rsidR="00EA34C9">
        <w:t xml:space="preserve"> </w:t>
      </w:r>
      <w:r w:rsidR="00D24A1C">
        <w:t>of</w:t>
      </w:r>
      <w:r w:rsidR="007B1F74">
        <w:t xml:space="preserve"> those facilities. </w:t>
      </w:r>
      <w:r w:rsidR="00CA547D">
        <w:t>T</w:t>
      </w:r>
      <w:r w:rsidR="00D24A1C">
        <w:t>herefore, t</w:t>
      </w:r>
      <w:r w:rsidR="00CA547D">
        <w:t>o estimate burden on owners/operators during the 3-year period of this ICR, it is</w:t>
      </w:r>
      <w:r w:rsidR="007B1F74">
        <w:t xml:space="preserve"> </w:t>
      </w:r>
      <w:r w:rsidR="00CA547D">
        <w:t>necessary to estimate the following:</w:t>
      </w:r>
    </w:p>
    <w:p w:rsidR="00E52435" w:rsidP="001F0E8C" w14:paraId="4D5DA06D" w14:textId="7CBD5803">
      <w:pPr>
        <w:pStyle w:val="ListParagraph"/>
        <w:numPr>
          <w:ilvl w:val="0"/>
          <w:numId w:val="17"/>
        </w:numPr>
        <w:tabs>
          <w:tab w:val="clear" w:pos="1353"/>
          <w:tab w:val="left" w:pos="1440"/>
        </w:tabs>
      </w:pPr>
      <w:r>
        <w:t xml:space="preserve">The number of facilities </w:t>
      </w:r>
      <w:r w:rsidR="00EA34C9">
        <w:t xml:space="preserve">that </w:t>
      </w:r>
      <w:r>
        <w:t xml:space="preserve">would be required to report </w:t>
      </w:r>
      <w:r w:rsidR="006D3CE4">
        <w:t xml:space="preserve">annual total </w:t>
      </w:r>
      <w:r>
        <w:t>CAPs to SLTs under these proposed requirements</w:t>
      </w:r>
      <w:r w:rsidR="007D7026">
        <w:t>;</w:t>
      </w:r>
      <w:r w:rsidR="00795D1E">
        <w:t xml:space="preserve"> and</w:t>
      </w:r>
    </w:p>
    <w:p w:rsidR="00795D1E" w:rsidP="00F17B08" w14:paraId="51E33373" w14:textId="28EE8F44">
      <w:pPr>
        <w:pStyle w:val="ListParagraph"/>
        <w:numPr>
          <w:ilvl w:val="0"/>
          <w:numId w:val="17"/>
        </w:numPr>
        <w:tabs>
          <w:tab w:val="clear" w:pos="1353"/>
          <w:tab w:val="left" w:pos="1440"/>
        </w:tabs>
      </w:pPr>
      <w:r>
        <w:t xml:space="preserve">Reporting </w:t>
      </w:r>
      <w:r w:rsidR="00D530F4">
        <w:t xml:space="preserve">emissions data </w:t>
      </w:r>
      <w:r>
        <w:t>from facilities to EPA:</w:t>
      </w:r>
    </w:p>
    <w:p w:rsidR="007B1F74" w:rsidP="00F17B08" w14:paraId="7212E4AD" w14:textId="3D6AB53F">
      <w:pPr>
        <w:pStyle w:val="ListParagraph"/>
        <w:numPr>
          <w:ilvl w:val="1"/>
          <w:numId w:val="17"/>
        </w:numPr>
        <w:tabs>
          <w:tab w:val="clear" w:pos="1353"/>
          <w:tab w:val="left" w:pos="1440"/>
        </w:tabs>
      </w:pPr>
      <w:r>
        <w:t xml:space="preserve">The number of facilities </w:t>
      </w:r>
      <w:r w:rsidR="00F62304">
        <w:t xml:space="preserve">outside states’ implementation planning authority </w:t>
      </w:r>
      <w:r>
        <w:t>that would be required to report CAP and HAP emissions under these proposed requirements (in 202</w:t>
      </w:r>
      <w:r w:rsidR="007D7026">
        <w:t>6);</w:t>
      </w:r>
    </w:p>
    <w:p w:rsidR="007D7026" w:rsidP="00F17B08" w14:paraId="4869874F" w14:textId="6C7D9635">
      <w:pPr>
        <w:pStyle w:val="ListParagraph"/>
        <w:numPr>
          <w:ilvl w:val="1"/>
          <w:numId w:val="17"/>
        </w:numPr>
        <w:tabs>
          <w:tab w:val="clear" w:pos="1353"/>
          <w:tab w:val="left" w:pos="1440"/>
        </w:tabs>
      </w:pPr>
      <w:r>
        <w:t>The number of facilities that would participate in a one-time collection from owners/operators for data related to High Electricity Demand Day (HEDD) events</w:t>
      </w:r>
      <w:r w:rsidR="00EA34C9">
        <w:t xml:space="preserve"> under these proposed requirements</w:t>
      </w:r>
      <w:r>
        <w:t>;</w:t>
      </w:r>
    </w:p>
    <w:p w:rsidR="007D7026" w:rsidP="00F17B08" w14:paraId="230E1FB0" w14:textId="28A71A0D">
      <w:pPr>
        <w:pStyle w:val="ListParagraph"/>
        <w:numPr>
          <w:ilvl w:val="1"/>
          <w:numId w:val="17"/>
        </w:numPr>
        <w:tabs>
          <w:tab w:val="clear" w:pos="1353"/>
          <w:tab w:val="left" w:pos="1440"/>
        </w:tabs>
      </w:pPr>
      <w:r>
        <w:t xml:space="preserve">The number of rail companies from which EPA </w:t>
      </w:r>
      <w:r w:rsidR="00EA34C9">
        <w:t xml:space="preserve">would continue to </w:t>
      </w:r>
      <w:r>
        <w:t>collect</w:t>
      </w:r>
      <w:r w:rsidR="00EA34C9">
        <w:t xml:space="preserve"> </w:t>
      </w:r>
      <w:r>
        <w:t>data about rail yards</w:t>
      </w:r>
      <w:r w:rsidR="00EA34C9">
        <w:t xml:space="preserve"> on a voluntary basis</w:t>
      </w:r>
      <w:r>
        <w:t xml:space="preserve">; </w:t>
      </w:r>
      <w:r w:rsidR="00795D1E">
        <w:t xml:space="preserve">and </w:t>
      </w:r>
    </w:p>
    <w:p w:rsidR="007D7026" w:rsidP="00F17B08" w14:paraId="321669A3" w14:textId="4D5AE10B">
      <w:pPr>
        <w:pStyle w:val="ListParagraph"/>
        <w:numPr>
          <w:ilvl w:val="1"/>
          <w:numId w:val="17"/>
        </w:numPr>
        <w:tabs>
          <w:tab w:val="clear" w:pos="1353"/>
          <w:tab w:val="left" w:pos="1440"/>
        </w:tabs>
      </w:pPr>
      <w:r>
        <w:t xml:space="preserve">The number of </w:t>
      </w:r>
      <w:r w:rsidR="00EA34C9">
        <w:t xml:space="preserve">source test </w:t>
      </w:r>
      <w:r w:rsidR="00795D1E">
        <w:t xml:space="preserve">data </w:t>
      </w:r>
      <w:r w:rsidR="006D3CE4">
        <w:t>reports that owners/operators would submit</w:t>
      </w:r>
      <w:r>
        <w:t xml:space="preserve"> to EPA under these proposed requirements</w:t>
      </w:r>
      <w:r w:rsidR="00795D1E">
        <w:t>.</w:t>
      </w:r>
    </w:p>
    <w:p w:rsidR="00CA547D" w:rsidP="00BE1DB2" w14:paraId="603C363B" w14:textId="547CE177">
      <w:pPr>
        <w:pStyle w:val="ListParagraph"/>
      </w:pPr>
    </w:p>
    <w:p w:rsidR="00CA547D" w:rsidP="00CA547D" w14:paraId="0784F21B" w14:textId="13B7E57F">
      <w:r>
        <w:t>In addition</w:t>
      </w:r>
      <w:r w:rsidR="007D7026">
        <w:t xml:space="preserve"> to these estimates</w:t>
      </w:r>
      <w:r>
        <w:t xml:space="preserve">, </w:t>
      </w:r>
      <w:r w:rsidR="0027358E">
        <w:t>Appendix A</w:t>
      </w:r>
      <w:r w:rsidR="00795D1E">
        <w:t xml:space="preserve"> includes additional estimated numbers of facilities associated with proposed AERR provisions that would impact burden in 2027 and beyond. </w:t>
      </w:r>
    </w:p>
    <w:p w:rsidR="00CA547D" w:rsidP="00CA547D" w14:paraId="488ED2BD" w14:textId="2A377886"/>
    <w:p w:rsidR="00CA547D" w:rsidP="007D7026" w14:paraId="2D177AAE" w14:textId="303A63D5">
      <w:pPr>
        <w:pStyle w:val="Heading3"/>
      </w:pPr>
      <w:bookmarkStart w:id="24" w:name="_Ref125747016"/>
      <w:r>
        <w:t>Estimate</w:t>
      </w:r>
      <w:r w:rsidR="00BE1DB2">
        <w:t>d number</w:t>
      </w:r>
      <w:r>
        <w:t xml:space="preserve"> of facilities </w:t>
      </w:r>
      <w:r w:rsidR="00D530F4">
        <w:t>reporting emissions data to SLTs</w:t>
      </w:r>
      <w:bookmarkEnd w:id="24"/>
    </w:p>
    <w:p w:rsidR="0031613C" w:rsidP="007D7026" w14:paraId="28F1DF0D" w14:textId="10EF77BA">
      <w:r>
        <w:t xml:space="preserve">To determine the number of facilities </w:t>
      </w:r>
      <w:r w:rsidR="00BB3BC4">
        <w:t xml:space="preserve">required to report </w:t>
      </w:r>
      <w:r>
        <w:t>to SLTs</w:t>
      </w:r>
      <w:r w:rsidR="00BB3BC4">
        <w:t xml:space="preserve"> for the NEI</w:t>
      </w:r>
      <w:r>
        <w:t xml:space="preserve">, </w:t>
      </w:r>
      <w:r w:rsidR="00204E7E">
        <w:t>EPA</w:t>
      </w:r>
      <w:r>
        <w:t xml:space="preserve"> has used the existing reporting information from SLTs to </w:t>
      </w:r>
      <w:r w:rsidR="00204E7E">
        <w:t>EPA</w:t>
      </w:r>
      <w:r>
        <w:t xml:space="preserve"> and the estimated number of </w:t>
      </w:r>
      <w:r w:rsidR="007B5280">
        <w:t>Major Title V</w:t>
      </w:r>
      <w:r>
        <w:t xml:space="preserve"> sources from the previous </w:t>
      </w:r>
      <w:r w:rsidR="00D24A1C">
        <w:t xml:space="preserve">AERR </w:t>
      </w:r>
      <w:r>
        <w:t>ICR</w:t>
      </w:r>
      <w:r w:rsidR="0088735F">
        <w:t>.</w:t>
      </w:r>
      <w:r w:rsidR="00BB3BC4">
        <w:t xml:space="preserve"> </w:t>
      </w:r>
      <w:r>
        <w:t xml:space="preserve">The design of the AERR </w:t>
      </w:r>
      <w:r w:rsidR="007B5280">
        <w:t xml:space="preserve">point source reporting requirements </w:t>
      </w:r>
      <w:r>
        <w:t>is that the facilities that are required to report are the</w:t>
      </w:r>
      <w:r w:rsidR="007B5280">
        <w:t>se Title V Major</w:t>
      </w:r>
      <w:r>
        <w:t xml:space="preserve"> sources plus any additional non-major sources that meet the 0.5 </w:t>
      </w:r>
      <w:r w:rsidR="00D24A1C">
        <w:t>tpy</w:t>
      </w:r>
      <w:r>
        <w:t xml:space="preserve"> actual emissions threshold for </w:t>
      </w:r>
      <w:r w:rsidR="00DD1628">
        <w:t>Pb</w:t>
      </w:r>
      <w:r>
        <w:t xml:space="preserve"> emissions.</w:t>
      </w:r>
    </w:p>
    <w:p w:rsidR="0031613C" w:rsidP="007D7026" w14:paraId="38BD6B59" w14:textId="77777777"/>
    <w:p w:rsidR="00E32267" w:rsidP="007D7026" w14:paraId="113CF621" w14:textId="6AA14CFA">
      <w:r>
        <w:t xml:space="preserve">The total number of major sources </w:t>
      </w:r>
      <w:r w:rsidR="0031613C">
        <w:t xml:space="preserve">required to report to states under this proposed action </w:t>
      </w:r>
      <w:r w:rsidR="00480D5A">
        <w:t>has been adjusted</w:t>
      </w:r>
      <w:r w:rsidR="00277B82">
        <w:t xml:space="preserve"> from that </w:t>
      </w:r>
      <w:r>
        <w:t xml:space="preserve">used </w:t>
      </w:r>
      <w:r w:rsidR="00277B82">
        <w:t xml:space="preserve">in the </w:t>
      </w:r>
      <w:r>
        <w:t>previous</w:t>
      </w:r>
      <w:r w:rsidR="00277B82">
        <w:t xml:space="preserve"> ICR: </w:t>
      </w:r>
      <w:r w:rsidR="00084302">
        <w:t>13,420</w:t>
      </w:r>
      <w:r w:rsidR="007B5280">
        <w:t>,</w:t>
      </w:r>
      <w:r w:rsidR="00277B82">
        <w:t xml:space="preserve"> which </w:t>
      </w:r>
      <w:r w:rsidR="00084302">
        <w:t xml:space="preserve">includes </w:t>
      </w:r>
      <w:r>
        <w:t>all major</w:t>
      </w:r>
      <w:r>
        <w:t xml:space="preserve"> </w:t>
      </w:r>
      <w:r w:rsidR="00084302">
        <w:t xml:space="preserve">sources </w:t>
      </w:r>
      <w:r w:rsidR="00037984">
        <w:t xml:space="preserve">available from the </w:t>
      </w:r>
      <w:r w:rsidR="00037984">
        <w:t xml:space="preserve">EPA Enforcement and Compliance History Online (ECHO) web application, </w:t>
      </w:r>
      <w:r w:rsidR="007B5280">
        <w:t>plus an addition</w:t>
      </w:r>
      <w:r w:rsidR="00D24A1C">
        <w:t>al</w:t>
      </w:r>
      <w:r w:rsidR="007B5280">
        <w:t xml:space="preserve"> 12 sources that have 0.5 </w:t>
      </w:r>
      <w:r w:rsidR="00D24A1C">
        <w:t>tpy</w:t>
      </w:r>
      <w:r w:rsidR="007B5280">
        <w:t xml:space="preserve"> of </w:t>
      </w:r>
      <w:r w:rsidR="00DD1628">
        <w:t>Pb</w:t>
      </w:r>
      <w:r w:rsidR="007B5280">
        <w:t xml:space="preserve"> or more and are not otherwise identified as Major Title V sources</w:t>
      </w:r>
      <w:r w:rsidR="00277B82">
        <w:t xml:space="preserve">. Since this number was developed </w:t>
      </w:r>
      <w:r w:rsidR="007B5280">
        <w:t>several years ago</w:t>
      </w:r>
      <w:r w:rsidR="00277B82">
        <w:t>, and the total number of major sources tends to decrease over time, we believe this number is conservative. Since the ECHO database</w:t>
      </w:r>
      <w:r>
        <w:t xml:space="preserve"> does not indicate whether the facility is a major source due to its CAP, HAP </w:t>
      </w:r>
      <w:r w:rsidR="00D24A1C">
        <w:t>(</w:t>
      </w:r>
      <w:r>
        <w:t>or both</w:t>
      </w:r>
      <w:r w:rsidR="00D24A1C">
        <w:t>)</w:t>
      </w:r>
      <w:r w:rsidR="00277B82">
        <w:t xml:space="preserve">, </w:t>
      </w:r>
      <w:r w:rsidR="006D3CE4">
        <w:t>EPA has</w:t>
      </w:r>
      <w:r w:rsidR="00277B82">
        <w:t xml:space="preserve"> </w:t>
      </w:r>
      <w:r>
        <w:t xml:space="preserve">further refined </w:t>
      </w:r>
      <w:r w:rsidR="00277B82">
        <w:t xml:space="preserve">this count </w:t>
      </w:r>
      <w:r>
        <w:t xml:space="preserve">to split out the CAP major (including CAP/HAP major) facilities from those that are only HAP major sources, which allows for better quantification of burden for the mandatory requirements versus burden for reporting </w:t>
      </w:r>
      <w:r w:rsidR="00480D5A">
        <w:t xml:space="preserve">that </w:t>
      </w:r>
      <w:r>
        <w:t xml:space="preserve">SLTs do voluntarily. </w:t>
      </w:r>
      <w:r w:rsidR="00480D5A">
        <w:t xml:space="preserve">Any facility that is not a CAP major source but is reported by the state is </w:t>
      </w:r>
      <w:r w:rsidR="00D24A1C">
        <w:t xml:space="preserve">considered </w:t>
      </w:r>
      <w:r w:rsidR="00480D5A">
        <w:t>a voluntarily reported source.</w:t>
      </w:r>
    </w:p>
    <w:p w:rsidR="00E32267" w:rsidP="007D7026" w14:paraId="27607149" w14:textId="77777777"/>
    <w:p w:rsidR="007D7026" w:rsidRPr="00775B88" w:rsidP="007D7026" w14:paraId="3252B03D" w14:textId="21CDEE3B">
      <w:r>
        <w:t xml:space="preserve">To calculate the number of CAP major facilities, </w:t>
      </w:r>
      <w:r w:rsidR="00204E7E">
        <w:t>EPA</w:t>
      </w:r>
      <w:r>
        <w:t xml:space="preserve"> performed additional analysis using the 2017 NEI</w:t>
      </w:r>
      <w:r w:rsidR="00C1193C">
        <w:t>,</w:t>
      </w:r>
      <w:r>
        <w:rPr>
          <w:rStyle w:val="FootnoteReference"/>
          <w:vertAlign w:val="superscript"/>
        </w:rPr>
        <w:footnoteReference w:id="23"/>
      </w:r>
      <w:r>
        <w:t xml:space="preserve"> </w:t>
      </w:r>
      <w:r w:rsidRPr="005D3DB6" w:rsidR="005D3DB6">
        <w:t>Integrated Compliance Information System for Air</w:t>
      </w:r>
      <w:r w:rsidR="005D3DB6">
        <w:t xml:space="preserve"> (</w:t>
      </w:r>
      <w:r>
        <w:t>ICIS</w:t>
      </w:r>
      <w:r w:rsidR="00037984">
        <w:t>-AIR</w:t>
      </w:r>
      <w:r w:rsidR="005D3DB6">
        <w:t>)</w:t>
      </w:r>
      <w:r>
        <w:t>,</w:t>
      </w:r>
      <w:r>
        <w:rPr>
          <w:rStyle w:val="FootnoteReference"/>
          <w:vertAlign w:val="superscript"/>
        </w:rPr>
        <w:footnoteReference w:id="24"/>
      </w:r>
      <w:r>
        <w:t xml:space="preserve"> and a compilation of </w:t>
      </w:r>
      <w:r w:rsidR="005D3DB6">
        <w:t>Residual Risk and Technology Review (</w:t>
      </w:r>
      <w:r>
        <w:t>RTR</w:t>
      </w:r>
      <w:r w:rsidR="005D3DB6">
        <w:t>)</w:t>
      </w:r>
      <w:r>
        <w:t xml:space="preserve"> data.</w:t>
      </w:r>
      <w:r w:rsidR="005D3DB6">
        <w:t xml:space="preserve"> </w:t>
      </w:r>
      <w:r w:rsidR="00775B88">
        <w:t xml:space="preserve">Both designations of major sources as well as actual emissions in these databases were used. </w:t>
      </w:r>
      <w:r w:rsidR="00571420">
        <w:t>T</w:t>
      </w:r>
      <w:r>
        <w:t xml:space="preserve">his approach further identified each </w:t>
      </w:r>
      <w:r w:rsidR="00775B88">
        <w:t>NEI facility</w:t>
      </w:r>
      <w:r>
        <w:t xml:space="preserve"> </w:t>
      </w:r>
      <w:r w:rsidR="0020714B">
        <w:t>as</w:t>
      </w:r>
      <w:r>
        <w:t xml:space="preserve"> best as possible regarding whether it is a CAP major, CAP/HAP major, or HAP major source. More information on this analysis is available in </w:t>
      </w:r>
      <w:r w:rsidR="003543E3">
        <w:t xml:space="preserve">Section </w:t>
      </w:r>
      <w:r w:rsidR="00035B3C">
        <w:t>2.1</w:t>
      </w:r>
      <w:r w:rsidR="003543E3">
        <w:t xml:space="preserve"> of the Technical Support Document (TSD) for this proposal</w:t>
      </w:r>
      <w:r w:rsidRPr="003543E3">
        <w:t>.</w:t>
      </w:r>
      <w:r>
        <w:rPr>
          <w:rStyle w:val="FootnoteReference"/>
          <w:vertAlign w:val="superscript"/>
        </w:rPr>
        <w:footnoteReference w:id="25"/>
      </w:r>
      <w:r>
        <w:t xml:space="preserve"> This approach identified </w:t>
      </w:r>
      <w:r w:rsidR="00775B88">
        <w:t xml:space="preserve">10,831 major sources, with 9,991 of these either CAP major or CAP/HAP major. To estimate the total number of CAP major for purposes of this ICR, </w:t>
      </w:r>
      <w:r w:rsidR="00204E7E">
        <w:t>EPA</w:t>
      </w:r>
      <w:r w:rsidR="00775B88">
        <w:t xml:space="preserve"> multiplied the 13,420 total major sources by the ratio of the 9,991 CAP major to the total 10,831 major. This approach resulted in an estimated 12,379 CAP major sources, which is the number used for this analysis for facilities that would be </w:t>
      </w:r>
      <w:r w:rsidR="00775B88">
        <w:rPr>
          <w:i/>
          <w:iCs/>
        </w:rPr>
        <w:t>required</w:t>
      </w:r>
      <w:r w:rsidR="00775B88">
        <w:t xml:space="preserve"> to report CAPs to SLTs under the proposed</w:t>
      </w:r>
      <w:r w:rsidR="00086175">
        <w:t xml:space="preserve"> rule</w:t>
      </w:r>
      <w:r w:rsidR="00BB3BC4">
        <w:t>.</w:t>
      </w:r>
      <w:r w:rsidR="00775B88">
        <w:t xml:space="preserve"> </w:t>
      </w:r>
    </w:p>
    <w:p w:rsidR="00775B88" w:rsidP="007D7026" w14:paraId="686E191B" w14:textId="5D3A7F33"/>
    <w:p w:rsidR="00897E47" w:rsidP="007D7026" w14:paraId="4241C0C9" w14:textId="74CA0E5F">
      <w:r>
        <w:t xml:space="preserve">The proposed AERR would continue to require fewer facilities to report for the 2024 and 2025 inventory years, using higher PTE emissions reporting thresholds and excluding </w:t>
      </w:r>
      <w:r w:rsidR="00DD1628">
        <w:t>Pb</w:t>
      </w:r>
      <w:r w:rsidR="00465947">
        <w:t xml:space="preserve"> from the thresholds that require states to report point sources in those years</w:t>
      </w:r>
      <w:r w:rsidR="001110F5">
        <w:t>. The EPA</w:t>
      </w:r>
      <w:r>
        <w:t xml:space="preserve"> has chosen to use the same number of interim year facilities as was used in the previous ICR, which is 2,510 facilities. This</w:t>
      </w:r>
      <w:r w:rsidR="00F560DA">
        <w:t xml:space="preserve"> origin of this</w:t>
      </w:r>
      <w:r>
        <w:t xml:space="preserve"> number </w:t>
      </w:r>
      <w:r w:rsidR="00F560DA">
        <w:t xml:space="preserve">is described in Section </w:t>
      </w:r>
      <w:r w:rsidR="00F560DA">
        <w:fldChar w:fldCharType="begin"/>
      </w:r>
      <w:r w:rsidR="00F560DA">
        <w:instrText xml:space="preserve"> REF _Ref106896318 \r \h </w:instrText>
      </w:r>
      <w:r w:rsidR="00F560DA">
        <w:fldChar w:fldCharType="separate"/>
      </w:r>
      <w:r w:rsidR="00646F0F">
        <w:t>12.3.2</w:t>
      </w:r>
      <w:r w:rsidR="00F560DA">
        <w:fldChar w:fldCharType="end"/>
      </w:r>
      <w:r>
        <w:t xml:space="preserve">. Across the </w:t>
      </w:r>
      <w:r w:rsidR="00404180">
        <w:t>3</w:t>
      </w:r>
      <w:r>
        <w:t xml:space="preserve"> years covered by this ICR, the average number of facilities per year is (2 x 2,510 + 12,379) / 3 = 5,800.</w:t>
      </w:r>
    </w:p>
    <w:p w:rsidR="00897E47" w:rsidP="007D7026" w14:paraId="2A359A2D" w14:textId="77777777"/>
    <w:p w:rsidR="007D7026" w:rsidP="007D7026" w14:paraId="1180EB5E" w14:textId="06E58349">
      <w:pPr>
        <w:pStyle w:val="Heading3"/>
      </w:pPr>
      <w:r>
        <w:t>Estimate</w:t>
      </w:r>
      <w:r w:rsidR="00BE1DB2">
        <w:t>d</w:t>
      </w:r>
      <w:r>
        <w:t xml:space="preserve"> </w:t>
      </w:r>
      <w:r w:rsidR="00BE1DB2">
        <w:t xml:space="preserve">number </w:t>
      </w:r>
      <w:r>
        <w:t>of facilities reporting emissions data to EPA</w:t>
      </w:r>
      <w:r>
        <w:t xml:space="preserve"> </w:t>
      </w:r>
    </w:p>
    <w:p w:rsidR="00C84FD7" w:rsidP="00E52435" w14:paraId="5B5F6BE3" w14:textId="285EEBC6">
      <w:r>
        <w:t xml:space="preserve">EPA estimated 4 values to quantify the possible reporting directly to EPA for the 3-year period covered by this ICR: (1) the number of facilities within Indian </w:t>
      </w:r>
      <w:r w:rsidR="00404180">
        <w:t>c</w:t>
      </w:r>
      <w:r>
        <w:t>ountry potentially subject to a revised AERR, (2)</w:t>
      </w:r>
      <w:r>
        <w:t> </w:t>
      </w:r>
      <w:r>
        <w:t>the number of facilities that would participate in a one-time collection related to HEDD events, (3)</w:t>
      </w:r>
      <w:r w:rsidR="00BE1DB2">
        <w:t> </w:t>
      </w:r>
      <w:r>
        <w:t>the number of rail companies, and (4) the number of source test reports that EPA would expect to receive under these proposed requirements. The paragraphs below explain each of these separately.</w:t>
      </w:r>
    </w:p>
    <w:p w:rsidR="00C84FD7" w:rsidP="00E52435" w14:paraId="276EDD9E" w14:textId="77777777"/>
    <w:p w:rsidR="00D530F4" w:rsidP="00E52435" w14:paraId="691BCB73" w14:textId="414333AE">
      <w:r>
        <w:t xml:space="preserve">To estimate the number of facilities within Indian </w:t>
      </w:r>
      <w:r w:rsidR="00404180">
        <w:t>c</w:t>
      </w:r>
      <w:r>
        <w:t xml:space="preserve">ountry potentially subject to a revised AERR, </w:t>
      </w:r>
      <w:r w:rsidR="00204E7E">
        <w:t>EPA</w:t>
      </w:r>
      <w:r>
        <w:t xml:space="preserve"> identified 85 major-source permits for facilities within Indian </w:t>
      </w:r>
      <w:r w:rsidR="00404180">
        <w:t>c</w:t>
      </w:r>
      <w:r>
        <w:t>ountry from EPA databases, which reflects the complete list of such major sources. To estimate the number of non-major sources</w:t>
      </w:r>
      <w:r w:rsidR="00C84FD7">
        <w:t xml:space="preserve"> that could be potentially subject</w:t>
      </w:r>
      <w:r>
        <w:t xml:space="preserve">, </w:t>
      </w:r>
      <w:r w:rsidR="00204E7E">
        <w:t>EPA</w:t>
      </w:r>
      <w:r>
        <w:t xml:space="preserve"> </w:t>
      </w:r>
      <w:r w:rsidR="00C84FD7">
        <w:t xml:space="preserve">multiplied the count of 85 by the estimated number of non-major facilities expected nationally </w:t>
      </w:r>
      <w:r w:rsidR="00545F59">
        <w:t xml:space="preserve">starting in 2027 </w:t>
      </w:r>
      <w:r w:rsidR="00C84FD7">
        <w:t>(</w:t>
      </w:r>
      <w:r w:rsidR="00A52F3A">
        <w:t>115,835</w:t>
      </w:r>
      <w:r w:rsidR="00C84FD7">
        <w:t xml:space="preserve">) and divided by the total number of major facilities expected nationally (13,420). The calculation 85 x </w:t>
      </w:r>
      <w:r w:rsidR="00A52F3A">
        <w:t>115,835</w:t>
      </w:r>
      <w:r w:rsidR="00C84FD7">
        <w:t>/ 13,420 yields an estimated 7</w:t>
      </w:r>
      <w:r w:rsidR="00A52F3A">
        <w:t>33</w:t>
      </w:r>
      <w:r w:rsidR="00C84FD7">
        <w:t xml:space="preserve"> facilities, with a resulting total of </w:t>
      </w:r>
      <w:r w:rsidR="00545F59">
        <w:t>81</w:t>
      </w:r>
      <w:r w:rsidR="00A52F3A">
        <w:t>9</w:t>
      </w:r>
      <w:r w:rsidR="00C84FD7">
        <w:t xml:space="preserve"> facilities.</w:t>
      </w:r>
    </w:p>
    <w:p w:rsidR="00C84FD7" w:rsidP="00E52435" w14:paraId="44EFA2C8" w14:textId="38449AAA"/>
    <w:p w:rsidR="000376FA" w:rsidP="000376FA" w14:paraId="70E50528" w14:textId="5421A207">
      <w:pPr>
        <w:rPr>
          <w:shd w:val="clear" w:color="auto" w:fill="FFFFFF"/>
        </w:rPr>
      </w:pPr>
      <w:r>
        <w:rPr>
          <w:shd w:val="clear" w:color="auto" w:fill="FFFFFF"/>
        </w:rPr>
        <w:t xml:space="preserve">As described in the preamble for the proposed AERR revisions, EPA proposes a </w:t>
      </w:r>
      <w:r>
        <w:t xml:space="preserve">“One-time Collection Option” that would require </w:t>
      </w:r>
      <w:r w:rsidRPr="00DB4C98">
        <w:t>Curtailment Service Providers</w:t>
      </w:r>
      <w:r>
        <w:t xml:space="preserve"> (CSPs) and other operators or aggregators of small generating units to report certain data to EPA.</w:t>
      </w:r>
      <w:r w:rsidRPr="000376FA">
        <w:rPr>
          <w:shd w:val="clear" w:color="auto" w:fill="FFFFFF"/>
        </w:rPr>
        <w:t xml:space="preserve"> </w:t>
      </w:r>
      <w:r w:rsidRPr="00DB4C98">
        <w:rPr>
          <w:shd w:val="clear" w:color="auto" w:fill="FFFFFF"/>
        </w:rPr>
        <w:t xml:space="preserve">CSPs are entities that </w:t>
      </w:r>
      <w:r w:rsidRPr="00DB4C98">
        <w:t xml:space="preserve">administer </w:t>
      </w:r>
      <w:r>
        <w:t xml:space="preserve">electricity </w:t>
      </w:r>
      <w:r w:rsidRPr="00DB4C98">
        <w:t>demand response programs</w:t>
      </w:r>
      <w:r w:rsidRPr="00DB4C98">
        <w:rPr>
          <w:shd w:val="clear" w:color="auto" w:fill="FFFFFF"/>
        </w:rPr>
        <w:t xml:space="preserve"> </w:t>
      </w:r>
      <w:r>
        <w:rPr>
          <w:shd w:val="clear" w:color="auto" w:fill="FFFFFF"/>
        </w:rPr>
        <w:t xml:space="preserve">by </w:t>
      </w:r>
      <w:r w:rsidRPr="00DB4C98">
        <w:rPr>
          <w:shd w:val="clear" w:color="auto" w:fill="FFFFFF"/>
        </w:rPr>
        <w:t>work</w:t>
      </w:r>
      <w:r>
        <w:rPr>
          <w:shd w:val="clear" w:color="auto" w:fill="FFFFFF"/>
        </w:rPr>
        <w:t>ing</w:t>
      </w:r>
      <w:r w:rsidRPr="00DB4C98">
        <w:rPr>
          <w:shd w:val="clear" w:color="auto" w:fill="FFFFFF"/>
        </w:rPr>
        <w:t xml:space="preserve"> with companies that use and generate electricity to decrease electricity demand by deploying capacity from smaller units like </w:t>
      </w:r>
      <w:r>
        <w:rPr>
          <w:shd w:val="clear" w:color="auto" w:fill="FFFFFF"/>
        </w:rPr>
        <w:t>backup generators</w:t>
      </w:r>
      <w:r w:rsidRPr="00DB4C98">
        <w:rPr>
          <w:shd w:val="clear" w:color="auto" w:fill="FFFFFF"/>
        </w:rPr>
        <w:t xml:space="preserve"> that can reduce demand from the </w:t>
      </w:r>
      <w:r>
        <w:rPr>
          <w:shd w:val="clear" w:color="auto" w:fill="FFFFFF"/>
        </w:rPr>
        <w:t xml:space="preserve">electricity </w:t>
      </w:r>
      <w:r w:rsidRPr="00DB4C98">
        <w:rPr>
          <w:shd w:val="clear" w:color="auto" w:fill="FFFFFF"/>
        </w:rPr>
        <w:t>grid.</w:t>
      </w:r>
      <w:r>
        <w:rPr>
          <w:shd w:val="clear" w:color="auto" w:fill="FFFFFF"/>
        </w:rPr>
        <w:t xml:space="preserve"> Reducing demand from the grid can involve deploying temporary electricity generation unit</w:t>
      </w:r>
      <w:r w:rsidR="00CA09DC">
        <w:rPr>
          <w:shd w:val="clear" w:color="auto" w:fill="FFFFFF"/>
        </w:rPr>
        <w:t>s that cause emissions and can impact air quality.</w:t>
      </w:r>
    </w:p>
    <w:p w:rsidR="000376FA" w:rsidP="000376FA" w14:paraId="339BEFC5" w14:textId="77777777"/>
    <w:p w:rsidR="00CA09DC" w:rsidP="000376FA" w14:paraId="42758438" w14:textId="1A8FA664">
      <w:r>
        <w:t>To estimate burden for the One-time Collection Option, EPA estimate</w:t>
      </w:r>
      <w:r w:rsidR="0042055C">
        <w:t>d</w:t>
      </w:r>
      <w:r>
        <w:t xml:space="preserve"> the number of </w:t>
      </w:r>
      <w:r>
        <w:t>CSPs and similar entities</w:t>
      </w:r>
      <w:r>
        <w:t xml:space="preserve">. To do this, </w:t>
      </w:r>
      <w:r w:rsidR="00C84FD7">
        <w:t xml:space="preserve">EPA </w:t>
      </w:r>
      <w:r>
        <w:t xml:space="preserve">first contacted the Federal Energy Regulatory Commission (FERC) to determine what data are available about the number of CSPs in the U.S. </w:t>
      </w:r>
      <w:r>
        <w:t>A FERC representative indicated that there is no national database of such entities. The Energy Information Administration does not require CSPs to file with FERC and the last voluntary survey available was in 2012 and</w:t>
      </w:r>
      <w:r w:rsidR="009B42E9">
        <w:t>,</w:t>
      </w:r>
      <w:r>
        <w:t xml:space="preserve"> therefore</w:t>
      </w:r>
      <w:r w:rsidR="009B42E9">
        <w:t>,</w:t>
      </w:r>
      <w:r>
        <w:t xml:space="preserve"> very outdated. FERC staff indicated that the best available data could be found from online lists for each of the regional transmission organizations (RTOs)</w:t>
      </w:r>
      <w:r w:rsidR="000E3643">
        <w:t xml:space="preserve"> and </w:t>
      </w:r>
      <w:r w:rsidRPr="000E3643" w:rsidR="000E3643">
        <w:t>Independent System Operators (ISO)</w:t>
      </w:r>
      <w:r>
        <w:t>.</w:t>
      </w:r>
      <w:r w:rsidRPr="00153505">
        <w:t xml:space="preserve"> </w:t>
      </w:r>
      <w:r w:rsidRPr="00153505" w:rsidR="000E3643">
        <w:fldChar w:fldCharType="begin"/>
      </w:r>
      <w:r w:rsidRPr="004579B3" w:rsidR="000E3643">
        <w:instrText xml:space="preserve"> REF _Ref114768710 \h  \* MERGEFORMAT </w:instrText>
      </w:r>
      <w:r w:rsidRPr="00153505" w:rsidR="000E3643">
        <w:fldChar w:fldCharType="separate"/>
      </w:r>
      <w:r w:rsidRPr="000E23BC" w:rsidR="00646F0F">
        <w:t xml:space="preserve">Figure </w:t>
      </w:r>
      <w:r w:rsidR="00646F0F">
        <w:rPr>
          <w:noProof/>
        </w:rPr>
        <w:t>2</w:t>
      </w:r>
      <w:r w:rsidRPr="00153505" w:rsidR="000E3643">
        <w:fldChar w:fldCharType="end"/>
      </w:r>
      <w:r>
        <w:t xml:space="preserve"> below provides a map of the RTO</w:t>
      </w:r>
      <w:r w:rsidR="000E3643">
        <w:t>/ISOs</w:t>
      </w:r>
      <w:r>
        <w:t xml:space="preserve">. </w:t>
      </w:r>
    </w:p>
    <w:p w:rsidR="000E3643" w:rsidP="000376FA" w14:paraId="3A0DDDB8" w14:textId="40FF9E3B"/>
    <w:p w:rsidR="000E3643" w:rsidP="004579B3" w14:paraId="296614BA" w14:textId="5234DEB7">
      <w:pPr>
        <w:pStyle w:val="Caption"/>
      </w:pPr>
      <w:bookmarkStart w:id="26" w:name="_Ref114768710"/>
      <w:r w:rsidRPr="000E23BC">
        <w:t xml:space="preserve">Figure </w:t>
      </w:r>
      <w:r w:rsidR="00E05ECE">
        <w:fldChar w:fldCharType="begin"/>
      </w:r>
      <w:r w:rsidR="00E05ECE">
        <w:instrText xml:space="preserve"> SEQ Figure \* ARABIC </w:instrText>
      </w:r>
      <w:r w:rsidR="00E05ECE">
        <w:fldChar w:fldCharType="separate"/>
      </w:r>
      <w:r w:rsidR="00646F0F">
        <w:rPr>
          <w:noProof/>
        </w:rPr>
        <w:t>2</w:t>
      </w:r>
      <w:r w:rsidR="00E05ECE">
        <w:rPr>
          <w:noProof/>
        </w:rPr>
        <w:fldChar w:fldCharType="end"/>
      </w:r>
      <w:bookmarkEnd w:id="26"/>
      <w:r w:rsidRPr="000E23BC">
        <w:t>:</w:t>
      </w:r>
      <w:r>
        <w:t xml:space="preserve"> RTO/ISOs and associated states.</w:t>
      </w:r>
    </w:p>
    <w:p w:rsidR="00CA09DC" w:rsidRPr="004579B3" w:rsidP="004579B3" w14:paraId="46A996EB" w14:textId="7F0F03E0">
      <w:pPr>
        <w:spacing w:line="240" w:lineRule="auto"/>
        <w:rPr>
          <w:sz w:val="18"/>
          <w:szCs w:val="20"/>
        </w:rPr>
      </w:pPr>
      <w:r>
        <w:rPr>
          <w:noProof/>
        </w:rPr>
        <w:drawing>
          <wp:inline distT="0" distB="0" distL="0" distR="0">
            <wp:extent cx="5943600" cy="3678555"/>
            <wp:effectExtent l="0" t="0" r="0" b="0"/>
            <wp:docPr id="3" name="Picture 3" descr="A map illustrating the coverage of various curtailment service providers across the U.S.">
              <a:extLst xmlns:a="http://schemas.openxmlformats.org/drawingml/2006/main">
                <a:ext xmlns:a="http://schemas.openxmlformats.org/drawingml/2006/main" uri="{FF2B5EF4-FFF2-40B4-BE49-F238E27FC236}">
                  <a16:creationId xmlns:a16="http://schemas.microsoft.com/office/drawing/2014/main" id="{E8787033-B22C-41C1-9A3C-4BED173F88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ap illustrating the coverage of various curtailment service providers across the U.S.">
                      <a:extLst>
                        <a:ext xmlns:a="http://schemas.openxmlformats.org/drawingml/2006/main" uri="{FF2B5EF4-FFF2-40B4-BE49-F238E27FC236}">
                          <a16:creationId xmlns:a16="http://schemas.microsoft.com/office/drawing/2014/main" id="{E8787033-B22C-41C1-9A3C-4BED173F88CD}"/>
                        </a:ext>
                      </a:extLst>
                    </pic:cNvPr>
                    <pic:cNvPicPr>
                      <a:picLocks noChangeAspect="1"/>
                    </pic:cNvPicPr>
                  </pic:nvPicPr>
                  <pic:blipFill>
                    <a:blip xmlns:r="http://schemas.openxmlformats.org/officeDocument/2006/relationships" r:embed="rId12"/>
                    <a:stretch>
                      <a:fillRect/>
                    </a:stretch>
                  </pic:blipFill>
                  <pic:spPr>
                    <a:xfrm>
                      <a:off x="0" y="0"/>
                      <a:ext cx="5943600" cy="3678555"/>
                    </a:xfrm>
                    <a:prstGeom prst="rect">
                      <a:avLst/>
                    </a:prstGeom>
                  </pic:spPr>
                </pic:pic>
              </a:graphicData>
            </a:graphic>
          </wp:inline>
        </w:drawing>
      </w:r>
      <w:r w:rsidRPr="004579B3">
        <w:rPr>
          <w:sz w:val="18"/>
          <w:szCs w:val="20"/>
        </w:rPr>
        <w:t xml:space="preserve">Source: FERC, 2022 </w:t>
      </w:r>
      <w:hyperlink r:id="rId13" w:history="1">
        <w:r w:rsidRPr="004579B3">
          <w:rPr>
            <w:rStyle w:val="Hyperlink"/>
            <w:sz w:val="18"/>
            <w:szCs w:val="20"/>
          </w:rPr>
          <w:t>https://www.ferc.gov/power-sales-and-markets/rtos-and-isos</w:t>
        </w:r>
      </w:hyperlink>
      <w:r w:rsidRPr="004579B3">
        <w:rPr>
          <w:sz w:val="18"/>
          <w:szCs w:val="20"/>
        </w:rPr>
        <w:t>.</w:t>
      </w:r>
    </w:p>
    <w:p w:rsidR="00CA09DC" w:rsidP="000376FA" w14:paraId="6668F6AB" w14:textId="77777777"/>
    <w:p w:rsidR="00C84FD7" w:rsidP="000376FA" w14:paraId="3AEE3497" w14:textId="3B6224DF">
      <w:r>
        <w:t>While online lists may be incomplete</w:t>
      </w:r>
      <w:r w:rsidR="000E3643">
        <w:t xml:space="preserve"> according to FERC, </w:t>
      </w:r>
      <w:r w:rsidR="00204E7E">
        <w:t>EPA</w:t>
      </w:r>
      <w:r w:rsidR="000E3643">
        <w:t xml:space="preserve"> determined that</w:t>
      </w:r>
      <w:r>
        <w:t xml:space="preserve"> no better data were </w:t>
      </w:r>
      <w:r w:rsidR="000E3643">
        <w:t>readily available</w:t>
      </w:r>
      <w:r>
        <w:t>.</w:t>
      </w:r>
      <w:r w:rsidR="000E3643">
        <w:t xml:space="preserve"> </w:t>
      </w:r>
      <w:r>
        <w:t>In addition, for states that are not a part of an RTO</w:t>
      </w:r>
      <w:r w:rsidR="000E3643">
        <w:t xml:space="preserve"> or ISO</w:t>
      </w:r>
      <w:r>
        <w:t xml:space="preserve">, EPA </w:t>
      </w:r>
      <w:r w:rsidR="00D97DC9">
        <w:t xml:space="preserve">reviewed an available list of demand response programs and assessed which of the programs listed could cause small unit generation that would need to be reported under the One-Time-Collection Option. If the same electric company ran a similar program in multiple states, that company was counted for each program rather than as a single company </w:t>
      </w:r>
      <w:r w:rsidR="005E4935">
        <w:t>to</w:t>
      </w:r>
      <w:r w:rsidR="00D97DC9">
        <w:t xml:space="preserve"> help make the estimated number more conservative. </w:t>
      </w:r>
      <w:r w:rsidRPr="0088735F" w:rsidR="00D97DC9">
        <w:fldChar w:fldCharType="begin"/>
      </w:r>
      <w:r w:rsidRPr="0088735F" w:rsidR="00D97DC9">
        <w:instrText xml:space="preserve"> REF _Ref114769424 \h </w:instrText>
      </w:r>
      <w:r w:rsidRPr="0088735F" w:rsidR="0088735F">
        <w:instrText xml:space="preserve"> \* MERGEFORMAT </w:instrText>
      </w:r>
      <w:r w:rsidRPr="0088735F" w:rsidR="00D97DC9">
        <w:fldChar w:fldCharType="separate"/>
      </w:r>
      <w:r w:rsidRPr="0020098E" w:rsidR="00646F0F">
        <w:t xml:space="preserve">Table </w:t>
      </w:r>
      <w:r w:rsidR="00646F0F">
        <w:rPr>
          <w:noProof/>
        </w:rPr>
        <w:t>9</w:t>
      </w:r>
      <w:r w:rsidRPr="0088735F" w:rsidR="00D97DC9">
        <w:fldChar w:fldCharType="end"/>
      </w:r>
      <w:r>
        <w:t xml:space="preserve"> provides the list of RTO</w:t>
      </w:r>
      <w:r w:rsidR="00D97DC9">
        <w:t>/ISO</w:t>
      </w:r>
      <w:r>
        <w:t>s</w:t>
      </w:r>
      <w:r w:rsidR="00D97DC9">
        <w:t xml:space="preserve"> </w:t>
      </w:r>
      <w:r>
        <w:t xml:space="preserve">and associated </w:t>
      </w:r>
      <w:r w:rsidR="005E4935">
        <w:t xml:space="preserve">entity </w:t>
      </w:r>
      <w:r>
        <w:t>counts compiled from the sources shown</w:t>
      </w:r>
      <w:r w:rsidR="003E20F8">
        <w:t>, which results in an estimated 235 entities.</w:t>
      </w:r>
    </w:p>
    <w:p w:rsidR="000E3643" w:rsidP="000376FA" w14:paraId="7CD202CA" w14:textId="4D80D217"/>
    <w:p w:rsidR="00D97DC9" w:rsidP="004579B3" w14:paraId="6208AACC" w14:textId="4BF29758">
      <w:pPr>
        <w:pStyle w:val="Caption"/>
      </w:pPr>
      <w:bookmarkStart w:id="27" w:name="_Ref114769424"/>
      <w:r w:rsidRPr="0020098E">
        <w:t xml:space="preserve">Table </w:t>
      </w:r>
      <w:r w:rsidR="00E05ECE">
        <w:fldChar w:fldCharType="begin"/>
      </w:r>
      <w:r w:rsidR="00E05ECE">
        <w:instrText xml:space="preserve"> SEQ Table \* ARABIC </w:instrText>
      </w:r>
      <w:r w:rsidR="00E05ECE">
        <w:fldChar w:fldCharType="separate"/>
      </w:r>
      <w:r w:rsidR="00646F0F">
        <w:rPr>
          <w:noProof/>
        </w:rPr>
        <w:t>9</w:t>
      </w:r>
      <w:r w:rsidR="00E05ECE">
        <w:rPr>
          <w:noProof/>
        </w:rPr>
        <w:fldChar w:fldCharType="end"/>
      </w:r>
      <w:bookmarkEnd w:id="27"/>
      <w:r w:rsidRPr="0020098E">
        <w:t>:</w:t>
      </w:r>
      <w:r>
        <w:t xml:space="preserve"> List of RTO/ISOs and estimated number of respondents for the One-Time-Collection Option.</w:t>
      </w:r>
    </w:p>
    <w:tbl>
      <w:tblPr>
        <w:tblW w:w="9350" w:type="dxa"/>
        <w:tblLook w:val="04A0"/>
      </w:tblPr>
      <w:tblGrid>
        <w:gridCol w:w="1345"/>
        <w:gridCol w:w="891"/>
        <w:gridCol w:w="7114"/>
      </w:tblGrid>
      <w:tr w14:paraId="4EEC046D" w14:textId="77777777" w:rsidTr="004579B3">
        <w:tblPrEx>
          <w:tblW w:w="9350" w:type="dxa"/>
          <w:tblLook w:val="04A0"/>
        </w:tblPrEx>
        <w:trPr>
          <w:trHeight w:val="20"/>
          <w:tblHeader/>
        </w:trPr>
        <w:tc>
          <w:tcPr>
            <w:tcW w:w="13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3643" w:rsidRPr="000E3643" w:rsidP="000E3643" w14:paraId="261422AB" w14:textId="6C2A3D6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0E3643">
              <w:rPr>
                <w:rFonts w:ascii="Calibri" w:hAnsi="Calibri" w:cs="Calibri"/>
                <w:b/>
                <w:bCs/>
                <w:color w:val="000000"/>
                <w:szCs w:val="22"/>
              </w:rPr>
              <w:t>RTO/ISO/</w:t>
            </w:r>
            <w:r>
              <w:rPr>
                <w:rFonts w:ascii="Calibri" w:hAnsi="Calibri" w:cs="Calibri"/>
                <w:b/>
                <w:bCs/>
                <w:color w:val="000000"/>
                <w:szCs w:val="22"/>
              </w:rPr>
              <w:br/>
            </w:r>
            <w:r w:rsidRPr="000E3643">
              <w:rPr>
                <w:rFonts w:ascii="Calibri" w:hAnsi="Calibri" w:cs="Calibri"/>
                <w:b/>
                <w:bCs/>
                <w:color w:val="000000"/>
                <w:szCs w:val="22"/>
              </w:rPr>
              <w:t>State</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0E3643" w14:paraId="6D82CD84" w14:textId="3FD8488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Entity </w:t>
            </w:r>
            <w:r w:rsidRPr="000E3643">
              <w:rPr>
                <w:rFonts w:ascii="Calibri" w:hAnsi="Calibri" w:cs="Calibri"/>
                <w:b/>
                <w:bCs/>
                <w:color w:val="000000"/>
                <w:szCs w:val="22"/>
              </w:rPr>
              <w:t>Count</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bottom"/>
          </w:tcPr>
          <w:p w:rsidR="000E3643" w:rsidRPr="000E3643" w:rsidP="004579B3" w14:paraId="4E132129" w14:textId="0120F56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Source</w:t>
            </w:r>
          </w:p>
        </w:tc>
      </w:tr>
      <w:tr w14:paraId="77A70DFC"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643" w:rsidRPr="000E3643" w:rsidP="004579B3" w14:paraId="4F729DF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222222"/>
                <w:szCs w:val="22"/>
              </w:rPr>
            </w:pPr>
            <w:r w:rsidRPr="000E3643">
              <w:rPr>
                <w:rFonts w:ascii="Calibri" w:hAnsi="Calibri" w:cs="Calibri"/>
                <w:color w:val="222222"/>
                <w:szCs w:val="22"/>
              </w:rPr>
              <w:t>PJM</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7B22FAC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97</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643" w:rsidRPr="000E3643" w:rsidP="004579B3" w14:paraId="07FC5DCC" w14:textId="49A3EEB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14" w:history="1">
              <w:r w:rsidRPr="00F53053">
                <w:rPr>
                  <w:rStyle w:val="Hyperlink"/>
                  <w:rFonts w:ascii="Calibri" w:hAnsi="Calibri" w:cs="Calibri"/>
                  <w:szCs w:val="22"/>
                </w:rPr>
                <w:t>https://www.pjm.com/markets-and-operations/demand-response/csps</w:t>
              </w:r>
            </w:hyperlink>
            <w:r>
              <w:rPr>
                <w:rFonts w:ascii="Calibri" w:hAnsi="Calibri" w:cs="Calibri"/>
                <w:color w:val="000000"/>
                <w:szCs w:val="22"/>
              </w:rPr>
              <w:t xml:space="preserve"> </w:t>
            </w:r>
          </w:p>
        </w:tc>
      </w:tr>
      <w:tr w14:paraId="5BDBAA23"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5ED0633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CAISO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153505" w14:paraId="7B7A6FA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31</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231AF2A7" w14:textId="4F5246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15" w:history="1">
              <w:r w:rsidRPr="00F53053">
                <w:rPr>
                  <w:rStyle w:val="Hyperlink"/>
                  <w:rFonts w:ascii="Calibri" w:hAnsi="Calibri" w:cs="Calibri"/>
                  <w:szCs w:val="22"/>
                </w:rPr>
                <w:t>http://www.caiso.com/documents/listofdemandresponseparticipants.pdf</w:t>
              </w:r>
            </w:hyperlink>
            <w:r>
              <w:rPr>
                <w:rFonts w:ascii="Calibri" w:hAnsi="Calibri" w:cs="Calibri"/>
                <w:color w:val="000000"/>
                <w:szCs w:val="22"/>
              </w:rPr>
              <w:t xml:space="preserve"> </w:t>
            </w:r>
          </w:p>
        </w:tc>
      </w:tr>
      <w:tr w14:paraId="1F13816D"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151AE6C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ERCOT</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4413D62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18</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480C688B" w14:textId="5AC070A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 xml:space="preserve">“Demand_Response_Providers.xlsx” linked from </w:t>
            </w:r>
            <w:hyperlink r:id="rId16" w:history="1">
              <w:r w:rsidRPr="00F53053">
                <w:rPr>
                  <w:rStyle w:val="Hyperlink"/>
                  <w:rFonts w:ascii="Calibri" w:hAnsi="Calibri" w:cs="Calibri"/>
                  <w:szCs w:val="22"/>
                </w:rPr>
                <w:t>https://www.ercot.com/services/programs/load</w:t>
              </w:r>
            </w:hyperlink>
            <w:r>
              <w:rPr>
                <w:rFonts w:ascii="Calibri" w:hAnsi="Calibri" w:cs="Calibri"/>
                <w:color w:val="000000"/>
                <w:szCs w:val="22"/>
              </w:rPr>
              <w:t xml:space="preserve"> </w:t>
            </w:r>
          </w:p>
        </w:tc>
      </w:tr>
      <w:tr w14:paraId="2E910786"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4A58FFC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MISO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53592C3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31</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1F02194B" w14:textId="02A4D4D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17" w:history="1">
              <w:r w:rsidRPr="00F53053">
                <w:rPr>
                  <w:rStyle w:val="Hyperlink"/>
                  <w:rFonts w:ascii="Calibri" w:hAnsi="Calibri" w:cs="Calibri"/>
                  <w:szCs w:val="22"/>
                </w:rPr>
                <w:t>https://www.potomaceconomics.com/wp-content/uploads/2021/05/2020-MISO-SOM_Report_Body_Compiled_Final_rev-6-1-21.pdf</w:t>
              </w:r>
            </w:hyperlink>
            <w:r>
              <w:rPr>
                <w:rFonts w:ascii="Calibri" w:hAnsi="Calibri" w:cs="Calibri"/>
                <w:color w:val="000000"/>
                <w:szCs w:val="22"/>
              </w:rPr>
              <w:t xml:space="preserve"> (p</w:t>
            </w:r>
            <w:r w:rsidR="003E20F8">
              <w:rPr>
                <w:rFonts w:ascii="Calibri" w:hAnsi="Calibri" w:cs="Calibri"/>
                <w:color w:val="000000"/>
                <w:szCs w:val="22"/>
              </w:rPr>
              <w:t>a</w:t>
            </w:r>
            <w:r>
              <w:rPr>
                <w:rFonts w:ascii="Calibri" w:hAnsi="Calibri" w:cs="Calibri"/>
                <w:color w:val="000000"/>
                <w:szCs w:val="22"/>
              </w:rPr>
              <w:t>g</w:t>
            </w:r>
            <w:r w:rsidR="003E20F8">
              <w:rPr>
                <w:rFonts w:ascii="Calibri" w:hAnsi="Calibri" w:cs="Calibri"/>
                <w:color w:val="000000"/>
                <w:szCs w:val="22"/>
              </w:rPr>
              <w:t>e</w:t>
            </w:r>
            <w:r>
              <w:rPr>
                <w:rFonts w:ascii="Calibri" w:hAnsi="Calibri" w:cs="Calibri"/>
                <w:color w:val="000000"/>
                <w:szCs w:val="22"/>
              </w:rPr>
              <w:t xml:space="preserve"> 8)</w:t>
            </w:r>
          </w:p>
        </w:tc>
      </w:tr>
      <w:tr w14:paraId="08BB9A98"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0CDA58C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SPP</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2F8C8D8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0</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3E1D6515" w14:textId="2EF96ED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411A00EC"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026630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NYISO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7BB1EB0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22</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7391F2BC" w14:textId="5980A9E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18" w:history="1">
              <w:r w:rsidRPr="00F53053">
                <w:rPr>
                  <w:rStyle w:val="Hyperlink"/>
                  <w:rFonts w:ascii="Calibri" w:hAnsi="Calibri" w:cs="Calibri"/>
                  <w:szCs w:val="22"/>
                </w:rPr>
                <w:t>https://www.nyiso.com/documents/20142/1398619/Demand-Response-Providers-List.pdf/a9943929-edf6-4b5a-c16f-2c42bdebd18d</w:t>
              </w:r>
            </w:hyperlink>
            <w:r>
              <w:rPr>
                <w:rFonts w:ascii="Calibri" w:hAnsi="Calibri" w:cs="Calibri"/>
                <w:color w:val="000000"/>
                <w:szCs w:val="22"/>
              </w:rPr>
              <w:t xml:space="preserve"> </w:t>
            </w:r>
          </w:p>
        </w:tc>
      </w:tr>
      <w:tr w14:paraId="64083334"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4579B3" w14:paraId="1DA2237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ISO-NE</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643" w:rsidRPr="000E3643" w:rsidP="00153505" w14:paraId="703876B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0</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0E3643" w:rsidP="004579B3" w14:paraId="412FDB98" w14:textId="04F98D4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19" w:history="1">
              <w:r w:rsidRPr="00F53053">
                <w:rPr>
                  <w:rStyle w:val="Hyperlink"/>
                  <w:rFonts w:ascii="Calibri" w:hAnsi="Calibri" w:cs="Calibri"/>
                  <w:szCs w:val="22"/>
                </w:rPr>
                <w:t>https://www.iso-ne.com/markets-operations/markets/demand-resources/about</w:t>
              </w:r>
            </w:hyperlink>
            <w:r>
              <w:rPr>
                <w:rFonts w:ascii="Calibri" w:hAnsi="Calibri" w:cs="Calibri"/>
                <w:color w:val="000000"/>
                <w:szCs w:val="22"/>
              </w:rPr>
              <w:t xml:space="preserve"> </w:t>
            </w:r>
          </w:p>
        </w:tc>
      </w:tr>
      <w:tr w14:paraId="1E1CE972"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9A13BB1"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AL</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97BBB10"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w:t>
            </w:r>
          </w:p>
        </w:tc>
        <w:tc>
          <w:tcPr>
            <w:tcW w:w="7114" w:type="dxa"/>
            <w:vMerge w:val="restart"/>
            <w:tcBorders>
              <w:top w:val="single" w:sz="4" w:space="0" w:color="auto"/>
              <w:left w:val="single" w:sz="4" w:space="0" w:color="auto"/>
              <w:right w:val="single" w:sz="4" w:space="0" w:color="auto"/>
            </w:tcBorders>
            <w:shd w:val="clear" w:color="auto" w:fill="auto"/>
            <w:noWrap/>
            <w:vAlign w:val="center"/>
          </w:tcPr>
          <w:p w:rsidR="000E3643" w:rsidRPr="000E3643" w:rsidP="004579B3" w14:paraId="0AC40C6A" w14:textId="13505ADC">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hyperlink r:id="rId20" w:history="1">
              <w:r w:rsidRPr="00F53053">
                <w:rPr>
                  <w:rStyle w:val="Hyperlink"/>
                  <w:rFonts w:ascii="Calibri" w:hAnsi="Calibri" w:cs="Calibri"/>
                  <w:szCs w:val="22"/>
                </w:rPr>
                <w:t>https://www.energy.gov/eere/femp/demand-response-and-time-variable-pricing-programs-southeastern-and-midwestern-states</w:t>
              </w:r>
            </w:hyperlink>
            <w:r>
              <w:rPr>
                <w:rFonts w:ascii="Calibri" w:hAnsi="Calibri" w:cs="Calibri"/>
                <w:color w:val="000000"/>
                <w:szCs w:val="22"/>
              </w:rPr>
              <w:t xml:space="preserve"> </w:t>
            </w:r>
          </w:p>
        </w:tc>
      </w:tr>
      <w:tr w14:paraId="4532595E"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563470F6"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AR</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4DE7033"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4</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54831E68" w14:textId="7D74A1D6">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15A93EF6"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79B3FF8"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FL</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59F1D83F"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4</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2E01C9D8" w14:textId="27D9BB53">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325CA750"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18E10E87"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GA</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0CF71C80" w14:textId="77777777">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7F0D0A9A" w14:textId="66F43265">
            <w:pPr>
              <w:keepNext/>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55F40ADD"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78B7B29"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IN</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D00983B"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0ADCDC17" w14:textId="0CF66BEE">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3475535A"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0E519615"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IA</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6AF75647"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2DB5D9E8" w14:textId="649736B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16840F8E"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140B74C5"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KY</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168B7193"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7E90DD3B" w14:textId="5ECC4062">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754108D7"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63557C72"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LA</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619414A7"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08E93273" w14:textId="5CCEEB75">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2EF13FD9"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5AFD209B"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MI</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BD8C7EE"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067AC557" w14:textId="092BCB03">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6382889A"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782B25DF"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MS</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A58C523"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2A8FA390" w14:textId="7017EDF4">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716F4CF3"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1BF6C1D"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MO</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47A36B27"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6352901B" w14:textId="58112CA0">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0E20F2DF"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55E7EAC1"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NC</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D25DE48"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70CD46C5" w14:textId="25E9D5E3">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7231CD4D"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1121FDE"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OH</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4F5D4CBB"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49558DE8" w14:textId="3CF5DE2C">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4DED7C81"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7B9E02DF"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OK</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77E1279C"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1</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13B97C98" w14:textId="3F590371">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2A3E79D6"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ACE3DED"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SC</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452A7780"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09375181" w14:textId="13FB8649">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4A9A95DD"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9D4D485"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TN</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34E9BAA0"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2</w:t>
            </w:r>
          </w:p>
        </w:tc>
        <w:tc>
          <w:tcPr>
            <w:tcW w:w="7114" w:type="dxa"/>
            <w:vMerge/>
            <w:tcBorders>
              <w:left w:val="single" w:sz="4" w:space="0" w:color="auto"/>
              <w:right w:val="single" w:sz="4" w:space="0" w:color="auto"/>
            </w:tcBorders>
            <w:shd w:val="clear" w:color="auto" w:fill="auto"/>
            <w:noWrap/>
            <w:vAlign w:val="bottom"/>
          </w:tcPr>
          <w:p w:rsidR="000E3643" w:rsidRPr="000E3643" w:rsidP="004579B3" w14:paraId="05A94A78" w14:textId="335B5392">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3C58D402" w14:textId="77777777" w:rsidTr="001722A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77428F0"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WI</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643" w:rsidRPr="000E3643" w:rsidP="004579B3" w14:paraId="2E533703" w14:textId="77777777">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0E3643">
              <w:rPr>
                <w:rFonts w:ascii="Calibri" w:hAnsi="Calibri" w:cs="Calibri"/>
                <w:color w:val="000000"/>
                <w:szCs w:val="22"/>
              </w:rPr>
              <w:t>3</w:t>
            </w:r>
          </w:p>
        </w:tc>
        <w:tc>
          <w:tcPr>
            <w:tcW w:w="7114" w:type="dxa"/>
            <w:vMerge/>
            <w:tcBorders>
              <w:left w:val="single" w:sz="4" w:space="0" w:color="auto"/>
              <w:bottom w:val="single" w:sz="4" w:space="0" w:color="auto"/>
              <w:right w:val="single" w:sz="4" w:space="0" w:color="auto"/>
            </w:tcBorders>
            <w:shd w:val="clear" w:color="auto" w:fill="auto"/>
            <w:noWrap/>
            <w:vAlign w:val="bottom"/>
          </w:tcPr>
          <w:p w:rsidR="000E3643" w:rsidRPr="000E3643" w:rsidP="004579B3" w14:paraId="49722DEE" w14:textId="4818E0CB">
            <w:pPr>
              <w:keepLines/>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r w14:paraId="6F18D903" w14:textId="77777777" w:rsidTr="004579B3">
        <w:tblPrEx>
          <w:tblW w:w="9350" w:type="dxa"/>
          <w:tblLook w:val="04A0"/>
        </w:tblPrEx>
        <w:trPr>
          <w:trHeight w:val="2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4579B3" w:rsidP="004579B3" w14:paraId="55659A3B" w14:textId="648996D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579B3">
              <w:rPr>
                <w:rFonts w:ascii="Calibri" w:hAnsi="Calibri" w:cs="Calibri"/>
                <w:b/>
                <w:bCs/>
                <w:color w:val="000000"/>
                <w:szCs w:val="22"/>
              </w:rPr>
              <w:t>Total</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3643" w:rsidRPr="004579B3" w:rsidP="00153505" w14:paraId="35DAAF7D" w14:textId="6775B2E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579B3">
              <w:rPr>
                <w:rFonts w:ascii="Calibri" w:hAnsi="Calibri" w:cs="Calibri"/>
                <w:b/>
                <w:bCs/>
                <w:color w:val="000000"/>
                <w:szCs w:val="22"/>
              </w:rPr>
              <w:t>235</w:t>
            </w:r>
          </w:p>
        </w:tc>
        <w:tc>
          <w:tcPr>
            <w:tcW w:w="7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643" w:rsidRPr="000E3643" w:rsidP="004579B3" w14:paraId="218B110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p>
        </w:tc>
      </w:tr>
    </w:tbl>
    <w:p w:rsidR="000E3643" w:rsidP="00153505" w14:paraId="6DA8667F" w14:textId="77777777"/>
    <w:p w:rsidR="00BE1DB2" w:rsidP="00E52435" w14:paraId="0CA39223" w14:textId="790B9E34">
      <w:r>
        <w:t xml:space="preserve">Another voluntary aspect of the proposed AERR is </w:t>
      </w:r>
      <w:r>
        <w:t>participation by rail companies to provide data to EPA regarding rail yards</w:t>
      </w:r>
      <w:r w:rsidR="001110F5">
        <w:t>. The EPA</w:t>
      </w:r>
      <w:r>
        <w:t xml:space="preserve"> has worked with rail companies in past years and is aware of 7 rail companies that could participate. Thus, the number of rail companies used for the purposes of </w:t>
      </w:r>
      <w:r>
        <w:t xml:space="preserve">voluntary cost estimates for </w:t>
      </w:r>
      <w:r>
        <w:t xml:space="preserve">this ICR is 7. </w:t>
      </w:r>
    </w:p>
    <w:p w:rsidR="00BE1DB2" w:rsidP="00E52435" w14:paraId="47FB2F75" w14:textId="263781FC"/>
    <w:p w:rsidR="00C32D1E" w:rsidP="00C32D1E" w14:paraId="0EA86E48" w14:textId="08C998F3">
      <w:pPr>
        <w:pStyle w:val="Heading3"/>
      </w:pPr>
      <w:bookmarkStart w:id="28" w:name="_Ref137138280"/>
      <w:bookmarkStart w:id="29" w:name="_Hlk137138430"/>
      <w:r>
        <w:t>Estimated number of facilities collecting release point latitude/longitude</w:t>
      </w:r>
      <w:bookmarkEnd w:id="28"/>
    </w:p>
    <w:p w:rsidR="00F62304" w:rsidP="00E52435" w14:paraId="73866820" w14:textId="1301F6DD">
      <w:bookmarkStart w:id="30" w:name="_Hlk137138456"/>
      <w:r>
        <w:t xml:space="preserve">On a one-time basis, </w:t>
      </w:r>
      <w:r>
        <w:t xml:space="preserve">certain </w:t>
      </w:r>
      <w:r>
        <w:t>facilities reporting under the proposed AERR would need to collect the latitude/longitude locations for each release point</w:t>
      </w:r>
      <w:r>
        <w:t>. Collecting such data would allow facilities outside states’ implementation planning authority to report such information in 2026 (for the 2025 inventory year) and in 2027 (for the 2026 inventory year). Even though much of the reporting of these data would occur starting after the three-year period of this ICR, the EPA assumes that the facilities would collect the latitude/longitude data for release points during the period covered by this ICR.</w:t>
      </w:r>
    </w:p>
    <w:p w:rsidR="00C32D1E" w:rsidP="00E52435" w14:paraId="6A062707" w14:textId="4AAD7DB3"/>
    <w:p w:rsidR="00A05F65" w:rsidP="00E52435" w14:paraId="0640146D" w14:textId="2EF0648C">
      <w:r>
        <w:t xml:space="preserve">The EPA estimated the number of facilities per year starting with the total number of facilities expected to report, which is included in </w:t>
      </w:r>
      <w:r>
        <w:fldChar w:fldCharType="begin"/>
      </w:r>
      <w:r>
        <w:instrText xml:space="preserve"> REF _Ref137133781 \r \h </w:instrText>
      </w:r>
      <w:r>
        <w:fldChar w:fldCharType="separate"/>
      </w:r>
      <w:r w:rsidR="00646F0F">
        <w:t>Appendix A:</w:t>
      </w:r>
      <w:r>
        <w:fldChar w:fldCharType="end"/>
      </w:r>
      <w:r>
        <w:t xml:space="preserve"> of this ICR based on an estimation approach described in the TSD for this proposal referenced above. The number estimated to need to report starting in 2027 is </w:t>
      </w:r>
      <w:r w:rsidRPr="00785981">
        <w:t>129,</w:t>
      </w:r>
      <w:r w:rsidRPr="00785981" w:rsidR="00785981">
        <w:t>255</w:t>
      </w:r>
      <w:r w:rsidRPr="00785981">
        <w:t xml:space="preserve"> facilities. The EPA adjusted this number downward by 8,309 facilities to account for the number</w:t>
      </w:r>
      <w:r>
        <w:t xml:space="preserve"> of facilities for which states are already reporting release point latitude/longitudes to EPA via the states. The EPA derived this number by analyzing the 2020 NEI data to identify all facilities for which the reported latitude or longitude was 0.0005 degrees or more from the latitude or longitude (respectively) that represented the whole facility.</w:t>
      </w:r>
    </w:p>
    <w:p w:rsidR="00A05F65" w:rsidP="00E52435" w14:paraId="15522119" w14:textId="1E22377D"/>
    <w:p w:rsidR="00A05F65" w:rsidP="00E52435" w14:paraId="21B76F5C" w14:textId="11F8FB6D">
      <w:r>
        <w:t xml:space="preserve">Since facilities must only collect this information once because </w:t>
      </w:r>
      <w:r w:rsidRPr="00A05F65">
        <w:t>release points generally do not move</w:t>
      </w:r>
      <w:r>
        <w:t xml:space="preserve">, EPA divided the resulting number of facilities </w:t>
      </w:r>
      <w:r w:rsidRPr="00E67CB6">
        <w:t>(12</w:t>
      </w:r>
      <w:r w:rsidRPr="00E67CB6" w:rsidR="00E67CB6">
        <w:t>0</w:t>
      </w:r>
      <w:r w:rsidRPr="00E67CB6">
        <w:t>,</w:t>
      </w:r>
      <w:r w:rsidRPr="00E67CB6" w:rsidR="00E67CB6">
        <w:t>946</w:t>
      </w:r>
      <w:r w:rsidRPr="00E67CB6">
        <w:t>) by 3 to calculate the number of facilities per year that would need to collect this information. This calculation gives an estimated 40,3</w:t>
      </w:r>
      <w:r w:rsidRPr="00E67CB6" w:rsidR="007C0424">
        <w:t>15</w:t>
      </w:r>
      <w:r>
        <w:t xml:space="preserve"> facilities per year that would need to collect release point latitude/longitude during the 2024-2026 period.</w:t>
      </w:r>
      <w:bookmarkEnd w:id="29"/>
    </w:p>
    <w:bookmarkEnd w:id="30"/>
    <w:p w:rsidR="00F62304" w:rsidRPr="00E52435" w:rsidP="00E52435" w14:paraId="1F287DF6" w14:textId="77777777"/>
    <w:p w:rsidR="00052325" w:rsidP="00945CC7" w14:paraId="06B7C92E" w14:textId="1A29E01A">
      <w:pPr>
        <w:pStyle w:val="Heading2"/>
      </w:pPr>
      <w:r>
        <w:tab/>
      </w:r>
      <w:bookmarkStart w:id="31" w:name="_Ref116849951"/>
      <w:r>
        <w:t>Burden on owners/operators</w:t>
      </w:r>
    </w:p>
    <w:p w:rsidR="00052325" w:rsidP="00052325" w14:paraId="32D74A17" w14:textId="77777777">
      <w:pPr>
        <w:pStyle w:val="Heading3"/>
      </w:pPr>
      <w:r>
        <w:t>Estimating burden of source testing</w:t>
      </w:r>
    </w:p>
    <w:p w:rsidR="00052325" w:rsidP="00052325" w14:paraId="084211A7" w14:textId="77777777">
      <w:r>
        <w:t>Finally, EPA has developed an approach to estimate the burden for reporting source test data. To calculate the number of hours for such reporting, EPA has used the formula:</w:t>
      </w:r>
    </w:p>
    <w:p w:rsidR="00052325" w:rsidP="00052325" w14:paraId="69ABD71B" w14:textId="77777777"/>
    <w:p w:rsidR="00052325" w:rsidP="00052325" w14:paraId="006823CB" w14:textId="77777777">
      <w:pPr>
        <w:jc w:val="center"/>
      </w:pPr>
      <w:r>
        <w:t xml:space="preserve">Hours burden = N </w:t>
      </w:r>
      <w:r>
        <w:rPr>
          <w:rFonts w:ascii="Symbol" w:eastAsia="Symbol" w:hAnsi="Symbol" w:cs="Symbol"/>
        </w:rPr>
        <w:t>´</w:t>
      </w:r>
      <w:r>
        <w:t xml:space="preserve"> T </w:t>
      </w:r>
      <w:r>
        <w:rPr>
          <w:rFonts w:ascii="Symbol" w:eastAsia="Symbol" w:hAnsi="Symbol" w:cs="Symbol"/>
        </w:rPr>
        <w:t>´</w:t>
      </w:r>
      <w:r>
        <w:t xml:space="preserve"> H</w:t>
      </w:r>
    </w:p>
    <w:p w:rsidR="00052325" w:rsidP="00052325" w14:paraId="3631D553" w14:textId="77777777"/>
    <w:p w:rsidR="00052325" w:rsidP="00052325" w14:paraId="30D19BEF" w14:textId="77777777">
      <w:r>
        <w:t xml:space="preserve">Where, N is the number of facilities, T is the average number of tests per facility per year, and H is the average number of hours to prepare the electronic form to submit each test. Because major sources are those sources that would typically be required to perform tests, EPA used the same estimated number of major sources for required emissions reporting, or N = </w:t>
      </w:r>
      <w:r>
        <w:rPr>
          <w:rFonts w:ascii="Calibri" w:hAnsi="Calibri" w:cs="Calibri"/>
          <w:color w:val="000000"/>
          <w:szCs w:val="22"/>
        </w:rPr>
        <w:t>13,420.</w:t>
      </w:r>
    </w:p>
    <w:p w:rsidR="00052325" w:rsidP="00052325" w14:paraId="7457EC53" w14:textId="77777777"/>
    <w:p w:rsidR="00052325" w:rsidP="00052325" w14:paraId="6C121773" w14:textId="507C8492">
      <w:r>
        <w:t xml:space="preserve">To estimate the number of tests per facility, EPA relied on information from selected states about their current source test collection, since source test data for state and federal purposes are collected and managed by states. The EPA contacted 9 states for input on how many source tests have been historically collected by states. Then, EPA compared the number of total source test reported by states to the number of major sources within those states. Since major sources often have testing requirements, it is reasonable to expect that the number of major sources might be a useful predictor of the number of source tests. </w:t>
      </w:r>
      <w:r w:rsidR="00530BA3">
        <w:fldChar w:fldCharType="begin"/>
      </w:r>
      <w:r w:rsidR="00530BA3">
        <w:instrText xml:space="preserve"> REF _Ref116478766 \h </w:instrText>
      </w:r>
      <w:r w:rsidR="00530BA3">
        <w:fldChar w:fldCharType="separate"/>
      </w:r>
      <w:r w:rsidRPr="0020098E" w:rsidR="00646F0F">
        <w:t xml:space="preserve">Table </w:t>
      </w:r>
      <w:r w:rsidR="00646F0F">
        <w:rPr>
          <w:noProof/>
        </w:rPr>
        <w:t>10</w:t>
      </w:r>
      <w:r w:rsidR="00530BA3">
        <w:fldChar w:fldCharType="end"/>
      </w:r>
      <w:r w:rsidR="00530BA3">
        <w:t xml:space="preserve"> </w:t>
      </w:r>
      <w:r>
        <w:t>shows the raw data collected from the 6 states who replied with the number of major sources and source test counts.</w:t>
      </w:r>
    </w:p>
    <w:p w:rsidR="00052325" w:rsidP="00052325" w14:paraId="0D1A74D1" w14:textId="6EF076A6">
      <w:pPr>
        <w:pStyle w:val="Caption"/>
        <w:spacing w:before="240"/>
        <w:jc w:val="center"/>
      </w:pPr>
      <w:bookmarkStart w:id="32" w:name="_Ref116478766"/>
      <w:r w:rsidRPr="0020098E">
        <w:t xml:space="preserve">Table </w:t>
      </w:r>
      <w:r>
        <w:fldChar w:fldCharType="begin"/>
      </w:r>
      <w:r>
        <w:instrText xml:space="preserve"> SEQ Table \* ARABIC </w:instrText>
      </w:r>
      <w:r>
        <w:fldChar w:fldCharType="separate"/>
      </w:r>
      <w:r w:rsidR="00646F0F">
        <w:rPr>
          <w:noProof/>
        </w:rPr>
        <w:t>10</w:t>
      </w:r>
      <w:r>
        <w:rPr>
          <w:noProof/>
        </w:rPr>
        <w:fldChar w:fldCharType="end"/>
      </w:r>
      <w:bookmarkEnd w:id="32"/>
      <w:r w:rsidRPr="0020098E">
        <w:t>: Number</w:t>
      </w:r>
      <w:r>
        <w:t xml:space="preserve"> of source tests versus number of major sources provided by selected states</w:t>
      </w:r>
      <w:r w:rsidR="00E858D0">
        <w:t>.</w:t>
      </w:r>
    </w:p>
    <w:tbl>
      <w:tblPr>
        <w:tblW w:w="6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5"/>
        <w:gridCol w:w="1656"/>
        <w:gridCol w:w="1705"/>
      </w:tblGrid>
      <w:tr w14:paraId="1F753E8F" w14:textId="77777777" w:rsidTr="005769E5">
        <w:tblPrEx>
          <w:tblW w:w="6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blHeader/>
          <w:jc w:val="center"/>
        </w:trPr>
        <w:tc>
          <w:tcPr>
            <w:tcW w:w="2695" w:type="dxa"/>
            <w:shd w:val="clear" w:color="auto" w:fill="auto"/>
            <w:noWrap/>
            <w:vAlign w:val="bottom"/>
            <w:hideMark/>
          </w:tcPr>
          <w:p w:rsidR="00052325" w:rsidRPr="00896665" w:rsidP="005769E5" w14:paraId="4B0027E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896665">
              <w:rPr>
                <w:rFonts w:ascii="Calibri" w:hAnsi="Calibri" w:cs="Calibri"/>
                <w:b/>
                <w:bCs/>
                <w:color w:val="000000"/>
                <w:szCs w:val="22"/>
              </w:rPr>
              <w:t>State</w:t>
            </w:r>
          </w:p>
        </w:tc>
        <w:tc>
          <w:tcPr>
            <w:tcW w:w="1656" w:type="dxa"/>
            <w:shd w:val="clear" w:color="auto" w:fill="auto"/>
            <w:vAlign w:val="bottom"/>
            <w:hideMark/>
          </w:tcPr>
          <w:p w:rsidR="00052325" w:rsidRPr="00896665" w:rsidP="005769E5" w14:paraId="6007A8A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Number source</w:t>
            </w:r>
            <w:r w:rsidRPr="00896665">
              <w:rPr>
                <w:rFonts w:ascii="Calibri" w:hAnsi="Calibri" w:cs="Calibri"/>
                <w:b/>
                <w:bCs/>
                <w:color w:val="000000"/>
                <w:szCs w:val="22"/>
              </w:rPr>
              <w:t xml:space="preserve"> tests </w:t>
            </w:r>
            <w:r>
              <w:rPr>
                <w:rFonts w:ascii="Calibri" w:hAnsi="Calibri" w:cs="Calibri"/>
                <w:b/>
                <w:bCs/>
                <w:color w:val="000000"/>
                <w:szCs w:val="22"/>
              </w:rPr>
              <w:t xml:space="preserve">in </w:t>
            </w:r>
            <w:r w:rsidRPr="00896665">
              <w:rPr>
                <w:rFonts w:ascii="Calibri" w:hAnsi="Calibri" w:cs="Calibri"/>
                <w:b/>
                <w:bCs/>
                <w:color w:val="000000"/>
                <w:szCs w:val="22"/>
              </w:rPr>
              <w:t>2020</w:t>
            </w:r>
          </w:p>
        </w:tc>
        <w:tc>
          <w:tcPr>
            <w:tcW w:w="1705" w:type="dxa"/>
            <w:shd w:val="clear" w:color="auto" w:fill="auto"/>
            <w:vAlign w:val="bottom"/>
            <w:hideMark/>
          </w:tcPr>
          <w:p w:rsidR="00052325" w:rsidRPr="00896665" w:rsidP="005769E5" w14:paraId="20DED3E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Number of major sources</w:t>
            </w:r>
          </w:p>
        </w:tc>
      </w:tr>
      <w:tr w14:paraId="63069922"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6FEDB96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Illinois</w:t>
            </w:r>
          </w:p>
        </w:tc>
        <w:tc>
          <w:tcPr>
            <w:tcW w:w="1656" w:type="dxa"/>
            <w:shd w:val="clear" w:color="auto" w:fill="auto"/>
            <w:noWrap/>
            <w:vAlign w:val="center"/>
            <w:hideMark/>
          </w:tcPr>
          <w:p w:rsidR="00052325" w:rsidRPr="00896665" w:rsidP="005769E5" w14:paraId="0DEEB33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450</w:t>
            </w:r>
          </w:p>
        </w:tc>
        <w:tc>
          <w:tcPr>
            <w:tcW w:w="1705" w:type="dxa"/>
            <w:shd w:val="clear" w:color="auto" w:fill="auto"/>
            <w:noWrap/>
            <w:vAlign w:val="center"/>
            <w:hideMark/>
          </w:tcPr>
          <w:p w:rsidR="00052325" w:rsidRPr="00896665" w:rsidP="005769E5" w14:paraId="195EC05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557</w:t>
            </w:r>
          </w:p>
        </w:tc>
      </w:tr>
      <w:tr w14:paraId="7A182FB4"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0F2D960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Connecticut</w:t>
            </w:r>
          </w:p>
        </w:tc>
        <w:tc>
          <w:tcPr>
            <w:tcW w:w="1656" w:type="dxa"/>
            <w:shd w:val="clear" w:color="auto" w:fill="auto"/>
            <w:noWrap/>
            <w:vAlign w:val="center"/>
            <w:hideMark/>
          </w:tcPr>
          <w:p w:rsidR="00052325" w:rsidRPr="00896665" w:rsidP="005769E5" w14:paraId="62E15AD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131</w:t>
            </w:r>
          </w:p>
        </w:tc>
        <w:tc>
          <w:tcPr>
            <w:tcW w:w="1705" w:type="dxa"/>
            <w:shd w:val="clear" w:color="auto" w:fill="auto"/>
            <w:noWrap/>
            <w:vAlign w:val="center"/>
            <w:hideMark/>
          </w:tcPr>
          <w:p w:rsidR="00052325" w:rsidRPr="00896665" w:rsidP="005769E5" w14:paraId="7A67C5B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56</w:t>
            </w:r>
          </w:p>
        </w:tc>
      </w:tr>
      <w:tr w14:paraId="19E32C80"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0CEAF7E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896665">
              <w:rPr>
                <w:rFonts w:ascii="Calibri" w:hAnsi="Calibri" w:cs="Calibri"/>
                <w:color w:val="000000"/>
                <w:szCs w:val="22"/>
              </w:rPr>
              <w:t>M</w:t>
            </w:r>
            <w:r>
              <w:rPr>
                <w:rFonts w:ascii="Calibri" w:hAnsi="Calibri" w:cs="Calibri"/>
                <w:color w:val="000000"/>
                <w:szCs w:val="22"/>
              </w:rPr>
              <w:t>assachusetts</w:t>
            </w:r>
          </w:p>
        </w:tc>
        <w:tc>
          <w:tcPr>
            <w:tcW w:w="1656" w:type="dxa"/>
            <w:shd w:val="clear" w:color="auto" w:fill="auto"/>
            <w:noWrap/>
            <w:vAlign w:val="center"/>
            <w:hideMark/>
          </w:tcPr>
          <w:p w:rsidR="00052325" w:rsidRPr="00896665" w:rsidP="005769E5" w14:paraId="2D3598A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53</w:t>
            </w:r>
          </w:p>
        </w:tc>
        <w:tc>
          <w:tcPr>
            <w:tcW w:w="1705" w:type="dxa"/>
            <w:shd w:val="clear" w:color="auto" w:fill="auto"/>
            <w:noWrap/>
            <w:vAlign w:val="center"/>
            <w:hideMark/>
          </w:tcPr>
          <w:p w:rsidR="00052325" w:rsidRPr="00896665" w:rsidP="005769E5" w14:paraId="7C2E5E4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116</w:t>
            </w:r>
          </w:p>
        </w:tc>
      </w:tr>
      <w:tr w14:paraId="2795BF75"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3B2EDD3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896665">
              <w:rPr>
                <w:rFonts w:ascii="Calibri" w:hAnsi="Calibri" w:cs="Calibri"/>
                <w:color w:val="000000"/>
                <w:szCs w:val="22"/>
              </w:rPr>
              <w:t>N</w:t>
            </w:r>
            <w:r>
              <w:rPr>
                <w:rFonts w:ascii="Calibri" w:hAnsi="Calibri" w:cs="Calibri"/>
                <w:color w:val="000000"/>
                <w:szCs w:val="22"/>
              </w:rPr>
              <w:t>orth Carolina</w:t>
            </w:r>
          </w:p>
        </w:tc>
        <w:tc>
          <w:tcPr>
            <w:tcW w:w="1656" w:type="dxa"/>
            <w:shd w:val="clear" w:color="auto" w:fill="auto"/>
            <w:noWrap/>
            <w:vAlign w:val="center"/>
            <w:hideMark/>
          </w:tcPr>
          <w:p w:rsidR="00052325" w:rsidRPr="00896665" w:rsidP="005769E5" w14:paraId="0FE9D2C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250</w:t>
            </w:r>
          </w:p>
        </w:tc>
        <w:tc>
          <w:tcPr>
            <w:tcW w:w="1705" w:type="dxa"/>
            <w:shd w:val="clear" w:color="auto" w:fill="auto"/>
            <w:noWrap/>
            <w:vAlign w:val="center"/>
            <w:hideMark/>
          </w:tcPr>
          <w:p w:rsidR="00052325" w:rsidRPr="00896665" w:rsidP="005769E5" w14:paraId="1848454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327</w:t>
            </w:r>
          </w:p>
        </w:tc>
      </w:tr>
      <w:tr w14:paraId="43ABC7AF"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36DEB41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Washington</w:t>
            </w:r>
            <w:r w:rsidRPr="00896665">
              <w:rPr>
                <w:rFonts w:ascii="Calibri" w:hAnsi="Calibri" w:cs="Calibri"/>
                <w:color w:val="000000"/>
                <w:szCs w:val="22"/>
              </w:rPr>
              <w:t xml:space="preserve"> (Island, Skagit and Whatcom Counties)</w:t>
            </w:r>
          </w:p>
        </w:tc>
        <w:tc>
          <w:tcPr>
            <w:tcW w:w="1656" w:type="dxa"/>
            <w:shd w:val="clear" w:color="auto" w:fill="auto"/>
            <w:noWrap/>
            <w:vAlign w:val="center"/>
            <w:hideMark/>
          </w:tcPr>
          <w:p w:rsidR="00052325" w:rsidRPr="00896665" w:rsidP="005769E5" w14:paraId="18B07063"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120</w:t>
            </w:r>
          </w:p>
        </w:tc>
        <w:tc>
          <w:tcPr>
            <w:tcW w:w="1705" w:type="dxa"/>
            <w:shd w:val="clear" w:color="auto" w:fill="auto"/>
            <w:noWrap/>
            <w:vAlign w:val="center"/>
            <w:hideMark/>
          </w:tcPr>
          <w:p w:rsidR="00052325" w:rsidRPr="00896665" w:rsidP="005769E5" w14:paraId="43D4541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21</w:t>
            </w:r>
          </w:p>
        </w:tc>
      </w:tr>
      <w:tr w14:paraId="6D07294F"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301854A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896665">
              <w:rPr>
                <w:rFonts w:ascii="Calibri" w:hAnsi="Calibri" w:cs="Calibri"/>
                <w:color w:val="000000"/>
                <w:szCs w:val="22"/>
              </w:rPr>
              <w:t>M</w:t>
            </w:r>
            <w:r>
              <w:rPr>
                <w:rFonts w:ascii="Calibri" w:hAnsi="Calibri" w:cs="Calibri"/>
                <w:color w:val="000000"/>
                <w:szCs w:val="22"/>
              </w:rPr>
              <w:t>aine</w:t>
            </w:r>
          </w:p>
        </w:tc>
        <w:tc>
          <w:tcPr>
            <w:tcW w:w="1656" w:type="dxa"/>
            <w:shd w:val="clear" w:color="auto" w:fill="auto"/>
            <w:noWrap/>
            <w:vAlign w:val="center"/>
            <w:hideMark/>
          </w:tcPr>
          <w:p w:rsidR="00052325" w:rsidRPr="00896665" w:rsidP="005769E5" w14:paraId="30752AF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100</w:t>
            </w:r>
          </w:p>
        </w:tc>
        <w:tc>
          <w:tcPr>
            <w:tcW w:w="1705" w:type="dxa"/>
            <w:shd w:val="clear" w:color="auto" w:fill="auto"/>
            <w:noWrap/>
            <w:vAlign w:val="center"/>
            <w:hideMark/>
          </w:tcPr>
          <w:p w:rsidR="00052325" w:rsidRPr="00896665" w:rsidP="005769E5" w14:paraId="19FF2A5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55</w:t>
            </w:r>
          </w:p>
        </w:tc>
      </w:tr>
      <w:tr w14:paraId="50633BFD" w14:textId="77777777" w:rsidTr="005769E5">
        <w:tblPrEx>
          <w:tblW w:w="6056" w:type="dxa"/>
          <w:jc w:val="center"/>
          <w:tblLook w:val="04A0"/>
        </w:tblPrEx>
        <w:trPr>
          <w:trHeight w:val="290"/>
          <w:jc w:val="center"/>
        </w:trPr>
        <w:tc>
          <w:tcPr>
            <w:tcW w:w="2695" w:type="dxa"/>
            <w:shd w:val="clear" w:color="auto" w:fill="auto"/>
            <w:noWrap/>
            <w:vAlign w:val="bottom"/>
            <w:hideMark/>
          </w:tcPr>
          <w:p w:rsidR="00052325" w:rsidRPr="00896665" w:rsidP="005769E5" w14:paraId="46C8AB4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896665">
              <w:rPr>
                <w:rFonts w:ascii="Calibri" w:hAnsi="Calibri" w:cs="Calibri"/>
                <w:color w:val="000000"/>
                <w:szCs w:val="22"/>
              </w:rPr>
              <w:t>T</w:t>
            </w:r>
            <w:r>
              <w:rPr>
                <w:rFonts w:ascii="Calibri" w:hAnsi="Calibri" w:cs="Calibri"/>
                <w:color w:val="000000"/>
                <w:szCs w:val="22"/>
              </w:rPr>
              <w:t>exas</w:t>
            </w:r>
          </w:p>
        </w:tc>
        <w:tc>
          <w:tcPr>
            <w:tcW w:w="1656" w:type="dxa"/>
            <w:shd w:val="clear" w:color="auto" w:fill="auto"/>
            <w:noWrap/>
            <w:vAlign w:val="center"/>
            <w:hideMark/>
          </w:tcPr>
          <w:p w:rsidR="00052325" w:rsidRPr="00896665" w:rsidP="005769E5" w14:paraId="1B5F3B6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6938</w:t>
            </w:r>
          </w:p>
        </w:tc>
        <w:tc>
          <w:tcPr>
            <w:tcW w:w="1705" w:type="dxa"/>
            <w:shd w:val="clear" w:color="auto" w:fill="auto"/>
            <w:noWrap/>
            <w:vAlign w:val="center"/>
            <w:hideMark/>
          </w:tcPr>
          <w:p w:rsidR="00052325" w:rsidRPr="00896665" w:rsidP="005769E5" w14:paraId="2F75AC6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896665">
              <w:rPr>
                <w:rFonts w:ascii="Calibri" w:hAnsi="Calibri" w:cs="Calibri"/>
                <w:color w:val="000000"/>
                <w:szCs w:val="22"/>
              </w:rPr>
              <w:t>870</w:t>
            </w:r>
          </w:p>
        </w:tc>
      </w:tr>
    </w:tbl>
    <w:p w:rsidR="00052325" w:rsidP="00052325" w14:paraId="0A013394" w14:textId="77777777"/>
    <w:p w:rsidR="00052325" w:rsidP="00052325" w14:paraId="6B245FFF" w14:textId="77777777">
      <w:r>
        <w:t>Using these data, EPA evaluated the linear regression and determined that the coefficient of determination (R</w:t>
      </w:r>
      <w:r>
        <w:rPr>
          <w:vertAlign w:val="superscript"/>
        </w:rPr>
        <w:t>2</w:t>
      </w:r>
      <w:r w:rsidRPr="00465947">
        <w:t>)</w:t>
      </w:r>
      <w:r>
        <w:t xml:space="preserve"> is 0.71 with a ratio of 5.35 tests per major source per year. The Texas test number seemed to be an outlier because it was much higher than all the other states compared to the number </w:t>
      </w:r>
      <w:r>
        <w:t>of major sources in Texas. Dropping the Texas data results in a linear regression, forced through the origin, with an R</w:t>
      </w:r>
      <w:r>
        <w:rPr>
          <w:vertAlign w:val="superscript"/>
        </w:rPr>
        <w:t>2</w:t>
      </w:r>
      <w:r>
        <w:t xml:space="preserve"> of 0.93 and a ratio of 0.81 tests per major source per year, but this result had a significant underprediction bias at the low end of the data. Since neither linear regression was ideal, EPA took the midpoint between the 5.35 result and the 0.81 result, which gave 3.08 tests per facility per year. Based on this result, EPA used an estimated 3 tests per facility per year, or T= 3. </w:t>
      </w:r>
    </w:p>
    <w:p w:rsidR="00052325" w:rsidP="00052325" w14:paraId="6D83B26B" w14:textId="77777777"/>
    <w:p w:rsidR="00052325" w:rsidRPr="00DA7763" w:rsidP="00052325" w14:paraId="7060AB94" w14:textId="2D1FD3BD">
      <w:r>
        <w:t xml:space="preserve">Finally, EPA polled several source testing experts within EPA, who have previous source testing experience for industrial contractors, regarding the number of hours it takes to complete a source test report and submit to CEDRI. The range of estimates received was from 2 to 6 hours. The EPA selected the midpoint of this range of 4 hours, or H = 4. The product of the number of tests per facility per year (3) and the number of hours per test (4) provides the estimate of 12 hours per facility that is included for activity 5 </w:t>
      </w:r>
      <w:r w:rsidRPr="00C8408F">
        <w:t xml:space="preserve">of </w:t>
      </w:r>
      <w:r w:rsidRPr="00C8408F">
        <w:fldChar w:fldCharType="begin"/>
      </w:r>
      <w:r w:rsidRPr="00C8408F">
        <w:instrText xml:space="preserve"> REF _Ref114845025 \h  \* MERGEFORMAT </w:instrText>
      </w:r>
      <w:r w:rsidRPr="00C8408F">
        <w:fldChar w:fldCharType="separate"/>
      </w:r>
      <w:r w:rsidRPr="0020098E" w:rsidR="00646F0F">
        <w:t xml:space="preserve">Table </w:t>
      </w:r>
      <w:r w:rsidR="00646F0F">
        <w:rPr>
          <w:noProof/>
        </w:rPr>
        <w:t>11</w:t>
      </w:r>
      <w:r w:rsidRPr="00C8408F">
        <w:fldChar w:fldCharType="end"/>
      </w:r>
      <w:r w:rsidRPr="00C8408F">
        <w:t xml:space="preserve"> </w:t>
      </w:r>
      <w:r>
        <w:t>below.</w:t>
      </w:r>
    </w:p>
    <w:p w:rsidR="00052325" w:rsidRPr="00052325" w:rsidP="00172E63" w14:paraId="29B77E04" w14:textId="77777777"/>
    <w:p w:rsidR="00C44F5A" w:rsidP="00172E63" w14:paraId="69896EE9" w14:textId="129C2C1A">
      <w:pPr>
        <w:pStyle w:val="Heading3"/>
      </w:pPr>
      <w:r>
        <w:t xml:space="preserve">Burden for </w:t>
      </w:r>
      <w:r w:rsidR="009834D2">
        <w:t>o</w:t>
      </w:r>
      <w:r w:rsidR="00945CC7">
        <w:t>wners/</w:t>
      </w:r>
      <w:r w:rsidR="009834D2">
        <w:t>o</w:t>
      </w:r>
      <w:r w:rsidR="00945CC7">
        <w:t>perators</w:t>
      </w:r>
      <w:bookmarkEnd w:id="31"/>
      <w:r w:rsidR="00052325">
        <w:t xml:space="preserve"> for emissions reporting</w:t>
      </w:r>
    </w:p>
    <w:p w:rsidR="00C36A07" w:rsidP="007B1F74" w14:paraId="6255238F" w14:textId="3E5B9EE5">
      <w:r>
        <w:t xml:space="preserve">The burden for owners/operators to comply with the proposed AERR revision is driven by both mandatory and voluntary collections. For mandatory collections, burden </w:t>
      </w:r>
      <w:r w:rsidR="001F0E8C">
        <w:t xml:space="preserve">is for </w:t>
      </w:r>
      <w:r>
        <w:t xml:space="preserve">owners/operators </w:t>
      </w:r>
      <w:r w:rsidR="001F0E8C">
        <w:t xml:space="preserve">to </w:t>
      </w:r>
      <w:r>
        <w:t>report</w:t>
      </w:r>
      <w:r w:rsidR="00CF341E">
        <w:t xml:space="preserve"> </w:t>
      </w:r>
      <w:r>
        <w:t xml:space="preserve">to SLTs so </w:t>
      </w:r>
      <w:r w:rsidR="001D20E3">
        <w:t xml:space="preserve">that </w:t>
      </w:r>
      <w:r>
        <w:t xml:space="preserve">SLTs can comply with the proposed AERR requirements for annual and triennial reporting requirements. </w:t>
      </w:r>
      <w:r w:rsidR="004C7DD2">
        <w:t xml:space="preserve">During the 2024-2026 period of this burden estimate, the EPA expects that owners/operators would also need to collect latitude/longitude data for their release points, in anticipation of </w:t>
      </w:r>
      <w:r w:rsidR="00AB1140">
        <w:t xml:space="preserve">reporting these data in 2026 (for facilities outside of states’ implementation planning authority) and in 2027 for facilities within states. </w:t>
      </w:r>
      <w:r>
        <w:t xml:space="preserve">Additional burden from mandatory activities would include </w:t>
      </w:r>
      <w:r w:rsidR="00B44977">
        <w:t xml:space="preserve">reporting of certain source test data, </w:t>
      </w:r>
      <w:r>
        <w:t>reporting</w:t>
      </w:r>
      <w:r w:rsidR="00B44977">
        <w:t xml:space="preserve"> emissions</w:t>
      </w:r>
      <w:r>
        <w:t xml:space="preserve"> data to EPA </w:t>
      </w:r>
      <w:r w:rsidR="00B44977">
        <w:t xml:space="preserve">for certain facilities </w:t>
      </w:r>
      <w:r w:rsidR="0045073E">
        <w:t xml:space="preserve">located outside states’ implementation planning authority </w:t>
      </w:r>
      <w:r>
        <w:t>starting in 2026</w:t>
      </w:r>
      <w:r w:rsidR="00B44977">
        <w:t>,</w:t>
      </w:r>
      <w:r>
        <w:t xml:space="preserve"> and</w:t>
      </w:r>
      <w:r w:rsidR="00B44977">
        <w:t xml:space="preserve"> reporting needed if EPA finalizes</w:t>
      </w:r>
      <w:r>
        <w:t xml:space="preserve"> the </w:t>
      </w:r>
      <w:r>
        <w:t xml:space="preserve">AERR proposal’s </w:t>
      </w:r>
      <w:r>
        <w:t>One-Time-Collection option</w:t>
      </w:r>
      <w:r w:rsidR="00B44977">
        <w:t xml:space="preserve"> for HEDD related data</w:t>
      </w:r>
      <w:r>
        <w:t>. For voluntary collections, burden would include activities by rail companies to provide rail yard data.</w:t>
      </w:r>
    </w:p>
    <w:p w:rsidR="00C36A07" w:rsidP="007B1F74" w14:paraId="3DC66FCB" w14:textId="6A39DA5A"/>
    <w:p w:rsidR="007B1F74" w:rsidP="007B1F74" w14:paraId="31A833C9" w14:textId="12D9B149">
      <w:r>
        <w:t xml:space="preserve">While different burdens exist for owners/operators reporting to a given state collection approach versus the approach from another state, </w:t>
      </w:r>
      <w:r w:rsidR="00B44977">
        <w:t xml:space="preserve">EPA is unable to reflect </w:t>
      </w:r>
      <w:r>
        <w:t xml:space="preserve">those distinctions </w:t>
      </w:r>
      <w:r w:rsidR="00B44977">
        <w:t xml:space="preserve">in this ICR because </w:t>
      </w:r>
      <w:r>
        <w:t>data</w:t>
      </w:r>
      <w:r w:rsidR="00B44977">
        <w:t xml:space="preserve"> are not available about</w:t>
      </w:r>
      <w:r>
        <w:t xml:space="preserve"> burden from each of those systems. Similarly, we do not try to quantify the difference in facility burden for those states or local</w:t>
      </w:r>
      <w:r w:rsidR="00FD48C4">
        <w:t xml:space="preserve"> agencies</w:t>
      </w:r>
      <w:r>
        <w:t xml:space="preserve"> who have adopted CAERS as their collection approach.</w:t>
      </w:r>
    </w:p>
    <w:p w:rsidR="00032D15" w:rsidP="007B1F74" w14:paraId="3CD0158C" w14:textId="15D7721B"/>
    <w:p w:rsidR="00BE1DB2" w:rsidP="00BE1DB2" w14:paraId="6CD8539F" w14:textId="21081468">
      <w:r>
        <w:t xml:space="preserve">EPA has estimated burden for owners/operators to reply to report annual and seasonal emissions inventories in compliance with the proposed AERR, which includes both workflows to states as well as directly to </w:t>
      </w:r>
      <w:r w:rsidR="00204E7E">
        <w:t>EPA</w:t>
      </w:r>
      <w:r>
        <w:t xml:space="preserve">. </w:t>
      </w:r>
      <w:r w:rsidRPr="00DF7E6A">
        <w:fldChar w:fldCharType="begin"/>
      </w:r>
      <w:r w:rsidRPr="00DF7E6A">
        <w:instrText xml:space="preserve"> REF _Ref114845025 \h  \* MERGEFORMAT </w:instrText>
      </w:r>
      <w:r w:rsidRPr="00DF7E6A">
        <w:fldChar w:fldCharType="separate"/>
      </w:r>
      <w:r w:rsidRPr="0020098E" w:rsidR="00646F0F">
        <w:t xml:space="preserve">Table </w:t>
      </w:r>
      <w:r w:rsidR="00646F0F">
        <w:rPr>
          <w:noProof/>
        </w:rPr>
        <w:t>11</w:t>
      </w:r>
      <w:r w:rsidRPr="00DF7E6A">
        <w:fldChar w:fldCharType="end"/>
      </w:r>
      <w:r w:rsidRPr="00DF7E6A">
        <w:t xml:space="preserve"> provides </w:t>
      </w:r>
      <w:r>
        <w:t xml:space="preserve">the estimated number of facilities and number of hours for each facility to respond to the data collection by a state. Although some owners/operators who operate multiple facilities may report those data centrally and have efficiencies that reduce the burden, these estimates assume that all facilities report individually. </w:t>
      </w:r>
    </w:p>
    <w:p w:rsidR="00BE1DB2" w:rsidP="00BE1DB2" w14:paraId="420CDC65" w14:textId="77777777"/>
    <w:p w:rsidR="00BE1DB2" w:rsidP="00BE1DB2" w14:paraId="026FDC3F" w14:textId="01EE4CBE">
      <w:r>
        <w:t xml:space="preserve">For items 1 through 3 in </w:t>
      </w:r>
      <w:r w:rsidRPr="00DF7E6A">
        <w:fldChar w:fldCharType="begin"/>
      </w:r>
      <w:r w:rsidRPr="00DF7E6A">
        <w:instrText xml:space="preserve"> REF _Ref114845025 \h  \* MERGEFORMAT </w:instrText>
      </w:r>
      <w:r w:rsidRPr="00DF7E6A">
        <w:fldChar w:fldCharType="separate"/>
      </w:r>
      <w:r w:rsidRPr="0020098E" w:rsidR="00646F0F">
        <w:t xml:space="preserve">Table </w:t>
      </w:r>
      <w:r w:rsidR="00646F0F">
        <w:rPr>
          <w:noProof/>
        </w:rPr>
        <w:t>11</w:t>
      </w:r>
      <w:r w:rsidRPr="00DF7E6A">
        <w:fldChar w:fldCharType="end"/>
      </w:r>
      <w:r>
        <w:t xml:space="preserve">, these hours cover reporting CAPs to states. Any time taken for HAP reporting for the 2023-2025 inventory years (covered by this ICR) result from state requirements and are not driven by AERR requirements. The number of hours included is for </w:t>
      </w:r>
      <w:r w:rsidRPr="00CE5589">
        <w:t>reporting</w:t>
      </w:r>
      <w:r>
        <w:t xml:space="preserve"> emissions data only </w:t>
      </w:r>
      <w:r>
        <w:t>and includes the time that staff at facilities may need to spend to answer follow-up questions from the state. The time taken by facilities to collect necessary data (</w:t>
      </w:r>
      <w:r w:rsidRPr="008E5C9F" w:rsidR="008E5C9F">
        <w:rPr>
          <w:i/>
        </w:rPr>
        <w:t>e.g.</w:t>
      </w:r>
      <w:r>
        <w:t>, throughput, source testing) to comply with the reporting requirements is assumed to be a part of state permitting, compliance, and other requirements, which go beyond the scope of this ICR. Since most facilities reporting during the period covered by this ICR have been reporting emissions data for many years, this ICR does not include the additional hours associated with collecting facility attributes</w:t>
      </w:r>
      <w:r w:rsidR="001F2F4E">
        <w:t>, except for release point</w:t>
      </w:r>
      <w:r>
        <w:t xml:space="preserve"> latitude/longitude</w:t>
      </w:r>
      <w:r w:rsidR="001F2F4E">
        <w:t>s that have not been previously required</w:t>
      </w:r>
      <w:r>
        <w:t xml:space="preserve">. </w:t>
      </w:r>
    </w:p>
    <w:p w:rsidR="00731E5C" w:rsidP="00BE1DB2" w14:paraId="5B3372DB" w14:textId="7799820F"/>
    <w:p w:rsidR="00731E5C" w:rsidRPr="00DF7E6A" w:rsidP="00BE1DB2" w14:paraId="571F5F5A" w14:textId="24C71814">
      <w:r>
        <w:t xml:space="preserve">In </w:t>
      </w:r>
      <w:r w:rsidRPr="00DF7E6A">
        <w:fldChar w:fldCharType="begin"/>
      </w:r>
      <w:r w:rsidRPr="00DF7E6A">
        <w:instrText xml:space="preserve"> REF _Ref114845025 \h  \* MERGEFORMAT </w:instrText>
      </w:r>
      <w:r w:rsidRPr="00DF7E6A">
        <w:fldChar w:fldCharType="separate"/>
      </w:r>
      <w:r w:rsidRPr="0020098E" w:rsidR="00646F0F">
        <w:t xml:space="preserve">Table </w:t>
      </w:r>
      <w:r w:rsidR="00646F0F">
        <w:rPr>
          <w:noProof/>
        </w:rPr>
        <w:t>11</w:t>
      </w:r>
      <w:r w:rsidRPr="00DF7E6A">
        <w:fldChar w:fldCharType="end"/>
      </w:r>
      <w:r>
        <w:t xml:space="preserve">, </w:t>
      </w:r>
      <w:r w:rsidR="00A563F9">
        <w:t>the hours shown are the estimated hours needed to accomplish the task within a single year (not the hours averaged over 3 years). T</w:t>
      </w:r>
      <w:r>
        <w:t xml:space="preserve">o estimate an annual burden per facility even though different activities would occur within each year, </w:t>
      </w:r>
      <w:r w:rsidRPr="00DF7E6A" w:rsidR="00A563F9">
        <w:fldChar w:fldCharType="begin"/>
      </w:r>
      <w:r w:rsidRPr="00DF7E6A" w:rsidR="00A563F9">
        <w:instrText xml:space="preserve"> REF _Ref114845025 \h  \* MERGEFORMAT </w:instrText>
      </w:r>
      <w:r w:rsidRPr="00DF7E6A" w:rsidR="00A563F9">
        <w:fldChar w:fldCharType="separate"/>
      </w:r>
      <w:r w:rsidRPr="0020098E" w:rsidR="00646F0F">
        <w:t xml:space="preserve">Table </w:t>
      </w:r>
      <w:r w:rsidR="00646F0F">
        <w:rPr>
          <w:noProof/>
        </w:rPr>
        <w:t>11</w:t>
      </w:r>
      <w:r w:rsidRPr="00DF7E6A" w:rsidR="00A563F9">
        <w:fldChar w:fldCharType="end"/>
      </w:r>
      <w:r w:rsidR="00A563F9">
        <w:t xml:space="preserve"> uses </w:t>
      </w:r>
      <w:r>
        <w:t>the average facility count over 3 years. Within each 3-year period, activity 1 occurs just once and activity 2 occurs twice. Thus, the average facility count shown reflects those frequencies (</w:t>
      </w:r>
      <w:r w:rsidRPr="008E5C9F" w:rsidR="008E5C9F">
        <w:rPr>
          <w:i/>
        </w:rPr>
        <w:t>i.e.</w:t>
      </w:r>
      <w:r>
        <w:t>, [12,379 + 2,510 + 2,510] / 3 = 5,800 facilities).</w:t>
      </w:r>
      <w:r w:rsidR="00A563F9">
        <w:t xml:space="preserve"> </w:t>
      </w:r>
    </w:p>
    <w:p w:rsidR="00BE1DB2" w:rsidP="00BE1DB2" w14:paraId="1861104A" w14:textId="7154C2F9"/>
    <w:p w:rsidR="001F2F4E" w:rsidP="001F2F4E" w14:paraId="2B62E9BE" w14:textId="7834FD49">
      <w:pPr>
        <w:rPr>
          <w:rFonts w:ascii="Calibri" w:hAnsi="Calibri" w:cs="Calibri"/>
          <w:color w:val="000000"/>
          <w:szCs w:val="22"/>
        </w:rPr>
      </w:pPr>
      <w:r>
        <w:t xml:space="preserve">Since each row of </w:t>
      </w:r>
      <w:r w:rsidRPr="00F54489">
        <w:fldChar w:fldCharType="begin"/>
      </w:r>
      <w:r w:rsidRPr="00F54489">
        <w:instrText xml:space="preserve"> REF _Ref114845025 \h  \* MERGEFORMAT </w:instrText>
      </w:r>
      <w:r w:rsidRPr="00F54489">
        <w:fldChar w:fldCharType="separate"/>
      </w:r>
      <w:r w:rsidRPr="0020098E" w:rsidR="00646F0F">
        <w:t xml:space="preserve">Table </w:t>
      </w:r>
      <w:r w:rsidR="00646F0F">
        <w:rPr>
          <w:noProof/>
        </w:rPr>
        <w:t>11</w:t>
      </w:r>
      <w:r w:rsidRPr="00F54489">
        <w:fldChar w:fldCharType="end"/>
      </w:r>
      <w:r>
        <w:t xml:space="preserve"> includes entities in separate categories, the hour estimates listed here are not cumulative in some cases. The respondents for activities 1 and 2 overlap, meaning some respondents do one or both</w:t>
      </w:r>
      <w:r w:rsidR="00064411">
        <w:t xml:space="preserve"> </w:t>
      </w:r>
      <w:r>
        <w:t xml:space="preserve">of these activities. Thus, the total number of respondents for activities 1 and 2 are </w:t>
      </w:r>
      <w:r w:rsidRPr="005D4996">
        <w:rPr>
          <w:rFonts w:ascii="Calibri" w:hAnsi="Calibri" w:cs="Calibri"/>
          <w:color w:val="000000"/>
          <w:szCs w:val="22"/>
        </w:rPr>
        <w:t>12,37</w:t>
      </w:r>
      <w:r>
        <w:rPr>
          <w:rFonts w:ascii="Calibri" w:hAnsi="Calibri" w:cs="Calibri"/>
          <w:color w:val="000000"/>
          <w:szCs w:val="22"/>
        </w:rPr>
        <w:t xml:space="preserve">9, with 2,510 of them expected to also perform activity 2. Thus, the range of hours for such facilities reporting to states is between 25 and 50 hours. </w:t>
      </w:r>
    </w:p>
    <w:p w:rsidR="007C694E" w:rsidP="00BE1DB2" w14:paraId="5BC8B53A" w14:textId="7DCD7150"/>
    <w:p w:rsidR="00BE1DB2" w:rsidP="00A563F9" w14:paraId="5EBAB196" w14:textId="4141AEEE">
      <w:pPr>
        <w:pStyle w:val="Caption"/>
      </w:pPr>
      <w:bookmarkStart w:id="33" w:name="_Ref114845025"/>
      <w:r w:rsidRPr="0020098E">
        <w:t xml:space="preserve">Table </w:t>
      </w:r>
      <w:r w:rsidR="00E05ECE">
        <w:fldChar w:fldCharType="begin"/>
      </w:r>
      <w:r w:rsidR="00E05ECE">
        <w:instrText xml:space="preserve"> SEQ Table \* ARABIC </w:instrText>
      </w:r>
      <w:r w:rsidR="00E05ECE">
        <w:fldChar w:fldCharType="separate"/>
      </w:r>
      <w:r w:rsidR="00646F0F">
        <w:rPr>
          <w:noProof/>
        </w:rPr>
        <w:t>11</w:t>
      </w:r>
      <w:r w:rsidR="00E05ECE">
        <w:rPr>
          <w:noProof/>
        </w:rPr>
        <w:fldChar w:fldCharType="end"/>
      </w:r>
      <w:bookmarkEnd w:id="33"/>
      <w:r w:rsidRPr="0020098E">
        <w:t xml:space="preserve">: </w:t>
      </w:r>
      <w:r w:rsidRPr="0020098E" w:rsidR="0047628F">
        <w:t>Annual</w:t>
      </w:r>
      <w:r w:rsidR="0047628F">
        <w:t xml:space="preserve"> burden per facility for o</w:t>
      </w:r>
      <w:r w:rsidRPr="00032D15">
        <w:t>wner</w:t>
      </w:r>
      <w:r w:rsidR="0047628F">
        <w:t>s</w:t>
      </w:r>
      <w:r w:rsidRPr="00032D15">
        <w:t>/operator reporting</w:t>
      </w:r>
    </w:p>
    <w:tbl>
      <w:tblPr>
        <w:tblW w:w="9586" w:type="dxa"/>
        <w:tblLook w:val="04A0"/>
      </w:tblPr>
      <w:tblGrid>
        <w:gridCol w:w="2961"/>
        <w:gridCol w:w="1071"/>
        <w:gridCol w:w="1269"/>
        <w:gridCol w:w="416"/>
        <w:gridCol w:w="768"/>
        <w:gridCol w:w="72"/>
        <w:gridCol w:w="108"/>
        <w:gridCol w:w="540"/>
        <w:gridCol w:w="608"/>
        <w:gridCol w:w="112"/>
        <w:gridCol w:w="75"/>
        <w:gridCol w:w="105"/>
        <w:gridCol w:w="138"/>
        <w:gridCol w:w="23"/>
        <w:gridCol w:w="19"/>
        <w:gridCol w:w="90"/>
        <w:gridCol w:w="122"/>
        <w:gridCol w:w="148"/>
        <w:gridCol w:w="96"/>
        <w:gridCol w:w="22"/>
        <w:gridCol w:w="156"/>
        <w:gridCol w:w="110"/>
        <w:gridCol w:w="242"/>
        <w:gridCol w:w="31"/>
        <w:gridCol w:w="284"/>
      </w:tblGrid>
      <w:tr w14:paraId="574C3147" w14:textId="151C7D36" w:rsidTr="001E7B4E">
        <w:tblPrEx>
          <w:tblW w:w="9586" w:type="dxa"/>
          <w:tblLook w:val="04A0"/>
        </w:tblPrEx>
        <w:trPr>
          <w:trHeight w:val="300"/>
          <w:tblHeader/>
        </w:trPr>
        <w:tc>
          <w:tcPr>
            <w:tcW w:w="2961" w:type="dxa"/>
            <w:tcBorders>
              <w:top w:val="single" w:sz="8" w:space="0" w:color="000000"/>
              <w:left w:val="single" w:sz="8" w:space="0" w:color="000000"/>
              <w:bottom w:val="nil"/>
              <w:right w:val="single" w:sz="8" w:space="0" w:color="000000"/>
            </w:tcBorders>
            <w:shd w:val="clear" w:color="auto" w:fill="auto"/>
            <w:noWrap/>
            <w:vAlign w:val="bottom"/>
            <w:hideMark/>
          </w:tcPr>
          <w:p w:rsidR="00E92EAB" w:rsidRPr="005D4996" w:rsidP="00A563F9" w14:paraId="3B3BBC0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5D4996">
              <w:rPr>
                <w:rFonts w:ascii="Calibri" w:hAnsi="Calibri" w:cs="Calibri"/>
                <w:color w:val="000000"/>
                <w:szCs w:val="22"/>
              </w:rPr>
              <w:t> </w:t>
            </w:r>
          </w:p>
        </w:tc>
        <w:tc>
          <w:tcPr>
            <w:tcW w:w="1071" w:type="dxa"/>
            <w:tcBorders>
              <w:top w:val="single" w:sz="8" w:space="0" w:color="000000"/>
              <w:left w:val="nil"/>
              <w:bottom w:val="nil"/>
              <w:right w:val="single" w:sz="8" w:space="0" w:color="000000"/>
            </w:tcBorders>
            <w:shd w:val="clear" w:color="auto" w:fill="auto"/>
            <w:noWrap/>
            <w:vAlign w:val="bottom"/>
            <w:hideMark/>
          </w:tcPr>
          <w:p w:rsidR="00E92EAB" w:rsidRPr="005D4996" w:rsidP="00A563F9" w14:paraId="7DA85D82" w14:textId="13A1FE9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 </w:t>
            </w:r>
          </w:p>
        </w:tc>
        <w:tc>
          <w:tcPr>
            <w:tcW w:w="1269" w:type="dxa"/>
            <w:tcBorders>
              <w:top w:val="single" w:sz="8" w:space="0" w:color="000000"/>
              <w:left w:val="nil"/>
              <w:right w:val="single" w:sz="8" w:space="0" w:color="000000"/>
            </w:tcBorders>
            <w:vAlign w:val="bottom"/>
          </w:tcPr>
          <w:p w:rsidR="00E92EAB" w:rsidP="00A563F9" w14:paraId="516CBD2D" w14:textId="414C0F5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 xml:space="preserve">Annual </w:t>
            </w:r>
            <w:r>
              <w:rPr>
                <w:rFonts w:ascii="Calibri" w:hAnsi="Calibri" w:cs="Calibri"/>
                <w:b/>
                <w:bCs/>
                <w:color w:val="000000"/>
                <w:szCs w:val="22"/>
              </w:rPr>
              <w:t>Ave</w:t>
            </w:r>
            <w:r>
              <w:rPr>
                <w:rFonts w:ascii="Calibri" w:hAnsi="Calibri" w:cs="Calibri"/>
                <w:b/>
                <w:bCs/>
                <w:color w:val="000000"/>
                <w:szCs w:val="22"/>
              </w:rPr>
              <w:t>.</w:t>
            </w:r>
          </w:p>
        </w:tc>
        <w:tc>
          <w:tcPr>
            <w:tcW w:w="416" w:type="dxa"/>
            <w:tcBorders>
              <w:top w:val="single" w:sz="8" w:space="0" w:color="000000"/>
              <w:left w:val="single" w:sz="8" w:space="0" w:color="000000"/>
              <w:bottom w:val="single" w:sz="8" w:space="0" w:color="000000"/>
            </w:tcBorders>
            <w:shd w:val="clear" w:color="auto" w:fill="auto"/>
            <w:noWrap/>
            <w:vAlign w:val="bottom"/>
            <w:hideMark/>
          </w:tcPr>
          <w:p w:rsidR="00E92EAB" w:rsidRPr="005D4996" w:rsidP="00A563F9" w14:paraId="3F183AB0" w14:textId="354FCCB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 </w:t>
            </w:r>
          </w:p>
        </w:tc>
        <w:tc>
          <w:tcPr>
            <w:tcW w:w="2526" w:type="dxa"/>
            <w:gridSpan w:val="9"/>
            <w:tcBorders>
              <w:top w:val="single" w:sz="8" w:space="0" w:color="000000"/>
              <w:bottom w:val="single" w:sz="8" w:space="0" w:color="000000"/>
            </w:tcBorders>
            <w:shd w:val="clear" w:color="auto" w:fill="auto"/>
            <w:noWrap/>
            <w:vAlign w:val="bottom"/>
            <w:hideMark/>
          </w:tcPr>
          <w:p w:rsidR="00E92EAB" w:rsidRPr="005D4996" w:rsidP="00A563F9" w14:paraId="1F905286" w14:textId="571D366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Hours per Facility</w:t>
            </w:r>
          </w:p>
        </w:tc>
        <w:tc>
          <w:tcPr>
            <w:tcW w:w="402" w:type="dxa"/>
            <w:gridSpan w:val="5"/>
            <w:tcBorders>
              <w:top w:val="single" w:sz="8" w:space="0" w:color="000000"/>
              <w:bottom w:val="single" w:sz="8" w:space="0" w:color="000000"/>
              <w:right w:val="single" w:sz="8" w:space="0" w:color="000000"/>
            </w:tcBorders>
            <w:shd w:val="clear" w:color="auto" w:fill="auto"/>
            <w:noWrap/>
            <w:vAlign w:val="bottom"/>
            <w:hideMark/>
          </w:tcPr>
          <w:p w:rsidR="00E92EAB" w:rsidRPr="005D4996" w:rsidP="00A563F9" w14:paraId="7EBA9752" w14:textId="4554300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 </w:t>
            </w:r>
          </w:p>
        </w:tc>
        <w:tc>
          <w:tcPr>
            <w:tcW w:w="941" w:type="dxa"/>
            <w:gridSpan w:val="7"/>
            <w:tcBorders>
              <w:top w:val="single" w:sz="8" w:space="0" w:color="000000"/>
              <w:right w:val="single" w:sz="8" w:space="0" w:color="000000"/>
            </w:tcBorders>
            <w:vAlign w:val="bottom"/>
          </w:tcPr>
          <w:p w:rsidR="00E92EAB" w:rsidRPr="005D4996" w:rsidP="00A563F9" w14:paraId="00FC2C61" w14:textId="49C28B5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 </w:t>
            </w:r>
          </w:p>
        </w:tc>
      </w:tr>
      <w:tr w14:paraId="51F86149" w14:textId="1FE0C6A6" w:rsidTr="001E7B4E">
        <w:tblPrEx>
          <w:tblW w:w="9586" w:type="dxa"/>
          <w:tblLook w:val="04A0"/>
        </w:tblPrEx>
        <w:trPr>
          <w:trHeight w:val="646"/>
          <w:tblHeader/>
        </w:trPr>
        <w:tc>
          <w:tcPr>
            <w:tcW w:w="2961" w:type="dxa"/>
            <w:tcBorders>
              <w:top w:val="nil"/>
              <w:left w:val="single" w:sz="8" w:space="0" w:color="000000"/>
              <w:bottom w:val="single" w:sz="8" w:space="0" w:color="000000"/>
              <w:right w:val="single" w:sz="8" w:space="0" w:color="000000"/>
            </w:tcBorders>
            <w:shd w:val="clear" w:color="auto" w:fill="auto"/>
            <w:noWrap/>
            <w:vAlign w:val="bottom"/>
            <w:hideMark/>
          </w:tcPr>
          <w:p w:rsidR="00E92EAB" w:rsidRPr="005D4996" w:rsidP="00A563F9" w14:paraId="210B60D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Activity</w:t>
            </w:r>
          </w:p>
        </w:tc>
        <w:tc>
          <w:tcPr>
            <w:tcW w:w="1071" w:type="dxa"/>
            <w:tcBorders>
              <w:top w:val="nil"/>
              <w:left w:val="nil"/>
              <w:bottom w:val="single" w:sz="8" w:space="0" w:color="000000"/>
              <w:right w:val="single" w:sz="8" w:space="0" w:color="000000"/>
            </w:tcBorders>
            <w:shd w:val="clear" w:color="auto" w:fill="auto"/>
            <w:tcMar>
              <w:left w:w="72" w:type="dxa"/>
              <w:right w:w="72" w:type="dxa"/>
            </w:tcMar>
            <w:vAlign w:val="bottom"/>
            <w:hideMark/>
          </w:tcPr>
          <w:p w:rsidR="00E92EAB" w:rsidRPr="005D4996" w:rsidP="00A563F9" w14:paraId="4C8DD43E" w14:textId="39F76A3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Facility</w:t>
            </w:r>
            <w:r>
              <w:rPr>
                <w:rFonts w:ascii="Calibri" w:hAnsi="Calibri" w:cs="Calibri"/>
                <w:b/>
                <w:bCs/>
                <w:color w:val="000000"/>
                <w:szCs w:val="22"/>
              </w:rPr>
              <w:br/>
              <w:t>Count in 1 Year</w:t>
            </w:r>
          </w:p>
        </w:tc>
        <w:tc>
          <w:tcPr>
            <w:tcW w:w="1269" w:type="dxa"/>
            <w:tcBorders>
              <w:top w:val="nil"/>
              <w:left w:val="nil"/>
              <w:bottom w:val="single" w:sz="8" w:space="0" w:color="000000"/>
              <w:right w:val="single" w:sz="8" w:space="0" w:color="000000"/>
            </w:tcBorders>
            <w:tcMar>
              <w:left w:w="72" w:type="dxa"/>
              <w:right w:w="72" w:type="dxa"/>
            </w:tcMar>
            <w:vAlign w:val="bottom"/>
          </w:tcPr>
          <w:p w:rsidR="00E92EAB" w:rsidP="00A563F9" w14:paraId="2FB26061" w14:textId="4FC2FB0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Facility Count Over </w:t>
            </w:r>
            <w:r>
              <w:rPr>
                <w:rFonts w:ascii="Calibri" w:hAnsi="Calibri" w:cs="Calibri"/>
                <w:b/>
                <w:bCs/>
                <w:color w:val="000000"/>
                <w:szCs w:val="22"/>
              </w:rPr>
              <w:br/>
              <w:t>3 Years</w:t>
            </w:r>
          </w:p>
        </w:tc>
        <w:tc>
          <w:tcPr>
            <w:tcW w:w="1256" w:type="dxa"/>
            <w:gridSpan w:val="3"/>
            <w:tcBorders>
              <w:top w:val="nil"/>
              <w:left w:val="single" w:sz="8" w:space="0" w:color="000000"/>
              <w:bottom w:val="single" w:sz="8" w:space="0" w:color="000000"/>
              <w:right w:val="single" w:sz="8" w:space="0" w:color="000000"/>
            </w:tcBorders>
            <w:shd w:val="clear" w:color="auto" w:fill="auto"/>
            <w:tcMar>
              <w:left w:w="72" w:type="dxa"/>
              <w:right w:w="72" w:type="dxa"/>
            </w:tcMar>
            <w:vAlign w:val="bottom"/>
            <w:hideMark/>
          </w:tcPr>
          <w:p w:rsidR="00E92EAB" w:rsidRPr="005D4996" w:rsidP="00A563F9" w14:paraId="78142FB4" w14:textId="5EB3B84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Manager Hrs/yr @ $160.50/Hr</w:t>
            </w:r>
          </w:p>
        </w:tc>
        <w:tc>
          <w:tcPr>
            <w:tcW w:w="1256" w:type="dxa"/>
            <w:gridSpan w:val="3"/>
            <w:tcBorders>
              <w:top w:val="nil"/>
              <w:left w:val="nil"/>
              <w:bottom w:val="single" w:sz="8" w:space="0" w:color="000000"/>
              <w:right w:val="single" w:sz="8" w:space="0" w:color="000000"/>
            </w:tcBorders>
            <w:shd w:val="clear" w:color="auto" w:fill="auto"/>
            <w:tcMar>
              <w:left w:w="72" w:type="dxa"/>
              <w:right w:w="72" w:type="dxa"/>
            </w:tcMar>
            <w:vAlign w:val="bottom"/>
            <w:hideMark/>
          </w:tcPr>
          <w:p w:rsidR="00E92EAB" w:rsidRPr="005D4996" w:rsidP="00A563F9" w14:paraId="3976FCC9" w14:textId="7DE2C92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Engineer Hrs/yr @ $101.18/Hr</w:t>
            </w:r>
          </w:p>
        </w:tc>
        <w:tc>
          <w:tcPr>
            <w:tcW w:w="832" w:type="dxa"/>
            <w:gridSpan w:val="9"/>
            <w:tcBorders>
              <w:top w:val="nil"/>
              <w:left w:val="nil"/>
              <w:bottom w:val="single" w:sz="8" w:space="0" w:color="000000"/>
              <w:right w:val="single" w:sz="8" w:space="0" w:color="000000"/>
            </w:tcBorders>
            <w:shd w:val="clear" w:color="auto" w:fill="auto"/>
            <w:tcMar>
              <w:left w:w="72" w:type="dxa"/>
              <w:right w:w="72" w:type="dxa"/>
            </w:tcMar>
            <w:vAlign w:val="bottom"/>
            <w:hideMark/>
          </w:tcPr>
          <w:p w:rsidR="00E92EAB" w:rsidRPr="005D4996" w:rsidP="00A563F9" w14:paraId="24CC702E" w14:textId="0B3EAA9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Total</w:t>
            </w:r>
          </w:p>
        </w:tc>
        <w:tc>
          <w:tcPr>
            <w:tcW w:w="941" w:type="dxa"/>
            <w:gridSpan w:val="7"/>
            <w:tcBorders>
              <w:top w:val="nil"/>
              <w:left w:val="nil"/>
              <w:bottom w:val="single" w:sz="8" w:space="0" w:color="000000"/>
              <w:right w:val="single" w:sz="8" w:space="0" w:color="000000"/>
            </w:tcBorders>
            <w:tcMar>
              <w:left w:w="72" w:type="dxa"/>
              <w:right w:w="72" w:type="dxa"/>
            </w:tcMar>
            <w:vAlign w:val="bottom"/>
          </w:tcPr>
          <w:p w:rsidR="00E92EAB" w:rsidRPr="005D4996" w:rsidP="00A563F9" w14:paraId="0D31A380" w14:textId="7E24081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Facility Cost/</w:t>
            </w:r>
            <w:r>
              <w:rPr>
                <w:rFonts w:ascii="Calibri" w:hAnsi="Calibri" w:cs="Calibri"/>
                <w:b/>
                <w:bCs/>
                <w:color w:val="000000"/>
                <w:szCs w:val="22"/>
              </w:rPr>
              <w:br/>
              <w:t>Year</w:t>
            </w:r>
          </w:p>
        </w:tc>
      </w:tr>
      <w:tr w14:paraId="38D6486B" w14:textId="6985FFC0" w:rsidTr="001E7B4E">
        <w:tblPrEx>
          <w:tblW w:w="9586" w:type="dxa"/>
          <w:tblLook w:val="04A0"/>
        </w:tblPrEx>
        <w:trPr>
          <w:trHeight w:val="300"/>
        </w:trPr>
        <w:tc>
          <w:tcPr>
            <w:tcW w:w="2961" w:type="dxa"/>
            <w:tcBorders>
              <w:top w:val="nil"/>
              <w:left w:val="single" w:sz="8" w:space="0" w:color="000000"/>
              <w:bottom w:val="single" w:sz="8" w:space="0" w:color="000000"/>
              <w:right w:val="nil"/>
            </w:tcBorders>
            <w:shd w:val="clear" w:color="000000" w:fill="D9D9D9"/>
            <w:vAlign w:val="center"/>
            <w:hideMark/>
          </w:tcPr>
          <w:p w:rsidR="00E92EAB" w:rsidRPr="005D4996" w:rsidP="00A563F9" w14:paraId="40B91FC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Required activities</w:t>
            </w:r>
          </w:p>
        </w:tc>
        <w:tc>
          <w:tcPr>
            <w:tcW w:w="1071" w:type="dxa"/>
            <w:tcBorders>
              <w:top w:val="nil"/>
              <w:left w:val="nil"/>
              <w:bottom w:val="single" w:sz="8" w:space="0" w:color="000000"/>
              <w:right w:val="nil"/>
            </w:tcBorders>
            <w:shd w:val="clear" w:color="000000" w:fill="D9D9D9"/>
            <w:vAlign w:val="center"/>
            <w:hideMark/>
          </w:tcPr>
          <w:p w:rsidR="00E92EAB" w:rsidRPr="005D4996" w:rsidP="00A563F9" w14:paraId="19053BF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 </w:t>
            </w:r>
          </w:p>
        </w:tc>
        <w:tc>
          <w:tcPr>
            <w:tcW w:w="1269" w:type="dxa"/>
            <w:tcBorders>
              <w:top w:val="nil"/>
              <w:left w:val="nil"/>
              <w:bottom w:val="single" w:sz="8" w:space="0" w:color="000000"/>
              <w:right w:val="nil"/>
            </w:tcBorders>
            <w:shd w:val="clear" w:color="000000" w:fill="D9D9D9"/>
          </w:tcPr>
          <w:p w:rsidR="00E92EAB" w:rsidRPr="005D4996" w:rsidP="00A563F9" w14:paraId="4B825F9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p>
        </w:tc>
        <w:tc>
          <w:tcPr>
            <w:tcW w:w="1256" w:type="dxa"/>
            <w:gridSpan w:val="3"/>
            <w:tcBorders>
              <w:top w:val="nil"/>
              <w:left w:val="nil"/>
              <w:bottom w:val="single" w:sz="8" w:space="0" w:color="000000"/>
              <w:right w:val="nil"/>
            </w:tcBorders>
            <w:shd w:val="clear" w:color="000000" w:fill="D9D9D9"/>
            <w:vAlign w:val="center"/>
            <w:hideMark/>
          </w:tcPr>
          <w:p w:rsidR="00E92EAB" w:rsidRPr="005D4996" w:rsidP="00A563F9" w14:paraId="78D91876" w14:textId="594BC99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1256" w:type="dxa"/>
            <w:gridSpan w:val="3"/>
            <w:tcBorders>
              <w:top w:val="nil"/>
              <w:left w:val="nil"/>
              <w:bottom w:val="single" w:sz="8" w:space="0" w:color="000000"/>
              <w:right w:val="nil"/>
            </w:tcBorders>
            <w:shd w:val="clear" w:color="000000" w:fill="D9D9D9"/>
            <w:vAlign w:val="center"/>
            <w:hideMark/>
          </w:tcPr>
          <w:p w:rsidR="00E92EAB" w:rsidRPr="005D4996" w:rsidP="00A563F9" w14:paraId="3B8C628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832" w:type="dxa"/>
            <w:gridSpan w:val="9"/>
            <w:tcBorders>
              <w:top w:val="single" w:sz="8" w:space="0" w:color="000000"/>
              <w:left w:val="nil"/>
              <w:bottom w:val="single" w:sz="8" w:space="0" w:color="000000"/>
            </w:tcBorders>
            <w:shd w:val="clear" w:color="000000" w:fill="D9D9D9"/>
            <w:vAlign w:val="center"/>
            <w:hideMark/>
          </w:tcPr>
          <w:p w:rsidR="00E92EAB" w:rsidRPr="005D4996" w:rsidP="00A563F9" w14:paraId="13AB9741" w14:textId="4628EE8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941" w:type="dxa"/>
            <w:gridSpan w:val="7"/>
            <w:tcBorders>
              <w:top w:val="single" w:sz="8" w:space="0" w:color="000000"/>
              <w:bottom w:val="single" w:sz="8" w:space="0" w:color="000000"/>
              <w:right w:val="single" w:sz="8" w:space="0" w:color="000000"/>
            </w:tcBorders>
            <w:shd w:val="clear" w:color="000000" w:fill="D9D9D9"/>
            <w:vAlign w:val="center"/>
          </w:tcPr>
          <w:p w:rsidR="00E92EAB" w:rsidRPr="005D4996" w:rsidP="00A563F9" w14:paraId="54B14F07" w14:textId="2B52D2D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sidRPr="005D4996">
              <w:rPr>
                <w:rFonts w:ascii="Calibri" w:hAnsi="Calibri" w:cs="Calibri"/>
                <w:color w:val="000000"/>
                <w:szCs w:val="22"/>
              </w:rPr>
              <w:t> </w:t>
            </w:r>
          </w:p>
        </w:tc>
      </w:tr>
      <w:tr w14:paraId="238D5EED" w14:textId="139A8236" w:rsidTr="001E7B4E">
        <w:tblPrEx>
          <w:tblW w:w="9586" w:type="dxa"/>
          <w:tblLook w:val="04A0"/>
        </w:tblPrEx>
        <w:trPr>
          <w:trHeight w:val="580"/>
        </w:trPr>
        <w:tc>
          <w:tcPr>
            <w:tcW w:w="2961" w:type="dxa"/>
            <w:tcBorders>
              <w:top w:val="nil"/>
              <w:left w:val="single" w:sz="8" w:space="0" w:color="000000"/>
              <w:bottom w:val="single" w:sz="8" w:space="0" w:color="000000"/>
              <w:right w:val="single" w:sz="8" w:space="0" w:color="000000"/>
            </w:tcBorders>
            <w:shd w:val="clear" w:color="auto" w:fill="auto"/>
            <w:vAlign w:val="center"/>
            <w:hideMark/>
          </w:tcPr>
          <w:p w:rsidR="00746DD4" w:rsidRPr="005D4996" w:rsidP="00746DD4" w14:paraId="0FA5065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szCs w:val="22"/>
              </w:rPr>
            </w:pPr>
            <w:r w:rsidRPr="005D4996">
              <w:rPr>
                <w:rFonts w:ascii="Calibri" w:hAnsi="Calibri" w:cs="Calibri"/>
                <w:szCs w:val="22"/>
              </w:rPr>
              <w:t xml:space="preserve">1. </w:t>
            </w:r>
            <w:r>
              <w:rPr>
                <w:rFonts w:ascii="Calibri" w:hAnsi="Calibri" w:cs="Calibri"/>
                <w:szCs w:val="22"/>
              </w:rPr>
              <w:tab/>
            </w:r>
            <w:r w:rsidRPr="005D4996">
              <w:rPr>
                <w:rFonts w:ascii="Calibri" w:hAnsi="Calibri" w:cs="Calibri"/>
                <w:szCs w:val="22"/>
              </w:rPr>
              <w:t>Report annual CAPs by facility to states for use in triennial (2023) AERR report</w:t>
            </w:r>
          </w:p>
        </w:tc>
        <w:tc>
          <w:tcPr>
            <w:tcW w:w="1071" w:type="dxa"/>
            <w:tcBorders>
              <w:top w:val="nil"/>
              <w:left w:val="nil"/>
              <w:bottom w:val="single" w:sz="8" w:space="0" w:color="000000"/>
              <w:right w:val="single" w:sz="8" w:space="0" w:color="000000"/>
            </w:tcBorders>
            <w:shd w:val="clear" w:color="auto" w:fill="auto"/>
            <w:noWrap/>
            <w:vAlign w:val="center"/>
            <w:hideMark/>
          </w:tcPr>
          <w:p w:rsidR="00746DD4" w:rsidRPr="005D4996" w:rsidP="00746DD4" w14:paraId="48F2014A" w14:textId="4F7C8B7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12,379</w:t>
            </w:r>
          </w:p>
        </w:tc>
        <w:tc>
          <w:tcPr>
            <w:tcW w:w="1269" w:type="dxa"/>
            <w:tcBorders>
              <w:top w:val="single" w:sz="8" w:space="0" w:color="000000"/>
              <w:left w:val="nil"/>
              <w:right w:val="single" w:sz="4" w:space="0" w:color="000000"/>
            </w:tcBorders>
            <w:vAlign w:val="bottom"/>
          </w:tcPr>
          <w:p w:rsidR="00746DD4" w:rsidP="00746DD4" w14:paraId="3BFFEF94" w14:textId="6C4BE8B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5,800</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hideMark/>
          </w:tcPr>
          <w:p w:rsidR="00746DD4" w:rsidRPr="005D4996" w:rsidP="00746DD4" w14:paraId="0728561E" w14:textId="2A06C29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w:t>
            </w:r>
          </w:p>
        </w:tc>
        <w:tc>
          <w:tcPr>
            <w:tcW w:w="1256" w:type="dxa"/>
            <w:gridSpan w:val="3"/>
            <w:tcBorders>
              <w:top w:val="nil"/>
              <w:left w:val="nil"/>
              <w:bottom w:val="single" w:sz="8" w:space="0" w:color="000000"/>
              <w:right w:val="single" w:sz="8" w:space="0" w:color="000000"/>
            </w:tcBorders>
            <w:shd w:val="clear" w:color="auto" w:fill="auto"/>
            <w:noWrap/>
            <w:vAlign w:val="center"/>
            <w:hideMark/>
          </w:tcPr>
          <w:p w:rsidR="00746DD4" w:rsidRPr="005D4996" w:rsidP="00746DD4" w14:paraId="317C7565" w14:textId="52FA121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24</w:t>
            </w:r>
          </w:p>
        </w:tc>
        <w:tc>
          <w:tcPr>
            <w:tcW w:w="832" w:type="dxa"/>
            <w:gridSpan w:val="9"/>
            <w:tcBorders>
              <w:top w:val="nil"/>
              <w:left w:val="nil"/>
              <w:bottom w:val="single" w:sz="8" w:space="0" w:color="000000"/>
              <w:right w:val="single" w:sz="8" w:space="0" w:color="000000"/>
            </w:tcBorders>
            <w:shd w:val="clear" w:color="auto" w:fill="auto"/>
            <w:noWrap/>
            <w:vAlign w:val="center"/>
            <w:hideMark/>
          </w:tcPr>
          <w:p w:rsidR="00746DD4" w:rsidRPr="005D4996" w:rsidP="00746DD4" w14:paraId="0EB07BE3" w14:textId="0395B05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25</w:t>
            </w:r>
          </w:p>
        </w:tc>
        <w:tc>
          <w:tcPr>
            <w:tcW w:w="941" w:type="dxa"/>
            <w:gridSpan w:val="7"/>
            <w:tcBorders>
              <w:top w:val="nil"/>
              <w:left w:val="nil"/>
              <w:bottom w:val="single" w:sz="8" w:space="0" w:color="000000"/>
              <w:right w:val="single" w:sz="8" w:space="0" w:color="000000"/>
            </w:tcBorders>
            <w:vAlign w:val="center"/>
          </w:tcPr>
          <w:p w:rsidR="00746DD4" w:rsidRPr="005D4996" w:rsidP="00746DD4" w14:paraId="2982143B" w14:textId="59DA5DF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xml:space="preserve">$2,589 </w:t>
            </w:r>
          </w:p>
        </w:tc>
      </w:tr>
      <w:tr w14:paraId="3D05A389" w14:textId="26B15E1B" w:rsidTr="001E7B4E">
        <w:tblPrEx>
          <w:tblW w:w="9586" w:type="dxa"/>
          <w:tblLook w:val="04A0"/>
        </w:tblPrEx>
        <w:trPr>
          <w:trHeight w:val="580"/>
        </w:trPr>
        <w:tc>
          <w:tcPr>
            <w:tcW w:w="2961" w:type="dxa"/>
            <w:tcBorders>
              <w:top w:val="nil"/>
              <w:left w:val="single" w:sz="8" w:space="0" w:color="000000"/>
              <w:bottom w:val="single" w:sz="8" w:space="0" w:color="000000"/>
              <w:right w:val="single" w:sz="8" w:space="0" w:color="000000"/>
            </w:tcBorders>
            <w:shd w:val="clear" w:color="auto" w:fill="auto"/>
            <w:vAlign w:val="center"/>
            <w:hideMark/>
          </w:tcPr>
          <w:p w:rsidR="00746DD4" w:rsidRPr="005D4996" w:rsidP="00746DD4" w14:paraId="017F6B1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szCs w:val="22"/>
              </w:rPr>
            </w:pPr>
            <w:r w:rsidRPr="005D4996">
              <w:rPr>
                <w:rFonts w:ascii="Calibri" w:hAnsi="Calibri" w:cs="Calibri"/>
                <w:szCs w:val="22"/>
              </w:rPr>
              <w:t xml:space="preserve">2. </w:t>
            </w:r>
            <w:r>
              <w:rPr>
                <w:rFonts w:ascii="Calibri" w:hAnsi="Calibri" w:cs="Calibri"/>
                <w:szCs w:val="22"/>
              </w:rPr>
              <w:tab/>
            </w:r>
            <w:r w:rsidRPr="005D4996">
              <w:rPr>
                <w:rFonts w:ascii="Calibri" w:hAnsi="Calibri" w:cs="Calibri"/>
                <w:szCs w:val="22"/>
              </w:rPr>
              <w:t>Report annual CAPs by facility to states for use in 2024 and 2025 AERR report</w:t>
            </w:r>
          </w:p>
        </w:tc>
        <w:tc>
          <w:tcPr>
            <w:tcW w:w="1071" w:type="dxa"/>
            <w:tcBorders>
              <w:top w:val="nil"/>
              <w:left w:val="nil"/>
              <w:bottom w:val="single" w:sz="8" w:space="0" w:color="000000"/>
              <w:right w:val="single" w:sz="8" w:space="0" w:color="000000"/>
            </w:tcBorders>
            <w:shd w:val="clear" w:color="auto" w:fill="auto"/>
            <w:noWrap/>
            <w:vAlign w:val="center"/>
            <w:hideMark/>
          </w:tcPr>
          <w:p w:rsidR="00746DD4" w:rsidRPr="005D4996" w:rsidP="00746DD4" w14:paraId="103B0ACC" w14:textId="5F9A1CC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2,510</w:t>
            </w:r>
          </w:p>
        </w:tc>
        <w:tc>
          <w:tcPr>
            <w:tcW w:w="1269" w:type="dxa"/>
            <w:tcBorders>
              <w:left w:val="nil"/>
              <w:bottom w:val="single" w:sz="8" w:space="0" w:color="000000"/>
              <w:right w:val="single" w:sz="4" w:space="0" w:color="000000"/>
            </w:tcBorders>
            <w:vAlign w:val="center"/>
          </w:tcPr>
          <w:p w:rsidR="00746DD4" w:rsidP="00746DD4" w14:paraId="7D666F47" w14:textId="372C133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hideMark/>
          </w:tcPr>
          <w:p w:rsidR="00746DD4" w:rsidRPr="005D4996" w:rsidP="00746DD4" w14:paraId="441A009D" w14:textId="276144B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w:t>
            </w:r>
          </w:p>
        </w:tc>
        <w:tc>
          <w:tcPr>
            <w:tcW w:w="1256" w:type="dxa"/>
            <w:gridSpan w:val="3"/>
            <w:tcBorders>
              <w:top w:val="nil"/>
              <w:left w:val="nil"/>
              <w:bottom w:val="single" w:sz="8" w:space="0" w:color="000000"/>
              <w:right w:val="single" w:sz="8" w:space="0" w:color="000000"/>
            </w:tcBorders>
            <w:shd w:val="clear" w:color="auto" w:fill="auto"/>
            <w:noWrap/>
            <w:vAlign w:val="center"/>
            <w:hideMark/>
          </w:tcPr>
          <w:p w:rsidR="00746DD4" w:rsidRPr="005D4996" w:rsidP="00746DD4" w14:paraId="34965779" w14:textId="4C769E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24</w:t>
            </w:r>
          </w:p>
        </w:tc>
        <w:tc>
          <w:tcPr>
            <w:tcW w:w="832" w:type="dxa"/>
            <w:gridSpan w:val="9"/>
            <w:tcBorders>
              <w:top w:val="nil"/>
              <w:left w:val="nil"/>
              <w:bottom w:val="single" w:sz="8" w:space="0" w:color="000000"/>
              <w:right w:val="single" w:sz="8" w:space="0" w:color="000000"/>
            </w:tcBorders>
            <w:shd w:val="clear" w:color="auto" w:fill="auto"/>
            <w:noWrap/>
            <w:vAlign w:val="center"/>
            <w:hideMark/>
          </w:tcPr>
          <w:p w:rsidR="00746DD4" w:rsidRPr="005D4996" w:rsidP="00746DD4" w14:paraId="06A6833E" w14:textId="624DAF6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25</w:t>
            </w:r>
          </w:p>
        </w:tc>
        <w:tc>
          <w:tcPr>
            <w:tcW w:w="941" w:type="dxa"/>
            <w:gridSpan w:val="7"/>
            <w:tcBorders>
              <w:top w:val="nil"/>
              <w:left w:val="nil"/>
              <w:bottom w:val="single" w:sz="8" w:space="0" w:color="000000"/>
              <w:right w:val="single" w:sz="8" w:space="0" w:color="000000"/>
            </w:tcBorders>
            <w:vAlign w:val="center"/>
          </w:tcPr>
          <w:p w:rsidR="00746DD4" w:rsidRPr="005D4996" w:rsidP="00746DD4" w14:paraId="7D73EFB2" w14:textId="3EFD7D5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xml:space="preserve">$2,589 </w:t>
            </w:r>
          </w:p>
        </w:tc>
      </w:tr>
      <w:tr w14:paraId="371A673A" w14:textId="479CAA9D" w:rsidTr="001E7B4E">
        <w:tblPrEx>
          <w:tblW w:w="9586" w:type="dxa"/>
          <w:tblLook w:val="04A0"/>
        </w:tblPrEx>
        <w:trPr>
          <w:trHeight w:val="590"/>
        </w:trPr>
        <w:tc>
          <w:tcPr>
            <w:tcW w:w="2961" w:type="dxa"/>
            <w:tcBorders>
              <w:top w:val="nil"/>
              <w:left w:val="single" w:sz="8" w:space="0" w:color="000000"/>
              <w:bottom w:val="single" w:sz="8" w:space="0" w:color="000000"/>
              <w:right w:val="single" w:sz="8" w:space="0" w:color="000000"/>
            </w:tcBorders>
            <w:shd w:val="clear" w:color="auto" w:fill="auto"/>
            <w:vAlign w:val="center"/>
            <w:hideMark/>
          </w:tcPr>
          <w:p w:rsidR="00746DD4" w:rsidRPr="005D4996" w:rsidP="00746DD4" w14:paraId="7641717C" w14:textId="461578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szCs w:val="22"/>
              </w:rPr>
            </w:pPr>
            <w:r>
              <w:rPr>
                <w:rFonts w:ascii="Calibri" w:hAnsi="Calibri" w:cs="Calibri"/>
                <w:szCs w:val="22"/>
              </w:rPr>
              <w:t>3</w:t>
            </w:r>
            <w:r w:rsidRPr="005D4996">
              <w:rPr>
                <w:rFonts w:ascii="Calibri" w:hAnsi="Calibri" w:cs="Calibri"/>
                <w:szCs w:val="22"/>
              </w:rPr>
              <w:t>.</w:t>
            </w:r>
            <w:r>
              <w:rPr>
                <w:rFonts w:ascii="Calibri" w:hAnsi="Calibri" w:cs="Calibri"/>
                <w:szCs w:val="22"/>
              </w:rPr>
              <w:tab/>
            </w:r>
            <w:r w:rsidRPr="005D4996">
              <w:rPr>
                <w:rFonts w:ascii="Calibri" w:hAnsi="Calibri" w:cs="Calibri"/>
                <w:szCs w:val="22"/>
              </w:rPr>
              <w:t xml:space="preserve">Report annual CAPs and HAP to EPA by facility </w:t>
            </w:r>
            <w:r>
              <w:rPr>
                <w:rFonts w:ascii="Calibri" w:hAnsi="Calibri" w:cs="Calibri"/>
                <w:szCs w:val="22"/>
              </w:rPr>
              <w:t xml:space="preserve">in 2026 </w:t>
            </w:r>
            <w:r w:rsidRPr="005D4996">
              <w:rPr>
                <w:rFonts w:ascii="Calibri" w:hAnsi="Calibri" w:cs="Calibri"/>
                <w:szCs w:val="22"/>
              </w:rPr>
              <w:t>(for facilities within Indian country that meet NAICS and reporting thresholds)</w:t>
            </w:r>
          </w:p>
        </w:tc>
        <w:tc>
          <w:tcPr>
            <w:tcW w:w="1071" w:type="dxa"/>
            <w:tcBorders>
              <w:top w:val="nil"/>
              <w:left w:val="nil"/>
              <w:bottom w:val="single" w:sz="8" w:space="0" w:color="000000"/>
              <w:right w:val="single" w:sz="8" w:space="0" w:color="000000"/>
            </w:tcBorders>
            <w:shd w:val="clear" w:color="auto" w:fill="auto"/>
            <w:noWrap/>
            <w:vAlign w:val="center"/>
            <w:hideMark/>
          </w:tcPr>
          <w:p w:rsidR="00746DD4" w:rsidRPr="005D4996" w:rsidP="00746DD4" w14:paraId="47AB9E34" w14:textId="2BB5E99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81</w:t>
            </w:r>
            <w:r w:rsidR="005877F7">
              <w:rPr>
                <w:rFonts w:ascii="Calibri" w:hAnsi="Calibri" w:cs="Calibri"/>
                <w:color w:val="000000"/>
                <w:szCs w:val="22"/>
              </w:rPr>
              <w:t>9</w:t>
            </w:r>
          </w:p>
        </w:tc>
        <w:tc>
          <w:tcPr>
            <w:tcW w:w="1269" w:type="dxa"/>
            <w:tcBorders>
              <w:top w:val="single" w:sz="8" w:space="0" w:color="000000"/>
              <w:left w:val="nil"/>
              <w:bottom w:val="single" w:sz="8" w:space="0" w:color="000000"/>
              <w:right w:val="single" w:sz="4" w:space="0" w:color="000000"/>
            </w:tcBorders>
            <w:vAlign w:val="center"/>
          </w:tcPr>
          <w:p w:rsidR="00746DD4" w:rsidP="00746DD4" w14:paraId="00DF0561" w14:textId="443C7F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271</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hideMark/>
          </w:tcPr>
          <w:p w:rsidR="00746DD4" w:rsidRPr="005D4996" w:rsidP="00746DD4" w14:paraId="1DE109FC" w14:textId="13685EE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w:t>
            </w:r>
          </w:p>
        </w:tc>
        <w:tc>
          <w:tcPr>
            <w:tcW w:w="1256" w:type="dxa"/>
            <w:gridSpan w:val="3"/>
            <w:tcBorders>
              <w:top w:val="nil"/>
              <w:left w:val="nil"/>
              <w:bottom w:val="single" w:sz="8" w:space="0" w:color="000000"/>
              <w:right w:val="single" w:sz="8" w:space="0" w:color="000000"/>
            </w:tcBorders>
            <w:shd w:val="clear" w:color="auto" w:fill="auto"/>
            <w:noWrap/>
            <w:vAlign w:val="center"/>
            <w:hideMark/>
          </w:tcPr>
          <w:p w:rsidR="00746DD4" w:rsidRPr="005D4996" w:rsidP="00746DD4" w14:paraId="5D48BAE6" w14:textId="59D8B39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w:t>
            </w:r>
          </w:p>
        </w:tc>
        <w:tc>
          <w:tcPr>
            <w:tcW w:w="832" w:type="dxa"/>
            <w:gridSpan w:val="9"/>
            <w:tcBorders>
              <w:top w:val="nil"/>
              <w:left w:val="nil"/>
              <w:bottom w:val="single" w:sz="8" w:space="0" w:color="000000"/>
              <w:right w:val="single" w:sz="8" w:space="0" w:color="000000"/>
            </w:tcBorders>
            <w:shd w:val="clear" w:color="auto" w:fill="auto"/>
            <w:noWrap/>
            <w:vAlign w:val="center"/>
            <w:hideMark/>
          </w:tcPr>
          <w:p w:rsidR="00746DD4" w:rsidRPr="005D4996" w:rsidP="00746DD4" w14:paraId="4A36E5CB" w14:textId="00D182B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42</w:t>
            </w:r>
          </w:p>
        </w:tc>
        <w:tc>
          <w:tcPr>
            <w:tcW w:w="941" w:type="dxa"/>
            <w:gridSpan w:val="7"/>
            <w:tcBorders>
              <w:top w:val="nil"/>
              <w:left w:val="nil"/>
              <w:bottom w:val="single" w:sz="8" w:space="0" w:color="000000"/>
              <w:right w:val="single" w:sz="8" w:space="0" w:color="000000"/>
            </w:tcBorders>
            <w:vAlign w:val="center"/>
          </w:tcPr>
          <w:p w:rsidR="00746DD4" w:rsidRPr="005D4996" w:rsidP="00746DD4" w14:paraId="604A1563" w14:textId="1E1C5FA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xml:space="preserve">$4,368 </w:t>
            </w:r>
          </w:p>
        </w:tc>
      </w:tr>
      <w:tr w14:paraId="0CD31AC1" w14:textId="0FD6857B" w:rsidTr="001E7B4E">
        <w:tblPrEx>
          <w:tblW w:w="9586" w:type="dxa"/>
          <w:tblLook w:val="04A0"/>
        </w:tblPrEx>
        <w:trPr>
          <w:trHeight w:val="432"/>
        </w:trPr>
        <w:tc>
          <w:tcPr>
            <w:tcW w:w="2961" w:type="dxa"/>
            <w:tcBorders>
              <w:top w:val="nil"/>
              <w:left w:val="single" w:sz="8" w:space="0" w:color="000000"/>
              <w:bottom w:val="single" w:sz="8" w:space="0" w:color="000000"/>
              <w:right w:val="single" w:sz="8" w:space="0" w:color="000000"/>
            </w:tcBorders>
            <w:shd w:val="clear" w:color="auto" w:fill="auto"/>
            <w:vAlign w:val="center"/>
          </w:tcPr>
          <w:p w:rsidR="00746DD4" w:rsidRPr="005D4996" w:rsidP="00746DD4" w14:paraId="268AD08C" w14:textId="7CCFC68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szCs w:val="22"/>
              </w:rPr>
            </w:pPr>
            <w:r>
              <w:rPr>
                <w:rFonts w:ascii="Calibri" w:hAnsi="Calibri" w:cs="Calibri"/>
                <w:szCs w:val="22"/>
              </w:rPr>
              <w:t>4</w:t>
            </w:r>
            <w:r>
              <w:rPr>
                <w:rFonts w:ascii="Calibri" w:hAnsi="Calibri" w:cs="Calibri"/>
                <w:szCs w:val="22"/>
              </w:rPr>
              <w:t xml:space="preserve">. </w:t>
            </w:r>
            <w:r>
              <w:rPr>
                <w:rFonts w:ascii="Calibri" w:hAnsi="Calibri" w:cs="Calibri"/>
                <w:szCs w:val="22"/>
              </w:rPr>
              <w:tab/>
              <w:t>Report source test data to EPA</w:t>
            </w:r>
          </w:p>
        </w:tc>
        <w:tc>
          <w:tcPr>
            <w:tcW w:w="1071" w:type="dxa"/>
            <w:tcBorders>
              <w:top w:val="nil"/>
              <w:left w:val="nil"/>
              <w:bottom w:val="single" w:sz="8" w:space="0" w:color="000000"/>
              <w:right w:val="single" w:sz="8" w:space="0" w:color="000000"/>
            </w:tcBorders>
            <w:shd w:val="clear" w:color="auto" w:fill="auto"/>
            <w:noWrap/>
            <w:vAlign w:val="center"/>
          </w:tcPr>
          <w:p w:rsidR="00746DD4" w:rsidRPr="005D4996" w:rsidP="00746DD4" w14:paraId="366F490D" w14:textId="74A9208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13,420</w:t>
            </w:r>
          </w:p>
        </w:tc>
        <w:tc>
          <w:tcPr>
            <w:tcW w:w="1269" w:type="dxa"/>
            <w:tcBorders>
              <w:top w:val="single" w:sz="8" w:space="0" w:color="000000"/>
              <w:left w:val="nil"/>
              <w:bottom w:val="single" w:sz="8" w:space="0" w:color="000000"/>
              <w:right w:val="single" w:sz="4" w:space="0" w:color="000000"/>
            </w:tcBorders>
            <w:vAlign w:val="center"/>
          </w:tcPr>
          <w:p w:rsidR="00746DD4" w:rsidP="00746DD4" w14:paraId="07A12F76" w14:textId="5FE744C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13,420</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tcPr>
          <w:p w:rsidR="00746DD4" w:rsidRPr="005D4996" w:rsidP="00746DD4" w14:paraId="6652486B" w14:textId="7F090F8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256" w:type="dxa"/>
            <w:gridSpan w:val="3"/>
            <w:tcBorders>
              <w:top w:val="nil"/>
              <w:left w:val="nil"/>
              <w:bottom w:val="single" w:sz="8" w:space="0" w:color="000000"/>
              <w:right w:val="single" w:sz="8" w:space="0" w:color="000000"/>
            </w:tcBorders>
            <w:shd w:val="clear" w:color="auto" w:fill="auto"/>
            <w:noWrap/>
            <w:vAlign w:val="center"/>
          </w:tcPr>
          <w:p w:rsidR="00746DD4" w:rsidRPr="005D4996" w:rsidP="00746DD4" w14:paraId="7DB122C2" w14:textId="2D1380A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w:t>
            </w:r>
          </w:p>
        </w:tc>
        <w:tc>
          <w:tcPr>
            <w:tcW w:w="832" w:type="dxa"/>
            <w:gridSpan w:val="9"/>
            <w:tcBorders>
              <w:top w:val="nil"/>
              <w:left w:val="nil"/>
              <w:bottom w:val="single" w:sz="8" w:space="0" w:color="000000"/>
              <w:right w:val="single" w:sz="8" w:space="0" w:color="000000"/>
            </w:tcBorders>
            <w:shd w:val="clear" w:color="auto" w:fill="auto"/>
            <w:noWrap/>
            <w:vAlign w:val="center"/>
          </w:tcPr>
          <w:p w:rsidR="00746DD4" w:rsidRPr="005D4996" w:rsidP="00746DD4" w14:paraId="0F8F7047" w14:textId="5B3B0EB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w:t>
            </w:r>
          </w:p>
        </w:tc>
        <w:tc>
          <w:tcPr>
            <w:tcW w:w="941" w:type="dxa"/>
            <w:gridSpan w:val="7"/>
            <w:tcBorders>
              <w:top w:val="nil"/>
              <w:left w:val="nil"/>
              <w:bottom w:val="single" w:sz="8" w:space="0" w:color="000000"/>
              <w:right w:val="single" w:sz="8" w:space="0" w:color="000000"/>
            </w:tcBorders>
            <w:vAlign w:val="center"/>
          </w:tcPr>
          <w:p w:rsidR="00746DD4" w:rsidP="00746DD4" w14:paraId="33CB7928" w14:textId="2F2636E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xml:space="preserve">$1,214 </w:t>
            </w:r>
          </w:p>
        </w:tc>
      </w:tr>
      <w:tr w14:paraId="5E2A8162" w14:textId="77777777" w:rsidTr="001E7B4E">
        <w:tblPrEx>
          <w:tblW w:w="9586" w:type="dxa"/>
          <w:tblLook w:val="04A0"/>
        </w:tblPrEx>
        <w:trPr>
          <w:trHeight w:val="432"/>
        </w:trPr>
        <w:tc>
          <w:tcPr>
            <w:tcW w:w="8000" w:type="dxa"/>
            <w:gridSpan w:val="11"/>
            <w:tcBorders>
              <w:top w:val="nil"/>
              <w:left w:val="single" w:sz="8" w:space="0" w:color="000000"/>
              <w:bottom w:val="single" w:sz="8" w:space="0" w:color="000000"/>
            </w:tcBorders>
            <w:shd w:val="clear" w:color="auto" w:fill="D9D9D9"/>
            <w:vAlign w:val="center"/>
          </w:tcPr>
          <w:p w:rsidR="00A05F65" w:rsidP="001E7B4E" w14:paraId="6FCB9BDE" w14:textId="1734C37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b/>
                <w:bCs/>
                <w:color w:val="000000"/>
                <w:szCs w:val="22"/>
              </w:rPr>
            </w:pPr>
            <w:r>
              <w:rPr>
                <w:rFonts w:ascii="Calibri" w:hAnsi="Calibri" w:cs="Calibri"/>
                <w:b/>
                <w:bCs/>
                <w:color w:val="000000"/>
                <w:szCs w:val="22"/>
              </w:rPr>
              <w:t>Required One-Time Activities</w:t>
            </w:r>
          </w:p>
        </w:tc>
        <w:tc>
          <w:tcPr>
            <w:tcW w:w="266" w:type="dxa"/>
            <w:gridSpan w:val="3"/>
            <w:tcBorders>
              <w:top w:val="nil"/>
              <w:bottom w:val="single" w:sz="8" w:space="0" w:color="000000"/>
            </w:tcBorders>
            <w:shd w:val="clear" w:color="auto" w:fill="D9D9D9"/>
            <w:noWrap/>
            <w:vAlign w:val="center"/>
          </w:tcPr>
          <w:p w:rsidR="00A05F65" w:rsidP="001E7B4E" w14:paraId="71277BDF" w14:textId="1033CA80">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5D4996">
              <w:rPr>
                <w:rFonts w:ascii="Calibri" w:hAnsi="Calibri" w:cs="Calibri"/>
                <w:b/>
                <w:bCs/>
                <w:color w:val="000000"/>
                <w:szCs w:val="22"/>
              </w:rPr>
              <w:t> </w:t>
            </w:r>
          </w:p>
        </w:tc>
        <w:tc>
          <w:tcPr>
            <w:tcW w:w="231" w:type="dxa"/>
            <w:gridSpan w:val="3"/>
            <w:tcBorders>
              <w:top w:val="single" w:sz="8" w:space="0" w:color="000000"/>
              <w:bottom w:val="single" w:sz="8" w:space="0" w:color="000000"/>
            </w:tcBorders>
            <w:shd w:val="clear" w:color="auto" w:fill="D9D9D9"/>
            <w:vAlign w:val="center"/>
          </w:tcPr>
          <w:p w:rsidR="00A05F65" w:rsidP="001E7B4E" w14:paraId="12C80D5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p>
        </w:tc>
        <w:tc>
          <w:tcPr>
            <w:tcW w:w="266" w:type="dxa"/>
            <w:gridSpan w:val="3"/>
            <w:tcBorders>
              <w:top w:val="nil"/>
              <w:bottom w:val="single" w:sz="8" w:space="0" w:color="000000"/>
            </w:tcBorders>
            <w:shd w:val="clear" w:color="auto" w:fill="D9D9D9"/>
            <w:noWrap/>
            <w:vAlign w:val="center"/>
          </w:tcPr>
          <w:p w:rsidR="00A05F65" w:rsidP="001E7B4E" w14:paraId="1FB417F9" w14:textId="2DEC5AF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5D4996">
              <w:rPr>
                <w:rFonts w:ascii="Calibri" w:hAnsi="Calibri" w:cs="Calibri"/>
                <w:color w:val="000000"/>
                <w:szCs w:val="22"/>
              </w:rPr>
              <w:t> </w:t>
            </w:r>
          </w:p>
        </w:tc>
        <w:tc>
          <w:tcPr>
            <w:tcW w:w="266" w:type="dxa"/>
            <w:gridSpan w:val="2"/>
            <w:tcBorders>
              <w:top w:val="nil"/>
              <w:bottom w:val="single" w:sz="8" w:space="0" w:color="000000"/>
            </w:tcBorders>
            <w:shd w:val="clear" w:color="auto" w:fill="D9D9D9"/>
            <w:noWrap/>
            <w:vAlign w:val="center"/>
          </w:tcPr>
          <w:p w:rsidR="00A05F65" w:rsidP="001E7B4E" w14:paraId="5B0877BC" w14:textId="5F6B17C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5D4996">
              <w:rPr>
                <w:rFonts w:ascii="Calibri" w:hAnsi="Calibri" w:cs="Calibri"/>
                <w:color w:val="000000"/>
                <w:szCs w:val="22"/>
              </w:rPr>
              <w:t> </w:t>
            </w:r>
          </w:p>
        </w:tc>
        <w:tc>
          <w:tcPr>
            <w:tcW w:w="273" w:type="dxa"/>
            <w:gridSpan w:val="2"/>
            <w:tcBorders>
              <w:top w:val="nil"/>
              <w:bottom w:val="single" w:sz="8" w:space="0" w:color="000000"/>
            </w:tcBorders>
            <w:shd w:val="clear" w:color="auto" w:fill="D9D9D9"/>
            <w:noWrap/>
            <w:vAlign w:val="center"/>
          </w:tcPr>
          <w:p w:rsidR="00A05F65" w:rsidP="001E7B4E" w14:paraId="6EE63DB0" w14:textId="2A7C7A9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5D4996">
              <w:rPr>
                <w:rFonts w:ascii="Calibri" w:hAnsi="Calibri" w:cs="Calibri"/>
                <w:color w:val="000000"/>
                <w:szCs w:val="22"/>
              </w:rPr>
              <w:t> </w:t>
            </w:r>
          </w:p>
        </w:tc>
        <w:tc>
          <w:tcPr>
            <w:tcW w:w="284" w:type="dxa"/>
            <w:tcBorders>
              <w:top w:val="nil"/>
              <w:bottom w:val="single" w:sz="8" w:space="0" w:color="000000"/>
              <w:right w:val="single" w:sz="8" w:space="0" w:color="000000"/>
            </w:tcBorders>
            <w:shd w:val="clear" w:color="auto" w:fill="D9D9D9"/>
            <w:vAlign w:val="bottom"/>
          </w:tcPr>
          <w:p w:rsidR="00A05F65" w:rsidP="001E7B4E" w14:paraId="11D97357" w14:textId="04780DB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color w:val="000000"/>
                <w:szCs w:val="22"/>
              </w:rPr>
              <w:t> </w:t>
            </w:r>
          </w:p>
        </w:tc>
      </w:tr>
      <w:tr w14:paraId="6F66A839" w14:textId="77777777" w:rsidTr="00172E63">
        <w:tblPrEx>
          <w:tblW w:w="9586" w:type="dxa"/>
          <w:tblLook w:val="04A0"/>
        </w:tblPrEx>
        <w:trPr>
          <w:trHeight w:val="432"/>
        </w:trPr>
        <w:tc>
          <w:tcPr>
            <w:tcW w:w="2961" w:type="dxa"/>
            <w:tcBorders>
              <w:top w:val="nil"/>
              <w:left w:val="single" w:sz="8" w:space="0" w:color="000000"/>
              <w:bottom w:val="single" w:sz="8" w:space="0" w:color="000000"/>
              <w:right w:val="single" w:sz="8" w:space="0" w:color="000000"/>
            </w:tcBorders>
            <w:shd w:val="clear" w:color="auto" w:fill="auto"/>
            <w:vAlign w:val="center"/>
          </w:tcPr>
          <w:p w:rsidR="00A05F65" w:rsidRPr="001E7B4E" w:rsidP="001E7B4E" w14:paraId="323923BE" w14:textId="6237B5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color w:val="000000"/>
                <w:szCs w:val="22"/>
              </w:rPr>
            </w:pPr>
            <w:r w:rsidRPr="001E7B4E">
              <w:rPr>
                <w:rFonts w:ascii="Calibri" w:hAnsi="Calibri" w:cs="Calibri"/>
                <w:color w:val="000000"/>
                <w:szCs w:val="22"/>
              </w:rPr>
              <w:t>5.</w:t>
            </w:r>
            <w:r>
              <w:rPr>
                <w:rFonts w:ascii="Calibri" w:hAnsi="Calibri" w:cs="Calibri"/>
                <w:color w:val="000000"/>
                <w:szCs w:val="22"/>
              </w:rPr>
              <w:tab/>
            </w:r>
            <w:r w:rsidR="00F53932">
              <w:rPr>
                <w:rFonts w:ascii="Calibri" w:hAnsi="Calibri" w:cs="Calibri"/>
                <w:color w:val="000000"/>
                <w:szCs w:val="22"/>
              </w:rPr>
              <w:t>Gather</w:t>
            </w:r>
            <w:r>
              <w:rPr>
                <w:rFonts w:ascii="Calibri" w:hAnsi="Calibri" w:cs="Calibri"/>
                <w:color w:val="000000"/>
                <w:szCs w:val="22"/>
              </w:rPr>
              <w:t xml:space="preserve"> release point latitude/longitude</w:t>
            </w:r>
            <w:r w:rsidR="00F53932">
              <w:rPr>
                <w:rFonts w:ascii="Calibri" w:hAnsi="Calibri" w:cs="Calibri"/>
                <w:color w:val="000000"/>
                <w:szCs w:val="22"/>
              </w:rPr>
              <w:t xml:space="preserve"> for future reporting</w:t>
            </w:r>
          </w:p>
        </w:tc>
        <w:tc>
          <w:tcPr>
            <w:tcW w:w="1071" w:type="dxa"/>
            <w:tcBorders>
              <w:top w:val="nil"/>
              <w:left w:val="nil"/>
              <w:bottom w:val="single" w:sz="8" w:space="0" w:color="000000"/>
              <w:right w:val="single" w:sz="8" w:space="0" w:color="000000"/>
            </w:tcBorders>
            <w:shd w:val="clear" w:color="auto" w:fill="auto"/>
            <w:noWrap/>
            <w:vAlign w:val="center"/>
          </w:tcPr>
          <w:p w:rsidR="00A05F65" w:rsidRPr="001E7B4E" w:rsidP="001E7B4E" w14:paraId="551CED8A" w14:textId="226594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40,3</w:t>
            </w:r>
            <w:r w:rsidR="0056361A">
              <w:rPr>
                <w:rFonts w:ascii="Calibri" w:hAnsi="Calibri" w:cs="Calibri"/>
                <w:color w:val="000000"/>
                <w:szCs w:val="22"/>
              </w:rPr>
              <w:t>15</w:t>
            </w:r>
          </w:p>
        </w:tc>
        <w:tc>
          <w:tcPr>
            <w:tcW w:w="1269" w:type="dxa"/>
            <w:tcBorders>
              <w:top w:val="single" w:sz="8" w:space="0" w:color="000000"/>
              <w:left w:val="nil"/>
              <w:bottom w:val="single" w:sz="8" w:space="0" w:color="000000"/>
              <w:right w:val="single" w:sz="4" w:space="0" w:color="000000"/>
            </w:tcBorders>
            <w:vAlign w:val="center"/>
          </w:tcPr>
          <w:p w:rsidR="00A05F65" w:rsidRPr="001E7B4E" w:rsidP="001E7B4E" w14:paraId="51D1A5D7" w14:textId="7C58952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40,3</w:t>
            </w:r>
            <w:r w:rsidR="0056361A">
              <w:rPr>
                <w:rFonts w:ascii="Calibri" w:hAnsi="Calibri" w:cs="Calibri"/>
                <w:color w:val="000000"/>
                <w:szCs w:val="22"/>
              </w:rPr>
              <w:t>15</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tcPr>
          <w:p w:rsidR="00A05F65" w:rsidRPr="001E7B4E" w:rsidP="001E7B4E" w14:paraId="72D419B8" w14:textId="0D6B13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2.1</w:t>
            </w:r>
          </w:p>
        </w:tc>
        <w:tc>
          <w:tcPr>
            <w:tcW w:w="1256" w:type="dxa"/>
            <w:gridSpan w:val="3"/>
            <w:tcBorders>
              <w:top w:val="nil"/>
              <w:left w:val="nil"/>
              <w:bottom w:val="single" w:sz="8" w:space="0" w:color="000000"/>
              <w:right w:val="single" w:sz="8" w:space="0" w:color="000000"/>
            </w:tcBorders>
            <w:shd w:val="clear" w:color="auto" w:fill="auto"/>
            <w:noWrap/>
            <w:vAlign w:val="center"/>
          </w:tcPr>
          <w:p w:rsidR="00A05F65" w:rsidRPr="001E7B4E" w:rsidP="001E7B4E" w14:paraId="4DEBA845" w14:textId="329E14E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10.5</w:t>
            </w:r>
          </w:p>
        </w:tc>
        <w:tc>
          <w:tcPr>
            <w:tcW w:w="832" w:type="dxa"/>
            <w:gridSpan w:val="9"/>
            <w:tcBorders>
              <w:top w:val="nil"/>
              <w:left w:val="nil"/>
              <w:bottom w:val="single" w:sz="8" w:space="0" w:color="000000"/>
              <w:right w:val="single" w:sz="8" w:space="0" w:color="000000"/>
            </w:tcBorders>
            <w:shd w:val="clear" w:color="auto" w:fill="auto"/>
            <w:noWrap/>
            <w:vAlign w:val="center"/>
          </w:tcPr>
          <w:p w:rsidR="00A05F65" w:rsidRPr="001E7B4E" w:rsidP="001E7B4E" w14:paraId="64A345CB" w14:textId="1F40FDF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12.6</w:t>
            </w:r>
          </w:p>
        </w:tc>
        <w:tc>
          <w:tcPr>
            <w:tcW w:w="941" w:type="dxa"/>
            <w:gridSpan w:val="7"/>
            <w:tcBorders>
              <w:top w:val="nil"/>
              <w:left w:val="nil"/>
              <w:bottom w:val="single" w:sz="8" w:space="0" w:color="000000"/>
              <w:right w:val="single" w:sz="8" w:space="0" w:color="000000"/>
            </w:tcBorders>
            <w:shd w:val="clear" w:color="auto" w:fill="auto"/>
            <w:vAlign w:val="center"/>
          </w:tcPr>
          <w:p w:rsidR="00A05F65" w:rsidRPr="001E7B4E" w:rsidP="00746DD4" w14:paraId="66B957B5" w14:textId="459E77D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$1,399</w:t>
            </w:r>
          </w:p>
        </w:tc>
      </w:tr>
      <w:tr w14:paraId="677F4AA5" w14:textId="77777777" w:rsidTr="005769E5">
        <w:tblPrEx>
          <w:tblW w:w="9586" w:type="dxa"/>
          <w:tblLook w:val="04A0"/>
        </w:tblPrEx>
        <w:trPr>
          <w:trHeight w:val="432"/>
        </w:trPr>
        <w:tc>
          <w:tcPr>
            <w:tcW w:w="2961" w:type="dxa"/>
            <w:tcBorders>
              <w:top w:val="nil"/>
              <w:left w:val="single" w:sz="8" w:space="0" w:color="000000"/>
              <w:bottom w:val="single" w:sz="8" w:space="0" w:color="000000"/>
              <w:right w:val="single" w:sz="8" w:space="0" w:color="000000"/>
            </w:tcBorders>
            <w:shd w:val="clear" w:color="auto" w:fill="auto"/>
            <w:vAlign w:val="center"/>
          </w:tcPr>
          <w:p w:rsidR="00CF341E" w:rsidP="00CF341E" w14:paraId="5ED5DFD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jc w:val="right"/>
              <w:rPr>
                <w:rFonts w:ascii="Calibri" w:hAnsi="Calibri" w:cs="Calibri"/>
                <w:szCs w:val="22"/>
              </w:rPr>
            </w:pPr>
            <w:r>
              <w:rPr>
                <w:rFonts w:ascii="Calibri" w:hAnsi="Calibri" w:cs="Calibri"/>
                <w:b/>
                <w:bCs/>
                <w:color w:val="000000"/>
                <w:szCs w:val="22"/>
              </w:rPr>
              <w:t>Sub-total weighted average per year:</w:t>
            </w:r>
          </w:p>
        </w:tc>
        <w:tc>
          <w:tcPr>
            <w:tcW w:w="1071" w:type="dxa"/>
            <w:tcBorders>
              <w:top w:val="nil"/>
              <w:left w:val="nil"/>
              <w:bottom w:val="single" w:sz="8" w:space="0" w:color="000000"/>
              <w:right w:val="single" w:sz="8" w:space="0" w:color="000000"/>
            </w:tcBorders>
            <w:shd w:val="clear" w:color="auto" w:fill="auto"/>
            <w:noWrap/>
            <w:vAlign w:val="center"/>
          </w:tcPr>
          <w:p w:rsidR="00CF341E" w:rsidP="00CF341E" w14:paraId="4DF8A3CD" w14:textId="6D5DD4D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40,3</w:t>
            </w:r>
            <w:r w:rsidR="0002508F">
              <w:rPr>
                <w:rFonts w:ascii="Calibri" w:hAnsi="Calibri" w:cs="Calibri"/>
                <w:b/>
                <w:bCs/>
                <w:color w:val="000000"/>
                <w:szCs w:val="22"/>
              </w:rPr>
              <w:t>15</w:t>
            </w:r>
          </w:p>
        </w:tc>
        <w:tc>
          <w:tcPr>
            <w:tcW w:w="1269" w:type="dxa"/>
            <w:tcBorders>
              <w:top w:val="single" w:sz="8" w:space="0" w:color="000000"/>
              <w:left w:val="nil"/>
              <w:bottom w:val="single" w:sz="8" w:space="0" w:color="000000"/>
              <w:right w:val="single" w:sz="4" w:space="0" w:color="000000"/>
            </w:tcBorders>
            <w:vAlign w:val="center"/>
          </w:tcPr>
          <w:p w:rsidR="00CF341E" w:rsidP="00CF341E" w14:paraId="56B0DCDE" w14:textId="1C9CE28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40,3</w:t>
            </w:r>
            <w:r w:rsidR="0002508F">
              <w:rPr>
                <w:rFonts w:ascii="Calibri" w:hAnsi="Calibri" w:cs="Calibri"/>
                <w:b/>
                <w:bCs/>
                <w:color w:val="000000"/>
                <w:szCs w:val="22"/>
              </w:rPr>
              <w:t>15</w:t>
            </w:r>
          </w:p>
        </w:tc>
        <w:tc>
          <w:tcPr>
            <w:tcW w:w="1256" w:type="dxa"/>
            <w:gridSpan w:val="3"/>
            <w:tcBorders>
              <w:top w:val="nil"/>
              <w:left w:val="single" w:sz="4" w:space="0" w:color="000000"/>
              <w:bottom w:val="single" w:sz="8" w:space="0" w:color="000000"/>
              <w:right w:val="single" w:sz="8" w:space="0" w:color="000000"/>
            </w:tcBorders>
            <w:shd w:val="clear" w:color="auto" w:fill="auto"/>
            <w:noWrap/>
            <w:vAlign w:val="center"/>
          </w:tcPr>
          <w:p w:rsidR="00CF341E" w:rsidP="00CF341E" w14:paraId="5A1611FB" w14:textId="01EB74A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2.26</w:t>
            </w:r>
          </w:p>
        </w:tc>
        <w:tc>
          <w:tcPr>
            <w:tcW w:w="1256" w:type="dxa"/>
            <w:gridSpan w:val="3"/>
            <w:tcBorders>
              <w:top w:val="nil"/>
              <w:left w:val="nil"/>
              <w:bottom w:val="single" w:sz="8" w:space="0" w:color="000000"/>
              <w:right w:val="single" w:sz="8" w:space="0" w:color="000000"/>
            </w:tcBorders>
            <w:shd w:val="clear" w:color="auto" w:fill="auto"/>
            <w:noWrap/>
            <w:vAlign w:val="center"/>
          </w:tcPr>
          <w:p w:rsidR="00CF341E" w:rsidP="00CF341E" w14:paraId="1BBCA227" w14:textId="40E6197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18.20</w:t>
            </w:r>
          </w:p>
        </w:tc>
        <w:tc>
          <w:tcPr>
            <w:tcW w:w="832" w:type="dxa"/>
            <w:gridSpan w:val="9"/>
            <w:tcBorders>
              <w:top w:val="nil"/>
              <w:left w:val="nil"/>
              <w:bottom w:val="single" w:sz="8" w:space="0" w:color="000000"/>
              <w:right w:val="single" w:sz="8" w:space="0" w:color="000000"/>
            </w:tcBorders>
            <w:shd w:val="clear" w:color="auto" w:fill="auto"/>
            <w:noWrap/>
            <w:vAlign w:val="center"/>
          </w:tcPr>
          <w:p w:rsidR="00CF341E" w:rsidP="00CF341E" w14:paraId="2EA56F16" w14:textId="06176C8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20.4</w:t>
            </w:r>
            <w:r w:rsidR="0002508F">
              <w:rPr>
                <w:rFonts w:ascii="Calibri" w:hAnsi="Calibri" w:cs="Calibri"/>
                <w:b/>
                <w:bCs/>
                <w:color w:val="000000"/>
                <w:szCs w:val="22"/>
              </w:rPr>
              <w:t>8</w:t>
            </w:r>
          </w:p>
        </w:tc>
        <w:tc>
          <w:tcPr>
            <w:tcW w:w="941" w:type="dxa"/>
            <w:gridSpan w:val="7"/>
            <w:tcBorders>
              <w:top w:val="nil"/>
              <w:left w:val="nil"/>
              <w:bottom w:val="single" w:sz="8" w:space="0" w:color="000000"/>
              <w:right w:val="single" w:sz="8" w:space="0" w:color="000000"/>
            </w:tcBorders>
            <w:vAlign w:val="center"/>
          </w:tcPr>
          <w:p w:rsidR="00CF341E" w:rsidP="00CF341E" w14:paraId="1BA36C52" w14:textId="308320C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b/>
                <w:bCs/>
                <w:color w:val="000000"/>
                <w:szCs w:val="22"/>
              </w:rPr>
              <w:t>$2,20</w:t>
            </w:r>
            <w:r w:rsidR="0002508F">
              <w:rPr>
                <w:rFonts w:ascii="Calibri" w:hAnsi="Calibri" w:cs="Calibri"/>
                <w:b/>
                <w:bCs/>
                <w:color w:val="000000"/>
                <w:szCs w:val="22"/>
              </w:rPr>
              <w:t>6</w:t>
            </w:r>
            <w:r>
              <w:rPr>
                <w:rFonts w:ascii="Calibri" w:hAnsi="Calibri" w:cs="Calibri"/>
                <w:b/>
                <w:bCs/>
                <w:color w:val="000000"/>
                <w:szCs w:val="22"/>
              </w:rPr>
              <w:t xml:space="preserve"> </w:t>
            </w:r>
          </w:p>
        </w:tc>
      </w:tr>
      <w:tr w14:paraId="22129D3C" w14:textId="29C293A0" w:rsidTr="001E7B4E">
        <w:tblPrEx>
          <w:tblW w:w="9586" w:type="dxa"/>
          <w:tblLook w:val="04A0"/>
        </w:tblPrEx>
        <w:trPr>
          <w:trHeight w:val="300"/>
        </w:trPr>
        <w:tc>
          <w:tcPr>
            <w:tcW w:w="6665" w:type="dxa"/>
            <w:gridSpan w:val="7"/>
            <w:tcBorders>
              <w:top w:val="nil"/>
              <w:left w:val="single" w:sz="8" w:space="0" w:color="000000"/>
              <w:bottom w:val="single" w:sz="8" w:space="0" w:color="000000"/>
              <w:right w:val="nil"/>
            </w:tcBorders>
            <w:shd w:val="clear" w:color="000000" w:fill="D9D9D9"/>
            <w:vAlign w:val="center"/>
            <w:hideMark/>
          </w:tcPr>
          <w:p w:rsidR="00E92EAB" w:rsidRPr="005D4996" w:rsidP="00AD00D8" w14:paraId="0AF6E4A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Required activities for One-Time-Collection op</w:t>
            </w:r>
            <w:r>
              <w:rPr>
                <w:rFonts w:ascii="Calibri" w:hAnsi="Calibri" w:cs="Calibri"/>
                <w:b/>
                <w:bCs/>
                <w:color w:val="000000"/>
                <w:szCs w:val="22"/>
              </w:rPr>
              <w:t>t</w:t>
            </w:r>
            <w:r w:rsidRPr="005D4996">
              <w:rPr>
                <w:rFonts w:ascii="Calibri" w:hAnsi="Calibri" w:cs="Calibri"/>
                <w:b/>
                <w:bCs/>
                <w:color w:val="000000"/>
                <w:szCs w:val="22"/>
              </w:rPr>
              <w:t>ion for HEDD</w:t>
            </w:r>
          </w:p>
        </w:tc>
        <w:tc>
          <w:tcPr>
            <w:tcW w:w="540" w:type="dxa"/>
            <w:tcBorders>
              <w:top w:val="nil"/>
              <w:left w:val="nil"/>
              <w:bottom w:val="single" w:sz="8" w:space="0" w:color="000000"/>
              <w:right w:val="nil"/>
            </w:tcBorders>
            <w:shd w:val="clear" w:color="000000" w:fill="D9D9D9"/>
            <w:vAlign w:val="center"/>
            <w:hideMark/>
          </w:tcPr>
          <w:p w:rsidR="00E92EAB" w:rsidRPr="005D4996" w:rsidP="00AD00D8" w14:paraId="3CAF9B1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 </w:t>
            </w:r>
          </w:p>
        </w:tc>
        <w:tc>
          <w:tcPr>
            <w:tcW w:w="720" w:type="dxa"/>
            <w:gridSpan w:val="2"/>
            <w:tcBorders>
              <w:top w:val="nil"/>
              <w:left w:val="nil"/>
              <w:bottom w:val="single" w:sz="8" w:space="0" w:color="000000"/>
              <w:right w:val="nil"/>
            </w:tcBorders>
            <w:shd w:val="clear" w:color="000000" w:fill="D9D9D9"/>
            <w:vAlign w:val="center"/>
          </w:tcPr>
          <w:p w:rsidR="00E92EAB" w:rsidRPr="005D4996" w:rsidP="00E92EAB" w14:paraId="724C4DB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p>
        </w:tc>
        <w:tc>
          <w:tcPr>
            <w:tcW w:w="360" w:type="dxa"/>
            <w:gridSpan w:val="5"/>
            <w:tcBorders>
              <w:top w:val="nil"/>
              <w:left w:val="nil"/>
              <w:bottom w:val="single" w:sz="8" w:space="0" w:color="000000"/>
              <w:right w:val="nil"/>
            </w:tcBorders>
            <w:shd w:val="clear" w:color="000000" w:fill="D9D9D9"/>
            <w:vAlign w:val="center"/>
            <w:hideMark/>
          </w:tcPr>
          <w:p w:rsidR="00E92EAB" w:rsidRPr="005D4996" w:rsidP="00AD00D8" w14:paraId="37DC82F7" w14:textId="55F6A60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456" w:type="dxa"/>
            <w:gridSpan w:val="4"/>
            <w:tcBorders>
              <w:top w:val="nil"/>
              <w:left w:val="nil"/>
              <w:bottom w:val="single" w:sz="8" w:space="0" w:color="000000"/>
              <w:right w:val="nil"/>
            </w:tcBorders>
            <w:shd w:val="clear" w:color="000000" w:fill="D9D9D9"/>
            <w:vAlign w:val="center"/>
            <w:hideMark/>
          </w:tcPr>
          <w:p w:rsidR="00E92EAB" w:rsidRPr="005D4996" w:rsidP="00AD00D8" w14:paraId="2199028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530" w:type="dxa"/>
            <w:gridSpan w:val="4"/>
            <w:tcBorders>
              <w:top w:val="single" w:sz="8" w:space="0" w:color="000000"/>
              <w:left w:val="nil"/>
              <w:bottom w:val="single" w:sz="8" w:space="0" w:color="000000"/>
            </w:tcBorders>
            <w:shd w:val="clear" w:color="000000" w:fill="D9D9D9"/>
            <w:vAlign w:val="center"/>
            <w:hideMark/>
          </w:tcPr>
          <w:p w:rsidR="00E92EAB" w:rsidRPr="005D4996" w:rsidP="00AD00D8" w14:paraId="0602520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315" w:type="dxa"/>
            <w:gridSpan w:val="2"/>
            <w:tcBorders>
              <w:top w:val="single" w:sz="8" w:space="0" w:color="000000"/>
              <w:bottom w:val="single" w:sz="8" w:space="0" w:color="000000"/>
              <w:right w:val="single" w:sz="8" w:space="0" w:color="000000"/>
            </w:tcBorders>
            <w:shd w:val="clear" w:color="000000" w:fill="D9D9D9"/>
            <w:vAlign w:val="bottom"/>
          </w:tcPr>
          <w:p w:rsidR="00E92EAB" w:rsidRPr="005D4996" w:rsidP="00AD00D8" w14:paraId="28A61FB1" w14:textId="3D1B038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w:t>
            </w:r>
          </w:p>
        </w:tc>
      </w:tr>
      <w:tr w14:paraId="5CFF8A0E" w14:textId="7C90509D" w:rsidTr="001E7B4E">
        <w:tblPrEx>
          <w:tblW w:w="9586" w:type="dxa"/>
          <w:tblLook w:val="04A0"/>
        </w:tblPrEx>
        <w:trPr>
          <w:trHeight w:val="590"/>
        </w:trPr>
        <w:tc>
          <w:tcPr>
            <w:tcW w:w="2961" w:type="dxa"/>
            <w:tcBorders>
              <w:top w:val="nil"/>
              <w:left w:val="single" w:sz="8" w:space="0" w:color="000000"/>
              <w:bottom w:val="single" w:sz="8" w:space="0" w:color="000000"/>
              <w:right w:val="single" w:sz="8" w:space="0" w:color="000000"/>
            </w:tcBorders>
            <w:shd w:val="clear" w:color="auto" w:fill="auto"/>
            <w:vAlign w:val="center"/>
            <w:hideMark/>
          </w:tcPr>
          <w:p w:rsidR="00E92EAB" w:rsidRPr="005D4996" w:rsidP="00DA6D10" w14:paraId="3F26B87A" w14:textId="0B0B0FF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47"/>
              <w:rPr>
                <w:rFonts w:ascii="Calibri" w:hAnsi="Calibri" w:cs="Calibri"/>
                <w:szCs w:val="22"/>
              </w:rPr>
            </w:pPr>
            <w:r>
              <w:rPr>
                <w:rFonts w:ascii="Calibri" w:hAnsi="Calibri" w:cs="Calibri"/>
                <w:szCs w:val="22"/>
              </w:rPr>
              <w:t>6</w:t>
            </w:r>
            <w:r w:rsidRPr="005D4996">
              <w:rPr>
                <w:rFonts w:ascii="Calibri" w:hAnsi="Calibri" w:cs="Calibri"/>
                <w:szCs w:val="22"/>
              </w:rPr>
              <w:t xml:space="preserve">. </w:t>
            </w:r>
            <w:r>
              <w:rPr>
                <w:rFonts w:ascii="Calibri" w:hAnsi="Calibri" w:cs="Calibri"/>
                <w:szCs w:val="22"/>
              </w:rPr>
              <w:tab/>
              <w:t>Report facility attributes and daily fuel use or heat input for small generating units</w:t>
            </w:r>
          </w:p>
        </w:tc>
        <w:tc>
          <w:tcPr>
            <w:tcW w:w="1071" w:type="dxa"/>
            <w:tcBorders>
              <w:top w:val="single" w:sz="8" w:space="0" w:color="000000"/>
              <w:left w:val="nil"/>
              <w:bottom w:val="single" w:sz="8" w:space="0" w:color="000000"/>
              <w:right w:val="nil"/>
            </w:tcBorders>
            <w:shd w:val="clear" w:color="auto" w:fill="auto"/>
            <w:noWrap/>
            <w:vAlign w:val="center"/>
            <w:hideMark/>
          </w:tcPr>
          <w:p w:rsidR="00E92EAB" w:rsidRPr="005D4996" w:rsidP="00DA6D10" w14:paraId="4B7FE434" w14:textId="4FC83D2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235</w:t>
            </w:r>
          </w:p>
        </w:tc>
        <w:tc>
          <w:tcPr>
            <w:tcW w:w="1269" w:type="dxa"/>
            <w:tcBorders>
              <w:top w:val="nil"/>
              <w:left w:val="single" w:sz="8" w:space="0" w:color="000000"/>
              <w:bottom w:val="single" w:sz="8" w:space="0" w:color="000000"/>
              <w:right w:val="single" w:sz="8" w:space="0" w:color="000000"/>
            </w:tcBorders>
            <w:vAlign w:val="center"/>
          </w:tcPr>
          <w:p w:rsidR="00E92EAB" w:rsidP="00E92EAB" w14:paraId="473DBB5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p>
        </w:tc>
        <w:tc>
          <w:tcPr>
            <w:tcW w:w="1256"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E92EAB" w:rsidRPr="005D4996" w:rsidP="00DA6D10" w14:paraId="04628E76" w14:textId="3A1EB62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10</w:t>
            </w:r>
          </w:p>
        </w:tc>
        <w:tc>
          <w:tcPr>
            <w:tcW w:w="1256" w:type="dxa"/>
            <w:gridSpan w:val="3"/>
            <w:tcBorders>
              <w:top w:val="nil"/>
              <w:left w:val="nil"/>
              <w:bottom w:val="single" w:sz="8" w:space="0" w:color="000000"/>
              <w:right w:val="single" w:sz="8" w:space="0" w:color="000000"/>
            </w:tcBorders>
            <w:shd w:val="clear" w:color="auto" w:fill="auto"/>
            <w:noWrap/>
            <w:vAlign w:val="center"/>
            <w:hideMark/>
          </w:tcPr>
          <w:p w:rsidR="00E92EAB" w:rsidRPr="005D4996" w:rsidP="00DA6D10" w14:paraId="54000A1A" w14:textId="7A819A2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120</w:t>
            </w:r>
          </w:p>
        </w:tc>
        <w:tc>
          <w:tcPr>
            <w:tcW w:w="832" w:type="dxa"/>
            <w:gridSpan w:val="9"/>
            <w:tcBorders>
              <w:top w:val="nil"/>
              <w:left w:val="nil"/>
              <w:bottom w:val="single" w:sz="8" w:space="0" w:color="000000"/>
              <w:right w:val="single" w:sz="8" w:space="0" w:color="000000"/>
            </w:tcBorders>
            <w:shd w:val="clear" w:color="auto" w:fill="auto"/>
            <w:noWrap/>
            <w:vAlign w:val="center"/>
            <w:hideMark/>
          </w:tcPr>
          <w:p w:rsidR="00E92EAB" w:rsidRPr="005D4996" w:rsidP="00DA6D10" w14:paraId="20905AFE" w14:textId="59C3398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130</w:t>
            </w:r>
          </w:p>
        </w:tc>
        <w:tc>
          <w:tcPr>
            <w:tcW w:w="941" w:type="dxa"/>
            <w:gridSpan w:val="7"/>
            <w:tcBorders>
              <w:top w:val="nil"/>
              <w:left w:val="nil"/>
              <w:bottom w:val="single" w:sz="8" w:space="0" w:color="000000"/>
              <w:right w:val="single" w:sz="8" w:space="0" w:color="000000"/>
            </w:tcBorders>
            <w:vAlign w:val="center"/>
          </w:tcPr>
          <w:p w:rsidR="00E92EAB" w:rsidRPr="005D4996" w:rsidP="00DA6D10" w14:paraId="47719909" w14:textId="29DA045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$13,746 </w:t>
            </w:r>
          </w:p>
        </w:tc>
      </w:tr>
      <w:tr w14:paraId="4828F1EE" w14:textId="3A41C6B3" w:rsidTr="001E7B4E">
        <w:tblPrEx>
          <w:tblW w:w="9586" w:type="dxa"/>
          <w:tblLook w:val="04A0"/>
        </w:tblPrEx>
        <w:trPr>
          <w:trHeight w:val="300"/>
        </w:trPr>
        <w:tc>
          <w:tcPr>
            <w:tcW w:w="6485" w:type="dxa"/>
            <w:gridSpan w:val="5"/>
            <w:tcBorders>
              <w:top w:val="single" w:sz="8" w:space="0" w:color="000000"/>
              <w:left w:val="single" w:sz="8" w:space="0" w:color="000000"/>
              <w:bottom w:val="single" w:sz="8" w:space="0" w:color="000000"/>
              <w:right w:val="nil"/>
            </w:tcBorders>
            <w:shd w:val="clear" w:color="000000" w:fill="D9D9D9"/>
            <w:vAlign w:val="center"/>
            <w:hideMark/>
          </w:tcPr>
          <w:p w:rsidR="00E92EAB" w:rsidRPr="005D4996" w:rsidP="00AD00D8" w14:paraId="5260156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Voluntary activities for triennial inventory years</w:t>
            </w:r>
          </w:p>
        </w:tc>
        <w:tc>
          <w:tcPr>
            <w:tcW w:w="1620" w:type="dxa"/>
            <w:gridSpan w:val="7"/>
            <w:tcBorders>
              <w:top w:val="single" w:sz="8" w:space="0" w:color="000000"/>
              <w:left w:val="nil"/>
              <w:bottom w:val="single" w:sz="8" w:space="0" w:color="000000"/>
              <w:right w:val="nil"/>
            </w:tcBorders>
            <w:shd w:val="clear" w:color="000000" w:fill="D9D9D9"/>
            <w:vAlign w:val="center"/>
            <w:hideMark/>
          </w:tcPr>
          <w:p w:rsidR="00E92EAB" w:rsidRPr="005D4996" w:rsidP="00AD00D8" w14:paraId="4B20D8F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5D4996">
              <w:rPr>
                <w:rFonts w:ascii="Calibri" w:hAnsi="Calibri" w:cs="Calibri"/>
                <w:b/>
                <w:bCs/>
                <w:color w:val="000000"/>
                <w:szCs w:val="22"/>
              </w:rPr>
              <w:t> </w:t>
            </w:r>
          </w:p>
        </w:tc>
        <w:tc>
          <w:tcPr>
            <w:tcW w:w="270" w:type="dxa"/>
            <w:gridSpan w:val="4"/>
            <w:tcBorders>
              <w:top w:val="single" w:sz="8" w:space="0" w:color="000000"/>
              <w:left w:val="nil"/>
              <w:bottom w:val="single" w:sz="8" w:space="0" w:color="000000"/>
              <w:right w:val="nil"/>
            </w:tcBorders>
            <w:shd w:val="clear" w:color="000000" w:fill="D9D9D9"/>
            <w:vAlign w:val="center"/>
          </w:tcPr>
          <w:p w:rsidR="00E92EAB" w:rsidRPr="005D4996" w:rsidP="00E92EAB" w14:paraId="29EAE80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p>
        </w:tc>
        <w:tc>
          <w:tcPr>
            <w:tcW w:w="270" w:type="dxa"/>
            <w:gridSpan w:val="2"/>
            <w:tcBorders>
              <w:top w:val="single" w:sz="8" w:space="0" w:color="000000"/>
              <w:left w:val="nil"/>
              <w:bottom w:val="single" w:sz="8" w:space="0" w:color="000000"/>
              <w:right w:val="nil"/>
            </w:tcBorders>
            <w:shd w:val="clear" w:color="000000" w:fill="D9D9D9"/>
            <w:vAlign w:val="center"/>
            <w:hideMark/>
          </w:tcPr>
          <w:p w:rsidR="00E92EAB" w:rsidRPr="005D4996" w:rsidP="00AD00D8" w14:paraId="46316F4D" w14:textId="45FA2F0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274" w:type="dxa"/>
            <w:gridSpan w:val="3"/>
            <w:tcBorders>
              <w:top w:val="single" w:sz="8" w:space="0" w:color="000000"/>
              <w:left w:val="nil"/>
              <w:bottom w:val="single" w:sz="8" w:space="0" w:color="000000"/>
              <w:right w:val="nil"/>
            </w:tcBorders>
            <w:shd w:val="clear" w:color="000000" w:fill="D9D9D9"/>
            <w:vAlign w:val="center"/>
            <w:hideMark/>
          </w:tcPr>
          <w:p w:rsidR="00E92EAB" w:rsidRPr="005D4996" w:rsidP="00AD00D8" w14:paraId="7187AD7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352" w:type="dxa"/>
            <w:gridSpan w:val="2"/>
            <w:tcBorders>
              <w:top w:val="single" w:sz="8" w:space="0" w:color="000000"/>
              <w:left w:val="nil"/>
              <w:bottom w:val="single" w:sz="8" w:space="0" w:color="000000"/>
            </w:tcBorders>
            <w:shd w:val="clear" w:color="000000" w:fill="D9D9D9"/>
            <w:vAlign w:val="center"/>
            <w:hideMark/>
          </w:tcPr>
          <w:p w:rsidR="00E92EAB" w:rsidRPr="005D4996" w:rsidP="00AD00D8" w14:paraId="7D15CB6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5D4996">
              <w:rPr>
                <w:rFonts w:ascii="Calibri" w:hAnsi="Calibri" w:cs="Calibri"/>
                <w:color w:val="000000"/>
                <w:szCs w:val="22"/>
              </w:rPr>
              <w:t> </w:t>
            </w:r>
          </w:p>
        </w:tc>
        <w:tc>
          <w:tcPr>
            <w:tcW w:w="315" w:type="dxa"/>
            <w:gridSpan w:val="2"/>
            <w:tcBorders>
              <w:top w:val="single" w:sz="8" w:space="0" w:color="000000"/>
              <w:bottom w:val="single" w:sz="8" w:space="0" w:color="000000"/>
              <w:right w:val="single" w:sz="8" w:space="0" w:color="000000"/>
            </w:tcBorders>
            <w:shd w:val="clear" w:color="000000" w:fill="D9D9D9"/>
            <w:vAlign w:val="bottom"/>
          </w:tcPr>
          <w:p w:rsidR="00E92EAB" w:rsidRPr="005D4996" w:rsidP="00AD00D8" w14:paraId="0870934D" w14:textId="218D23C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w:t>
            </w:r>
          </w:p>
        </w:tc>
      </w:tr>
      <w:tr w14:paraId="73130B91" w14:textId="393C0D75" w:rsidTr="001E7B4E">
        <w:tblPrEx>
          <w:tblW w:w="9586" w:type="dxa"/>
          <w:tblLook w:val="04A0"/>
        </w:tblPrEx>
        <w:trPr>
          <w:trHeight w:val="300"/>
        </w:trPr>
        <w:tc>
          <w:tcPr>
            <w:tcW w:w="2961" w:type="dxa"/>
            <w:tcBorders>
              <w:top w:val="nil"/>
              <w:left w:val="single" w:sz="8" w:space="0" w:color="000000"/>
              <w:bottom w:val="single" w:sz="8" w:space="0" w:color="000000"/>
              <w:right w:val="single" w:sz="8" w:space="0" w:color="000000"/>
            </w:tcBorders>
            <w:shd w:val="clear" w:color="auto" w:fill="auto"/>
            <w:vAlign w:val="center"/>
            <w:hideMark/>
          </w:tcPr>
          <w:p w:rsidR="00E92EAB" w:rsidRPr="005D4996" w:rsidP="00DA6D10" w14:paraId="65D60443" w14:textId="16CB38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7" w:hanging="270"/>
              <w:rPr>
                <w:rFonts w:ascii="Calibri" w:hAnsi="Calibri" w:cs="Calibri"/>
                <w:szCs w:val="22"/>
              </w:rPr>
            </w:pPr>
            <w:r>
              <w:rPr>
                <w:rFonts w:ascii="Calibri" w:hAnsi="Calibri" w:cs="Calibri"/>
                <w:szCs w:val="22"/>
              </w:rPr>
              <w:t>7</w:t>
            </w:r>
            <w:r w:rsidRPr="005D4996">
              <w:rPr>
                <w:rFonts w:ascii="Calibri" w:hAnsi="Calibri" w:cs="Calibri"/>
                <w:szCs w:val="22"/>
              </w:rPr>
              <w:t xml:space="preserve">. </w:t>
            </w:r>
            <w:r>
              <w:rPr>
                <w:rFonts w:ascii="Calibri" w:hAnsi="Calibri" w:cs="Calibri"/>
                <w:szCs w:val="22"/>
              </w:rPr>
              <w:tab/>
            </w:r>
            <w:r w:rsidRPr="005D4996">
              <w:rPr>
                <w:rFonts w:ascii="Calibri" w:hAnsi="Calibri" w:cs="Calibri"/>
                <w:szCs w:val="22"/>
              </w:rPr>
              <w:t>Provide rail yard data to the EPA for 2023 (in 2024)</w:t>
            </w:r>
          </w:p>
        </w:tc>
        <w:tc>
          <w:tcPr>
            <w:tcW w:w="1071" w:type="dxa"/>
            <w:tcBorders>
              <w:top w:val="nil"/>
              <w:left w:val="nil"/>
              <w:bottom w:val="single" w:sz="8" w:space="0" w:color="000000"/>
              <w:right w:val="single" w:sz="8" w:space="0" w:color="000000"/>
            </w:tcBorders>
            <w:shd w:val="clear" w:color="auto" w:fill="auto"/>
            <w:noWrap/>
            <w:vAlign w:val="center"/>
            <w:hideMark/>
          </w:tcPr>
          <w:p w:rsidR="00E92EAB" w:rsidRPr="005D4996" w:rsidP="00DA6D10" w14:paraId="5E6E5F25" w14:textId="1B5802E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7</w:t>
            </w:r>
          </w:p>
        </w:tc>
        <w:tc>
          <w:tcPr>
            <w:tcW w:w="1269" w:type="dxa"/>
            <w:tcBorders>
              <w:top w:val="single" w:sz="8" w:space="0" w:color="000000"/>
              <w:left w:val="nil"/>
              <w:bottom w:val="single" w:sz="8" w:space="0" w:color="000000"/>
              <w:right w:val="single" w:sz="4" w:space="0" w:color="000000"/>
            </w:tcBorders>
            <w:vAlign w:val="center"/>
          </w:tcPr>
          <w:p w:rsidR="00E92EAB" w:rsidP="00E92EAB" w14:paraId="6381565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p>
        </w:tc>
        <w:tc>
          <w:tcPr>
            <w:tcW w:w="1256" w:type="dxa"/>
            <w:gridSpan w:val="3"/>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rsidR="00E92EAB" w:rsidRPr="005D4996" w:rsidP="00DA6D10" w14:paraId="4B45025B" w14:textId="1FA6F7E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w:t>
            </w:r>
          </w:p>
        </w:tc>
        <w:tc>
          <w:tcPr>
            <w:tcW w:w="1256" w:type="dxa"/>
            <w:gridSpan w:val="3"/>
            <w:tcBorders>
              <w:top w:val="nil"/>
              <w:left w:val="nil"/>
              <w:bottom w:val="single" w:sz="8" w:space="0" w:color="000000"/>
              <w:right w:val="single" w:sz="8" w:space="0" w:color="000000"/>
            </w:tcBorders>
            <w:shd w:val="clear" w:color="auto" w:fill="auto"/>
            <w:noWrap/>
            <w:vAlign w:val="center"/>
            <w:hideMark/>
          </w:tcPr>
          <w:p w:rsidR="00E92EAB" w:rsidRPr="005D4996" w:rsidP="00DA6D10" w14:paraId="317836D3" w14:textId="10E7EAF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10</w:t>
            </w:r>
          </w:p>
        </w:tc>
        <w:tc>
          <w:tcPr>
            <w:tcW w:w="832" w:type="dxa"/>
            <w:gridSpan w:val="9"/>
            <w:tcBorders>
              <w:top w:val="nil"/>
              <w:left w:val="nil"/>
              <w:bottom w:val="single" w:sz="8" w:space="0" w:color="000000"/>
              <w:right w:val="single" w:sz="8" w:space="0" w:color="000000"/>
            </w:tcBorders>
            <w:shd w:val="clear" w:color="auto" w:fill="auto"/>
            <w:noWrap/>
            <w:vAlign w:val="center"/>
            <w:hideMark/>
          </w:tcPr>
          <w:p w:rsidR="00E92EAB" w:rsidRPr="005D4996" w:rsidP="00DA6D10" w14:paraId="6BDC075A" w14:textId="4C4160E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12</w:t>
            </w:r>
          </w:p>
        </w:tc>
        <w:tc>
          <w:tcPr>
            <w:tcW w:w="941" w:type="dxa"/>
            <w:gridSpan w:val="7"/>
            <w:tcBorders>
              <w:top w:val="nil"/>
              <w:left w:val="nil"/>
              <w:bottom w:val="single" w:sz="8" w:space="0" w:color="000000"/>
              <w:right w:val="single" w:sz="8" w:space="0" w:color="000000"/>
            </w:tcBorders>
            <w:vAlign w:val="center"/>
          </w:tcPr>
          <w:p w:rsidR="00E92EAB" w:rsidRPr="005D4996" w:rsidP="00DA6D10" w14:paraId="4FDD17BF" w14:textId="38E4C75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$1,333 </w:t>
            </w:r>
          </w:p>
        </w:tc>
      </w:tr>
    </w:tbl>
    <w:p w:rsidR="00BE1DB2" w:rsidRPr="007B1F74" w:rsidP="00BE1DB2" w14:paraId="3CAFADE4" w14:textId="77777777"/>
    <w:p w:rsidR="00952F78" w:rsidP="00BE1DB2" w14:paraId="7B4823B7" w14:textId="0D2A8617">
      <w:pPr>
        <w:rPr>
          <w:rFonts w:ascii="Calibri" w:hAnsi="Calibri" w:cs="Calibri"/>
          <w:color w:val="000000"/>
          <w:szCs w:val="22"/>
        </w:rPr>
      </w:pPr>
      <w:r>
        <w:rPr>
          <w:rFonts w:ascii="Calibri" w:hAnsi="Calibri" w:cs="Calibri"/>
          <w:color w:val="000000"/>
          <w:szCs w:val="22"/>
        </w:rPr>
        <w:t xml:space="preserve">The entities performing activity </w:t>
      </w:r>
      <w:r w:rsidR="001F2F4E">
        <w:rPr>
          <w:rFonts w:ascii="Calibri" w:hAnsi="Calibri" w:cs="Calibri"/>
          <w:color w:val="000000"/>
          <w:szCs w:val="22"/>
        </w:rPr>
        <w:t>3</w:t>
      </w:r>
      <w:r>
        <w:rPr>
          <w:rFonts w:ascii="Calibri" w:hAnsi="Calibri" w:cs="Calibri"/>
          <w:color w:val="000000"/>
          <w:szCs w:val="22"/>
        </w:rPr>
        <w:t xml:space="preserve"> are expected to be different from those performing activities 1</w:t>
      </w:r>
      <w:r w:rsidR="001F2F4E">
        <w:rPr>
          <w:rFonts w:ascii="Calibri" w:hAnsi="Calibri" w:cs="Calibri"/>
          <w:color w:val="000000"/>
          <w:szCs w:val="22"/>
        </w:rPr>
        <w:t xml:space="preserve"> and 2</w:t>
      </w:r>
      <w:r>
        <w:rPr>
          <w:rFonts w:ascii="Calibri" w:hAnsi="Calibri" w:cs="Calibri"/>
          <w:color w:val="000000"/>
          <w:szCs w:val="22"/>
        </w:rPr>
        <w:t xml:space="preserve">, since the activity </w:t>
      </w:r>
      <w:r w:rsidR="001F2F4E">
        <w:rPr>
          <w:rFonts w:ascii="Calibri" w:hAnsi="Calibri" w:cs="Calibri"/>
          <w:color w:val="000000"/>
          <w:szCs w:val="22"/>
        </w:rPr>
        <w:t xml:space="preserve">3 </w:t>
      </w:r>
      <w:r>
        <w:rPr>
          <w:rFonts w:ascii="Calibri" w:hAnsi="Calibri" w:cs="Calibri"/>
          <w:color w:val="000000"/>
          <w:szCs w:val="22"/>
        </w:rPr>
        <w:t xml:space="preserve">facilities are within Indian country </w:t>
      </w:r>
      <w:r w:rsidR="001D20E3">
        <w:rPr>
          <w:rFonts w:ascii="Calibri" w:hAnsi="Calibri" w:cs="Calibri"/>
          <w:color w:val="000000"/>
          <w:szCs w:val="22"/>
        </w:rPr>
        <w:t xml:space="preserve">and </w:t>
      </w:r>
      <w:r w:rsidR="003A3C24">
        <w:rPr>
          <w:rFonts w:ascii="Calibri" w:hAnsi="Calibri" w:cs="Calibri"/>
          <w:color w:val="000000"/>
          <w:szCs w:val="22"/>
        </w:rPr>
        <w:t>outside the scope of states’ implementation planning authority</w:t>
      </w:r>
      <w:r>
        <w:rPr>
          <w:rFonts w:ascii="Calibri" w:hAnsi="Calibri" w:cs="Calibri"/>
          <w:color w:val="000000"/>
          <w:szCs w:val="22"/>
        </w:rPr>
        <w:t xml:space="preserve"> </w:t>
      </w:r>
      <w:r w:rsidR="001D20E3">
        <w:rPr>
          <w:rFonts w:ascii="Calibri" w:hAnsi="Calibri" w:cs="Calibri"/>
          <w:color w:val="000000"/>
          <w:szCs w:val="22"/>
        </w:rPr>
        <w:t xml:space="preserve">and </w:t>
      </w:r>
      <w:r>
        <w:rPr>
          <w:rFonts w:ascii="Calibri" w:hAnsi="Calibri" w:cs="Calibri"/>
          <w:color w:val="000000"/>
          <w:szCs w:val="22"/>
        </w:rPr>
        <w:t>are</w:t>
      </w:r>
      <w:r w:rsidR="001D20E3">
        <w:rPr>
          <w:rFonts w:ascii="Calibri" w:hAnsi="Calibri" w:cs="Calibri"/>
          <w:color w:val="000000"/>
          <w:szCs w:val="22"/>
        </w:rPr>
        <w:t>,</w:t>
      </w:r>
      <w:r>
        <w:rPr>
          <w:rFonts w:ascii="Calibri" w:hAnsi="Calibri" w:cs="Calibri"/>
          <w:color w:val="000000"/>
          <w:szCs w:val="22"/>
        </w:rPr>
        <w:t xml:space="preserve"> therefore</w:t>
      </w:r>
      <w:r w:rsidR="001D20E3">
        <w:rPr>
          <w:rFonts w:ascii="Calibri" w:hAnsi="Calibri" w:cs="Calibri"/>
          <w:color w:val="000000"/>
          <w:szCs w:val="22"/>
        </w:rPr>
        <w:t>,</w:t>
      </w:r>
      <w:r>
        <w:rPr>
          <w:rFonts w:ascii="Calibri" w:hAnsi="Calibri" w:cs="Calibri"/>
          <w:color w:val="000000"/>
          <w:szCs w:val="22"/>
        </w:rPr>
        <w:t xml:space="preserve"> not reporting data to states. </w:t>
      </w:r>
      <w:r>
        <w:rPr>
          <w:rFonts w:ascii="Calibri" w:hAnsi="Calibri" w:cs="Calibri"/>
          <w:color w:val="000000"/>
          <w:szCs w:val="22"/>
        </w:rPr>
        <w:t xml:space="preserve">The major sources reporting in activities 1 through </w:t>
      </w:r>
      <w:r w:rsidR="001F2F4E">
        <w:rPr>
          <w:rFonts w:ascii="Calibri" w:hAnsi="Calibri" w:cs="Calibri"/>
          <w:color w:val="000000"/>
          <w:szCs w:val="22"/>
        </w:rPr>
        <w:t>3</w:t>
      </w:r>
      <w:r>
        <w:rPr>
          <w:rFonts w:ascii="Calibri" w:hAnsi="Calibri" w:cs="Calibri"/>
          <w:color w:val="000000"/>
          <w:szCs w:val="22"/>
        </w:rPr>
        <w:t xml:space="preserve"> overlap with the same respondents performing activity </w:t>
      </w:r>
      <w:r w:rsidR="001F2F4E">
        <w:rPr>
          <w:rFonts w:ascii="Calibri" w:hAnsi="Calibri" w:cs="Calibri"/>
          <w:color w:val="000000"/>
          <w:szCs w:val="22"/>
        </w:rPr>
        <w:t>4</w:t>
      </w:r>
      <w:r>
        <w:rPr>
          <w:rFonts w:ascii="Calibri" w:hAnsi="Calibri" w:cs="Calibri"/>
          <w:color w:val="000000"/>
          <w:szCs w:val="22"/>
        </w:rPr>
        <w:t>.</w:t>
      </w:r>
      <w:r>
        <w:rPr>
          <w:rFonts w:ascii="Calibri" w:hAnsi="Calibri" w:cs="Calibri"/>
          <w:color w:val="000000"/>
          <w:szCs w:val="22"/>
        </w:rPr>
        <w:t xml:space="preserve"> </w:t>
      </w:r>
      <w:r>
        <w:rPr>
          <w:rFonts w:ascii="Calibri" w:hAnsi="Calibri" w:cs="Calibri"/>
          <w:color w:val="000000"/>
          <w:szCs w:val="22"/>
        </w:rPr>
        <w:t xml:space="preserve">Thus, the 12 hours per respondent for activity </w:t>
      </w:r>
      <w:r w:rsidR="001F2F4E">
        <w:rPr>
          <w:rFonts w:ascii="Calibri" w:hAnsi="Calibri" w:cs="Calibri"/>
          <w:color w:val="000000"/>
          <w:szCs w:val="22"/>
        </w:rPr>
        <w:t xml:space="preserve">4 </w:t>
      </w:r>
      <w:r>
        <w:rPr>
          <w:rFonts w:ascii="Calibri" w:hAnsi="Calibri" w:cs="Calibri"/>
          <w:color w:val="000000"/>
          <w:szCs w:val="22"/>
        </w:rPr>
        <w:t xml:space="preserve">would be added to the total hours per respondents reporting to states (activities 1 </w:t>
      </w:r>
      <w:r w:rsidR="001F2F4E">
        <w:rPr>
          <w:rFonts w:ascii="Calibri" w:hAnsi="Calibri" w:cs="Calibri"/>
          <w:color w:val="000000"/>
          <w:szCs w:val="22"/>
        </w:rPr>
        <w:t>and 2</w:t>
      </w:r>
      <w:r>
        <w:rPr>
          <w:rFonts w:ascii="Calibri" w:hAnsi="Calibri" w:cs="Calibri"/>
          <w:color w:val="000000"/>
          <w:szCs w:val="22"/>
        </w:rPr>
        <w:t xml:space="preserve">) and the respondent reporting to EPA (activity </w:t>
      </w:r>
      <w:r w:rsidR="001F2F4E">
        <w:rPr>
          <w:rFonts w:ascii="Calibri" w:hAnsi="Calibri" w:cs="Calibri"/>
          <w:color w:val="000000"/>
          <w:szCs w:val="22"/>
        </w:rPr>
        <w:t>3</w:t>
      </w:r>
      <w:r>
        <w:rPr>
          <w:rFonts w:ascii="Calibri" w:hAnsi="Calibri" w:cs="Calibri"/>
          <w:color w:val="000000"/>
          <w:szCs w:val="22"/>
        </w:rPr>
        <w:t>)</w:t>
      </w:r>
      <w:r w:rsidR="00B63D21">
        <w:rPr>
          <w:rFonts w:ascii="Calibri" w:hAnsi="Calibri" w:cs="Calibri"/>
          <w:color w:val="000000"/>
          <w:szCs w:val="22"/>
        </w:rPr>
        <w:t>.</w:t>
      </w:r>
    </w:p>
    <w:p w:rsidR="00952F78" w:rsidP="00BE1DB2" w14:paraId="2061E477" w14:textId="64244A10">
      <w:pPr>
        <w:rPr>
          <w:rFonts w:ascii="Calibri" w:hAnsi="Calibri" w:cs="Calibri"/>
          <w:color w:val="000000"/>
          <w:szCs w:val="22"/>
        </w:rPr>
      </w:pPr>
    </w:p>
    <w:p w:rsidR="001F2F4E" w:rsidP="00BE1DB2" w14:paraId="5F3A276B" w14:textId="6DA6D647">
      <w:pPr>
        <w:rPr>
          <w:rFonts w:ascii="Calibri" w:hAnsi="Calibri" w:cs="Calibri"/>
          <w:color w:val="000000"/>
          <w:szCs w:val="22"/>
        </w:rPr>
      </w:pPr>
      <w:bookmarkStart w:id="34" w:name="_Hlk137138291"/>
      <w:r>
        <w:rPr>
          <w:rFonts w:ascii="Calibri" w:hAnsi="Calibri" w:cs="Calibri"/>
          <w:color w:val="000000"/>
          <w:szCs w:val="22"/>
        </w:rPr>
        <w:t xml:space="preserve">Activity 5 overlaps with the facilities performing activities 1 </w:t>
      </w:r>
      <w:bookmarkStart w:id="35" w:name="_Hlk137138673"/>
      <w:r>
        <w:rPr>
          <w:rFonts w:ascii="Calibri" w:hAnsi="Calibri" w:cs="Calibri"/>
          <w:color w:val="000000"/>
          <w:szCs w:val="22"/>
        </w:rPr>
        <w:t xml:space="preserve">through </w:t>
      </w:r>
      <w:r w:rsidR="00E04FDB">
        <w:rPr>
          <w:rFonts w:ascii="Calibri" w:hAnsi="Calibri" w:cs="Calibri"/>
          <w:color w:val="000000"/>
          <w:szCs w:val="22"/>
        </w:rPr>
        <w:t>3</w:t>
      </w:r>
      <w:r>
        <w:rPr>
          <w:rFonts w:ascii="Calibri" w:hAnsi="Calibri" w:cs="Calibri"/>
          <w:color w:val="000000"/>
          <w:szCs w:val="22"/>
        </w:rPr>
        <w:t xml:space="preserve"> and includes additional facilities beyond those </w:t>
      </w:r>
      <w:r w:rsidR="00E04FDB">
        <w:rPr>
          <w:rFonts w:ascii="Calibri" w:hAnsi="Calibri" w:cs="Calibri"/>
          <w:color w:val="000000"/>
          <w:szCs w:val="22"/>
        </w:rPr>
        <w:t>reporting activities. In most cases, the facilities included in activity 4 will also overlap with those included in activity 5</w:t>
      </w:r>
      <w:r>
        <w:rPr>
          <w:rFonts w:ascii="Calibri" w:hAnsi="Calibri" w:cs="Calibri"/>
          <w:color w:val="000000"/>
          <w:szCs w:val="22"/>
        </w:rPr>
        <w:t xml:space="preserve">. However, these activities are only performed one time and are shown in the table as occuring for one-third of the facilities each year, as described in Section </w:t>
      </w:r>
      <w:r w:rsidR="008714C5">
        <w:rPr>
          <w:rFonts w:ascii="Calibri" w:hAnsi="Calibri" w:cs="Calibri"/>
          <w:color w:val="000000"/>
          <w:szCs w:val="22"/>
        </w:rPr>
        <w:fldChar w:fldCharType="begin"/>
      </w:r>
      <w:r w:rsidR="008714C5">
        <w:rPr>
          <w:rFonts w:ascii="Calibri" w:hAnsi="Calibri" w:cs="Calibri"/>
          <w:color w:val="000000"/>
          <w:szCs w:val="22"/>
        </w:rPr>
        <w:instrText xml:space="preserve"> REF _Ref137138280 \r \h </w:instrText>
      </w:r>
      <w:r w:rsidR="008714C5">
        <w:rPr>
          <w:rFonts w:ascii="Calibri" w:hAnsi="Calibri" w:cs="Calibri"/>
          <w:color w:val="000000"/>
          <w:szCs w:val="22"/>
        </w:rPr>
        <w:fldChar w:fldCharType="separate"/>
      </w:r>
      <w:r w:rsidR="00646F0F">
        <w:rPr>
          <w:rFonts w:ascii="Calibri" w:hAnsi="Calibri" w:cs="Calibri"/>
          <w:color w:val="000000"/>
          <w:szCs w:val="22"/>
        </w:rPr>
        <w:t>12.4.3</w:t>
      </w:r>
      <w:r w:rsidR="008714C5">
        <w:rPr>
          <w:rFonts w:ascii="Calibri" w:hAnsi="Calibri" w:cs="Calibri"/>
          <w:color w:val="000000"/>
          <w:szCs w:val="22"/>
        </w:rPr>
        <w:fldChar w:fldCharType="end"/>
      </w:r>
      <w:r w:rsidR="008714C5">
        <w:rPr>
          <w:rFonts w:ascii="Calibri" w:hAnsi="Calibri" w:cs="Calibri"/>
          <w:color w:val="000000"/>
          <w:szCs w:val="22"/>
        </w:rPr>
        <w:t>.</w:t>
      </w:r>
      <w:bookmarkEnd w:id="35"/>
    </w:p>
    <w:bookmarkEnd w:id="34"/>
    <w:p w:rsidR="001F2F4E" w:rsidP="00BE1DB2" w14:paraId="1F978D31" w14:textId="77777777">
      <w:pPr>
        <w:rPr>
          <w:rFonts w:ascii="Calibri" w:hAnsi="Calibri" w:cs="Calibri"/>
          <w:color w:val="000000"/>
          <w:szCs w:val="22"/>
        </w:rPr>
      </w:pPr>
    </w:p>
    <w:p w:rsidR="00BE1DB2" w:rsidP="00BE1DB2" w14:paraId="6DDAEE71" w14:textId="3827E378">
      <w:pPr>
        <w:rPr>
          <w:rFonts w:ascii="Calibri" w:hAnsi="Calibri" w:cs="Calibri"/>
          <w:color w:val="000000"/>
          <w:szCs w:val="22"/>
        </w:rPr>
      </w:pPr>
      <w:r>
        <w:rPr>
          <w:rFonts w:ascii="Calibri" w:hAnsi="Calibri" w:cs="Calibri"/>
          <w:color w:val="000000"/>
          <w:szCs w:val="22"/>
        </w:rPr>
        <w:t xml:space="preserve">Activities </w:t>
      </w:r>
      <w:r w:rsidR="00952F78">
        <w:rPr>
          <w:rFonts w:ascii="Calibri" w:hAnsi="Calibri" w:cs="Calibri"/>
          <w:color w:val="000000"/>
          <w:szCs w:val="22"/>
        </w:rPr>
        <w:t>6</w:t>
      </w:r>
      <w:r>
        <w:rPr>
          <w:rFonts w:ascii="Calibri" w:hAnsi="Calibri" w:cs="Calibri"/>
          <w:color w:val="000000"/>
          <w:szCs w:val="22"/>
        </w:rPr>
        <w:t xml:space="preserve"> and </w:t>
      </w:r>
      <w:r w:rsidR="00952F78">
        <w:rPr>
          <w:rFonts w:ascii="Calibri" w:hAnsi="Calibri" w:cs="Calibri"/>
          <w:color w:val="000000"/>
          <w:szCs w:val="22"/>
        </w:rPr>
        <w:t>7</w:t>
      </w:r>
      <w:r>
        <w:rPr>
          <w:rFonts w:ascii="Calibri" w:hAnsi="Calibri" w:cs="Calibri"/>
          <w:color w:val="000000"/>
          <w:szCs w:val="22"/>
        </w:rPr>
        <w:t xml:space="preserve"> are distinct from the other activities, so while some entities such as EGUs may need to perform activity </w:t>
      </w:r>
      <w:r w:rsidR="00952F78">
        <w:rPr>
          <w:rFonts w:ascii="Calibri" w:hAnsi="Calibri" w:cs="Calibri"/>
          <w:color w:val="000000"/>
          <w:szCs w:val="22"/>
        </w:rPr>
        <w:t>6</w:t>
      </w:r>
      <w:r>
        <w:rPr>
          <w:rFonts w:ascii="Calibri" w:hAnsi="Calibri" w:cs="Calibri"/>
          <w:color w:val="000000"/>
          <w:szCs w:val="22"/>
        </w:rPr>
        <w:t xml:space="preserve"> in addition to activities 1 through 3, those CSPs that are not electricity generators are additional entities not otherwise reporting under the proposed rule revisions and would only have the requirement for activity </w:t>
      </w:r>
      <w:r w:rsidR="00952F78">
        <w:rPr>
          <w:rFonts w:ascii="Calibri" w:hAnsi="Calibri" w:cs="Calibri"/>
          <w:color w:val="000000"/>
          <w:szCs w:val="22"/>
        </w:rPr>
        <w:t>6</w:t>
      </w:r>
      <w:r>
        <w:rPr>
          <w:rFonts w:ascii="Calibri" w:hAnsi="Calibri" w:cs="Calibri"/>
          <w:color w:val="000000"/>
          <w:szCs w:val="22"/>
        </w:rPr>
        <w:t xml:space="preserve">. Finally, since the rail companies are distinct from other types of entities reporting emissions, activity </w:t>
      </w:r>
      <w:r w:rsidR="00952F78">
        <w:rPr>
          <w:rFonts w:ascii="Calibri" w:hAnsi="Calibri" w:cs="Calibri"/>
          <w:color w:val="000000"/>
          <w:szCs w:val="22"/>
        </w:rPr>
        <w:t>7</w:t>
      </w:r>
      <w:r>
        <w:rPr>
          <w:rFonts w:ascii="Calibri" w:hAnsi="Calibri" w:cs="Calibri"/>
          <w:color w:val="000000"/>
          <w:szCs w:val="22"/>
        </w:rPr>
        <w:t xml:space="preserve"> is not expected to be cumulative with other activities. </w:t>
      </w:r>
    </w:p>
    <w:p w:rsidR="00945CC7" w:rsidP="00945CC7" w14:paraId="5131AE85" w14:textId="0424514C"/>
    <w:p w:rsidR="00FE4AAF" w:rsidRPr="00793526" w:rsidP="00877276" w14:paraId="7D6BD7C6" w14:textId="77777777">
      <w:pPr>
        <w:pStyle w:val="Heading1"/>
        <w:rPr>
          <w:rStyle w:val="Strong"/>
          <w:b/>
          <w:bCs w:val="0"/>
        </w:rPr>
      </w:pPr>
      <w:bookmarkStart w:id="36" w:name="_Ref116729913"/>
      <w:bookmarkStart w:id="37" w:name="_Hlk125644930"/>
      <w:bookmarkStart w:id="38" w:name="_Ref116849759"/>
      <w:r w:rsidRPr="00793526">
        <w:rPr>
          <w:rStyle w:val="Strong"/>
          <w:b/>
          <w:bCs w:val="0"/>
        </w:rPr>
        <w:t>Provide an estimate for the total annual cost burden to respondents or record keepers resulting from the collection of information. (Do not include the cost of any hour burden already reflected on the burden worksheet).</w:t>
      </w:r>
      <w:bookmarkEnd w:id="36"/>
    </w:p>
    <w:p w:rsidR="00FE4AAF" w:rsidRPr="00793526" w:rsidP="00FE4AAF" w14:paraId="2D41B381" w14:textId="77777777">
      <w:pPr>
        <w:pStyle w:val="ListParagraph"/>
        <w:numPr>
          <w:ilvl w:val="0"/>
          <w:numId w:val="8"/>
        </w:numPr>
        <w:rPr>
          <w:rStyle w:val="Strong"/>
        </w:rPr>
      </w:pPr>
      <w:r w:rsidRPr="00793526">
        <w:rPr>
          <w:rStyle w:val="Strong"/>
        </w:rPr>
        <w:t xml:space="preserve">The cost estimate should be split into two components: (a) a total capital and start-up cost component (annualized over its expected useful life) and (b) a total operation and </w:t>
      </w:r>
      <w:r w:rsidRPr="00793526">
        <w:rPr>
          <w:rStyle w:val="Strong"/>
        </w:rPr>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bookmarkEnd w:id="37"/>
    <w:p w:rsidR="00FE4AAF" w:rsidRPr="00793526" w:rsidP="00FE4AAF" w14:paraId="4C9016FB" w14:textId="77777777">
      <w:pPr>
        <w:pStyle w:val="ListParagraph"/>
        <w:numPr>
          <w:ilvl w:val="0"/>
          <w:numId w:val="8"/>
        </w:numPr>
        <w:rPr>
          <w:rStyle w:val="Strong"/>
        </w:rPr>
      </w:pPr>
      <w:r w:rsidRPr="00793526">
        <w:rPr>
          <w:rStyle w:val="Strong"/>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E4AAF" w:rsidRPr="00793526" w:rsidP="00FE4AAF" w14:paraId="4ECE8116" w14:textId="77777777">
      <w:pPr>
        <w:pStyle w:val="ListParagraph"/>
        <w:numPr>
          <w:ilvl w:val="0"/>
          <w:numId w:val="8"/>
        </w:numPr>
        <w:rPr>
          <w:rStyle w:val="Strong"/>
        </w:rPr>
      </w:pPr>
      <w:r w:rsidRPr="00793526">
        <w:rPr>
          <w:rStyle w:val="Strong"/>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E4AAF" w:rsidP="00FE4AAF" w14:paraId="633B0407" w14:textId="77777777"/>
    <w:p w:rsidR="00FE4AAF" w:rsidP="00FE4AAF" w14:paraId="6A1674FB" w14:textId="77777777">
      <w:r>
        <w:t>The total burden estimates for this proposed action are separated into two categories of respondents: SLTs and owners/operators. In each case, optional activities covered by this ICR are listed separately from mandatory activities.</w:t>
      </w:r>
    </w:p>
    <w:p w:rsidR="00FE4AAF" w:rsidP="00FE4AAF" w14:paraId="7A92A55C" w14:textId="77777777"/>
    <w:p w:rsidR="00FE4AAF" w:rsidP="00FE4AAF" w14:paraId="66DEB501" w14:textId="11671392">
      <w:pPr>
        <w:pStyle w:val="Heading2"/>
      </w:pPr>
      <w:r>
        <w:tab/>
      </w:r>
      <w:bookmarkStart w:id="39" w:name="_Ref116674242"/>
      <w:r>
        <w:t xml:space="preserve">State/local/tribal </w:t>
      </w:r>
      <w:r w:rsidR="00052325">
        <w:t xml:space="preserve">total annual cost </w:t>
      </w:r>
      <w:r>
        <w:t>burden</w:t>
      </w:r>
      <w:bookmarkEnd w:id="39"/>
    </w:p>
    <w:p w:rsidR="00FE4AAF" w:rsidP="00FE4AAF" w14:paraId="08D2C780" w14:textId="3E2BD3C3">
      <w:r>
        <w:t xml:space="preserve">As described in previous sections, SLT burden includes burden for both required and voluntary activities associated with one-time tasks (Section </w:t>
      </w:r>
      <w:r>
        <w:fldChar w:fldCharType="begin"/>
      </w:r>
      <w:r>
        <w:instrText xml:space="preserve"> REF _Ref106891946 \r \h </w:instrText>
      </w:r>
      <w:r>
        <w:fldChar w:fldCharType="separate"/>
      </w:r>
      <w:r w:rsidR="00646F0F">
        <w:t>12.3.1</w:t>
      </w:r>
      <w:r>
        <w:fldChar w:fldCharType="end"/>
      </w:r>
      <w:r>
        <w:t>)</w:t>
      </w:r>
      <w:r w:rsidR="001F0E8C">
        <w:t>and</w:t>
      </w:r>
      <w:r>
        <w:t xml:space="preserve"> annual and triennial tasks (Section </w:t>
      </w:r>
      <w:r>
        <w:fldChar w:fldCharType="begin"/>
      </w:r>
      <w:r>
        <w:instrText xml:space="preserve"> REF _Ref116647222 \r \h </w:instrText>
      </w:r>
      <w:r>
        <w:fldChar w:fldCharType="separate"/>
      </w:r>
      <w:r w:rsidR="00646F0F">
        <w:t>12.3.4</w:t>
      </w:r>
      <w:r>
        <w:fldChar w:fldCharType="end"/>
      </w:r>
      <w:r>
        <w:t xml:space="preserve">). This section brings together </w:t>
      </w:r>
      <w:r w:rsidR="001F0E8C">
        <w:t>both</w:t>
      </w:r>
      <w:r>
        <w:t xml:space="preserve"> these burden estimates and includes capital and associated maintenance costs, which will provide annualized hours and costs for SLTs.</w:t>
      </w:r>
    </w:p>
    <w:p w:rsidR="00FE4AAF" w:rsidP="00FE4AAF" w14:paraId="193C2EB4" w14:textId="77777777"/>
    <w:p w:rsidR="00FE4AAF" w:rsidP="00FE4AAF" w14:paraId="34D86185" w14:textId="5228446A">
      <w:r>
        <w:t xml:space="preserve">As previously described in Section </w:t>
      </w:r>
      <w:r>
        <w:fldChar w:fldCharType="begin"/>
      </w:r>
      <w:r>
        <w:instrText xml:space="preserve"> REF _Ref116674317 \r \h </w:instrText>
      </w:r>
      <w:r>
        <w:fldChar w:fldCharType="separate"/>
      </w:r>
      <w:r w:rsidR="00646F0F">
        <w:t>12.2</w:t>
      </w:r>
      <w:r>
        <w:fldChar w:fldCharType="end"/>
      </w:r>
      <w:r>
        <w:t>, EPA forecasts that 29 SLTs, on average, will use CAERS during the period of this ICR, and the remaining 56 would use their existing reporting approaches. For the purposes of this ICR, EPA also has forecasted which CAERS cases SLTs may elect to adopt. To date, CAERS cases 3 and 4 have been of most interest to SLTs, presumably because these cases have the  lowest burden estimates overall. Although case 4 has greater burden reductions than case 3, many SLTs seem to prefer the autonomy that case 3 provides (the states retain their back-end point source database). Based on these considerations, EPA assumes 10% of SLTs will select cases 1 or 2, 30% case 3, and 60% case 4. Starting with the average of 29 SLTs using CAERS, these percentages map to 3 SLTs using cases 1 or 2, 10 using case 3, and 19 using case 4.</w:t>
      </w:r>
    </w:p>
    <w:p w:rsidR="00FE4AAF" w:rsidP="00FE4AAF" w14:paraId="6C21F2A5" w14:textId="77777777"/>
    <w:p w:rsidR="00FE4AAF" w:rsidRPr="002E73ED" w:rsidP="00FE4AAF" w14:paraId="6D66A125" w14:textId="77777777">
      <w:r>
        <w:t xml:space="preserve">The EPA has estimated annualized capital costs associated with workstations needed for SLTs to submit data required or voluntarily submitted based on the proposed requirements. The EPA </w:t>
      </w:r>
      <w:r w:rsidRPr="002E73ED">
        <w:t>assume</w:t>
      </w:r>
      <w:r>
        <w:t>s</w:t>
      </w:r>
      <w:r w:rsidRPr="002E73ED">
        <w:t xml:space="preserve"> that each </w:t>
      </w:r>
      <w:r w:rsidRPr="002E73ED">
        <w:t xml:space="preserve">agency would require 5 workstations to comply with the reporting provisions of the AERR (1 for point sources, 1 for nonpoint sources, 1 for onroad </w:t>
      </w:r>
      <w:r>
        <w:t xml:space="preserve">and nonroad </w:t>
      </w:r>
      <w:r w:rsidRPr="002E73ED">
        <w:t xml:space="preserve">mobile, 1 for </w:t>
      </w:r>
      <w:r>
        <w:t>wildfires and prescribed fires</w:t>
      </w:r>
      <w:r w:rsidRPr="002E73ED">
        <w:t xml:space="preserve">, and 1 for managerial/coordination activities). </w:t>
      </w:r>
      <w:r>
        <w:t>The number of workstations has been assumed to be unaffected when states participate in CAERS because although data system maintenance is reduced or eliminated, agency staff still need a workstation to access CAERS to perform their data oversight and submission functions.</w:t>
      </w:r>
    </w:p>
    <w:p w:rsidR="00FE4AAF" w:rsidRPr="002E73ED" w:rsidP="00FE4AAF" w14:paraId="1540F65D" w14:textId="77777777"/>
    <w:p w:rsidR="00FE4AAF" w:rsidRPr="002E73ED" w:rsidP="00FE4AAF" w14:paraId="7838133E" w14:textId="77777777">
      <w:r w:rsidRPr="002E73ED">
        <w:t>The cost for replacing a workstation including new basic software and peripherals, when replacement becomes necessary, is assumed to be approximately $1,500 per agency.</w:t>
      </w:r>
      <w:r>
        <w:t xml:space="preserve"> </w:t>
      </w:r>
      <w:r w:rsidRPr="002E73ED">
        <w:t>For this ICR, it is assumed that 20 percent of the workstations will be replaced each year.</w:t>
      </w:r>
      <w:r>
        <w:t xml:space="preserve"> </w:t>
      </w:r>
      <w:r w:rsidRPr="002E73ED">
        <w:t>Thus, the costs of replacement per agency would be:</w:t>
      </w:r>
    </w:p>
    <w:p w:rsidR="00FE4AAF" w:rsidRPr="002E73ED" w:rsidP="00FE4AAF" w14:paraId="1A4719FA" w14:textId="77777777"/>
    <w:p w:rsidR="00FE4AAF" w:rsidRPr="002E73ED" w:rsidP="00FE4AAF" w14:paraId="34BC4764" w14:textId="77777777">
      <w:r w:rsidRPr="002E73ED">
        <w:t xml:space="preserve">5 workstations/agency x 20% replacement/year </w:t>
      </w:r>
      <w:r w:rsidRPr="002E73ED">
        <w:rPr>
          <w:rFonts w:ascii="Symbol" w:eastAsia="Symbol" w:hAnsi="Symbol" w:cs="Symbol"/>
        </w:rPr>
        <w:t>´</w:t>
      </w:r>
      <w:r w:rsidRPr="002E73ED">
        <w:t xml:space="preserve"> $1,500/workstation = $1,500/agency/year</w:t>
      </w:r>
    </w:p>
    <w:p w:rsidR="00FE4AAF" w:rsidRPr="002E73ED" w:rsidP="00FE4AAF" w14:paraId="360B8A51" w14:textId="77777777"/>
    <w:p w:rsidR="00FE4AAF" w:rsidRPr="002E73ED" w:rsidP="00FE4AAF" w14:paraId="73C607BC" w14:textId="77777777">
      <w:r w:rsidRPr="002E73ED">
        <w:t xml:space="preserve">Cost of workstation replacement for all agencies equals: $1,500/replacement costs/year </w:t>
      </w:r>
      <w:r w:rsidRPr="002E73ED">
        <w:rPr>
          <w:rFonts w:ascii="Symbol" w:eastAsia="Symbol" w:hAnsi="Symbol" w:cs="Symbol"/>
        </w:rPr>
        <w:t>´</w:t>
      </w:r>
      <w:r w:rsidRPr="002E73ED">
        <w:t xml:space="preserve"> 8</w:t>
      </w:r>
      <w:r>
        <w:t>5</w:t>
      </w:r>
      <w:r w:rsidRPr="002E73ED">
        <w:t xml:space="preserve"> agencies/year = $12</w:t>
      </w:r>
      <w:r>
        <w:t>7,5</w:t>
      </w:r>
      <w:r w:rsidRPr="002E73ED">
        <w:t>00/year</w:t>
      </w:r>
    </w:p>
    <w:p w:rsidR="00FE4AAF" w:rsidRPr="002E73ED" w:rsidP="00FE4AAF" w14:paraId="0F23ADFD" w14:textId="77777777"/>
    <w:p w:rsidR="00FE4AAF" w:rsidRPr="002E73ED" w:rsidP="00FE4AAF" w14:paraId="66D66B98" w14:textId="77777777">
      <w:r>
        <w:t>Workstation m</w:t>
      </w:r>
      <w:r w:rsidRPr="002E73ED">
        <w:t xml:space="preserve">aintenance costs are attributed to the normal maintenance of the workstations used to submit the required annual and triennial reports to </w:t>
      </w:r>
      <w:r>
        <w:t>EPA</w:t>
      </w:r>
      <w:r w:rsidRPr="002E73ED">
        <w:t>.</w:t>
      </w:r>
      <w:r>
        <w:t xml:space="preserve"> </w:t>
      </w:r>
      <w:r w:rsidRPr="002E73ED">
        <w:t>This includes annual software costs, service costs, and warranty costs.</w:t>
      </w:r>
      <w:r>
        <w:t xml:space="preserve"> </w:t>
      </w:r>
      <w:r w:rsidRPr="002E73ED">
        <w:t>It is assumed that the total cost of ownership over 5 years is four times the original purchase price, or $6,000.</w:t>
      </w:r>
      <w:r>
        <w:t xml:space="preserve"> </w:t>
      </w:r>
      <w:r w:rsidRPr="002E73ED">
        <w:t>Thus, the annual maintenance costs are $6,000 minus the $1,500 capital cost divided by 5, or $4,500/5, which is $900/year per workstation.</w:t>
      </w:r>
      <w:r>
        <w:t xml:space="preserve"> </w:t>
      </w:r>
      <w:r w:rsidRPr="002E73ED">
        <w:t xml:space="preserve">We conservatively assume </w:t>
      </w:r>
      <w:r>
        <w:t xml:space="preserve">(that is, more likely to overstate than understate) </w:t>
      </w:r>
      <w:r w:rsidRPr="002E73ED">
        <w:t>that one-third of the workstation annual maintenance cost can be attributed to the AERR.</w:t>
      </w:r>
      <w:r>
        <w:t xml:space="preserve"> </w:t>
      </w:r>
      <w:r w:rsidRPr="002E73ED">
        <w:t>The resulting estimated costs associated with AERR are estimated to be approximately $300 per workstation per year, which is $1,500 per agency per year.</w:t>
      </w:r>
      <w:r>
        <w:t xml:space="preserve"> </w:t>
      </w:r>
      <w:r w:rsidRPr="002E73ED">
        <w:t>Total maintenance costs for the respondents are estimated to be:</w:t>
      </w:r>
    </w:p>
    <w:p w:rsidR="00FE4AAF" w:rsidRPr="002E73ED" w:rsidP="00FE4AAF" w14:paraId="4AEA9842" w14:textId="77777777"/>
    <w:p w:rsidR="00FE4AAF" w:rsidP="00FE4AAF" w14:paraId="24E0075A" w14:textId="77777777">
      <w:r w:rsidRPr="002E73ED">
        <w:t>$1,500/agency/year x 8</w:t>
      </w:r>
      <w:r>
        <w:t>5</w:t>
      </w:r>
      <w:r w:rsidRPr="002E73ED">
        <w:t xml:space="preserve"> agencies = $12</w:t>
      </w:r>
      <w:r>
        <w:t>7,5</w:t>
      </w:r>
      <w:r w:rsidRPr="002E73ED">
        <w:t>00/year.</w:t>
      </w:r>
    </w:p>
    <w:p w:rsidR="00FE4AAF" w:rsidP="00FE4AAF" w14:paraId="4186C656" w14:textId="77777777"/>
    <w:p w:rsidR="00FE4AAF" w:rsidRPr="002E73ED" w:rsidP="00FE4AAF" w14:paraId="6A73A562" w14:textId="77777777">
      <w:r>
        <w:t>As a result, the total capital and maintenance costs per year are $3000/agency/year.</w:t>
      </w:r>
    </w:p>
    <w:p w:rsidR="00FE4AAF" w:rsidP="00FE4AAF" w14:paraId="719CA020" w14:textId="77777777"/>
    <w:p w:rsidR="00FE4AAF" w:rsidP="00FE4AAF" w14:paraId="20B7F1AD" w14:textId="0133D489">
      <w:r w:rsidRPr="00C65696">
        <w:fldChar w:fldCharType="begin"/>
      </w:r>
      <w:r w:rsidRPr="00C65696">
        <w:instrText xml:space="preserve"> REF _Ref116590318 \h  \* MERGEFORMAT </w:instrText>
      </w:r>
      <w:r w:rsidRPr="00C65696">
        <w:fldChar w:fldCharType="separate"/>
      </w:r>
      <w:r w:rsidRPr="0020098E" w:rsidR="00646F0F">
        <w:t xml:space="preserve">Table </w:t>
      </w:r>
      <w:r w:rsidR="00646F0F">
        <w:rPr>
          <w:noProof/>
        </w:rPr>
        <w:t>12</w:t>
      </w:r>
      <w:r w:rsidRPr="00C65696">
        <w:fldChar w:fldCharType="end"/>
      </w:r>
      <w:r w:rsidRPr="00C65696">
        <w:t xml:space="preserve"> </w:t>
      </w:r>
      <w:r>
        <w:t>provides a summary of all costs that would be incurred by SLTs during the 2024-2026 based on the proposed action. The source of the data for each row is provided here:</w:t>
      </w:r>
    </w:p>
    <w:p w:rsidR="00FE4AAF" w:rsidRPr="007464CD" w:rsidP="00FE4AAF" w14:paraId="4BBF2BAD" w14:textId="141C497C">
      <w:pPr>
        <w:pStyle w:val="ListParagraph"/>
        <w:numPr>
          <w:ilvl w:val="0"/>
          <w:numId w:val="19"/>
        </w:numPr>
        <w:spacing w:after="120"/>
        <w:contextualSpacing w:val="0"/>
      </w:pPr>
      <w:r>
        <w:t xml:space="preserve">For the </w:t>
      </w:r>
      <w:r w:rsidRPr="006F5B1F">
        <w:rPr>
          <w:b/>
          <w:bCs/>
        </w:rPr>
        <w:t>one-time required activities for prescribed burning</w:t>
      </w:r>
      <w:r>
        <w:t xml:space="preserve">, EPA assumes that 50 states </w:t>
      </w:r>
      <w:r w:rsidRPr="007464CD">
        <w:t xml:space="preserve">and 2 territories would create a data system to collect that information. Local agencies within the state would use their state’s system. The per-state hours and costs for developing such a system are from </w:t>
      </w:r>
      <w:r w:rsidRPr="007464CD">
        <w:fldChar w:fldCharType="begin"/>
      </w:r>
      <w:r w:rsidRPr="007464CD">
        <w:instrText xml:space="preserve"> REF _Ref116674583 \h  \* MERGEFORMAT </w:instrText>
      </w:r>
      <w:r w:rsidRPr="007464CD">
        <w:fldChar w:fldCharType="separate"/>
      </w:r>
      <w:r w:rsidRPr="0020098E" w:rsidR="00646F0F">
        <w:t xml:space="preserve">Table </w:t>
      </w:r>
      <w:r w:rsidR="00646F0F">
        <w:rPr>
          <w:noProof/>
        </w:rPr>
        <w:t>5</w:t>
      </w:r>
      <w:r w:rsidRPr="007464CD">
        <w:fldChar w:fldCharType="end"/>
      </w:r>
      <w:r w:rsidRPr="007464CD">
        <w:t>.</w:t>
      </w:r>
    </w:p>
    <w:p w:rsidR="00FE4AAF" w:rsidP="00FE4AAF" w14:paraId="7FFB5DAA" w14:textId="7188F357">
      <w:pPr>
        <w:pStyle w:val="ListParagraph"/>
        <w:numPr>
          <w:ilvl w:val="0"/>
          <w:numId w:val="19"/>
        </w:numPr>
        <w:spacing w:after="120"/>
        <w:contextualSpacing w:val="0"/>
      </w:pPr>
      <w:r>
        <w:t xml:space="preserve">For the </w:t>
      </w:r>
      <w:r w:rsidRPr="006F5B1F">
        <w:rPr>
          <w:b/>
          <w:bCs/>
        </w:rPr>
        <w:t>one-time required activities for point sources</w:t>
      </w:r>
      <w:r>
        <w:t xml:space="preserve">, the three summary rows for point source </w:t>
      </w:r>
      <w:r w:rsidRPr="007464CD">
        <w:t xml:space="preserve">from </w:t>
      </w:r>
      <w:r w:rsidRPr="007464CD">
        <w:fldChar w:fldCharType="begin"/>
      </w:r>
      <w:r w:rsidRPr="007464CD">
        <w:instrText xml:space="preserve"> REF _Ref116674583 \h  \* MERGEFORMAT </w:instrText>
      </w:r>
      <w:r w:rsidRPr="007464CD">
        <w:fldChar w:fldCharType="separate"/>
      </w:r>
      <w:r w:rsidRPr="0020098E" w:rsidR="00646F0F">
        <w:t xml:space="preserve">Table </w:t>
      </w:r>
      <w:r w:rsidR="00646F0F">
        <w:rPr>
          <w:noProof/>
        </w:rPr>
        <w:t>5</w:t>
      </w:r>
      <w:r w:rsidRPr="007464CD">
        <w:fldChar w:fldCharType="end"/>
      </w:r>
      <w:r w:rsidRPr="007464CD">
        <w:t xml:space="preserve"> are all used: 5</w:t>
      </w:r>
      <w:r>
        <w:t>9 SLTs are associated with hours and costs from the “EIS and CAERS cases 1 and 2” summary row, 16 SLTs are associated with the “case 3” summary row, and 10 SLTs are associated with the “case 4” summary row.</w:t>
      </w:r>
    </w:p>
    <w:p w:rsidR="00FE4AAF" w:rsidRPr="00B965FD" w:rsidP="00FE4AAF" w14:paraId="69455072" w14:textId="4A4FC5CC">
      <w:pPr>
        <w:pStyle w:val="ListParagraph"/>
        <w:numPr>
          <w:ilvl w:val="0"/>
          <w:numId w:val="19"/>
        </w:numPr>
        <w:spacing w:after="120"/>
        <w:contextualSpacing w:val="0"/>
      </w:pPr>
      <w:r>
        <w:t xml:space="preserve">For the </w:t>
      </w:r>
      <w:r w:rsidRPr="006F5B1F">
        <w:rPr>
          <w:b/>
          <w:bCs/>
        </w:rPr>
        <w:t>annual required activities for point sources</w:t>
      </w:r>
      <w:r>
        <w:t xml:space="preserve">, the number of SLTs are the same as for the </w:t>
      </w:r>
      <w:r w:rsidRPr="00B965FD">
        <w:t xml:space="preserve">previous row, and the hours and costs are taken from the annual reporting estimates from </w:t>
      </w:r>
      <w:r w:rsidRPr="00B965FD">
        <w:fldChar w:fldCharType="begin"/>
      </w:r>
      <w:r w:rsidRPr="00B965FD">
        <w:instrText xml:space="preserve"> REF _Ref106891332 \h  \* MERGEFORMAT </w:instrText>
      </w:r>
      <w:r w:rsidRPr="00B965FD">
        <w:fldChar w:fldCharType="separate"/>
      </w:r>
      <w:r w:rsidRPr="0020098E" w:rsidR="00646F0F">
        <w:t xml:space="preserve">Table </w:t>
      </w:r>
      <w:r w:rsidR="00646F0F">
        <w:rPr>
          <w:noProof/>
        </w:rPr>
        <w:t>6</w:t>
      </w:r>
      <w:r w:rsidRPr="00B965FD">
        <w:fldChar w:fldCharType="end"/>
      </w:r>
      <w:r w:rsidRPr="00B965FD">
        <w:t>a</w:t>
      </w:r>
      <w:r w:rsidRPr="006F5B1F">
        <w:t>.</w:t>
      </w:r>
      <w:r>
        <w:t xml:space="preserve"> For the EIS and CAERS cases </w:t>
      </w:r>
      <w:r w:rsidRPr="007464CD">
        <w:t xml:space="preserve">1 and 2 columns, the values are used as-is from the “submit annually reported point sources” row of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 xml:space="preserve">a, whereas for the CAERS case 3 and case 4 columns, the appropriate burden reduction is subtracted from that using the values in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b.</w:t>
      </w:r>
    </w:p>
    <w:p w:rsidR="00FE4AAF" w:rsidRPr="007464CD" w:rsidP="00FE4AAF" w14:paraId="232C11D6" w14:textId="7EE27A39">
      <w:pPr>
        <w:pStyle w:val="ListParagraph"/>
        <w:numPr>
          <w:ilvl w:val="0"/>
          <w:numId w:val="19"/>
        </w:numPr>
        <w:spacing w:after="120"/>
        <w:contextualSpacing w:val="0"/>
      </w:pPr>
      <w:r>
        <w:t xml:space="preserve">For the </w:t>
      </w:r>
      <w:r w:rsidRPr="006F5B1F">
        <w:rPr>
          <w:b/>
          <w:bCs/>
        </w:rPr>
        <w:t>triennial required activities for point sources</w:t>
      </w:r>
      <w:r>
        <w:t xml:space="preserve">, the calculations are made in the same way as for the annual required activities for point sources, but the triennial hours and costs are </w:t>
      </w:r>
      <w:r w:rsidRPr="007464CD">
        <w:t xml:space="preserve">included from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a.</w:t>
      </w:r>
    </w:p>
    <w:p w:rsidR="00FE4AAF" w:rsidRPr="007464CD" w:rsidP="00FE4AAF" w14:paraId="6CB51236" w14:textId="3A281D38">
      <w:pPr>
        <w:pStyle w:val="ListParagraph"/>
        <w:numPr>
          <w:ilvl w:val="0"/>
          <w:numId w:val="19"/>
        </w:numPr>
        <w:spacing w:after="120"/>
        <w:contextualSpacing w:val="0"/>
      </w:pPr>
      <w:r>
        <w:t xml:space="preserve">For the </w:t>
      </w:r>
      <w:r w:rsidRPr="006F5B1F">
        <w:rPr>
          <w:b/>
          <w:bCs/>
        </w:rPr>
        <w:t>triennial required activities for other sources</w:t>
      </w:r>
      <w:r>
        <w:t xml:space="preserve">, the calculations are the same for EIS and all CAERS cases. The number of SLTs is the same as the previous row, but the average hours and costs are taken from the other triennial activities </w:t>
      </w:r>
      <w:r w:rsidRPr="00B965FD">
        <w:t xml:space="preserve">summary </w:t>
      </w:r>
      <w:r w:rsidRPr="007464CD">
        <w:t xml:space="preserve">row of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a.</w:t>
      </w:r>
    </w:p>
    <w:p w:rsidR="00FE4AAF" w:rsidRPr="007464CD" w:rsidP="00FE4AAF" w14:paraId="05F4B23C" w14:textId="30801904">
      <w:pPr>
        <w:pStyle w:val="ListParagraph"/>
        <w:numPr>
          <w:ilvl w:val="0"/>
          <w:numId w:val="19"/>
        </w:numPr>
        <w:spacing w:after="120"/>
        <w:contextualSpacing w:val="0"/>
      </w:pPr>
      <w:r>
        <w:t xml:space="preserve">For the </w:t>
      </w:r>
      <w:r w:rsidRPr="006F5B1F">
        <w:rPr>
          <w:b/>
          <w:bCs/>
        </w:rPr>
        <w:t>point data collection system O&amp;M</w:t>
      </w:r>
      <w:r>
        <w:t xml:space="preserve">, the number of SLTs are the same as for the annual and triennial required activities for point sources, and </w:t>
      </w:r>
      <w:r w:rsidRPr="007464CD">
        <w:t xml:space="preserve">the hours estimates are taken from the “point source data collection system operations and maintenance” row of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a.</w:t>
      </w:r>
    </w:p>
    <w:p w:rsidR="00FE4AAF" w:rsidP="00FE4AAF" w14:paraId="17665D39" w14:textId="77777777">
      <w:pPr>
        <w:pStyle w:val="ListParagraph"/>
        <w:numPr>
          <w:ilvl w:val="0"/>
          <w:numId w:val="19"/>
        </w:numPr>
        <w:spacing w:after="120"/>
        <w:contextualSpacing w:val="0"/>
      </w:pPr>
      <w:r>
        <w:t xml:space="preserve">For the </w:t>
      </w:r>
      <w:r w:rsidRPr="006F5B1F">
        <w:rPr>
          <w:b/>
          <w:bCs/>
        </w:rPr>
        <w:t>capital and maintenance costs</w:t>
      </w:r>
      <w:r>
        <w:t>, the number of SLTs are the same as for the previous row, and the costs are $3,000 per entity as described earlier in this section.</w:t>
      </w:r>
    </w:p>
    <w:p w:rsidR="00FE4AAF" w:rsidRPr="007464CD" w:rsidP="00FE4AAF" w14:paraId="4D131ABD" w14:textId="484DF78C">
      <w:pPr>
        <w:pStyle w:val="ListParagraph"/>
        <w:numPr>
          <w:ilvl w:val="0"/>
          <w:numId w:val="19"/>
        </w:numPr>
        <w:spacing w:after="120"/>
        <w:contextualSpacing w:val="0"/>
      </w:pPr>
      <w:r>
        <w:t xml:space="preserve">For the </w:t>
      </w:r>
      <w:r w:rsidRPr="006F5B1F">
        <w:rPr>
          <w:b/>
          <w:bCs/>
        </w:rPr>
        <w:t>one-time voluntary activi</w:t>
      </w:r>
      <w:r>
        <w:rPr>
          <w:b/>
          <w:bCs/>
        </w:rPr>
        <w:t>ties</w:t>
      </w:r>
      <w:r>
        <w:t>, SLTs would update their reporting rule and apply to EPA only if they will be reporting HAP on behalf of owners/operators. For SLTs using EIS or CAERS cases 1 or 2, EPA assumes that the same fraction of states that currently reports HAP would take these voluntary steps. The EPA estimated this fraction as 88% using the current number of SLTs reporting HAP (75) divided by the total number of SLTs (85). Then, EPA multiplied this fraction by the 59 SLTs expected to use EIS or CAERS cases 1 or 2 to give 52 SLTs that EPA expects would continue to report directly to EIS (including CAERS cases 1 and 2). The</w:t>
      </w:r>
      <w:r w:rsidRPr="007464CD">
        <w:t xml:space="preserve"> EPA assumes that </w:t>
      </w:r>
      <w:r>
        <w:t>4 (</w:t>
      </w:r>
      <w:r w:rsidRPr="007464CD">
        <w:t>25%</w:t>
      </w:r>
      <w:r>
        <w:t>)</w:t>
      </w:r>
      <w:r w:rsidRPr="007464CD">
        <w:t xml:space="preserve"> of </w:t>
      </w:r>
      <w:r>
        <w:t xml:space="preserve">16 </w:t>
      </w:r>
      <w:r w:rsidRPr="007464CD">
        <w:t xml:space="preserve">SLTs </w:t>
      </w:r>
      <w:r>
        <w:t xml:space="preserve">using CAERS case 3 </w:t>
      </w:r>
      <w:r w:rsidRPr="007464CD">
        <w:t xml:space="preserve">would </w:t>
      </w:r>
      <w:r>
        <w:t>report HAP on behalf of owners/operators and</w:t>
      </w:r>
      <w:r w:rsidRPr="007464CD">
        <w:t xml:space="preserve"> </w:t>
      </w:r>
      <w:r>
        <w:t>that 6 (19%) of the 32 SLTs using CAERS case 4 would do so</w:t>
      </w:r>
      <w:r w:rsidRPr="007464CD">
        <w:t xml:space="preserve">. The hours and costs for these values are taken from the optional activities row of </w:t>
      </w:r>
      <w:r w:rsidRPr="007464CD">
        <w:fldChar w:fldCharType="begin"/>
      </w:r>
      <w:r w:rsidRPr="007464CD">
        <w:instrText xml:space="preserve"> REF _Ref116674583 \h  \* MERGEFORMAT </w:instrText>
      </w:r>
      <w:r w:rsidRPr="007464CD">
        <w:fldChar w:fldCharType="separate"/>
      </w:r>
      <w:r w:rsidRPr="0020098E" w:rsidR="00646F0F">
        <w:t xml:space="preserve">Table </w:t>
      </w:r>
      <w:r w:rsidR="00646F0F">
        <w:rPr>
          <w:noProof/>
        </w:rPr>
        <w:t>5</w:t>
      </w:r>
      <w:r w:rsidRPr="007464CD">
        <w:fldChar w:fldCharType="end"/>
      </w:r>
      <w:r w:rsidRPr="007464CD">
        <w:t>.</w:t>
      </w:r>
    </w:p>
    <w:p w:rsidR="00FE4AAF" w:rsidP="00FE4AAF" w14:paraId="70F5A5FD" w14:textId="4C1AC0FA">
      <w:pPr>
        <w:pStyle w:val="ListParagraph"/>
        <w:numPr>
          <w:ilvl w:val="0"/>
          <w:numId w:val="19"/>
        </w:numPr>
        <w:spacing w:after="120"/>
        <w:contextualSpacing w:val="0"/>
      </w:pPr>
      <w:r>
        <w:t xml:space="preserve">Finally, for the </w:t>
      </w:r>
      <w:r w:rsidRPr="006F5B1F">
        <w:rPr>
          <w:b/>
          <w:bCs/>
        </w:rPr>
        <w:t>triennial voluntary activities</w:t>
      </w:r>
      <w:r>
        <w:t xml:space="preserve">, the number of SLTs, hours, and costs are from the summary </w:t>
      </w:r>
      <w:r w:rsidRPr="007464CD">
        <w:t xml:space="preserve">row of </w:t>
      </w:r>
      <w:r w:rsidRPr="007464CD">
        <w:fldChar w:fldCharType="begin"/>
      </w:r>
      <w:r w:rsidRPr="007464CD">
        <w:instrText xml:space="preserve"> REF _Ref107481236 \h  \* MERGEFORMAT </w:instrText>
      </w:r>
      <w:r w:rsidRPr="007464CD">
        <w:fldChar w:fldCharType="separate"/>
      </w:r>
      <w:r w:rsidRPr="0020098E" w:rsidR="00646F0F">
        <w:t xml:space="preserve">Table </w:t>
      </w:r>
      <w:r w:rsidR="00646F0F">
        <w:rPr>
          <w:noProof/>
        </w:rPr>
        <w:t>8</w:t>
      </w:r>
      <w:r w:rsidRPr="007464CD">
        <w:fldChar w:fldCharType="end"/>
      </w:r>
      <w:r w:rsidRPr="007464CD">
        <w:t>a for triennial</w:t>
      </w:r>
      <w:r>
        <w:t xml:space="preserve"> voluntary activities. These values are not split out for CAERS cases 3 and 4.</w:t>
      </w:r>
    </w:p>
    <w:p w:rsidR="00FE4AAF" w:rsidRPr="00C65696" w:rsidP="00FE4AAF" w14:paraId="1AEDD93E" w14:textId="77777777">
      <w:r>
        <w:t xml:space="preserve"> </w:t>
      </w:r>
    </w:p>
    <w:p w:rsidR="00FE4AAF" w:rsidP="00FE4AAF" w14:paraId="31B3DC97" w14:textId="77777777">
      <w:pPr>
        <w:sectPr w:rsidSect="00370665">
          <w:pgSz w:w="12240" w:h="15840"/>
          <w:pgMar w:top="1080" w:right="1440" w:bottom="1080" w:left="1440" w:header="1440" w:footer="864" w:gutter="0"/>
          <w:cols w:space="720"/>
          <w:noEndnote/>
          <w:docGrid w:linePitch="326"/>
        </w:sectPr>
      </w:pPr>
    </w:p>
    <w:p w:rsidR="00FE4AAF" w:rsidP="00FE4AAF" w14:paraId="5C22681E" w14:textId="0857C54E">
      <w:pPr>
        <w:pStyle w:val="Caption"/>
      </w:pPr>
      <w:bookmarkStart w:id="40" w:name="_Ref116590318"/>
      <w:bookmarkStart w:id="41" w:name="_Ref116590308"/>
      <w:r w:rsidRPr="0020098E">
        <w:t xml:space="preserve">Table </w:t>
      </w:r>
      <w:r w:rsidR="00E05ECE">
        <w:fldChar w:fldCharType="begin"/>
      </w:r>
      <w:r w:rsidR="00E05ECE">
        <w:instrText xml:space="preserve"> SEQ Table \* ARABIC </w:instrText>
      </w:r>
      <w:r w:rsidR="00E05ECE">
        <w:fldChar w:fldCharType="separate"/>
      </w:r>
      <w:r w:rsidR="00646F0F">
        <w:rPr>
          <w:noProof/>
        </w:rPr>
        <w:t>12</w:t>
      </w:r>
      <w:r w:rsidR="00E05ECE">
        <w:rPr>
          <w:noProof/>
        </w:rPr>
        <w:fldChar w:fldCharType="end"/>
      </w:r>
      <w:bookmarkEnd w:id="40"/>
      <w:r w:rsidRPr="0020098E">
        <w:t xml:space="preserve">: </w:t>
      </w:r>
      <w:bookmarkEnd w:id="41"/>
      <w:r w:rsidRPr="0020098E">
        <w:t>A</w:t>
      </w:r>
      <w:r>
        <w:t>nnual Total SLT Burden and Cost by Activity</w:t>
      </w:r>
    </w:p>
    <w:tbl>
      <w:tblPr>
        <w:tblW w:w="13877" w:type="dxa"/>
        <w:tblLayout w:type="fixed"/>
        <w:tblCellMar>
          <w:left w:w="58" w:type="dxa"/>
          <w:right w:w="86" w:type="dxa"/>
        </w:tblCellMar>
        <w:tblLook w:val="04A0"/>
      </w:tblPr>
      <w:tblGrid>
        <w:gridCol w:w="2685"/>
        <w:gridCol w:w="520"/>
        <w:gridCol w:w="942"/>
        <w:gridCol w:w="1333"/>
        <w:gridCol w:w="318"/>
        <w:gridCol w:w="307"/>
        <w:gridCol w:w="1082"/>
        <w:gridCol w:w="1008"/>
        <w:gridCol w:w="259"/>
        <w:gridCol w:w="346"/>
        <w:gridCol w:w="365"/>
        <w:gridCol w:w="1197"/>
        <w:gridCol w:w="971"/>
        <w:gridCol w:w="266"/>
        <w:gridCol w:w="942"/>
        <w:gridCol w:w="1336"/>
      </w:tblGrid>
      <w:tr w14:paraId="73A3F28F" w14:textId="77777777" w:rsidTr="0011566D">
        <w:tblPrEx>
          <w:tblW w:w="13877" w:type="dxa"/>
          <w:tblLayout w:type="fixed"/>
          <w:tblCellMar>
            <w:left w:w="58" w:type="dxa"/>
            <w:right w:w="86" w:type="dxa"/>
          </w:tblCellMar>
          <w:tblLook w:val="04A0"/>
        </w:tblPrEx>
        <w:trPr>
          <w:trHeight w:val="310"/>
        </w:trPr>
        <w:tc>
          <w:tcPr>
            <w:tcW w:w="2685" w:type="dxa"/>
            <w:tcBorders>
              <w:top w:val="single" w:sz="12" w:space="0" w:color="auto"/>
              <w:left w:val="single" w:sz="12" w:space="0" w:color="auto"/>
              <w:bottom w:val="nil"/>
              <w:right w:val="nil"/>
            </w:tcBorders>
            <w:shd w:val="clear" w:color="auto" w:fill="auto"/>
            <w:noWrap/>
            <w:vAlign w:val="bottom"/>
            <w:hideMark/>
          </w:tcPr>
          <w:p w:rsidR="00FE4AAF" w:rsidRPr="00C5404B" w:rsidP="0011566D" w14:paraId="2F0129E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Times New Roman" w:hAnsi="Times New Roman"/>
                <w:sz w:val="20"/>
                <w:szCs w:val="20"/>
              </w:rPr>
            </w:pPr>
          </w:p>
        </w:tc>
        <w:tc>
          <w:tcPr>
            <w:tcW w:w="2795" w:type="dxa"/>
            <w:gridSpan w:val="3"/>
            <w:tcBorders>
              <w:top w:val="single" w:sz="12" w:space="0" w:color="auto"/>
              <w:left w:val="single" w:sz="12" w:space="0" w:color="auto"/>
              <w:bottom w:val="single" w:sz="12" w:space="0" w:color="auto"/>
              <w:right w:val="single" w:sz="12" w:space="0" w:color="auto"/>
            </w:tcBorders>
            <w:shd w:val="clear" w:color="auto" w:fill="auto"/>
            <w:vAlign w:val="bottom"/>
            <w:hideMark/>
          </w:tcPr>
          <w:p w:rsidR="00FE4AAF" w:rsidRPr="00C5404B" w:rsidP="0011566D" w14:paraId="5AB0748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EIS, CAERS Cases 1 and 2</w:t>
            </w:r>
          </w:p>
        </w:tc>
        <w:tc>
          <w:tcPr>
            <w:tcW w:w="2974" w:type="dxa"/>
            <w:gridSpan w:val="5"/>
            <w:tcBorders>
              <w:top w:val="single" w:sz="12" w:space="0" w:color="auto"/>
              <w:left w:val="nil"/>
              <w:bottom w:val="single" w:sz="12" w:space="0" w:color="auto"/>
              <w:right w:val="single" w:sz="12" w:space="0" w:color="auto"/>
            </w:tcBorders>
            <w:shd w:val="clear" w:color="auto" w:fill="auto"/>
            <w:noWrap/>
            <w:vAlign w:val="bottom"/>
            <w:hideMark/>
          </w:tcPr>
          <w:p w:rsidR="00FE4AAF" w:rsidRPr="00C5404B" w:rsidP="0011566D" w14:paraId="3E7440E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CAERS Case 3</w:t>
            </w:r>
          </w:p>
        </w:tc>
        <w:tc>
          <w:tcPr>
            <w:tcW w:w="3145" w:type="dxa"/>
            <w:gridSpan w:val="5"/>
            <w:tcBorders>
              <w:top w:val="single" w:sz="12" w:space="0" w:color="auto"/>
              <w:left w:val="nil"/>
              <w:bottom w:val="single" w:sz="12" w:space="0" w:color="auto"/>
              <w:right w:val="single" w:sz="12" w:space="0" w:color="auto"/>
            </w:tcBorders>
            <w:shd w:val="clear" w:color="auto" w:fill="auto"/>
            <w:noWrap/>
            <w:vAlign w:val="bottom"/>
            <w:hideMark/>
          </w:tcPr>
          <w:p w:rsidR="00FE4AAF" w:rsidRPr="00C5404B" w:rsidP="0011566D" w14:paraId="0CEBC00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CAERS Case 4</w:t>
            </w:r>
          </w:p>
        </w:tc>
        <w:tc>
          <w:tcPr>
            <w:tcW w:w="2278" w:type="dxa"/>
            <w:gridSpan w:val="2"/>
            <w:tcBorders>
              <w:top w:val="single" w:sz="12" w:space="0" w:color="auto"/>
              <w:left w:val="nil"/>
              <w:bottom w:val="single" w:sz="12" w:space="0" w:color="auto"/>
              <w:right w:val="single" w:sz="12" w:space="0" w:color="auto"/>
            </w:tcBorders>
            <w:shd w:val="clear" w:color="auto" w:fill="auto"/>
            <w:noWrap/>
            <w:vAlign w:val="bottom"/>
            <w:hideMark/>
          </w:tcPr>
          <w:p w:rsidR="00FE4AAF" w:rsidRPr="00C5404B" w:rsidP="0011566D" w14:paraId="4B32B70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Total</w:t>
            </w:r>
          </w:p>
        </w:tc>
      </w:tr>
      <w:tr w14:paraId="1ED74322" w14:textId="77777777" w:rsidTr="0011566D">
        <w:tblPrEx>
          <w:tblW w:w="13877" w:type="dxa"/>
          <w:tblLayout w:type="fixed"/>
          <w:tblCellMar>
            <w:left w:w="58" w:type="dxa"/>
            <w:right w:w="86" w:type="dxa"/>
          </w:tblCellMar>
          <w:tblLook w:val="04A0"/>
        </w:tblPrEx>
        <w:trPr>
          <w:trHeight w:val="890"/>
        </w:trPr>
        <w:tc>
          <w:tcPr>
            <w:tcW w:w="2685" w:type="dxa"/>
            <w:tcBorders>
              <w:left w:val="single" w:sz="12" w:space="0" w:color="auto"/>
              <w:bottom w:val="single" w:sz="12" w:space="0" w:color="auto"/>
              <w:right w:val="single" w:sz="12" w:space="0" w:color="auto"/>
            </w:tcBorders>
            <w:shd w:val="clear" w:color="auto" w:fill="auto"/>
            <w:vAlign w:val="bottom"/>
            <w:hideMark/>
          </w:tcPr>
          <w:p w:rsidR="00FE4AAF" w:rsidRPr="00C5404B" w:rsidP="0011566D" w14:paraId="739D5D8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C5404B">
              <w:rPr>
                <w:rFonts w:ascii="Calibri" w:hAnsi="Calibri" w:cs="Calibri"/>
                <w:b/>
                <w:bCs/>
                <w:color w:val="000000"/>
                <w:szCs w:val="22"/>
              </w:rPr>
              <w:t>Information Collection Activity</w:t>
            </w:r>
          </w:p>
        </w:tc>
        <w:tc>
          <w:tcPr>
            <w:tcW w:w="520" w:type="dxa"/>
            <w:tcBorders>
              <w:top w:val="nil"/>
              <w:left w:val="nil"/>
              <w:bottom w:val="single" w:sz="12" w:space="0" w:color="auto"/>
              <w:right w:val="single" w:sz="4" w:space="0" w:color="auto"/>
            </w:tcBorders>
            <w:shd w:val="clear" w:color="auto" w:fill="auto"/>
            <w:tcMar>
              <w:right w:w="58" w:type="dxa"/>
            </w:tcMar>
            <w:vAlign w:val="center"/>
            <w:hideMark/>
          </w:tcPr>
          <w:p w:rsidR="00FE4AAF" w:rsidRPr="00C5404B" w:rsidP="0011566D" w14:paraId="771A989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No.</w:t>
            </w:r>
            <w:r w:rsidRPr="00C5404B">
              <w:rPr>
                <w:rFonts w:ascii="Calibri" w:hAnsi="Calibri" w:cs="Calibri"/>
                <w:b/>
                <w:bCs/>
                <w:color w:val="000000"/>
                <w:szCs w:val="22"/>
              </w:rPr>
              <w:br/>
              <w:t>of SLTs</w:t>
            </w:r>
          </w:p>
        </w:tc>
        <w:tc>
          <w:tcPr>
            <w:tcW w:w="942" w:type="dxa"/>
            <w:tcBorders>
              <w:top w:val="nil"/>
              <w:left w:val="nil"/>
              <w:bottom w:val="single" w:sz="12" w:space="0" w:color="auto"/>
              <w:right w:val="single" w:sz="4" w:space="0" w:color="auto"/>
            </w:tcBorders>
            <w:shd w:val="clear" w:color="auto" w:fill="auto"/>
            <w:vAlign w:val="center"/>
            <w:hideMark/>
          </w:tcPr>
          <w:p w:rsidR="00FE4AAF" w:rsidRPr="00C5404B" w:rsidP="0011566D" w14:paraId="525D369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Total Hours/</w:t>
            </w:r>
            <w:r w:rsidRPr="00C5404B">
              <w:rPr>
                <w:rFonts w:ascii="Calibri" w:hAnsi="Calibri" w:cs="Calibri"/>
                <w:b/>
                <w:bCs/>
                <w:color w:val="000000"/>
                <w:szCs w:val="22"/>
              </w:rPr>
              <w:br/>
              <w:t>Year</w:t>
            </w:r>
          </w:p>
        </w:tc>
        <w:tc>
          <w:tcPr>
            <w:tcW w:w="1333" w:type="dxa"/>
            <w:tcBorders>
              <w:top w:val="nil"/>
              <w:left w:val="nil"/>
              <w:bottom w:val="single" w:sz="12" w:space="0" w:color="auto"/>
              <w:right w:val="single" w:sz="12" w:space="0" w:color="auto"/>
            </w:tcBorders>
            <w:shd w:val="clear" w:color="auto" w:fill="auto"/>
            <w:vAlign w:val="center"/>
            <w:hideMark/>
          </w:tcPr>
          <w:p w:rsidR="00FE4AAF" w:rsidRPr="00C5404B" w:rsidP="0011566D" w14:paraId="5D0344C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 xml:space="preserve"> Total Cost/</w:t>
            </w:r>
            <w:r w:rsidRPr="00C5404B">
              <w:rPr>
                <w:rFonts w:ascii="Calibri" w:hAnsi="Calibri" w:cs="Calibri"/>
                <w:b/>
                <w:bCs/>
                <w:color w:val="000000"/>
                <w:szCs w:val="22"/>
              </w:rPr>
              <w:br/>
              <w:t>Year</w:t>
            </w:r>
          </w:p>
        </w:tc>
        <w:tc>
          <w:tcPr>
            <w:tcW w:w="625" w:type="dxa"/>
            <w:gridSpan w:val="2"/>
            <w:tcBorders>
              <w:top w:val="nil"/>
              <w:left w:val="nil"/>
              <w:bottom w:val="single" w:sz="12" w:space="0" w:color="auto"/>
              <w:right w:val="single" w:sz="4" w:space="0" w:color="auto"/>
            </w:tcBorders>
            <w:shd w:val="clear" w:color="auto" w:fill="auto"/>
            <w:vAlign w:val="center"/>
            <w:hideMark/>
          </w:tcPr>
          <w:p w:rsidR="00FE4AAF" w:rsidRPr="00C5404B" w:rsidP="0011566D" w14:paraId="6173241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No.</w:t>
            </w:r>
            <w:r w:rsidRPr="00C5404B">
              <w:rPr>
                <w:rFonts w:ascii="Calibri" w:hAnsi="Calibri" w:cs="Calibri"/>
                <w:b/>
                <w:bCs/>
                <w:color w:val="000000"/>
                <w:szCs w:val="22"/>
              </w:rPr>
              <w:t xml:space="preserve"> of SLTs</w:t>
            </w:r>
          </w:p>
        </w:tc>
        <w:tc>
          <w:tcPr>
            <w:tcW w:w="1082" w:type="dxa"/>
            <w:tcBorders>
              <w:top w:val="nil"/>
              <w:left w:val="nil"/>
              <w:bottom w:val="single" w:sz="12" w:space="0" w:color="auto"/>
              <w:right w:val="single" w:sz="4" w:space="0" w:color="auto"/>
            </w:tcBorders>
            <w:shd w:val="clear" w:color="auto" w:fill="auto"/>
            <w:vAlign w:val="center"/>
            <w:hideMark/>
          </w:tcPr>
          <w:p w:rsidR="00FE4AAF" w:rsidRPr="00C5404B" w:rsidP="0011566D" w14:paraId="193B97D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Total Hours/</w:t>
            </w:r>
            <w:r w:rsidRPr="00C5404B">
              <w:rPr>
                <w:rFonts w:ascii="Calibri" w:hAnsi="Calibri" w:cs="Calibri"/>
                <w:b/>
                <w:bCs/>
                <w:color w:val="000000"/>
                <w:szCs w:val="22"/>
              </w:rPr>
              <w:br/>
              <w:t>Year</w:t>
            </w:r>
          </w:p>
        </w:tc>
        <w:tc>
          <w:tcPr>
            <w:tcW w:w="1267" w:type="dxa"/>
            <w:gridSpan w:val="2"/>
            <w:tcBorders>
              <w:top w:val="nil"/>
              <w:left w:val="nil"/>
              <w:bottom w:val="single" w:sz="12" w:space="0" w:color="auto"/>
              <w:right w:val="single" w:sz="12" w:space="0" w:color="auto"/>
            </w:tcBorders>
            <w:shd w:val="clear" w:color="auto" w:fill="auto"/>
            <w:vAlign w:val="center"/>
            <w:hideMark/>
          </w:tcPr>
          <w:p w:rsidR="00FE4AAF" w:rsidRPr="00C5404B" w:rsidP="0011566D" w14:paraId="1E3CC9A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 xml:space="preserve"> Total Cost/</w:t>
            </w:r>
            <w:r w:rsidRPr="00C5404B">
              <w:rPr>
                <w:rFonts w:ascii="Calibri" w:hAnsi="Calibri" w:cs="Calibri"/>
                <w:b/>
                <w:bCs/>
                <w:color w:val="000000"/>
                <w:szCs w:val="22"/>
              </w:rPr>
              <w:br/>
              <w:t>Year</w:t>
            </w:r>
          </w:p>
        </w:tc>
        <w:tc>
          <w:tcPr>
            <w:tcW w:w="711" w:type="dxa"/>
            <w:gridSpan w:val="2"/>
            <w:tcBorders>
              <w:top w:val="nil"/>
              <w:left w:val="nil"/>
              <w:bottom w:val="single" w:sz="12" w:space="0" w:color="auto"/>
              <w:right w:val="single" w:sz="4" w:space="0" w:color="auto"/>
            </w:tcBorders>
            <w:shd w:val="clear" w:color="auto" w:fill="auto"/>
            <w:vAlign w:val="center"/>
            <w:hideMark/>
          </w:tcPr>
          <w:p w:rsidR="00FE4AAF" w:rsidRPr="00C5404B" w:rsidP="0011566D" w14:paraId="1D10EE8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No.</w:t>
            </w:r>
            <w:r w:rsidRPr="00C5404B">
              <w:rPr>
                <w:rFonts w:ascii="Calibri" w:hAnsi="Calibri" w:cs="Calibri"/>
                <w:b/>
                <w:bCs/>
                <w:color w:val="000000"/>
                <w:szCs w:val="22"/>
              </w:rPr>
              <w:br/>
              <w:t>of SLTs</w:t>
            </w:r>
          </w:p>
        </w:tc>
        <w:tc>
          <w:tcPr>
            <w:tcW w:w="1197" w:type="dxa"/>
            <w:tcBorders>
              <w:top w:val="nil"/>
              <w:left w:val="nil"/>
              <w:bottom w:val="single" w:sz="12" w:space="0" w:color="auto"/>
              <w:right w:val="single" w:sz="4" w:space="0" w:color="auto"/>
            </w:tcBorders>
            <w:shd w:val="clear" w:color="auto" w:fill="auto"/>
            <w:vAlign w:val="center"/>
            <w:hideMark/>
          </w:tcPr>
          <w:p w:rsidR="00FE4AAF" w:rsidRPr="00C5404B" w:rsidP="0011566D" w14:paraId="2D9A6E6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Total Hours/</w:t>
            </w:r>
            <w:r w:rsidRPr="00C5404B">
              <w:rPr>
                <w:rFonts w:ascii="Calibri" w:hAnsi="Calibri" w:cs="Calibri"/>
                <w:b/>
                <w:bCs/>
                <w:color w:val="000000"/>
                <w:szCs w:val="22"/>
              </w:rPr>
              <w:br/>
              <w:t>Year</w:t>
            </w:r>
          </w:p>
        </w:tc>
        <w:tc>
          <w:tcPr>
            <w:tcW w:w="1237" w:type="dxa"/>
            <w:gridSpan w:val="2"/>
            <w:tcBorders>
              <w:top w:val="nil"/>
              <w:left w:val="nil"/>
              <w:bottom w:val="single" w:sz="12" w:space="0" w:color="auto"/>
              <w:right w:val="single" w:sz="12" w:space="0" w:color="auto"/>
            </w:tcBorders>
            <w:shd w:val="clear" w:color="auto" w:fill="auto"/>
            <w:vAlign w:val="center"/>
            <w:hideMark/>
          </w:tcPr>
          <w:p w:rsidR="00FE4AAF" w:rsidRPr="00C5404B" w:rsidP="0011566D" w14:paraId="18895CD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 xml:space="preserve"> Total Cost/</w:t>
            </w:r>
            <w:r w:rsidRPr="00C5404B">
              <w:rPr>
                <w:rFonts w:ascii="Calibri" w:hAnsi="Calibri" w:cs="Calibri"/>
                <w:b/>
                <w:bCs/>
                <w:color w:val="000000"/>
                <w:szCs w:val="22"/>
              </w:rPr>
              <w:br/>
              <w:t>Year</w:t>
            </w:r>
          </w:p>
        </w:tc>
        <w:tc>
          <w:tcPr>
            <w:tcW w:w="942" w:type="dxa"/>
            <w:tcBorders>
              <w:top w:val="nil"/>
              <w:left w:val="nil"/>
              <w:bottom w:val="single" w:sz="12" w:space="0" w:color="auto"/>
              <w:right w:val="single" w:sz="12" w:space="0" w:color="auto"/>
            </w:tcBorders>
            <w:shd w:val="clear" w:color="auto" w:fill="auto"/>
            <w:vAlign w:val="center"/>
            <w:hideMark/>
          </w:tcPr>
          <w:p w:rsidR="00FE4AAF" w:rsidRPr="00C5404B" w:rsidP="0011566D" w14:paraId="68BADF7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Hours/</w:t>
            </w:r>
            <w:r w:rsidRPr="00C5404B">
              <w:rPr>
                <w:rFonts w:ascii="Calibri" w:hAnsi="Calibri" w:cs="Calibri"/>
                <w:b/>
                <w:bCs/>
                <w:color w:val="000000"/>
                <w:szCs w:val="22"/>
              </w:rPr>
              <w:br/>
              <w:t>Year</w:t>
            </w:r>
          </w:p>
        </w:tc>
        <w:tc>
          <w:tcPr>
            <w:tcW w:w="1336" w:type="dxa"/>
            <w:tcBorders>
              <w:top w:val="nil"/>
              <w:left w:val="nil"/>
              <w:bottom w:val="single" w:sz="12" w:space="0" w:color="auto"/>
              <w:right w:val="single" w:sz="12" w:space="0" w:color="auto"/>
            </w:tcBorders>
            <w:shd w:val="clear" w:color="auto" w:fill="auto"/>
            <w:vAlign w:val="center"/>
            <w:hideMark/>
          </w:tcPr>
          <w:p w:rsidR="00FE4AAF" w:rsidRPr="00C5404B" w:rsidP="0011566D" w14:paraId="641BF01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C5404B">
              <w:rPr>
                <w:rFonts w:ascii="Calibri" w:hAnsi="Calibri" w:cs="Calibri"/>
                <w:b/>
                <w:bCs/>
                <w:color w:val="000000"/>
                <w:szCs w:val="22"/>
              </w:rPr>
              <w:t>Costs/</w:t>
            </w:r>
            <w:r w:rsidRPr="00C5404B">
              <w:rPr>
                <w:rFonts w:ascii="Calibri" w:hAnsi="Calibri" w:cs="Calibri"/>
                <w:b/>
                <w:bCs/>
                <w:color w:val="000000"/>
                <w:szCs w:val="22"/>
              </w:rPr>
              <w:br/>
              <w:t>Year</w:t>
            </w:r>
          </w:p>
        </w:tc>
      </w:tr>
      <w:tr w14:paraId="1C45DAAE" w14:textId="77777777" w:rsidTr="0011566D">
        <w:tblPrEx>
          <w:tblW w:w="13877" w:type="dxa"/>
          <w:tblLayout w:type="fixed"/>
          <w:tblCellMar>
            <w:left w:w="58" w:type="dxa"/>
            <w:right w:w="86" w:type="dxa"/>
          </w:tblCellMar>
          <w:tblLook w:val="04A0"/>
        </w:tblPrEx>
        <w:trPr>
          <w:trHeight w:val="5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4337247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vertAlign w:val="superscript"/>
              </w:rPr>
            </w:pPr>
            <w:r>
              <w:rPr>
                <w:rFonts w:ascii="Calibri" w:hAnsi="Calibri" w:cs="Calibri"/>
                <w:color w:val="000000"/>
                <w:szCs w:val="22"/>
              </w:rPr>
              <w:t>One-Time Required, Prescribed Burning</w:t>
            </w:r>
            <w:r>
              <w:rPr>
                <w:rFonts w:ascii="Calibri" w:hAnsi="Calibri" w:cs="Calibri"/>
                <w:color w:val="000000"/>
                <w:szCs w:val="22"/>
                <w:vertAlign w:val="superscript"/>
              </w:rPr>
              <w:t>1</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357F2DD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52</w:t>
            </w:r>
          </w:p>
        </w:tc>
        <w:tc>
          <w:tcPr>
            <w:tcW w:w="942" w:type="dxa"/>
            <w:tcBorders>
              <w:top w:val="nil"/>
              <w:left w:val="nil"/>
              <w:bottom w:val="nil"/>
              <w:right w:val="single" w:sz="4" w:space="0" w:color="auto"/>
            </w:tcBorders>
            <w:shd w:val="clear" w:color="auto" w:fill="auto"/>
            <w:vAlign w:val="center"/>
            <w:hideMark/>
          </w:tcPr>
          <w:p w:rsidR="00FE4AAF" w:rsidRPr="00C5404B" w:rsidP="0011566D" w14:paraId="6B0E82E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116,480</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26C16E3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$10,398,053 </w:t>
            </w:r>
          </w:p>
        </w:tc>
        <w:tc>
          <w:tcPr>
            <w:tcW w:w="318" w:type="dxa"/>
            <w:tcBorders>
              <w:top w:val="single" w:sz="4" w:space="0" w:color="auto"/>
              <w:left w:val="nil"/>
              <w:bottom w:val="single" w:sz="4" w:space="0" w:color="auto"/>
            </w:tcBorders>
            <w:shd w:val="clear" w:color="auto" w:fill="auto"/>
            <w:vAlign w:val="center"/>
            <w:hideMark/>
          </w:tcPr>
          <w:p w:rsidR="00FE4AAF" w:rsidRPr="00C5404B" w:rsidP="0011566D" w14:paraId="65AD8C0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2397" w:type="dxa"/>
            <w:gridSpan w:val="3"/>
            <w:tcBorders>
              <w:top w:val="single" w:sz="4" w:space="0" w:color="auto"/>
              <w:bottom w:val="single" w:sz="4" w:space="0" w:color="auto"/>
            </w:tcBorders>
            <w:shd w:val="clear" w:color="auto" w:fill="auto"/>
            <w:noWrap/>
            <w:vAlign w:val="center"/>
            <w:hideMark/>
          </w:tcPr>
          <w:p w:rsidR="00FE4AAF" w:rsidRPr="00C5404B" w:rsidP="0011566D" w14:paraId="4DE262F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259" w:type="dxa"/>
            <w:tcBorders>
              <w:top w:val="single" w:sz="4" w:space="0" w:color="auto"/>
              <w:bottom w:val="single" w:sz="4" w:space="0" w:color="auto"/>
              <w:right w:val="single" w:sz="12" w:space="0" w:color="auto"/>
            </w:tcBorders>
            <w:shd w:val="clear" w:color="auto" w:fill="auto"/>
            <w:vAlign w:val="center"/>
            <w:hideMark/>
          </w:tcPr>
          <w:p w:rsidR="00FE4AAF" w:rsidRPr="00C5404B" w:rsidP="0011566D" w14:paraId="00FB06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w:t>
            </w:r>
          </w:p>
        </w:tc>
        <w:tc>
          <w:tcPr>
            <w:tcW w:w="346" w:type="dxa"/>
            <w:tcBorders>
              <w:top w:val="single" w:sz="4" w:space="0" w:color="auto"/>
              <w:left w:val="nil"/>
              <w:bottom w:val="single" w:sz="4" w:space="0" w:color="auto"/>
            </w:tcBorders>
            <w:shd w:val="clear" w:color="auto" w:fill="auto"/>
            <w:noWrap/>
            <w:vAlign w:val="center"/>
            <w:hideMark/>
          </w:tcPr>
          <w:p w:rsidR="00FE4AAF" w:rsidRPr="00C5404B" w:rsidP="0011566D" w14:paraId="3926F18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2533" w:type="dxa"/>
            <w:gridSpan w:val="3"/>
            <w:tcBorders>
              <w:top w:val="single" w:sz="4" w:space="0" w:color="auto"/>
              <w:bottom w:val="single" w:sz="4" w:space="0" w:color="auto"/>
            </w:tcBorders>
            <w:shd w:val="clear" w:color="auto" w:fill="auto"/>
            <w:noWrap/>
            <w:vAlign w:val="center"/>
            <w:hideMark/>
          </w:tcPr>
          <w:p w:rsidR="00FE4AAF" w:rsidRPr="00C5404B" w:rsidP="0011566D" w14:paraId="260BFA0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266" w:type="dxa"/>
            <w:tcBorders>
              <w:top w:val="single" w:sz="4" w:space="0" w:color="auto"/>
              <w:bottom w:val="single" w:sz="4" w:space="0" w:color="auto"/>
              <w:right w:val="single" w:sz="12" w:space="0" w:color="auto"/>
            </w:tcBorders>
            <w:shd w:val="clear" w:color="auto" w:fill="auto"/>
            <w:vAlign w:val="center"/>
            <w:hideMark/>
          </w:tcPr>
          <w:p w:rsidR="00FE4AAF" w:rsidRPr="00C5404B" w:rsidP="0011566D" w14:paraId="348459E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w:t>
            </w:r>
          </w:p>
        </w:tc>
        <w:tc>
          <w:tcPr>
            <w:tcW w:w="942" w:type="dxa"/>
            <w:tcBorders>
              <w:top w:val="single" w:sz="4" w:space="0" w:color="auto"/>
              <w:left w:val="nil"/>
              <w:bottom w:val="single" w:sz="4" w:space="0" w:color="auto"/>
              <w:right w:val="single" w:sz="12" w:space="0" w:color="auto"/>
            </w:tcBorders>
            <w:shd w:val="clear" w:color="auto" w:fill="auto"/>
            <w:noWrap/>
            <w:vAlign w:val="center"/>
            <w:hideMark/>
          </w:tcPr>
          <w:p w:rsidR="00FE4AAF" w:rsidRPr="00C5404B" w:rsidP="0011566D" w14:paraId="547AC27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116,480</w:t>
            </w:r>
          </w:p>
        </w:tc>
        <w:tc>
          <w:tcPr>
            <w:tcW w:w="1336" w:type="dxa"/>
            <w:tcBorders>
              <w:top w:val="single" w:sz="4" w:space="0" w:color="auto"/>
              <w:left w:val="nil"/>
              <w:bottom w:val="single" w:sz="4" w:space="0" w:color="auto"/>
              <w:right w:val="single" w:sz="12" w:space="0" w:color="auto"/>
            </w:tcBorders>
            <w:shd w:val="clear" w:color="auto" w:fill="auto"/>
            <w:noWrap/>
            <w:vAlign w:val="center"/>
            <w:hideMark/>
          </w:tcPr>
          <w:p w:rsidR="00FE4AAF" w:rsidRPr="00C5404B" w:rsidP="0011566D" w14:paraId="0482781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$10,398,053</w:t>
            </w:r>
          </w:p>
        </w:tc>
      </w:tr>
      <w:tr w14:paraId="3B0E3350" w14:textId="77777777" w:rsidTr="0011566D">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3EE3144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One-Time Required, Point Sources</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288D1A0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37</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FE4AAF" w:rsidRPr="00C5404B" w:rsidP="0011566D" w14:paraId="482BF6D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23,877</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59A8E1A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$2,103,905 </w:t>
            </w:r>
          </w:p>
        </w:tc>
        <w:tc>
          <w:tcPr>
            <w:tcW w:w="625"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3EE5BE2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w:t>
            </w:r>
          </w:p>
        </w:tc>
        <w:tc>
          <w:tcPr>
            <w:tcW w:w="1082" w:type="dxa"/>
            <w:tcBorders>
              <w:top w:val="nil"/>
              <w:left w:val="nil"/>
              <w:bottom w:val="single" w:sz="4" w:space="0" w:color="auto"/>
              <w:right w:val="single" w:sz="4" w:space="0" w:color="auto"/>
            </w:tcBorders>
            <w:shd w:val="clear" w:color="auto" w:fill="auto"/>
            <w:vAlign w:val="center"/>
            <w:hideMark/>
          </w:tcPr>
          <w:p w:rsidR="00FE4AAF" w:rsidRPr="00C5404B" w:rsidP="0011566D" w14:paraId="0EBD9D8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10,325</w:t>
            </w:r>
          </w:p>
        </w:tc>
        <w:tc>
          <w:tcPr>
            <w:tcW w:w="126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1B508A4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$909,797 </w:t>
            </w:r>
          </w:p>
        </w:tc>
        <w:tc>
          <w:tcPr>
            <w:tcW w:w="711" w:type="dxa"/>
            <w:gridSpan w:val="2"/>
            <w:tcBorders>
              <w:top w:val="nil"/>
              <w:left w:val="nil"/>
              <w:bottom w:val="nil"/>
              <w:right w:val="single" w:sz="4" w:space="0" w:color="auto"/>
            </w:tcBorders>
            <w:shd w:val="clear" w:color="auto" w:fill="auto"/>
            <w:vAlign w:val="center"/>
            <w:hideMark/>
          </w:tcPr>
          <w:p w:rsidR="00FE4AAF" w:rsidRPr="00C5404B" w:rsidP="0011566D" w14:paraId="7BD5778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32</w:t>
            </w:r>
          </w:p>
        </w:tc>
        <w:tc>
          <w:tcPr>
            <w:tcW w:w="1197" w:type="dxa"/>
            <w:tcBorders>
              <w:top w:val="nil"/>
              <w:left w:val="nil"/>
              <w:bottom w:val="single" w:sz="4" w:space="0" w:color="auto"/>
              <w:right w:val="single" w:sz="4" w:space="0" w:color="auto"/>
            </w:tcBorders>
            <w:shd w:val="clear" w:color="auto" w:fill="auto"/>
            <w:vAlign w:val="center"/>
            <w:hideMark/>
          </w:tcPr>
          <w:p w:rsidR="00FE4AAF" w:rsidRPr="00C5404B" w:rsidP="0011566D" w14:paraId="475800B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6,101</w:t>
            </w:r>
          </w:p>
        </w:tc>
        <w:tc>
          <w:tcPr>
            <w:tcW w:w="123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162031A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$569,750 </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6C1D2D2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40,304</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365A236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$3,583,452</w:t>
            </w:r>
          </w:p>
        </w:tc>
      </w:tr>
      <w:tr w14:paraId="7351ACF9" w14:textId="77777777" w:rsidTr="0011566D">
        <w:tblPrEx>
          <w:tblW w:w="13877" w:type="dxa"/>
          <w:tblLayout w:type="fixed"/>
          <w:tblCellMar>
            <w:left w:w="58" w:type="dxa"/>
            <w:right w:w="86" w:type="dxa"/>
          </w:tblCellMar>
          <w:tblLook w:val="04A0"/>
        </w:tblPrEx>
        <w:trPr>
          <w:trHeight w:val="58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2AD363A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Annual Required, Point Sources</w:t>
            </w:r>
            <w:r>
              <w:rPr>
                <w:rFonts w:ascii="Calibri" w:hAnsi="Calibri" w:cs="Calibri"/>
                <w:color w:val="000000"/>
                <w:szCs w:val="22"/>
                <w:vertAlign w:val="superscript"/>
              </w:rPr>
              <w:t>2</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0AA38EA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942" w:type="dxa"/>
            <w:tcBorders>
              <w:top w:val="nil"/>
              <w:left w:val="nil"/>
              <w:bottom w:val="single" w:sz="4" w:space="0" w:color="auto"/>
              <w:right w:val="single" w:sz="4" w:space="0" w:color="auto"/>
            </w:tcBorders>
            <w:shd w:val="clear" w:color="auto" w:fill="auto"/>
            <w:vAlign w:val="center"/>
            <w:hideMark/>
          </w:tcPr>
          <w:p w:rsidR="00FE4AAF" w:rsidRPr="00C5404B" w:rsidP="0011566D" w14:paraId="3FA3ABD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2,979</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0503A8B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$277,199 </w:t>
            </w:r>
          </w:p>
        </w:tc>
        <w:tc>
          <w:tcPr>
            <w:tcW w:w="625"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786CB0B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w:t>
            </w:r>
          </w:p>
        </w:tc>
        <w:tc>
          <w:tcPr>
            <w:tcW w:w="1082" w:type="dxa"/>
            <w:tcBorders>
              <w:top w:val="nil"/>
              <w:left w:val="nil"/>
              <w:bottom w:val="single" w:sz="4" w:space="0" w:color="auto"/>
              <w:right w:val="single" w:sz="4" w:space="0" w:color="auto"/>
            </w:tcBorders>
            <w:shd w:val="clear" w:color="auto" w:fill="auto"/>
            <w:vAlign w:val="center"/>
            <w:hideMark/>
          </w:tcPr>
          <w:p w:rsidR="00FE4AAF" w:rsidRPr="00C5404B" w:rsidP="0011566D" w14:paraId="7CC3A7A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400</w:t>
            </w:r>
          </w:p>
        </w:tc>
        <w:tc>
          <w:tcPr>
            <w:tcW w:w="126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7903AFC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$37,230 </w:t>
            </w:r>
          </w:p>
        </w:tc>
        <w:tc>
          <w:tcPr>
            <w:tcW w:w="711" w:type="dxa"/>
            <w:gridSpan w:val="2"/>
            <w:tcBorders>
              <w:top w:val="single" w:sz="4" w:space="0" w:color="auto"/>
              <w:left w:val="nil"/>
              <w:bottom w:val="single" w:sz="4" w:space="0" w:color="auto"/>
              <w:right w:val="single" w:sz="4" w:space="0" w:color="auto"/>
            </w:tcBorders>
            <w:shd w:val="clear" w:color="auto" w:fill="auto"/>
            <w:vAlign w:val="center"/>
            <w:hideMark/>
          </w:tcPr>
          <w:p w:rsidR="00FE4AAF" w:rsidRPr="00C5404B" w:rsidP="0011566D" w14:paraId="1D7B0D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w:t>
            </w:r>
          </w:p>
        </w:tc>
        <w:tc>
          <w:tcPr>
            <w:tcW w:w="1197" w:type="dxa"/>
            <w:tcBorders>
              <w:top w:val="nil"/>
              <w:left w:val="nil"/>
              <w:bottom w:val="single" w:sz="4" w:space="0" w:color="auto"/>
              <w:right w:val="single" w:sz="4" w:space="0" w:color="auto"/>
            </w:tcBorders>
            <w:shd w:val="clear" w:color="auto" w:fill="auto"/>
            <w:vAlign w:val="center"/>
            <w:hideMark/>
          </w:tcPr>
          <w:p w:rsidR="00FE4AAF" w:rsidRPr="00C5404B" w:rsidP="0011566D" w14:paraId="14BD22F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288.8</w:t>
            </w:r>
          </w:p>
        </w:tc>
        <w:tc>
          <w:tcPr>
            <w:tcW w:w="123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36F3710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$27,512 </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34446A8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3,668</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3FB73AA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$341,942</w:t>
            </w:r>
          </w:p>
        </w:tc>
      </w:tr>
      <w:tr w14:paraId="0F29F564" w14:textId="77777777" w:rsidTr="000C5B00">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1F65AEE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Triennial Required, Point Sources</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1AF4149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942" w:type="dxa"/>
            <w:tcBorders>
              <w:top w:val="nil"/>
              <w:left w:val="nil"/>
              <w:bottom w:val="single" w:sz="4" w:space="0" w:color="auto"/>
              <w:right w:val="single" w:sz="4" w:space="0" w:color="auto"/>
            </w:tcBorders>
            <w:shd w:val="clear" w:color="auto" w:fill="auto"/>
            <w:vAlign w:val="center"/>
            <w:hideMark/>
          </w:tcPr>
          <w:p w:rsidR="00FE4AAF" w:rsidRPr="00C5404B" w:rsidP="0011566D" w14:paraId="20C58BB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4,247</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558DB62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$398,563 </w:t>
            </w:r>
          </w:p>
        </w:tc>
        <w:tc>
          <w:tcPr>
            <w:tcW w:w="625"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3893069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w:t>
            </w:r>
          </w:p>
        </w:tc>
        <w:tc>
          <w:tcPr>
            <w:tcW w:w="1082" w:type="dxa"/>
            <w:tcBorders>
              <w:top w:val="nil"/>
              <w:left w:val="nil"/>
              <w:bottom w:val="single" w:sz="4" w:space="0" w:color="auto"/>
              <w:right w:val="single" w:sz="4" w:space="0" w:color="auto"/>
            </w:tcBorders>
            <w:shd w:val="clear" w:color="auto" w:fill="auto"/>
            <w:vAlign w:val="center"/>
            <w:hideMark/>
          </w:tcPr>
          <w:p w:rsidR="00FE4AAF" w:rsidRPr="00C5404B" w:rsidP="0011566D" w14:paraId="7B70765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515</w:t>
            </w:r>
          </w:p>
        </w:tc>
        <w:tc>
          <w:tcPr>
            <w:tcW w:w="126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2478DD3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$48,469 </w:t>
            </w:r>
          </w:p>
        </w:tc>
        <w:tc>
          <w:tcPr>
            <w:tcW w:w="711"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4BCC744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w:t>
            </w:r>
          </w:p>
        </w:tc>
        <w:tc>
          <w:tcPr>
            <w:tcW w:w="1197" w:type="dxa"/>
            <w:tcBorders>
              <w:top w:val="nil"/>
              <w:left w:val="nil"/>
              <w:bottom w:val="single" w:sz="4" w:space="0" w:color="auto"/>
              <w:right w:val="single" w:sz="4" w:space="0" w:color="auto"/>
            </w:tcBorders>
            <w:shd w:val="clear" w:color="auto" w:fill="auto"/>
            <w:vAlign w:val="center"/>
            <w:hideMark/>
          </w:tcPr>
          <w:p w:rsidR="00FE4AAF" w:rsidRPr="00C5404B" w:rsidP="0011566D" w14:paraId="7D94CE8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486</w:t>
            </w:r>
          </w:p>
        </w:tc>
        <w:tc>
          <w:tcPr>
            <w:tcW w:w="123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50C521D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$46,457 </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35AFD92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5,248</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362A487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$493,489</w:t>
            </w:r>
          </w:p>
        </w:tc>
      </w:tr>
      <w:tr w14:paraId="6DFF9474" w14:textId="77777777" w:rsidTr="000C5B00">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57B7A4B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Triennial Required, Other Sources</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3B37D55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84</w:t>
            </w:r>
          </w:p>
        </w:tc>
        <w:tc>
          <w:tcPr>
            <w:tcW w:w="942" w:type="dxa"/>
            <w:tcBorders>
              <w:top w:val="nil"/>
              <w:left w:val="nil"/>
              <w:bottom w:val="single" w:sz="4" w:space="0" w:color="auto"/>
              <w:right w:val="single" w:sz="4" w:space="0" w:color="auto"/>
            </w:tcBorders>
            <w:shd w:val="clear" w:color="auto" w:fill="auto"/>
            <w:vAlign w:val="center"/>
            <w:hideMark/>
          </w:tcPr>
          <w:p w:rsidR="00FE4AAF" w:rsidRPr="00C5404B" w:rsidP="0011566D" w14:paraId="67FFDC3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36,540</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5DB02EF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$3,368,347 </w:t>
            </w:r>
          </w:p>
        </w:tc>
        <w:tc>
          <w:tcPr>
            <w:tcW w:w="625" w:type="dxa"/>
            <w:gridSpan w:val="2"/>
            <w:tcBorders>
              <w:top w:val="single" w:sz="4" w:space="0" w:color="auto"/>
              <w:left w:val="nil"/>
              <w:bottom w:val="single" w:sz="4" w:space="0" w:color="auto"/>
            </w:tcBorders>
            <w:shd w:val="clear" w:color="auto" w:fill="auto"/>
            <w:noWrap/>
            <w:vAlign w:val="center"/>
          </w:tcPr>
          <w:p w:rsidR="00FE4AAF" w:rsidRPr="00C5404B" w:rsidP="0011566D" w14:paraId="4B07167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082" w:type="dxa"/>
            <w:tcBorders>
              <w:top w:val="single" w:sz="4" w:space="0" w:color="auto"/>
              <w:bottom w:val="single" w:sz="4" w:space="0" w:color="auto"/>
            </w:tcBorders>
            <w:shd w:val="clear" w:color="auto" w:fill="auto"/>
            <w:vAlign w:val="center"/>
          </w:tcPr>
          <w:p w:rsidR="00FE4AAF" w:rsidRPr="00C5404B" w:rsidP="0011566D" w14:paraId="69F5D7C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267" w:type="dxa"/>
            <w:gridSpan w:val="2"/>
            <w:tcBorders>
              <w:top w:val="single" w:sz="4" w:space="0" w:color="auto"/>
              <w:bottom w:val="single" w:sz="4" w:space="0" w:color="auto"/>
              <w:right w:val="single" w:sz="12" w:space="0" w:color="auto"/>
            </w:tcBorders>
            <w:shd w:val="clear" w:color="auto" w:fill="auto"/>
            <w:vAlign w:val="center"/>
          </w:tcPr>
          <w:p w:rsidR="00FE4AAF" w:rsidRPr="00C5404B" w:rsidP="0011566D" w14:paraId="1763D37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w:t>
            </w:r>
          </w:p>
        </w:tc>
        <w:tc>
          <w:tcPr>
            <w:tcW w:w="711" w:type="dxa"/>
            <w:gridSpan w:val="2"/>
            <w:tcBorders>
              <w:top w:val="single" w:sz="4" w:space="0" w:color="auto"/>
              <w:left w:val="nil"/>
              <w:bottom w:val="single" w:sz="4" w:space="0" w:color="auto"/>
            </w:tcBorders>
            <w:shd w:val="clear" w:color="auto" w:fill="auto"/>
            <w:noWrap/>
            <w:vAlign w:val="center"/>
          </w:tcPr>
          <w:p w:rsidR="00FE4AAF" w:rsidRPr="00C5404B" w:rsidP="0011566D" w14:paraId="6BB57FA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197" w:type="dxa"/>
            <w:tcBorders>
              <w:top w:val="single" w:sz="4" w:space="0" w:color="auto"/>
              <w:bottom w:val="single" w:sz="4" w:space="0" w:color="auto"/>
            </w:tcBorders>
            <w:shd w:val="clear" w:color="auto" w:fill="auto"/>
            <w:vAlign w:val="center"/>
          </w:tcPr>
          <w:p w:rsidR="00FE4AAF" w:rsidRPr="00C5404B" w:rsidP="0011566D" w14:paraId="2CF0408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237" w:type="dxa"/>
            <w:gridSpan w:val="2"/>
            <w:tcBorders>
              <w:top w:val="single" w:sz="4" w:space="0" w:color="auto"/>
              <w:bottom w:val="single" w:sz="4" w:space="0" w:color="auto"/>
              <w:right w:val="single" w:sz="12" w:space="0" w:color="auto"/>
            </w:tcBorders>
            <w:shd w:val="clear" w:color="auto" w:fill="auto"/>
            <w:vAlign w:val="center"/>
          </w:tcPr>
          <w:p w:rsidR="00FE4AAF" w:rsidRPr="00C5404B" w:rsidP="0011566D" w14:paraId="17E860E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48D91F1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36,540</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4C8A3AD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$3,368,347</w:t>
            </w:r>
          </w:p>
        </w:tc>
      </w:tr>
      <w:tr w14:paraId="4480288C" w14:textId="77777777" w:rsidTr="000C5B00">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074D53" w:rsidRPr="00C5404B" w:rsidP="00074D53" w14:paraId="38E90A7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Labor Subtotal (Required) </w:t>
            </w:r>
          </w:p>
        </w:tc>
        <w:tc>
          <w:tcPr>
            <w:tcW w:w="520" w:type="dxa"/>
            <w:tcBorders>
              <w:top w:val="nil"/>
              <w:left w:val="nil"/>
              <w:bottom w:val="single" w:sz="4" w:space="0" w:color="auto"/>
              <w:right w:val="single" w:sz="4" w:space="0" w:color="auto"/>
            </w:tcBorders>
            <w:shd w:val="clear" w:color="auto" w:fill="auto"/>
            <w:vAlign w:val="center"/>
            <w:hideMark/>
          </w:tcPr>
          <w:p w:rsidR="00074D53" w:rsidRPr="00C5404B" w:rsidP="00074D53" w14:paraId="5F429D1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942" w:type="dxa"/>
            <w:tcBorders>
              <w:top w:val="nil"/>
              <w:left w:val="nil"/>
              <w:bottom w:val="single" w:sz="4" w:space="0" w:color="auto"/>
              <w:right w:val="single" w:sz="4" w:space="0" w:color="auto"/>
            </w:tcBorders>
            <w:shd w:val="clear" w:color="auto" w:fill="auto"/>
            <w:vAlign w:val="center"/>
            <w:hideMark/>
          </w:tcPr>
          <w:p w:rsidR="00074D53" w:rsidRPr="00C5404B" w:rsidP="00074D53" w14:paraId="199167DB" w14:textId="0D15DB0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184,123</w:t>
            </w:r>
          </w:p>
        </w:tc>
        <w:tc>
          <w:tcPr>
            <w:tcW w:w="1333" w:type="dxa"/>
            <w:tcBorders>
              <w:top w:val="nil"/>
              <w:left w:val="nil"/>
              <w:bottom w:val="single" w:sz="4" w:space="0" w:color="auto"/>
              <w:right w:val="single" w:sz="12" w:space="0" w:color="auto"/>
            </w:tcBorders>
            <w:shd w:val="clear" w:color="auto" w:fill="auto"/>
            <w:vAlign w:val="center"/>
          </w:tcPr>
          <w:p w:rsidR="00074D53" w:rsidRPr="00C5404B" w:rsidP="00074D53" w14:paraId="7A49F0A1" w14:textId="3B0376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$16,546,068 </w:t>
            </w:r>
          </w:p>
        </w:tc>
        <w:tc>
          <w:tcPr>
            <w:tcW w:w="625" w:type="dxa"/>
            <w:gridSpan w:val="2"/>
            <w:tcBorders>
              <w:top w:val="single" w:sz="4" w:space="0" w:color="auto"/>
              <w:left w:val="nil"/>
              <w:bottom w:val="single" w:sz="4" w:space="0" w:color="auto"/>
              <w:right w:val="single" w:sz="4" w:space="0" w:color="auto"/>
            </w:tcBorders>
            <w:shd w:val="clear" w:color="auto" w:fill="auto"/>
            <w:vAlign w:val="center"/>
            <w:hideMark/>
          </w:tcPr>
          <w:p w:rsidR="00074D53" w:rsidRPr="00C5404B" w:rsidP="00074D53" w14:paraId="01A159E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074D53" w:rsidRPr="00C5404B" w:rsidP="00074D53" w14:paraId="2602F83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11,240</w:t>
            </w:r>
          </w:p>
        </w:tc>
        <w:tc>
          <w:tcPr>
            <w:tcW w:w="1267" w:type="dxa"/>
            <w:gridSpan w:val="2"/>
            <w:tcBorders>
              <w:top w:val="single" w:sz="4" w:space="0" w:color="auto"/>
              <w:left w:val="nil"/>
              <w:bottom w:val="single" w:sz="4" w:space="0" w:color="auto"/>
              <w:right w:val="single" w:sz="12" w:space="0" w:color="auto"/>
            </w:tcBorders>
            <w:shd w:val="clear" w:color="auto" w:fill="auto"/>
            <w:vAlign w:val="center"/>
            <w:hideMark/>
          </w:tcPr>
          <w:p w:rsidR="00074D53" w:rsidRPr="00C5404B" w:rsidP="00074D53" w14:paraId="5AF9352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$995,496 </w:t>
            </w:r>
          </w:p>
        </w:tc>
        <w:tc>
          <w:tcPr>
            <w:tcW w:w="711" w:type="dxa"/>
            <w:gridSpan w:val="2"/>
            <w:tcBorders>
              <w:top w:val="single" w:sz="4" w:space="0" w:color="auto"/>
              <w:left w:val="nil"/>
              <w:bottom w:val="single" w:sz="4" w:space="0" w:color="auto"/>
              <w:right w:val="single" w:sz="4" w:space="0" w:color="auto"/>
            </w:tcBorders>
            <w:shd w:val="clear" w:color="auto" w:fill="auto"/>
            <w:vAlign w:val="center"/>
            <w:hideMark/>
          </w:tcPr>
          <w:p w:rsidR="00074D53" w:rsidRPr="00C5404B" w:rsidP="00074D53" w14:paraId="25787F4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074D53" w:rsidRPr="00C5404B" w:rsidP="00074D53" w14:paraId="1AB7BD2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6,877</w:t>
            </w:r>
          </w:p>
        </w:tc>
        <w:tc>
          <w:tcPr>
            <w:tcW w:w="1237" w:type="dxa"/>
            <w:gridSpan w:val="2"/>
            <w:tcBorders>
              <w:top w:val="single" w:sz="4" w:space="0" w:color="auto"/>
              <w:left w:val="nil"/>
              <w:bottom w:val="single" w:sz="4" w:space="0" w:color="auto"/>
              <w:right w:val="single" w:sz="12" w:space="0" w:color="auto"/>
            </w:tcBorders>
            <w:shd w:val="clear" w:color="auto" w:fill="auto"/>
            <w:vAlign w:val="center"/>
            <w:hideMark/>
          </w:tcPr>
          <w:p w:rsidR="00074D53" w:rsidRPr="00C5404B" w:rsidP="00074D53" w14:paraId="15E1674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$643,720 </w:t>
            </w:r>
          </w:p>
        </w:tc>
        <w:tc>
          <w:tcPr>
            <w:tcW w:w="942" w:type="dxa"/>
            <w:tcBorders>
              <w:top w:val="nil"/>
              <w:left w:val="nil"/>
              <w:bottom w:val="single" w:sz="4" w:space="0" w:color="auto"/>
              <w:right w:val="single" w:sz="12" w:space="0" w:color="auto"/>
            </w:tcBorders>
            <w:shd w:val="clear" w:color="auto" w:fill="auto"/>
            <w:noWrap/>
            <w:vAlign w:val="center"/>
          </w:tcPr>
          <w:p w:rsidR="00074D53" w:rsidRPr="00C5404B" w:rsidP="00074D53" w14:paraId="0342DE6A" w14:textId="0F7FB8A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202,240</w:t>
            </w:r>
          </w:p>
        </w:tc>
        <w:tc>
          <w:tcPr>
            <w:tcW w:w="1336" w:type="dxa"/>
            <w:tcBorders>
              <w:top w:val="nil"/>
              <w:left w:val="nil"/>
              <w:bottom w:val="single" w:sz="4" w:space="0" w:color="auto"/>
              <w:right w:val="single" w:sz="12" w:space="0" w:color="auto"/>
            </w:tcBorders>
            <w:shd w:val="clear" w:color="auto" w:fill="auto"/>
            <w:noWrap/>
            <w:vAlign w:val="center"/>
          </w:tcPr>
          <w:p w:rsidR="00074D53" w:rsidRPr="00C5404B" w:rsidP="00074D53" w14:paraId="375B4C05" w14:textId="66E21D8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$18,185,283</w:t>
            </w:r>
          </w:p>
        </w:tc>
      </w:tr>
      <w:tr w14:paraId="05F676EF" w14:textId="77777777" w:rsidTr="0011566D">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03A04D5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Point Data Collection System O&amp;M</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37C3CB3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942" w:type="dxa"/>
            <w:tcBorders>
              <w:top w:val="nil"/>
              <w:left w:val="nil"/>
              <w:bottom w:val="single" w:sz="4" w:space="0" w:color="auto"/>
              <w:right w:val="single" w:sz="4" w:space="0" w:color="auto"/>
            </w:tcBorders>
            <w:shd w:val="clear" w:color="auto" w:fill="auto"/>
            <w:vAlign w:val="center"/>
            <w:hideMark/>
          </w:tcPr>
          <w:p w:rsidR="00FE4AAF" w:rsidRPr="00C5404B" w:rsidP="0011566D" w14:paraId="6D57B0D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98,560</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5827A98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$8,566,596 </w:t>
            </w:r>
          </w:p>
        </w:tc>
        <w:tc>
          <w:tcPr>
            <w:tcW w:w="625"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049F8B4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w:t>
            </w:r>
          </w:p>
        </w:tc>
        <w:tc>
          <w:tcPr>
            <w:tcW w:w="1082" w:type="dxa"/>
            <w:tcBorders>
              <w:top w:val="nil"/>
              <w:left w:val="nil"/>
              <w:bottom w:val="single" w:sz="4" w:space="0" w:color="auto"/>
              <w:right w:val="single" w:sz="4" w:space="0" w:color="auto"/>
            </w:tcBorders>
            <w:shd w:val="clear" w:color="auto" w:fill="auto"/>
            <w:vAlign w:val="center"/>
            <w:hideMark/>
          </w:tcPr>
          <w:p w:rsidR="00FE4AAF" w:rsidRPr="00C5404B" w:rsidP="0011566D" w14:paraId="77AE86C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12,892</w:t>
            </w:r>
          </w:p>
        </w:tc>
        <w:tc>
          <w:tcPr>
            <w:tcW w:w="126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7D750FF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$1,114,039 </w:t>
            </w:r>
          </w:p>
        </w:tc>
        <w:tc>
          <w:tcPr>
            <w:tcW w:w="711" w:type="dxa"/>
            <w:gridSpan w:val="2"/>
            <w:tcBorders>
              <w:top w:val="nil"/>
              <w:left w:val="nil"/>
              <w:bottom w:val="single" w:sz="4" w:space="0" w:color="auto"/>
              <w:right w:val="single" w:sz="4" w:space="0" w:color="auto"/>
            </w:tcBorders>
            <w:shd w:val="clear" w:color="auto" w:fill="auto"/>
            <w:vAlign w:val="center"/>
            <w:hideMark/>
          </w:tcPr>
          <w:p w:rsidR="00FE4AAF" w:rsidRPr="00C5404B" w:rsidP="0011566D" w14:paraId="0EF1DC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w:t>
            </w:r>
          </w:p>
        </w:tc>
        <w:tc>
          <w:tcPr>
            <w:tcW w:w="1197" w:type="dxa"/>
            <w:tcBorders>
              <w:top w:val="nil"/>
              <w:left w:val="nil"/>
              <w:bottom w:val="single" w:sz="4" w:space="0" w:color="auto"/>
              <w:right w:val="single" w:sz="4" w:space="0" w:color="auto"/>
            </w:tcBorders>
            <w:shd w:val="clear" w:color="auto" w:fill="auto"/>
            <w:vAlign w:val="center"/>
            <w:hideMark/>
          </w:tcPr>
          <w:p w:rsidR="00FE4AAF" w:rsidRPr="00C5404B" w:rsidP="0011566D" w14:paraId="6F96CBC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3,762</w:t>
            </w:r>
          </w:p>
        </w:tc>
        <w:tc>
          <w:tcPr>
            <w:tcW w:w="1237" w:type="dxa"/>
            <w:gridSpan w:val="2"/>
            <w:tcBorders>
              <w:top w:val="nil"/>
              <w:left w:val="nil"/>
              <w:bottom w:val="single" w:sz="4" w:space="0" w:color="auto"/>
              <w:right w:val="single" w:sz="12" w:space="0" w:color="auto"/>
            </w:tcBorders>
            <w:shd w:val="clear" w:color="auto" w:fill="auto"/>
            <w:vAlign w:val="center"/>
            <w:hideMark/>
          </w:tcPr>
          <w:p w:rsidR="00FE4AAF" w:rsidRPr="00C5404B" w:rsidP="0011566D" w14:paraId="0713AF4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$347,574</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19386D3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115,214</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24C3C8A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$10,028,208</w:t>
            </w:r>
          </w:p>
        </w:tc>
      </w:tr>
      <w:tr w14:paraId="2A34409B" w14:textId="77777777" w:rsidTr="0011566D">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tcPr>
          <w:p w:rsidR="00FE4AAF" w:rsidRPr="00C5404B" w:rsidP="0011566D" w14:paraId="5B3D59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35374B87">
              <w:rPr>
                <w:rFonts w:ascii="Calibri" w:hAnsi="Calibri" w:cs="Calibri"/>
              </w:rPr>
              <w:t xml:space="preserve">Capital and Maintenance </w:t>
            </w:r>
          </w:p>
        </w:tc>
        <w:tc>
          <w:tcPr>
            <w:tcW w:w="520" w:type="dxa"/>
            <w:tcBorders>
              <w:top w:val="nil"/>
              <w:left w:val="nil"/>
              <w:bottom w:val="single" w:sz="4" w:space="0" w:color="auto"/>
              <w:right w:val="single" w:sz="4" w:space="0" w:color="auto"/>
            </w:tcBorders>
            <w:shd w:val="clear" w:color="auto" w:fill="auto"/>
            <w:vAlign w:val="center"/>
          </w:tcPr>
          <w:p w:rsidR="00FE4AAF" w:rsidRPr="00C5404B" w:rsidP="0011566D" w14:paraId="5B9AE50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942" w:type="dxa"/>
            <w:tcBorders>
              <w:top w:val="nil"/>
              <w:left w:val="nil"/>
              <w:bottom w:val="single" w:sz="4" w:space="0" w:color="auto"/>
              <w:right w:val="single" w:sz="4" w:space="0" w:color="auto"/>
            </w:tcBorders>
            <w:shd w:val="clear" w:color="auto" w:fill="auto"/>
            <w:vAlign w:val="bottom"/>
          </w:tcPr>
          <w:p w:rsidR="00FE4AAF" w:rsidRPr="00C5404B" w:rsidP="0011566D" w14:paraId="60515B5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p>
        </w:tc>
        <w:tc>
          <w:tcPr>
            <w:tcW w:w="1333" w:type="dxa"/>
            <w:tcBorders>
              <w:top w:val="nil"/>
              <w:left w:val="nil"/>
              <w:bottom w:val="single" w:sz="4" w:space="0" w:color="auto"/>
              <w:right w:val="single" w:sz="12" w:space="0" w:color="auto"/>
            </w:tcBorders>
            <w:shd w:val="clear" w:color="auto" w:fill="auto"/>
            <w:vAlign w:val="center"/>
          </w:tcPr>
          <w:p w:rsidR="00FE4AAF" w:rsidRPr="00C5404B" w:rsidP="0011566D" w14:paraId="2C2A06F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$168,000 </w:t>
            </w:r>
          </w:p>
        </w:tc>
        <w:tc>
          <w:tcPr>
            <w:tcW w:w="625" w:type="dxa"/>
            <w:gridSpan w:val="2"/>
            <w:tcBorders>
              <w:top w:val="nil"/>
              <w:left w:val="nil"/>
              <w:bottom w:val="single" w:sz="4" w:space="0" w:color="auto"/>
              <w:right w:val="single" w:sz="4" w:space="0" w:color="auto"/>
            </w:tcBorders>
            <w:shd w:val="clear" w:color="auto" w:fill="auto"/>
            <w:vAlign w:val="center"/>
          </w:tcPr>
          <w:p w:rsidR="00FE4AAF" w:rsidRPr="00C5404B" w:rsidP="0011566D" w14:paraId="635A6DA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w:t>
            </w:r>
          </w:p>
        </w:tc>
        <w:tc>
          <w:tcPr>
            <w:tcW w:w="1082" w:type="dxa"/>
            <w:tcBorders>
              <w:top w:val="nil"/>
              <w:left w:val="nil"/>
              <w:bottom w:val="single" w:sz="4" w:space="0" w:color="auto"/>
              <w:right w:val="single" w:sz="4" w:space="0" w:color="auto"/>
            </w:tcBorders>
            <w:shd w:val="clear" w:color="auto" w:fill="auto"/>
            <w:vAlign w:val="bottom"/>
          </w:tcPr>
          <w:p w:rsidR="00FE4AAF" w:rsidRPr="00C5404B" w:rsidP="0011566D" w14:paraId="1F2D686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267" w:type="dxa"/>
            <w:gridSpan w:val="2"/>
            <w:tcBorders>
              <w:top w:val="nil"/>
              <w:left w:val="nil"/>
              <w:bottom w:val="single" w:sz="4" w:space="0" w:color="auto"/>
              <w:right w:val="single" w:sz="12" w:space="0" w:color="auto"/>
            </w:tcBorders>
            <w:shd w:val="clear" w:color="auto" w:fill="auto"/>
            <w:vAlign w:val="center"/>
          </w:tcPr>
          <w:p w:rsidR="00FE4AAF" w:rsidRPr="00C5404B" w:rsidP="0011566D" w14:paraId="2C0BDF6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$30,000 </w:t>
            </w:r>
          </w:p>
        </w:tc>
        <w:tc>
          <w:tcPr>
            <w:tcW w:w="711" w:type="dxa"/>
            <w:gridSpan w:val="2"/>
            <w:tcBorders>
              <w:top w:val="nil"/>
              <w:left w:val="nil"/>
              <w:bottom w:val="single" w:sz="4" w:space="0" w:color="auto"/>
              <w:right w:val="single" w:sz="4" w:space="0" w:color="auto"/>
            </w:tcBorders>
            <w:shd w:val="clear" w:color="auto" w:fill="auto"/>
            <w:vAlign w:val="center"/>
          </w:tcPr>
          <w:p w:rsidR="00FE4AAF" w:rsidRPr="00C5404B" w:rsidP="0011566D" w14:paraId="5E859ED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w:t>
            </w:r>
          </w:p>
        </w:tc>
        <w:tc>
          <w:tcPr>
            <w:tcW w:w="1197" w:type="dxa"/>
            <w:tcBorders>
              <w:top w:val="nil"/>
              <w:left w:val="nil"/>
              <w:bottom w:val="single" w:sz="4" w:space="0" w:color="auto"/>
              <w:right w:val="single" w:sz="4" w:space="0" w:color="auto"/>
            </w:tcBorders>
            <w:shd w:val="clear" w:color="auto" w:fill="auto"/>
            <w:vAlign w:val="bottom"/>
          </w:tcPr>
          <w:p w:rsidR="00FE4AAF" w:rsidRPr="00C5404B" w:rsidP="0011566D" w14:paraId="472CBCE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p>
        </w:tc>
        <w:tc>
          <w:tcPr>
            <w:tcW w:w="1237" w:type="dxa"/>
            <w:gridSpan w:val="2"/>
            <w:tcBorders>
              <w:top w:val="nil"/>
              <w:left w:val="nil"/>
              <w:bottom w:val="single" w:sz="4" w:space="0" w:color="auto"/>
              <w:right w:val="single" w:sz="12" w:space="0" w:color="auto"/>
            </w:tcBorders>
            <w:shd w:val="clear" w:color="auto" w:fill="auto"/>
            <w:vAlign w:val="center"/>
          </w:tcPr>
          <w:p w:rsidR="00FE4AAF" w:rsidRPr="00C5404B" w:rsidP="0011566D" w14:paraId="1A57FFB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$57,000 </w:t>
            </w:r>
          </w:p>
        </w:tc>
        <w:tc>
          <w:tcPr>
            <w:tcW w:w="942" w:type="dxa"/>
            <w:tcBorders>
              <w:top w:val="nil"/>
              <w:left w:val="nil"/>
              <w:bottom w:val="single" w:sz="4" w:space="0" w:color="auto"/>
              <w:right w:val="single" w:sz="12" w:space="0" w:color="auto"/>
            </w:tcBorders>
            <w:shd w:val="clear" w:color="auto" w:fill="auto"/>
            <w:noWrap/>
            <w:vAlign w:val="bottom"/>
          </w:tcPr>
          <w:p w:rsidR="00FE4AAF" w:rsidRPr="00C5404B" w:rsidP="0011566D" w14:paraId="3CF953B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p>
        </w:tc>
        <w:tc>
          <w:tcPr>
            <w:tcW w:w="1336" w:type="dxa"/>
            <w:tcBorders>
              <w:top w:val="nil"/>
              <w:left w:val="nil"/>
              <w:bottom w:val="single" w:sz="4" w:space="0" w:color="auto"/>
              <w:right w:val="single" w:sz="12" w:space="0" w:color="auto"/>
            </w:tcBorders>
            <w:shd w:val="clear" w:color="auto" w:fill="auto"/>
            <w:noWrap/>
            <w:vAlign w:val="center"/>
          </w:tcPr>
          <w:p w:rsidR="00FE4AAF" w:rsidRPr="00C5404B" w:rsidP="0011566D" w14:paraId="440C62B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$255,000</w:t>
            </w:r>
          </w:p>
        </w:tc>
      </w:tr>
      <w:tr w14:paraId="397C25DA" w14:textId="77777777" w:rsidTr="0011566D">
        <w:tblPrEx>
          <w:tblW w:w="13877" w:type="dxa"/>
          <w:tblLayout w:type="fixed"/>
          <w:tblCellMar>
            <w:left w:w="58" w:type="dxa"/>
            <w:right w:w="86" w:type="dxa"/>
          </w:tblCellMar>
          <w:tblLook w:val="04A0"/>
        </w:tblPrEx>
        <w:trPr>
          <w:trHeight w:val="300"/>
        </w:trPr>
        <w:tc>
          <w:tcPr>
            <w:tcW w:w="2685" w:type="dxa"/>
            <w:tcBorders>
              <w:top w:val="nil"/>
              <w:left w:val="single" w:sz="12" w:space="0" w:color="auto"/>
              <w:bottom w:val="nil"/>
              <w:right w:val="single" w:sz="12" w:space="0" w:color="auto"/>
            </w:tcBorders>
            <w:shd w:val="clear" w:color="auto" w:fill="auto"/>
            <w:vAlign w:val="center"/>
            <w:hideMark/>
          </w:tcPr>
          <w:p w:rsidR="00074D53" w:rsidRPr="00C5404B" w:rsidP="00074D53" w14:paraId="319F354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Total (Required) </w:t>
            </w:r>
          </w:p>
        </w:tc>
        <w:tc>
          <w:tcPr>
            <w:tcW w:w="520" w:type="dxa"/>
            <w:tcBorders>
              <w:top w:val="nil"/>
              <w:left w:val="nil"/>
              <w:bottom w:val="nil"/>
              <w:right w:val="single" w:sz="4" w:space="0" w:color="auto"/>
            </w:tcBorders>
            <w:shd w:val="clear" w:color="auto" w:fill="auto"/>
            <w:vAlign w:val="center"/>
            <w:hideMark/>
          </w:tcPr>
          <w:p w:rsidR="00074D53" w:rsidRPr="00C5404B" w:rsidP="00074D53" w14:paraId="43CBBCC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942" w:type="dxa"/>
            <w:tcBorders>
              <w:top w:val="nil"/>
              <w:left w:val="nil"/>
              <w:bottom w:val="nil"/>
              <w:right w:val="single" w:sz="4" w:space="0" w:color="auto"/>
            </w:tcBorders>
            <w:shd w:val="clear" w:color="auto" w:fill="auto"/>
            <w:vAlign w:val="center"/>
            <w:hideMark/>
          </w:tcPr>
          <w:p w:rsidR="00074D53" w:rsidRPr="00C5404B" w:rsidP="00074D53" w14:paraId="7A1541C1" w14:textId="005FD22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282,683</w:t>
            </w:r>
          </w:p>
        </w:tc>
        <w:tc>
          <w:tcPr>
            <w:tcW w:w="1333" w:type="dxa"/>
            <w:tcBorders>
              <w:top w:val="nil"/>
              <w:left w:val="nil"/>
              <w:bottom w:val="nil"/>
              <w:right w:val="single" w:sz="12" w:space="0" w:color="auto"/>
            </w:tcBorders>
            <w:shd w:val="clear" w:color="auto" w:fill="auto"/>
            <w:vAlign w:val="center"/>
            <w:hideMark/>
          </w:tcPr>
          <w:p w:rsidR="00074D53" w:rsidRPr="00C5404B" w:rsidP="00074D53" w14:paraId="1C887CCE" w14:textId="00B6728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$25,280,663 </w:t>
            </w:r>
          </w:p>
        </w:tc>
        <w:tc>
          <w:tcPr>
            <w:tcW w:w="625" w:type="dxa"/>
            <w:gridSpan w:val="2"/>
            <w:tcBorders>
              <w:top w:val="nil"/>
              <w:left w:val="nil"/>
              <w:bottom w:val="nil"/>
              <w:right w:val="single" w:sz="4" w:space="0" w:color="auto"/>
            </w:tcBorders>
            <w:shd w:val="clear" w:color="auto" w:fill="auto"/>
            <w:vAlign w:val="center"/>
            <w:hideMark/>
          </w:tcPr>
          <w:p w:rsidR="00074D53" w:rsidRPr="00C5404B" w:rsidP="00074D53" w14:paraId="3B28AFB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082" w:type="dxa"/>
            <w:tcBorders>
              <w:top w:val="nil"/>
              <w:left w:val="nil"/>
              <w:bottom w:val="nil"/>
              <w:right w:val="single" w:sz="4" w:space="0" w:color="auto"/>
            </w:tcBorders>
            <w:shd w:val="clear" w:color="auto" w:fill="auto"/>
            <w:vAlign w:val="center"/>
            <w:hideMark/>
          </w:tcPr>
          <w:p w:rsidR="00074D53" w:rsidRPr="00C5404B" w:rsidP="00074D53" w14:paraId="22E916B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24,132</w:t>
            </w:r>
          </w:p>
        </w:tc>
        <w:tc>
          <w:tcPr>
            <w:tcW w:w="1267" w:type="dxa"/>
            <w:gridSpan w:val="2"/>
            <w:tcBorders>
              <w:top w:val="nil"/>
              <w:left w:val="nil"/>
              <w:bottom w:val="nil"/>
              <w:right w:val="single" w:sz="12" w:space="0" w:color="auto"/>
            </w:tcBorders>
            <w:shd w:val="clear" w:color="auto" w:fill="auto"/>
            <w:vAlign w:val="center"/>
            <w:hideMark/>
          </w:tcPr>
          <w:p w:rsidR="00074D53" w:rsidRPr="00C5404B" w:rsidP="00074D53" w14:paraId="6319E05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$2,139,535 </w:t>
            </w:r>
          </w:p>
        </w:tc>
        <w:tc>
          <w:tcPr>
            <w:tcW w:w="711" w:type="dxa"/>
            <w:gridSpan w:val="2"/>
            <w:tcBorders>
              <w:top w:val="nil"/>
              <w:left w:val="nil"/>
              <w:bottom w:val="nil"/>
              <w:right w:val="single" w:sz="4" w:space="0" w:color="auto"/>
            </w:tcBorders>
            <w:shd w:val="clear" w:color="auto" w:fill="auto"/>
            <w:vAlign w:val="center"/>
            <w:hideMark/>
          </w:tcPr>
          <w:p w:rsidR="00074D53" w:rsidRPr="00C5404B" w:rsidP="00074D53" w14:paraId="72BF823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197" w:type="dxa"/>
            <w:tcBorders>
              <w:top w:val="nil"/>
              <w:left w:val="nil"/>
              <w:bottom w:val="nil"/>
              <w:right w:val="single" w:sz="4" w:space="0" w:color="auto"/>
            </w:tcBorders>
            <w:shd w:val="clear" w:color="auto" w:fill="auto"/>
            <w:vAlign w:val="center"/>
            <w:hideMark/>
          </w:tcPr>
          <w:p w:rsidR="00074D53" w:rsidRPr="00C5404B" w:rsidP="00074D53" w14:paraId="37F2EB9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10,639</w:t>
            </w:r>
          </w:p>
        </w:tc>
        <w:tc>
          <w:tcPr>
            <w:tcW w:w="1237" w:type="dxa"/>
            <w:gridSpan w:val="2"/>
            <w:tcBorders>
              <w:top w:val="nil"/>
              <w:left w:val="nil"/>
              <w:bottom w:val="nil"/>
              <w:right w:val="single" w:sz="12" w:space="0" w:color="auto"/>
            </w:tcBorders>
            <w:shd w:val="clear" w:color="auto" w:fill="auto"/>
            <w:vAlign w:val="center"/>
            <w:hideMark/>
          </w:tcPr>
          <w:p w:rsidR="00074D53" w:rsidRPr="00C5404B" w:rsidP="00074D53" w14:paraId="7D45E76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$1,048,293 </w:t>
            </w:r>
          </w:p>
        </w:tc>
        <w:tc>
          <w:tcPr>
            <w:tcW w:w="942" w:type="dxa"/>
            <w:tcBorders>
              <w:top w:val="nil"/>
              <w:left w:val="nil"/>
              <w:bottom w:val="single" w:sz="12" w:space="0" w:color="auto"/>
              <w:right w:val="single" w:sz="12" w:space="0" w:color="auto"/>
            </w:tcBorders>
            <w:shd w:val="clear" w:color="auto" w:fill="auto"/>
            <w:noWrap/>
            <w:vAlign w:val="center"/>
            <w:hideMark/>
          </w:tcPr>
          <w:p w:rsidR="00074D53" w:rsidRPr="00C5404B" w:rsidP="00074D53" w14:paraId="7DCC81C2" w14:textId="3567125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317,454</w:t>
            </w:r>
          </w:p>
        </w:tc>
        <w:tc>
          <w:tcPr>
            <w:tcW w:w="1336" w:type="dxa"/>
            <w:tcBorders>
              <w:top w:val="nil"/>
              <w:left w:val="nil"/>
              <w:bottom w:val="single" w:sz="12" w:space="0" w:color="auto"/>
              <w:right w:val="single" w:sz="12" w:space="0" w:color="auto"/>
            </w:tcBorders>
            <w:shd w:val="clear" w:color="auto" w:fill="auto"/>
            <w:noWrap/>
            <w:vAlign w:val="center"/>
            <w:hideMark/>
          </w:tcPr>
          <w:p w:rsidR="00074D53" w:rsidRPr="00C5404B" w:rsidP="00074D53" w14:paraId="299AFA2C" w14:textId="5487C30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$28,468,492</w:t>
            </w:r>
          </w:p>
        </w:tc>
      </w:tr>
      <w:tr w14:paraId="36385DA2" w14:textId="77777777" w:rsidTr="0011566D">
        <w:tblPrEx>
          <w:tblW w:w="13877" w:type="dxa"/>
          <w:tblLayout w:type="fixed"/>
          <w:tblCellMar>
            <w:left w:w="58" w:type="dxa"/>
            <w:right w:w="86" w:type="dxa"/>
          </w:tblCellMar>
          <w:tblLook w:val="04A0"/>
        </w:tblPrEx>
        <w:trPr>
          <w:trHeight w:val="300"/>
        </w:trPr>
        <w:tc>
          <w:tcPr>
            <w:tcW w:w="2685" w:type="dxa"/>
            <w:tcBorders>
              <w:top w:val="single" w:sz="12" w:space="0" w:color="auto"/>
              <w:left w:val="single" w:sz="12" w:space="0" w:color="auto"/>
              <w:bottom w:val="single" w:sz="4" w:space="0" w:color="auto"/>
              <w:right w:val="single" w:sz="12" w:space="0" w:color="auto"/>
            </w:tcBorders>
            <w:shd w:val="clear" w:color="auto" w:fill="auto"/>
            <w:vAlign w:val="center"/>
            <w:hideMark/>
          </w:tcPr>
          <w:p w:rsidR="00FE4AAF" w:rsidRPr="00C5404B" w:rsidP="0011566D" w14:paraId="6AC4FB0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One-Time Voluntary: HAPs</w:t>
            </w:r>
          </w:p>
        </w:tc>
        <w:tc>
          <w:tcPr>
            <w:tcW w:w="520" w:type="dxa"/>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21E0204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49</w:t>
            </w:r>
          </w:p>
        </w:tc>
        <w:tc>
          <w:tcPr>
            <w:tcW w:w="942" w:type="dxa"/>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2E4315B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47,106</w:t>
            </w:r>
          </w:p>
        </w:tc>
        <w:tc>
          <w:tcPr>
            <w:tcW w:w="1333" w:type="dxa"/>
            <w:tcBorders>
              <w:top w:val="single" w:sz="12" w:space="0" w:color="auto"/>
              <w:left w:val="nil"/>
              <w:bottom w:val="single" w:sz="4" w:space="0" w:color="auto"/>
              <w:right w:val="single" w:sz="12" w:space="0" w:color="auto"/>
            </w:tcBorders>
            <w:shd w:val="clear" w:color="auto" w:fill="auto"/>
            <w:vAlign w:val="center"/>
            <w:hideMark/>
          </w:tcPr>
          <w:p w:rsidR="00FE4AAF" w:rsidRPr="00C5404B" w:rsidP="0011566D" w14:paraId="5EA3EF3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$4,230,819 </w:t>
            </w:r>
          </w:p>
        </w:tc>
        <w:tc>
          <w:tcPr>
            <w:tcW w:w="625" w:type="dxa"/>
            <w:gridSpan w:val="2"/>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521D92A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w:t>
            </w:r>
          </w:p>
        </w:tc>
        <w:tc>
          <w:tcPr>
            <w:tcW w:w="1082" w:type="dxa"/>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53902A4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3,813</w:t>
            </w:r>
          </w:p>
        </w:tc>
        <w:tc>
          <w:tcPr>
            <w:tcW w:w="1267" w:type="dxa"/>
            <w:gridSpan w:val="2"/>
            <w:tcBorders>
              <w:top w:val="single" w:sz="12" w:space="0" w:color="auto"/>
              <w:left w:val="nil"/>
              <w:bottom w:val="single" w:sz="4" w:space="0" w:color="auto"/>
              <w:right w:val="single" w:sz="12" w:space="0" w:color="auto"/>
            </w:tcBorders>
            <w:shd w:val="clear" w:color="auto" w:fill="auto"/>
            <w:vAlign w:val="center"/>
            <w:hideMark/>
          </w:tcPr>
          <w:p w:rsidR="00FE4AAF" w:rsidRPr="00C5404B" w:rsidP="0011566D" w14:paraId="5CB280D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$342,495 </w:t>
            </w:r>
          </w:p>
        </w:tc>
        <w:tc>
          <w:tcPr>
            <w:tcW w:w="711" w:type="dxa"/>
            <w:gridSpan w:val="2"/>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4705A7E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6</w:t>
            </w:r>
          </w:p>
        </w:tc>
        <w:tc>
          <w:tcPr>
            <w:tcW w:w="1197" w:type="dxa"/>
            <w:tcBorders>
              <w:top w:val="single" w:sz="12" w:space="0" w:color="auto"/>
              <w:left w:val="nil"/>
              <w:bottom w:val="single" w:sz="4" w:space="0" w:color="auto"/>
              <w:right w:val="single" w:sz="4" w:space="0" w:color="auto"/>
            </w:tcBorders>
            <w:shd w:val="clear" w:color="auto" w:fill="auto"/>
            <w:vAlign w:val="center"/>
            <w:hideMark/>
          </w:tcPr>
          <w:p w:rsidR="00FE4AAF" w:rsidRPr="00C5404B" w:rsidP="0011566D" w14:paraId="3F06FCB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5,720</w:t>
            </w:r>
          </w:p>
        </w:tc>
        <w:tc>
          <w:tcPr>
            <w:tcW w:w="1237" w:type="dxa"/>
            <w:gridSpan w:val="2"/>
            <w:tcBorders>
              <w:top w:val="single" w:sz="12" w:space="0" w:color="auto"/>
              <w:left w:val="nil"/>
              <w:bottom w:val="single" w:sz="4" w:space="0" w:color="auto"/>
              <w:right w:val="single" w:sz="12" w:space="0" w:color="auto"/>
            </w:tcBorders>
            <w:shd w:val="clear" w:color="auto" w:fill="auto"/>
            <w:vAlign w:val="center"/>
            <w:hideMark/>
          </w:tcPr>
          <w:p w:rsidR="00FE4AAF" w:rsidRPr="00C5404B" w:rsidP="0011566D" w14:paraId="0A18FFD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$513,742 </w:t>
            </w:r>
          </w:p>
        </w:tc>
        <w:tc>
          <w:tcPr>
            <w:tcW w:w="942"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7C1BF0B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56,639</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56EF52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$5,087,056</w:t>
            </w:r>
          </w:p>
        </w:tc>
      </w:tr>
      <w:tr w14:paraId="4FA066DF" w14:textId="77777777" w:rsidTr="0011566D">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hideMark/>
          </w:tcPr>
          <w:p w:rsidR="00FE4AAF" w:rsidRPr="00C5404B" w:rsidP="0011566D" w14:paraId="2B6CD62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vertAlign w:val="superscript"/>
              </w:rPr>
            </w:pPr>
            <w:r>
              <w:rPr>
                <w:rFonts w:ascii="Calibri" w:hAnsi="Calibri" w:cs="Calibri"/>
                <w:color w:val="000000"/>
                <w:szCs w:val="22"/>
              </w:rPr>
              <w:t>One-Time Voluntary: CAERS</w:t>
            </w:r>
          </w:p>
        </w:tc>
        <w:tc>
          <w:tcPr>
            <w:tcW w:w="520" w:type="dxa"/>
            <w:tcBorders>
              <w:top w:val="nil"/>
              <w:left w:val="nil"/>
              <w:bottom w:val="single" w:sz="4" w:space="0" w:color="auto"/>
              <w:right w:val="single" w:sz="4" w:space="0" w:color="auto"/>
            </w:tcBorders>
            <w:shd w:val="clear" w:color="auto" w:fill="auto"/>
            <w:vAlign w:val="center"/>
            <w:hideMark/>
          </w:tcPr>
          <w:p w:rsidR="00FE4AAF" w:rsidRPr="00C5404B" w:rsidP="0011566D" w14:paraId="095FBEB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0</w:t>
            </w:r>
          </w:p>
        </w:tc>
        <w:tc>
          <w:tcPr>
            <w:tcW w:w="942" w:type="dxa"/>
            <w:tcBorders>
              <w:top w:val="nil"/>
              <w:left w:val="nil"/>
              <w:bottom w:val="single" w:sz="4" w:space="0" w:color="auto"/>
              <w:right w:val="single" w:sz="4" w:space="0" w:color="auto"/>
            </w:tcBorders>
            <w:shd w:val="clear" w:color="auto" w:fill="auto"/>
            <w:vAlign w:val="center"/>
            <w:hideMark/>
          </w:tcPr>
          <w:p w:rsidR="00FE4AAF" w:rsidRPr="00C5404B" w:rsidP="0011566D" w14:paraId="3924C0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0</w:t>
            </w:r>
          </w:p>
        </w:tc>
        <w:tc>
          <w:tcPr>
            <w:tcW w:w="1333" w:type="dxa"/>
            <w:tcBorders>
              <w:top w:val="nil"/>
              <w:left w:val="nil"/>
              <w:bottom w:val="single" w:sz="4" w:space="0" w:color="auto"/>
              <w:right w:val="single" w:sz="12" w:space="0" w:color="auto"/>
            </w:tcBorders>
            <w:shd w:val="clear" w:color="auto" w:fill="auto"/>
            <w:vAlign w:val="center"/>
            <w:hideMark/>
          </w:tcPr>
          <w:p w:rsidR="00FE4AAF" w:rsidRPr="00C5404B" w:rsidP="0011566D" w14:paraId="51F54F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$0 </w:t>
            </w:r>
          </w:p>
        </w:tc>
        <w:tc>
          <w:tcPr>
            <w:tcW w:w="625" w:type="dxa"/>
            <w:gridSpan w:val="2"/>
            <w:tcBorders>
              <w:top w:val="single" w:sz="4" w:space="0" w:color="auto"/>
              <w:left w:val="nil"/>
              <w:bottom w:val="single" w:sz="4" w:space="0" w:color="auto"/>
              <w:right w:val="single" w:sz="4" w:space="0" w:color="auto"/>
            </w:tcBorders>
            <w:shd w:val="clear" w:color="auto" w:fill="auto"/>
            <w:vAlign w:val="center"/>
          </w:tcPr>
          <w:p w:rsidR="00FE4AAF" w:rsidRPr="00C5404B" w:rsidP="0011566D" w14:paraId="4AE9BBE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FE4AAF" w:rsidRPr="00C5404B" w:rsidP="0011566D" w14:paraId="03DA134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21,589</w:t>
            </w:r>
          </w:p>
        </w:tc>
        <w:tc>
          <w:tcPr>
            <w:tcW w:w="126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E4AAF" w:rsidRPr="00C5404B" w:rsidP="0011566D" w14:paraId="6022C23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$1,907,247 </w:t>
            </w:r>
          </w:p>
        </w:tc>
        <w:tc>
          <w:tcPr>
            <w:tcW w:w="71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E4AAF" w:rsidRPr="00C5404B" w:rsidP="0011566D" w14:paraId="3081AAF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32</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FE4AAF" w:rsidRPr="00C5404B" w:rsidP="0011566D" w14:paraId="7989CB8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10,325</w:t>
            </w:r>
          </w:p>
        </w:tc>
        <w:tc>
          <w:tcPr>
            <w:tcW w:w="12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E4AAF" w:rsidRPr="00C5404B" w:rsidP="0011566D" w14:paraId="3651100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$964,193 </w:t>
            </w:r>
          </w:p>
        </w:tc>
        <w:tc>
          <w:tcPr>
            <w:tcW w:w="942" w:type="dxa"/>
            <w:tcBorders>
              <w:top w:val="nil"/>
              <w:left w:val="nil"/>
              <w:bottom w:val="single" w:sz="4" w:space="0" w:color="auto"/>
              <w:right w:val="single" w:sz="12" w:space="0" w:color="auto"/>
            </w:tcBorders>
            <w:shd w:val="clear" w:color="auto" w:fill="auto"/>
            <w:noWrap/>
            <w:vAlign w:val="center"/>
          </w:tcPr>
          <w:p w:rsidR="00FE4AAF" w:rsidRPr="00C5404B" w:rsidP="0011566D" w14:paraId="5EE068E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31,915</w:t>
            </w:r>
          </w:p>
        </w:tc>
        <w:tc>
          <w:tcPr>
            <w:tcW w:w="1336" w:type="dxa"/>
            <w:tcBorders>
              <w:top w:val="nil"/>
              <w:left w:val="nil"/>
              <w:bottom w:val="single" w:sz="4" w:space="0" w:color="auto"/>
              <w:right w:val="single" w:sz="12" w:space="0" w:color="auto"/>
            </w:tcBorders>
            <w:shd w:val="clear" w:color="auto" w:fill="auto"/>
            <w:noWrap/>
            <w:vAlign w:val="center"/>
            <w:hideMark/>
          </w:tcPr>
          <w:p w:rsidR="00FE4AAF" w:rsidRPr="00C5404B" w:rsidP="0011566D" w14:paraId="622564F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$2,871,440</w:t>
            </w:r>
          </w:p>
        </w:tc>
      </w:tr>
      <w:tr w14:paraId="44399532" w14:textId="77777777" w:rsidTr="0011566D">
        <w:tblPrEx>
          <w:tblW w:w="13877" w:type="dxa"/>
          <w:tblLayout w:type="fixed"/>
          <w:tblCellMar>
            <w:left w:w="58" w:type="dxa"/>
            <w:right w:w="86" w:type="dxa"/>
          </w:tblCellMar>
          <w:tblLook w:val="04A0"/>
        </w:tblPrEx>
        <w:trPr>
          <w:trHeight w:val="290"/>
        </w:trPr>
        <w:tc>
          <w:tcPr>
            <w:tcW w:w="2685" w:type="dxa"/>
            <w:tcBorders>
              <w:top w:val="nil"/>
              <w:left w:val="single" w:sz="12" w:space="0" w:color="auto"/>
              <w:bottom w:val="single" w:sz="4" w:space="0" w:color="auto"/>
              <w:right w:val="single" w:sz="12" w:space="0" w:color="auto"/>
            </w:tcBorders>
            <w:shd w:val="clear" w:color="auto" w:fill="auto"/>
            <w:vAlign w:val="center"/>
          </w:tcPr>
          <w:p w:rsidR="00FE4AAF" w:rsidP="0011566D" w14:paraId="579769D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Annual and Triennial Voluntary</w:t>
            </w:r>
            <w:r>
              <w:rPr>
                <w:rFonts w:ascii="Calibri" w:hAnsi="Calibri" w:cs="Calibri"/>
                <w:color w:val="000000"/>
                <w:szCs w:val="22"/>
                <w:vertAlign w:val="superscript"/>
              </w:rPr>
              <w:t>1</w:t>
            </w:r>
          </w:p>
        </w:tc>
        <w:tc>
          <w:tcPr>
            <w:tcW w:w="520" w:type="dxa"/>
            <w:tcBorders>
              <w:top w:val="nil"/>
              <w:left w:val="nil"/>
              <w:bottom w:val="single" w:sz="4" w:space="0" w:color="auto"/>
              <w:right w:val="single" w:sz="4" w:space="0" w:color="auto"/>
            </w:tcBorders>
            <w:shd w:val="clear" w:color="auto" w:fill="auto"/>
            <w:vAlign w:val="center"/>
          </w:tcPr>
          <w:p w:rsidR="00FE4AAF" w:rsidP="0011566D" w14:paraId="66C4BF2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p>
        </w:tc>
        <w:tc>
          <w:tcPr>
            <w:tcW w:w="942" w:type="dxa"/>
            <w:tcBorders>
              <w:top w:val="nil"/>
              <w:left w:val="nil"/>
              <w:bottom w:val="single" w:sz="4" w:space="0" w:color="auto"/>
              <w:right w:val="single" w:sz="4" w:space="0" w:color="auto"/>
            </w:tcBorders>
            <w:shd w:val="clear" w:color="auto" w:fill="auto"/>
            <w:vAlign w:val="center"/>
          </w:tcPr>
          <w:p w:rsidR="00FE4AAF" w:rsidP="0011566D" w14:paraId="24E6887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10,136</w:t>
            </w:r>
          </w:p>
        </w:tc>
        <w:tc>
          <w:tcPr>
            <w:tcW w:w="1333" w:type="dxa"/>
            <w:tcBorders>
              <w:top w:val="nil"/>
              <w:left w:val="nil"/>
              <w:bottom w:val="single" w:sz="4" w:space="0" w:color="auto"/>
              <w:right w:val="single" w:sz="12" w:space="0" w:color="auto"/>
            </w:tcBorders>
            <w:shd w:val="clear" w:color="auto" w:fill="auto"/>
            <w:vAlign w:val="center"/>
          </w:tcPr>
          <w:p w:rsidR="00FE4AAF" w:rsidP="0011566D" w14:paraId="3B0E581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$936,320 </w:t>
            </w:r>
          </w:p>
        </w:tc>
        <w:tc>
          <w:tcPr>
            <w:tcW w:w="625" w:type="dxa"/>
            <w:gridSpan w:val="2"/>
            <w:tcBorders>
              <w:top w:val="single" w:sz="4" w:space="0" w:color="auto"/>
              <w:left w:val="nil"/>
              <w:bottom w:val="single" w:sz="4" w:space="0" w:color="auto"/>
              <w:right w:val="single" w:sz="4" w:space="0" w:color="auto"/>
            </w:tcBorders>
            <w:shd w:val="clear" w:color="auto" w:fill="auto"/>
            <w:vAlign w:val="center"/>
          </w:tcPr>
          <w:p w:rsidR="00FE4AAF" w:rsidP="0011566D" w14:paraId="3056EE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FE4AAF" w:rsidP="0011566D" w14:paraId="1219FD1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229</w:t>
            </w:r>
          </w:p>
        </w:tc>
        <w:tc>
          <w:tcPr>
            <w:tcW w:w="126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E4AAF" w:rsidP="0011566D" w14:paraId="0A0FAE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$21,425 </w:t>
            </w:r>
          </w:p>
        </w:tc>
        <w:tc>
          <w:tcPr>
            <w:tcW w:w="711"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E4AAF" w:rsidP="0011566D" w14:paraId="16B79EA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FE4AAF" w:rsidP="0011566D" w14:paraId="1D4F637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194</w:t>
            </w:r>
          </w:p>
        </w:tc>
        <w:tc>
          <w:tcPr>
            <w:tcW w:w="12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E4AAF" w:rsidP="0011566D" w14:paraId="09A76F1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$18,492 </w:t>
            </w:r>
          </w:p>
        </w:tc>
        <w:tc>
          <w:tcPr>
            <w:tcW w:w="942" w:type="dxa"/>
            <w:tcBorders>
              <w:top w:val="nil"/>
              <w:left w:val="nil"/>
              <w:bottom w:val="single" w:sz="4" w:space="0" w:color="auto"/>
              <w:right w:val="single" w:sz="12" w:space="0" w:color="auto"/>
            </w:tcBorders>
            <w:shd w:val="clear" w:color="auto" w:fill="auto"/>
            <w:noWrap/>
            <w:vAlign w:val="center"/>
          </w:tcPr>
          <w:p w:rsidR="00FE4AAF" w:rsidP="0011566D" w14:paraId="775CF1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10,558</w:t>
            </w:r>
          </w:p>
        </w:tc>
        <w:tc>
          <w:tcPr>
            <w:tcW w:w="1336" w:type="dxa"/>
            <w:tcBorders>
              <w:top w:val="nil"/>
              <w:left w:val="nil"/>
              <w:bottom w:val="single" w:sz="4" w:space="0" w:color="auto"/>
              <w:right w:val="single" w:sz="12" w:space="0" w:color="auto"/>
            </w:tcBorders>
            <w:shd w:val="clear" w:color="auto" w:fill="auto"/>
            <w:noWrap/>
            <w:vAlign w:val="center"/>
          </w:tcPr>
          <w:p w:rsidR="00FE4AAF" w:rsidP="0011566D" w14:paraId="439B9F4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$976,237</w:t>
            </w:r>
          </w:p>
        </w:tc>
      </w:tr>
      <w:tr w14:paraId="241639AB" w14:textId="77777777" w:rsidTr="0011566D">
        <w:tblPrEx>
          <w:tblW w:w="13877" w:type="dxa"/>
          <w:tblLayout w:type="fixed"/>
          <w:tblCellMar>
            <w:left w:w="58" w:type="dxa"/>
            <w:right w:w="86" w:type="dxa"/>
          </w:tblCellMar>
          <w:tblLook w:val="04A0"/>
        </w:tblPrEx>
        <w:trPr>
          <w:trHeight w:val="300"/>
        </w:trPr>
        <w:tc>
          <w:tcPr>
            <w:tcW w:w="2685" w:type="dxa"/>
            <w:tcBorders>
              <w:top w:val="nil"/>
              <w:left w:val="single" w:sz="12" w:space="0" w:color="auto"/>
              <w:bottom w:val="single" w:sz="12" w:space="0" w:color="auto"/>
              <w:right w:val="single" w:sz="12" w:space="0" w:color="auto"/>
            </w:tcBorders>
            <w:shd w:val="clear" w:color="auto" w:fill="auto"/>
            <w:vAlign w:val="center"/>
            <w:hideMark/>
          </w:tcPr>
          <w:p w:rsidR="00FE4AAF" w:rsidRPr="00C5404B" w:rsidP="0011566D" w14:paraId="701D806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Total Voluntary </w:t>
            </w:r>
          </w:p>
        </w:tc>
        <w:tc>
          <w:tcPr>
            <w:tcW w:w="520" w:type="dxa"/>
            <w:tcBorders>
              <w:top w:val="nil"/>
              <w:left w:val="nil"/>
              <w:bottom w:val="single" w:sz="12" w:space="0" w:color="auto"/>
              <w:right w:val="single" w:sz="4" w:space="0" w:color="auto"/>
            </w:tcBorders>
            <w:shd w:val="clear" w:color="auto" w:fill="auto"/>
            <w:vAlign w:val="center"/>
            <w:hideMark/>
          </w:tcPr>
          <w:p w:rsidR="00FE4AAF" w:rsidRPr="00C5404B" w:rsidP="0011566D" w14:paraId="36D4803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942" w:type="dxa"/>
            <w:tcBorders>
              <w:top w:val="nil"/>
              <w:left w:val="nil"/>
              <w:bottom w:val="single" w:sz="12" w:space="0" w:color="auto"/>
              <w:right w:val="single" w:sz="4" w:space="0" w:color="auto"/>
            </w:tcBorders>
            <w:shd w:val="clear" w:color="auto" w:fill="auto"/>
            <w:vAlign w:val="center"/>
            <w:hideMark/>
          </w:tcPr>
          <w:p w:rsidR="00FE4AAF" w:rsidRPr="00C5404B" w:rsidP="0011566D" w14:paraId="11483EE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57,242</w:t>
            </w:r>
          </w:p>
        </w:tc>
        <w:tc>
          <w:tcPr>
            <w:tcW w:w="1333" w:type="dxa"/>
            <w:tcBorders>
              <w:top w:val="nil"/>
              <w:left w:val="nil"/>
              <w:bottom w:val="single" w:sz="12" w:space="0" w:color="auto"/>
              <w:right w:val="single" w:sz="12" w:space="0" w:color="auto"/>
            </w:tcBorders>
            <w:shd w:val="clear" w:color="auto" w:fill="auto"/>
            <w:vAlign w:val="center"/>
            <w:hideMark/>
          </w:tcPr>
          <w:p w:rsidR="00FE4AAF" w:rsidRPr="00C5404B" w:rsidP="0011566D" w14:paraId="1BA2449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$5,167,139 </w:t>
            </w:r>
          </w:p>
        </w:tc>
        <w:tc>
          <w:tcPr>
            <w:tcW w:w="625" w:type="dxa"/>
            <w:gridSpan w:val="2"/>
            <w:tcBorders>
              <w:top w:val="nil"/>
              <w:left w:val="nil"/>
              <w:bottom w:val="single" w:sz="12" w:space="0" w:color="auto"/>
              <w:right w:val="single" w:sz="4" w:space="0" w:color="auto"/>
            </w:tcBorders>
            <w:shd w:val="clear" w:color="auto" w:fill="auto"/>
            <w:vAlign w:val="center"/>
            <w:hideMark/>
          </w:tcPr>
          <w:p w:rsidR="00FE4AAF" w:rsidRPr="00C5404B" w:rsidP="0011566D" w14:paraId="3B2D32F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082" w:type="dxa"/>
            <w:tcBorders>
              <w:top w:val="nil"/>
              <w:left w:val="nil"/>
              <w:bottom w:val="single" w:sz="12" w:space="0" w:color="auto"/>
              <w:right w:val="single" w:sz="4" w:space="0" w:color="auto"/>
            </w:tcBorders>
            <w:shd w:val="clear" w:color="auto" w:fill="auto"/>
            <w:vAlign w:val="center"/>
          </w:tcPr>
          <w:p w:rsidR="00FE4AAF" w:rsidRPr="00C5404B" w:rsidP="0011566D" w14:paraId="5007E6D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25,631</w:t>
            </w:r>
          </w:p>
        </w:tc>
        <w:tc>
          <w:tcPr>
            <w:tcW w:w="1267" w:type="dxa"/>
            <w:gridSpan w:val="2"/>
            <w:tcBorders>
              <w:top w:val="nil"/>
              <w:left w:val="nil"/>
              <w:bottom w:val="single" w:sz="12" w:space="0" w:color="auto"/>
              <w:right w:val="single" w:sz="12" w:space="0" w:color="auto"/>
            </w:tcBorders>
            <w:shd w:val="clear" w:color="auto" w:fill="auto"/>
            <w:vAlign w:val="center"/>
          </w:tcPr>
          <w:p w:rsidR="00FE4AAF" w:rsidRPr="00C5404B" w:rsidP="0011566D" w14:paraId="5A30D00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$2,271,167 </w:t>
            </w:r>
          </w:p>
        </w:tc>
        <w:tc>
          <w:tcPr>
            <w:tcW w:w="711" w:type="dxa"/>
            <w:gridSpan w:val="2"/>
            <w:tcBorders>
              <w:top w:val="nil"/>
              <w:left w:val="nil"/>
              <w:bottom w:val="single" w:sz="12" w:space="0" w:color="auto"/>
              <w:right w:val="single" w:sz="4" w:space="0" w:color="auto"/>
            </w:tcBorders>
            <w:shd w:val="clear" w:color="auto" w:fill="auto"/>
            <w:vAlign w:val="center"/>
          </w:tcPr>
          <w:p w:rsidR="00FE4AAF" w:rsidRPr="00C5404B" w:rsidP="0011566D" w14:paraId="1DA88BC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 </w:t>
            </w:r>
          </w:p>
        </w:tc>
        <w:tc>
          <w:tcPr>
            <w:tcW w:w="1197" w:type="dxa"/>
            <w:tcBorders>
              <w:top w:val="nil"/>
              <w:left w:val="nil"/>
              <w:bottom w:val="single" w:sz="12" w:space="0" w:color="auto"/>
              <w:right w:val="single" w:sz="4" w:space="0" w:color="auto"/>
            </w:tcBorders>
            <w:shd w:val="clear" w:color="auto" w:fill="auto"/>
            <w:vAlign w:val="center"/>
          </w:tcPr>
          <w:p w:rsidR="00FE4AAF" w:rsidRPr="00C5404B" w:rsidP="0011566D" w14:paraId="6607543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16,239</w:t>
            </w:r>
          </w:p>
        </w:tc>
        <w:tc>
          <w:tcPr>
            <w:tcW w:w="1237" w:type="dxa"/>
            <w:gridSpan w:val="2"/>
            <w:tcBorders>
              <w:top w:val="nil"/>
              <w:left w:val="nil"/>
              <w:bottom w:val="single" w:sz="12" w:space="0" w:color="auto"/>
              <w:right w:val="single" w:sz="12" w:space="0" w:color="auto"/>
            </w:tcBorders>
            <w:shd w:val="clear" w:color="auto" w:fill="auto"/>
            <w:vAlign w:val="center"/>
          </w:tcPr>
          <w:p w:rsidR="00FE4AAF" w:rsidRPr="00C5404B" w:rsidP="0011566D" w14:paraId="4235C22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 xml:space="preserve">$1,496,427 </w:t>
            </w:r>
          </w:p>
        </w:tc>
        <w:tc>
          <w:tcPr>
            <w:tcW w:w="942" w:type="dxa"/>
            <w:tcBorders>
              <w:top w:val="nil"/>
              <w:left w:val="nil"/>
              <w:bottom w:val="single" w:sz="12" w:space="0" w:color="auto"/>
              <w:right w:val="single" w:sz="12" w:space="0" w:color="auto"/>
            </w:tcBorders>
            <w:shd w:val="clear" w:color="auto" w:fill="auto"/>
            <w:noWrap/>
            <w:vAlign w:val="center"/>
          </w:tcPr>
          <w:p w:rsidR="00FE4AAF" w:rsidRPr="003F0B0F" w:rsidP="0011566D" w14:paraId="236630A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99,112</w:t>
            </w:r>
          </w:p>
        </w:tc>
        <w:tc>
          <w:tcPr>
            <w:tcW w:w="1336" w:type="dxa"/>
            <w:tcBorders>
              <w:top w:val="nil"/>
              <w:left w:val="nil"/>
              <w:bottom w:val="single" w:sz="12" w:space="0" w:color="auto"/>
              <w:right w:val="single" w:sz="12" w:space="0" w:color="auto"/>
            </w:tcBorders>
            <w:shd w:val="clear" w:color="auto" w:fill="auto"/>
            <w:noWrap/>
            <w:vAlign w:val="center"/>
          </w:tcPr>
          <w:p w:rsidR="00FE4AAF" w:rsidRPr="003F0B0F" w:rsidP="0011566D" w14:paraId="2265526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color w:val="000000"/>
                <w:szCs w:val="22"/>
              </w:rPr>
            </w:pPr>
            <w:r>
              <w:rPr>
                <w:rFonts w:ascii="Calibri" w:hAnsi="Calibri" w:cs="Calibri"/>
                <w:b/>
                <w:bCs/>
                <w:color w:val="000000"/>
                <w:szCs w:val="22"/>
              </w:rPr>
              <w:t>$8,934,733</w:t>
            </w:r>
          </w:p>
        </w:tc>
      </w:tr>
    </w:tbl>
    <w:p w:rsidR="00FE4AAF" w:rsidRPr="003F4030" w:rsidP="00FE4AAF" w14:paraId="03AF1437" w14:textId="77777777">
      <w:r>
        <w:rPr>
          <w:rFonts w:ascii="Calibri" w:hAnsi="Calibri" w:cs="Calibri"/>
          <w:color w:val="000000"/>
          <w:szCs w:val="22"/>
          <w:vertAlign w:val="superscript"/>
        </w:rPr>
        <w:t>1</w:t>
      </w:r>
      <w:r>
        <w:rPr>
          <w:rFonts w:ascii="Calibri" w:hAnsi="Calibri" w:cs="Calibri"/>
          <w:color w:val="000000"/>
          <w:szCs w:val="22"/>
        </w:rPr>
        <w:t xml:space="preserve"> Costs associated with this activity are not broken out by CAERS cases. All costs are included with the group for EIS, CAERS cases 1 and 2.</w:t>
      </w:r>
    </w:p>
    <w:p w:rsidR="00FE4AAF" w:rsidP="00FE4AAF" w14:paraId="6EA73335" w14:textId="77777777">
      <w:pPr>
        <w:rPr>
          <w:rFonts w:ascii="Calibri" w:hAnsi="Calibri" w:cs="Calibri"/>
          <w:color w:val="000000"/>
          <w:szCs w:val="22"/>
        </w:rPr>
      </w:pPr>
      <w:r>
        <w:rPr>
          <w:vertAlign w:val="superscript"/>
        </w:rPr>
        <w:t>2</w:t>
      </w:r>
      <w:r>
        <w:t xml:space="preserve"> E</w:t>
      </w:r>
      <w:r w:rsidRPr="00C5404B">
        <w:rPr>
          <w:rFonts w:ascii="Calibri" w:hAnsi="Calibri" w:cs="Calibri"/>
          <w:color w:val="000000"/>
          <w:szCs w:val="22"/>
        </w:rPr>
        <w:t xml:space="preserve">xcluding </w:t>
      </w:r>
      <w:r>
        <w:rPr>
          <w:rFonts w:ascii="Calibri" w:hAnsi="Calibri" w:cs="Calibri"/>
          <w:color w:val="000000"/>
          <w:szCs w:val="22"/>
        </w:rPr>
        <w:t>point source collection system O&amp;M, included later in this table.</w:t>
      </w:r>
    </w:p>
    <w:p w:rsidR="00FE4AAF" w:rsidP="00FE4AAF" w14:paraId="1F645F0F" w14:textId="77777777">
      <w:pPr>
        <w:sectPr w:rsidSect="00370665">
          <w:pgSz w:w="15840" w:h="12240" w:orient="landscape"/>
          <w:pgMar w:top="1440" w:right="1080" w:bottom="1440" w:left="1080" w:header="1440" w:footer="864" w:gutter="0"/>
          <w:cols w:space="720"/>
          <w:noEndnote/>
          <w:docGrid w:linePitch="326"/>
        </w:sectPr>
      </w:pPr>
    </w:p>
    <w:p w:rsidR="00FE4AAF" w:rsidP="00FE4AAF" w14:paraId="689F7E04" w14:textId="3E65D809">
      <w:pPr>
        <w:pStyle w:val="Heading2"/>
      </w:pPr>
      <w:r>
        <w:tab/>
        <w:t xml:space="preserve">Owners/operators </w:t>
      </w:r>
      <w:r w:rsidR="00052325">
        <w:t xml:space="preserve">total annual cost </w:t>
      </w:r>
      <w:r w:rsidR="009834D2">
        <w:t>b</w:t>
      </w:r>
      <w:r>
        <w:t>urden</w:t>
      </w:r>
    </w:p>
    <w:p w:rsidR="00FE4AAF" w:rsidP="00FE4AAF" w14:paraId="49B248CD" w14:textId="36FC5ED3">
      <w:r>
        <w:t xml:space="preserve">As described in Section </w:t>
      </w:r>
      <w:r>
        <w:fldChar w:fldCharType="begin"/>
      </w:r>
      <w:r>
        <w:instrText xml:space="preserve"> REF _Ref116849951 \r \h </w:instrText>
      </w:r>
      <w:r>
        <w:fldChar w:fldCharType="separate"/>
      </w:r>
      <w:r w:rsidR="00646F0F">
        <w:t>12.5</w:t>
      </w:r>
      <w:r>
        <w:fldChar w:fldCharType="end"/>
      </w:r>
      <w:r>
        <w:t xml:space="preserve">, owners/operators burden includes burden for both required and voluntary activities. </w:t>
      </w:r>
      <w:r w:rsidR="001F0E8C">
        <w:t xml:space="preserve">The required activities are </w:t>
      </w:r>
      <w:r>
        <w:t xml:space="preserve">reporting annual CAPs by facility to states </w:t>
      </w:r>
      <w:r w:rsidR="001F0E8C">
        <w:t>and gathering release point locations</w:t>
      </w:r>
      <w:r w:rsidR="00B9078D">
        <w:t xml:space="preserve"> and t</w:t>
      </w:r>
      <w:r>
        <w:t xml:space="preserve">he costs additionally include reporting annual CAPs and HAP to EPA by facility for facilities within Indian country that </w:t>
      </w:r>
      <w:r w:rsidR="00084381">
        <w:t>are not reported by states,</w:t>
      </w:r>
      <w:r>
        <w:t xml:space="preserve"> meet NAICS and reporting thresholds</w:t>
      </w:r>
      <w:r w:rsidR="00084381">
        <w:t>,</w:t>
      </w:r>
      <w:r>
        <w:t xml:space="preserve"> and report source test data to EPA. Finally, the costs include the activities for a possible one-time collection of data for small electric generators, which is an option in the proposed AERR revisions.</w:t>
      </w:r>
    </w:p>
    <w:p w:rsidR="00FE4AAF" w:rsidP="00FE4AAF" w14:paraId="579FC925" w14:textId="77777777"/>
    <w:p w:rsidR="00FE4AAF" w:rsidP="00FE4AAF" w14:paraId="27F48721" w14:textId="68A05079">
      <w:r w:rsidRPr="0043003C">
        <w:fldChar w:fldCharType="begin"/>
      </w:r>
      <w:r w:rsidRPr="0043003C">
        <w:instrText xml:space="preserve"> REF _Ref116850157 \h  \* MERGEFORMAT </w:instrText>
      </w:r>
      <w:r w:rsidRPr="0043003C">
        <w:fldChar w:fldCharType="separate"/>
      </w:r>
      <w:r w:rsidRPr="0020098E" w:rsidR="00646F0F">
        <w:t xml:space="preserve">Table </w:t>
      </w:r>
      <w:r w:rsidR="00646F0F">
        <w:rPr>
          <w:noProof/>
        </w:rPr>
        <w:t>13</w:t>
      </w:r>
      <w:r w:rsidRPr="0043003C">
        <w:fldChar w:fldCharType="end"/>
      </w:r>
      <w:r w:rsidRPr="0043003C">
        <w:t xml:space="preserve"> </w:t>
      </w:r>
      <w:r>
        <w:t xml:space="preserve">provides a summary of all costs that would be incurred by owners/operators during the period of this ICR based on the proposed action. The source of the numbers of facilities was previously provided in Section </w:t>
      </w:r>
      <w:r>
        <w:fldChar w:fldCharType="begin"/>
      </w:r>
      <w:r>
        <w:instrText xml:space="preserve"> REF _Ref116850397 \r \h </w:instrText>
      </w:r>
      <w:r>
        <w:fldChar w:fldCharType="separate"/>
      </w:r>
      <w:r w:rsidR="00646F0F">
        <w:t>12.4</w:t>
      </w:r>
      <w:r>
        <w:fldChar w:fldCharType="end"/>
      </w:r>
      <w:r>
        <w:t>. While the number of facilities for any given year would vary, the average number of facilities</w:t>
      </w:r>
      <w:r w:rsidRPr="00731E5C">
        <w:t xml:space="preserve"> from </w:t>
      </w:r>
      <w:r w:rsidRPr="00731E5C">
        <w:fldChar w:fldCharType="begin"/>
      </w:r>
      <w:r w:rsidRPr="00731E5C">
        <w:instrText xml:space="preserve"> REF _Ref114845025 \h  \* MERGEFORMAT </w:instrText>
      </w:r>
      <w:r w:rsidRPr="00731E5C">
        <w:fldChar w:fldCharType="separate"/>
      </w:r>
      <w:r w:rsidRPr="0020098E" w:rsidR="00646F0F">
        <w:t xml:space="preserve">Table </w:t>
      </w:r>
      <w:r w:rsidR="00646F0F">
        <w:rPr>
          <w:noProof/>
        </w:rPr>
        <w:t>11</w:t>
      </w:r>
      <w:r w:rsidRPr="00731E5C">
        <w:fldChar w:fldCharType="end"/>
      </w:r>
      <w:r w:rsidRPr="00731E5C">
        <w:t xml:space="preserve"> </w:t>
      </w:r>
      <w:r>
        <w:t>has been used to properly calculate the annual total burden and costs.</w:t>
      </w:r>
    </w:p>
    <w:p w:rsidR="00FE4AAF" w:rsidP="00FE4AAF" w14:paraId="6AF0CC09" w14:textId="77777777"/>
    <w:p w:rsidR="00FE4AAF" w:rsidP="00FE4AAF" w14:paraId="32D06750" w14:textId="495C715F">
      <w:pPr>
        <w:pStyle w:val="Caption"/>
      </w:pPr>
      <w:bookmarkStart w:id="42" w:name="_Ref116850157"/>
      <w:r w:rsidRPr="0020098E">
        <w:t xml:space="preserve">Table </w:t>
      </w:r>
      <w:r w:rsidR="00E05ECE">
        <w:fldChar w:fldCharType="begin"/>
      </w:r>
      <w:r w:rsidR="00E05ECE">
        <w:instrText xml:space="preserve"> SEQ Table \* ARABIC </w:instrText>
      </w:r>
      <w:r w:rsidR="00E05ECE">
        <w:fldChar w:fldCharType="separate"/>
      </w:r>
      <w:r w:rsidR="00646F0F">
        <w:rPr>
          <w:noProof/>
        </w:rPr>
        <w:t>13</w:t>
      </w:r>
      <w:r w:rsidR="00E05ECE">
        <w:rPr>
          <w:noProof/>
        </w:rPr>
        <w:fldChar w:fldCharType="end"/>
      </w:r>
      <w:bookmarkEnd w:id="42"/>
      <w:r w:rsidRPr="0020098E">
        <w:t>:</w:t>
      </w:r>
      <w:r>
        <w:t xml:space="preserve"> Annual Total Owner/Operator Burden and Cost by Activity</w:t>
      </w:r>
    </w:p>
    <w:tbl>
      <w:tblPr>
        <w:tblW w:w="9208" w:type="dxa"/>
        <w:tblLook w:val="04A0"/>
      </w:tblPr>
      <w:tblGrid>
        <w:gridCol w:w="5207"/>
        <w:gridCol w:w="900"/>
        <w:gridCol w:w="504"/>
        <w:gridCol w:w="1264"/>
        <w:gridCol w:w="1333"/>
      </w:tblGrid>
      <w:tr w14:paraId="2BA903E9" w14:textId="77777777" w:rsidTr="0011566D">
        <w:tblPrEx>
          <w:tblW w:w="9208" w:type="dxa"/>
          <w:tblLook w:val="04A0"/>
        </w:tblPrEx>
        <w:trPr>
          <w:trHeight w:val="880"/>
        </w:trPr>
        <w:tc>
          <w:tcPr>
            <w:tcW w:w="5207"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E4AAF" w:rsidRPr="00AD00D8" w:rsidP="0011566D" w14:paraId="00182D3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AD00D8">
              <w:rPr>
                <w:rFonts w:ascii="Calibri" w:hAnsi="Calibri" w:cs="Calibri"/>
                <w:b/>
                <w:bCs/>
                <w:color w:val="000000"/>
                <w:szCs w:val="22"/>
              </w:rPr>
              <w:t>Information Collection Activity</w:t>
            </w:r>
          </w:p>
        </w:tc>
        <w:tc>
          <w:tcPr>
            <w:tcW w:w="1404" w:type="dxa"/>
            <w:gridSpan w:val="2"/>
            <w:tcBorders>
              <w:top w:val="single" w:sz="8" w:space="0" w:color="000000"/>
              <w:left w:val="nil"/>
              <w:bottom w:val="single" w:sz="8" w:space="0" w:color="000000"/>
              <w:right w:val="single" w:sz="8" w:space="0" w:color="000000"/>
            </w:tcBorders>
            <w:shd w:val="clear" w:color="auto" w:fill="auto"/>
            <w:vAlign w:val="bottom"/>
            <w:hideMark/>
          </w:tcPr>
          <w:p w:rsidR="00FE4AAF" w:rsidRPr="00AD00D8" w:rsidP="0011566D" w14:paraId="3A8BB04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AD00D8">
              <w:rPr>
                <w:rFonts w:ascii="Calibri" w:hAnsi="Calibri" w:cs="Calibri"/>
                <w:b/>
                <w:bCs/>
                <w:color w:val="000000"/>
                <w:szCs w:val="22"/>
              </w:rPr>
              <w:t xml:space="preserve">Number of </w:t>
            </w:r>
            <w:r>
              <w:rPr>
                <w:rFonts w:ascii="Calibri" w:hAnsi="Calibri" w:cs="Calibri"/>
                <w:b/>
                <w:bCs/>
                <w:color w:val="000000"/>
                <w:szCs w:val="22"/>
              </w:rPr>
              <w:t>Facilities</w:t>
            </w:r>
          </w:p>
        </w:tc>
        <w:tc>
          <w:tcPr>
            <w:tcW w:w="1264" w:type="dxa"/>
            <w:tcBorders>
              <w:top w:val="single" w:sz="8" w:space="0" w:color="000000"/>
              <w:left w:val="nil"/>
              <w:bottom w:val="single" w:sz="8" w:space="0" w:color="000000"/>
              <w:right w:val="single" w:sz="8" w:space="0" w:color="000000"/>
            </w:tcBorders>
            <w:shd w:val="clear" w:color="auto" w:fill="auto"/>
            <w:vAlign w:val="bottom"/>
            <w:hideMark/>
          </w:tcPr>
          <w:p w:rsidR="00FE4AAF" w:rsidRPr="00AD00D8" w:rsidP="0011566D" w14:paraId="1BF6AC6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AD00D8">
              <w:rPr>
                <w:rFonts w:ascii="Calibri" w:hAnsi="Calibri" w:cs="Calibri"/>
                <w:b/>
                <w:bCs/>
                <w:color w:val="000000"/>
                <w:szCs w:val="22"/>
              </w:rPr>
              <w:t>Total Hours/Year</w:t>
            </w:r>
          </w:p>
        </w:tc>
        <w:tc>
          <w:tcPr>
            <w:tcW w:w="1333" w:type="dxa"/>
            <w:tcBorders>
              <w:top w:val="single" w:sz="8" w:space="0" w:color="000000"/>
              <w:left w:val="nil"/>
              <w:bottom w:val="single" w:sz="8" w:space="0" w:color="000000"/>
              <w:right w:val="single" w:sz="8" w:space="0" w:color="000000"/>
            </w:tcBorders>
            <w:shd w:val="clear" w:color="auto" w:fill="auto"/>
            <w:vAlign w:val="bottom"/>
            <w:hideMark/>
          </w:tcPr>
          <w:p w:rsidR="00FE4AAF" w:rsidRPr="00AD00D8" w:rsidP="0011566D" w14:paraId="614192C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AD00D8">
              <w:rPr>
                <w:rFonts w:ascii="Calibri" w:hAnsi="Calibri" w:cs="Calibri"/>
                <w:b/>
                <w:bCs/>
                <w:color w:val="000000"/>
                <w:szCs w:val="22"/>
              </w:rPr>
              <w:t xml:space="preserve"> Total Cost/</w:t>
            </w:r>
            <w:r w:rsidRPr="00AD00D8">
              <w:rPr>
                <w:rFonts w:ascii="Calibri" w:hAnsi="Calibri" w:cs="Calibri"/>
                <w:b/>
                <w:bCs/>
                <w:color w:val="000000"/>
                <w:szCs w:val="22"/>
              </w:rPr>
              <w:br/>
              <w:t>Year</w:t>
            </w:r>
          </w:p>
        </w:tc>
      </w:tr>
      <w:tr w14:paraId="2A0CD35E" w14:textId="77777777" w:rsidTr="0011566D">
        <w:tblPrEx>
          <w:tblW w:w="9208" w:type="dxa"/>
          <w:tblLook w:val="04A0"/>
        </w:tblPrEx>
        <w:trPr>
          <w:trHeight w:val="300"/>
        </w:trPr>
        <w:tc>
          <w:tcPr>
            <w:tcW w:w="5207" w:type="dxa"/>
            <w:tcBorders>
              <w:top w:val="nil"/>
              <w:left w:val="single" w:sz="8" w:space="0" w:color="000000"/>
              <w:bottom w:val="single" w:sz="8" w:space="0" w:color="000000"/>
              <w:right w:val="nil"/>
            </w:tcBorders>
            <w:shd w:val="clear" w:color="000000" w:fill="D9D9D9"/>
            <w:vAlign w:val="center"/>
            <w:hideMark/>
          </w:tcPr>
          <w:p w:rsidR="00FE4AAF" w:rsidRPr="00AD00D8" w:rsidP="0011566D" w14:paraId="0E07C1C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AD00D8">
              <w:rPr>
                <w:rFonts w:ascii="Calibri" w:hAnsi="Calibri" w:cs="Calibri"/>
                <w:b/>
                <w:bCs/>
                <w:color w:val="000000"/>
                <w:szCs w:val="22"/>
              </w:rPr>
              <w:t>Required activities</w:t>
            </w:r>
          </w:p>
        </w:tc>
        <w:tc>
          <w:tcPr>
            <w:tcW w:w="1404" w:type="dxa"/>
            <w:gridSpan w:val="2"/>
            <w:tcBorders>
              <w:top w:val="nil"/>
              <w:left w:val="nil"/>
              <w:bottom w:val="single" w:sz="8" w:space="0" w:color="000000"/>
              <w:right w:val="nil"/>
            </w:tcBorders>
            <w:shd w:val="clear" w:color="000000" w:fill="D9D9D9"/>
            <w:noWrap/>
            <w:vAlign w:val="bottom"/>
            <w:hideMark/>
          </w:tcPr>
          <w:p w:rsidR="00FE4AAF" w:rsidRPr="00AD00D8" w:rsidP="0011566D" w14:paraId="5AA2021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AD00D8">
              <w:rPr>
                <w:rFonts w:ascii="Calibri" w:hAnsi="Calibri" w:cs="Calibri"/>
                <w:color w:val="000000"/>
                <w:szCs w:val="22"/>
              </w:rPr>
              <w:t> </w:t>
            </w:r>
          </w:p>
        </w:tc>
        <w:tc>
          <w:tcPr>
            <w:tcW w:w="1264" w:type="dxa"/>
            <w:tcBorders>
              <w:top w:val="nil"/>
              <w:left w:val="nil"/>
              <w:bottom w:val="single" w:sz="8" w:space="0" w:color="000000"/>
              <w:right w:val="nil"/>
            </w:tcBorders>
            <w:shd w:val="clear" w:color="000000" w:fill="D9D9D9"/>
            <w:noWrap/>
            <w:vAlign w:val="bottom"/>
            <w:hideMark/>
          </w:tcPr>
          <w:p w:rsidR="00FE4AAF" w:rsidRPr="00AD00D8" w:rsidP="0011566D" w14:paraId="14368CB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AD00D8">
              <w:rPr>
                <w:rFonts w:ascii="Calibri" w:hAnsi="Calibri" w:cs="Calibri"/>
                <w:color w:val="000000"/>
                <w:szCs w:val="22"/>
              </w:rPr>
              <w:t> </w:t>
            </w:r>
          </w:p>
        </w:tc>
        <w:tc>
          <w:tcPr>
            <w:tcW w:w="1333" w:type="dxa"/>
            <w:tcBorders>
              <w:top w:val="nil"/>
              <w:left w:val="nil"/>
              <w:bottom w:val="single" w:sz="8" w:space="0" w:color="000000"/>
              <w:right w:val="single" w:sz="8" w:space="0" w:color="000000"/>
            </w:tcBorders>
            <w:shd w:val="clear" w:color="000000" w:fill="D9D9D9"/>
            <w:noWrap/>
            <w:vAlign w:val="bottom"/>
            <w:hideMark/>
          </w:tcPr>
          <w:p w:rsidR="00FE4AAF" w:rsidRPr="00AD00D8" w:rsidP="0011566D" w14:paraId="0BC1EF7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AD00D8">
              <w:rPr>
                <w:rFonts w:ascii="Calibri" w:hAnsi="Calibri" w:cs="Calibri"/>
                <w:color w:val="000000"/>
                <w:szCs w:val="22"/>
              </w:rPr>
              <w:t> </w:t>
            </w:r>
          </w:p>
        </w:tc>
      </w:tr>
      <w:tr w14:paraId="4E1B2928" w14:textId="77777777" w:rsidTr="0011566D">
        <w:tblPrEx>
          <w:tblW w:w="9208" w:type="dxa"/>
          <w:tblLook w:val="04A0"/>
        </w:tblPrEx>
        <w:trPr>
          <w:trHeight w:val="590"/>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491591E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color w:val="000000"/>
                <w:szCs w:val="22"/>
              </w:rPr>
            </w:pPr>
            <w:r w:rsidRPr="00AD00D8">
              <w:rPr>
                <w:rFonts w:ascii="Calibri" w:hAnsi="Calibri" w:cs="Calibri"/>
                <w:color w:val="000000"/>
                <w:szCs w:val="22"/>
              </w:rPr>
              <w:t xml:space="preserve">1.  </w:t>
            </w:r>
            <w:r>
              <w:rPr>
                <w:rFonts w:ascii="Calibri" w:hAnsi="Calibri" w:cs="Calibri"/>
                <w:color w:val="000000"/>
                <w:szCs w:val="22"/>
              </w:rPr>
              <w:tab/>
            </w:r>
            <w:r w:rsidRPr="00AD00D8">
              <w:rPr>
                <w:rFonts w:ascii="Calibri" w:hAnsi="Calibri" w:cs="Calibri"/>
                <w:color w:val="000000"/>
                <w:szCs w:val="22"/>
              </w:rPr>
              <w:t>Report annual CAPs by facility to states for use in triennial (2023) AERR report</w:t>
            </w:r>
          </w:p>
        </w:tc>
        <w:tc>
          <w:tcPr>
            <w:tcW w:w="1404" w:type="dxa"/>
            <w:gridSpan w:val="2"/>
            <w:tcBorders>
              <w:top w:val="single" w:sz="8" w:space="0" w:color="000000"/>
              <w:left w:val="nil"/>
              <w:right w:val="single" w:sz="8" w:space="0" w:color="000000"/>
            </w:tcBorders>
            <w:shd w:val="clear" w:color="auto" w:fill="auto"/>
            <w:noWrap/>
            <w:vAlign w:val="bottom"/>
            <w:hideMark/>
          </w:tcPr>
          <w:p w:rsidR="00FE4AAF" w:rsidRPr="00AD00D8" w:rsidP="0011566D" w14:paraId="5B8AC26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5,800</w:t>
            </w:r>
          </w:p>
        </w:tc>
        <w:tc>
          <w:tcPr>
            <w:tcW w:w="1264" w:type="dxa"/>
            <w:tcBorders>
              <w:top w:val="single" w:sz="8" w:space="0" w:color="000000"/>
              <w:left w:val="nil"/>
              <w:right w:val="single" w:sz="8" w:space="0" w:color="000000"/>
            </w:tcBorders>
            <w:shd w:val="clear" w:color="auto" w:fill="auto"/>
            <w:noWrap/>
            <w:vAlign w:val="bottom"/>
            <w:hideMark/>
          </w:tcPr>
          <w:p w:rsidR="00FE4AAF" w:rsidRPr="00AD00D8" w:rsidP="0011566D" w14:paraId="754FC1F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144,993</w:t>
            </w:r>
          </w:p>
        </w:tc>
        <w:tc>
          <w:tcPr>
            <w:tcW w:w="1333" w:type="dxa"/>
            <w:tcBorders>
              <w:top w:val="single" w:sz="8" w:space="0" w:color="000000"/>
              <w:left w:val="nil"/>
              <w:right w:val="single" w:sz="8" w:space="0" w:color="000000"/>
            </w:tcBorders>
            <w:shd w:val="clear" w:color="auto" w:fill="auto"/>
            <w:noWrap/>
            <w:vAlign w:val="bottom"/>
            <w:hideMark/>
          </w:tcPr>
          <w:p w:rsidR="00FE4AAF" w:rsidRPr="00AD00D8" w:rsidP="0011566D" w14:paraId="0FD088C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$15,014,213</w:t>
            </w:r>
          </w:p>
        </w:tc>
      </w:tr>
      <w:tr w14:paraId="3BFE6E2E" w14:textId="77777777" w:rsidTr="0011566D">
        <w:tblPrEx>
          <w:tblW w:w="9208" w:type="dxa"/>
          <w:tblLook w:val="04A0"/>
        </w:tblPrEx>
        <w:trPr>
          <w:trHeight w:val="590"/>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0306C39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color w:val="000000"/>
                <w:szCs w:val="22"/>
              </w:rPr>
            </w:pPr>
            <w:r w:rsidRPr="00AD00D8">
              <w:rPr>
                <w:rFonts w:ascii="Calibri" w:hAnsi="Calibri" w:cs="Calibri"/>
                <w:color w:val="000000"/>
                <w:szCs w:val="22"/>
              </w:rPr>
              <w:t xml:space="preserve">2. </w:t>
            </w:r>
            <w:r>
              <w:rPr>
                <w:rFonts w:ascii="Calibri" w:hAnsi="Calibri" w:cs="Calibri"/>
                <w:color w:val="000000"/>
                <w:szCs w:val="22"/>
              </w:rPr>
              <w:tab/>
            </w:r>
            <w:r w:rsidRPr="00AD00D8">
              <w:rPr>
                <w:rFonts w:ascii="Calibri" w:hAnsi="Calibri" w:cs="Calibri"/>
                <w:color w:val="000000"/>
                <w:szCs w:val="22"/>
              </w:rPr>
              <w:t>Report annual CAPs by facility to states for use in 2024 and 2025 AERR report</w:t>
            </w:r>
          </w:p>
        </w:tc>
        <w:tc>
          <w:tcPr>
            <w:tcW w:w="1404" w:type="dxa"/>
            <w:gridSpan w:val="2"/>
            <w:tcBorders>
              <w:left w:val="nil"/>
              <w:bottom w:val="single" w:sz="4" w:space="0" w:color="000000"/>
              <w:right w:val="single" w:sz="8" w:space="0" w:color="000000"/>
            </w:tcBorders>
            <w:shd w:val="clear" w:color="auto" w:fill="auto"/>
            <w:noWrap/>
            <w:vAlign w:val="center"/>
            <w:hideMark/>
          </w:tcPr>
          <w:p w:rsidR="00FE4AAF" w:rsidRPr="00AD00D8" w:rsidP="0011566D" w14:paraId="358A4C7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264" w:type="dxa"/>
            <w:tcBorders>
              <w:left w:val="nil"/>
              <w:bottom w:val="nil"/>
              <w:right w:val="single" w:sz="8" w:space="0" w:color="000000"/>
            </w:tcBorders>
            <w:shd w:val="clear" w:color="auto" w:fill="auto"/>
            <w:noWrap/>
            <w:vAlign w:val="center"/>
            <w:hideMark/>
          </w:tcPr>
          <w:p w:rsidR="00FE4AAF" w:rsidRPr="00AD00D8" w:rsidP="0011566D" w14:paraId="15A3B46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c>
          <w:tcPr>
            <w:tcW w:w="1333" w:type="dxa"/>
            <w:tcBorders>
              <w:left w:val="nil"/>
              <w:bottom w:val="nil"/>
              <w:right w:val="single" w:sz="8" w:space="0" w:color="000000"/>
            </w:tcBorders>
            <w:shd w:val="clear" w:color="auto" w:fill="auto"/>
            <w:noWrap/>
            <w:vAlign w:val="center"/>
            <w:hideMark/>
          </w:tcPr>
          <w:p w:rsidR="00FE4AAF" w:rsidRPr="00AD00D8" w:rsidP="0011566D" w14:paraId="444C3E4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 </w:t>
            </w:r>
          </w:p>
        </w:tc>
      </w:tr>
      <w:tr w14:paraId="4AADF504" w14:textId="77777777" w:rsidTr="0011566D">
        <w:tblPrEx>
          <w:tblW w:w="9208" w:type="dxa"/>
          <w:tblLook w:val="04A0"/>
        </w:tblPrEx>
        <w:trPr>
          <w:trHeight w:val="880"/>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13025EB5" w14:textId="322048E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color w:val="000000"/>
                <w:szCs w:val="22"/>
              </w:rPr>
            </w:pPr>
            <w:r>
              <w:rPr>
                <w:rFonts w:ascii="Calibri" w:hAnsi="Calibri" w:cs="Calibri"/>
                <w:color w:val="000000"/>
                <w:szCs w:val="22"/>
              </w:rPr>
              <w:t>3</w:t>
            </w:r>
            <w:r w:rsidRPr="00AD00D8">
              <w:rPr>
                <w:rFonts w:ascii="Calibri" w:hAnsi="Calibri" w:cs="Calibri"/>
                <w:color w:val="000000"/>
                <w:szCs w:val="22"/>
              </w:rPr>
              <w:t xml:space="preserve">. </w:t>
            </w:r>
            <w:r>
              <w:rPr>
                <w:rFonts w:ascii="Calibri" w:hAnsi="Calibri" w:cs="Calibri"/>
                <w:color w:val="000000"/>
                <w:szCs w:val="22"/>
              </w:rPr>
              <w:tab/>
            </w:r>
            <w:r w:rsidRPr="00AD00D8">
              <w:rPr>
                <w:rFonts w:ascii="Calibri" w:hAnsi="Calibri" w:cs="Calibri"/>
                <w:color w:val="000000"/>
                <w:szCs w:val="22"/>
              </w:rPr>
              <w:t>Report annual CAPs and HAP to EPA by facility in 2026 (for facilities within Indian country that meet NAICS and reporting thresholds).</w:t>
            </w:r>
          </w:p>
        </w:tc>
        <w:tc>
          <w:tcPr>
            <w:tcW w:w="1404" w:type="dxa"/>
            <w:gridSpan w:val="2"/>
            <w:tcBorders>
              <w:top w:val="nil"/>
              <w:left w:val="nil"/>
              <w:bottom w:val="single" w:sz="8" w:space="0" w:color="000000"/>
              <w:right w:val="single" w:sz="8" w:space="0" w:color="000000"/>
            </w:tcBorders>
            <w:shd w:val="clear" w:color="auto" w:fill="auto"/>
            <w:noWrap/>
            <w:vAlign w:val="center"/>
            <w:hideMark/>
          </w:tcPr>
          <w:p w:rsidR="00FE4AAF" w:rsidRPr="00AD00D8" w:rsidP="0011566D" w14:paraId="5CF80059" w14:textId="52BA48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27</w:t>
            </w:r>
            <w:r w:rsidR="00625930">
              <w:rPr>
                <w:rFonts w:ascii="Calibri" w:hAnsi="Calibri" w:cs="Calibri"/>
                <w:color w:val="000000"/>
                <w:szCs w:val="22"/>
              </w:rPr>
              <w:t>3</w:t>
            </w:r>
          </w:p>
        </w:tc>
        <w:tc>
          <w:tcPr>
            <w:tcW w:w="1264" w:type="dxa"/>
            <w:tcBorders>
              <w:top w:val="nil"/>
              <w:left w:val="nil"/>
              <w:bottom w:val="single" w:sz="8" w:space="0" w:color="000000"/>
              <w:right w:val="single" w:sz="8" w:space="0" w:color="000000"/>
            </w:tcBorders>
            <w:shd w:val="clear" w:color="auto" w:fill="auto"/>
            <w:noWrap/>
            <w:vAlign w:val="center"/>
            <w:hideMark/>
          </w:tcPr>
          <w:p w:rsidR="00FE4AAF" w:rsidRPr="00AD00D8" w:rsidP="0011566D" w14:paraId="313231D2" w14:textId="19DD5FD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w:t>
            </w:r>
            <w:r w:rsidR="00625930">
              <w:rPr>
                <w:rFonts w:ascii="Calibri" w:hAnsi="Calibri" w:cs="Calibri"/>
                <w:color w:val="000000"/>
                <w:szCs w:val="22"/>
              </w:rPr>
              <w:t>466</w:t>
            </w:r>
          </w:p>
        </w:tc>
        <w:tc>
          <w:tcPr>
            <w:tcW w:w="1333" w:type="dxa"/>
            <w:tcBorders>
              <w:top w:val="nil"/>
              <w:left w:val="nil"/>
              <w:bottom w:val="single" w:sz="8" w:space="0" w:color="000000"/>
              <w:right w:val="single" w:sz="8" w:space="0" w:color="000000"/>
            </w:tcBorders>
            <w:shd w:val="clear" w:color="auto" w:fill="auto"/>
            <w:noWrap/>
            <w:vAlign w:val="center"/>
            <w:hideMark/>
          </w:tcPr>
          <w:p w:rsidR="00FE4AAF" w:rsidRPr="00AD00D8" w:rsidP="0011566D" w14:paraId="6DAE16CF" w14:textId="61ED57B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$1,192,498</w:t>
            </w:r>
          </w:p>
        </w:tc>
      </w:tr>
      <w:tr w14:paraId="7BE568B0" w14:textId="77777777" w:rsidTr="0011566D">
        <w:tblPrEx>
          <w:tblW w:w="9208" w:type="dxa"/>
          <w:tblLook w:val="04A0"/>
        </w:tblPrEx>
        <w:trPr>
          <w:trHeight w:val="300"/>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0E9D7100" w14:textId="68F6EDE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color w:val="000000"/>
                <w:szCs w:val="22"/>
              </w:rPr>
            </w:pPr>
            <w:r>
              <w:rPr>
                <w:rFonts w:ascii="Calibri" w:hAnsi="Calibri" w:cs="Calibri"/>
                <w:color w:val="000000"/>
                <w:szCs w:val="22"/>
              </w:rPr>
              <w:t>4</w:t>
            </w:r>
            <w:r w:rsidRPr="00AD00D8">
              <w:rPr>
                <w:rFonts w:ascii="Calibri" w:hAnsi="Calibri" w:cs="Calibri"/>
                <w:color w:val="000000"/>
                <w:szCs w:val="22"/>
              </w:rPr>
              <w:t xml:space="preserve">. </w:t>
            </w:r>
            <w:r>
              <w:rPr>
                <w:rFonts w:ascii="Calibri" w:hAnsi="Calibri" w:cs="Calibri"/>
                <w:color w:val="000000"/>
                <w:szCs w:val="22"/>
              </w:rPr>
              <w:tab/>
            </w:r>
            <w:r w:rsidRPr="00AD00D8">
              <w:rPr>
                <w:rFonts w:ascii="Calibri" w:hAnsi="Calibri" w:cs="Calibri"/>
                <w:color w:val="000000"/>
                <w:szCs w:val="22"/>
              </w:rPr>
              <w:t>Report source test data to EPA</w:t>
            </w:r>
          </w:p>
        </w:tc>
        <w:tc>
          <w:tcPr>
            <w:tcW w:w="1404" w:type="dxa"/>
            <w:gridSpan w:val="2"/>
            <w:tcBorders>
              <w:top w:val="nil"/>
              <w:left w:val="nil"/>
              <w:bottom w:val="single" w:sz="8" w:space="0" w:color="000000"/>
              <w:right w:val="single" w:sz="8" w:space="0" w:color="000000"/>
            </w:tcBorders>
            <w:shd w:val="clear" w:color="auto" w:fill="auto"/>
            <w:noWrap/>
            <w:vAlign w:val="center"/>
            <w:hideMark/>
          </w:tcPr>
          <w:p w:rsidR="00FE4AAF" w:rsidRPr="00AD00D8" w:rsidP="0011566D" w14:paraId="4904B89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13,420</w:t>
            </w:r>
          </w:p>
        </w:tc>
        <w:tc>
          <w:tcPr>
            <w:tcW w:w="1264" w:type="dxa"/>
            <w:tcBorders>
              <w:top w:val="nil"/>
              <w:left w:val="nil"/>
              <w:bottom w:val="single" w:sz="8" w:space="0" w:color="000000"/>
              <w:right w:val="single" w:sz="8" w:space="0" w:color="000000"/>
            </w:tcBorders>
            <w:shd w:val="clear" w:color="auto" w:fill="auto"/>
            <w:noWrap/>
            <w:vAlign w:val="center"/>
            <w:hideMark/>
          </w:tcPr>
          <w:p w:rsidR="00FE4AAF" w:rsidRPr="00AD00D8" w:rsidP="0011566D" w14:paraId="552B079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161,040</w:t>
            </w:r>
          </w:p>
        </w:tc>
        <w:tc>
          <w:tcPr>
            <w:tcW w:w="1333" w:type="dxa"/>
            <w:tcBorders>
              <w:top w:val="nil"/>
              <w:left w:val="nil"/>
              <w:bottom w:val="single" w:sz="8" w:space="0" w:color="000000"/>
              <w:right w:val="single" w:sz="8" w:space="0" w:color="000000"/>
            </w:tcBorders>
            <w:shd w:val="clear" w:color="auto" w:fill="auto"/>
            <w:noWrap/>
            <w:vAlign w:val="center"/>
            <w:hideMark/>
          </w:tcPr>
          <w:p w:rsidR="00FE4AAF" w:rsidRPr="00AD00D8" w:rsidP="0011566D" w14:paraId="6ECE502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$16,293,705</w:t>
            </w:r>
          </w:p>
        </w:tc>
      </w:tr>
      <w:tr w14:paraId="47B16FD0" w14:textId="77777777" w:rsidTr="005769E5">
        <w:tblPrEx>
          <w:tblW w:w="9208" w:type="dxa"/>
          <w:tblLook w:val="04A0"/>
        </w:tblPrEx>
        <w:trPr>
          <w:trHeight w:val="300"/>
        </w:trPr>
        <w:tc>
          <w:tcPr>
            <w:tcW w:w="5207" w:type="dxa"/>
            <w:tcBorders>
              <w:top w:val="single" w:sz="8" w:space="0" w:color="000000"/>
              <w:left w:val="single" w:sz="8" w:space="0" w:color="000000"/>
              <w:bottom w:val="single" w:sz="8" w:space="0" w:color="000000"/>
            </w:tcBorders>
            <w:shd w:val="clear" w:color="auto" w:fill="D9D9D9"/>
            <w:vAlign w:val="center"/>
          </w:tcPr>
          <w:p w:rsidR="007C00C0" w:rsidP="005769E5" w14:paraId="3951972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Required one-time activities</w:t>
            </w:r>
          </w:p>
        </w:tc>
        <w:tc>
          <w:tcPr>
            <w:tcW w:w="1404" w:type="dxa"/>
            <w:gridSpan w:val="2"/>
            <w:tcBorders>
              <w:top w:val="single" w:sz="8" w:space="0" w:color="000000"/>
              <w:bottom w:val="single" w:sz="8" w:space="0" w:color="000000"/>
            </w:tcBorders>
            <w:shd w:val="clear" w:color="auto" w:fill="D9D9D9"/>
            <w:noWrap/>
            <w:vAlign w:val="bottom"/>
          </w:tcPr>
          <w:p w:rsidR="007C00C0" w:rsidP="005769E5" w14:paraId="0A20F89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AD00D8">
              <w:rPr>
                <w:rFonts w:ascii="Calibri" w:hAnsi="Calibri" w:cs="Calibri"/>
                <w:color w:val="000000"/>
                <w:szCs w:val="22"/>
              </w:rPr>
              <w:t> </w:t>
            </w:r>
          </w:p>
        </w:tc>
        <w:tc>
          <w:tcPr>
            <w:tcW w:w="1264" w:type="dxa"/>
            <w:tcBorders>
              <w:top w:val="single" w:sz="8" w:space="0" w:color="000000"/>
              <w:bottom w:val="single" w:sz="8" w:space="0" w:color="000000"/>
            </w:tcBorders>
            <w:shd w:val="clear" w:color="auto" w:fill="D9D9D9"/>
            <w:noWrap/>
            <w:vAlign w:val="bottom"/>
          </w:tcPr>
          <w:p w:rsidR="007C00C0" w:rsidP="005769E5" w14:paraId="2DEE1DB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AD00D8">
              <w:rPr>
                <w:rFonts w:ascii="Calibri" w:hAnsi="Calibri" w:cs="Calibri"/>
                <w:color w:val="000000"/>
                <w:szCs w:val="22"/>
              </w:rPr>
              <w:t> </w:t>
            </w:r>
          </w:p>
        </w:tc>
        <w:tc>
          <w:tcPr>
            <w:tcW w:w="1333" w:type="dxa"/>
            <w:tcBorders>
              <w:top w:val="single" w:sz="8" w:space="0" w:color="000000"/>
              <w:bottom w:val="single" w:sz="8" w:space="0" w:color="000000"/>
              <w:right w:val="single" w:sz="8" w:space="0" w:color="000000"/>
            </w:tcBorders>
            <w:shd w:val="clear" w:color="auto" w:fill="D9D9D9"/>
            <w:noWrap/>
            <w:vAlign w:val="bottom"/>
          </w:tcPr>
          <w:p w:rsidR="007C00C0" w:rsidP="005769E5" w14:paraId="22F5B87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sidRPr="00AD00D8">
              <w:rPr>
                <w:rFonts w:ascii="Calibri" w:hAnsi="Calibri" w:cs="Calibri"/>
                <w:color w:val="000000"/>
                <w:szCs w:val="22"/>
              </w:rPr>
              <w:t> </w:t>
            </w:r>
          </w:p>
        </w:tc>
      </w:tr>
      <w:tr w14:paraId="0CD4FC26" w14:textId="77777777" w:rsidTr="005769E5">
        <w:tblPrEx>
          <w:tblW w:w="9208" w:type="dxa"/>
          <w:tblLook w:val="04A0"/>
        </w:tblPrEx>
        <w:trPr>
          <w:trHeight w:val="300"/>
        </w:trPr>
        <w:tc>
          <w:tcPr>
            <w:tcW w:w="5207" w:type="dxa"/>
            <w:tcBorders>
              <w:top w:val="nil"/>
              <w:left w:val="single" w:sz="8" w:space="0" w:color="000000"/>
              <w:bottom w:val="single" w:sz="8" w:space="0" w:color="000000"/>
              <w:right w:val="single" w:sz="8" w:space="0" w:color="000000"/>
            </w:tcBorders>
            <w:shd w:val="clear" w:color="auto" w:fill="auto"/>
            <w:vAlign w:val="center"/>
          </w:tcPr>
          <w:p w:rsidR="007C00C0" w:rsidRPr="000D6BD7" w:rsidP="005769E5" w14:paraId="7D1B5134" w14:textId="104028B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color w:val="000000"/>
                <w:szCs w:val="22"/>
              </w:rPr>
            </w:pPr>
            <w:r>
              <w:rPr>
                <w:rFonts w:ascii="Calibri" w:hAnsi="Calibri" w:cs="Calibri"/>
                <w:color w:val="000000"/>
                <w:szCs w:val="22"/>
              </w:rPr>
              <w:t>5. Gather release point latitude-longitude for future reporting</w:t>
            </w:r>
          </w:p>
        </w:tc>
        <w:tc>
          <w:tcPr>
            <w:tcW w:w="1404" w:type="dxa"/>
            <w:gridSpan w:val="2"/>
            <w:tcBorders>
              <w:top w:val="nil"/>
              <w:left w:val="nil"/>
              <w:bottom w:val="single" w:sz="8" w:space="0" w:color="000000"/>
              <w:right w:val="single" w:sz="8" w:space="0" w:color="000000"/>
            </w:tcBorders>
            <w:shd w:val="clear" w:color="auto" w:fill="auto"/>
            <w:noWrap/>
            <w:vAlign w:val="center"/>
          </w:tcPr>
          <w:p w:rsidR="007C00C0" w:rsidRPr="000D6BD7" w:rsidP="005769E5" w14:paraId="1C074582" w14:textId="06B08F5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40,3</w:t>
            </w:r>
            <w:r w:rsidR="0074152B">
              <w:rPr>
                <w:rFonts w:ascii="Calibri" w:hAnsi="Calibri" w:cs="Calibri"/>
                <w:color w:val="000000"/>
                <w:szCs w:val="22"/>
              </w:rPr>
              <w:t>15</w:t>
            </w:r>
          </w:p>
        </w:tc>
        <w:tc>
          <w:tcPr>
            <w:tcW w:w="1264" w:type="dxa"/>
            <w:tcBorders>
              <w:top w:val="nil"/>
              <w:left w:val="nil"/>
              <w:bottom w:val="single" w:sz="8" w:space="0" w:color="000000"/>
              <w:right w:val="single" w:sz="8" w:space="0" w:color="000000"/>
            </w:tcBorders>
            <w:shd w:val="clear" w:color="auto" w:fill="auto"/>
            <w:noWrap/>
            <w:vAlign w:val="center"/>
          </w:tcPr>
          <w:p w:rsidR="007C00C0" w:rsidRPr="000D6BD7" w:rsidP="005769E5" w14:paraId="5E024B64" w14:textId="70D8013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50</w:t>
            </w:r>
            <w:r w:rsidR="0093301C">
              <w:rPr>
                <w:rFonts w:ascii="Calibri" w:hAnsi="Calibri" w:cs="Calibri"/>
                <w:color w:val="000000"/>
                <w:szCs w:val="22"/>
              </w:rPr>
              <w:t>7</w:t>
            </w:r>
            <w:r>
              <w:rPr>
                <w:rFonts w:ascii="Calibri" w:hAnsi="Calibri" w:cs="Calibri"/>
                <w:color w:val="000000"/>
                <w:szCs w:val="22"/>
              </w:rPr>
              <w:t>,</w:t>
            </w:r>
            <w:r w:rsidR="0093301C">
              <w:rPr>
                <w:rFonts w:ascii="Calibri" w:hAnsi="Calibri" w:cs="Calibri"/>
                <w:color w:val="000000"/>
                <w:szCs w:val="22"/>
              </w:rPr>
              <w:t>973</w:t>
            </w:r>
          </w:p>
        </w:tc>
        <w:tc>
          <w:tcPr>
            <w:tcW w:w="1333" w:type="dxa"/>
            <w:tcBorders>
              <w:top w:val="nil"/>
              <w:left w:val="nil"/>
              <w:bottom w:val="single" w:sz="8" w:space="0" w:color="000000"/>
              <w:right w:val="single" w:sz="8" w:space="0" w:color="000000"/>
            </w:tcBorders>
            <w:shd w:val="clear" w:color="auto" w:fill="auto"/>
            <w:noWrap/>
            <w:vAlign w:val="center"/>
          </w:tcPr>
          <w:p w:rsidR="007C00C0" w:rsidRPr="000D6BD7" w:rsidP="005769E5" w14:paraId="191319E4" w14:textId="6EBE28C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$56,</w:t>
            </w:r>
            <w:r w:rsidR="0093301C">
              <w:rPr>
                <w:rFonts w:ascii="Calibri" w:hAnsi="Calibri" w:cs="Calibri"/>
                <w:color w:val="000000"/>
                <w:szCs w:val="22"/>
              </w:rPr>
              <w:t>418297</w:t>
            </w:r>
          </w:p>
        </w:tc>
      </w:tr>
      <w:tr w14:paraId="18ABA7F4" w14:textId="77777777" w:rsidTr="00CF341E">
        <w:tblPrEx>
          <w:tblW w:w="9208" w:type="dxa"/>
          <w:tblLook w:val="04A0"/>
        </w:tblPrEx>
        <w:trPr>
          <w:trHeight w:val="300"/>
        </w:trPr>
        <w:tc>
          <w:tcPr>
            <w:tcW w:w="5207" w:type="dxa"/>
            <w:tcBorders>
              <w:top w:val="nil"/>
              <w:left w:val="single" w:sz="8" w:space="0" w:color="000000"/>
              <w:bottom w:val="single" w:sz="8" w:space="0" w:color="000000"/>
              <w:right w:val="single" w:sz="8" w:space="0" w:color="000000"/>
            </w:tcBorders>
            <w:shd w:val="clear" w:color="auto" w:fill="auto"/>
            <w:vAlign w:val="center"/>
          </w:tcPr>
          <w:p w:rsidR="00FE4AAF" w:rsidRPr="00D00C4E" w:rsidP="0011566D" w14:paraId="2AEE32A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b/>
                <w:bCs/>
                <w:color w:val="000000"/>
                <w:szCs w:val="22"/>
              </w:rPr>
              <w:t>Required Activities Sum</w:t>
            </w:r>
          </w:p>
        </w:tc>
        <w:tc>
          <w:tcPr>
            <w:tcW w:w="1404" w:type="dxa"/>
            <w:gridSpan w:val="2"/>
            <w:tcBorders>
              <w:top w:val="nil"/>
              <w:left w:val="nil"/>
              <w:bottom w:val="single" w:sz="8" w:space="0" w:color="000000"/>
              <w:right w:val="single" w:sz="8" w:space="0" w:color="000000"/>
            </w:tcBorders>
            <w:shd w:val="clear" w:color="auto" w:fill="auto"/>
            <w:noWrap/>
            <w:vAlign w:val="center"/>
          </w:tcPr>
          <w:p w:rsidR="00FE4AAF" w:rsidP="0011566D" w14:paraId="0F192CB9" w14:textId="4964C5A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b/>
                <w:bCs/>
                <w:color w:val="000000"/>
                <w:szCs w:val="22"/>
              </w:rPr>
              <w:t>40,3</w:t>
            </w:r>
            <w:r w:rsidR="0093301C">
              <w:rPr>
                <w:rFonts w:ascii="Calibri" w:hAnsi="Calibri" w:cs="Calibri"/>
                <w:b/>
                <w:bCs/>
                <w:color w:val="000000"/>
                <w:szCs w:val="22"/>
              </w:rPr>
              <w:t>15</w:t>
            </w:r>
          </w:p>
        </w:tc>
        <w:tc>
          <w:tcPr>
            <w:tcW w:w="1264" w:type="dxa"/>
            <w:tcBorders>
              <w:top w:val="nil"/>
              <w:left w:val="nil"/>
              <w:bottom w:val="single" w:sz="8" w:space="0" w:color="000000"/>
              <w:right w:val="single" w:sz="8" w:space="0" w:color="000000"/>
            </w:tcBorders>
            <w:shd w:val="clear" w:color="auto" w:fill="auto"/>
            <w:noWrap/>
            <w:vAlign w:val="center"/>
          </w:tcPr>
          <w:p w:rsidR="00FE4AAF" w:rsidP="0011566D" w14:paraId="53D56DB4" w14:textId="2742D15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b/>
                <w:bCs/>
                <w:color w:val="000000"/>
                <w:szCs w:val="22"/>
              </w:rPr>
              <w:t>82</w:t>
            </w:r>
            <w:r w:rsidR="0093301C">
              <w:rPr>
                <w:rFonts w:ascii="Calibri" w:hAnsi="Calibri" w:cs="Calibri"/>
                <w:b/>
                <w:bCs/>
                <w:color w:val="000000"/>
                <w:szCs w:val="22"/>
              </w:rPr>
              <w:t>5</w:t>
            </w:r>
            <w:r>
              <w:rPr>
                <w:rFonts w:ascii="Calibri" w:hAnsi="Calibri" w:cs="Calibri"/>
                <w:b/>
                <w:bCs/>
                <w:color w:val="000000"/>
                <w:szCs w:val="22"/>
              </w:rPr>
              <w:t>,</w:t>
            </w:r>
            <w:r w:rsidR="0093301C">
              <w:rPr>
                <w:rFonts w:ascii="Calibri" w:hAnsi="Calibri" w:cs="Calibri"/>
                <w:b/>
                <w:bCs/>
                <w:color w:val="000000"/>
                <w:szCs w:val="22"/>
              </w:rPr>
              <w:t>473</w:t>
            </w:r>
          </w:p>
        </w:tc>
        <w:tc>
          <w:tcPr>
            <w:tcW w:w="1333" w:type="dxa"/>
            <w:tcBorders>
              <w:top w:val="nil"/>
              <w:left w:val="nil"/>
              <w:bottom w:val="single" w:sz="8" w:space="0" w:color="000000"/>
              <w:right w:val="single" w:sz="8" w:space="0" w:color="000000"/>
            </w:tcBorders>
            <w:shd w:val="clear" w:color="auto" w:fill="auto"/>
            <w:noWrap/>
            <w:vAlign w:val="center"/>
          </w:tcPr>
          <w:p w:rsidR="00FE4AAF" w:rsidP="0011566D" w14:paraId="3DDE6A95" w14:textId="2442870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b/>
                <w:bCs/>
                <w:color w:val="000000"/>
                <w:szCs w:val="22"/>
              </w:rPr>
              <w:t>$8</w:t>
            </w:r>
            <w:r w:rsidR="0093301C">
              <w:rPr>
                <w:rFonts w:ascii="Calibri" w:hAnsi="Calibri" w:cs="Calibri"/>
                <w:b/>
                <w:bCs/>
                <w:color w:val="000000"/>
                <w:szCs w:val="22"/>
              </w:rPr>
              <w:t>8</w:t>
            </w:r>
            <w:r>
              <w:rPr>
                <w:rFonts w:ascii="Calibri" w:hAnsi="Calibri" w:cs="Calibri"/>
                <w:b/>
                <w:bCs/>
                <w:color w:val="000000"/>
                <w:szCs w:val="22"/>
              </w:rPr>
              <w:t>,</w:t>
            </w:r>
            <w:r w:rsidR="0093301C">
              <w:rPr>
                <w:rFonts w:ascii="Calibri" w:hAnsi="Calibri" w:cs="Calibri"/>
                <w:b/>
                <w:bCs/>
                <w:color w:val="000000"/>
                <w:szCs w:val="22"/>
              </w:rPr>
              <w:t>918</w:t>
            </w:r>
            <w:r>
              <w:rPr>
                <w:rFonts w:ascii="Calibri" w:hAnsi="Calibri" w:cs="Calibri"/>
                <w:b/>
                <w:bCs/>
                <w:color w:val="000000"/>
                <w:szCs w:val="22"/>
              </w:rPr>
              <w:t>,</w:t>
            </w:r>
            <w:r w:rsidR="0093301C">
              <w:rPr>
                <w:rFonts w:ascii="Calibri" w:hAnsi="Calibri" w:cs="Calibri"/>
                <w:b/>
                <w:bCs/>
                <w:color w:val="000000"/>
                <w:szCs w:val="22"/>
              </w:rPr>
              <w:t>714</w:t>
            </w:r>
          </w:p>
        </w:tc>
      </w:tr>
      <w:tr w14:paraId="195A1500" w14:textId="77777777" w:rsidTr="0011566D">
        <w:tblPrEx>
          <w:tblW w:w="9208" w:type="dxa"/>
          <w:tblLook w:val="04A0"/>
        </w:tblPrEx>
        <w:trPr>
          <w:trHeight w:val="288"/>
        </w:trPr>
        <w:tc>
          <w:tcPr>
            <w:tcW w:w="6107" w:type="dxa"/>
            <w:gridSpan w:val="2"/>
            <w:tcBorders>
              <w:top w:val="nil"/>
              <w:left w:val="single" w:sz="8" w:space="0" w:color="000000"/>
              <w:bottom w:val="single" w:sz="8" w:space="0" w:color="000000"/>
              <w:right w:val="nil"/>
            </w:tcBorders>
            <w:shd w:val="clear" w:color="000000" w:fill="D9D9D9"/>
            <w:vAlign w:val="center"/>
            <w:hideMark/>
          </w:tcPr>
          <w:p w:rsidR="00FE4AAF" w:rsidRPr="00AD00D8" w:rsidP="0011566D" w14:paraId="0C56FC9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sidRPr="00AD00D8">
              <w:rPr>
                <w:rFonts w:ascii="Calibri" w:hAnsi="Calibri" w:cs="Calibri"/>
                <w:b/>
                <w:bCs/>
                <w:color w:val="000000"/>
                <w:szCs w:val="22"/>
              </w:rPr>
              <w:t>Required activities for One-Time-Collection option for HEDD</w:t>
            </w:r>
          </w:p>
        </w:tc>
        <w:tc>
          <w:tcPr>
            <w:tcW w:w="504" w:type="dxa"/>
            <w:tcBorders>
              <w:top w:val="nil"/>
              <w:left w:val="nil"/>
              <w:bottom w:val="nil"/>
              <w:right w:val="nil"/>
            </w:tcBorders>
            <w:shd w:val="clear" w:color="000000" w:fill="D9D9D9"/>
            <w:noWrap/>
            <w:vAlign w:val="bottom"/>
            <w:hideMark/>
          </w:tcPr>
          <w:p w:rsidR="00FE4AAF" w:rsidRPr="00AD00D8" w:rsidP="0011566D" w14:paraId="00258C4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c>
          <w:tcPr>
            <w:tcW w:w="1264" w:type="dxa"/>
            <w:tcBorders>
              <w:top w:val="nil"/>
              <w:left w:val="nil"/>
              <w:bottom w:val="nil"/>
              <w:right w:val="nil"/>
            </w:tcBorders>
            <w:shd w:val="clear" w:color="000000" w:fill="D9D9D9"/>
            <w:noWrap/>
            <w:vAlign w:val="bottom"/>
            <w:hideMark/>
          </w:tcPr>
          <w:p w:rsidR="00FE4AAF" w:rsidRPr="00AD00D8" w:rsidP="0011566D" w14:paraId="3B83E5C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c>
          <w:tcPr>
            <w:tcW w:w="1333" w:type="dxa"/>
            <w:tcBorders>
              <w:top w:val="nil"/>
              <w:left w:val="nil"/>
              <w:bottom w:val="nil"/>
              <w:right w:val="single" w:sz="8" w:space="0" w:color="000000"/>
            </w:tcBorders>
            <w:shd w:val="clear" w:color="000000" w:fill="D9D9D9"/>
            <w:noWrap/>
            <w:vAlign w:val="bottom"/>
            <w:hideMark/>
          </w:tcPr>
          <w:p w:rsidR="00FE4AAF" w:rsidRPr="00AD00D8" w:rsidP="0011566D" w14:paraId="4E11BBA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r>
      <w:tr w14:paraId="2092D9F0" w14:textId="77777777" w:rsidTr="0011566D">
        <w:tblPrEx>
          <w:tblW w:w="9208" w:type="dxa"/>
          <w:tblLook w:val="04A0"/>
        </w:tblPrEx>
        <w:trPr>
          <w:trHeight w:val="590"/>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2FE44E1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szCs w:val="22"/>
              </w:rPr>
            </w:pPr>
            <w:r w:rsidRPr="00AD00D8">
              <w:rPr>
                <w:rFonts w:ascii="Calibri" w:hAnsi="Calibri" w:cs="Calibri"/>
                <w:szCs w:val="22"/>
              </w:rPr>
              <w:t xml:space="preserve">6. </w:t>
            </w:r>
            <w:r>
              <w:rPr>
                <w:rFonts w:ascii="Calibri" w:hAnsi="Calibri" w:cs="Calibri"/>
                <w:szCs w:val="22"/>
              </w:rPr>
              <w:tab/>
            </w:r>
            <w:r w:rsidRPr="00AD00D8">
              <w:rPr>
                <w:rFonts w:ascii="Calibri" w:hAnsi="Calibri" w:cs="Calibri"/>
                <w:szCs w:val="22"/>
              </w:rPr>
              <w:t xml:space="preserve">Report facility attributes and daily fuel use or heat input for small generating units. </w:t>
            </w:r>
          </w:p>
        </w:tc>
        <w:tc>
          <w:tcPr>
            <w:tcW w:w="1404"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649548F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235</w:t>
            </w:r>
          </w:p>
        </w:tc>
        <w:tc>
          <w:tcPr>
            <w:tcW w:w="1264" w:type="dxa"/>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4E1DC9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30,550</w:t>
            </w:r>
          </w:p>
        </w:tc>
        <w:tc>
          <w:tcPr>
            <w:tcW w:w="1333" w:type="dxa"/>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67D990B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$3,230,402</w:t>
            </w:r>
          </w:p>
        </w:tc>
      </w:tr>
      <w:tr w14:paraId="61871FD6" w14:textId="77777777" w:rsidTr="0011566D">
        <w:tblPrEx>
          <w:tblW w:w="9208" w:type="dxa"/>
          <w:tblLook w:val="04A0"/>
        </w:tblPrEx>
        <w:trPr>
          <w:trHeight w:val="300"/>
        </w:trPr>
        <w:tc>
          <w:tcPr>
            <w:tcW w:w="5207" w:type="dxa"/>
            <w:tcBorders>
              <w:top w:val="nil"/>
              <w:left w:val="single" w:sz="8" w:space="0" w:color="000000"/>
              <w:bottom w:val="single" w:sz="8" w:space="0" w:color="000000"/>
              <w:right w:val="nil"/>
            </w:tcBorders>
            <w:shd w:val="clear" w:color="000000" w:fill="D9D9D9"/>
            <w:vAlign w:val="center"/>
            <w:hideMark/>
          </w:tcPr>
          <w:p w:rsidR="00FE4AAF" w:rsidRPr="00AD00D8" w:rsidP="0011566D" w14:paraId="3CBF8AE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b/>
                <w:bCs/>
                <w:color w:val="000000"/>
                <w:szCs w:val="22"/>
              </w:rPr>
            </w:pPr>
            <w:r w:rsidRPr="00AD00D8">
              <w:rPr>
                <w:rFonts w:ascii="Calibri" w:hAnsi="Calibri" w:cs="Calibri"/>
                <w:b/>
                <w:bCs/>
                <w:color w:val="000000"/>
                <w:szCs w:val="22"/>
              </w:rPr>
              <w:t>Voluntary activities for triennial inventory years</w:t>
            </w:r>
          </w:p>
        </w:tc>
        <w:tc>
          <w:tcPr>
            <w:tcW w:w="1404" w:type="dxa"/>
            <w:gridSpan w:val="2"/>
            <w:tcBorders>
              <w:top w:val="nil"/>
              <w:left w:val="nil"/>
              <w:bottom w:val="nil"/>
              <w:right w:val="nil"/>
            </w:tcBorders>
            <w:shd w:val="clear" w:color="000000" w:fill="D9D9D9"/>
            <w:noWrap/>
            <w:vAlign w:val="bottom"/>
            <w:hideMark/>
          </w:tcPr>
          <w:p w:rsidR="00FE4AAF" w:rsidRPr="00AD00D8" w:rsidP="0011566D" w14:paraId="1B409B0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c>
          <w:tcPr>
            <w:tcW w:w="1264" w:type="dxa"/>
            <w:tcBorders>
              <w:top w:val="nil"/>
              <w:left w:val="nil"/>
              <w:bottom w:val="nil"/>
              <w:right w:val="nil"/>
            </w:tcBorders>
            <w:shd w:val="clear" w:color="000000" w:fill="D9D9D9"/>
            <w:noWrap/>
            <w:vAlign w:val="bottom"/>
            <w:hideMark/>
          </w:tcPr>
          <w:p w:rsidR="00FE4AAF" w:rsidRPr="00AD00D8" w:rsidP="0011566D" w14:paraId="188856F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c>
          <w:tcPr>
            <w:tcW w:w="1333" w:type="dxa"/>
            <w:tcBorders>
              <w:top w:val="nil"/>
              <w:left w:val="nil"/>
              <w:bottom w:val="nil"/>
              <w:right w:val="single" w:sz="8" w:space="0" w:color="000000"/>
            </w:tcBorders>
            <w:shd w:val="clear" w:color="000000" w:fill="D9D9D9"/>
            <w:noWrap/>
            <w:vAlign w:val="bottom"/>
            <w:hideMark/>
          </w:tcPr>
          <w:p w:rsidR="00FE4AAF" w:rsidRPr="00AD00D8" w:rsidP="0011566D" w14:paraId="417C885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AD00D8">
              <w:rPr>
                <w:rFonts w:ascii="Calibri" w:hAnsi="Calibri" w:cs="Calibri"/>
                <w:color w:val="000000"/>
                <w:szCs w:val="22"/>
              </w:rPr>
              <w:t> </w:t>
            </w:r>
          </w:p>
        </w:tc>
      </w:tr>
      <w:tr w14:paraId="24046A12" w14:textId="77777777" w:rsidTr="0011566D">
        <w:tblPrEx>
          <w:tblW w:w="9208" w:type="dxa"/>
          <w:tblLook w:val="04A0"/>
        </w:tblPrEx>
        <w:trPr>
          <w:trHeight w:val="144"/>
        </w:trPr>
        <w:tc>
          <w:tcPr>
            <w:tcW w:w="5207" w:type="dxa"/>
            <w:tcBorders>
              <w:top w:val="nil"/>
              <w:left w:val="single" w:sz="8" w:space="0" w:color="000000"/>
              <w:bottom w:val="single" w:sz="8" w:space="0" w:color="000000"/>
              <w:right w:val="single" w:sz="8" w:space="0" w:color="000000"/>
            </w:tcBorders>
            <w:shd w:val="clear" w:color="auto" w:fill="auto"/>
            <w:vAlign w:val="center"/>
            <w:hideMark/>
          </w:tcPr>
          <w:p w:rsidR="00FE4AAF" w:rsidRPr="00AD00D8" w:rsidP="0011566D" w14:paraId="17DD315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ind w:left="330" w:hanging="330"/>
              <w:rPr>
                <w:rFonts w:ascii="Calibri" w:hAnsi="Calibri" w:cs="Calibri"/>
                <w:szCs w:val="22"/>
              </w:rPr>
            </w:pPr>
            <w:r w:rsidRPr="00AD00D8">
              <w:rPr>
                <w:rFonts w:ascii="Calibri" w:hAnsi="Calibri" w:cs="Calibri"/>
                <w:szCs w:val="22"/>
              </w:rPr>
              <w:t xml:space="preserve">7. </w:t>
            </w:r>
            <w:r>
              <w:rPr>
                <w:rFonts w:ascii="Calibri" w:hAnsi="Calibri" w:cs="Calibri"/>
                <w:szCs w:val="22"/>
              </w:rPr>
              <w:tab/>
            </w:r>
            <w:r w:rsidRPr="00AD00D8">
              <w:rPr>
                <w:rFonts w:ascii="Calibri" w:hAnsi="Calibri" w:cs="Calibri"/>
                <w:szCs w:val="22"/>
              </w:rPr>
              <w:t>Provide rail yard data to the EPA for 2023 (in 2024)</w:t>
            </w:r>
          </w:p>
        </w:tc>
        <w:tc>
          <w:tcPr>
            <w:tcW w:w="1404"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1BBB370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7</w:t>
            </w:r>
          </w:p>
        </w:tc>
        <w:tc>
          <w:tcPr>
            <w:tcW w:w="1264" w:type="dxa"/>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783A6ED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84</w:t>
            </w:r>
          </w:p>
        </w:tc>
        <w:tc>
          <w:tcPr>
            <w:tcW w:w="1333" w:type="dxa"/>
            <w:tcBorders>
              <w:top w:val="single" w:sz="8" w:space="0" w:color="000000"/>
              <w:left w:val="nil"/>
              <w:bottom w:val="single" w:sz="8" w:space="0" w:color="000000"/>
              <w:right w:val="single" w:sz="8" w:space="0" w:color="000000"/>
            </w:tcBorders>
            <w:shd w:val="clear" w:color="auto" w:fill="auto"/>
            <w:noWrap/>
            <w:vAlign w:val="center"/>
            <w:hideMark/>
          </w:tcPr>
          <w:p w:rsidR="00FE4AAF" w:rsidRPr="00AD00D8" w:rsidP="0011566D" w14:paraId="74BA240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$9,330</w:t>
            </w:r>
          </w:p>
        </w:tc>
      </w:tr>
    </w:tbl>
    <w:p w:rsidR="00FE4AAF" w:rsidP="00FE4AAF" w14:paraId="58660C6E" w14:textId="77777777"/>
    <w:p w:rsidR="008E47A8" w:rsidRPr="00793526" w:rsidP="00877276" w14:paraId="17F548CD" w14:textId="72E4DAE1">
      <w:pPr>
        <w:pStyle w:val="Heading1"/>
        <w:rPr>
          <w:rStyle w:val="Strong"/>
          <w:b/>
          <w:bCs w:val="0"/>
        </w:rPr>
      </w:pPr>
      <w:r w:rsidRPr="00793526">
        <w:rPr>
          <w:rStyle w:val="Strong"/>
          <w:b/>
          <w:bCs w:val="0"/>
        </w:rPr>
        <w:t xml:space="preserve">Provide estimates of </w:t>
      </w:r>
      <w:r w:rsidRPr="00BD0EB8">
        <w:rPr>
          <w:rStyle w:val="Strong"/>
          <w:b/>
          <w:bCs w:val="0"/>
        </w:rPr>
        <w:t>annualized costs to the Federal government. Also, provide</w:t>
      </w:r>
      <w:r w:rsidRPr="00793526">
        <w:rPr>
          <w:rStyle w:val="Strong"/>
          <w:b/>
          <w:bCs w:val="0"/>
        </w:rPr>
        <w:t xml:space="preserv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bookmarkEnd w:id="38"/>
    </w:p>
    <w:p w:rsidR="0012524C" w:rsidP="009E08D8" w14:paraId="7B0EAE3A" w14:textId="77777777"/>
    <w:p w:rsidR="002C01E6" w:rsidP="009E08D8" w14:paraId="3CE7DD07" w14:textId="77777777">
      <w:r>
        <w:t xml:space="preserve">The EPA activities associated with the </w:t>
      </w:r>
      <w:r w:rsidR="00795BD8">
        <w:t>AERR</w:t>
      </w:r>
      <w:r>
        <w:t xml:space="preserve"> include:</w:t>
      </w:r>
    </w:p>
    <w:p w:rsidR="002C01E6" w:rsidP="009E08D8" w14:paraId="26173886" w14:textId="77777777"/>
    <w:p w:rsidR="00153550" w:rsidP="00724A63" w14:paraId="031857D9" w14:textId="7DB7A1C7">
      <w:pPr>
        <w:pStyle w:val="ListParagraph"/>
        <w:numPr>
          <w:ilvl w:val="0"/>
          <w:numId w:val="2"/>
        </w:numPr>
        <w:spacing w:after="120"/>
        <w:contextualSpacing w:val="0"/>
      </w:pPr>
      <w:r>
        <w:t xml:space="preserve">Maintaining a database of emissions factors </w:t>
      </w:r>
      <w:r w:rsidR="00B63DE7">
        <w:t>(</w:t>
      </w:r>
      <w:r w:rsidRPr="008E5C9F" w:rsidR="008E5C9F">
        <w:rPr>
          <w:i/>
        </w:rPr>
        <w:t>e.g.</w:t>
      </w:r>
      <w:r w:rsidR="00B63DE7">
        <w:t xml:space="preserve">, WebFIRE) </w:t>
      </w:r>
      <w:r>
        <w:t>for use by states and the point sources regulated by states</w:t>
      </w:r>
      <w:r w:rsidR="000E3CF4">
        <w:t>;</w:t>
      </w:r>
    </w:p>
    <w:p w:rsidR="000E3CF4" w:rsidP="00724A63" w14:paraId="0EBB11F2" w14:textId="0FDA5A46">
      <w:pPr>
        <w:pStyle w:val="ListParagraph"/>
        <w:numPr>
          <w:ilvl w:val="0"/>
          <w:numId w:val="2"/>
        </w:numPr>
        <w:spacing w:after="120"/>
        <w:contextualSpacing w:val="0"/>
      </w:pPr>
      <w:r>
        <w:t>Developing guidance and training materials for states for each emissions inventory reporting cycle and maintaining communication through EPA’s website and other methods</w:t>
      </w:r>
      <w:r w:rsidR="00D42838">
        <w:t>,</w:t>
      </w:r>
      <w:r>
        <w:t xml:space="preserve"> including providing in-person</w:t>
      </w:r>
      <w:r w:rsidR="00D42838">
        <w:t xml:space="preserve">, </w:t>
      </w:r>
      <w:r>
        <w:t>webinar-based</w:t>
      </w:r>
      <w:r w:rsidR="00D42838">
        <w:t>, and self-guided online</w:t>
      </w:r>
      <w:r>
        <w:t xml:space="preserve"> training;</w:t>
      </w:r>
    </w:p>
    <w:p w:rsidR="00153550" w:rsidP="00724A63" w14:paraId="0AB417F5" w14:textId="5AC9E49B">
      <w:pPr>
        <w:pStyle w:val="ListParagraph"/>
        <w:numPr>
          <w:ilvl w:val="0"/>
          <w:numId w:val="2"/>
        </w:numPr>
        <w:spacing w:after="120"/>
        <w:contextualSpacing w:val="0"/>
      </w:pPr>
      <w:r>
        <w:t>Evaluating the adequacy of existing emissions estimation methods</w:t>
      </w:r>
      <w:r w:rsidR="000E3CF4">
        <w:t xml:space="preserve"> and models</w:t>
      </w:r>
      <w:r>
        <w:t xml:space="preserve">, developing method </w:t>
      </w:r>
      <w:r w:rsidR="000E3CF4">
        <w:t xml:space="preserve">and model </w:t>
      </w:r>
      <w:r>
        <w:t xml:space="preserve">revisions, and publishing updated methods </w:t>
      </w:r>
      <w:r w:rsidR="000E3CF4">
        <w:t xml:space="preserve">and models </w:t>
      </w:r>
      <w:r>
        <w:t>as appropriate</w:t>
      </w:r>
      <w:r w:rsidR="000E3CF4">
        <w:t>;</w:t>
      </w:r>
    </w:p>
    <w:p w:rsidR="00A17CAD" w:rsidP="00724A63" w14:paraId="7836A9BB" w14:textId="23C851C0">
      <w:pPr>
        <w:pStyle w:val="ListParagraph"/>
        <w:numPr>
          <w:ilvl w:val="0"/>
          <w:numId w:val="2"/>
        </w:numPr>
        <w:spacing w:after="120"/>
        <w:contextualSpacing w:val="0"/>
      </w:pPr>
      <w:r>
        <w:t xml:space="preserve">Preparing nonpoint emissions data for review and possible use by states; </w:t>
      </w:r>
    </w:p>
    <w:p w:rsidR="00A17CAD" w:rsidP="00724A63" w14:paraId="3D4E7FE0" w14:textId="5176A182">
      <w:pPr>
        <w:pStyle w:val="ListParagraph"/>
        <w:numPr>
          <w:ilvl w:val="0"/>
          <w:numId w:val="2"/>
        </w:numPr>
        <w:spacing w:after="120"/>
        <w:contextualSpacing w:val="0"/>
      </w:pPr>
      <w:r>
        <w:t>Preparing onroad and nonroad mobile model inputs</w:t>
      </w:r>
      <w:r w:rsidR="0065043C">
        <w:t xml:space="preserve"> for review and possible use by states</w:t>
      </w:r>
      <w:r>
        <w:t xml:space="preserve">; </w:t>
      </w:r>
    </w:p>
    <w:p w:rsidR="00A17CAD" w:rsidP="00724A63" w14:paraId="7C71D22C" w14:textId="5635580D">
      <w:pPr>
        <w:pStyle w:val="ListParagraph"/>
        <w:numPr>
          <w:ilvl w:val="0"/>
          <w:numId w:val="2"/>
        </w:numPr>
        <w:spacing w:after="120"/>
        <w:contextualSpacing w:val="0"/>
      </w:pPr>
      <w:r>
        <w:t xml:space="preserve">Preparing data for review of participating agencies, including landing and takeoff data at airports and fire activity data and emissions; </w:t>
      </w:r>
    </w:p>
    <w:p w:rsidR="002C01E6" w:rsidP="00724A63" w14:paraId="2DB0917B" w14:textId="1ED9099F">
      <w:pPr>
        <w:pStyle w:val="ListParagraph"/>
        <w:numPr>
          <w:ilvl w:val="0"/>
          <w:numId w:val="2"/>
        </w:numPr>
        <w:spacing w:after="120"/>
        <w:contextualSpacing w:val="0"/>
      </w:pPr>
      <w:r>
        <w:t xml:space="preserve">Receiving, reviewing, and storing emission inventory data submitted by each </w:t>
      </w:r>
      <w:r w:rsidR="00C26C44">
        <w:t>s</w:t>
      </w:r>
      <w:r>
        <w:t>tate;</w:t>
      </w:r>
    </w:p>
    <w:p w:rsidR="002C01E6" w:rsidP="00724A63" w14:paraId="03390EBA" w14:textId="45FFCBE9">
      <w:pPr>
        <w:pStyle w:val="ListParagraph"/>
        <w:numPr>
          <w:ilvl w:val="0"/>
          <w:numId w:val="2"/>
        </w:numPr>
        <w:spacing w:after="120"/>
        <w:contextualSpacing w:val="0"/>
      </w:pPr>
      <w:r>
        <w:t xml:space="preserve">Processing and updating data submitted by </w:t>
      </w:r>
      <w:r w:rsidR="00C26C44">
        <w:t>s</w:t>
      </w:r>
      <w:r>
        <w:t>tates, including performing quality assu</w:t>
      </w:r>
      <w:r w:rsidR="00C12129">
        <w:t>rance of data and coordinating</w:t>
      </w:r>
      <w:r>
        <w:t xml:space="preserve"> efforts to resolve errors and anomalies; </w:t>
      </w:r>
    </w:p>
    <w:p w:rsidR="00153550" w:rsidP="00724A63" w14:paraId="4F0EBC41" w14:textId="565E4E3D">
      <w:pPr>
        <w:pStyle w:val="ListParagraph"/>
        <w:numPr>
          <w:ilvl w:val="0"/>
          <w:numId w:val="2"/>
        </w:numPr>
        <w:spacing w:after="120"/>
        <w:contextualSpacing w:val="0"/>
      </w:pPr>
      <w:r>
        <w:t xml:space="preserve">Fulfilling </w:t>
      </w:r>
      <w:r w:rsidR="000E3CF4">
        <w:t xml:space="preserve">technical assistance and </w:t>
      </w:r>
      <w:r>
        <w:t>information requests</w:t>
      </w:r>
      <w:r w:rsidR="000E3CF4">
        <w:t>;</w:t>
      </w:r>
    </w:p>
    <w:p w:rsidR="000E3CF4" w:rsidP="00724A63" w14:paraId="53213CB7" w14:textId="22EFC0D6">
      <w:pPr>
        <w:pStyle w:val="ListParagraph"/>
        <w:numPr>
          <w:ilvl w:val="0"/>
          <w:numId w:val="2"/>
        </w:numPr>
        <w:spacing w:after="120"/>
        <w:contextualSpacing w:val="0"/>
      </w:pPr>
      <w:r w:rsidRPr="008474F2">
        <w:t xml:space="preserve">Developing technical </w:t>
      </w:r>
      <w:r>
        <w:t>documentation of the resulting emissions inventories created from compiling the collected data;</w:t>
      </w:r>
    </w:p>
    <w:p w:rsidR="00B63DE7" w:rsidP="00724A63" w14:paraId="669A2AAC" w14:textId="52252272">
      <w:pPr>
        <w:pStyle w:val="ListParagraph"/>
        <w:numPr>
          <w:ilvl w:val="0"/>
          <w:numId w:val="2"/>
        </w:numPr>
        <w:spacing w:after="120"/>
        <w:contextualSpacing w:val="0"/>
      </w:pPr>
      <w:r>
        <w:t xml:space="preserve">Maintaining the </w:t>
      </w:r>
      <w:r w:rsidR="000E3CF4">
        <w:t>EIS</w:t>
      </w:r>
      <w:r>
        <w:t xml:space="preserve"> and associated </w:t>
      </w:r>
      <w:r w:rsidR="000E3CF4">
        <w:t xml:space="preserve">electronic reporting approaches; </w:t>
      </w:r>
    </w:p>
    <w:p w:rsidR="009E011D" w:rsidP="00724A63" w14:paraId="6E1BD709" w14:textId="77777777">
      <w:pPr>
        <w:pStyle w:val="ListParagraph"/>
        <w:numPr>
          <w:ilvl w:val="0"/>
          <w:numId w:val="2"/>
        </w:numPr>
        <w:spacing w:after="120"/>
        <w:contextualSpacing w:val="0"/>
      </w:pPr>
      <w:r>
        <w:t xml:space="preserve">Developing, operating, and maintaining the CAERS; </w:t>
      </w:r>
    </w:p>
    <w:p w:rsidR="000E3CF4" w:rsidP="00724A63" w14:paraId="7826D006" w14:textId="25EFF9F5">
      <w:pPr>
        <w:pStyle w:val="ListParagraph"/>
        <w:numPr>
          <w:ilvl w:val="0"/>
          <w:numId w:val="2"/>
        </w:numPr>
        <w:spacing w:after="120"/>
        <w:contextualSpacing w:val="0"/>
      </w:pPr>
      <w:r>
        <w:t xml:space="preserve">Developing, operating, and maintaining the emissions estimation tool for small businesses; </w:t>
      </w:r>
      <w:r>
        <w:t>and</w:t>
      </w:r>
    </w:p>
    <w:p w:rsidR="000E3CF4" w:rsidRPr="008474F2" w:rsidP="00724A63" w14:paraId="09E3830A" w14:textId="787DA7FB">
      <w:pPr>
        <w:pStyle w:val="ListParagraph"/>
        <w:numPr>
          <w:ilvl w:val="0"/>
          <w:numId w:val="2"/>
        </w:numPr>
        <w:spacing w:after="120"/>
        <w:contextualSpacing w:val="0"/>
      </w:pPr>
      <w:r w:rsidRPr="008474F2">
        <w:t>Main</w:t>
      </w:r>
      <w:r>
        <w:t xml:space="preserve">taining reporting codes to use in emissions inventory databases to identify various aspects of emissions inventories such as emissions unit types, release point types, source category classifications, and geopolitical entities. </w:t>
      </w:r>
    </w:p>
    <w:p w:rsidR="00A43FA8" w:rsidP="009E08D8" w14:paraId="44BC0A04" w14:textId="16CB3F47">
      <w:r>
        <w:t xml:space="preserve"> </w:t>
      </w:r>
    </w:p>
    <w:p w:rsidR="00851193" w:rsidRPr="006A38E2" w:rsidP="009E08D8" w14:paraId="7ED9079F" w14:textId="24F620FC">
      <w:r w:rsidRPr="006A38E2">
        <w:t xml:space="preserve">The </w:t>
      </w:r>
      <w:r w:rsidRPr="006A38E2">
        <w:t xml:space="preserve">EPA’s costs </w:t>
      </w:r>
      <w:r w:rsidRPr="006A38E2">
        <w:t>that</w:t>
      </w:r>
      <w:r w:rsidRPr="006A38E2">
        <w:t xml:space="preserve"> relate to this collection can be grouped into </w:t>
      </w:r>
      <w:r w:rsidRPr="006A38E2" w:rsidR="00515807">
        <w:t xml:space="preserve">7 </w:t>
      </w:r>
      <w:r w:rsidRPr="006A38E2">
        <w:t>areas:</w:t>
      </w:r>
    </w:p>
    <w:p w:rsidR="00851193" w:rsidRPr="006A38E2" w:rsidP="009E08D8" w14:paraId="67065C0A" w14:textId="77777777"/>
    <w:p w:rsidR="00515807" w:rsidRPr="006A38E2" w:rsidP="00724A63" w14:paraId="51D85E17" w14:textId="698FC83E">
      <w:pPr>
        <w:pStyle w:val="ListParagraph"/>
        <w:numPr>
          <w:ilvl w:val="0"/>
          <w:numId w:val="5"/>
        </w:numPr>
        <w:spacing w:after="120"/>
        <w:contextualSpacing w:val="0"/>
      </w:pPr>
      <w:r w:rsidRPr="006A38E2">
        <w:t>Maintaining a database of emissions factors for use by states and the point sources regulated by states</w:t>
      </w:r>
      <w:r w:rsidR="00911428">
        <w:t>;</w:t>
      </w:r>
    </w:p>
    <w:p w:rsidR="00851193" w:rsidRPr="006A38E2" w:rsidP="00724A63" w14:paraId="7A05E071" w14:textId="61F01326">
      <w:pPr>
        <w:pStyle w:val="ListParagraph"/>
        <w:numPr>
          <w:ilvl w:val="0"/>
          <w:numId w:val="5"/>
        </w:numPr>
        <w:spacing w:after="120"/>
        <w:contextualSpacing w:val="0"/>
      </w:pPr>
      <w:r w:rsidRPr="006A38E2">
        <w:t>EIS annual operation and maintenance costs</w:t>
      </w:r>
      <w:r w:rsidRPr="006A38E2">
        <w:t>;</w:t>
      </w:r>
    </w:p>
    <w:p w:rsidR="00B63DE7" w:rsidP="000312F2" w14:paraId="016AEFC2" w14:textId="4B3BA7EA">
      <w:pPr>
        <w:pStyle w:val="ListParagraph"/>
        <w:numPr>
          <w:ilvl w:val="0"/>
          <w:numId w:val="5"/>
        </w:numPr>
        <w:spacing w:after="120"/>
        <w:contextualSpacing w:val="0"/>
      </w:pPr>
      <w:r>
        <w:t>CAERS annual development, operation, and maintenance costs;</w:t>
      </w:r>
    </w:p>
    <w:p w:rsidR="00A42F5E" w:rsidRPr="006A38E2" w:rsidP="000312F2" w14:paraId="5DC29323" w14:textId="4168A41D">
      <w:pPr>
        <w:pStyle w:val="ListParagraph"/>
        <w:numPr>
          <w:ilvl w:val="0"/>
          <w:numId w:val="5"/>
        </w:numPr>
        <w:spacing w:after="120"/>
        <w:contextualSpacing w:val="0"/>
      </w:pPr>
      <w:r w:rsidRPr="006A38E2">
        <w:t xml:space="preserve">Preparing and providing </w:t>
      </w:r>
      <w:r w:rsidRPr="006A38E2" w:rsidR="00515807">
        <w:t xml:space="preserve">guidance, plans, and </w:t>
      </w:r>
      <w:r w:rsidRPr="006A38E2">
        <w:t xml:space="preserve">training to states; </w:t>
      </w:r>
    </w:p>
    <w:p w:rsidR="00515807" w:rsidRPr="006A38E2" w:rsidP="000312F2" w14:paraId="056A3F74" w14:textId="074EC17B">
      <w:pPr>
        <w:pStyle w:val="ListParagraph"/>
        <w:numPr>
          <w:ilvl w:val="0"/>
          <w:numId w:val="5"/>
        </w:numPr>
        <w:spacing w:after="120"/>
        <w:contextualSpacing w:val="0"/>
      </w:pPr>
      <w:r w:rsidRPr="006A38E2">
        <w:t xml:space="preserve">Revising emissions estimation methods </w:t>
      </w:r>
      <w:r w:rsidRPr="006A38E2" w:rsidR="00B9736A">
        <w:t xml:space="preserve">and models </w:t>
      </w:r>
      <w:r w:rsidRPr="006A38E2">
        <w:t>to reflect the best available science</w:t>
      </w:r>
      <w:r w:rsidRPr="006A38E2" w:rsidR="00A50753">
        <w:t>, including mobile model updates related solely to support of AERR implementation</w:t>
      </w:r>
      <w:r w:rsidRPr="006A38E2">
        <w:t>;</w:t>
      </w:r>
    </w:p>
    <w:p w:rsidR="00362A07" w:rsidRPr="006A38E2" w:rsidP="000312F2" w14:paraId="72F39DF0" w14:textId="4AF69B85">
      <w:pPr>
        <w:pStyle w:val="ListParagraph"/>
        <w:numPr>
          <w:ilvl w:val="0"/>
          <w:numId w:val="5"/>
        </w:numPr>
        <w:spacing w:after="120"/>
        <w:contextualSpacing w:val="0"/>
      </w:pPr>
      <w:r w:rsidRPr="006A38E2">
        <w:t xml:space="preserve">Preparing draft nonpoint emissions and mobile-source model inputs; </w:t>
      </w:r>
    </w:p>
    <w:p w:rsidR="00851193" w:rsidRPr="006A38E2" w:rsidP="000312F2" w14:paraId="4CA227B3" w14:textId="1DE5CD81">
      <w:pPr>
        <w:pStyle w:val="ListParagraph"/>
        <w:numPr>
          <w:ilvl w:val="0"/>
          <w:numId w:val="5"/>
        </w:numPr>
        <w:spacing w:after="120"/>
        <w:contextualSpacing w:val="0"/>
      </w:pPr>
      <w:r w:rsidRPr="006A38E2">
        <w:t>Review</w:t>
      </w:r>
      <w:r w:rsidRPr="006A38E2" w:rsidR="001B4899">
        <w:t xml:space="preserve">, </w:t>
      </w:r>
      <w:r w:rsidRPr="006A38E2">
        <w:t>documentation</w:t>
      </w:r>
      <w:r w:rsidRPr="006A38E2" w:rsidR="001B4899">
        <w:t>, and publication</w:t>
      </w:r>
      <w:r w:rsidRPr="006A38E2">
        <w:t xml:space="preserve"> of data; and</w:t>
      </w:r>
    </w:p>
    <w:p w:rsidR="00851193" w:rsidRPr="006A38E2" w:rsidP="00F17B08" w14:paraId="03D9E61B" w14:textId="4F0B8131">
      <w:pPr>
        <w:pStyle w:val="ListParagraph"/>
        <w:numPr>
          <w:ilvl w:val="0"/>
          <w:numId w:val="5"/>
        </w:numPr>
      </w:pPr>
      <w:r w:rsidRPr="006A38E2">
        <w:t>Information requests.</w:t>
      </w:r>
    </w:p>
    <w:p w:rsidR="00851193" w:rsidRPr="006A38E2" w:rsidP="009E08D8" w14:paraId="595D58BF" w14:textId="6950445B"/>
    <w:p w:rsidR="00EF119D" w:rsidRPr="006A38E2" w:rsidP="009E08D8" w14:paraId="08C052A9" w14:textId="1D9868E4">
      <w:bookmarkStart w:id="43" w:name="_Hlk524678366"/>
      <w:r w:rsidRPr="006A38E2">
        <w:t xml:space="preserve">As of fiscal </w:t>
      </w:r>
      <w:r w:rsidRPr="006A38E2" w:rsidR="00A1497D">
        <w:t>year</w:t>
      </w:r>
      <w:r w:rsidRPr="006A38E2">
        <w:t xml:space="preserve"> </w:t>
      </w:r>
      <w:r w:rsidRPr="006A38E2" w:rsidR="00515807">
        <w:t>202</w:t>
      </w:r>
      <w:r w:rsidR="00D65DF5">
        <w:t>2</w:t>
      </w:r>
      <w:r w:rsidRPr="006A38E2" w:rsidR="00515807">
        <w:t>, the annual operation and maintenance costs for EPA’s efforts to maintain emissions factors i</w:t>
      </w:r>
      <w:r w:rsidRPr="006A38E2">
        <w:t>n support of the NEI program is 2 FTE positions.</w:t>
      </w:r>
      <w:r w:rsidR="00523CED">
        <w:t xml:space="preserve"> </w:t>
      </w:r>
      <w:r w:rsidRPr="006A38E2" w:rsidR="004C55CC">
        <w:t>No data system costs for the emissions factor program are included in this ICR</w:t>
      </w:r>
      <w:r w:rsidR="00DA03C3">
        <w:t xml:space="preserve"> because these costs are covered in the ICR for the CEDRI system</w:t>
      </w:r>
      <w:r w:rsidRPr="006A38E2" w:rsidR="004C55CC">
        <w:t>.</w:t>
      </w:r>
    </w:p>
    <w:p w:rsidR="00515807" w:rsidRPr="006A38E2" w:rsidP="009E08D8" w14:paraId="737888B4" w14:textId="77777777"/>
    <w:p w:rsidR="00851193" w:rsidP="009E08D8" w14:paraId="6D228767" w14:textId="1E4D5E94">
      <w:r w:rsidRPr="006A38E2">
        <w:t xml:space="preserve">As of fiscal </w:t>
      </w:r>
      <w:r w:rsidRPr="006A38E2" w:rsidR="00A1497D">
        <w:t>year</w:t>
      </w:r>
      <w:r w:rsidRPr="006A38E2">
        <w:t xml:space="preserve"> 20</w:t>
      </w:r>
      <w:r w:rsidRPr="006A38E2" w:rsidR="00515807">
        <w:t>2</w:t>
      </w:r>
      <w:r w:rsidR="00DA03C3">
        <w:t>2</w:t>
      </w:r>
      <w:r w:rsidRPr="006A38E2">
        <w:t xml:space="preserve">, the </w:t>
      </w:r>
      <w:r w:rsidRPr="006A38E2" w:rsidR="006215D5">
        <w:t xml:space="preserve">EIS </w:t>
      </w:r>
      <w:r w:rsidRPr="006A38E2">
        <w:t>annual operation and mainte</w:t>
      </w:r>
      <w:r w:rsidRPr="006A38E2" w:rsidR="00E82FEE">
        <w:t>nance costs are estimated to be</w:t>
      </w:r>
      <w:r w:rsidRPr="006A38E2">
        <w:t>:</w:t>
      </w:r>
      <w:r w:rsidR="00523CED">
        <w:t xml:space="preserve"> </w:t>
      </w:r>
      <w:r w:rsidRPr="006A38E2" w:rsidR="006215D5">
        <w:t>2</w:t>
      </w:r>
      <w:r w:rsidRPr="006A38E2">
        <w:t>.</w:t>
      </w:r>
      <w:r w:rsidRPr="006A38E2" w:rsidR="00A8730C">
        <w:t>7</w:t>
      </w:r>
      <w:r w:rsidRPr="006A38E2">
        <w:t xml:space="preserve"> FTE positions, $300</w:t>
      </w:r>
      <w:r w:rsidRPr="006A38E2" w:rsidR="006D1B03">
        <w:t>,000</w:t>
      </w:r>
      <w:r w:rsidRPr="006A38E2">
        <w:t xml:space="preserve"> in Working Capital Funds and $</w:t>
      </w:r>
      <w:r w:rsidRPr="006A38E2" w:rsidR="00BE5F17">
        <w:t>625</w:t>
      </w:r>
      <w:r w:rsidRPr="006A38E2" w:rsidR="006D1B03">
        <w:t>,000</w:t>
      </w:r>
      <w:r w:rsidRPr="006A38E2">
        <w:t xml:space="preserve"> for an </w:t>
      </w:r>
      <w:r w:rsidRPr="006A38E2" w:rsidR="000E3908">
        <w:t>i</w:t>
      </w:r>
      <w:r w:rsidRPr="006A38E2">
        <w:t xml:space="preserve">nformation </w:t>
      </w:r>
      <w:r w:rsidRPr="006A38E2" w:rsidR="000E3908">
        <w:t>t</w:t>
      </w:r>
      <w:r w:rsidRPr="006A38E2">
        <w:t>echnology contractor.</w:t>
      </w:r>
      <w:bookmarkEnd w:id="43"/>
    </w:p>
    <w:p w:rsidR="00B63DE7" w:rsidP="009E08D8" w14:paraId="52C11DFB" w14:textId="19AF492D"/>
    <w:p w:rsidR="00B63DE7" w:rsidP="009E08D8" w14:paraId="7496FEB0" w14:textId="703A22E3">
      <w:r>
        <w:t>As of fiscal 202</w:t>
      </w:r>
      <w:r w:rsidR="00DA03C3">
        <w:t>2</w:t>
      </w:r>
      <w:r>
        <w:t>, the CAERS annual development, operation, and maintenance costs are estimated to be: 3 FTE positions and $1,200,000 for information technology contracting support</w:t>
      </w:r>
      <w:r w:rsidR="001110F5">
        <w:t>. The EPA</w:t>
      </w:r>
      <w:r w:rsidR="00BE2696">
        <w:t xml:space="preserve"> assumes an additional $300,000 in Working Capital Funds for capital costs associated with CAERS.</w:t>
      </w:r>
    </w:p>
    <w:p w:rsidR="009E011D" w:rsidP="009E08D8" w14:paraId="119A6EFB" w14:textId="6CA0592B"/>
    <w:p w:rsidR="009E011D" w:rsidRPr="006A38E2" w:rsidP="009E08D8" w14:paraId="5E89AA20" w14:textId="463CCCBE">
      <w:r>
        <w:t>The projected estimated annual development cost for the emissions estimation tool, identified as part of reducing burden for small businesses, is estimated to be 0.5 FTE and $400,000 for data analysis (of emission factors for facility-wide emissions estimations) and information technology contracting support.</w:t>
      </w:r>
      <w:r w:rsidR="00BE2696">
        <w:t xml:space="preserve"> No additional capital costs associated with this tool are included because EPA expects to build this tool as a module of CAERS.</w:t>
      </w:r>
    </w:p>
    <w:p w:rsidR="00851193" w:rsidRPr="006A38E2" w:rsidP="009E08D8" w14:paraId="60B16976" w14:textId="2C12E1EC"/>
    <w:p w:rsidR="00A50753" w:rsidRPr="006A38E2" w:rsidP="009E08D8" w14:paraId="6B71EDAD" w14:textId="357529AE">
      <w:r w:rsidRPr="006A38E2">
        <w:t>The labor costs of preparing and providing guidance, plans and training to states is 1 FTE annually.</w:t>
      </w:r>
    </w:p>
    <w:p w:rsidR="00A50753" w:rsidRPr="006A38E2" w:rsidP="009E08D8" w14:paraId="3EFDDCF8" w14:textId="4BCE302A"/>
    <w:p w:rsidR="00A50753" w:rsidRPr="006A38E2" w:rsidP="009E08D8" w14:paraId="401A9206" w14:textId="6ACCC11D">
      <w:r w:rsidRPr="006A38E2">
        <w:t>The labor costs of reviewing and revising emissions estimation methods and models to reflect the best available science for nonpoint emissions methods is 2 FTE annually.</w:t>
      </w:r>
      <w:r w:rsidR="00523CED">
        <w:t xml:space="preserve"> </w:t>
      </w:r>
    </w:p>
    <w:p w:rsidR="00A50753" w:rsidRPr="006A38E2" w:rsidP="009E08D8" w14:paraId="5C271CFC" w14:textId="77777777"/>
    <w:p w:rsidR="001B4899" w:rsidRPr="006A38E2" w:rsidP="009E08D8" w14:paraId="1BE48283" w14:textId="1329D0BD">
      <w:r w:rsidRPr="006A38E2">
        <w:t xml:space="preserve">The </w:t>
      </w:r>
      <w:r w:rsidRPr="006A38E2" w:rsidR="003C5230">
        <w:t xml:space="preserve">labor </w:t>
      </w:r>
      <w:r w:rsidRPr="006A38E2">
        <w:t>costs of preparing draft nonpoint emissions and mobile-source model inputs include the costs associated with developing updated emissions methods, overseeing contractor resources, quality assuring contractor results, developing documentation, and distributing data and draft documentation to states.</w:t>
      </w:r>
      <w:r w:rsidR="00523CED">
        <w:t xml:space="preserve"> </w:t>
      </w:r>
      <w:r w:rsidRPr="006A38E2" w:rsidR="00851193">
        <w:t xml:space="preserve">The costs of </w:t>
      </w:r>
      <w:r w:rsidRPr="006A38E2" w:rsidR="006215D5">
        <w:t>review</w:t>
      </w:r>
      <w:r w:rsidRPr="006A38E2" w:rsidR="00851193">
        <w:t xml:space="preserve">ing data submitted by </w:t>
      </w:r>
      <w:r w:rsidRPr="006A38E2" w:rsidR="00722851">
        <w:t>s</w:t>
      </w:r>
      <w:r w:rsidRPr="006A38E2" w:rsidR="00851193">
        <w:t xml:space="preserve">tates include costs relating to data </w:t>
      </w:r>
      <w:r w:rsidRPr="006A38E2" w:rsidR="006215D5">
        <w:t>review</w:t>
      </w:r>
      <w:r w:rsidRPr="006A38E2" w:rsidR="00851193">
        <w:t xml:space="preserve">, coordination of efforts to resolve any errors or anomalies, and updating of the </w:t>
      </w:r>
      <w:r w:rsidRPr="006A38E2" w:rsidR="00FE0982">
        <w:t xml:space="preserve">data </w:t>
      </w:r>
      <w:r w:rsidRPr="006A38E2" w:rsidR="00851193">
        <w:t>after the quality assurance and reconciliation assurance efforts have been completed.</w:t>
      </w:r>
      <w:r w:rsidR="00523CED">
        <w:t xml:space="preserve"> </w:t>
      </w:r>
      <w:bookmarkStart w:id="44" w:name="_Hlk524684894"/>
      <w:r w:rsidRPr="006A38E2">
        <w:t xml:space="preserve">The costs associated with </w:t>
      </w:r>
      <w:r w:rsidRPr="006A38E2" w:rsidR="00A50753">
        <w:t>technical</w:t>
      </w:r>
      <w:r w:rsidRPr="006A38E2">
        <w:t xml:space="preserve"> documentation include</w:t>
      </w:r>
      <w:r w:rsidRPr="006A38E2" w:rsidR="00E82FEE">
        <w:t xml:space="preserve">: </w:t>
      </w:r>
      <w:r w:rsidRPr="006A38E2">
        <w:t xml:space="preserve">compiling summaries of emissions, reviewing methods documents and notes, word processing, and </w:t>
      </w:r>
      <w:r w:rsidR="00644A14">
        <w:t xml:space="preserve">section </w:t>
      </w:r>
      <w:r w:rsidRPr="006A38E2">
        <w:t>508 compliance steps.</w:t>
      </w:r>
      <w:r w:rsidR="00523CED">
        <w:t xml:space="preserve"> </w:t>
      </w:r>
      <w:r w:rsidRPr="006A38E2">
        <w:t xml:space="preserve">For these activities, </w:t>
      </w:r>
      <w:r w:rsidR="00204E7E">
        <w:t>EPA</w:t>
      </w:r>
      <w:r w:rsidRPr="006A38E2" w:rsidR="00A50753">
        <w:t xml:space="preserve"> </w:t>
      </w:r>
      <w:r w:rsidRPr="006A38E2">
        <w:t xml:space="preserve">requires approximately 1 </w:t>
      </w:r>
      <w:r w:rsidRPr="006A38E2">
        <w:t>FTE for point sources, 1.3 FTE for mobile sources, and 3 FTE for nonpoint sources to prepare draft data and review data submitted by states.</w:t>
      </w:r>
      <w:r w:rsidR="00523CED">
        <w:t xml:space="preserve"> </w:t>
      </w:r>
      <w:r w:rsidRPr="006A38E2" w:rsidR="003C4B6A">
        <w:t>In</w:t>
      </w:r>
      <w:r w:rsidRPr="006A38E2">
        <w:t xml:space="preserve"> addition, the OAQPS requires 1 FTE for information requests.</w:t>
      </w:r>
      <w:r w:rsidR="00523CED">
        <w:t xml:space="preserve"> </w:t>
      </w:r>
      <w:r w:rsidRPr="006A38E2" w:rsidR="00DF13E0">
        <w:t>The EPA also incurs a $</w:t>
      </w:r>
      <w:r w:rsidRPr="006A38E2" w:rsidR="00A50753">
        <w:t>8</w:t>
      </w:r>
      <w:r w:rsidRPr="006A38E2" w:rsidR="00DF13E0">
        <w:t>00,000 annual cost to have environmental engineering contractors assist with developing emissions methods, building data tools, and keeping input data current.</w:t>
      </w:r>
    </w:p>
    <w:p w:rsidR="001B4899" w:rsidRPr="006A38E2" w:rsidP="009E08D8" w14:paraId="64C28C91" w14:textId="77777777"/>
    <w:p w:rsidR="00A42F5E" w:rsidRPr="006A38E2" w:rsidP="009E08D8" w14:paraId="687E57FF" w14:textId="2D130DED">
      <w:r w:rsidRPr="006A38E2">
        <w:t xml:space="preserve">In addition to the primary roles within OAQPS, </w:t>
      </w:r>
      <w:r w:rsidR="00204E7E">
        <w:t>EPA</w:t>
      </w:r>
      <w:r w:rsidRPr="006A38E2">
        <w:t xml:space="preserve"> </w:t>
      </w:r>
      <w:r w:rsidRPr="006A38E2" w:rsidR="00851193">
        <w:t xml:space="preserve">Regional Offices annually use about </w:t>
      </w:r>
      <w:r w:rsidRPr="006A38E2" w:rsidR="00A8730C">
        <w:t>1</w:t>
      </w:r>
      <w:r w:rsidRPr="006A38E2" w:rsidR="00851193">
        <w:t xml:space="preserve"> FTE </w:t>
      </w:r>
      <w:r w:rsidRPr="006A38E2" w:rsidR="006D1B03">
        <w:t xml:space="preserve">in total across the </w:t>
      </w:r>
      <w:r w:rsidRPr="006A38E2" w:rsidR="00722851">
        <w:t>10</w:t>
      </w:r>
      <w:r w:rsidRPr="006A38E2" w:rsidR="006D1B03">
        <w:t xml:space="preserve"> Regions </w:t>
      </w:r>
      <w:r w:rsidRPr="006A38E2" w:rsidR="00851193">
        <w:t xml:space="preserve">to coordinate </w:t>
      </w:r>
      <w:r w:rsidRPr="006A38E2" w:rsidR="00722851">
        <w:t>s</w:t>
      </w:r>
      <w:r w:rsidRPr="006A38E2" w:rsidR="00851193">
        <w:t xml:space="preserve">tate efforts in making their submissions, quality reviews, and </w:t>
      </w:r>
      <w:r w:rsidRPr="006A38E2" w:rsidR="00870502">
        <w:t>outreach and communication on behalf of the data collection program</w:t>
      </w:r>
      <w:r w:rsidRPr="006A38E2" w:rsidR="00851193">
        <w:t>.</w:t>
      </w:r>
      <w:bookmarkEnd w:id="44"/>
    </w:p>
    <w:p w:rsidR="00A42F5E" w:rsidRPr="006A38E2" w:rsidP="009E08D8" w14:paraId="6B506B8B" w14:textId="77777777"/>
    <w:p w:rsidR="00A42F5E" w:rsidP="009E08D8" w14:paraId="4C5D0FB0" w14:textId="50D93004">
      <w:r w:rsidRPr="006A38E2">
        <w:t>Thus</w:t>
      </w:r>
      <w:r w:rsidRPr="006A38E2" w:rsidR="005707EB">
        <w:t>,</w:t>
      </w:r>
      <w:r w:rsidRPr="006A38E2">
        <w:t xml:space="preserve"> the total </w:t>
      </w:r>
      <w:r w:rsidRPr="006A38E2" w:rsidR="009F58E3">
        <w:t xml:space="preserve">number of EPA FTEs is </w:t>
      </w:r>
      <w:r w:rsidRPr="006A38E2" w:rsidR="00870502">
        <w:t>1</w:t>
      </w:r>
      <w:r w:rsidR="00B63DE7">
        <w:t>8</w:t>
      </w:r>
      <w:r w:rsidR="009E011D">
        <w:t>.5</w:t>
      </w:r>
      <w:r w:rsidRPr="006A38E2" w:rsidR="00A8730C">
        <w:t xml:space="preserve"> (</w:t>
      </w:r>
      <w:r w:rsidR="009E011D">
        <w:t>6</w:t>
      </w:r>
      <w:r w:rsidRPr="006A38E2" w:rsidR="00A8730C">
        <w:t>.</w:t>
      </w:r>
      <w:r w:rsidR="009E011D">
        <w:t>2</w:t>
      </w:r>
      <w:r w:rsidRPr="006A38E2" w:rsidR="00A8730C">
        <w:t xml:space="preserve"> for the </w:t>
      </w:r>
      <w:r w:rsidR="00B63DE7">
        <w:t>data systems</w:t>
      </w:r>
      <w:r w:rsidRPr="006A38E2" w:rsidR="00A8730C">
        <w:t xml:space="preserve"> and </w:t>
      </w:r>
      <w:r w:rsidRPr="006A38E2" w:rsidR="00884778">
        <w:t>12</w:t>
      </w:r>
      <w:r w:rsidRPr="006A38E2" w:rsidR="009F58E3">
        <w:t>.3</w:t>
      </w:r>
      <w:r w:rsidRPr="006A38E2" w:rsidR="00A8730C">
        <w:t xml:space="preserve"> for </w:t>
      </w:r>
      <w:r w:rsidRPr="006A38E2" w:rsidR="00870502">
        <w:t xml:space="preserve">outreach, </w:t>
      </w:r>
      <w:r w:rsidRPr="006A38E2" w:rsidR="00A8730C">
        <w:t>data methods, handling, and publication)</w:t>
      </w:r>
      <w:r w:rsidRPr="006A38E2" w:rsidR="009F58E3">
        <w:t>.</w:t>
      </w:r>
      <w:r w:rsidR="00523CED">
        <w:t xml:space="preserve"> </w:t>
      </w:r>
      <w:r w:rsidRPr="006A38E2" w:rsidR="009F58E3">
        <w:t>Since most of the FTEs for this estimate work in Research Triangle Park, North Carolina, we used the pay rates from the General Services Administration (GSA) with locality adjustment for the Raleigh-Durham-Chapel Hill area.</w:t>
      </w:r>
      <w:r w:rsidR="00523CED">
        <w:t xml:space="preserve"> </w:t>
      </w:r>
      <w:r w:rsidRPr="00DA03C3" w:rsidR="009F58E3">
        <w:t xml:space="preserve">We conservatively estimated that the average EPA worker for </w:t>
      </w:r>
      <w:r w:rsidRPr="00DA03C3" w:rsidR="00EE66DF">
        <w:t>these purposes is a GS-1</w:t>
      </w:r>
      <w:r w:rsidRPr="00DA03C3" w:rsidR="00A50753">
        <w:t>3</w:t>
      </w:r>
      <w:r w:rsidRPr="00DA03C3" w:rsidR="00375CB0">
        <w:t>, step 7</w:t>
      </w:r>
      <w:r w:rsidRPr="00DA03C3" w:rsidR="00EE66DF">
        <w:t xml:space="preserve"> with a salary rate of $117,</w:t>
      </w:r>
      <w:r w:rsidRPr="00DA03C3" w:rsidR="00DA03C3">
        <w:t>866</w:t>
      </w:r>
      <w:r w:rsidRPr="00DA03C3" w:rsidR="00EE66DF">
        <w:t xml:space="preserve"> per year</w:t>
      </w:r>
      <w:r w:rsidRPr="00DA03C3" w:rsidR="00375CB0">
        <w:t xml:space="preserve">. </w:t>
      </w:r>
      <w:r w:rsidRPr="006A38E2" w:rsidR="00EE66DF">
        <w:t>In addition, a 26</w:t>
      </w:r>
      <w:r w:rsidRPr="006A38E2" w:rsidR="00E82FEE">
        <w:t xml:space="preserve"> percent</w:t>
      </w:r>
      <w:r w:rsidRPr="006A38E2" w:rsidR="00EE66DF">
        <w:t xml:space="preserve"> increase in this amount was included to adjust for benefits paid by the government.</w:t>
      </w:r>
      <w:r w:rsidRPr="006A38E2" w:rsidR="005707EB">
        <w:t xml:space="preserve"> </w:t>
      </w:r>
      <w:r w:rsidRPr="006A38E2" w:rsidR="00EE66DF">
        <w:t>The resulting annual FTE cost assumed is rounded to the nearest thousand dollars to $14</w:t>
      </w:r>
      <w:r w:rsidR="00DA03C3">
        <w:t>9</w:t>
      </w:r>
      <w:r w:rsidRPr="006A38E2" w:rsidR="00EE66DF">
        <w:t>,000.</w:t>
      </w:r>
      <w:r w:rsidRPr="006A38E2" w:rsidR="00A8730C">
        <w:t xml:space="preserve"> Thus, the total resulting EPA annual </w:t>
      </w:r>
      <w:r w:rsidRPr="006A38E2" w:rsidR="00523CED">
        <w:t>impact for 1</w:t>
      </w:r>
      <w:r w:rsidR="00523CED">
        <w:t>8</w:t>
      </w:r>
      <w:r w:rsidR="009E011D">
        <w:t>.5</w:t>
      </w:r>
      <w:r w:rsidRPr="006A38E2" w:rsidR="00523CED">
        <w:t xml:space="preserve"> FTE is 3</w:t>
      </w:r>
      <w:r w:rsidR="00523CED">
        <w:t>7</w:t>
      </w:r>
      <w:r w:rsidRPr="006A38E2" w:rsidR="00523CED">
        <w:t>,</w:t>
      </w:r>
      <w:r w:rsidR="00523CED">
        <w:t>440</w:t>
      </w:r>
      <w:r w:rsidRPr="006A38E2" w:rsidR="00523CED">
        <w:t xml:space="preserve"> hours and $</w:t>
      </w:r>
      <w:r w:rsidR="00523CED">
        <w:t>2,6</w:t>
      </w:r>
      <w:r w:rsidR="00DA03C3">
        <w:t>82</w:t>
      </w:r>
      <w:r w:rsidR="00523CED">
        <w:t>,000</w:t>
      </w:r>
      <w:r w:rsidRPr="006A38E2" w:rsidR="00523CED">
        <w:t>.</w:t>
      </w:r>
    </w:p>
    <w:p w:rsidR="00B645C8" w:rsidRPr="006A38E2" w:rsidP="009E08D8" w14:paraId="27EA9DC6" w14:textId="77777777"/>
    <w:p w:rsidR="00A42F5E" w:rsidP="009E08D8" w14:paraId="2B695493" w14:textId="3D94FB3A">
      <w:r w:rsidRPr="00B645C8">
        <w:fldChar w:fldCharType="begin"/>
      </w:r>
      <w:r w:rsidRPr="00B645C8">
        <w:instrText xml:space="preserve"> REF _Ref116734839 \h  \* MERGEFORMAT </w:instrText>
      </w:r>
      <w:r w:rsidRPr="00B645C8">
        <w:fldChar w:fldCharType="separate"/>
      </w:r>
      <w:r w:rsidRPr="0020098E" w:rsidR="00646F0F">
        <w:t xml:space="preserve">Table </w:t>
      </w:r>
      <w:r w:rsidR="00646F0F">
        <w:rPr>
          <w:noProof/>
        </w:rPr>
        <w:t>14</w:t>
      </w:r>
      <w:r w:rsidRPr="00B645C8">
        <w:fldChar w:fldCharType="end"/>
      </w:r>
      <w:r>
        <w:t xml:space="preserve"> summari</w:t>
      </w:r>
      <w:r w:rsidR="00911428">
        <w:t>z</w:t>
      </w:r>
      <w:r>
        <w:t xml:space="preserve">es the government costs along with the respondent costs from the previous sections. For SLT costs, the assumptions about SLT </w:t>
      </w:r>
      <w:r w:rsidR="002D437A">
        <w:t>for</w:t>
      </w:r>
      <w:r>
        <w:t xml:space="preserve"> CAERS usage are included, but voluntary activities </w:t>
      </w:r>
      <w:r w:rsidR="002D437A">
        <w:t xml:space="preserve">including preparations for adopting HAP reporting requirements </w:t>
      </w:r>
      <w:r w:rsidR="00810754">
        <w:t xml:space="preserve">and reporting HAP voluntarily </w:t>
      </w:r>
      <w:r>
        <w:t>are not included. For owners/operators, the costs of both the required activities are included, but not</w:t>
      </w:r>
      <w:r w:rsidR="00810754">
        <w:t xml:space="preserve"> the other optional costs or </w:t>
      </w:r>
      <w:r>
        <w:t>the costs of the voluntary activities</w:t>
      </w:r>
      <w:r w:rsidR="002D437A">
        <w:t xml:space="preserve"> for rail companies to provide data</w:t>
      </w:r>
      <w:r>
        <w:t>.</w:t>
      </w:r>
      <w:r w:rsidR="00BE2696">
        <w:t xml:space="preserve"> The annual capital costs for EPA sum together the $300,000 each for EIS and CAERS.</w:t>
      </w:r>
    </w:p>
    <w:p w:rsidR="00B645C8" w:rsidRPr="006A38E2" w:rsidP="009E08D8" w14:paraId="1FDC62CB" w14:textId="77777777"/>
    <w:p w:rsidR="00851193" w:rsidRPr="005707EB" w:rsidP="00DA03C3" w14:paraId="05C67F0B" w14:textId="52DA50C3">
      <w:pPr>
        <w:pStyle w:val="Caption"/>
      </w:pPr>
      <w:bookmarkStart w:id="45" w:name="_Ref116734839"/>
      <w:r w:rsidRPr="0020098E">
        <w:t xml:space="preserve">Table </w:t>
      </w:r>
      <w:r w:rsidR="00E05ECE">
        <w:fldChar w:fldCharType="begin"/>
      </w:r>
      <w:r w:rsidR="00E05ECE">
        <w:instrText xml:space="preserve"> SEQ Table \* ARABIC </w:instrText>
      </w:r>
      <w:r w:rsidR="00E05ECE">
        <w:fldChar w:fldCharType="separate"/>
      </w:r>
      <w:r w:rsidR="00646F0F">
        <w:rPr>
          <w:noProof/>
        </w:rPr>
        <w:t>14</w:t>
      </w:r>
      <w:r w:rsidR="00E05ECE">
        <w:rPr>
          <w:noProof/>
        </w:rPr>
        <w:fldChar w:fldCharType="end"/>
      </w:r>
      <w:bookmarkEnd w:id="45"/>
      <w:r w:rsidRPr="0020098E">
        <w:t xml:space="preserve">: </w:t>
      </w:r>
      <w:r w:rsidRPr="0020098E">
        <w:t>T</w:t>
      </w:r>
      <w:r w:rsidRPr="005707EB">
        <w:t xml:space="preserve">otal Estimated Respondent </w:t>
      </w:r>
      <w:r w:rsidR="00450598">
        <w:t xml:space="preserve">and EPA </w:t>
      </w:r>
      <w:r w:rsidRPr="005707EB">
        <w:t>Burden and Cost Summary</w:t>
      </w:r>
    </w:p>
    <w:tbl>
      <w:tblPr>
        <w:tblW w:w="9305" w:type="dxa"/>
        <w:tblLook w:val="04A0"/>
      </w:tblPr>
      <w:tblGrid>
        <w:gridCol w:w="3766"/>
        <w:gridCol w:w="1398"/>
        <w:gridCol w:w="1437"/>
        <w:gridCol w:w="1259"/>
        <w:gridCol w:w="1445"/>
      </w:tblGrid>
      <w:tr w14:paraId="166D8390" w14:textId="77777777" w:rsidTr="002D437A">
        <w:tblPrEx>
          <w:tblW w:w="9305" w:type="dxa"/>
          <w:tblLook w:val="04A0"/>
        </w:tblPrEx>
        <w:trPr>
          <w:trHeight w:val="590"/>
        </w:trPr>
        <w:tc>
          <w:tcPr>
            <w:tcW w:w="37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45C8" w:rsidRPr="00B645C8" w:rsidP="00B645C8" w14:paraId="780C577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B645C8">
              <w:rPr>
                <w:rFonts w:ascii="Calibri" w:hAnsi="Calibri" w:cs="Calibri"/>
                <w:b/>
                <w:bCs/>
                <w:color w:val="000000"/>
                <w:szCs w:val="22"/>
              </w:rPr>
              <w:t>Burden Element/Cost</w:t>
            </w:r>
          </w:p>
        </w:tc>
        <w:tc>
          <w:tcPr>
            <w:tcW w:w="1398" w:type="dxa"/>
            <w:tcBorders>
              <w:top w:val="single" w:sz="8" w:space="0" w:color="auto"/>
              <w:left w:val="nil"/>
              <w:bottom w:val="single" w:sz="8" w:space="0" w:color="auto"/>
              <w:right w:val="single" w:sz="8" w:space="0" w:color="auto"/>
            </w:tcBorders>
            <w:shd w:val="clear" w:color="auto" w:fill="auto"/>
            <w:vAlign w:val="center"/>
            <w:hideMark/>
          </w:tcPr>
          <w:p w:rsidR="00B645C8" w:rsidRPr="00B645C8" w:rsidP="00B645C8" w14:paraId="0C85517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B645C8">
              <w:rPr>
                <w:rFonts w:ascii="Calibri" w:hAnsi="Calibri" w:cs="Calibri"/>
                <w:b/>
                <w:bCs/>
                <w:color w:val="000000"/>
                <w:szCs w:val="22"/>
              </w:rPr>
              <w:t>SLTs</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rsidR="00B645C8" w:rsidRPr="00B645C8" w:rsidP="00B645C8" w14:paraId="71923FC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B645C8">
              <w:rPr>
                <w:rFonts w:ascii="Calibri" w:hAnsi="Calibri" w:cs="Calibri"/>
                <w:b/>
                <w:bCs/>
                <w:color w:val="000000"/>
                <w:szCs w:val="22"/>
              </w:rPr>
              <w:t>Owners/</w:t>
            </w:r>
            <w:r w:rsidRPr="00B645C8">
              <w:rPr>
                <w:rFonts w:ascii="Calibri" w:hAnsi="Calibri" w:cs="Calibri"/>
                <w:b/>
                <w:bCs/>
                <w:color w:val="000000"/>
                <w:szCs w:val="22"/>
              </w:rPr>
              <w:br/>
              <w:t>Operators</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rsidR="00B645C8" w:rsidRPr="00B645C8" w:rsidP="00B645C8" w14:paraId="12A5AC6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B645C8">
              <w:rPr>
                <w:rFonts w:ascii="Calibri" w:hAnsi="Calibri" w:cs="Calibri"/>
                <w:b/>
                <w:bCs/>
                <w:color w:val="000000"/>
                <w:szCs w:val="22"/>
              </w:rPr>
              <w:t>EPA</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B645C8" w:rsidRPr="00B645C8" w:rsidP="00B645C8" w14:paraId="78D4CA9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B645C8">
              <w:rPr>
                <w:rFonts w:ascii="Calibri" w:hAnsi="Calibri" w:cs="Calibri"/>
                <w:b/>
                <w:bCs/>
                <w:color w:val="000000"/>
                <w:szCs w:val="22"/>
              </w:rPr>
              <w:t>Total</w:t>
            </w:r>
          </w:p>
        </w:tc>
      </w:tr>
      <w:tr w14:paraId="55004FDA" w14:textId="77777777" w:rsidTr="000312F2">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707A79" w:rsidRPr="00B645C8" w:rsidP="00707A79" w14:paraId="025CEA7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Number of Respondents</w:t>
            </w:r>
          </w:p>
        </w:tc>
        <w:tc>
          <w:tcPr>
            <w:tcW w:w="1398" w:type="dxa"/>
            <w:tcBorders>
              <w:top w:val="nil"/>
              <w:left w:val="nil"/>
              <w:bottom w:val="single" w:sz="8" w:space="0" w:color="auto"/>
              <w:right w:val="single" w:sz="8" w:space="0" w:color="auto"/>
            </w:tcBorders>
            <w:shd w:val="clear" w:color="auto" w:fill="auto"/>
            <w:vAlign w:val="center"/>
            <w:hideMark/>
          </w:tcPr>
          <w:p w:rsidR="00707A79" w:rsidRPr="00B645C8" w:rsidP="00707A79" w14:paraId="419C28E1" w14:textId="791D5AF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w:t>
            </w:r>
          </w:p>
        </w:tc>
        <w:tc>
          <w:tcPr>
            <w:tcW w:w="1437" w:type="dxa"/>
            <w:tcBorders>
              <w:top w:val="nil"/>
              <w:left w:val="nil"/>
              <w:bottom w:val="single" w:sz="8" w:space="0" w:color="auto"/>
              <w:right w:val="single" w:sz="8" w:space="0" w:color="auto"/>
            </w:tcBorders>
            <w:shd w:val="clear" w:color="auto" w:fill="auto"/>
            <w:vAlign w:val="center"/>
            <w:hideMark/>
          </w:tcPr>
          <w:p w:rsidR="00707A79" w:rsidRPr="00B645C8" w:rsidP="00443012" w14:paraId="1ED9226C" w14:textId="50C8714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40,3</w:t>
            </w:r>
            <w:r w:rsidR="001C3058">
              <w:rPr>
                <w:rFonts w:ascii="Calibri" w:hAnsi="Calibri" w:cs="Calibri"/>
                <w:color w:val="000000"/>
                <w:szCs w:val="22"/>
              </w:rPr>
              <w:t>15</w:t>
            </w:r>
          </w:p>
        </w:tc>
        <w:tc>
          <w:tcPr>
            <w:tcW w:w="1259" w:type="dxa"/>
            <w:tcBorders>
              <w:top w:val="nil"/>
              <w:left w:val="nil"/>
              <w:bottom w:val="single" w:sz="8" w:space="0" w:color="auto"/>
              <w:right w:val="single" w:sz="8" w:space="0" w:color="auto"/>
            </w:tcBorders>
            <w:shd w:val="clear" w:color="auto" w:fill="auto"/>
            <w:vAlign w:val="center"/>
            <w:hideMark/>
          </w:tcPr>
          <w:p w:rsidR="00707A79" w:rsidRPr="00B645C8" w:rsidP="00707A79" w14:paraId="0B0A5C2F" w14:textId="1B4B37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445" w:type="dxa"/>
            <w:tcBorders>
              <w:top w:val="nil"/>
              <w:left w:val="nil"/>
              <w:bottom w:val="single" w:sz="8" w:space="0" w:color="auto"/>
              <w:right w:val="single" w:sz="8" w:space="0" w:color="auto"/>
            </w:tcBorders>
            <w:shd w:val="clear" w:color="auto" w:fill="auto"/>
            <w:vAlign w:val="center"/>
            <w:hideMark/>
          </w:tcPr>
          <w:p w:rsidR="00707A79" w:rsidRPr="00B645C8" w:rsidP="00443012" w14:paraId="277F2D79" w14:textId="31F51FE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40,4</w:t>
            </w:r>
            <w:r w:rsidR="00C11465">
              <w:rPr>
                <w:rFonts w:ascii="Calibri" w:hAnsi="Calibri" w:cs="Calibri"/>
                <w:color w:val="000000"/>
                <w:szCs w:val="22"/>
              </w:rPr>
              <w:t>00</w:t>
            </w:r>
          </w:p>
        </w:tc>
      </w:tr>
      <w:tr w14:paraId="206385FA" w14:textId="77777777" w:rsidTr="00CF341E">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0804305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Total Hours Per year</w:t>
            </w:r>
          </w:p>
        </w:tc>
        <w:tc>
          <w:tcPr>
            <w:tcW w:w="1398" w:type="dxa"/>
            <w:tcBorders>
              <w:top w:val="nil"/>
              <w:left w:val="nil"/>
              <w:bottom w:val="single" w:sz="8" w:space="0" w:color="auto"/>
              <w:right w:val="single" w:sz="8" w:space="0" w:color="auto"/>
            </w:tcBorders>
            <w:shd w:val="clear" w:color="auto" w:fill="auto"/>
            <w:vAlign w:val="center"/>
          </w:tcPr>
          <w:p w:rsidR="005620E6" w:rsidRPr="00B645C8" w:rsidP="005620E6" w14:paraId="23BE7044" w14:textId="546E111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202,240</w:t>
            </w:r>
          </w:p>
        </w:tc>
        <w:tc>
          <w:tcPr>
            <w:tcW w:w="1437" w:type="dxa"/>
            <w:tcBorders>
              <w:top w:val="nil"/>
              <w:left w:val="nil"/>
              <w:bottom w:val="single" w:sz="8" w:space="0" w:color="auto"/>
              <w:right w:val="single" w:sz="8" w:space="0" w:color="auto"/>
            </w:tcBorders>
            <w:shd w:val="clear" w:color="auto" w:fill="auto"/>
            <w:vAlign w:val="center"/>
          </w:tcPr>
          <w:p w:rsidR="005620E6" w:rsidRPr="00B645C8" w:rsidP="005620E6" w14:paraId="5BE59633" w14:textId="1D9247A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w:t>
            </w:r>
            <w:r w:rsidR="009960B2">
              <w:rPr>
                <w:rFonts w:ascii="Calibri" w:hAnsi="Calibri" w:cs="Calibri"/>
                <w:color w:val="000000"/>
                <w:szCs w:val="22"/>
              </w:rPr>
              <w:t>25,473</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11C016E5" w14:textId="5C38E47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38,480</w:t>
            </w:r>
          </w:p>
        </w:tc>
        <w:tc>
          <w:tcPr>
            <w:tcW w:w="1445" w:type="dxa"/>
            <w:tcBorders>
              <w:top w:val="nil"/>
              <w:left w:val="nil"/>
              <w:bottom w:val="single" w:sz="8" w:space="0" w:color="auto"/>
              <w:right w:val="single" w:sz="8" w:space="0" w:color="auto"/>
            </w:tcBorders>
            <w:shd w:val="clear" w:color="auto" w:fill="auto"/>
            <w:vAlign w:val="center"/>
            <w:hideMark/>
          </w:tcPr>
          <w:p w:rsidR="005620E6" w:rsidRPr="00B645C8" w:rsidP="00CF341E" w14:paraId="113B060B" w14:textId="0FD43A5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w:t>
            </w:r>
            <w:r w:rsidR="00C22DCD">
              <w:rPr>
                <w:rFonts w:ascii="Calibri" w:hAnsi="Calibri" w:cs="Calibri"/>
                <w:color w:val="000000"/>
                <w:szCs w:val="22"/>
              </w:rPr>
              <w:t>06</w:t>
            </w:r>
            <w:r w:rsidR="00C11465">
              <w:rPr>
                <w:rFonts w:ascii="Calibri" w:hAnsi="Calibri" w:cs="Calibri"/>
                <w:color w:val="000000"/>
                <w:szCs w:val="22"/>
              </w:rPr>
              <w:t>6</w:t>
            </w:r>
            <w:r w:rsidR="00C22DCD">
              <w:rPr>
                <w:rFonts w:ascii="Calibri" w:hAnsi="Calibri" w:cs="Calibri"/>
                <w:color w:val="000000"/>
                <w:szCs w:val="22"/>
              </w:rPr>
              <w:t>,</w:t>
            </w:r>
            <w:r w:rsidR="00C11465">
              <w:rPr>
                <w:rFonts w:ascii="Calibri" w:hAnsi="Calibri" w:cs="Calibri"/>
                <w:color w:val="000000"/>
                <w:szCs w:val="22"/>
              </w:rPr>
              <w:t>192</w:t>
            </w:r>
          </w:p>
        </w:tc>
      </w:tr>
      <w:tr w14:paraId="63DB8FF9" w14:textId="77777777" w:rsidTr="002D437A">
        <w:tblPrEx>
          <w:tblW w:w="9305" w:type="dxa"/>
          <w:tblLook w:val="04A0"/>
        </w:tblPrEx>
        <w:trPr>
          <w:trHeight w:val="20"/>
        </w:trPr>
        <w:tc>
          <w:tcPr>
            <w:tcW w:w="3766" w:type="dxa"/>
            <w:tcBorders>
              <w:top w:val="single" w:sz="8" w:space="0" w:color="auto"/>
              <w:left w:val="single" w:sz="8" w:space="0" w:color="auto"/>
              <w:bottom w:val="single" w:sz="8" w:space="0" w:color="auto"/>
            </w:tcBorders>
            <w:shd w:val="clear" w:color="auto" w:fill="auto"/>
            <w:vAlign w:val="center"/>
            <w:hideMark/>
          </w:tcPr>
          <w:p w:rsidR="002D437A" w:rsidRPr="00B645C8" w:rsidP="002D437A" w14:paraId="2517813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 w:val="12"/>
                <w:szCs w:val="12"/>
              </w:rPr>
            </w:pPr>
            <w:r w:rsidRPr="00B645C8">
              <w:rPr>
                <w:rFonts w:ascii="Calibri" w:hAnsi="Calibri" w:cs="Calibri"/>
                <w:color w:val="000000"/>
                <w:sz w:val="12"/>
                <w:szCs w:val="12"/>
              </w:rPr>
              <w:t> </w:t>
            </w:r>
          </w:p>
        </w:tc>
        <w:tc>
          <w:tcPr>
            <w:tcW w:w="1398" w:type="dxa"/>
            <w:tcBorders>
              <w:top w:val="single" w:sz="8" w:space="0" w:color="auto"/>
              <w:bottom w:val="single" w:sz="8" w:space="0" w:color="auto"/>
            </w:tcBorders>
            <w:shd w:val="clear" w:color="auto" w:fill="auto"/>
            <w:hideMark/>
          </w:tcPr>
          <w:p w:rsidR="002D437A" w:rsidRPr="00B645C8" w:rsidP="002D437A" w14:paraId="11C4FA11" w14:textId="77215CF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 w:val="12"/>
                <w:szCs w:val="12"/>
              </w:rPr>
            </w:pPr>
          </w:p>
        </w:tc>
        <w:tc>
          <w:tcPr>
            <w:tcW w:w="1437" w:type="dxa"/>
            <w:tcBorders>
              <w:top w:val="single" w:sz="8" w:space="0" w:color="auto"/>
              <w:bottom w:val="single" w:sz="8" w:space="0" w:color="auto"/>
            </w:tcBorders>
            <w:shd w:val="clear" w:color="auto" w:fill="auto"/>
            <w:hideMark/>
          </w:tcPr>
          <w:p w:rsidR="002D437A" w:rsidRPr="00B645C8" w:rsidP="002D437A" w14:paraId="4CBA24E8" w14:textId="55F8EFC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 w:val="12"/>
                <w:szCs w:val="12"/>
              </w:rPr>
            </w:pPr>
          </w:p>
        </w:tc>
        <w:tc>
          <w:tcPr>
            <w:tcW w:w="1259" w:type="dxa"/>
            <w:tcBorders>
              <w:top w:val="single" w:sz="8" w:space="0" w:color="auto"/>
              <w:bottom w:val="single" w:sz="8" w:space="0" w:color="auto"/>
            </w:tcBorders>
            <w:shd w:val="clear" w:color="auto" w:fill="auto"/>
            <w:hideMark/>
          </w:tcPr>
          <w:p w:rsidR="002D437A" w:rsidRPr="00B645C8" w:rsidP="002D437A" w14:paraId="1C26C41B" w14:textId="4A12D8F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 w:val="12"/>
                <w:szCs w:val="12"/>
              </w:rPr>
            </w:pPr>
          </w:p>
        </w:tc>
        <w:tc>
          <w:tcPr>
            <w:tcW w:w="1445" w:type="dxa"/>
            <w:tcBorders>
              <w:top w:val="single" w:sz="8" w:space="0" w:color="auto"/>
              <w:bottom w:val="single" w:sz="8" w:space="0" w:color="auto"/>
              <w:right w:val="single" w:sz="8" w:space="0" w:color="auto"/>
            </w:tcBorders>
            <w:shd w:val="clear" w:color="auto" w:fill="auto"/>
            <w:hideMark/>
          </w:tcPr>
          <w:p w:rsidR="002D437A" w:rsidRPr="00B645C8" w:rsidP="002D437A" w14:paraId="163E01E6" w14:textId="50196BD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 w:val="12"/>
                <w:szCs w:val="12"/>
              </w:rPr>
            </w:pPr>
          </w:p>
        </w:tc>
      </w:tr>
      <w:tr w14:paraId="50D5B1AD" w14:textId="77777777" w:rsidTr="000312F2">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792F1EDE" w14:textId="20A9F64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Annual Capital Cost</w:t>
            </w:r>
          </w:p>
        </w:tc>
        <w:tc>
          <w:tcPr>
            <w:tcW w:w="1398" w:type="dxa"/>
            <w:tcBorders>
              <w:top w:val="nil"/>
              <w:left w:val="nil"/>
              <w:bottom w:val="single" w:sz="8" w:space="0" w:color="auto"/>
              <w:right w:val="single" w:sz="8" w:space="0" w:color="auto"/>
            </w:tcBorders>
            <w:shd w:val="clear" w:color="auto" w:fill="auto"/>
            <w:vAlign w:val="center"/>
            <w:hideMark/>
          </w:tcPr>
          <w:p w:rsidR="005620E6" w:rsidRPr="00B645C8" w:rsidP="005620E6" w14:paraId="1FC01B91" w14:textId="7C9107E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$127,500 </w:t>
            </w:r>
          </w:p>
        </w:tc>
        <w:tc>
          <w:tcPr>
            <w:tcW w:w="1437" w:type="dxa"/>
            <w:tcBorders>
              <w:top w:val="nil"/>
              <w:left w:val="nil"/>
              <w:bottom w:val="single" w:sz="8" w:space="0" w:color="auto"/>
              <w:right w:val="single" w:sz="8" w:space="0" w:color="auto"/>
            </w:tcBorders>
            <w:shd w:val="clear" w:color="auto" w:fill="auto"/>
            <w:vAlign w:val="center"/>
            <w:hideMark/>
          </w:tcPr>
          <w:p w:rsidR="005620E6" w:rsidRPr="00B645C8" w:rsidP="005620E6" w14:paraId="27EE5954" w14:textId="74ADBD5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$0 </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7DE5A236" w14:textId="5D701D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$600,000 </w:t>
            </w:r>
          </w:p>
        </w:tc>
        <w:tc>
          <w:tcPr>
            <w:tcW w:w="1445" w:type="dxa"/>
            <w:tcBorders>
              <w:top w:val="nil"/>
              <w:left w:val="nil"/>
              <w:bottom w:val="single" w:sz="8" w:space="0" w:color="auto"/>
              <w:right w:val="single" w:sz="8" w:space="0" w:color="auto"/>
            </w:tcBorders>
            <w:shd w:val="clear" w:color="auto" w:fill="auto"/>
            <w:vAlign w:val="center"/>
            <w:hideMark/>
          </w:tcPr>
          <w:p w:rsidR="005620E6" w:rsidRPr="00B645C8" w:rsidP="005620E6" w14:paraId="6D8CE262" w14:textId="39E1E3B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$727,500 </w:t>
            </w:r>
          </w:p>
        </w:tc>
      </w:tr>
      <w:tr w14:paraId="3CFDAE89" w14:textId="77777777" w:rsidTr="000312F2">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310E1F3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Annual O&amp;M Cost</w:t>
            </w:r>
          </w:p>
        </w:tc>
        <w:tc>
          <w:tcPr>
            <w:tcW w:w="1398" w:type="dxa"/>
            <w:tcBorders>
              <w:top w:val="nil"/>
              <w:left w:val="nil"/>
              <w:bottom w:val="single" w:sz="8" w:space="0" w:color="auto"/>
              <w:right w:val="single" w:sz="8" w:space="0" w:color="auto"/>
            </w:tcBorders>
            <w:shd w:val="clear" w:color="auto" w:fill="auto"/>
            <w:vAlign w:val="center"/>
            <w:hideMark/>
          </w:tcPr>
          <w:p w:rsidR="005620E6" w:rsidRPr="00B645C8" w:rsidP="005620E6" w14:paraId="05D0C4B2" w14:textId="0101447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$10,155,708 </w:t>
            </w:r>
          </w:p>
        </w:tc>
        <w:tc>
          <w:tcPr>
            <w:tcW w:w="1437" w:type="dxa"/>
            <w:tcBorders>
              <w:top w:val="nil"/>
              <w:left w:val="nil"/>
              <w:bottom w:val="single" w:sz="8" w:space="0" w:color="auto"/>
              <w:right w:val="single" w:sz="8" w:space="0" w:color="auto"/>
            </w:tcBorders>
            <w:shd w:val="clear" w:color="auto" w:fill="auto"/>
            <w:vAlign w:val="center"/>
            <w:hideMark/>
          </w:tcPr>
          <w:p w:rsidR="005620E6" w:rsidRPr="00B645C8" w:rsidP="005620E6" w14:paraId="3516A539" w14:textId="39DE710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$0 </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40CD5D44" w14:textId="7281914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$3,025,000 </w:t>
            </w:r>
          </w:p>
        </w:tc>
        <w:tc>
          <w:tcPr>
            <w:tcW w:w="1445" w:type="dxa"/>
            <w:tcBorders>
              <w:top w:val="nil"/>
              <w:left w:val="nil"/>
              <w:bottom w:val="single" w:sz="8" w:space="0" w:color="auto"/>
              <w:right w:val="single" w:sz="8" w:space="0" w:color="auto"/>
            </w:tcBorders>
            <w:shd w:val="clear" w:color="auto" w:fill="auto"/>
            <w:vAlign w:val="center"/>
            <w:hideMark/>
          </w:tcPr>
          <w:p w:rsidR="005620E6" w:rsidRPr="00B645C8" w:rsidP="005620E6" w14:paraId="217FC036" w14:textId="0F6A5B1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$13,180,708 </w:t>
            </w:r>
          </w:p>
        </w:tc>
      </w:tr>
      <w:tr w14:paraId="750686CB" w14:textId="77777777" w:rsidTr="000312F2">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6B1D8C38" w14:textId="2DCFB93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Total Annual Capital and O&amp;M Costs</w:t>
            </w:r>
          </w:p>
        </w:tc>
        <w:tc>
          <w:tcPr>
            <w:tcW w:w="1398" w:type="dxa"/>
            <w:tcBorders>
              <w:top w:val="nil"/>
              <w:left w:val="nil"/>
              <w:bottom w:val="single" w:sz="8" w:space="0" w:color="auto"/>
              <w:right w:val="single" w:sz="8" w:space="0" w:color="auto"/>
            </w:tcBorders>
            <w:shd w:val="clear" w:color="auto" w:fill="auto"/>
            <w:vAlign w:val="center"/>
            <w:hideMark/>
          </w:tcPr>
          <w:p w:rsidR="005620E6" w:rsidRPr="00B645C8" w:rsidP="005620E6" w14:paraId="67992100" w14:textId="6B5271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$10,283,208 </w:t>
            </w:r>
          </w:p>
        </w:tc>
        <w:tc>
          <w:tcPr>
            <w:tcW w:w="1437" w:type="dxa"/>
            <w:tcBorders>
              <w:top w:val="nil"/>
              <w:left w:val="nil"/>
              <w:bottom w:val="single" w:sz="8" w:space="0" w:color="auto"/>
              <w:right w:val="single" w:sz="8" w:space="0" w:color="auto"/>
            </w:tcBorders>
            <w:shd w:val="clear" w:color="auto" w:fill="auto"/>
            <w:vAlign w:val="center"/>
            <w:hideMark/>
          </w:tcPr>
          <w:p w:rsidR="005620E6" w:rsidRPr="00B645C8" w:rsidP="005620E6" w14:paraId="7893E320" w14:textId="0ADDEFB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$0 </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5C7D3291" w14:textId="5AAB9BE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$3,625,000 </w:t>
            </w:r>
          </w:p>
        </w:tc>
        <w:tc>
          <w:tcPr>
            <w:tcW w:w="1445" w:type="dxa"/>
            <w:tcBorders>
              <w:top w:val="nil"/>
              <w:left w:val="nil"/>
              <w:bottom w:val="single" w:sz="8" w:space="0" w:color="auto"/>
              <w:right w:val="single" w:sz="8" w:space="0" w:color="auto"/>
            </w:tcBorders>
            <w:shd w:val="clear" w:color="auto" w:fill="auto"/>
            <w:vAlign w:val="center"/>
            <w:hideMark/>
          </w:tcPr>
          <w:p w:rsidR="005620E6" w:rsidRPr="00B645C8" w:rsidP="005620E6" w14:paraId="4A09CCE7" w14:textId="69FEF39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$13,908,208 </w:t>
            </w:r>
          </w:p>
        </w:tc>
      </w:tr>
      <w:tr w14:paraId="26EA12D7" w14:textId="77777777" w:rsidTr="002D437A">
        <w:tblPrEx>
          <w:tblW w:w="9305" w:type="dxa"/>
          <w:tblLook w:val="04A0"/>
        </w:tblPrEx>
        <w:trPr>
          <w:trHeight w:val="144"/>
        </w:trPr>
        <w:tc>
          <w:tcPr>
            <w:tcW w:w="3766" w:type="dxa"/>
            <w:tcBorders>
              <w:top w:val="single" w:sz="8" w:space="0" w:color="auto"/>
              <w:left w:val="single" w:sz="8" w:space="0" w:color="auto"/>
              <w:bottom w:val="single" w:sz="8" w:space="0" w:color="auto"/>
            </w:tcBorders>
            <w:shd w:val="clear" w:color="auto" w:fill="auto"/>
            <w:vAlign w:val="center"/>
            <w:hideMark/>
          </w:tcPr>
          <w:p w:rsidR="002D437A" w:rsidRPr="00B645C8" w:rsidP="002D437A" w14:paraId="166E018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 w:val="8"/>
                <w:szCs w:val="8"/>
              </w:rPr>
            </w:pPr>
            <w:r w:rsidRPr="00B645C8">
              <w:rPr>
                <w:rFonts w:ascii="Calibri" w:hAnsi="Calibri" w:cs="Calibri"/>
                <w:color w:val="000000"/>
                <w:sz w:val="8"/>
                <w:szCs w:val="8"/>
              </w:rPr>
              <w:t> </w:t>
            </w:r>
          </w:p>
        </w:tc>
        <w:tc>
          <w:tcPr>
            <w:tcW w:w="1398" w:type="dxa"/>
            <w:tcBorders>
              <w:top w:val="single" w:sz="8" w:space="0" w:color="auto"/>
              <w:bottom w:val="single" w:sz="8" w:space="0" w:color="auto"/>
            </w:tcBorders>
            <w:shd w:val="clear" w:color="auto" w:fill="auto"/>
            <w:hideMark/>
          </w:tcPr>
          <w:p w:rsidR="002D437A" w:rsidRPr="00B645C8" w:rsidP="002D437A" w14:paraId="153D3B30" w14:textId="24A0ED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 w:val="8"/>
                <w:szCs w:val="8"/>
              </w:rPr>
            </w:pPr>
          </w:p>
        </w:tc>
        <w:tc>
          <w:tcPr>
            <w:tcW w:w="1437" w:type="dxa"/>
            <w:tcBorders>
              <w:top w:val="single" w:sz="8" w:space="0" w:color="auto"/>
              <w:bottom w:val="single" w:sz="8" w:space="0" w:color="auto"/>
            </w:tcBorders>
            <w:shd w:val="clear" w:color="auto" w:fill="auto"/>
            <w:hideMark/>
          </w:tcPr>
          <w:p w:rsidR="002D437A" w:rsidRPr="00B645C8" w:rsidP="002D437A" w14:paraId="69145B2E" w14:textId="4CC8877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 w:val="8"/>
                <w:szCs w:val="8"/>
              </w:rPr>
            </w:pPr>
          </w:p>
        </w:tc>
        <w:tc>
          <w:tcPr>
            <w:tcW w:w="1259" w:type="dxa"/>
            <w:tcBorders>
              <w:top w:val="single" w:sz="8" w:space="0" w:color="auto"/>
              <w:bottom w:val="single" w:sz="8" w:space="0" w:color="auto"/>
            </w:tcBorders>
            <w:shd w:val="clear" w:color="auto" w:fill="auto"/>
            <w:hideMark/>
          </w:tcPr>
          <w:p w:rsidR="002D437A" w:rsidRPr="00B645C8" w:rsidP="002D437A" w14:paraId="4CFADD22" w14:textId="4400A0A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 w:val="8"/>
                <w:szCs w:val="8"/>
              </w:rPr>
            </w:pPr>
          </w:p>
        </w:tc>
        <w:tc>
          <w:tcPr>
            <w:tcW w:w="1445" w:type="dxa"/>
            <w:tcBorders>
              <w:top w:val="single" w:sz="8" w:space="0" w:color="auto"/>
              <w:bottom w:val="single" w:sz="8" w:space="0" w:color="auto"/>
              <w:right w:val="single" w:sz="8" w:space="0" w:color="auto"/>
            </w:tcBorders>
            <w:shd w:val="clear" w:color="auto" w:fill="auto"/>
            <w:hideMark/>
          </w:tcPr>
          <w:p w:rsidR="002D437A" w:rsidRPr="00B645C8" w:rsidP="002D437A" w14:paraId="4F0250FE" w14:textId="671F7BF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 w:val="8"/>
                <w:szCs w:val="8"/>
              </w:rPr>
            </w:pPr>
          </w:p>
        </w:tc>
      </w:tr>
      <w:tr w14:paraId="3B477224" w14:textId="77777777" w:rsidTr="00CF341E">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7CE1918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B645C8">
              <w:rPr>
                <w:rFonts w:ascii="Calibri" w:hAnsi="Calibri" w:cs="Calibri"/>
                <w:color w:val="000000"/>
                <w:szCs w:val="22"/>
              </w:rPr>
              <w:t>Labor Cost Per Year</w:t>
            </w:r>
          </w:p>
        </w:tc>
        <w:tc>
          <w:tcPr>
            <w:tcW w:w="1398" w:type="dxa"/>
            <w:tcBorders>
              <w:top w:val="nil"/>
              <w:left w:val="nil"/>
              <w:bottom w:val="single" w:sz="8" w:space="0" w:color="auto"/>
              <w:right w:val="single" w:sz="8" w:space="0" w:color="auto"/>
            </w:tcBorders>
            <w:shd w:val="clear" w:color="auto" w:fill="auto"/>
            <w:vAlign w:val="center"/>
          </w:tcPr>
          <w:p w:rsidR="005620E6" w:rsidRPr="00B645C8" w:rsidP="005620E6" w14:paraId="7498D68F" w14:textId="65EFD48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$18,185,283</w:t>
            </w:r>
          </w:p>
        </w:tc>
        <w:tc>
          <w:tcPr>
            <w:tcW w:w="1437" w:type="dxa"/>
            <w:tcBorders>
              <w:top w:val="nil"/>
              <w:left w:val="nil"/>
              <w:bottom w:val="single" w:sz="8" w:space="0" w:color="auto"/>
              <w:right w:val="single" w:sz="8" w:space="0" w:color="auto"/>
            </w:tcBorders>
            <w:shd w:val="clear" w:color="auto" w:fill="auto"/>
            <w:vAlign w:val="center"/>
          </w:tcPr>
          <w:p w:rsidR="005620E6" w:rsidRPr="00B645C8" w:rsidP="005620E6" w14:paraId="266C2928" w14:textId="3CB83BD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$8</w:t>
            </w:r>
            <w:r w:rsidR="009960B2">
              <w:rPr>
                <w:rFonts w:ascii="Calibri" w:hAnsi="Calibri" w:cs="Calibri"/>
                <w:color w:val="000000"/>
                <w:szCs w:val="22"/>
              </w:rPr>
              <w:t>8</w:t>
            </w:r>
            <w:r>
              <w:rPr>
                <w:rFonts w:ascii="Calibri" w:hAnsi="Calibri" w:cs="Calibri"/>
                <w:color w:val="000000"/>
                <w:szCs w:val="22"/>
              </w:rPr>
              <w:t>,</w:t>
            </w:r>
            <w:r w:rsidR="009960B2">
              <w:rPr>
                <w:rFonts w:ascii="Calibri" w:hAnsi="Calibri" w:cs="Calibri"/>
                <w:color w:val="000000"/>
                <w:szCs w:val="22"/>
              </w:rPr>
              <w:t>918</w:t>
            </w:r>
            <w:r>
              <w:rPr>
                <w:rFonts w:ascii="Calibri" w:hAnsi="Calibri" w:cs="Calibri"/>
                <w:color w:val="000000"/>
                <w:szCs w:val="22"/>
              </w:rPr>
              <w:t>,</w:t>
            </w:r>
            <w:r w:rsidR="009960B2">
              <w:rPr>
                <w:rFonts w:ascii="Calibri" w:hAnsi="Calibri" w:cs="Calibri"/>
                <w:color w:val="000000"/>
                <w:szCs w:val="22"/>
              </w:rPr>
              <w:t>714</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1E73AB17" w14:textId="35860E8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$2,756,500 </w:t>
            </w:r>
          </w:p>
        </w:tc>
        <w:tc>
          <w:tcPr>
            <w:tcW w:w="1445" w:type="dxa"/>
            <w:tcBorders>
              <w:top w:val="nil"/>
              <w:left w:val="nil"/>
              <w:bottom w:val="single" w:sz="8" w:space="0" w:color="auto"/>
              <w:right w:val="single" w:sz="8" w:space="0" w:color="auto"/>
            </w:tcBorders>
            <w:shd w:val="clear" w:color="auto" w:fill="auto"/>
            <w:vAlign w:val="center"/>
          </w:tcPr>
          <w:p w:rsidR="005620E6" w:rsidRPr="00B645C8" w:rsidP="005620E6" w14:paraId="567756BD" w14:textId="49B49D8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$1</w:t>
            </w:r>
            <w:r w:rsidR="00C22DCD">
              <w:rPr>
                <w:rFonts w:ascii="Calibri" w:hAnsi="Calibri" w:cs="Calibri"/>
                <w:color w:val="000000"/>
                <w:szCs w:val="22"/>
              </w:rPr>
              <w:t>09,</w:t>
            </w:r>
            <w:r w:rsidR="00625930">
              <w:rPr>
                <w:rFonts w:ascii="Calibri" w:hAnsi="Calibri" w:cs="Calibri"/>
                <w:color w:val="000000"/>
                <w:szCs w:val="22"/>
              </w:rPr>
              <w:t>860</w:t>
            </w:r>
            <w:r w:rsidR="00C22DCD">
              <w:rPr>
                <w:rFonts w:ascii="Calibri" w:hAnsi="Calibri" w:cs="Calibri"/>
                <w:color w:val="000000"/>
                <w:szCs w:val="22"/>
              </w:rPr>
              <w:t>,</w:t>
            </w:r>
            <w:r w:rsidR="00625930">
              <w:rPr>
                <w:rFonts w:ascii="Calibri" w:hAnsi="Calibri" w:cs="Calibri"/>
                <w:color w:val="000000"/>
                <w:szCs w:val="22"/>
              </w:rPr>
              <w:t>497</w:t>
            </w:r>
          </w:p>
        </w:tc>
      </w:tr>
      <w:tr w14:paraId="5D24271C" w14:textId="77777777" w:rsidTr="00CF341E">
        <w:tblPrEx>
          <w:tblW w:w="9305" w:type="dxa"/>
          <w:tblLook w:val="04A0"/>
        </w:tblPrEx>
        <w:trPr>
          <w:trHeight w:val="300"/>
        </w:trPr>
        <w:tc>
          <w:tcPr>
            <w:tcW w:w="3766" w:type="dxa"/>
            <w:tcBorders>
              <w:top w:val="nil"/>
              <w:left w:val="single" w:sz="8" w:space="0" w:color="auto"/>
              <w:bottom w:val="single" w:sz="8" w:space="0" w:color="auto"/>
              <w:right w:val="single" w:sz="8" w:space="0" w:color="auto"/>
            </w:tcBorders>
            <w:shd w:val="clear" w:color="auto" w:fill="auto"/>
            <w:vAlign w:val="center"/>
            <w:hideMark/>
          </w:tcPr>
          <w:p w:rsidR="005620E6" w:rsidRPr="00B645C8" w:rsidP="005620E6" w14:paraId="3EF2B4F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sidRPr="00B645C8">
              <w:rPr>
                <w:rFonts w:ascii="Calibri" w:hAnsi="Calibri" w:cs="Calibri"/>
                <w:b/>
                <w:bCs/>
                <w:color w:val="000000"/>
                <w:szCs w:val="22"/>
              </w:rPr>
              <w:t>Total Cost Per Year</w:t>
            </w:r>
          </w:p>
        </w:tc>
        <w:tc>
          <w:tcPr>
            <w:tcW w:w="1398" w:type="dxa"/>
            <w:tcBorders>
              <w:top w:val="nil"/>
              <w:left w:val="nil"/>
              <w:bottom w:val="single" w:sz="8" w:space="0" w:color="auto"/>
              <w:right w:val="single" w:sz="8" w:space="0" w:color="auto"/>
            </w:tcBorders>
            <w:shd w:val="clear" w:color="auto" w:fill="auto"/>
            <w:vAlign w:val="center"/>
          </w:tcPr>
          <w:p w:rsidR="005620E6" w:rsidRPr="00B645C8" w:rsidP="005620E6" w14:paraId="0015DC3A" w14:textId="2DD6DCB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b/>
                <w:bCs/>
                <w:color w:val="000000"/>
                <w:szCs w:val="22"/>
              </w:rPr>
              <w:t>$28,468,492</w:t>
            </w:r>
          </w:p>
        </w:tc>
        <w:tc>
          <w:tcPr>
            <w:tcW w:w="1437" w:type="dxa"/>
            <w:tcBorders>
              <w:top w:val="nil"/>
              <w:left w:val="nil"/>
              <w:bottom w:val="single" w:sz="8" w:space="0" w:color="auto"/>
              <w:right w:val="single" w:sz="8" w:space="0" w:color="auto"/>
            </w:tcBorders>
            <w:shd w:val="clear" w:color="auto" w:fill="auto"/>
            <w:vAlign w:val="center"/>
          </w:tcPr>
          <w:p w:rsidR="005620E6" w:rsidRPr="00B645C8" w:rsidP="005620E6" w14:paraId="61AE44C8" w14:textId="49F796B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sidRPr="00C22DCD">
              <w:rPr>
                <w:rFonts w:ascii="Calibri" w:hAnsi="Calibri" w:cs="Calibri"/>
                <w:b/>
                <w:bCs/>
                <w:color w:val="000000"/>
                <w:szCs w:val="22"/>
              </w:rPr>
              <w:t>$89,</w:t>
            </w:r>
            <w:r w:rsidR="009960B2">
              <w:rPr>
                <w:rFonts w:ascii="Calibri" w:hAnsi="Calibri" w:cs="Calibri"/>
                <w:b/>
                <w:bCs/>
                <w:color w:val="000000"/>
                <w:szCs w:val="22"/>
              </w:rPr>
              <w:t>918,714</w:t>
            </w:r>
          </w:p>
        </w:tc>
        <w:tc>
          <w:tcPr>
            <w:tcW w:w="1259" w:type="dxa"/>
            <w:tcBorders>
              <w:top w:val="nil"/>
              <w:left w:val="nil"/>
              <w:bottom w:val="single" w:sz="8" w:space="0" w:color="auto"/>
              <w:right w:val="single" w:sz="8" w:space="0" w:color="auto"/>
            </w:tcBorders>
            <w:shd w:val="clear" w:color="auto" w:fill="auto"/>
            <w:vAlign w:val="center"/>
            <w:hideMark/>
          </w:tcPr>
          <w:p w:rsidR="005620E6" w:rsidRPr="00B645C8" w:rsidP="005620E6" w14:paraId="759190D5" w14:textId="3A5E2B6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b/>
                <w:bCs/>
                <w:color w:val="000000"/>
                <w:szCs w:val="22"/>
              </w:rPr>
              <w:t>$6,381,500</w:t>
            </w:r>
          </w:p>
        </w:tc>
        <w:tc>
          <w:tcPr>
            <w:tcW w:w="1445" w:type="dxa"/>
            <w:tcBorders>
              <w:top w:val="nil"/>
              <w:left w:val="nil"/>
              <w:bottom w:val="single" w:sz="8" w:space="0" w:color="auto"/>
              <w:right w:val="single" w:sz="8" w:space="0" w:color="auto"/>
            </w:tcBorders>
            <w:shd w:val="clear" w:color="auto" w:fill="auto"/>
            <w:vAlign w:val="center"/>
            <w:hideMark/>
          </w:tcPr>
          <w:p w:rsidR="005620E6" w:rsidRPr="00B645C8" w:rsidP="005620E6" w14:paraId="6C6E4399" w14:textId="627D95C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color w:val="000000"/>
                <w:szCs w:val="22"/>
              </w:rPr>
            </w:pPr>
            <w:r>
              <w:rPr>
                <w:rFonts w:ascii="Calibri" w:hAnsi="Calibri" w:cs="Calibri"/>
                <w:b/>
                <w:bCs/>
                <w:color w:val="000000"/>
                <w:szCs w:val="22"/>
              </w:rPr>
              <w:t>$</w:t>
            </w:r>
            <w:r w:rsidR="00C22DCD">
              <w:rPr>
                <w:rFonts w:ascii="Calibri" w:hAnsi="Calibri" w:cs="Calibri"/>
                <w:b/>
                <w:bCs/>
                <w:color w:val="000000"/>
                <w:szCs w:val="22"/>
              </w:rPr>
              <w:t>123,</w:t>
            </w:r>
            <w:r w:rsidR="00625930">
              <w:rPr>
                <w:rFonts w:ascii="Calibri" w:hAnsi="Calibri" w:cs="Calibri"/>
                <w:b/>
                <w:bCs/>
                <w:color w:val="000000"/>
                <w:szCs w:val="22"/>
              </w:rPr>
              <w:t>768,</w:t>
            </w:r>
            <w:r w:rsidR="00AC0FFA">
              <w:rPr>
                <w:rFonts w:ascii="Calibri" w:hAnsi="Calibri" w:cs="Calibri"/>
                <w:b/>
                <w:bCs/>
                <w:color w:val="000000"/>
                <w:szCs w:val="22"/>
              </w:rPr>
              <w:t>706</w:t>
            </w:r>
          </w:p>
        </w:tc>
      </w:tr>
    </w:tbl>
    <w:p w:rsidR="00851193" w:rsidP="009E08D8" w14:paraId="045A36B2" w14:textId="77777777"/>
    <w:p w:rsidR="00450598" w:rsidRPr="00793526" w:rsidP="00877276" w14:paraId="08E0DA37" w14:textId="6CC03F4D">
      <w:pPr>
        <w:pStyle w:val="Heading1"/>
        <w:rPr>
          <w:rStyle w:val="Strong"/>
          <w:b/>
          <w:bCs w:val="0"/>
        </w:rPr>
      </w:pPr>
      <w:bookmarkStart w:id="46" w:name="_Hlk92118963"/>
      <w:r w:rsidRPr="00793526">
        <w:rPr>
          <w:rStyle w:val="Strong"/>
          <w:b/>
          <w:bCs w:val="0"/>
        </w:rPr>
        <w:t>Explain the reasons for any program changes or adjustments reported on the burden worksheet (in hour or cost burden.)</w:t>
      </w:r>
    </w:p>
    <w:bookmarkEnd w:id="46"/>
    <w:p w:rsidR="00851193" w:rsidP="00CB4168" w14:paraId="1F5B1C5D" w14:textId="169F6F0A">
      <w:pPr>
        <w:keepNext/>
        <w:rPr>
          <w:rStyle w:val="Strong"/>
        </w:rPr>
      </w:pPr>
    </w:p>
    <w:p w:rsidR="00B50187" w:rsidP="00B50187" w14:paraId="0F2AA50C" w14:textId="66EA0E03">
      <w:pPr>
        <w:rPr>
          <w:rStyle w:val="Strong"/>
          <w:b w:val="0"/>
          <w:bCs w:val="0"/>
        </w:rPr>
      </w:pPr>
      <w:r>
        <w:rPr>
          <w:rStyle w:val="Strong"/>
          <w:b w:val="0"/>
          <w:bCs w:val="0"/>
        </w:rPr>
        <w:t xml:space="preserve">As compared to the previous ICR for the AERR, this ICR covers substantially more activities, some of which are unrelated to the </w:t>
      </w:r>
      <w:r w:rsidR="00911428">
        <w:rPr>
          <w:rStyle w:val="Strong"/>
          <w:b w:val="0"/>
          <w:bCs w:val="0"/>
        </w:rPr>
        <w:t>revisions</w:t>
      </w:r>
      <w:r>
        <w:rPr>
          <w:rStyle w:val="Strong"/>
          <w:b w:val="0"/>
          <w:bCs w:val="0"/>
        </w:rPr>
        <w:t xml:space="preserve"> being proposed to the AERR. In addition to the AERR </w:t>
      </w:r>
      <w:r w:rsidR="00911428">
        <w:rPr>
          <w:rStyle w:val="Strong"/>
          <w:b w:val="0"/>
          <w:bCs w:val="0"/>
        </w:rPr>
        <w:t>revisions</w:t>
      </w:r>
      <w:r>
        <w:rPr>
          <w:rStyle w:val="Strong"/>
          <w:b w:val="0"/>
          <w:bCs w:val="0"/>
        </w:rPr>
        <w:t>, this ICR has been modified to include</w:t>
      </w:r>
      <w:r w:rsidR="002C41E2">
        <w:rPr>
          <w:rStyle w:val="Strong"/>
          <w:b w:val="0"/>
          <w:bCs w:val="0"/>
        </w:rPr>
        <w:t xml:space="preserve"> </w:t>
      </w:r>
      <w:r w:rsidR="002F7ED0">
        <w:rPr>
          <w:rStyle w:val="Strong"/>
          <w:b w:val="0"/>
          <w:bCs w:val="0"/>
        </w:rPr>
        <w:t xml:space="preserve">the costs of emissions data systems that the states would likely run irrespective of this rule (to collect permit feeds) and </w:t>
      </w:r>
      <w:r>
        <w:rPr>
          <w:rStyle w:val="Strong"/>
          <w:b w:val="0"/>
          <w:bCs w:val="0"/>
        </w:rPr>
        <w:t xml:space="preserve">the burden on owners/operators for reporting data to the SLTs so that SLTs can report to EPA as would be required under this proposed action. These additions make the ICR more complete but are not adding </w:t>
      </w:r>
      <w:r w:rsidR="002C41E2">
        <w:rPr>
          <w:rStyle w:val="Strong"/>
          <w:b w:val="0"/>
          <w:bCs w:val="0"/>
        </w:rPr>
        <w:t xml:space="preserve">real-world </w:t>
      </w:r>
      <w:r>
        <w:rPr>
          <w:rStyle w:val="Strong"/>
          <w:b w:val="0"/>
          <w:bCs w:val="0"/>
        </w:rPr>
        <w:t>burden to SLTs or owners/operators when compared to activities they are already doing. These additions are simply covering gaps in</w:t>
      </w:r>
      <w:r w:rsidR="002F7ED0">
        <w:rPr>
          <w:rStyle w:val="Strong"/>
          <w:b w:val="0"/>
          <w:bCs w:val="0"/>
        </w:rPr>
        <w:t xml:space="preserve"> the</w:t>
      </w:r>
      <w:r>
        <w:rPr>
          <w:rStyle w:val="Strong"/>
          <w:b w:val="0"/>
          <w:bCs w:val="0"/>
        </w:rPr>
        <w:t xml:space="preserve"> </w:t>
      </w:r>
      <w:r w:rsidR="00D97FA0">
        <w:rPr>
          <w:rStyle w:val="Strong"/>
          <w:b w:val="0"/>
          <w:bCs w:val="0"/>
        </w:rPr>
        <w:t xml:space="preserve">previously approved </w:t>
      </w:r>
      <w:r w:rsidR="002F7ED0">
        <w:rPr>
          <w:rStyle w:val="Strong"/>
          <w:b w:val="0"/>
          <w:bCs w:val="0"/>
        </w:rPr>
        <w:t xml:space="preserve">AERR </w:t>
      </w:r>
      <w:r w:rsidR="00D97FA0">
        <w:rPr>
          <w:rStyle w:val="Strong"/>
          <w:b w:val="0"/>
          <w:bCs w:val="0"/>
        </w:rPr>
        <w:t>ICR</w:t>
      </w:r>
      <w:r w:rsidR="002F7ED0">
        <w:rPr>
          <w:rStyle w:val="Strong"/>
          <w:b w:val="0"/>
          <w:bCs w:val="0"/>
        </w:rPr>
        <w:t xml:space="preserve"> (and the SIP implementation costs in Appendix C).</w:t>
      </w:r>
      <w:r w:rsidR="004F10DF">
        <w:rPr>
          <w:rStyle w:val="Strong"/>
          <w:b w:val="0"/>
          <w:bCs w:val="0"/>
        </w:rPr>
        <w:t xml:space="preserve"> Put another way, while the total estimated costs in Table 16 appear to be large, these figures do not</w:t>
      </w:r>
      <w:r w:rsidR="00BA5F92">
        <w:rPr>
          <w:rStyle w:val="Strong"/>
          <w:b w:val="0"/>
          <w:bCs w:val="0"/>
        </w:rPr>
        <w:t xml:space="preserve"> </w:t>
      </w:r>
      <w:r w:rsidR="00BE1EAF">
        <w:rPr>
          <w:rStyle w:val="Strong"/>
          <w:b w:val="0"/>
          <w:bCs w:val="0"/>
        </w:rPr>
        <w:t xml:space="preserve">simply </w:t>
      </w:r>
      <w:r w:rsidR="004F10DF">
        <w:rPr>
          <w:rStyle w:val="Strong"/>
          <w:b w:val="0"/>
          <w:bCs w:val="0"/>
        </w:rPr>
        <w:t>reflect the costs that will be incurred due to the proposed revisions to the AERR</w:t>
      </w:r>
      <w:r w:rsidR="00BA5F92">
        <w:rPr>
          <w:rStyle w:val="Strong"/>
          <w:b w:val="0"/>
          <w:bCs w:val="0"/>
        </w:rPr>
        <w:t>.</w:t>
      </w:r>
      <w:r w:rsidR="004F10DF">
        <w:rPr>
          <w:rStyle w:val="Strong"/>
          <w:b w:val="0"/>
          <w:bCs w:val="0"/>
        </w:rPr>
        <w:t xml:space="preserve"> </w:t>
      </w:r>
      <w:r w:rsidR="00BA5F92">
        <w:rPr>
          <w:rStyle w:val="Strong"/>
          <w:b w:val="0"/>
          <w:bCs w:val="0"/>
        </w:rPr>
        <w:t>T</w:t>
      </w:r>
      <w:r w:rsidR="004F10DF">
        <w:rPr>
          <w:rStyle w:val="Strong"/>
          <w:b w:val="0"/>
          <w:bCs w:val="0"/>
        </w:rPr>
        <w:t xml:space="preserve">hese figures </w:t>
      </w:r>
      <w:r w:rsidR="00BA5F92">
        <w:rPr>
          <w:rStyle w:val="Strong"/>
          <w:b w:val="0"/>
          <w:bCs w:val="0"/>
        </w:rPr>
        <w:t xml:space="preserve">also </w:t>
      </w:r>
      <w:r w:rsidR="004F10DF">
        <w:rPr>
          <w:rStyle w:val="Strong"/>
          <w:b w:val="0"/>
          <w:bCs w:val="0"/>
        </w:rPr>
        <w:t>include costs that SLTs, Owners/Operators, and EPA are already incurring</w:t>
      </w:r>
      <w:r w:rsidR="00497903">
        <w:rPr>
          <w:rStyle w:val="Strong"/>
          <w:b w:val="0"/>
          <w:bCs w:val="0"/>
        </w:rPr>
        <w:t>, and would continue to incur</w:t>
      </w:r>
      <w:r w:rsidR="00786B1F">
        <w:rPr>
          <w:rStyle w:val="Strong"/>
          <w:b w:val="0"/>
          <w:bCs w:val="0"/>
        </w:rPr>
        <w:t xml:space="preserve"> regardless of the proposed changes</w:t>
      </w:r>
      <w:r w:rsidR="00497903">
        <w:rPr>
          <w:rStyle w:val="Strong"/>
          <w:b w:val="0"/>
          <w:bCs w:val="0"/>
        </w:rPr>
        <w:t>,</w:t>
      </w:r>
      <w:r w:rsidR="004F10DF">
        <w:rPr>
          <w:rStyle w:val="Strong"/>
          <w:b w:val="0"/>
          <w:bCs w:val="0"/>
        </w:rPr>
        <w:t xml:space="preserve"> </w:t>
      </w:r>
      <w:r w:rsidR="00BA5F92">
        <w:rPr>
          <w:rStyle w:val="Strong"/>
          <w:b w:val="0"/>
          <w:bCs w:val="0"/>
        </w:rPr>
        <w:t>by way of complying with existing laws and regulations</w:t>
      </w:r>
      <w:r w:rsidR="00BE1EAF">
        <w:rPr>
          <w:rStyle w:val="Strong"/>
          <w:b w:val="0"/>
          <w:bCs w:val="0"/>
        </w:rPr>
        <w:t xml:space="preserve"> (costs associated with complying with the existing AERR without the proposed changes)</w:t>
      </w:r>
      <w:r w:rsidR="00BA5F92">
        <w:rPr>
          <w:rStyle w:val="Strong"/>
          <w:b w:val="0"/>
          <w:bCs w:val="0"/>
        </w:rPr>
        <w:t>.</w:t>
      </w:r>
    </w:p>
    <w:p w:rsidR="00B50187" w:rsidP="00B50187" w14:paraId="336C92C5" w14:textId="67475BFE">
      <w:pPr>
        <w:rPr>
          <w:rStyle w:val="Strong"/>
          <w:b w:val="0"/>
          <w:bCs w:val="0"/>
        </w:rPr>
      </w:pPr>
    </w:p>
    <w:p w:rsidR="00B50187" w:rsidRPr="00B50187" w:rsidP="00B50187" w14:paraId="37A1039A" w14:textId="520673FA">
      <w:pPr>
        <w:rPr>
          <w:rStyle w:val="Strong"/>
          <w:b w:val="0"/>
          <w:bCs w:val="0"/>
        </w:rPr>
      </w:pPr>
      <w:r>
        <w:rPr>
          <w:rStyle w:val="Strong"/>
          <w:b w:val="0"/>
          <w:bCs w:val="0"/>
        </w:rPr>
        <w:t>In addition to the additional burden coverage</w:t>
      </w:r>
      <w:r w:rsidR="00BD7E20">
        <w:rPr>
          <w:rStyle w:val="Strong"/>
          <w:b w:val="0"/>
          <w:bCs w:val="0"/>
        </w:rPr>
        <w:t xml:space="preserve"> described above</w:t>
      </w:r>
      <w:r>
        <w:rPr>
          <w:rStyle w:val="Strong"/>
          <w:b w:val="0"/>
          <w:bCs w:val="0"/>
        </w:rPr>
        <w:t>, the proposed updates to the AERR would affect SLTs in ways that both add burden as well as providing opportunities to reduce burden. For owners/operators, the proposed changes add burden, but that burden can be offset to some degree by the choices that SLTs make regarding</w:t>
      </w:r>
      <w:r w:rsidR="002F7ED0">
        <w:rPr>
          <w:rStyle w:val="Strong"/>
          <w:b w:val="0"/>
          <w:bCs w:val="0"/>
        </w:rPr>
        <w:t xml:space="preserve"> their use of</w:t>
      </w:r>
      <w:r>
        <w:rPr>
          <w:rStyle w:val="Strong"/>
          <w:b w:val="0"/>
          <w:bCs w:val="0"/>
        </w:rPr>
        <w:t xml:space="preserve"> CAERS. Additionally, some of the burden impacts would occur starting during the 2024-2026 period covered by this ICR while others would occur in the subsequent ICR period. The figure below illustrates the key elements of the revised AERR that impact burden and how SLT choices could impact burden for both SLTs and the owners/operators within each state, local, or tribal boundary.</w:t>
      </w:r>
    </w:p>
    <w:p w:rsidR="00B50187" w:rsidP="009E08D8" w14:paraId="3F69985E" w14:textId="32B91105">
      <w:pPr>
        <w:rPr>
          <w:rStyle w:val="Strong"/>
          <w:b w:val="0"/>
          <w:bCs w:val="0"/>
        </w:rPr>
      </w:pPr>
    </w:p>
    <w:p w:rsidR="002C41E2" w:rsidP="009E08D8" w14:paraId="00CEA877" w14:textId="5F464241">
      <w:pPr>
        <w:rPr>
          <w:rStyle w:val="Strong"/>
          <w:b w:val="0"/>
          <w:bCs w:val="0"/>
        </w:rPr>
      </w:pPr>
      <w:r>
        <w:rPr>
          <w:rStyle w:val="Strong"/>
          <w:b w:val="0"/>
          <w:bCs w:val="0"/>
        </w:rPr>
        <w:t xml:space="preserve">SLTs must make the following </w:t>
      </w:r>
      <w:r w:rsidR="00247EE1">
        <w:rPr>
          <w:rStyle w:val="Strong"/>
          <w:b w:val="0"/>
          <w:bCs w:val="0"/>
        </w:rPr>
        <w:t xml:space="preserve">critical </w:t>
      </w:r>
      <w:r>
        <w:rPr>
          <w:rStyle w:val="Strong"/>
          <w:b w:val="0"/>
          <w:bCs w:val="0"/>
        </w:rPr>
        <w:t>choices under the proposed AERR provisions:</w:t>
      </w:r>
    </w:p>
    <w:p w:rsidR="002C41E2" w:rsidP="00F17B08" w14:paraId="019BCCBE" w14:textId="5F6F1EB0">
      <w:pPr>
        <w:pStyle w:val="ListParagraph"/>
        <w:numPr>
          <w:ilvl w:val="0"/>
          <w:numId w:val="20"/>
        </w:numPr>
        <w:rPr>
          <w:rStyle w:val="Strong"/>
          <w:b w:val="0"/>
          <w:bCs w:val="0"/>
        </w:rPr>
      </w:pPr>
      <w:r>
        <w:rPr>
          <w:rStyle w:val="Strong"/>
          <w:b w:val="0"/>
          <w:bCs w:val="0"/>
        </w:rPr>
        <w:t>Whether to report HAP on behalf of owners/operators</w:t>
      </w:r>
      <w:r w:rsidR="00911428">
        <w:rPr>
          <w:rStyle w:val="Strong"/>
          <w:b w:val="0"/>
          <w:bCs w:val="0"/>
        </w:rPr>
        <w:t>;</w:t>
      </w:r>
    </w:p>
    <w:p w:rsidR="002C41E2" w:rsidP="00F17B08" w14:paraId="4EB096DE" w14:textId="285E0B4D">
      <w:pPr>
        <w:pStyle w:val="ListParagraph"/>
        <w:numPr>
          <w:ilvl w:val="0"/>
          <w:numId w:val="20"/>
        </w:numPr>
        <w:rPr>
          <w:rStyle w:val="Strong"/>
          <w:b w:val="0"/>
          <w:bCs w:val="0"/>
        </w:rPr>
      </w:pPr>
      <w:r>
        <w:rPr>
          <w:rStyle w:val="Strong"/>
          <w:b w:val="0"/>
          <w:bCs w:val="0"/>
        </w:rPr>
        <w:t xml:space="preserve">Whether and how to incorporate CAERS into </w:t>
      </w:r>
      <w:r w:rsidR="00F221E3">
        <w:rPr>
          <w:rStyle w:val="Strong"/>
          <w:b w:val="0"/>
          <w:bCs w:val="0"/>
        </w:rPr>
        <w:t>SLT</w:t>
      </w:r>
      <w:r>
        <w:rPr>
          <w:rStyle w:val="Strong"/>
          <w:b w:val="0"/>
          <w:bCs w:val="0"/>
        </w:rPr>
        <w:t xml:space="preserve"> data flows for point sources</w:t>
      </w:r>
      <w:r w:rsidR="00911428">
        <w:rPr>
          <w:rStyle w:val="Strong"/>
          <w:b w:val="0"/>
          <w:bCs w:val="0"/>
        </w:rPr>
        <w:t>.</w:t>
      </w:r>
    </w:p>
    <w:p w:rsidR="002C41E2" w:rsidP="009E08D8" w14:paraId="2912B12D" w14:textId="5A2E634C">
      <w:pPr>
        <w:rPr>
          <w:rStyle w:val="Strong"/>
          <w:b w:val="0"/>
          <w:bCs w:val="0"/>
        </w:rPr>
      </w:pPr>
    </w:p>
    <w:p w:rsidR="002C41E2" w:rsidP="009E08D8" w14:paraId="30419BEB" w14:textId="6C47EBB8">
      <w:pPr>
        <w:rPr>
          <w:rStyle w:val="Strong"/>
          <w:b w:val="0"/>
          <w:bCs w:val="0"/>
        </w:rPr>
      </w:pPr>
      <w:r>
        <w:rPr>
          <w:rStyle w:val="Strong"/>
          <w:b w:val="0"/>
          <w:bCs w:val="0"/>
        </w:rPr>
        <w:t xml:space="preserve">For the choice of whether to report HAP on behalf of owners/operators, </w:t>
      </w:r>
      <w:r w:rsidRPr="009860F4" w:rsidR="009860F4">
        <w:rPr>
          <w:rStyle w:val="Strong"/>
        </w:rPr>
        <w:fldChar w:fldCharType="begin"/>
      </w:r>
      <w:r w:rsidRPr="009860F4" w:rsidR="009860F4">
        <w:rPr>
          <w:rStyle w:val="Strong"/>
        </w:rPr>
        <w:instrText xml:space="preserve"> REF _Ref116727851 \h  \* MERGEFORMAT </w:instrText>
      </w:r>
      <w:r w:rsidRPr="009860F4" w:rsidR="009860F4">
        <w:rPr>
          <w:rStyle w:val="Strong"/>
        </w:rPr>
        <w:fldChar w:fldCharType="separate"/>
      </w:r>
      <w:r w:rsidRPr="0020098E" w:rsidR="00646F0F">
        <w:t xml:space="preserve">Table </w:t>
      </w:r>
      <w:r w:rsidR="00646F0F">
        <w:rPr>
          <w:noProof/>
        </w:rPr>
        <w:t>15</w:t>
      </w:r>
      <w:r w:rsidRPr="009860F4" w:rsidR="009860F4">
        <w:rPr>
          <w:rStyle w:val="Strong"/>
        </w:rPr>
        <w:fldChar w:fldCharType="end"/>
      </w:r>
      <w:r w:rsidR="009860F4">
        <w:rPr>
          <w:rStyle w:val="Strong"/>
          <w:b w:val="0"/>
          <w:bCs w:val="0"/>
        </w:rPr>
        <w:t xml:space="preserve"> provides the various scenarios for impact on the burden included in this ICR. If a SLT chooses to report HAP on behalf of owners/operators then</w:t>
      </w:r>
      <w:r w:rsidR="00911428">
        <w:rPr>
          <w:rStyle w:val="Strong"/>
          <w:b w:val="0"/>
          <w:bCs w:val="0"/>
        </w:rPr>
        <w:t>,</w:t>
      </w:r>
      <w:r w:rsidR="009860F4">
        <w:rPr>
          <w:rStyle w:val="Strong"/>
          <w:b w:val="0"/>
          <w:bCs w:val="0"/>
        </w:rPr>
        <w:t xml:space="preserve"> during the </w:t>
      </w:r>
      <w:r w:rsidR="00C21E78">
        <w:rPr>
          <w:rStyle w:val="Strong"/>
          <w:b w:val="0"/>
          <w:bCs w:val="0"/>
        </w:rPr>
        <w:t xml:space="preserve">2024-2026 </w:t>
      </w:r>
      <w:r w:rsidR="009860F4">
        <w:rPr>
          <w:rStyle w:val="Strong"/>
          <w:b w:val="0"/>
          <w:bCs w:val="0"/>
        </w:rPr>
        <w:t>period of this ICR</w:t>
      </w:r>
      <w:r w:rsidR="00911428">
        <w:rPr>
          <w:rStyle w:val="Strong"/>
          <w:b w:val="0"/>
          <w:bCs w:val="0"/>
        </w:rPr>
        <w:t>,</w:t>
      </w:r>
      <w:r w:rsidR="009860F4">
        <w:rPr>
          <w:rStyle w:val="Strong"/>
          <w:b w:val="0"/>
          <w:bCs w:val="0"/>
        </w:rPr>
        <w:t xml:space="preserve"> the SLT would have additional burden to implement the HAP reporting requirements previously described. During the subsequent ICR period</w:t>
      </w:r>
      <w:r w:rsidR="00C21E78">
        <w:rPr>
          <w:rStyle w:val="Strong"/>
          <w:b w:val="0"/>
          <w:bCs w:val="0"/>
        </w:rPr>
        <w:t xml:space="preserve"> (2027-2029)</w:t>
      </w:r>
      <w:r w:rsidR="009860F4">
        <w:rPr>
          <w:rStyle w:val="Strong"/>
          <w:b w:val="0"/>
          <w:bCs w:val="0"/>
        </w:rPr>
        <w:t>, the SLT would have additional burden to collect and report HAP. If an SLT chooses to not to report HAP on behalf of owners/operators, then there would be no impact on the SLT during this ICR period but in the subsequent period</w:t>
      </w:r>
      <w:r w:rsidR="00911428">
        <w:rPr>
          <w:rStyle w:val="Strong"/>
          <w:b w:val="0"/>
          <w:bCs w:val="0"/>
        </w:rPr>
        <w:t>,</w:t>
      </w:r>
      <w:r w:rsidR="009860F4">
        <w:rPr>
          <w:rStyle w:val="Strong"/>
          <w:b w:val="0"/>
          <w:bCs w:val="0"/>
        </w:rPr>
        <w:t xml:space="preserve"> there could be an impact when an SLT chooses to receive HAP data from EPA. There is no significant burden impact of this choice on facilities, unless </w:t>
      </w:r>
      <w:r w:rsidR="0072199B">
        <w:rPr>
          <w:rStyle w:val="Strong"/>
          <w:b w:val="0"/>
          <w:bCs w:val="0"/>
        </w:rPr>
        <w:t xml:space="preserve">for SLTs that continue to require HAP to be reported to the state without integrating with </w:t>
      </w:r>
      <w:r w:rsidRPr="0072199B" w:rsidR="0072199B">
        <w:rPr>
          <w:rStyle w:val="Strong"/>
          <w:b w:val="0"/>
          <w:bCs w:val="0"/>
        </w:rPr>
        <w:t xml:space="preserve">CAERS or accepting the responsibility of reporting HAP on behalf of owners/operators. </w:t>
      </w:r>
      <w:r w:rsidRPr="0072199B" w:rsidR="0072199B">
        <w:rPr>
          <w:rStyle w:val="Strong"/>
          <w:b w:val="0"/>
          <w:bCs w:val="0"/>
        </w:rPr>
        <w:fldChar w:fldCharType="begin"/>
      </w:r>
      <w:r w:rsidRPr="0072199B" w:rsidR="0072199B">
        <w:rPr>
          <w:rStyle w:val="Strong"/>
          <w:b w:val="0"/>
          <w:bCs w:val="0"/>
        </w:rPr>
        <w:instrText xml:space="preserve"> REF _Ref116727851 \h  \* MERGEFORMAT </w:instrText>
      </w:r>
      <w:r w:rsidRPr="0072199B" w:rsidR="0072199B">
        <w:rPr>
          <w:rStyle w:val="Strong"/>
          <w:b w:val="0"/>
          <w:bCs w:val="0"/>
        </w:rPr>
        <w:fldChar w:fldCharType="separate"/>
      </w:r>
      <w:r w:rsidRPr="0020098E" w:rsidR="00646F0F">
        <w:t xml:space="preserve">Table </w:t>
      </w:r>
      <w:r w:rsidR="00646F0F">
        <w:rPr>
          <w:noProof/>
        </w:rPr>
        <w:t>15</w:t>
      </w:r>
      <w:r w:rsidRPr="0072199B" w:rsidR="0072199B">
        <w:rPr>
          <w:rStyle w:val="Strong"/>
          <w:b w:val="0"/>
          <w:bCs w:val="0"/>
        </w:rPr>
        <w:fldChar w:fldCharType="end"/>
      </w:r>
      <w:r w:rsidRPr="0072199B" w:rsidR="0072199B">
        <w:rPr>
          <w:rStyle w:val="Strong"/>
          <w:b w:val="0"/>
          <w:bCs w:val="0"/>
        </w:rPr>
        <w:t xml:space="preserve"> reflects this</w:t>
      </w:r>
      <w:r w:rsidR="0072199B">
        <w:rPr>
          <w:rStyle w:val="Strong"/>
        </w:rPr>
        <w:t xml:space="preserve"> </w:t>
      </w:r>
      <w:r w:rsidR="0072199B">
        <w:rPr>
          <w:rStyle w:val="Strong"/>
          <w:b w:val="0"/>
          <w:bCs w:val="0"/>
        </w:rPr>
        <w:t>last point in the footnote</w:t>
      </w:r>
      <w:r w:rsidR="0072199B">
        <w:rPr>
          <w:rStyle w:val="Strong"/>
        </w:rPr>
        <w:t>.</w:t>
      </w:r>
    </w:p>
    <w:p w:rsidR="00402F43" w:rsidP="009E08D8" w14:paraId="2C985A5B" w14:textId="77777777">
      <w:pPr>
        <w:rPr>
          <w:rStyle w:val="Strong"/>
          <w:b w:val="0"/>
          <w:bCs w:val="0"/>
        </w:rPr>
      </w:pPr>
    </w:p>
    <w:p w:rsidR="00ED5F89" w:rsidRPr="00402F43" w:rsidP="00402F43" w14:paraId="0C9A9720" w14:textId="7780EEC5">
      <w:pPr>
        <w:pStyle w:val="Caption"/>
        <w:rPr>
          <w:rStyle w:val="Strong"/>
          <w:b w:val="0"/>
          <w:bCs w:val="0"/>
        </w:rPr>
      </w:pPr>
      <w:bookmarkStart w:id="47" w:name="_Ref116727851"/>
      <w:r w:rsidRPr="0020098E">
        <w:t xml:space="preserve">Table </w:t>
      </w:r>
      <w:r w:rsidR="00E05ECE">
        <w:fldChar w:fldCharType="begin"/>
      </w:r>
      <w:r w:rsidR="00E05ECE">
        <w:instrText xml:space="preserve"> SEQ Table \* ARABIC </w:instrText>
      </w:r>
      <w:r w:rsidR="00E05ECE">
        <w:fldChar w:fldCharType="separate"/>
      </w:r>
      <w:r w:rsidR="00646F0F">
        <w:rPr>
          <w:noProof/>
        </w:rPr>
        <w:t>15</w:t>
      </w:r>
      <w:r w:rsidR="00E05ECE">
        <w:rPr>
          <w:noProof/>
        </w:rPr>
        <w:fldChar w:fldCharType="end"/>
      </w:r>
      <w:bookmarkEnd w:id="47"/>
      <w:r w:rsidRPr="0020098E">
        <w:t>: I</w:t>
      </w:r>
      <w:r w:rsidRPr="00402F43">
        <w:t>mpacts</w:t>
      </w:r>
      <w:r>
        <w:t xml:space="preserve"> on burden depending on SLT choice of whether to report HAP</w:t>
      </w:r>
    </w:p>
    <w:tbl>
      <w:tblPr>
        <w:tblW w:w="9350" w:type="dxa"/>
        <w:tblLook w:val="04A0"/>
      </w:tblPr>
      <w:tblGrid>
        <w:gridCol w:w="3950"/>
        <w:gridCol w:w="2360"/>
        <w:gridCol w:w="3040"/>
      </w:tblGrid>
      <w:tr w14:paraId="64C89DB1" w14:textId="77777777" w:rsidTr="00F221E3">
        <w:tblPrEx>
          <w:tblW w:w="9350" w:type="dxa"/>
          <w:tblLook w:val="04A0"/>
        </w:tblPrEx>
        <w:trPr>
          <w:trHeight w:val="432"/>
          <w:tblHeader/>
        </w:trPr>
        <w:tc>
          <w:tcPr>
            <w:tcW w:w="39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2F43" w:rsidRPr="00402F43" w:rsidP="00F221E3" w14:paraId="5523C75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Impacts to ICR</w:t>
            </w:r>
          </w:p>
        </w:tc>
        <w:tc>
          <w:tcPr>
            <w:tcW w:w="2360" w:type="dxa"/>
            <w:tcBorders>
              <w:top w:val="single" w:sz="8" w:space="0" w:color="auto"/>
              <w:left w:val="nil"/>
              <w:bottom w:val="single" w:sz="8" w:space="0" w:color="auto"/>
              <w:right w:val="single" w:sz="8" w:space="0" w:color="auto"/>
            </w:tcBorders>
            <w:shd w:val="clear" w:color="auto" w:fill="auto"/>
            <w:noWrap/>
            <w:vAlign w:val="center"/>
            <w:hideMark/>
          </w:tcPr>
          <w:p w:rsidR="00402F43" w:rsidRPr="00402F43" w:rsidP="00F221E3" w14:paraId="58A3A787" w14:textId="7B05E0E3">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SLT Chooses </w:t>
            </w:r>
            <w:r w:rsidR="00C21E78">
              <w:rPr>
                <w:rFonts w:ascii="Calibri" w:hAnsi="Calibri" w:cs="Calibri"/>
                <w:b/>
                <w:bCs/>
                <w:color w:val="000000"/>
                <w:szCs w:val="22"/>
              </w:rPr>
              <w:br/>
              <w:t>HAP Reporting</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rsidR="00402F43" w:rsidRPr="00402F43" w:rsidP="00F221E3" w14:paraId="195ECC19" w14:textId="056CFA4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SLT Chooses </w:t>
            </w:r>
            <w:r w:rsidRPr="00402F43">
              <w:rPr>
                <w:rFonts w:ascii="Calibri" w:hAnsi="Calibri" w:cs="Calibri"/>
                <w:b/>
                <w:bCs/>
                <w:color w:val="000000"/>
                <w:szCs w:val="22"/>
              </w:rPr>
              <w:t>No</w:t>
            </w:r>
            <w:r w:rsidR="00C21E78">
              <w:rPr>
                <w:rFonts w:ascii="Calibri" w:hAnsi="Calibri" w:cs="Calibri"/>
                <w:b/>
                <w:bCs/>
                <w:color w:val="000000"/>
                <w:szCs w:val="22"/>
              </w:rPr>
              <w:t xml:space="preserve"> </w:t>
            </w:r>
            <w:r w:rsidR="00C21E78">
              <w:rPr>
                <w:rFonts w:ascii="Calibri" w:hAnsi="Calibri" w:cs="Calibri"/>
                <w:b/>
                <w:bCs/>
                <w:color w:val="000000"/>
                <w:szCs w:val="22"/>
              </w:rPr>
              <w:br/>
              <w:t>HAP Reporting</w:t>
            </w:r>
          </w:p>
        </w:tc>
      </w:tr>
      <w:tr w14:paraId="55B90ADA" w14:textId="77777777" w:rsidTr="00995E7F">
        <w:tblPrEx>
          <w:tblW w:w="9350" w:type="dxa"/>
          <w:tblLook w:val="04A0"/>
        </w:tblPrEx>
        <w:trPr>
          <w:trHeight w:val="432"/>
        </w:trPr>
        <w:tc>
          <w:tcPr>
            <w:tcW w:w="3950" w:type="dxa"/>
            <w:tcBorders>
              <w:top w:val="nil"/>
              <w:left w:val="single" w:sz="8" w:space="0" w:color="auto"/>
              <w:bottom w:val="single" w:sz="8" w:space="0" w:color="auto"/>
              <w:right w:val="nil"/>
            </w:tcBorders>
            <w:shd w:val="clear" w:color="000000" w:fill="D9D9D9"/>
            <w:noWrap/>
            <w:vAlign w:val="center"/>
            <w:hideMark/>
          </w:tcPr>
          <w:p w:rsidR="00402F43" w:rsidRPr="00402F43" w:rsidP="00F221E3" w14:paraId="7F567B7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2024-2026</w:t>
            </w:r>
          </w:p>
        </w:tc>
        <w:tc>
          <w:tcPr>
            <w:tcW w:w="2360" w:type="dxa"/>
            <w:tcBorders>
              <w:top w:val="nil"/>
              <w:left w:val="nil"/>
              <w:bottom w:val="single" w:sz="8" w:space="0" w:color="auto"/>
              <w:right w:val="nil"/>
            </w:tcBorders>
            <w:shd w:val="clear" w:color="000000" w:fill="D9D9D9"/>
            <w:noWrap/>
            <w:vAlign w:val="center"/>
            <w:hideMark/>
          </w:tcPr>
          <w:p w:rsidR="00402F43" w:rsidRPr="00402F43" w:rsidP="00F221E3" w14:paraId="33CC9C1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3040" w:type="dxa"/>
            <w:tcBorders>
              <w:top w:val="nil"/>
              <w:left w:val="nil"/>
              <w:bottom w:val="single" w:sz="8" w:space="0" w:color="auto"/>
              <w:right w:val="single" w:sz="8" w:space="0" w:color="auto"/>
            </w:tcBorders>
            <w:shd w:val="clear" w:color="000000" w:fill="D9D9D9"/>
            <w:noWrap/>
            <w:vAlign w:val="center"/>
            <w:hideMark/>
          </w:tcPr>
          <w:p w:rsidR="00402F43" w:rsidRPr="00402F43" w:rsidP="00F221E3" w14:paraId="4B8C056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 </w:t>
            </w:r>
          </w:p>
        </w:tc>
      </w:tr>
      <w:tr w14:paraId="6ADFAA6C" w14:textId="77777777" w:rsidTr="00995E7F">
        <w:tblPrEx>
          <w:tblW w:w="9350" w:type="dxa"/>
          <w:tblLook w:val="04A0"/>
        </w:tblPrEx>
        <w:trPr>
          <w:trHeight w:val="432"/>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2F43" w:rsidRPr="00402F43" w:rsidP="00F221E3" w14:paraId="36E2286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SLT Estimated Burden</w:t>
            </w:r>
          </w:p>
        </w:tc>
        <w:tc>
          <w:tcPr>
            <w:tcW w:w="2360" w:type="dxa"/>
            <w:tcBorders>
              <w:top w:val="single" w:sz="8" w:space="0" w:color="auto"/>
              <w:left w:val="nil"/>
              <w:bottom w:val="single" w:sz="8" w:space="0" w:color="auto"/>
              <w:right w:val="single" w:sz="8" w:space="0" w:color="auto"/>
            </w:tcBorders>
            <w:shd w:val="clear" w:color="auto" w:fill="auto"/>
            <w:vAlign w:val="center"/>
            <w:hideMark/>
          </w:tcPr>
          <w:p w:rsidR="00402F43" w:rsidRPr="00402F43" w:rsidP="00F221E3" w14:paraId="1D34139E" w14:textId="775B2A1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_Ref105774537 \h  \* MERGEFORMAT </w:instrText>
            </w:r>
            <w:r w:rsidRPr="00B965FD">
              <w:rPr>
                <w:rFonts w:ascii="Calibri" w:hAnsi="Calibri" w:cs="Calibri"/>
                <w:color w:val="000000"/>
                <w:szCs w:val="22"/>
              </w:rPr>
              <w:fldChar w:fldCharType="separate"/>
            </w:r>
            <w:r w:rsidRPr="0020098E" w:rsidR="00646F0F">
              <w:t xml:space="preserve">Table </w:t>
            </w:r>
            <w:r w:rsidR="00646F0F">
              <w:rPr>
                <w:noProof/>
              </w:rPr>
              <w:t>3</w:t>
            </w:r>
            <w:r w:rsidRPr="00B965FD">
              <w:rPr>
                <w:rFonts w:ascii="Calibri" w:hAnsi="Calibri" w:cs="Calibri"/>
                <w:color w:val="000000"/>
                <w:szCs w:val="22"/>
              </w:rPr>
              <w:fldChar w:fldCharType="end"/>
            </w:r>
            <w:r w:rsidRPr="00402F43">
              <w:rPr>
                <w:rFonts w:ascii="Calibri" w:hAnsi="Calibri" w:cs="Calibri"/>
                <w:color w:val="000000"/>
                <w:szCs w:val="22"/>
              </w:rPr>
              <w:t>a, Voluntary</w:t>
            </w:r>
          </w:p>
        </w:tc>
        <w:tc>
          <w:tcPr>
            <w:tcW w:w="3040" w:type="dxa"/>
            <w:tcBorders>
              <w:top w:val="single" w:sz="8" w:space="0" w:color="auto"/>
              <w:left w:val="nil"/>
              <w:bottom w:val="single" w:sz="8" w:space="0" w:color="auto"/>
              <w:right w:val="single" w:sz="8" w:space="0" w:color="auto"/>
            </w:tcBorders>
            <w:shd w:val="clear" w:color="auto" w:fill="auto"/>
            <w:noWrap/>
            <w:vAlign w:val="center"/>
            <w:hideMark/>
          </w:tcPr>
          <w:p w:rsidR="00402F43" w:rsidRPr="00402F43" w:rsidP="00F221E3" w14:paraId="71E149F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p>
        </w:tc>
      </w:tr>
      <w:tr w14:paraId="56025B0E" w14:textId="77777777" w:rsidTr="008A7F3A">
        <w:tblPrEx>
          <w:tblW w:w="9350" w:type="dxa"/>
          <w:tblLook w:val="04A0"/>
        </w:tblPrEx>
        <w:trPr>
          <w:trHeight w:val="432"/>
        </w:trPr>
        <w:tc>
          <w:tcPr>
            <w:tcW w:w="39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95E7F" w:rsidRPr="00402F43" w:rsidP="00402F43" w14:paraId="2199F0D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Owners/Operators Estimated Burden</w:t>
            </w:r>
          </w:p>
        </w:tc>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95E7F" w:rsidRPr="00402F43" w:rsidP="00402F43" w14:paraId="7D66091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p>
        </w:tc>
        <w:tc>
          <w:tcPr>
            <w:tcW w:w="3040" w:type="dxa"/>
            <w:tcBorders>
              <w:top w:val="single" w:sz="8" w:space="0" w:color="auto"/>
              <w:left w:val="single" w:sz="8" w:space="0" w:color="auto"/>
              <w:bottom w:val="single" w:sz="8" w:space="0" w:color="auto"/>
              <w:right w:val="single" w:sz="8" w:space="0" w:color="auto"/>
            </w:tcBorders>
            <w:shd w:val="clear" w:color="auto" w:fill="auto"/>
            <w:vAlign w:val="center"/>
          </w:tcPr>
          <w:p w:rsidR="00995E7F" w:rsidRPr="00402F43" w:rsidP="00402F43" w14:paraId="3F525E8F" w14:textId="7E0299B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None</w:t>
            </w:r>
          </w:p>
        </w:tc>
      </w:tr>
      <w:tr w14:paraId="67A9E45C" w14:textId="77777777" w:rsidTr="009860F4">
        <w:tblPrEx>
          <w:tblW w:w="9350" w:type="dxa"/>
          <w:tblLook w:val="04A0"/>
        </w:tblPrEx>
        <w:trPr>
          <w:trHeight w:val="432"/>
        </w:trPr>
        <w:tc>
          <w:tcPr>
            <w:tcW w:w="3950" w:type="dxa"/>
            <w:tcBorders>
              <w:top w:val="nil"/>
              <w:left w:val="single" w:sz="8" w:space="0" w:color="auto"/>
              <w:bottom w:val="single" w:sz="8" w:space="0" w:color="auto"/>
              <w:right w:val="nil"/>
            </w:tcBorders>
            <w:shd w:val="clear" w:color="000000" w:fill="D9D9D9"/>
            <w:noWrap/>
            <w:vAlign w:val="center"/>
            <w:hideMark/>
          </w:tcPr>
          <w:p w:rsidR="00402F43" w:rsidRPr="00402F43" w:rsidP="00F221E3" w14:paraId="336C1063" w14:textId="7F5F301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2027-2029</w:t>
            </w:r>
          </w:p>
        </w:tc>
        <w:tc>
          <w:tcPr>
            <w:tcW w:w="2360" w:type="dxa"/>
            <w:tcBorders>
              <w:top w:val="nil"/>
              <w:left w:val="nil"/>
              <w:bottom w:val="single" w:sz="8" w:space="0" w:color="auto"/>
              <w:right w:val="nil"/>
            </w:tcBorders>
            <w:shd w:val="clear" w:color="000000" w:fill="D9D9D9"/>
            <w:noWrap/>
            <w:vAlign w:val="center"/>
            <w:hideMark/>
          </w:tcPr>
          <w:p w:rsidR="00402F43" w:rsidRPr="00402F43" w:rsidP="00F221E3" w14:paraId="53BD79C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3040" w:type="dxa"/>
            <w:tcBorders>
              <w:top w:val="nil"/>
              <w:left w:val="nil"/>
              <w:bottom w:val="single" w:sz="8" w:space="0" w:color="auto"/>
              <w:right w:val="single" w:sz="8" w:space="0" w:color="auto"/>
            </w:tcBorders>
            <w:shd w:val="clear" w:color="000000" w:fill="D9D9D9"/>
            <w:noWrap/>
            <w:vAlign w:val="center"/>
            <w:hideMark/>
          </w:tcPr>
          <w:p w:rsidR="00402F43" w:rsidRPr="00402F43" w:rsidP="00F221E3" w14:paraId="26F6DDD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 </w:t>
            </w:r>
          </w:p>
        </w:tc>
      </w:tr>
      <w:tr w14:paraId="68B8B6E0" w14:textId="77777777" w:rsidTr="009860F4">
        <w:tblPrEx>
          <w:tblW w:w="9350" w:type="dxa"/>
          <w:tblLook w:val="04A0"/>
        </w:tblPrEx>
        <w:trPr>
          <w:trHeight w:val="432"/>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402F43" w:rsidRPr="00402F43" w:rsidP="00F221E3" w14:paraId="7BAA9A66"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SLT Estimated Burden</w:t>
            </w:r>
          </w:p>
        </w:tc>
        <w:tc>
          <w:tcPr>
            <w:tcW w:w="2360" w:type="dxa"/>
            <w:tcBorders>
              <w:top w:val="nil"/>
              <w:left w:val="nil"/>
              <w:bottom w:val="single" w:sz="8" w:space="0" w:color="auto"/>
              <w:right w:val="single" w:sz="8" w:space="0" w:color="auto"/>
            </w:tcBorders>
            <w:shd w:val="clear" w:color="auto" w:fill="auto"/>
            <w:vAlign w:val="center"/>
            <w:hideMark/>
          </w:tcPr>
          <w:p w:rsidR="00402F43" w:rsidRPr="00402F43" w:rsidP="00F221E3" w14:paraId="5AF23A5B" w14:textId="6D75284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Collect and report HAP</w:t>
            </w:r>
            <w:r w:rsidR="00F221E3">
              <w:rPr>
                <w:rFonts w:ascii="Calibri" w:hAnsi="Calibri" w:cs="Calibri"/>
                <w:color w:val="000000"/>
                <w:szCs w:val="22"/>
              </w:rPr>
              <w:t xml:space="preserve"> </w:t>
            </w:r>
            <w:r w:rsidR="00B9078D">
              <w:rPr>
                <w:rFonts w:ascii="Calibri" w:hAnsi="Calibri" w:cs="Calibri"/>
                <w:color w:val="000000"/>
                <w:szCs w:val="22"/>
              </w:rPr>
              <w:t xml:space="preserve">data </w:t>
            </w:r>
            <w:r w:rsidR="00F221E3">
              <w:rPr>
                <w:rFonts w:ascii="Calibri" w:hAnsi="Calibri" w:cs="Calibri"/>
                <w:color w:val="000000"/>
                <w:szCs w:val="22"/>
              </w:rPr>
              <w:t>to EPA</w:t>
            </w:r>
          </w:p>
        </w:tc>
        <w:tc>
          <w:tcPr>
            <w:tcW w:w="3040" w:type="dxa"/>
            <w:tcBorders>
              <w:top w:val="nil"/>
              <w:left w:val="nil"/>
              <w:bottom w:val="single" w:sz="8" w:space="0" w:color="auto"/>
              <w:right w:val="single" w:sz="8" w:space="0" w:color="auto"/>
            </w:tcBorders>
            <w:shd w:val="clear" w:color="auto" w:fill="auto"/>
            <w:vAlign w:val="center"/>
            <w:hideMark/>
          </w:tcPr>
          <w:p w:rsidR="00402F43" w:rsidRPr="00402F43" w:rsidP="00F221E3" w14:paraId="19B5A647" w14:textId="33C33CD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 xml:space="preserve">Optionally receive HAP data from </w:t>
            </w:r>
            <w:r w:rsidR="00F221E3">
              <w:rPr>
                <w:rFonts w:ascii="Calibri" w:hAnsi="Calibri" w:cs="Calibri"/>
                <w:color w:val="000000"/>
                <w:szCs w:val="22"/>
              </w:rPr>
              <w:t xml:space="preserve">EPA via </w:t>
            </w:r>
            <w:r w:rsidRPr="00402F43">
              <w:rPr>
                <w:rFonts w:ascii="Calibri" w:hAnsi="Calibri" w:cs="Calibri"/>
                <w:color w:val="000000"/>
                <w:szCs w:val="22"/>
              </w:rPr>
              <w:t>CAERS</w:t>
            </w:r>
          </w:p>
        </w:tc>
      </w:tr>
      <w:tr w14:paraId="4257B2BE" w14:textId="77777777" w:rsidTr="009860F4">
        <w:tblPrEx>
          <w:tblW w:w="9350" w:type="dxa"/>
          <w:tblLook w:val="04A0"/>
        </w:tblPrEx>
        <w:trPr>
          <w:trHeight w:val="432"/>
        </w:trPr>
        <w:tc>
          <w:tcPr>
            <w:tcW w:w="3950" w:type="dxa"/>
            <w:tcBorders>
              <w:top w:val="nil"/>
              <w:left w:val="single" w:sz="8" w:space="0" w:color="auto"/>
              <w:bottom w:val="single" w:sz="8" w:space="0" w:color="auto"/>
              <w:right w:val="single" w:sz="8" w:space="0" w:color="auto"/>
            </w:tcBorders>
            <w:shd w:val="clear" w:color="auto" w:fill="auto"/>
            <w:vAlign w:val="center"/>
            <w:hideMark/>
          </w:tcPr>
          <w:p w:rsidR="00402F43" w:rsidRPr="00402F43" w:rsidP="00402F43" w14:paraId="114C9B5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Owners/Operators Estimated Burden</w:t>
            </w:r>
          </w:p>
        </w:tc>
        <w:tc>
          <w:tcPr>
            <w:tcW w:w="2360" w:type="dxa"/>
            <w:tcBorders>
              <w:top w:val="nil"/>
              <w:left w:val="nil"/>
              <w:bottom w:val="single" w:sz="8" w:space="0" w:color="auto"/>
              <w:right w:val="single" w:sz="8" w:space="0" w:color="auto"/>
            </w:tcBorders>
            <w:shd w:val="clear" w:color="auto" w:fill="auto"/>
            <w:vAlign w:val="center"/>
            <w:hideMark/>
          </w:tcPr>
          <w:p w:rsidR="00402F43" w:rsidRPr="00402F43" w:rsidP="00402F43" w14:paraId="42F0755B" w14:textId="6AD1FA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Collect and r</w:t>
            </w:r>
            <w:r w:rsidR="009860F4">
              <w:rPr>
                <w:rFonts w:ascii="Calibri" w:hAnsi="Calibri" w:cs="Calibri"/>
                <w:color w:val="000000"/>
                <w:szCs w:val="22"/>
              </w:rPr>
              <w:t xml:space="preserve">eport HAP </w:t>
            </w:r>
            <w:r w:rsidR="00B9078D">
              <w:rPr>
                <w:rFonts w:ascii="Calibri" w:hAnsi="Calibri" w:cs="Calibri"/>
                <w:color w:val="000000"/>
                <w:szCs w:val="22"/>
              </w:rPr>
              <w:t xml:space="preserve">data </w:t>
            </w:r>
            <w:r w:rsidR="009860F4">
              <w:rPr>
                <w:rFonts w:ascii="Calibri" w:hAnsi="Calibri" w:cs="Calibri"/>
                <w:color w:val="000000"/>
                <w:szCs w:val="22"/>
              </w:rPr>
              <w:t>to SLT</w:t>
            </w:r>
          </w:p>
        </w:tc>
        <w:tc>
          <w:tcPr>
            <w:tcW w:w="3040" w:type="dxa"/>
            <w:tcBorders>
              <w:top w:val="nil"/>
              <w:left w:val="nil"/>
              <w:bottom w:val="single" w:sz="8" w:space="0" w:color="auto"/>
              <w:right w:val="single" w:sz="8" w:space="0" w:color="auto"/>
            </w:tcBorders>
            <w:shd w:val="clear" w:color="auto" w:fill="auto"/>
            <w:vAlign w:val="center"/>
            <w:hideMark/>
          </w:tcPr>
          <w:p w:rsidR="00402F43" w:rsidRPr="00402F43" w:rsidP="00402F43" w14:paraId="1DD2FD9A" w14:textId="16DDE7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vertAlign w:val="superscript"/>
              </w:rPr>
            </w:pPr>
            <w:r>
              <w:rPr>
                <w:rFonts w:ascii="Calibri" w:hAnsi="Calibri" w:cs="Calibri"/>
                <w:color w:val="000000"/>
                <w:szCs w:val="22"/>
              </w:rPr>
              <w:t>Report HAP to EPA</w:t>
            </w:r>
            <w:r>
              <w:rPr>
                <w:rFonts w:ascii="Calibri" w:hAnsi="Calibri" w:cs="Calibri"/>
                <w:color w:val="000000"/>
                <w:szCs w:val="22"/>
                <w:vertAlign w:val="superscript"/>
              </w:rPr>
              <w:t>1</w:t>
            </w:r>
            <w:r w:rsidR="00F221E3">
              <w:rPr>
                <w:rFonts w:ascii="Calibri" w:hAnsi="Calibri" w:cs="Calibri"/>
                <w:color w:val="000000"/>
                <w:szCs w:val="22"/>
              </w:rPr>
              <w:t>; One-time increase to learn to use CAERS</w:t>
            </w:r>
          </w:p>
        </w:tc>
      </w:tr>
    </w:tbl>
    <w:p w:rsidR="00ED5F89" w:rsidRPr="009860F4" w:rsidP="009860F4" w14:paraId="23490EE2" w14:textId="605F284D">
      <w:pPr>
        <w:tabs>
          <w:tab w:val="clear" w:pos="-43"/>
        </w:tabs>
        <w:ind w:left="180" w:hanging="180"/>
        <w:rPr>
          <w:rStyle w:val="Strong"/>
          <w:b w:val="0"/>
          <w:bCs w:val="0"/>
        </w:rPr>
      </w:pPr>
      <w:r>
        <w:rPr>
          <w:rStyle w:val="Strong"/>
          <w:b w:val="0"/>
          <w:bCs w:val="0"/>
          <w:vertAlign w:val="superscript"/>
        </w:rPr>
        <w:t>1</w:t>
      </w:r>
      <w:r>
        <w:rPr>
          <w:rStyle w:val="Strong"/>
          <w:b w:val="0"/>
          <w:bCs w:val="0"/>
        </w:rPr>
        <w:t xml:space="preserve"> </w:t>
      </w:r>
      <w:r>
        <w:rPr>
          <w:rStyle w:val="Strong"/>
          <w:b w:val="0"/>
          <w:bCs w:val="0"/>
        </w:rPr>
        <w:tab/>
        <w:t>In this scenario, if an SLT were to retain their own HAP reporting requirements for reporting to the SLT, then an owner/operator would have duplicative reporting requirements to both SLT and EPA.</w:t>
      </w:r>
    </w:p>
    <w:p w:rsidR="009860F4" w:rsidP="009E08D8" w14:paraId="0BC74376" w14:textId="312EA471">
      <w:pPr>
        <w:rPr>
          <w:rStyle w:val="Strong"/>
          <w:b w:val="0"/>
          <w:bCs w:val="0"/>
        </w:rPr>
      </w:pPr>
    </w:p>
    <w:p w:rsidR="00EB7FBE" w:rsidP="009E08D8" w14:paraId="0481AAAF" w14:textId="71F0D2F9">
      <w:pPr>
        <w:rPr>
          <w:rStyle w:val="Strong"/>
          <w:b w:val="0"/>
          <w:bCs w:val="0"/>
        </w:rPr>
      </w:pPr>
      <w:r>
        <w:rPr>
          <w:rStyle w:val="Strong"/>
          <w:b w:val="0"/>
          <w:bCs w:val="0"/>
        </w:rPr>
        <w:t xml:space="preserve">For the choice of whether and how to incorporate CAERS into SLT data flows for point sources, </w:t>
      </w:r>
      <w:r w:rsidRPr="00F221E3">
        <w:rPr>
          <w:rStyle w:val="Strong"/>
        </w:rPr>
        <w:fldChar w:fldCharType="begin"/>
      </w:r>
      <w:r w:rsidRPr="00F221E3">
        <w:rPr>
          <w:rStyle w:val="Strong"/>
        </w:rPr>
        <w:instrText xml:space="preserve"> REF _Ref116728708 \h  \* MERGEFORMAT </w:instrText>
      </w:r>
      <w:r w:rsidRPr="00F221E3">
        <w:rPr>
          <w:rStyle w:val="Strong"/>
        </w:rPr>
        <w:fldChar w:fldCharType="separate"/>
      </w:r>
      <w:r w:rsidRPr="0020098E" w:rsidR="00646F0F">
        <w:t xml:space="preserve">Table </w:t>
      </w:r>
      <w:r w:rsidR="00646F0F">
        <w:rPr>
          <w:noProof/>
        </w:rPr>
        <w:t>16</w:t>
      </w:r>
      <w:r w:rsidRPr="00F221E3">
        <w:rPr>
          <w:rStyle w:val="Strong"/>
        </w:rPr>
        <w:fldChar w:fldCharType="end"/>
      </w:r>
      <w:r>
        <w:rPr>
          <w:rStyle w:val="Strong"/>
        </w:rPr>
        <w:t xml:space="preserve"> </w:t>
      </w:r>
      <w:r>
        <w:rPr>
          <w:rStyle w:val="Strong"/>
          <w:b w:val="0"/>
          <w:bCs w:val="0"/>
        </w:rPr>
        <w:t xml:space="preserve">provides the various scenarios for impact on the burden included in this ICR. </w:t>
      </w:r>
      <w:r w:rsidR="0072199B">
        <w:rPr>
          <w:rStyle w:val="Strong"/>
          <w:b w:val="0"/>
          <w:bCs w:val="0"/>
        </w:rPr>
        <w:t xml:space="preserve">Section </w:t>
      </w:r>
      <w:r w:rsidR="0072199B">
        <w:rPr>
          <w:rStyle w:val="Strong"/>
          <w:b w:val="0"/>
          <w:bCs w:val="0"/>
        </w:rPr>
        <w:fldChar w:fldCharType="begin"/>
      </w:r>
      <w:r w:rsidR="0072199B">
        <w:rPr>
          <w:rStyle w:val="Strong"/>
          <w:b w:val="0"/>
          <w:bCs w:val="0"/>
        </w:rPr>
        <w:instrText xml:space="preserve"> REF _Ref106892581 \r \h </w:instrText>
      </w:r>
      <w:r w:rsidR="0072199B">
        <w:rPr>
          <w:rStyle w:val="Strong"/>
          <w:b w:val="0"/>
          <w:bCs w:val="0"/>
        </w:rPr>
        <w:fldChar w:fldCharType="separate"/>
      </w:r>
      <w:r w:rsidR="00646F0F">
        <w:rPr>
          <w:rStyle w:val="Strong"/>
          <w:b w:val="0"/>
          <w:bCs w:val="0"/>
        </w:rPr>
        <w:t>12.3</w:t>
      </w:r>
      <w:r w:rsidR="0072199B">
        <w:rPr>
          <w:rStyle w:val="Strong"/>
          <w:b w:val="0"/>
          <w:bCs w:val="0"/>
        </w:rPr>
        <w:fldChar w:fldCharType="end"/>
      </w:r>
      <w:r w:rsidR="0072199B">
        <w:rPr>
          <w:rStyle w:val="Strong"/>
          <w:b w:val="0"/>
          <w:bCs w:val="0"/>
        </w:rPr>
        <w:t xml:space="preserve"> has previously described the various CAERS cases that SLTs can consider. </w:t>
      </w:r>
      <w:r>
        <w:rPr>
          <w:rStyle w:val="Strong"/>
          <w:b w:val="0"/>
          <w:bCs w:val="0"/>
        </w:rPr>
        <w:t xml:space="preserve">During the 2024 to 2026 period, SLTs retaining </w:t>
      </w:r>
      <w:r w:rsidRPr="007464CD">
        <w:rPr>
          <w:rStyle w:val="Strong"/>
          <w:b w:val="0"/>
          <w:bCs w:val="0"/>
        </w:rPr>
        <w:t xml:space="preserve">their point source collection system or using CAERS </w:t>
      </w:r>
      <w:r w:rsidRPr="007464CD">
        <w:rPr>
          <w:rStyle w:val="Strong"/>
          <w:b w:val="0"/>
          <w:bCs w:val="0"/>
        </w:rPr>
        <w:t>c</w:t>
      </w:r>
      <w:r w:rsidRPr="007464CD">
        <w:rPr>
          <w:rStyle w:val="Strong"/>
          <w:b w:val="0"/>
          <w:bCs w:val="0"/>
        </w:rPr>
        <w:t xml:space="preserve">ases 1 or 2 do not have impacts reflected in this ICR. If choosing </w:t>
      </w:r>
      <w:r w:rsidRPr="007464CD">
        <w:rPr>
          <w:rStyle w:val="Strong"/>
          <w:b w:val="0"/>
          <w:bCs w:val="0"/>
        </w:rPr>
        <w:t>c</w:t>
      </w:r>
      <w:r w:rsidRPr="007464CD">
        <w:rPr>
          <w:rStyle w:val="Strong"/>
          <w:b w:val="0"/>
          <w:bCs w:val="0"/>
        </w:rPr>
        <w:t>ases 3 or 4, SLTs have a one-time burden increase associated with implementation (</w:t>
      </w:r>
      <w:r w:rsidRPr="007464CD">
        <w:rPr>
          <w:rStyle w:val="Strong"/>
        </w:rPr>
        <w:fldChar w:fldCharType="begin"/>
      </w:r>
      <w:r w:rsidRPr="007464CD">
        <w:rPr>
          <w:rStyle w:val="Strong"/>
        </w:rPr>
        <w:instrText xml:space="preserve"> REF _Ref105774537 \h  \* MERGEFORMAT </w:instrText>
      </w:r>
      <w:r w:rsidRPr="007464CD">
        <w:rPr>
          <w:rStyle w:val="Strong"/>
        </w:rPr>
        <w:fldChar w:fldCharType="separate"/>
      </w:r>
      <w:r w:rsidRPr="0020098E" w:rsidR="00646F0F">
        <w:t xml:space="preserve">Table </w:t>
      </w:r>
      <w:r w:rsidR="00646F0F">
        <w:rPr>
          <w:noProof/>
        </w:rPr>
        <w:t>3</w:t>
      </w:r>
      <w:r w:rsidRPr="007464CD">
        <w:rPr>
          <w:rStyle w:val="Strong"/>
        </w:rPr>
        <w:fldChar w:fldCharType="end"/>
      </w:r>
      <w:r w:rsidRPr="007464CD">
        <w:rPr>
          <w:rStyle w:val="Strong"/>
          <w:b w:val="0"/>
          <w:bCs w:val="0"/>
        </w:rPr>
        <w:t>b) and once implemented a reduction in burden (</w:t>
      </w:r>
      <w:r w:rsidRPr="007464CD">
        <w:rPr>
          <w:rStyle w:val="Strong"/>
        </w:rPr>
        <w:fldChar w:fldCharType="begin"/>
      </w:r>
      <w:r w:rsidRPr="007464CD">
        <w:rPr>
          <w:rStyle w:val="Strong"/>
        </w:rPr>
        <w:instrText xml:space="preserve"> REF _Ref107481236 \h  \* MERGEFORMAT </w:instrText>
      </w:r>
      <w:r w:rsidRPr="007464CD">
        <w:rPr>
          <w:rStyle w:val="Strong"/>
        </w:rPr>
        <w:fldChar w:fldCharType="separate"/>
      </w:r>
      <w:r w:rsidRPr="0020098E" w:rsidR="00646F0F">
        <w:t xml:space="preserve">Table </w:t>
      </w:r>
      <w:r w:rsidR="00646F0F">
        <w:rPr>
          <w:noProof/>
        </w:rPr>
        <w:t>8</w:t>
      </w:r>
      <w:r w:rsidRPr="007464CD">
        <w:rPr>
          <w:rStyle w:val="Strong"/>
        </w:rPr>
        <w:fldChar w:fldCharType="end"/>
      </w:r>
      <w:r w:rsidRPr="007464CD">
        <w:rPr>
          <w:rStyle w:val="Strong"/>
          <w:b w:val="0"/>
          <w:bCs w:val="0"/>
        </w:rPr>
        <w:t>b).</w:t>
      </w:r>
      <w:r w:rsidRPr="007464CD">
        <w:rPr>
          <w:rStyle w:val="Strong"/>
          <w:b w:val="0"/>
          <w:bCs w:val="0"/>
        </w:rPr>
        <w:t xml:space="preserve"> </w:t>
      </w:r>
      <w:r w:rsidRPr="007464CD" w:rsidR="00911428">
        <w:rPr>
          <w:rStyle w:val="Strong"/>
          <w:b w:val="0"/>
          <w:bCs w:val="0"/>
        </w:rPr>
        <w:t>The</w:t>
      </w:r>
      <w:r w:rsidR="00911428">
        <w:rPr>
          <w:rStyle w:val="Strong"/>
          <w:b w:val="0"/>
          <w:bCs w:val="0"/>
        </w:rPr>
        <w:t xml:space="preserve"> o</w:t>
      </w:r>
      <w:r>
        <w:rPr>
          <w:rStyle w:val="Strong"/>
          <w:b w:val="0"/>
          <w:bCs w:val="0"/>
        </w:rPr>
        <w:t xml:space="preserve">wners/operators burden is not different due to the SLT choice. </w:t>
      </w:r>
    </w:p>
    <w:p w:rsidR="00EB7FBE" w:rsidP="009E08D8" w14:paraId="597D99B9" w14:textId="77777777">
      <w:pPr>
        <w:rPr>
          <w:rStyle w:val="Strong"/>
          <w:b w:val="0"/>
          <w:bCs w:val="0"/>
        </w:rPr>
      </w:pPr>
    </w:p>
    <w:p w:rsidR="00F221E3" w:rsidP="009E08D8" w14:paraId="65675146" w14:textId="782A90C8">
      <w:pPr>
        <w:rPr>
          <w:rStyle w:val="Strong"/>
          <w:b w:val="0"/>
          <w:bCs w:val="0"/>
        </w:rPr>
      </w:pPr>
      <w:r>
        <w:rPr>
          <w:rStyle w:val="Strong"/>
          <w:b w:val="0"/>
          <w:bCs w:val="0"/>
        </w:rPr>
        <w:t xml:space="preserve">For the 2027-2029 period, </w:t>
      </w:r>
      <w:r w:rsidRPr="00F221E3">
        <w:rPr>
          <w:rStyle w:val="Strong"/>
        </w:rPr>
        <w:fldChar w:fldCharType="begin"/>
      </w:r>
      <w:r w:rsidRPr="00F221E3">
        <w:rPr>
          <w:rStyle w:val="Strong"/>
        </w:rPr>
        <w:instrText xml:space="preserve"> REF _Ref116728708 \h  \* MERGEFORMAT </w:instrText>
      </w:r>
      <w:r w:rsidRPr="00F221E3">
        <w:rPr>
          <w:rStyle w:val="Strong"/>
        </w:rPr>
        <w:fldChar w:fldCharType="separate"/>
      </w:r>
      <w:r w:rsidRPr="0020098E" w:rsidR="00646F0F">
        <w:t xml:space="preserve">Table </w:t>
      </w:r>
      <w:r w:rsidR="00646F0F">
        <w:rPr>
          <w:noProof/>
        </w:rPr>
        <w:t>16</w:t>
      </w:r>
      <w:r w:rsidRPr="00F221E3">
        <w:rPr>
          <w:rStyle w:val="Strong"/>
        </w:rPr>
        <w:fldChar w:fldCharType="end"/>
      </w:r>
      <w:r>
        <w:rPr>
          <w:rStyle w:val="Strong"/>
        </w:rPr>
        <w:t xml:space="preserve"> </w:t>
      </w:r>
      <w:r w:rsidRPr="00EB7FBE">
        <w:rPr>
          <w:rStyle w:val="Strong"/>
          <w:b w:val="0"/>
          <w:bCs w:val="0"/>
        </w:rPr>
        <w:t xml:space="preserve">shows that </w:t>
      </w:r>
      <w:r>
        <w:rPr>
          <w:rStyle w:val="Strong"/>
          <w:b w:val="0"/>
          <w:bCs w:val="0"/>
        </w:rPr>
        <w:t xml:space="preserve">SLTs choosing CAERS cases 3 or 4 continue to experience burden reductions during this period and would have additional burden reduction associated with lower implementation for supporting the HAP collection requirements that start in 2027. In all cases in this period, owners/operators would be reporting HAP, but the impact varies depending on the SLT choices for whether and how to incorporate CAERS. For SLTs retaining their existing system or implementing CAERS cases 1 or 2, it will be a lower burden for owners/operators if they also choose to report HAP on behalf of owners/operators (previous table). Not doing so could create a duplicative requirement for owners/operators when SLTs have their own HAP reporting requirements. Finally, </w:t>
      </w:r>
      <w:r w:rsidR="00052A7F">
        <w:rPr>
          <w:rStyle w:val="Strong"/>
          <w:b w:val="0"/>
          <w:bCs w:val="0"/>
        </w:rPr>
        <w:t xml:space="preserve">the </w:t>
      </w:r>
      <w:r>
        <w:rPr>
          <w:rStyle w:val="Strong"/>
          <w:b w:val="0"/>
          <w:bCs w:val="0"/>
        </w:rPr>
        <w:t>burden for owners/operators for SLTs that choose CAERS cases 3 or 4 would have a one-time increase to learn to use CAERS but then owners/operators would benefit from the consolidated reporting opportunities CAERS will provide.</w:t>
      </w:r>
    </w:p>
    <w:p w:rsidR="00F221E3" w:rsidP="009E08D8" w14:paraId="3272658A" w14:textId="77777777">
      <w:pPr>
        <w:rPr>
          <w:rStyle w:val="Strong"/>
          <w:b w:val="0"/>
          <w:bCs w:val="0"/>
        </w:rPr>
      </w:pPr>
    </w:p>
    <w:p w:rsidR="00402F43" w:rsidP="00402F43" w14:paraId="6589E738" w14:textId="68AFC468">
      <w:pPr>
        <w:pStyle w:val="Caption"/>
        <w:rPr>
          <w:rStyle w:val="Strong"/>
          <w:b w:val="0"/>
          <w:bCs w:val="0"/>
        </w:rPr>
      </w:pPr>
      <w:bookmarkStart w:id="48" w:name="_Ref116728708"/>
      <w:r w:rsidRPr="0020098E">
        <w:t xml:space="preserve">Table </w:t>
      </w:r>
      <w:r w:rsidR="00E05ECE">
        <w:fldChar w:fldCharType="begin"/>
      </w:r>
      <w:r w:rsidR="00E05ECE">
        <w:instrText xml:space="preserve"> SEQ Table \* ARABIC </w:instrText>
      </w:r>
      <w:r w:rsidR="00E05ECE">
        <w:fldChar w:fldCharType="separate"/>
      </w:r>
      <w:r w:rsidR="00646F0F">
        <w:rPr>
          <w:noProof/>
        </w:rPr>
        <w:t>16</w:t>
      </w:r>
      <w:r w:rsidR="00E05ECE">
        <w:rPr>
          <w:noProof/>
        </w:rPr>
        <w:fldChar w:fldCharType="end"/>
      </w:r>
      <w:bookmarkEnd w:id="48"/>
      <w:r w:rsidRPr="0020098E">
        <w:t>: Impacts</w:t>
      </w:r>
      <w:r>
        <w:t xml:space="preserve"> on burden depending on SLT choice of whether and how to incorporate CAERS</w:t>
      </w:r>
    </w:p>
    <w:tbl>
      <w:tblPr>
        <w:tblW w:w="9440" w:type="dxa"/>
        <w:tblLook w:val="04A0"/>
      </w:tblPr>
      <w:tblGrid>
        <w:gridCol w:w="2330"/>
        <w:gridCol w:w="2160"/>
        <w:gridCol w:w="2430"/>
        <w:gridCol w:w="2520"/>
      </w:tblGrid>
      <w:tr w14:paraId="4834D169" w14:textId="77777777" w:rsidTr="00F221E3">
        <w:tblPrEx>
          <w:tblW w:w="9440" w:type="dxa"/>
          <w:tblLook w:val="04A0"/>
        </w:tblPrEx>
        <w:trPr>
          <w:trHeight w:val="600"/>
          <w:tblHeader/>
        </w:trPr>
        <w:tc>
          <w:tcPr>
            <w:tcW w:w="23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02F43" w:rsidRPr="00402F43" w:rsidP="00F221E3" w14:paraId="26FD540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Impacts to ICR</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rsidR="00402F43" w:rsidRPr="00402F43" w:rsidP="00F221E3" w14:paraId="5F8D00A8" w14:textId="217483F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02F43">
              <w:rPr>
                <w:rFonts w:ascii="Calibri" w:hAnsi="Calibri" w:cs="Calibri"/>
                <w:b/>
                <w:bCs/>
                <w:color w:val="000000"/>
                <w:szCs w:val="22"/>
              </w:rPr>
              <w:t>SLT System, As-Is or CAERS Case</w:t>
            </w:r>
            <w:r w:rsidR="00F221E3">
              <w:rPr>
                <w:rFonts w:ascii="Calibri" w:hAnsi="Calibri" w:cs="Calibri"/>
                <w:b/>
                <w:bCs/>
                <w:color w:val="000000"/>
                <w:szCs w:val="22"/>
              </w:rPr>
              <w:t>s</w:t>
            </w:r>
            <w:r w:rsidRPr="00402F43">
              <w:rPr>
                <w:rFonts w:ascii="Calibri" w:hAnsi="Calibri" w:cs="Calibri"/>
                <w:b/>
                <w:bCs/>
                <w:color w:val="000000"/>
                <w:szCs w:val="22"/>
              </w:rPr>
              <w:t xml:space="preserve"> 1 or 2</w:t>
            </w:r>
          </w:p>
        </w:tc>
        <w:tc>
          <w:tcPr>
            <w:tcW w:w="2430" w:type="dxa"/>
            <w:tcBorders>
              <w:top w:val="single" w:sz="8" w:space="0" w:color="auto"/>
              <w:left w:val="nil"/>
              <w:bottom w:val="single" w:sz="8" w:space="0" w:color="auto"/>
              <w:right w:val="single" w:sz="8" w:space="0" w:color="auto"/>
            </w:tcBorders>
            <w:shd w:val="clear" w:color="auto" w:fill="auto"/>
            <w:noWrap/>
            <w:vAlign w:val="bottom"/>
            <w:hideMark/>
          </w:tcPr>
          <w:p w:rsidR="00402F43" w:rsidRPr="00402F43" w:rsidP="00F221E3" w14:paraId="3F5F19C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02F43">
              <w:rPr>
                <w:rFonts w:ascii="Calibri" w:hAnsi="Calibri" w:cs="Calibri"/>
                <w:b/>
                <w:bCs/>
                <w:color w:val="000000"/>
                <w:szCs w:val="22"/>
              </w:rPr>
              <w:t>CAERS Case 3</w:t>
            </w:r>
          </w:p>
        </w:tc>
        <w:tc>
          <w:tcPr>
            <w:tcW w:w="2520" w:type="dxa"/>
            <w:tcBorders>
              <w:top w:val="single" w:sz="8" w:space="0" w:color="auto"/>
              <w:left w:val="nil"/>
              <w:bottom w:val="single" w:sz="8" w:space="0" w:color="auto"/>
              <w:right w:val="single" w:sz="8" w:space="0" w:color="auto"/>
            </w:tcBorders>
            <w:shd w:val="clear" w:color="auto" w:fill="auto"/>
            <w:noWrap/>
            <w:vAlign w:val="bottom"/>
            <w:hideMark/>
          </w:tcPr>
          <w:p w:rsidR="00402F43" w:rsidRPr="00402F43" w:rsidP="00F221E3" w14:paraId="3E6BCA1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02F43">
              <w:rPr>
                <w:rFonts w:ascii="Calibri" w:hAnsi="Calibri" w:cs="Calibri"/>
                <w:b/>
                <w:bCs/>
                <w:color w:val="000000"/>
                <w:szCs w:val="22"/>
              </w:rPr>
              <w:t>CAERS Case 4</w:t>
            </w:r>
          </w:p>
        </w:tc>
      </w:tr>
      <w:tr w14:paraId="69C8C752" w14:textId="77777777" w:rsidTr="009860F4">
        <w:tblPrEx>
          <w:tblW w:w="9440" w:type="dxa"/>
          <w:tblLook w:val="04A0"/>
        </w:tblPrEx>
        <w:trPr>
          <w:trHeight w:val="300"/>
        </w:trPr>
        <w:tc>
          <w:tcPr>
            <w:tcW w:w="2330" w:type="dxa"/>
            <w:tcBorders>
              <w:top w:val="nil"/>
              <w:left w:val="single" w:sz="8" w:space="0" w:color="auto"/>
              <w:bottom w:val="nil"/>
              <w:right w:val="nil"/>
            </w:tcBorders>
            <w:shd w:val="clear" w:color="000000" w:fill="D9D9D9"/>
            <w:noWrap/>
            <w:vAlign w:val="bottom"/>
            <w:hideMark/>
          </w:tcPr>
          <w:p w:rsidR="00402F43" w:rsidRPr="00402F43" w:rsidP="00F221E3" w14:paraId="2D52890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2024-2026</w:t>
            </w:r>
          </w:p>
        </w:tc>
        <w:tc>
          <w:tcPr>
            <w:tcW w:w="2160" w:type="dxa"/>
            <w:tcBorders>
              <w:top w:val="nil"/>
              <w:left w:val="nil"/>
              <w:bottom w:val="nil"/>
              <w:right w:val="nil"/>
            </w:tcBorders>
            <w:shd w:val="clear" w:color="000000" w:fill="D9D9D9"/>
            <w:noWrap/>
            <w:vAlign w:val="bottom"/>
            <w:hideMark/>
          </w:tcPr>
          <w:p w:rsidR="00402F43" w:rsidRPr="00402F43" w:rsidP="00F221E3" w14:paraId="5260A4B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2430" w:type="dxa"/>
            <w:tcBorders>
              <w:top w:val="nil"/>
              <w:left w:val="nil"/>
              <w:bottom w:val="single" w:sz="8" w:space="0" w:color="auto"/>
              <w:right w:val="nil"/>
            </w:tcBorders>
            <w:shd w:val="clear" w:color="000000" w:fill="D9D9D9"/>
            <w:noWrap/>
            <w:vAlign w:val="center"/>
            <w:hideMark/>
          </w:tcPr>
          <w:p w:rsidR="00402F43" w:rsidRPr="00402F43" w:rsidP="00F221E3" w14:paraId="609CF1E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2520" w:type="dxa"/>
            <w:tcBorders>
              <w:top w:val="nil"/>
              <w:left w:val="nil"/>
              <w:bottom w:val="single" w:sz="8" w:space="0" w:color="auto"/>
              <w:right w:val="single" w:sz="8" w:space="0" w:color="auto"/>
            </w:tcBorders>
            <w:shd w:val="clear" w:color="000000" w:fill="D9D9D9"/>
            <w:noWrap/>
            <w:vAlign w:val="center"/>
            <w:hideMark/>
          </w:tcPr>
          <w:p w:rsidR="00402F43" w:rsidRPr="00402F43" w:rsidP="00F221E3" w14:paraId="7FF80AF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r>
      <w:tr w14:paraId="1F907C1B" w14:textId="77777777" w:rsidTr="009860F4">
        <w:tblPrEx>
          <w:tblW w:w="9440" w:type="dxa"/>
          <w:tblLook w:val="04A0"/>
        </w:tblPrEx>
        <w:trPr>
          <w:trHeight w:val="590"/>
        </w:trPr>
        <w:tc>
          <w:tcPr>
            <w:tcW w:w="23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2F43" w:rsidRPr="00402F43" w:rsidP="00F221E3" w14:paraId="569373B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SLT Estimated Burden</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402F43" w:rsidRPr="00402F43" w:rsidP="00F221E3" w14:paraId="71CB5F5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p>
        </w:tc>
        <w:tc>
          <w:tcPr>
            <w:tcW w:w="2430" w:type="dxa"/>
            <w:tcBorders>
              <w:top w:val="nil"/>
              <w:left w:val="nil"/>
              <w:bottom w:val="single" w:sz="8" w:space="0" w:color="auto"/>
              <w:right w:val="single" w:sz="8" w:space="0" w:color="auto"/>
            </w:tcBorders>
            <w:shd w:val="clear" w:color="auto" w:fill="auto"/>
            <w:vAlign w:val="center"/>
            <w:hideMark/>
          </w:tcPr>
          <w:p w:rsidR="00402F43" w:rsidRPr="00B965FD" w:rsidP="00F221E3" w14:paraId="221666DA" w14:textId="7CB1C8A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_Ref105774537 \h  \* MERGEFORMAT </w:instrText>
            </w:r>
            <w:r w:rsidRPr="00B965FD">
              <w:rPr>
                <w:rFonts w:ascii="Calibri" w:hAnsi="Calibri" w:cs="Calibri"/>
                <w:color w:val="000000"/>
                <w:szCs w:val="22"/>
              </w:rPr>
              <w:fldChar w:fldCharType="separate"/>
            </w:r>
            <w:r w:rsidRPr="0020098E" w:rsidR="00646F0F">
              <w:t xml:space="preserve">Table </w:t>
            </w:r>
            <w:r w:rsidR="00646F0F">
              <w:rPr>
                <w:noProof/>
              </w:rPr>
              <w:t>3</w:t>
            </w:r>
            <w:r w:rsidRPr="00B965FD">
              <w:rPr>
                <w:rFonts w:ascii="Calibri" w:hAnsi="Calibri" w:cs="Calibri"/>
                <w:color w:val="000000"/>
                <w:szCs w:val="22"/>
              </w:rPr>
              <w:fldChar w:fldCharType="end"/>
            </w:r>
            <w:r w:rsidRPr="00B965FD">
              <w:rPr>
                <w:rFonts w:ascii="Calibri" w:hAnsi="Calibri" w:cs="Calibri"/>
                <w:color w:val="000000"/>
                <w:szCs w:val="22"/>
              </w:rPr>
              <w:t xml:space="preserve">b, </w:t>
            </w:r>
            <w:r w:rsidRPr="00B965FD" w:rsidR="00EB7FBE">
              <w:rPr>
                <w:rFonts w:ascii="Calibri" w:hAnsi="Calibri" w:cs="Calibri"/>
                <w:color w:val="000000"/>
                <w:szCs w:val="22"/>
              </w:rPr>
              <w:t>c</w:t>
            </w:r>
            <w:r w:rsidRPr="00B965FD">
              <w:rPr>
                <w:rFonts w:ascii="Calibri" w:hAnsi="Calibri" w:cs="Calibri"/>
                <w:color w:val="000000"/>
                <w:szCs w:val="22"/>
              </w:rPr>
              <w:t xml:space="preserve">ase 3 Subtotal; </w:t>
            </w: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_Ref107481236 \h  \* MERGEFORMAT </w:instrText>
            </w:r>
            <w:r w:rsidRPr="00B965FD">
              <w:rPr>
                <w:rFonts w:ascii="Calibri" w:hAnsi="Calibri" w:cs="Calibri"/>
                <w:color w:val="000000"/>
                <w:szCs w:val="22"/>
              </w:rPr>
              <w:fldChar w:fldCharType="separate"/>
            </w:r>
            <w:r w:rsidRPr="0020098E" w:rsidR="00646F0F">
              <w:t xml:space="preserve">Table </w:t>
            </w:r>
            <w:r w:rsidR="00646F0F">
              <w:rPr>
                <w:noProof/>
              </w:rPr>
              <w:t>8</w:t>
            </w:r>
            <w:r w:rsidRPr="00B965FD">
              <w:rPr>
                <w:rFonts w:ascii="Calibri" w:hAnsi="Calibri" w:cs="Calibri"/>
                <w:color w:val="000000"/>
                <w:szCs w:val="22"/>
              </w:rPr>
              <w:fldChar w:fldCharType="end"/>
            </w:r>
            <w:r w:rsidRPr="00B965FD">
              <w:rPr>
                <w:rFonts w:ascii="Calibri" w:hAnsi="Calibri" w:cs="Calibri"/>
                <w:color w:val="000000"/>
                <w:szCs w:val="22"/>
              </w:rPr>
              <w:t xml:space="preserve">b, </w:t>
            </w:r>
            <w:r w:rsidRPr="00B965FD" w:rsidR="00EB7FBE">
              <w:rPr>
                <w:rFonts w:ascii="Calibri" w:hAnsi="Calibri" w:cs="Calibri"/>
                <w:color w:val="000000"/>
                <w:szCs w:val="22"/>
              </w:rPr>
              <w:t>c</w:t>
            </w:r>
            <w:r w:rsidRPr="00B965FD">
              <w:rPr>
                <w:rFonts w:ascii="Calibri" w:hAnsi="Calibri" w:cs="Calibri"/>
                <w:color w:val="000000"/>
                <w:szCs w:val="22"/>
              </w:rPr>
              <w:t>ase</w:t>
            </w:r>
            <w:r w:rsidRPr="00B965FD" w:rsidR="00F221E3">
              <w:rPr>
                <w:rFonts w:ascii="Calibri" w:hAnsi="Calibri" w:cs="Calibri"/>
                <w:color w:val="000000"/>
                <w:szCs w:val="22"/>
              </w:rPr>
              <w:t> </w:t>
            </w:r>
            <w:r w:rsidRPr="00B965FD">
              <w:rPr>
                <w:rFonts w:ascii="Calibri" w:hAnsi="Calibri" w:cs="Calibri"/>
                <w:color w:val="000000"/>
                <w:szCs w:val="22"/>
              </w:rPr>
              <w:t>3 reductions</w:t>
            </w:r>
          </w:p>
        </w:tc>
        <w:tc>
          <w:tcPr>
            <w:tcW w:w="2520" w:type="dxa"/>
            <w:tcBorders>
              <w:top w:val="nil"/>
              <w:left w:val="nil"/>
              <w:bottom w:val="single" w:sz="8" w:space="0" w:color="auto"/>
              <w:right w:val="single" w:sz="8" w:space="0" w:color="auto"/>
            </w:tcBorders>
            <w:shd w:val="clear" w:color="auto" w:fill="auto"/>
            <w:vAlign w:val="center"/>
            <w:hideMark/>
          </w:tcPr>
          <w:p w:rsidR="00402F43" w:rsidRPr="00B965FD" w:rsidP="00F221E3" w14:paraId="50747A9B" w14:textId="754E2535">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_Ref105774537 \h  \* MERGEFORMAT </w:instrText>
            </w:r>
            <w:r w:rsidRPr="00B965FD">
              <w:rPr>
                <w:rFonts w:ascii="Calibri" w:hAnsi="Calibri" w:cs="Calibri"/>
                <w:color w:val="000000"/>
                <w:szCs w:val="22"/>
              </w:rPr>
              <w:fldChar w:fldCharType="separate"/>
            </w:r>
            <w:r w:rsidRPr="0020098E" w:rsidR="00646F0F">
              <w:t xml:space="preserve">Table </w:t>
            </w:r>
            <w:r w:rsidR="00646F0F">
              <w:rPr>
                <w:noProof/>
              </w:rPr>
              <w:t>3</w:t>
            </w:r>
            <w:r w:rsidRPr="00B965FD">
              <w:rPr>
                <w:rFonts w:ascii="Calibri" w:hAnsi="Calibri" w:cs="Calibri"/>
                <w:color w:val="000000"/>
                <w:szCs w:val="22"/>
              </w:rPr>
              <w:fldChar w:fldCharType="end"/>
            </w:r>
            <w:r w:rsidRPr="00B965FD">
              <w:rPr>
                <w:rFonts w:ascii="Calibri" w:hAnsi="Calibri" w:cs="Calibri"/>
                <w:color w:val="000000"/>
                <w:szCs w:val="22"/>
              </w:rPr>
              <w:t xml:space="preserve">b, </w:t>
            </w:r>
            <w:r w:rsidRPr="00B965FD" w:rsidR="00EB7FBE">
              <w:rPr>
                <w:rFonts w:ascii="Calibri" w:hAnsi="Calibri" w:cs="Calibri"/>
                <w:color w:val="000000"/>
                <w:szCs w:val="22"/>
              </w:rPr>
              <w:t>c</w:t>
            </w:r>
            <w:r w:rsidRPr="00B965FD">
              <w:rPr>
                <w:rFonts w:ascii="Calibri" w:hAnsi="Calibri" w:cs="Calibri"/>
                <w:color w:val="000000"/>
                <w:szCs w:val="22"/>
              </w:rPr>
              <w:t xml:space="preserve">ase 4 Subtotal; </w:t>
            </w: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_Ref107481236 \h  \* MERGEFORMAT </w:instrText>
            </w:r>
            <w:r w:rsidRPr="00B965FD">
              <w:rPr>
                <w:rFonts w:ascii="Calibri" w:hAnsi="Calibri" w:cs="Calibri"/>
                <w:color w:val="000000"/>
                <w:szCs w:val="22"/>
              </w:rPr>
              <w:fldChar w:fldCharType="separate"/>
            </w:r>
            <w:r w:rsidRPr="0020098E" w:rsidR="00646F0F">
              <w:t xml:space="preserve">Table </w:t>
            </w:r>
            <w:r w:rsidR="00646F0F">
              <w:rPr>
                <w:noProof/>
              </w:rPr>
              <w:t>8</w:t>
            </w:r>
            <w:r w:rsidRPr="00B965FD">
              <w:rPr>
                <w:rFonts w:ascii="Calibri" w:hAnsi="Calibri" w:cs="Calibri"/>
                <w:color w:val="000000"/>
                <w:szCs w:val="22"/>
              </w:rPr>
              <w:fldChar w:fldCharType="end"/>
            </w:r>
            <w:r w:rsidRPr="00B965FD">
              <w:rPr>
                <w:rFonts w:ascii="Calibri" w:hAnsi="Calibri" w:cs="Calibri"/>
                <w:color w:val="000000"/>
                <w:szCs w:val="22"/>
              </w:rPr>
              <w:t xml:space="preserve">b, </w:t>
            </w:r>
            <w:r w:rsidRPr="00B965FD" w:rsidR="00EB7FBE">
              <w:rPr>
                <w:rFonts w:ascii="Calibri" w:hAnsi="Calibri" w:cs="Calibri"/>
                <w:color w:val="000000"/>
                <w:szCs w:val="22"/>
              </w:rPr>
              <w:t>c</w:t>
            </w:r>
            <w:r w:rsidRPr="00B965FD">
              <w:rPr>
                <w:rFonts w:ascii="Calibri" w:hAnsi="Calibri" w:cs="Calibri"/>
                <w:color w:val="000000"/>
                <w:szCs w:val="22"/>
              </w:rPr>
              <w:t>ase</w:t>
            </w:r>
            <w:r w:rsidRPr="00B965FD" w:rsidR="00F221E3">
              <w:rPr>
                <w:rFonts w:ascii="Calibri" w:hAnsi="Calibri" w:cs="Calibri"/>
                <w:color w:val="000000"/>
                <w:szCs w:val="22"/>
              </w:rPr>
              <w:t> </w:t>
            </w:r>
            <w:r w:rsidRPr="00B965FD">
              <w:rPr>
                <w:rFonts w:ascii="Calibri" w:hAnsi="Calibri" w:cs="Calibri"/>
                <w:color w:val="000000"/>
                <w:szCs w:val="22"/>
              </w:rPr>
              <w:t>4 reductions</w:t>
            </w:r>
          </w:p>
        </w:tc>
      </w:tr>
      <w:tr w14:paraId="11ED01C6" w14:textId="77777777" w:rsidTr="009860F4">
        <w:tblPrEx>
          <w:tblW w:w="9440" w:type="dxa"/>
          <w:tblLook w:val="04A0"/>
        </w:tblPrEx>
        <w:trPr>
          <w:trHeight w:val="59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402F43" w:rsidRPr="00402F43" w:rsidP="00402F43" w14:paraId="04F5CB9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Owners/Operators Estimated Burden</w:t>
            </w:r>
          </w:p>
        </w:tc>
        <w:tc>
          <w:tcPr>
            <w:tcW w:w="2160" w:type="dxa"/>
            <w:tcBorders>
              <w:top w:val="nil"/>
              <w:left w:val="nil"/>
              <w:bottom w:val="single" w:sz="8" w:space="0" w:color="auto"/>
              <w:right w:val="single" w:sz="8" w:space="0" w:color="auto"/>
            </w:tcBorders>
            <w:shd w:val="clear" w:color="auto" w:fill="auto"/>
            <w:noWrap/>
            <w:vAlign w:val="center"/>
            <w:hideMark/>
          </w:tcPr>
          <w:p w:rsidR="00402F43" w:rsidRPr="00402F43" w:rsidP="00402F43" w14:paraId="649000A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p>
        </w:tc>
        <w:tc>
          <w:tcPr>
            <w:tcW w:w="2430" w:type="dxa"/>
            <w:tcBorders>
              <w:top w:val="nil"/>
              <w:left w:val="nil"/>
              <w:bottom w:val="single" w:sz="8" w:space="0" w:color="auto"/>
              <w:right w:val="single" w:sz="8" w:space="0" w:color="auto"/>
            </w:tcBorders>
            <w:shd w:val="clear" w:color="auto" w:fill="auto"/>
            <w:noWrap/>
            <w:vAlign w:val="center"/>
            <w:hideMark/>
          </w:tcPr>
          <w:p w:rsidR="00402F43" w:rsidRPr="00402F43" w:rsidP="00402F43" w14:paraId="0376B5C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r w:rsidRPr="00402F43">
              <w:rPr>
                <w:rFonts w:ascii="Calibri" w:hAnsi="Calibri" w:cs="Calibri"/>
                <w:color w:val="000000"/>
                <w:szCs w:val="22"/>
                <w:vertAlign w:val="superscript"/>
              </w:rPr>
              <w:t>1</w:t>
            </w:r>
          </w:p>
        </w:tc>
        <w:tc>
          <w:tcPr>
            <w:tcW w:w="2520" w:type="dxa"/>
            <w:tcBorders>
              <w:top w:val="nil"/>
              <w:left w:val="nil"/>
              <w:bottom w:val="single" w:sz="8" w:space="0" w:color="auto"/>
              <w:right w:val="single" w:sz="8" w:space="0" w:color="auto"/>
            </w:tcBorders>
            <w:shd w:val="clear" w:color="auto" w:fill="auto"/>
            <w:noWrap/>
            <w:vAlign w:val="center"/>
            <w:hideMark/>
          </w:tcPr>
          <w:p w:rsidR="00402F43" w:rsidRPr="00402F43" w:rsidP="00402F43" w14:paraId="7C277CD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r w:rsidRPr="00402F43">
              <w:rPr>
                <w:rFonts w:ascii="Calibri" w:hAnsi="Calibri" w:cs="Calibri"/>
                <w:color w:val="000000"/>
                <w:szCs w:val="22"/>
                <w:vertAlign w:val="superscript"/>
              </w:rPr>
              <w:t>1</w:t>
            </w:r>
          </w:p>
        </w:tc>
      </w:tr>
      <w:tr w14:paraId="14C8F898" w14:textId="77777777" w:rsidTr="009860F4">
        <w:tblPrEx>
          <w:tblW w:w="9440" w:type="dxa"/>
          <w:tblLook w:val="04A0"/>
        </w:tblPrEx>
        <w:trPr>
          <w:trHeight w:val="310"/>
        </w:trPr>
        <w:tc>
          <w:tcPr>
            <w:tcW w:w="2330" w:type="dxa"/>
            <w:tcBorders>
              <w:top w:val="nil"/>
              <w:left w:val="single" w:sz="8" w:space="0" w:color="auto"/>
              <w:bottom w:val="nil"/>
              <w:right w:val="nil"/>
            </w:tcBorders>
            <w:shd w:val="clear" w:color="000000" w:fill="D9D9D9"/>
            <w:noWrap/>
            <w:vAlign w:val="center"/>
            <w:hideMark/>
          </w:tcPr>
          <w:p w:rsidR="00402F43" w:rsidRPr="00402F43" w:rsidP="00F221E3" w14:paraId="4C69CF49" w14:textId="2388027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2027-2029</w:t>
            </w:r>
          </w:p>
        </w:tc>
        <w:tc>
          <w:tcPr>
            <w:tcW w:w="2160" w:type="dxa"/>
            <w:tcBorders>
              <w:top w:val="nil"/>
              <w:left w:val="nil"/>
              <w:bottom w:val="nil"/>
              <w:right w:val="nil"/>
            </w:tcBorders>
            <w:shd w:val="clear" w:color="000000" w:fill="D9D9D9"/>
            <w:noWrap/>
            <w:vAlign w:val="center"/>
            <w:hideMark/>
          </w:tcPr>
          <w:p w:rsidR="00402F43" w:rsidRPr="00402F43" w:rsidP="00F221E3" w14:paraId="124212D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2430" w:type="dxa"/>
            <w:tcBorders>
              <w:top w:val="nil"/>
              <w:left w:val="nil"/>
              <w:bottom w:val="single" w:sz="8" w:space="0" w:color="auto"/>
              <w:right w:val="nil"/>
            </w:tcBorders>
            <w:shd w:val="clear" w:color="000000" w:fill="D9D9D9"/>
            <w:noWrap/>
            <w:vAlign w:val="center"/>
            <w:hideMark/>
          </w:tcPr>
          <w:p w:rsidR="00402F43" w:rsidRPr="00402F43" w:rsidP="00F221E3" w14:paraId="0BDA7EF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c>
          <w:tcPr>
            <w:tcW w:w="2520" w:type="dxa"/>
            <w:tcBorders>
              <w:top w:val="nil"/>
              <w:left w:val="nil"/>
              <w:bottom w:val="single" w:sz="8" w:space="0" w:color="auto"/>
              <w:right w:val="single" w:sz="8" w:space="0" w:color="auto"/>
            </w:tcBorders>
            <w:shd w:val="clear" w:color="000000" w:fill="D9D9D9"/>
            <w:noWrap/>
            <w:vAlign w:val="center"/>
            <w:hideMark/>
          </w:tcPr>
          <w:p w:rsidR="00402F43" w:rsidRPr="00402F43" w:rsidP="00F221E3" w14:paraId="58461CB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sidRPr="00402F43">
              <w:rPr>
                <w:rFonts w:ascii="Calibri" w:hAnsi="Calibri" w:cs="Calibri"/>
                <w:b/>
                <w:bCs/>
                <w:color w:val="000000"/>
                <w:szCs w:val="22"/>
              </w:rPr>
              <w:t> </w:t>
            </w:r>
          </w:p>
        </w:tc>
      </w:tr>
      <w:tr w14:paraId="0EBBA51A" w14:textId="77777777" w:rsidTr="009860F4">
        <w:tblPrEx>
          <w:tblW w:w="9440" w:type="dxa"/>
          <w:tblLook w:val="04A0"/>
        </w:tblPrEx>
        <w:trPr>
          <w:trHeight w:val="880"/>
        </w:trPr>
        <w:tc>
          <w:tcPr>
            <w:tcW w:w="23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2F43" w:rsidRPr="00402F43" w:rsidP="00F221E3" w14:paraId="7CF59DB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SLT Estimated Burden</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402F43" w:rsidRPr="00402F43" w:rsidP="00F221E3" w14:paraId="75B015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None</w:t>
            </w:r>
          </w:p>
        </w:tc>
        <w:tc>
          <w:tcPr>
            <w:tcW w:w="2430" w:type="dxa"/>
            <w:tcBorders>
              <w:top w:val="nil"/>
              <w:left w:val="nil"/>
              <w:bottom w:val="single" w:sz="8" w:space="0" w:color="auto"/>
              <w:right w:val="single" w:sz="8" w:space="0" w:color="auto"/>
            </w:tcBorders>
            <w:shd w:val="clear" w:color="auto" w:fill="auto"/>
            <w:vAlign w:val="center"/>
            <w:hideMark/>
          </w:tcPr>
          <w:p w:rsidR="00402F43" w:rsidRPr="00402F43" w:rsidP="00F221E3" w14:paraId="7F2EF2A1" w14:textId="58CFC97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_Ref107481236 \h  \* MERGEFORMAT </w:instrText>
            </w:r>
            <w:r w:rsidRPr="00B965FD">
              <w:rPr>
                <w:rFonts w:ascii="Calibri" w:hAnsi="Calibri" w:cs="Calibri"/>
                <w:color w:val="000000"/>
                <w:szCs w:val="22"/>
              </w:rPr>
              <w:fldChar w:fldCharType="separate"/>
            </w:r>
            <w:r w:rsidRPr="0020098E" w:rsidR="00646F0F">
              <w:t xml:space="preserve">Table </w:t>
            </w:r>
            <w:r w:rsidR="00646F0F">
              <w:rPr>
                <w:noProof/>
              </w:rPr>
              <w:t>8</w:t>
            </w:r>
            <w:r w:rsidRPr="00B965FD">
              <w:rPr>
                <w:rFonts w:ascii="Calibri" w:hAnsi="Calibri" w:cs="Calibri"/>
                <w:color w:val="000000"/>
                <w:szCs w:val="22"/>
              </w:rPr>
              <w:fldChar w:fldCharType="end"/>
            </w:r>
            <w:r w:rsidRPr="00402F43">
              <w:rPr>
                <w:rFonts w:ascii="Calibri" w:hAnsi="Calibri" w:cs="Calibri"/>
                <w:color w:val="000000"/>
                <w:szCs w:val="22"/>
              </w:rPr>
              <w:t xml:space="preserve">b, </w:t>
            </w:r>
            <w:r w:rsidR="00CF71A4">
              <w:rPr>
                <w:rFonts w:ascii="Calibri" w:hAnsi="Calibri" w:cs="Calibri"/>
                <w:color w:val="000000"/>
                <w:szCs w:val="22"/>
              </w:rPr>
              <w:t>case</w:t>
            </w:r>
            <w:r w:rsidRPr="00402F43">
              <w:rPr>
                <w:rFonts w:ascii="Calibri" w:hAnsi="Calibri" w:cs="Calibri"/>
                <w:color w:val="000000"/>
                <w:szCs w:val="22"/>
              </w:rPr>
              <w:t xml:space="preserve"> 3 reductions</w:t>
            </w:r>
            <w:r>
              <w:rPr>
                <w:rFonts w:ascii="Calibri" w:hAnsi="Calibri" w:cs="Calibri"/>
                <w:color w:val="000000"/>
                <w:szCs w:val="22"/>
              </w:rPr>
              <w:t xml:space="preserve">; </w:t>
            </w:r>
            <w:r w:rsidRPr="00402F43">
              <w:rPr>
                <w:rFonts w:ascii="Calibri" w:hAnsi="Calibri" w:cs="Calibri"/>
                <w:color w:val="000000"/>
                <w:szCs w:val="22"/>
              </w:rPr>
              <w:t>Additional HAP burden reductions</w:t>
            </w:r>
          </w:p>
        </w:tc>
        <w:tc>
          <w:tcPr>
            <w:tcW w:w="2520" w:type="dxa"/>
            <w:tcBorders>
              <w:top w:val="nil"/>
              <w:left w:val="nil"/>
              <w:bottom w:val="single" w:sz="8" w:space="0" w:color="auto"/>
              <w:right w:val="single" w:sz="8" w:space="0" w:color="auto"/>
            </w:tcBorders>
            <w:shd w:val="clear" w:color="auto" w:fill="auto"/>
            <w:vAlign w:val="center"/>
            <w:hideMark/>
          </w:tcPr>
          <w:p w:rsidR="00402F43" w:rsidRPr="00402F43" w:rsidP="00F221E3" w14:paraId="471F16D4" w14:textId="799C105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B965FD">
              <w:rPr>
                <w:rFonts w:ascii="Calibri" w:hAnsi="Calibri" w:cs="Calibri"/>
                <w:color w:val="000000"/>
                <w:szCs w:val="22"/>
              </w:rPr>
              <w:fldChar w:fldCharType="begin"/>
            </w:r>
            <w:r w:rsidRPr="00B965FD">
              <w:rPr>
                <w:rFonts w:ascii="Calibri" w:hAnsi="Calibri" w:cs="Calibri"/>
                <w:color w:val="000000"/>
                <w:szCs w:val="22"/>
              </w:rPr>
              <w:instrText xml:space="preserve"> REF _Ref107481236 \h  \* MERGEFORMAT </w:instrText>
            </w:r>
            <w:r w:rsidRPr="00B965FD">
              <w:rPr>
                <w:rFonts w:ascii="Calibri" w:hAnsi="Calibri" w:cs="Calibri"/>
                <w:color w:val="000000"/>
                <w:szCs w:val="22"/>
              </w:rPr>
              <w:fldChar w:fldCharType="separate"/>
            </w:r>
            <w:r w:rsidRPr="0020098E" w:rsidR="00646F0F">
              <w:t xml:space="preserve">Table </w:t>
            </w:r>
            <w:r w:rsidR="00646F0F">
              <w:rPr>
                <w:noProof/>
              </w:rPr>
              <w:t>8</w:t>
            </w:r>
            <w:r w:rsidRPr="00B965FD">
              <w:rPr>
                <w:rFonts w:ascii="Calibri" w:hAnsi="Calibri" w:cs="Calibri"/>
                <w:color w:val="000000"/>
                <w:szCs w:val="22"/>
              </w:rPr>
              <w:fldChar w:fldCharType="end"/>
            </w:r>
            <w:r w:rsidRPr="00402F43">
              <w:rPr>
                <w:rFonts w:ascii="Calibri" w:hAnsi="Calibri" w:cs="Calibri"/>
                <w:color w:val="000000"/>
                <w:szCs w:val="22"/>
              </w:rPr>
              <w:t xml:space="preserve">b, </w:t>
            </w:r>
            <w:r w:rsidR="00CF71A4">
              <w:rPr>
                <w:rFonts w:ascii="Calibri" w:hAnsi="Calibri" w:cs="Calibri"/>
                <w:color w:val="000000"/>
                <w:szCs w:val="22"/>
              </w:rPr>
              <w:t>case</w:t>
            </w:r>
            <w:r w:rsidRPr="00402F43">
              <w:rPr>
                <w:rFonts w:ascii="Calibri" w:hAnsi="Calibri" w:cs="Calibri"/>
                <w:color w:val="000000"/>
                <w:szCs w:val="22"/>
              </w:rPr>
              <w:t xml:space="preserve"> 3 reductions</w:t>
            </w:r>
            <w:r>
              <w:rPr>
                <w:rFonts w:ascii="Calibri" w:hAnsi="Calibri" w:cs="Calibri"/>
                <w:color w:val="000000"/>
                <w:szCs w:val="22"/>
              </w:rPr>
              <w:t xml:space="preserve">; </w:t>
            </w:r>
            <w:r w:rsidRPr="00402F43">
              <w:rPr>
                <w:rFonts w:ascii="Calibri" w:hAnsi="Calibri" w:cs="Calibri"/>
                <w:color w:val="000000"/>
                <w:szCs w:val="22"/>
              </w:rPr>
              <w:t>Additional HAP burden reductions</w:t>
            </w:r>
          </w:p>
        </w:tc>
      </w:tr>
      <w:tr w14:paraId="0D980515" w14:textId="77777777" w:rsidTr="009860F4">
        <w:tblPrEx>
          <w:tblW w:w="9440" w:type="dxa"/>
          <w:tblLook w:val="04A0"/>
        </w:tblPrEx>
        <w:trPr>
          <w:trHeight w:val="88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402F43" w:rsidRPr="00402F43" w:rsidP="00F221E3" w14:paraId="4FB9810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02F43">
              <w:rPr>
                <w:rFonts w:ascii="Calibri" w:hAnsi="Calibri" w:cs="Calibri"/>
                <w:color w:val="000000"/>
                <w:szCs w:val="22"/>
              </w:rPr>
              <w:t>For Owners/Operators Estimated Burden</w:t>
            </w:r>
          </w:p>
        </w:tc>
        <w:tc>
          <w:tcPr>
            <w:tcW w:w="2160" w:type="dxa"/>
            <w:tcBorders>
              <w:top w:val="nil"/>
              <w:left w:val="nil"/>
              <w:bottom w:val="single" w:sz="8" w:space="0" w:color="auto"/>
              <w:right w:val="single" w:sz="8" w:space="0" w:color="auto"/>
            </w:tcBorders>
            <w:shd w:val="clear" w:color="auto" w:fill="auto"/>
            <w:vAlign w:val="center"/>
            <w:hideMark/>
          </w:tcPr>
          <w:p w:rsidR="00402F43" w:rsidRPr="00402F43" w:rsidP="00F221E3" w14:paraId="1A96E3CC" w14:textId="475A9BA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vertAlign w:val="superscript"/>
              </w:rPr>
            </w:pPr>
            <w:r w:rsidRPr="00402F43">
              <w:rPr>
                <w:rFonts w:ascii="Calibri" w:hAnsi="Calibri" w:cs="Calibri"/>
                <w:color w:val="000000"/>
                <w:szCs w:val="22"/>
              </w:rPr>
              <w:t>Depends on SLT Choice for HAP Reporting Approach</w:t>
            </w:r>
            <w:r>
              <w:rPr>
                <w:rFonts w:ascii="Calibri" w:hAnsi="Calibri" w:cs="Calibri"/>
                <w:color w:val="000000"/>
                <w:szCs w:val="22"/>
                <w:vertAlign w:val="superscript"/>
              </w:rPr>
              <w:t>2</w:t>
            </w:r>
          </w:p>
        </w:tc>
        <w:tc>
          <w:tcPr>
            <w:tcW w:w="4950" w:type="dxa"/>
            <w:gridSpan w:val="2"/>
            <w:tcBorders>
              <w:top w:val="single" w:sz="8" w:space="0" w:color="auto"/>
              <w:left w:val="nil"/>
              <w:bottom w:val="single" w:sz="8" w:space="0" w:color="auto"/>
              <w:right w:val="single" w:sz="8" w:space="0" w:color="000000"/>
            </w:tcBorders>
            <w:shd w:val="clear" w:color="auto" w:fill="auto"/>
            <w:vAlign w:val="center"/>
            <w:hideMark/>
          </w:tcPr>
          <w:p w:rsidR="00402F43" w:rsidRPr="00402F43" w:rsidP="00F221E3" w14:paraId="29ADDA2F" w14:textId="15C0208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402F43">
              <w:rPr>
                <w:rFonts w:ascii="Calibri" w:hAnsi="Calibri" w:cs="Calibri"/>
                <w:color w:val="000000"/>
                <w:szCs w:val="22"/>
              </w:rPr>
              <w:t xml:space="preserve">One-time increase </w:t>
            </w:r>
            <w:r w:rsidR="00F221E3">
              <w:rPr>
                <w:rFonts w:ascii="Calibri" w:hAnsi="Calibri" w:cs="Calibri"/>
                <w:color w:val="000000"/>
                <w:szCs w:val="22"/>
              </w:rPr>
              <w:t>to</w:t>
            </w:r>
            <w:r w:rsidRPr="00402F43">
              <w:rPr>
                <w:rFonts w:ascii="Calibri" w:hAnsi="Calibri" w:cs="Calibri"/>
                <w:color w:val="000000"/>
                <w:szCs w:val="22"/>
              </w:rPr>
              <w:t xml:space="preserve"> learn</w:t>
            </w:r>
            <w:r w:rsidR="00F221E3">
              <w:rPr>
                <w:rFonts w:ascii="Calibri" w:hAnsi="Calibri" w:cs="Calibri"/>
                <w:color w:val="000000"/>
                <w:szCs w:val="22"/>
              </w:rPr>
              <w:t xml:space="preserve"> </w:t>
            </w:r>
            <w:r w:rsidRPr="00402F43">
              <w:rPr>
                <w:rFonts w:ascii="Calibri" w:hAnsi="Calibri" w:cs="Calibri"/>
                <w:color w:val="000000"/>
                <w:szCs w:val="22"/>
              </w:rPr>
              <w:t>to use CAERS</w:t>
            </w:r>
            <w:r w:rsidR="00F221E3">
              <w:rPr>
                <w:rFonts w:ascii="Calibri" w:hAnsi="Calibri" w:cs="Calibri"/>
                <w:color w:val="000000"/>
                <w:szCs w:val="22"/>
              </w:rPr>
              <w:t>;</w:t>
            </w:r>
            <w:r w:rsidRPr="00402F43">
              <w:rPr>
                <w:rFonts w:ascii="Calibri" w:hAnsi="Calibri" w:cs="Calibri"/>
                <w:color w:val="000000"/>
                <w:szCs w:val="22"/>
              </w:rPr>
              <w:t xml:space="preserve"> </w:t>
            </w:r>
            <w:r w:rsidRPr="00402F43">
              <w:rPr>
                <w:rFonts w:ascii="Calibri" w:hAnsi="Calibri" w:cs="Calibri"/>
                <w:color w:val="000000"/>
                <w:szCs w:val="22"/>
              </w:rPr>
              <w:br/>
              <w:t>Burden reduction for consolidated reporting</w:t>
            </w:r>
          </w:p>
        </w:tc>
      </w:tr>
    </w:tbl>
    <w:p w:rsidR="00402F43" w:rsidRPr="00402F43" w:rsidP="00F221E3" w14:paraId="0AAA5625" w14:textId="080E8C7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after="60" w:line="240" w:lineRule="auto"/>
        <w:ind w:left="187" w:hanging="187"/>
        <w:rPr>
          <w:rFonts w:ascii="Calibri" w:hAnsi="Calibri" w:cs="Calibri"/>
          <w:color w:val="000000"/>
          <w:szCs w:val="22"/>
        </w:rPr>
      </w:pPr>
      <w:r w:rsidRPr="00402F43">
        <w:rPr>
          <w:rFonts w:ascii="Calibri" w:hAnsi="Calibri" w:cs="Calibri"/>
          <w:color w:val="000000"/>
          <w:szCs w:val="22"/>
          <w:vertAlign w:val="superscript"/>
        </w:rPr>
        <w:t>1</w:t>
      </w:r>
      <w:r w:rsidRPr="00402F43">
        <w:rPr>
          <w:rFonts w:ascii="Calibri" w:hAnsi="Calibri" w:cs="Calibri"/>
          <w:color w:val="000000"/>
          <w:szCs w:val="22"/>
        </w:rPr>
        <w:t xml:space="preserve"> </w:t>
      </w:r>
      <w:r>
        <w:rPr>
          <w:rFonts w:ascii="Calibri" w:hAnsi="Calibri" w:cs="Calibri"/>
          <w:color w:val="000000"/>
          <w:szCs w:val="22"/>
        </w:rPr>
        <w:tab/>
      </w:r>
      <w:r w:rsidRPr="00402F43">
        <w:rPr>
          <w:rFonts w:ascii="Calibri" w:hAnsi="Calibri" w:cs="Calibri"/>
          <w:color w:val="000000"/>
          <w:szCs w:val="22"/>
        </w:rPr>
        <w:t xml:space="preserve">Owner/Operators would need to learn how to report to CAERS, but that part of the burden is not included in </w:t>
      </w:r>
      <w:r w:rsidR="00F221E3">
        <w:rPr>
          <w:rFonts w:ascii="Calibri" w:hAnsi="Calibri" w:cs="Calibri"/>
          <w:color w:val="000000"/>
          <w:szCs w:val="22"/>
        </w:rPr>
        <w:t>the</w:t>
      </w:r>
      <w:r w:rsidRPr="00402F43">
        <w:rPr>
          <w:rFonts w:ascii="Calibri" w:hAnsi="Calibri" w:cs="Calibri"/>
          <w:color w:val="000000"/>
          <w:szCs w:val="22"/>
        </w:rPr>
        <w:t xml:space="preserve"> </w:t>
      </w:r>
      <w:r w:rsidR="00F221E3">
        <w:rPr>
          <w:rFonts w:ascii="Calibri" w:hAnsi="Calibri" w:cs="Calibri"/>
          <w:color w:val="000000"/>
          <w:szCs w:val="22"/>
        </w:rPr>
        <w:t>current ICR period.</w:t>
      </w:r>
    </w:p>
    <w:p w:rsidR="00402F43" w:rsidRPr="00402F43" w:rsidP="00402F43" w14:paraId="48FF102E" w14:textId="2C6A9C0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165" w:hanging="180"/>
        <w:rPr>
          <w:rFonts w:ascii="Calibri" w:hAnsi="Calibri" w:cs="Calibri"/>
          <w:color w:val="000000"/>
          <w:szCs w:val="22"/>
        </w:rPr>
      </w:pPr>
      <w:r w:rsidRPr="00402F43">
        <w:rPr>
          <w:rFonts w:ascii="Calibri" w:hAnsi="Calibri" w:cs="Calibri"/>
          <w:color w:val="000000"/>
          <w:szCs w:val="22"/>
          <w:vertAlign w:val="superscript"/>
        </w:rPr>
        <w:t>2</w:t>
      </w:r>
      <w:r w:rsidRPr="00402F43">
        <w:rPr>
          <w:rFonts w:ascii="Calibri" w:hAnsi="Calibri" w:cs="Calibri"/>
          <w:color w:val="000000"/>
          <w:szCs w:val="22"/>
        </w:rPr>
        <w:t xml:space="preserve"> </w:t>
      </w:r>
      <w:r>
        <w:rPr>
          <w:rFonts w:ascii="Calibri" w:hAnsi="Calibri" w:cs="Calibri"/>
          <w:color w:val="000000"/>
          <w:szCs w:val="22"/>
        </w:rPr>
        <w:tab/>
      </w:r>
      <w:r w:rsidRPr="00402F43">
        <w:rPr>
          <w:rFonts w:ascii="Calibri" w:hAnsi="Calibri" w:cs="Calibri"/>
          <w:color w:val="000000"/>
          <w:szCs w:val="22"/>
        </w:rPr>
        <w:t>If states do not report HAP on behalf of owners/operators but continue to require HAP reporting to the state separately from CAERS, this would cause owners/operators duplicative reporting</w:t>
      </w:r>
      <w:r w:rsidR="009860F4">
        <w:rPr>
          <w:rFonts w:ascii="Calibri" w:hAnsi="Calibri" w:cs="Calibri"/>
          <w:color w:val="000000"/>
          <w:szCs w:val="22"/>
        </w:rPr>
        <w:t xml:space="preserve"> as also noted in </w:t>
      </w:r>
      <w:r w:rsidRPr="009860F4" w:rsidR="009860F4">
        <w:rPr>
          <w:rFonts w:ascii="Calibri" w:hAnsi="Calibri" w:cs="Calibri"/>
          <w:color w:val="000000"/>
          <w:szCs w:val="22"/>
        </w:rPr>
        <w:fldChar w:fldCharType="begin"/>
      </w:r>
      <w:r w:rsidRPr="009860F4" w:rsidR="009860F4">
        <w:rPr>
          <w:rFonts w:ascii="Calibri" w:hAnsi="Calibri" w:cs="Calibri"/>
          <w:color w:val="000000"/>
          <w:szCs w:val="22"/>
        </w:rPr>
        <w:instrText xml:space="preserve"> REF _Ref116727851 \h  \* MERGEFORMAT </w:instrText>
      </w:r>
      <w:r w:rsidRPr="009860F4" w:rsidR="009860F4">
        <w:rPr>
          <w:rFonts w:ascii="Calibri" w:hAnsi="Calibri" w:cs="Calibri"/>
          <w:color w:val="000000"/>
          <w:szCs w:val="22"/>
        </w:rPr>
        <w:fldChar w:fldCharType="separate"/>
      </w:r>
      <w:r w:rsidRPr="0020098E" w:rsidR="00646F0F">
        <w:t xml:space="preserve">Table </w:t>
      </w:r>
      <w:r w:rsidR="00646F0F">
        <w:rPr>
          <w:noProof/>
        </w:rPr>
        <w:t>15</w:t>
      </w:r>
      <w:r w:rsidRPr="009860F4" w:rsidR="009860F4">
        <w:rPr>
          <w:rFonts w:ascii="Calibri" w:hAnsi="Calibri" w:cs="Calibri"/>
          <w:color w:val="000000"/>
          <w:szCs w:val="22"/>
        </w:rPr>
        <w:fldChar w:fldCharType="end"/>
      </w:r>
      <w:r w:rsidR="009860F4">
        <w:rPr>
          <w:rFonts w:ascii="Calibri" w:hAnsi="Calibri" w:cs="Calibri"/>
          <w:color w:val="000000"/>
          <w:szCs w:val="22"/>
        </w:rPr>
        <w:t>.</w:t>
      </w:r>
    </w:p>
    <w:p w:rsidR="00402F43" w:rsidP="009E08D8" w14:paraId="42E0DF4F" w14:textId="643531BD">
      <w:pPr>
        <w:rPr>
          <w:rStyle w:val="Strong"/>
          <w:b w:val="0"/>
          <w:bCs w:val="0"/>
        </w:rPr>
      </w:pPr>
    </w:p>
    <w:p w:rsidR="00E24EE5" w:rsidP="009E08D8" w14:paraId="6AF99E9D" w14:textId="0145FB69">
      <w:r>
        <w:t xml:space="preserve">In Sections </w:t>
      </w:r>
      <w:r>
        <w:fldChar w:fldCharType="begin"/>
      </w:r>
      <w:r>
        <w:instrText xml:space="preserve"> REF _Ref116729894 \r \h </w:instrText>
      </w:r>
      <w:r>
        <w:fldChar w:fldCharType="separate"/>
      </w:r>
      <w:r w:rsidR="00646F0F">
        <w:t>12</w:t>
      </w:r>
      <w:r>
        <w:fldChar w:fldCharType="end"/>
      </w:r>
      <w:r>
        <w:t xml:space="preserve"> and </w:t>
      </w:r>
      <w:r>
        <w:fldChar w:fldCharType="begin"/>
      </w:r>
      <w:r>
        <w:instrText xml:space="preserve"> REF _Ref116729913 \r \h </w:instrText>
      </w:r>
      <w:r>
        <w:fldChar w:fldCharType="separate"/>
      </w:r>
      <w:r w:rsidR="00646F0F">
        <w:t>13</w:t>
      </w:r>
      <w:r>
        <w:fldChar w:fldCharType="end"/>
      </w:r>
      <w:r>
        <w:t>, EPA has previously describe</w:t>
      </w:r>
      <w:r w:rsidR="00BF7C94">
        <w:t>d</w:t>
      </w:r>
      <w:r>
        <w:t xml:space="preserve"> the choices and assumptions made to forecast the choices </w:t>
      </w:r>
      <w:r w:rsidR="00BF7C94">
        <w:t>of</w:t>
      </w:r>
      <w:r>
        <w:t xml:space="preserve"> SLTs</w:t>
      </w:r>
      <w:r w:rsidR="00BF7C94">
        <w:t>. M</w:t>
      </w:r>
      <w:r>
        <w:t xml:space="preserve">aking different assumptions would significantly impact the overall burden comparison. For example, if more states choose case 4, then there would be more burden reduction associated with the proposed rule. If more states choose case 3, then there is more one-time burden for connecting the SLT data system, but also more burden reduction </w:t>
      </w:r>
      <w:r w:rsidR="00221F91">
        <w:t xml:space="preserve">over time </w:t>
      </w:r>
      <w:r>
        <w:t>based on case 3.</w:t>
      </w:r>
    </w:p>
    <w:p w:rsidR="00E24EE5" w:rsidP="009E08D8" w14:paraId="0D024F2B" w14:textId="2568AB01"/>
    <w:p w:rsidR="00247EE1" w:rsidP="009E08D8" w14:paraId="3B7514B7" w14:textId="6922A359">
      <w:r>
        <w:t xml:space="preserve">In addition to the voluntary choice for mandatory HAP reporting, </w:t>
      </w:r>
      <w:r w:rsidR="00A7448E">
        <w:t xml:space="preserve">and the potential one-time burden increases and long-term burden reductions via CAERS, </w:t>
      </w:r>
      <w:r>
        <w:t xml:space="preserve">the following proposed </w:t>
      </w:r>
      <w:r w:rsidR="00A7448E">
        <w:t>AERR revisions</w:t>
      </w:r>
      <w:r>
        <w:t xml:space="preserve"> </w:t>
      </w:r>
      <w:r w:rsidR="00A7448E">
        <w:t xml:space="preserve">for point sources </w:t>
      </w:r>
      <w:r>
        <w:t>would increase burden on states during the period of this ICR:</w:t>
      </w:r>
    </w:p>
    <w:p w:rsidR="00247EE1" w:rsidP="00F17B08" w14:paraId="143D7204" w14:textId="044B2419">
      <w:pPr>
        <w:pStyle w:val="ListParagraph"/>
        <w:numPr>
          <w:ilvl w:val="0"/>
          <w:numId w:val="21"/>
        </w:numPr>
      </w:pPr>
      <w:r>
        <w:t>Preparation for collecting additional data fields for point sources (for states not using CAERS case 4)</w:t>
      </w:r>
      <w:r w:rsidR="005E2836">
        <w:t>;</w:t>
      </w:r>
    </w:p>
    <w:p w:rsidR="00247EE1" w:rsidP="00F17B08" w14:paraId="5418A5C3" w14:textId="4AC461CA">
      <w:pPr>
        <w:pStyle w:val="ListParagraph"/>
        <w:numPr>
          <w:ilvl w:val="0"/>
          <w:numId w:val="21"/>
        </w:numPr>
      </w:pPr>
      <w:r>
        <w:t>Clarification on the definition of “actual emissions”</w:t>
      </w:r>
      <w:r w:rsidR="0072199B">
        <w:t xml:space="preserve"> (because some states may not be including startup and shutdown in their emissions reports)</w:t>
      </w:r>
      <w:r w:rsidR="005E2836">
        <w:t>;</w:t>
      </w:r>
    </w:p>
    <w:p w:rsidR="00A7448E" w:rsidP="00F17B08" w14:paraId="7EF3354F" w14:textId="6A617E55">
      <w:pPr>
        <w:pStyle w:val="ListParagraph"/>
        <w:numPr>
          <w:ilvl w:val="0"/>
          <w:numId w:val="21"/>
        </w:numPr>
      </w:pPr>
      <w:r>
        <w:t>Requirement to separately report upset/malfunction emissions when they occur</w:t>
      </w:r>
      <w:r w:rsidR="005E2836">
        <w:t>;</w:t>
      </w:r>
    </w:p>
    <w:p w:rsidR="00247EE1" w:rsidP="00F17B08" w14:paraId="75E34FFB" w14:textId="3AAA5CA4">
      <w:pPr>
        <w:pStyle w:val="ListParagraph"/>
        <w:numPr>
          <w:ilvl w:val="0"/>
          <w:numId w:val="21"/>
        </w:numPr>
      </w:pPr>
      <w:r>
        <w:t>Approach for reporting aircraft data as point sources, which codifies what many SLTs are already doing voluntarily</w:t>
      </w:r>
      <w:r w:rsidR="005E2836">
        <w:t>;</w:t>
      </w:r>
    </w:p>
    <w:p w:rsidR="00247EE1" w:rsidP="00F17B08" w14:paraId="5E1200A2" w14:textId="55090B44">
      <w:pPr>
        <w:pStyle w:val="ListParagraph"/>
        <w:numPr>
          <w:ilvl w:val="0"/>
          <w:numId w:val="21"/>
        </w:numPr>
      </w:pPr>
      <w:r>
        <w:t>Approach for reporting rail yards, which codifies what many SLTs are already doing voluntarily</w:t>
      </w:r>
      <w:r w:rsidR="005E2836">
        <w:t>;</w:t>
      </w:r>
    </w:p>
    <w:p w:rsidR="00247EE1" w:rsidP="00F17B08" w14:paraId="25ADE6DD" w14:textId="50CADE50">
      <w:pPr>
        <w:pStyle w:val="ListParagraph"/>
        <w:numPr>
          <w:ilvl w:val="0"/>
          <w:numId w:val="21"/>
        </w:numPr>
      </w:pPr>
      <w:r>
        <w:t>New approach for collecting and reporting data on portable sources (</w:t>
      </w:r>
      <w:r w:rsidR="00A7448E">
        <w:t xml:space="preserve">one </w:t>
      </w:r>
      <w:r>
        <w:t>of several options)</w:t>
      </w:r>
      <w:r w:rsidR="005E2836">
        <w:t>;</w:t>
      </w:r>
    </w:p>
    <w:p w:rsidR="00A7448E" w:rsidP="00F17B08" w14:paraId="4BEB84BB" w14:textId="2962CB4A">
      <w:pPr>
        <w:pStyle w:val="ListParagraph"/>
        <w:numPr>
          <w:ilvl w:val="0"/>
          <w:numId w:val="21"/>
        </w:numPr>
      </w:pPr>
      <w:r>
        <w:t>Inclusion of portable offshore drilling barges in state waters</w:t>
      </w:r>
      <w:r w:rsidR="005E2836">
        <w:t>; and</w:t>
      </w:r>
    </w:p>
    <w:p w:rsidR="00A7448E" w:rsidP="00F17B08" w14:paraId="0C05196F" w14:textId="07EA1EA7">
      <w:pPr>
        <w:pStyle w:val="ListParagraph"/>
        <w:numPr>
          <w:ilvl w:val="0"/>
          <w:numId w:val="21"/>
        </w:numPr>
      </w:pPr>
      <w:r>
        <w:t>Clarification that offshore oil rigs in state waters should be included in point source reports</w:t>
      </w:r>
      <w:r w:rsidR="005E2836">
        <w:t>.</w:t>
      </w:r>
    </w:p>
    <w:p w:rsidR="00247EE1" w:rsidP="009E08D8" w14:paraId="7265E4AE" w14:textId="1EF2D0D3"/>
    <w:p w:rsidR="00A7448E" w:rsidP="009E08D8" w14:paraId="6441E57F" w14:textId="7F36C20C">
      <w:r>
        <w:t>For sources other than point sources, the following proposed AERR revisions would increase burden on states during the period of this ICR:</w:t>
      </w:r>
    </w:p>
    <w:p w:rsidR="00A7448E" w:rsidP="00F17B08" w14:paraId="4DF935BD" w14:textId="659CD321">
      <w:pPr>
        <w:pStyle w:val="ListParagraph"/>
        <w:numPr>
          <w:ilvl w:val="0"/>
          <w:numId w:val="21"/>
        </w:numPr>
      </w:pPr>
      <w:r>
        <w:t>Preparation for the mandatory collection and reporting of prescribed fire activity data</w:t>
      </w:r>
      <w:r w:rsidR="005E2836">
        <w:t>;</w:t>
      </w:r>
    </w:p>
    <w:p w:rsidR="00A7448E" w:rsidP="00F17B08" w14:paraId="2F08956B" w14:textId="409E5E2D">
      <w:pPr>
        <w:pStyle w:val="ListParagraph"/>
        <w:numPr>
          <w:ilvl w:val="0"/>
          <w:numId w:val="21"/>
        </w:numPr>
      </w:pPr>
      <w:r>
        <w:t>Requirement to provide documentation of emissions for nonpoint sectors that are not covered by EPA tools</w:t>
      </w:r>
      <w:r w:rsidR="005E2836">
        <w:t>;</w:t>
      </w:r>
    </w:p>
    <w:p w:rsidR="00341B88" w:rsidP="00F17B08" w14:paraId="603CC5C5" w14:textId="5144252D">
      <w:pPr>
        <w:pStyle w:val="ListParagraph"/>
        <w:numPr>
          <w:ilvl w:val="0"/>
          <w:numId w:val="21"/>
        </w:numPr>
      </w:pPr>
      <w:r>
        <w:t xml:space="preserve">For states overlapping tribal regions for tribes that report to </w:t>
      </w:r>
      <w:r w:rsidR="00204E7E">
        <w:t>EPA</w:t>
      </w:r>
      <w:r>
        <w:t>, the proposed requirement that states exclude activity from those tribal regions when reporting county</w:t>
      </w:r>
      <w:r w:rsidR="00F73788">
        <w:t xml:space="preserve"> totals</w:t>
      </w:r>
      <w:r w:rsidR="005E2836">
        <w:t>;</w:t>
      </w:r>
    </w:p>
    <w:p w:rsidR="00A7448E" w:rsidP="00F17B08" w14:paraId="00A42038" w14:textId="5204CAE9">
      <w:pPr>
        <w:pStyle w:val="ListParagraph"/>
        <w:numPr>
          <w:ilvl w:val="0"/>
          <w:numId w:val="21"/>
        </w:numPr>
      </w:pPr>
      <w:r>
        <w:t>For states who choose to report nonpoint source emissions for sectors with EPA tools, the additional effort to report emissions and documentation in addition to the newly required nonpoint tool inputs</w:t>
      </w:r>
      <w:r w:rsidR="005E2836">
        <w:t>;</w:t>
      </w:r>
    </w:p>
    <w:p w:rsidR="00A7448E" w:rsidP="00F17B08" w14:paraId="43307F46" w14:textId="1D6DFD84">
      <w:pPr>
        <w:pStyle w:val="ListParagraph"/>
        <w:numPr>
          <w:ilvl w:val="0"/>
          <w:numId w:val="21"/>
        </w:numPr>
      </w:pPr>
      <w:r>
        <w:t>For states who choose to report agricultural fire emissions, the additional effort required to report those as events rather than as county totals</w:t>
      </w:r>
      <w:r w:rsidR="005E2836">
        <w:t>; and</w:t>
      </w:r>
    </w:p>
    <w:p w:rsidR="00341B88" w:rsidP="00F17B08" w14:paraId="6C9296DA" w14:textId="73FB999E">
      <w:pPr>
        <w:pStyle w:val="ListParagraph"/>
        <w:numPr>
          <w:ilvl w:val="0"/>
          <w:numId w:val="21"/>
        </w:numPr>
      </w:pPr>
      <w:r>
        <w:t>For California, the requirement to provide documentation of mobile source emissions calculations using California tools</w:t>
      </w:r>
      <w:r w:rsidR="005E2836">
        <w:t>.</w:t>
      </w:r>
    </w:p>
    <w:p w:rsidR="00247EE1" w:rsidP="009E08D8" w14:paraId="6AA8B3F2" w14:textId="3847E2A8"/>
    <w:p w:rsidR="00A7448E" w:rsidP="009E08D8" w14:paraId="38CF224B" w14:textId="1FF8C1FB">
      <w:r>
        <w:t>In addition to the opportunity to use CAERS case 4, some AERR proposed and retained revisions would provide opportunities to decrease SLT burden</w:t>
      </w:r>
      <w:r w:rsidR="00341B88">
        <w:t xml:space="preserve"> during the period of this ICR</w:t>
      </w:r>
      <w:r>
        <w:t>:</w:t>
      </w:r>
    </w:p>
    <w:p w:rsidR="00341B88" w:rsidP="00F17B08" w14:paraId="3624E688" w14:textId="6FEA9844">
      <w:pPr>
        <w:pStyle w:val="ListParagraph"/>
        <w:numPr>
          <w:ilvl w:val="0"/>
          <w:numId w:val="22"/>
        </w:numPr>
      </w:pPr>
      <w:r>
        <w:t>Provision to collect HAP emissions data direction from owners/operators</w:t>
      </w:r>
      <w:r w:rsidR="00BD2FEA">
        <w:t>;</w:t>
      </w:r>
    </w:p>
    <w:p w:rsidR="00A7448E" w:rsidP="00F17B08" w14:paraId="6CCCEE59" w14:textId="22214C5E">
      <w:pPr>
        <w:pStyle w:val="ListParagraph"/>
        <w:numPr>
          <w:ilvl w:val="0"/>
          <w:numId w:val="22"/>
        </w:numPr>
      </w:pPr>
      <w:r>
        <w:t xml:space="preserve">EPA </w:t>
      </w:r>
      <w:r w:rsidR="00341B88">
        <w:t xml:space="preserve">providing </w:t>
      </w:r>
      <w:r>
        <w:t>nonpoint emissions calculation tools</w:t>
      </w:r>
      <w:r w:rsidR="00341B88">
        <w:t xml:space="preserve"> for SLT use rather than requiring each SLT to develop and submit emissions with their own tools</w:t>
      </w:r>
      <w:r w:rsidR="00BD2FEA">
        <w:t>;</w:t>
      </w:r>
    </w:p>
    <w:p w:rsidR="00A7448E" w:rsidP="00F17B08" w14:paraId="6A495379" w14:textId="15FB40ED">
      <w:pPr>
        <w:pStyle w:val="ListParagraph"/>
        <w:numPr>
          <w:ilvl w:val="0"/>
          <w:numId w:val="22"/>
        </w:numPr>
      </w:pPr>
      <w:r>
        <w:t xml:space="preserve">The proposed provision to SLTs to review and accept nonpoint emission tool data provided by </w:t>
      </w:r>
      <w:r w:rsidR="00204E7E">
        <w:t>EPA</w:t>
      </w:r>
      <w:r w:rsidR="00BD2FEA">
        <w:t>;</w:t>
      </w:r>
    </w:p>
    <w:p w:rsidR="00341B88" w:rsidP="00F17B08" w14:paraId="6E672D16" w14:textId="26DCD6FA">
      <w:pPr>
        <w:pStyle w:val="ListParagraph"/>
        <w:numPr>
          <w:ilvl w:val="0"/>
          <w:numId w:val="22"/>
        </w:numPr>
      </w:pPr>
      <w:r>
        <w:t>EPA providing mobile source model inputs for all state/local</w:t>
      </w:r>
      <w:r w:rsidR="00FD48C4">
        <w:t xml:space="preserve"> agencie</w:t>
      </w:r>
      <w:r>
        <w:t>s except California, and the proposed provision to allow state/local</w:t>
      </w:r>
      <w:r w:rsidR="00FD48C4">
        <w:t xml:space="preserve"> agencies</w:t>
      </w:r>
      <w:r>
        <w:t xml:space="preserve"> to review and accept mobile source model inputs provided by </w:t>
      </w:r>
      <w:r w:rsidR="00204E7E">
        <w:t>EPA</w:t>
      </w:r>
      <w:r>
        <w:t xml:space="preserve"> for onroad and nonroad sources</w:t>
      </w:r>
      <w:r w:rsidR="00BD2FEA">
        <w:t>; and</w:t>
      </w:r>
    </w:p>
    <w:p w:rsidR="00341B88" w:rsidP="00F17B08" w14:paraId="464C7B64" w14:textId="43ADA4EC">
      <w:pPr>
        <w:pStyle w:val="ListParagraph"/>
        <w:numPr>
          <w:ilvl w:val="0"/>
          <w:numId w:val="22"/>
        </w:numPr>
      </w:pPr>
      <w:r>
        <w:t>EPA providing activity data for and the proposed provision to allow state/local</w:t>
      </w:r>
      <w:r w:rsidR="00FD48C4">
        <w:t xml:space="preserve"> agencies</w:t>
      </w:r>
      <w:r>
        <w:t xml:space="preserve"> to review and accept aircraft, rail yard, commercial marine vessel, wildfire, and agricultural fire activity data and emissions</w:t>
      </w:r>
      <w:r w:rsidR="00BD2FEA">
        <w:t>.</w:t>
      </w:r>
    </w:p>
    <w:p w:rsidR="00247EE1" w:rsidP="009E08D8" w14:paraId="1FF8DA1F" w14:textId="39E52A18"/>
    <w:p w:rsidR="00BC3B67" w:rsidRPr="00E24EE5" w:rsidP="009E08D8" w14:paraId="2BAFE0BE" w14:textId="72DF6481">
      <w:r w:rsidRPr="00E24EE5">
        <w:fldChar w:fldCharType="begin"/>
      </w:r>
      <w:r w:rsidRPr="00E24EE5">
        <w:instrText xml:space="preserve"> REF _Ref116729613 \h  \* MERGEFORMAT </w:instrText>
      </w:r>
      <w:r w:rsidRPr="00E24EE5">
        <w:fldChar w:fldCharType="separate"/>
      </w:r>
      <w:r w:rsidRPr="0020098E" w:rsidR="00646F0F">
        <w:t xml:space="preserve">Table </w:t>
      </w:r>
      <w:r w:rsidR="00646F0F">
        <w:rPr>
          <w:noProof/>
        </w:rPr>
        <w:t>17</w:t>
      </w:r>
      <w:r w:rsidRPr="00E24EE5">
        <w:fldChar w:fldCharType="end"/>
      </w:r>
      <w:r w:rsidRPr="00E24EE5">
        <w:t xml:space="preserve"> provides</w:t>
      </w:r>
      <w:r>
        <w:t xml:space="preserve"> </w:t>
      </w:r>
      <w:r w:rsidR="002D437A">
        <w:t xml:space="preserve">a comparison from the summary information of </w:t>
      </w:r>
      <w:r w:rsidRPr="002D437A" w:rsidR="002D437A">
        <w:fldChar w:fldCharType="begin"/>
      </w:r>
      <w:r w:rsidRPr="002D437A" w:rsidR="002D437A">
        <w:instrText xml:space="preserve"> REF _Ref116734839 \h  \* MERGEFORMAT </w:instrText>
      </w:r>
      <w:r w:rsidRPr="002D437A" w:rsidR="002D437A">
        <w:fldChar w:fldCharType="separate"/>
      </w:r>
      <w:r w:rsidRPr="0020098E" w:rsidR="00646F0F">
        <w:t xml:space="preserve">Table </w:t>
      </w:r>
      <w:r w:rsidR="00646F0F">
        <w:rPr>
          <w:noProof/>
        </w:rPr>
        <w:t>14</w:t>
      </w:r>
      <w:r w:rsidRPr="002D437A" w:rsidR="002D437A">
        <w:fldChar w:fldCharType="end"/>
      </w:r>
      <w:r w:rsidR="002D437A">
        <w:t xml:space="preserve"> with the previous ICR for the AERR. Because this ICR includes reporting from owners/operators to both SLTs (for CAPs) and to EPA (source test data and owners/operators on tribal lands in 2026), the </w:t>
      </w:r>
      <w:r w:rsidR="00504915">
        <w:t>t</w:t>
      </w:r>
      <w:r w:rsidR="00B9078D">
        <w:t>able provides the results separately for</w:t>
      </w:r>
      <w:r w:rsidR="002D437A">
        <w:t xml:space="preserve"> owners/operators </w:t>
      </w:r>
      <w:r w:rsidR="00B9078D">
        <w:t>and for</w:t>
      </w:r>
      <w:r w:rsidR="002D437A">
        <w:t xml:space="preserve"> SLTs.</w:t>
      </w:r>
    </w:p>
    <w:p w:rsidR="006D3458" w:rsidRPr="00E059E3" w:rsidP="009E08D8" w14:paraId="1AFB1B76" w14:textId="77777777"/>
    <w:p w:rsidR="00523CED" w:rsidP="00E24EE5" w14:paraId="22D5DAA3" w14:textId="4B029BA1">
      <w:pPr>
        <w:pStyle w:val="Caption"/>
        <w:rPr>
          <w:rFonts w:ascii="Shruti" w:hAnsi="Shruti" w:cs="Shruti"/>
        </w:rPr>
      </w:pPr>
      <w:bookmarkStart w:id="49" w:name="_Ref116729613"/>
      <w:r w:rsidRPr="0020098E">
        <w:t xml:space="preserve">Table </w:t>
      </w:r>
      <w:r w:rsidR="00E05ECE">
        <w:fldChar w:fldCharType="begin"/>
      </w:r>
      <w:r w:rsidR="00E05ECE">
        <w:instrText xml:space="preserve"> SEQ Table \* ARABIC </w:instrText>
      </w:r>
      <w:r w:rsidR="00E05ECE">
        <w:fldChar w:fldCharType="separate"/>
      </w:r>
      <w:r w:rsidR="00646F0F">
        <w:rPr>
          <w:noProof/>
        </w:rPr>
        <w:t>17</w:t>
      </w:r>
      <w:r w:rsidR="00E05ECE">
        <w:rPr>
          <w:noProof/>
        </w:rPr>
        <w:fldChar w:fldCharType="end"/>
      </w:r>
      <w:bookmarkEnd w:id="49"/>
      <w:r w:rsidRPr="0020098E">
        <w:t>:</w:t>
      </w:r>
      <w:r w:rsidRPr="0020098E" w:rsidR="006F6E46">
        <w:t xml:space="preserve"> </w:t>
      </w:r>
      <w:r w:rsidRPr="0020098E" w:rsidR="00E059E3">
        <w:t>Burden</w:t>
      </w:r>
      <w:r w:rsidRPr="00E059E3" w:rsidR="00E059E3">
        <w:t xml:space="preserve"> Change</w:t>
      </w:r>
    </w:p>
    <w:tbl>
      <w:tblPr>
        <w:tblW w:w="9116" w:type="dxa"/>
        <w:tblLayout w:type="fixed"/>
        <w:tblLook w:val="04A0"/>
      </w:tblPr>
      <w:tblGrid>
        <w:gridCol w:w="3500"/>
        <w:gridCol w:w="1872"/>
        <w:gridCol w:w="1872"/>
        <w:gridCol w:w="1872"/>
      </w:tblGrid>
      <w:tr w14:paraId="25648D5A" w14:textId="77777777" w:rsidTr="00D00C4E">
        <w:tblPrEx>
          <w:tblW w:w="9116" w:type="dxa"/>
          <w:tblLayout w:type="fixed"/>
          <w:tblLook w:val="04A0"/>
        </w:tblPrEx>
        <w:trPr>
          <w:trHeight w:val="590"/>
          <w:tblHeader/>
        </w:trPr>
        <w:tc>
          <w:tcPr>
            <w:tcW w:w="35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D437A" w:rsidRPr="002D437A" w:rsidP="002D437A" w14:paraId="173CF8E0"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 </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rsidR="002D437A" w:rsidRPr="002D437A" w:rsidP="002D437A" w14:paraId="1924750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2D437A">
              <w:rPr>
                <w:rFonts w:ascii="Calibri" w:hAnsi="Calibri" w:cs="Calibri"/>
                <w:b/>
                <w:bCs/>
                <w:color w:val="000000"/>
                <w:szCs w:val="22"/>
              </w:rPr>
              <w:t>Currently Approved ICR</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rsidR="002D437A" w:rsidRPr="002D437A" w:rsidP="002D437A" w14:paraId="26AB5F19" w14:textId="62F6752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2D437A">
              <w:rPr>
                <w:rFonts w:ascii="Calibri" w:hAnsi="Calibri" w:cs="Calibri"/>
                <w:b/>
                <w:bCs/>
                <w:color w:val="000000"/>
                <w:szCs w:val="22"/>
              </w:rPr>
              <w:t>Change</w:t>
            </w:r>
          </w:p>
        </w:tc>
        <w:tc>
          <w:tcPr>
            <w:tcW w:w="1872" w:type="dxa"/>
            <w:tcBorders>
              <w:top w:val="single" w:sz="8" w:space="0" w:color="auto"/>
              <w:left w:val="nil"/>
              <w:bottom w:val="single" w:sz="8" w:space="0" w:color="auto"/>
              <w:right w:val="single" w:sz="8" w:space="0" w:color="auto"/>
            </w:tcBorders>
            <w:shd w:val="clear" w:color="auto" w:fill="auto"/>
            <w:vAlign w:val="center"/>
            <w:hideMark/>
          </w:tcPr>
          <w:p w:rsidR="002D437A" w:rsidRPr="002D437A" w:rsidP="002D437A" w14:paraId="176C00BA"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2D437A">
              <w:rPr>
                <w:rFonts w:ascii="Calibri" w:hAnsi="Calibri" w:cs="Calibri"/>
                <w:b/>
                <w:bCs/>
                <w:color w:val="000000"/>
                <w:szCs w:val="22"/>
              </w:rPr>
              <w:t>Total Requested</w:t>
            </w:r>
          </w:p>
        </w:tc>
      </w:tr>
      <w:tr w14:paraId="57410A4C"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000000" w:fill="D9D9D9"/>
            <w:vAlign w:val="center"/>
            <w:hideMark/>
          </w:tcPr>
          <w:p w:rsidR="002D437A" w:rsidRPr="002D437A" w:rsidP="002D437A" w14:paraId="1D8F8ED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SLTs (includes SIPs)</w:t>
            </w:r>
          </w:p>
        </w:tc>
        <w:tc>
          <w:tcPr>
            <w:tcW w:w="1872" w:type="dxa"/>
            <w:tcBorders>
              <w:top w:val="nil"/>
              <w:left w:val="nil"/>
              <w:bottom w:val="single" w:sz="8" w:space="0" w:color="auto"/>
              <w:right w:val="single" w:sz="8" w:space="0" w:color="auto"/>
            </w:tcBorders>
            <w:shd w:val="clear" w:color="000000" w:fill="D9D9D9"/>
            <w:vAlign w:val="center"/>
            <w:hideMark/>
          </w:tcPr>
          <w:p w:rsidR="002D437A" w:rsidRPr="002D437A" w:rsidP="002D437A" w14:paraId="27686D9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2D437A" w:rsidRPr="002D437A" w:rsidP="002D437A" w14:paraId="6C41AB6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2D437A" w:rsidRPr="002D437A" w:rsidP="002D437A" w14:paraId="2E5A3F7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 </w:t>
            </w:r>
          </w:p>
        </w:tc>
      </w:tr>
      <w:tr w14:paraId="21063F17"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300A9C" w:rsidRPr="002D437A" w:rsidP="00300A9C" w14:paraId="7534F88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rPr>
                <w:rFonts w:ascii="Calibri" w:hAnsi="Calibri" w:cs="Calibri"/>
                <w:color w:val="000000"/>
                <w:szCs w:val="22"/>
              </w:rPr>
            </w:pPr>
            <w:r w:rsidRPr="002D437A">
              <w:rPr>
                <w:rFonts w:ascii="Calibri" w:hAnsi="Calibri" w:cs="Calibri"/>
                <w:color w:val="000000"/>
                <w:szCs w:val="22"/>
              </w:rPr>
              <w:t>Annual Responses</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0C300521" w14:textId="36CA7416">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80</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2941769E" w14:textId="03A7221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+5</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4F7044A5" w14:textId="1EF486B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w:t>
            </w:r>
          </w:p>
        </w:tc>
      </w:tr>
      <w:tr w14:paraId="507CF817"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300A9C" w:rsidRPr="002D437A" w:rsidP="00300A9C" w14:paraId="07AF245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240" w:hanging="20" w:leftChars="100" w:hangingChars="9"/>
              <w:rPr>
                <w:rFonts w:ascii="Calibri" w:hAnsi="Calibri" w:cs="Calibri"/>
                <w:color w:val="000000"/>
                <w:szCs w:val="22"/>
              </w:rPr>
            </w:pPr>
            <w:r w:rsidRPr="002D437A">
              <w:rPr>
                <w:rFonts w:ascii="Calibri" w:hAnsi="Calibri" w:cs="Calibri"/>
                <w:color w:val="000000"/>
                <w:szCs w:val="22"/>
              </w:rPr>
              <w:t>Annual Respondent Hour Burden</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65119596" w14:textId="7DD98A8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48,702</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6EA48AFC" w14:textId="734D9A2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153,538</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3974CA2D" w14:textId="031FE18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w:t>
            </w:r>
            <w:r w:rsidR="00995E7F">
              <w:rPr>
                <w:rFonts w:ascii="Calibri" w:hAnsi="Calibri" w:cs="Calibri"/>
                <w:color w:val="000000"/>
                <w:szCs w:val="22"/>
              </w:rPr>
              <w:t>02,240</w:t>
            </w:r>
          </w:p>
        </w:tc>
      </w:tr>
      <w:tr w14:paraId="7A3B820F"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043AE6" w:rsidRPr="002D437A" w:rsidP="00043AE6" w14:paraId="654658B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rPr>
                <w:rFonts w:ascii="Calibri" w:hAnsi="Calibri" w:cs="Calibri"/>
                <w:color w:val="000000"/>
                <w:szCs w:val="22"/>
              </w:rPr>
            </w:pPr>
            <w:r w:rsidRPr="002D437A">
              <w:rPr>
                <w:rFonts w:ascii="Calibri" w:hAnsi="Calibri" w:cs="Calibri"/>
                <w:color w:val="000000"/>
                <w:szCs w:val="22"/>
              </w:rPr>
              <w:t>Annual Respondent Cost Burden</w:t>
            </w:r>
          </w:p>
        </w:tc>
        <w:tc>
          <w:tcPr>
            <w:tcW w:w="1872" w:type="dxa"/>
            <w:tcBorders>
              <w:top w:val="nil"/>
              <w:left w:val="nil"/>
              <w:bottom w:val="single" w:sz="8" w:space="0" w:color="auto"/>
              <w:right w:val="single" w:sz="8" w:space="0" w:color="auto"/>
            </w:tcBorders>
            <w:shd w:val="clear" w:color="auto" w:fill="auto"/>
            <w:vAlign w:val="center"/>
            <w:hideMark/>
          </w:tcPr>
          <w:p w:rsidR="00043AE6" w:rsidRPr="002D437A" w:rsidP="00043AE6" w14:paraId="56C6D79F" w14:textId="1D23ADB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xml:space="preserve">$4,960,908 </w:t>
            </w:r>
          </w:p>
        </w:tc>
        <w:tc>
          <w:tcPr>
            <w:tcW w:w="1872" w:type="dxa"/>
            <w:tcBorders>
              <w:top w:val="nil"/>
              <w:left w:val="nil"/>
              <w:bottom w:val="single" w:sz="8" w:space="0" w:color="auto"/>
              <w:right w:val="single" w:sz="8" w:space="0" w:color="auto"/>
            </w:tcBorders>
            <w:shd w:val="clear" w:color="auto" w:fill="auto"/>
            <w:vAlign w:val="center"/>
            <w:hideMark/>
          </w:tcPr>
          <w:p w:rsidR="00043AE6" w:rsidRPr="002D437A" w:rsidP="00043AE6" w14:paraId="254AD8DD" w14:textId="351164A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23,507,584</w:t>
            </w:r>
          </w:p>
        </w:tc>
        <w:tc>
          <w:tcPr>
            <w:tcW w:w="1872" w:type="dxa"/>
            <w:tcBorders>
              <w:top w:val="nil"/>
              <w:left w:val="nil"/>
              <w:bottom w:val="single" w:sz="8" w:space="0" w:color="auto"/>
              <w:right w:val="single" w:sz="8" w:space="0" w:color="auto"/>
            </w:tcBorders>
            <w:shd w:val="clear" w:color="auto" w:fill="auto"/>
            <w:vAlign w:val="center"/>
            <w:hideMark/>
          </w:tcPr>
          <w:p w:rsidR="00043AE6" w:rsidRPr="002D437A" w:rsidP="00043AE6" w14:paraId="436E518E" w14:textId="791BA83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28,468,492</w:t>
            </w:r>
          </w:p>
        </w:tc>
      </w:tr>
      <w:tr w14:paraId="17900C8F"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000000" w:fill="D9D9D9"/>
            <w:vAlign w:val="center"/>
            <w:hideMark/>
          </w:tcPr>
          <w:p w:rsidR="00043AE6" w:rsidRPr="002D437A" w:rsidP="00043AE6" w14:paraId="57F9729B"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Owners/Operators</w:t>
            </w:r>
          </w:p>
        </w:tc>
        <w:tc>
          <w:tcPr>
            <w:tcW w:w="1872" w:type="dxa"/>
            <w:tcBorders>
              <w:top w:val="nil"/>
              <w:left w:val="nil"/>
              <w:bottom w:val="single" w:sz="8" w:space="0" w:color="auto"/>
              <w:right w:val="single" w:sz="8" w:space="0" w:color="auto"/>
            </w:tcBorders>
            <w:shd w:val="clear" w:color="000000" w:fill="D9D9D9"/>
            <w:vAlign w:val="center"/>
            <w:hideMark/>
          </w:tcPr>
          <w:p w:rsidR="00043AE6" w:rsidRPr="002D437A" w:rsidP="00043AE6" w14:paraId="17AE9993" w14:textId="5878F5B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043AE6" w:rsidRPr="002D437A" w:rsidP="00043AE6" w14:paraId="20465A25" w14:textId="2F633B5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043AE6" w:rsidRPr="002D437A" w:rsidP="00043AE6" w14:paraId="45FD0AB1" w14:textId="449EF46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r>
      <w:tr w14:paraId="573EB454"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300A9C" w:rsidRPr="002D437A" w:rsidP="00300A9C" w14:paraId="0C3E7EC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rPr>
                <w:rFonts w:ascii="Calibri" w:hAnsi="Calibri" w:cs="Calibri"/>
                <w:color w:val="000000"/>
                <w:szCs w:val="22"/>
              </w:rPr>
            </w:pPr>
            <w:r w:rsidRPr="002D437A">
              <w:rPr>
                <w:rFonts w:ascii="Calibri" w:hAnsi="Calibri" w:cs="Calibri"/>
                <w:color w:val="000000"/>
                <w:szCs w:val="22"/>
              </w:rPr>
              <w:t>Annual Responses</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54924DF1" w14:textId="5EB4607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0BC4F27E" w14:textId="77504D2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40,3</w:t>
            </w:r>
            <w:r w:rsidR="00342DEC">
              <w:rPr>
                <w:rFonts w:ascii="Calibri" w:hAnsi="Calibri" w:cs="Calibri"/>
                <w:color w:val="000000"/>
                <w:szCs w:val="22"/>
              </w:rPr>
              <w:t>15</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1D977A62" w14:textId="5EAE0C7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40,3</w:t>
            </w:r>
            <w:r w:rsidR="00814A51">
              <w:rPr>
                <w:rFonts w:ascii="Calibri" w:hAnsi="Calibri" w:cs="Calibri"/>
                <w:color w:val="000000"/>
                <w:szCs w:val="22"/>
              </w:rPr>
              <w:t>15</w:t>
            </w:r>
          </w:p>
        </w:tc>
      </w:tr>
      <w:tr w14:paraId="02FDAB76"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300A9C" w:rsidRPr="002D437A" w:rsidP="00300A9C" w14:paraId="1B98D33C"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rPr>
                <w:rFonts w:ascii="Calibri" w:hAnsi="Calibri" w:cs="Calibri"/>
                <w:color w:val="000000"/>
                <w:szCs w:val="22"/>
              </w:rPr>
            </w:pPr>
            <w:r w:rsidRPr="002D437A">
              <w:rPr>
                <w:rFonts w:ascii="Calibri" w:hAnsi="Calibri" w:cs="Calibri"/>
                <w:color w:val="000000"/>
                <w:szCs w:val="22"/>
              </w:rPr>
              <w:t>Annual Respondent Hour Burden</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50EC5AAB" w14:textId="7183388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165F42F7" w14:textId="2D9269B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82</w:t>
            </w:r>
            <w:r w:rsidR="00342DEC">
              <w:rPr>
                <w:rFonts w:ascii="Calibri" w:hAnsi="Calibri" w:cs="Calibri"/>
                <w:color w:val="000000"/>
                <w:szCs w:val="22"/>
              </w:rPr>
              <w:t>5</w:t>
            </w:r>
            <w:r w:rsidR="00995E7F">
              <w:rPr>
                <w:rFonts w:ascii="Calibri" w:hAnsi="Calibri" w:cs="Calibri"/>
                <w:color w:val="000000"/>
                <w:szCs w:val="22"/>
              </w:rPr>
              <w:t>,</w:t>
            </w:r>
            <w:r w:rsidR="00342DEC">
              <w:rPr>
                <w:rFonts w:ascii="Calibri" w:hAnsi="Calibri" w:cs="Calibri"/>
                <w:color w:val="000000"/>
                <w:szCs w:val="22"/>
              </w:rPr>
              <w:t>473</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5F98C656" w14:textId="56203B5E">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82</w:t>
            </w:r>
            <w:r w:rsidR="00814A51">
              <w:rPr>
                <w:rFonts w:ascii="Calibri" w:hAnsi="Calibri" w:cs="Calibri"/>
                <w:color w:val="000000"/>
                <w:szCs w:val="22"/>
              </w:rPr>
              <w:t>5,473</w:t>
            </w:r>
          </w:p>
        </w:tc>
      </w:tr>
      <w:tr w14:paraId="318D0E6A"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300A9C" w:rsidRPr="002D437A" w:rsidP="00300A9C" w14:paraId="58A775A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rPr>
                <w:rFonts w:ascii="Calibri" w:hAnsi="Calibri" w:cs="Calibri"/>
                <w:color w:val="000000"/>
                <w:szCs w:val="22"/>
              </w:rPr>
            </w:pPr>
            <w:r w:rsidRPr="002D437A">
              <w:rPr>
                <w:rFonts w:ascii="Calibri" w:hAnsi="Calibri" w:cs="Calibri"/>
                <w:color w:val="000000"/>
                <w:szCs w:val="22"/>
              </w:rPr>
              <w:t>Annual Respondent Cost Burden</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2B5972D2" w14:textId="623CDD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2196A307" w14:textId="64EDEF1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8</w:t>
            </w:r>
            <w:r w:rsidR="00342DEC">
              <w:rPr>
                <w:rFonts w:ascii="Calibri" w:hAnsi="Calibri" w:cs="Calibri"/>
                <w:color w:val="000000"/>
                <w:szCs w:val="22"/>
              </w:rPr>
              <w:t>8</w:t>
            </w:r>
            <w:r w:rsidR="00995E7F">
              <w:rPr>
                <w:rFonts w:ascii="Calibri" w:hAnsi="Calibri" w:cs="Calibri"/>
                <w:color w:val="000000"/>
                <w:szCs w:val="22"/>
              </w:rPr>
              <w:t>,</w:t>
            </w:r>
            <w:r w:rsidR="00814A51">
              <w:rPr>
                <w:rFonts w:ascii="Calibri" w:hAnsi="Calibri" w:cs="Calibri"/>
                <w:color w:val="000000"/>
                <w:szCs w:val="22"/>
              </w:rPr>
              <w:t>918</w:t>
            </w:r>
            <w:r w:rsidR="00995E7F">
              <w:rPr>
                <w:rFonts w:ascii="Calibri" w:hAnsi="Calibri" w:cs="Calibri"/>
                <w:color w:val="000000"/>
                <w:szCs w:val="22"/>
              </w:rPr>
              <w:t>,</w:t>
            </w:r>
            <w:r w:rsidR="00814A51">
              <w:rPr>
                <w:rFonts w:ascii="Calibri" w:hAnsi="Calibri" w:cs="Calibri"/>
                <w:color w:val="000000"/>
                <w:szCs w:val="22"/>
              </w:rPr>
              <w:t>714</w:t>
            </w:r>
          </w:p>
        </w:tc>
        <w:tc>
          <w:tcPr>
            <w:tcW w:w="1872" w:type="dxa"/>
            <w:tcBorders>
              <w:top w:val="nil"/>
              <w:left w:val="nil"/>
              <w:bottom w:val="single" w:sz="8" w:space="0" w:color="auto"/>
              <w:right w:val="single" w:sz="8" w:space="0" w:color="auto"/>
            </w:tcBorders>
            <w:shd w:val="clear" w:color="auto" w:fill="auto"/>
            <w:vAlign w:val="center"/>
            <w:hideMark/>
          </w:tcPr>
          <w:p w:rsidR="00300A9C" w:rsidRPr="002D437A" w:rsidP="00300A9C" w14:paraId="2AF91AFC" w14:textId="16FA10E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w:t>
            </w:r>
            <w:r w:rsidR="00995E7F">
              <w:rPr>
                <w:rFonts w:ascii="Calibri" w:hAnsi="Calibri" w:cs="Calibri"/>
                <w:color w:val="000000"/>
                <w:szCs w:val="22"/>
              </w:rPr>
              <w:t>8</w:t>
            </w:r>
            <w:r w:rsidR="00E9029C">
              <w:rPr>
                <w:rFonts w:ascii="Calibri" w:hAnsi="Calibri" w:cs="Calibri"/>
                <w:color w:val="000000"/>
                <w:szCs w:val="22"/>
              </w:rPr>
              <w:t>8</w:t>
            </w:r>
            <w:r w:rsidR="00995E7F">
              <w:rPr>
                <w:rFonts w:ascii="Calibri" w:hAnsi="Calibri" w:cs="Calibri"/>
                <w:color w:val="000000"/>
                <w:szCs w:val="22"/>
              </w:rPr>
              <w:t>,</w:t>
            </w:r>
            <w:r w:rsidR="00814A51">
              <w:rPr>
                <w:rFonts w:ascii="Calibri" w:hAnsi="Calibri" w:cs="Calibri"/>
                <w:color w:val="000000"/>
                <w:szCs w:val="22"/>
              </w:rPr>
              <w:t>918,714</w:t>
            </w:r>
          </w:p>
        </w:tc>
      </w:tr>
      <w:tr w14:paraId="3F5881E0"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000000" w:fill="D9D9D9"/>
            <w:vAlign w:val="center"/>
            <w:hideMark/>
          </w:tcPr>
          <w:p w:rsidR="00D00C4E" w:rsidRPr="002D437A" w:rsidP="00D00C4E" w14:paraId="0B6EBC52"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2D437A">
              <w:rPr>
                <w:rFonts w:ascii="Calibri" w:hAnsi="Calibri" w:cs="Calibri"/>
                <w:color w:val="000000"/>
                <w:szCs w:val="22"/>
              </w:rPr>
              <w:t>EPA</w:t>
            </w:r>
          </w:p>
        </w:tc>
        <w:tc>
          <w:tcPr>
            <w:tcW w:w="1872" w:type="dxa"/>
            <w:tcBorders>
              <w:top w:val="nil"/>
              <w:left w:val="nil"/>
              <w:bottom w:val="single" w:sz="8" w:space="0" w:color="auto"/>
              <w:right w:val="single" w:sz="8" w:space="0" w:color="auto"/>
            </w:tcBorders>
            <w:shd w:val="clear" w:color="000000" w:fill="D9D9D9"/>
            <w:vAlign w:val="center"/>
            <w:hideMark/>
          </w:tcPr>
          <w:p w:rsidR="00D00C4E" w:rsidRPr="002D437A" w:rsidP="00D00C4E" w14:paraId="323B5807"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2D437A">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D00C4E" w:rsidRPr="002D437A" w:rsidP="00D00C4E" w14:paraId="29ACCDE6" w14:textId="3681186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872" w:type="dxa"/>
            <w:tcBorders>
              <w:top w:val="nil"/>
              <w:left w:val="nil"/>
              <w:bottom w:val="single" w:sz="8" w:space="0" w:color="auto"/>
              <w:right w:val="single" w:sz="8" w:space="0" w:color="auto"/>
            </w:tcBorders>
            <w:shd w:val="clear" w:color="000000" w:fill="D9D9D9"/>
            <w:vAlign w:val="center"/>
            <w:hideMark/>
          </w:tcPr>
          <w:p w:rsidR="00D00C4E" w:rsidRPr="002D437A" w:rsidP="00D00C4E" w14:paraId="6563C3B9" w14:textId="66258D3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r>
      <w:tr w14:paraId="7F460E5C" w14:textId="77777777" w:rsidTr="00D00C4E">
        <w:tblPrEx>
          <w:tblW w:w="9116" w:type="dxa"/>
          <w:tblLayout w:type="fixed"/>
          <w:tblLook w:val="04A0"/>
        </w:tblPrEx>
        <w:trPr>
          <w:trHeight w:val="300"/>
        </w:trPr>
        <w:tc>
          <w:tcPr>
            <w:tcW w:w="3500" w:type="dxa"/>
            <w:tcBorders>
              <w:top w:val="nil"/>
              <w:left w:val="single" w:sz="8" w:space="0" w:color="auto"/>
              <w:bottom w:val="single" w:sz="8" w:space="0" w:color="auto"/>
              <w:right w:val="single" w:sz="8" w:space="0" w:color="auto"/>
            </w:tcBorders>
            <w:shd w:val="clear" w:color="auto" w:fill="auto"/>
            <w:vAlign w:val="center"/>
            <w:hideMark/>
          </w:tcPr>
          <w:p w:rsidR="005620E6" w:rsidRPr="002D437A" w:rsidP="005620E6" w14:paraId="417B36E8" w14:textId="1B290A5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firstLine="220" w:firstLineChars="100"/>
              <w:jc w:val="both"/>
              <w:rPr>
                <w:rFonts w:ascii="Calibri" w:hAnsi="Calibri" w:cs="Calibri"/>
                <w:color w:val="000000"/>
                <w:szCs w:val="22"/>
              </w:rPr>
            </w:pPr>
            <w:r>
              <w:rPr>
                <w:rFonts w:ascii="Calibri" w:hAnsi="Calibri" w:cs="Calibri"/>
                <w:color w:val="000000"/>
                <w:szCs w:val="22"/>
              </w:rPr>
              <w:t>All EPA Costs</w:t>
            </w:r>
          </w:p>
        </w:tc>
        <w:tc>
          <w:tcPr>
            <w:tcW w:w="1872" w:type="dxa"/>
            <w:tcBorders>
              <w:top w:val="nil"/>
              <w:left w:val="nil"/>
              <w:bottom w:val="single" w:sz="8" w:space="0" w:color="auto"/>
              <w:right w:val="single" w:sz="8" w:space="0" w:color="auto"/>
            </w:tcBorders>
            <w:shd w:val="clear" w:color="auto" w:fill="auto"/>
            <w:vAlign w:val="center"/>
            <w:hideMark/>
          </w:tcPr>
          <w:p w:rsidR="005620E6" w:rsidRPr="002D437A" w:rsidP="005620E6" w14:paraId="2EF6358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sidRPr="002D437A">
              <w:rPr>
                <w:rFonts w:ascii="Calibri" w:hAnsi="Calibri" w:cs="Calibri"/>
                <w:color w:val="000000"/>
                <w:szCs w:val="22"/>
              </w:rPr>
              <w:t xml:space="preserve">$5,589,000 </w:t>
            </w:r>
          </w:p>
        </w:tc>
        <w:tc>
          <w:tcPr>
            <w:tcW w:w="1872" w:type="dxa"/>
            <w:tcBorders>
              <w:top w:val="nil"/>
              <w:left w:val="nil"/>
              <w:bottom w:val="single" w:sz="8" w:space="0" w:color="auto"/>
              <w:right w:val="single" w:sz="8" w:space="0" w:color="auto"/>
            </w:tcBorders>
            <w:shd w:val="clear" w:color="auto" w:fill="auto"/>
            <w:vAlign w:val="center"/>
            <w:hideMark/>
          </w:tcPr>
          <w:p w:rsidR="005620E6" w:rsidRPr="002D437A" w:rsidP="005620E6" w14:paraId="36704E51" w14:textId="25DE787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$792,500</w:t>
            </w:r>
          </w:p>
        </w:tc>
        <w:tc>
          <w:tcPr>
            <w:tcW w:w="1872" w:type="dxa"/>
            <w:tcBorders>
              <w:top w:val="nil"/>
              <w:left w:val="nil"/>
              <w:bottom w:val="single" w:sz="8" w:space="0" w:color="auto"/>
              <w:right w:val="single" w:sz="8" w:space="0" w:color="auto"/>
            </w:tcBorders>
            <w:shd w:val="clear" w:color="auto" w:fill="auto"/>
            <w:vAlign w:val="center"/>
            <w:hideMark/>
          </w:tcPr>
          <w:p w:rsidR="005620E6" w:rsidRPr="002D437A" w:rsidP="005620E6" w14:paraId="0D793DD7" w14:textId="12668B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$6,381,500</w:t>
            </w:r>
          </w:p>
        </w:tc>
      </w:tr>
    </w:tbl>
    <w:p w:rsidR="00E24EE5" w:rsidP="009E08D8" w14:paraId="5204EF87" w14:textId="2265EB42"/>
    <w:p w:rsidR="00AC7479" w:rsidP="00E24EE5" w14:paraId="344B48EE" w14:textId="00EADCB6">
      <w:r>
        <w:t xml:space="preserve">These changes show an average annual increase in the number of responses from </w:t>
      </w:r>
      <w:r>
        <w:t>80</w:t>
      </w:r>
      <w:r>
        <w:t xml:space="preserve"> to 8</w:t>
      </w:r>
      <w:r>
        <w:t xml:space="preserve">5 for SLTs </w:t>
      </w:r>
      <w:r>
        <w:t xml:space="preserve">and an associated hour increase of about </w:t>
      </w:r>
      <w:r w:rsidR="00BF3194">
        <w:t>154</w:t>
      </w:r>
      <w:r>
        <w:t>,000</w:t>
      </w:r>
      <w:r>
        <w:t xml:space="preserve"> and cost increase of about $</w:t>
      </w:r>
      <w:r w:rsidR="00995E7F">
        <w:t>23.5</w:t>
      </w:r>
      <w:r>
        <w:t xml:space="preserve"> million. The reasons for the large increase in hours and costs have been described previously. The increase in the number of SLT respondents reflects the requirement that applies to the 50 states, the District of Columbia, and 3 territories (Puerto Rico, Virgin Islands, and Guam). </w:t>
      </w:r>
    </w:p>
    <w:p w:rsidR="00AC7479" w:rsidP="00E24EE5" w14:paraId="083DF28C" w14:textId="77777777"/>
    <w:p w:rsidR="00E24EE5" w:rsidP="00E24EE5" w14:paraId="6394735A" w14:textId="1466EC8F">
      <w:r>
        <w:t>Additionally,</w:t>
      </w:r>
      <w:r w:rsidRPr="00532598">
        <w:t xml:space="preserve"> increase</w:t>
      </w:r>
      <w:r>
        <w:t>d</w:t>
      </w:r>
      <w:r w:rsidRPr="00532598">
        <w:t xml:space="preserve"> </w:t>
      </w:r>
      <w:r>
        <w:t xml:space="preserve">labor rates are </w:t>
      </w:r>
      <w:r w:rsidRPr="00532598">
        <w:t>included in this ICR as compared with the existing approved ICR.</w:t>
      </w:r>
      <w:r>
        <w:t xml:space="preserve"> Labor rates have been updated to the</w:t>
      </w:r>
      <w:r w:rsidR="00AC7479">
        <w:t xml:space="preserve"> May 2021</w:t>
      </w:r>
      <w:r>
        <w:t xml:space="preserve"> labor rates </w:t>
      </w:r>
      <w:r w:rsidR="00041946">
        <w:t xml:space="preserve">(that are the most recent) </w:t>
      </w:r>
      <w:r>
        <w:t xml:space="preserve">from </w:t>
      </w:r>
      <w:r w:rsidR="00041946">
        <w:t xml:space="preserve">the </w:t>
      </w:r>
      <w:r w:rsidRPr="005E10B2">
        <w:t>U.S. Department of Labor, Bureau of Labor Statistics</w:t>
      </w:r>
      <w:r>
        <w:t xml:space="preserve"> for managers and technical staff</w:t>
      </w:r>
      <w:r w:rsidR="00AC7479">
        <w:t xml:space="preserve"> (downloaded on 3/21/2022).</w:t>
      </w:r>
    </w:p>
    <w:p w:rsidR="00E24EE5" w:rsidP="00E24EE5" w14:paraId="511A2553" w14:textId="56392B35"/>
    <w:p w:rsidR="00AC7479" w:rsidP="00E24EE5" w14:paraId="6A3B612D" w14:textId="733C6F3C">
      <w:r>
        <w:t xml:space="preserve">As previously described, </w:t>
      </w:r>
      <w:r w:rsidR="00BF3194">
        <w:t xml:space="preserve">the costs associated with the proposed </w:t>
      </w:r>
      <w:r>
        <w:t xml:space="preserve">AERR </w:t>
      </w:r>
      <w:r w:rsidR="00BF3194">
        <w:t xml:space="preserve">include, for the first time for the AERR, costs to </w:t>
      </w:r>
      <w:r>
        <w:t xml:space="preserve">owners/operators </w:t>
      </w:r>
      <w:r w:rsidR="00BF3194">
        <w:t xml:space="preserve">for reporting </w:t>
      </w:r>
      <w:r>
        <w:t>to states</w:t>
      </w:r>
      <w:r w:rsidR="00B9078D">
        <w:t>, the cost of state data system</w:t>
      </w:r>
      <w:r w:rsidR="00BF3194">
        <w:t xml:space="preserve"> operations</w:t>
      </w:r>
      <w:r w:rsidR="00B9078D">
        <w:t>,</w:t>
      </w:r>
      <w:r>
        <w:t xml:space="preserve"> and includes source test data reporting to EPA. </w:t>
      </w:r>
      <w:r w:rsidR="00BF3194">
        <w:t>As such, certain apparent “</w:t>
      </w:r>
      <w:r>
        <w:t>increases</w:t>
      </w:r>
      <w:r w:rsidR="00BF3194">
        <w:t>”</w:t>
      </w:r>
      <w:r>
        <w:t xml:space="preserve"> are due to the addition of those workflows </w:t>
      </w:r>
      <w:r w:rsidR="00BF3194">
        <w:t>as attributable to the AERR</w:t>
      </w:r>
      <w:r w:rsidR="00F45D31">
        <w:t xml:space="preserve"> and to the additional cost associated with owners/operators collecting release point latitude/longitude in preparation for reporting </w:t>
      </w:r>
      <w:r w:rsidR="00C95D4A">
        <w:t>that information starting in 2027</w:t>
      </w:r>
      <w:r>
        <w:t>.</w:t>
      </w:r>
    </w:p>
    <w:p w:rsidR="00AC7479" w:rsidP="00E24EE5" w14:paraId="7AB324F0" w14:textId="77777777"/>
    <w:p w:rsidR="00E24EE5" w:rsidP="00E24EE5" w14:paraId="7316D4FD" w14:textId="7FE064ED">
      <w:r>
        <w:t xml:space="preserve">EPA costs included in this ICR reflect an update to </w:t>
      </w:r>
      <w:r w:rsidR="00AC7479">
        <w:t xml:space="preserve">assumed salary of EPA FTEs to reflect the latest </w:t>
      </w:r>
      <w:r w:rsidR="00D66604">
        <w:t xml:space="preserve">General Services Administration </w:t>
      </w:r>
      <w:r w:rsidR="0079044C">
        <w:t>p</w:t>
      </w:r>
      <w:r w:rsidR="00D66604">
        <w:t xml:space="preserve">ay </w:t>
      </w:r>
      <w:r w:rsidR="0079044C">
        <w:t>t</w:t>
      </w:r>
      <w:r w:rsidR="00D66604">
        <w:t xml:space="preserve">able. </w:t>
      </w:r>
      <w:r w:rsidR="005620E6">
        <w:t xml:space="preserve">The additional cost of developing the emissions estimation tool to reduce burden on small businesses has also been added to EPA costs. An additional $300,000 has been included for CAERS capital costs in these estimates, to reflect the planned system migration as part of overall data system streamlining by EPA, which will incur a higher cost during this </w:t>
      </w:r>
      <w:r w:rsidR="00BF3194">
        <w:t>three</w:t>
      </w:r>
      <w:r w:rsidR="005620E6">
        <w:t xml:space="preserve">-year ICR period for an eventual cost savings. </w:t>
      </w:r>
      <w:r w:rsidR="00D66604">
        <w:t xml:space="preserve">Other costs have been recently updated in the </w:t>
      </w:r>
      <w:r w:rsidR="00BF3194">
        <w:t xml:space="preserve">AERR </w:t>
      </w:r>
      <w:r w:rsidR="00D66604">
        <w:t>ICR approved in 2022</w:t>
      </w:r>
      <w:r w:rsidR="00BF3194">
        <w:t>,</w:t>
      </w:r>
      <w:r w:rsidR="00D66604">
        <w:t xml:space="preserve"> and </w:t>
      </w:r>
      <w:r w:rsidR="00BF3194">
        <w:t>those have been used in this ICR</w:t>
      </w:r>
      <w:r w:rsidR="00D66604">
        <w:t>.</w:t>
      </w:r>
    </w:p>
    <w:p w:rsidR="006F6E46" w:rsidRPr="00793526" w:rsidP="00877276" w14:paraId="122930B2" w14:textId="3584E058">
      <w:pPr>
        <w:pStyle w:val="Heading1"/>
        <w:rPr>
          <w:rStyle w:val="Strong"/>
          <w:b/>
          <w:bCs w:val="0"/>
        </w:rPr>
      </w:pPr>
      <w:bookmarkStart w:id="50" w:name="_Hlk92118982"/>
      <w:r w:rsidRPr="00793526">
        <w:rPr>
          <w:rStyle w:val="Strong"/>
          <w:b/>
          <w:bCs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6E46" w:rsidP="009E08D8" w14:paraId="513DC832" w14:textId="2F923B3E"/>
    <w:p w:rsidR="00523CED" w:rsidP="009E08D8" w14:paraId="0D7B2699" w14:textId="2AA3E718">
      <w:r>
        <w:t xml:space="preserve">This ICR collects data for the NEI, which is published on an annual basis. After states submit the data, </w:t>
      </w:r>
      <w:r w:rsidR="00204E7E">
        <w:t>EPA</w:t>
      </w:r>
      <w:r>
        <w:t xml:space="preserve"> quality assures the point source data, resolves quality issues with the data submitters, and publishes the point sources in the EIS </w:t>
      </w:r>
      <w:r w:rsidR="0079044C">
        <w:t>with</w:t>
      </w:r>
      <w:r>
        <w:t xml:space="preserve">in 6-9 months. The remainder of the NEI data are published in </w:t>
      </w:r>
      <w:r>
        <w:t>the EIS and on EPA’s website within 15 months. The NEI is used in numerous EPA activities that are described in the latest NEI Technical Support Document available on EPA’s</w:t>
      </w:r>
      <w:r w:rsidR="00D66604">
        <w:t xml:space="preserve"> </w:t>
      </w:r>
      <w:hyperlink r:id="rId21" w:history="1">
        <w:r w:rsidRPr="00D66604" w:rsidR="00D66604">
          <w:rPr>
            <w:rStyle w:val="Hyperlink"/>
          </w:rPr>
          <w:t>NEI</w:t>
        </w:r>
        <w:r w:rsidRPr="00D66604">
          <w:rPr>
            <w:rStyle w:val="Hyperlink"/>
          </w:rPr>
          <w:t xml:space="preserve"> website</w:t>
        </w:r>
      </w:hyperlink>
      <w:r w:rsidR="00D66604">
        <w:t>.</w:t>
      </w:r>
      <w:r>
        <w:rPr>
          <w:rStyle w:val="FootnoteReference"/>
          <w:vertAlign w:val="superscript"/>
        </w:rPr>
        <w:footnoteReference w:id="26"/>
      </w:r>
    </w:p>
    <w:p w:rsidR="00D66604" w:rsidP="009E08D8" w14:paraId="7E148644" w14:textId="746FCCFF"/>
    <w:p w:rsidR="00D66604" w:rsidRPr="0076581F" w:rsidP="00D66604" w14:paraId="00183ADE" w14:textId="72CCCC45">
      <w:r>
        <w:t xml:space="preserve">This ICR also collects data for CEDRI, which </w:t>
      </w:r>
      <w:r w:rsidR="0079044C">
        <w:t>transfers</w:t>
      </w:r>
      <w:r>
        <w:t xml:space="preserve"> the data collected into the WebFIRE system for publication. The data collected undergo a review period by SLTs that lasts 30 days after receipt for Periodic and Notification reports and 60 days after receipt for Performance Test / Evaluation reports. At that time, the data is transferred to the WebFIRE database for public distribution on the </w:t>
      </w:r>
      <w:hyperlink r:id="rId22" w:history="1">
        <w:r w:rsidRPr="00D66604">
          <w:rPr>
            <w:rStyle w:val="Hyperlink"/>
          </w:rPr>
          <w:t>WebFIRE website</w:t>
        </w:r>
      </w:hyperlink>
      <w:r>
        <w:t>.</w:t>
      </w:r>
      <w:r>
        <w:rPr>
          <w:rStyle w:val="FootnoteReference"/>
          <w:vertAlign w:val="superscript"/>
        </w:rPr>
        <w:footnoteReference w:id="27"/>
      </w:r>
      <w:r>
        <w:t xml:space="preserve"> More information is available on this process through the Central Data Exchange </w:t>
      </w:r>
      <w:hyperlink r:id="rId23" w:history="1">
        <w:r w:rsidRPr="00D66604">
          <w:rPr>
            <w:rStyle w:val="Hyperlink"/>
          </w:rPr>
          <w:t>Guide for Reviewing Reports in CEDRI, Version 1.0</w:t>
        </w:r>
      </w:hyperlink>
      <w:r>
        <w:t xml:space="preserve"> (April, 2020).</w:t>
      </w:r>
      <w:r>
        <w:rPr>
          <w:rStyle w:val="FootnoteReference"/>
          <w:vertAlign w:val="superscript"/>
        </w:rPr>
        <w:footnoteReference w:id="28"/>
      </w:r>
    </w:p>
    <w:p w:rsidR="006F6E46" w:rsidRPr="00793526" w:rsidP="00877276" w14:paraId="4A361475" w14:textId="47DB829F">
      <w:pPr>
        <w:pStyle w:val="Heading1"/>
        <w:rPr>
          <w:rStyle w:val="Strong"/>
          <w:b/>
          <w:bCs w:val="0"/>
        </w:rPr>
      </w:pPr>
      <w:r w:rsidRPr="00793526">
        <w:rPr>
          <w:rStyle w:val="Strong"/>
          <w:b/>
          <w:bCs w:val="0"/>
        </w:rPr>
        <w:t>If seeking approval to not display the expiration date for OMB approval of the information collection, explain the reasons that display would be inappropriate.</w:t>
      </w:r>
    </w:p>
    <w:p w:rsidR="0076581F" w:rsidRPr="004E12EA" w:rsidP="009E08D8" w14:paraId="744A8DAA" w14:textId="77777777">
      <w:pPr>
        <w:rPr>
          <w:rStyle w:val="Strong"/>
        </w:rPr>
      </w:pPr>
    </w:p>
    <w:p w:rsidR="00523CED" w:rsidRPr="00C425CF" w:rsidP="009E08D8" w14:paraId="76B0C340" w14:textId="3623758C">
      <w:r>
        <w:t xml:space="preserve">Data under this action will be collected through electronic systems. Given that the expiration date of an ICR can change based on monthly extensions near the end of an ICR approval, </w:t>
      </w:r>
      <w:r w:rsidR="00204E7E">
        <w:t>EPA</w:t>
      </w:r>
      <w:r>
        <w:t xml:space="preserve"> requests that the expiration date not be required to be displayed on the EIS</w:t>
      </w:r>
      <w:r w:rsidR="00AF5297">
        <w:t xml:space="preserve">, </w:t>
      </w:r>
      <w:r>
        <w:t>CAERS</w:t>
      </w:r>
      <w:r w:rsidR="00AF5297">
        <w:t>, and CEDRI</w:t>
      </w:r>
      <w:r>
        <w:t xml:space="preserve"> data collection systems. The expiration date would be included in the user guides for both CAERS and use of CDX to submit to EIS</w:t>
      </w:r>
      <w:r w:rsidR="00AF5297">
        <w:t xml:space="preserve"> and CEDRI</w:t>
      </w:r>
      <w:r>
        <w:t>.</w:t>
      </w:r>
    </w:p>
    <w:p w:rsidR="006F6E46" w:rsidRPr="00793526" w:rsidP="00877276" w14:paraId="171136D0" w14:textId="46151460">
      <w:pPr>
        <w:pStyle w:val="Heading1"/>
        <w:rPr>
          <w:rStyle w:val="Strong"/>
          <w:b/>
          <w:bCs w:val="0"/>
        </w:rPr>
      </w:pPr>
      <w:r w:rsidRPr="00793526">
        <w:rPr>
          <w:rStyle w:val="Strong"/>
          <w:b/>
          <w:bCs w:val="0"/>
        </w:rPr>
        <w:t>Explain each exception to the topics of the certification statement identified in “Certification for Paperwork Reduction Act Submissions.”</w:t>
      </w:r>
    </w:p>
    <w:bookmarkEnd w:id="50"/>
    <w:p w:rsidR="00851193" w:rsidRPr="0088735F" w:rsidP="0088735F" w14:paraId="18CE5A4C" w14:textId="77777777">
      <w:pPr>
        <w:rPr>
          <w:sz w:val="20"/>
          <w:szCs w:val="22"/>
        </w:rPr>
      </w:pPr>
    </w:p>
    <w:p w:rsidR="00851193" w:rsidRPr="0088735F" w:rsidP="0088735F" w14:paraId="5393804E" w14:textId="06959F1F">
      <w:pPr>
        <w:rPr>
          <w:b/>
          <w:sz w:val="20"/>
          <w:szCs w:val="22"/>
        </w:rPr>
      </w:pPr>
      <w:r w:rsidRPr="0088735F">
        <w:rPr>
          <w:rStyle w:val="2ndtier1"/>
          <w:rFonts w:asciiTheme="minorHAnsi" w:hAnsiTheme="minorHAnsi" w:cstheme="minorHAnsi"/>
          <w:b w:val="0"/>
          <w:bCs w:val="0"/>
          <w:sz w:val="22"/>
          <w:szCs w:val="22"/>
        </w:rPr>
        <w:t>There are no exceptions.</w:t>
      </w:r>
    </w:p>
    <w:p w:rsidR="00635E33" w:rsidP="00793526" w14:paraId="56F40245" w14:textId="77777777">
      <w:pPr>
        <w:rPr>
          <w:sz w:val="20"/>
          <w:szCs w:val="22"/>
        </w:rPr>
      </w:pPr>
    </w:p>
    <w:p w:rsidR="00370665" w:rsidP="00793526" w14:paraId="6A07EAD4" w14:textId="77777777">
      <w:pPr>
        <w:sectPr w:rsidSect="00370665">
          <w:pgSz w:w="12240" w:h="15840"/>
          <w:pgMar w:top="1080" w:right="1440" w:bottom="1080" w:left="1440" w:header="1440" w:footer="864" w:gutter="0"/>
          <w:cols w:space="720"/>
          <w:noEndnote/>
          <w:docGrid w:linePitch="326"/>
        </w:sectPr>
      </w:pPr>
    </w:p>
    <w:p w:rsidR="00635E33" w:rsidRPr="00635E33" w:rsidP="003B5D30" w14:paraId="4C3A7E7C" w14:textId="4D10E4DE">
      <w:pPr>
        <w:pStyle w:val="AppendixHeading1"/>
      </w:pPr>
      <w:bookmarkStart w:id="51" w:name="_Ref137133781"/>
      <w:r>
        <w:t xml:space="preserve">Expected </w:t>
      </w:r>
      <w:r w:rsidR="009834D2">
        <w:t>c</w:t>
      </w:r>
      <w:r>
        <w:t xml:space="preserve">osts of AERR </w:t>
      </w:r>
      <w:r w:rsidR="009834D2">
        <w:t>p</w:t>
      </w:r>
      <w:r>
        <w:t xml:space="preserve">roposed </w:t>
      </w:r>
      <w:r w:rsidR="009834D2">
        <w:t>r</w:t>
      </w:r>
      <w:r>
        <w:t xml:space="preserve">evisions </w:t>
      </w:r>
      <w:r w:rsidR="009834D2">
        <w:t>s</w:t>
      </w:r>
      <w:r>
        <w:t>tarting in 2027</w:t>
      </w:r>
      <w:bookmarkEnd w:id="51"/>
    </w:p>
    <w:p w:rsidR="00635E33" w:rsidP="00793526" w14:paraId="638379B8" w14:textId="7B16D44C"/>
    <w:p w:rsidR="00635E33" w:rsidP="00793526" w14:paraId="35DB5C20" w14:textId="12EED98F">
      <w:r>
        <w:t>S</w:t>
      </w:r>
      <w:r w:rsidR="009C0D39">
        <w:t xml:space="preserve">ome of the provisions of the </w:t>
      </w:r>
      <w:r w:rsidR="009E3729">
        <w:t xml:space="preserve">proposed </w:t>
      </w:r>
      <w:r w:rsidR="009C0D39">
        <w:t xml:space="preserve">AERR </w:t>
      </w:r>
      <w:r>
        <w:t>revision</w:t>
      </w:r>
      <w:r w:rsidR="0079044C">
        <w:t>, if finalized,</w:t>
      </w:r>
      <w:r>
        <w:t xml:space="preserve"> </w:t>
      </w:r>
      <w:r w:rsidR="009C0D39">
        <w:t xml:space="preserve">would take </w:t>
      </w:r>
      <w:r w:rsidR="0079044C">
        <w:t>e</w:t>
      </w:r>
      <w:r w:rsidR="009C0D39">
        <w:t>ffect starting in 2027 (for the 2026 emissions inventory year)</w:t>
      </w:r>
      <w:r>
        <w:t xml:space="preserve">, and some one-time provisions in the </w:t>
      </w:r>
      <w:r w:rsidR="009E3729">
        <w:t>2024-2026</w:t>
      </w:r>
      <w:r>
        <w:t xml:space="preserve"> period would not apply. T</w:t>
      </w:r>
      <w:r w:rsidR="009C0D39">
        <w:t xml:space="preserve">his Appendix provides information to help explain the </w:t>
      </w:r>
      <w:r>
        <w:t>c</w:t>
      </w:r>
      <w:r w:rsidR="009C0D39">
        <w:t xml:space="preserve">hanges to burden </w:t>
      </w:r>
      <w:r>
        <w:t>that would start in 2027</w:t>
      </w:r>
      <w:r w:rsidR="00C15DEB">
        <w:t xml:space="preserve"> and continue indefinitely</w:t>
      </w:r>
      <w:r w:rsidR="009C0D39">
        <w:t xml:space="preserve">. </w:t>
      </w:r>
    </w:p>
    <w:p w:rsidR="009C0D39" w:rsidP="00793526" w14:paraId="020C12B7" w14:textId="2436B1C0"/>
    <w:p w:rsidR="009C0D39" w:rsidP="00793526" w14:paraId="4FA60DEC" w14:textId="59447DE3">
      <w:r>
        <w:t>Table A</w:t>
      </w:r>
      <w:r>
        <w:t>-1 provides the proposed AERR provisions that would take effect for SLTs starting in 2027 and their associated annual changes in hour and cost burden</w:t>
      </w:r>
      <w:r w:rsidR="001110F5">
        <w:t>. The EPA</w:t>
      </w:r>
      <w:r w:rsidR="00442B83">
        <w:t xml:space="preserve"> includes the following assumptions in these estimates:</w:t>
      </w:r>
    </w:p>
    <w:p w:rsidR="00442B83" w:rsidP="00F17B08" w14:paraId="2B6CAFF7" w14:textId="2257D3D1">
      <w:pPr>
        <w:pStyle w:val="ListParagraph"/>
        <w:numPr>
          <w:ilvl w:val="0"/>
          <w:numId w:val="23"/>
        </w:numPr>
        <w:tabs>
          <w:tab w:val="clear" w:pos="1353"/>
        </w:tabs>
        <w:spacing w:before="60"/>
        <w:contextualSpacing w:val="0"/>
      </w:pPr>
      <w:r>
        <w:t xml:space="preserve">CAERS further expands for the 2026 reporting year </w:t>
      </w:r>
      <w:r w:rsidR="00FF6E33">
        <w:t xml:space="preserve">that occurs in 2027 </w:t>
      </w:r>
      <w:r>
        <w:t xml:space="preserve">with </w:t>
      </w:r>
      <w:r w:rsidR="00FF6E33">
        <w:t>13</w:t>
      </w:r>
      <w:r>
        <w:t xml:space="preserve"> SLTs using their own data system or CAERS cases 1 or 2, </w:t>
      </w:r>
      <w:r w:rsidR="00FF6E33">
        <w:t>24</w:t>
      </w:r>
      <w:r>
        <w:t xml:space="preserve"> using case 3, and </w:t>
      </w:r>
      <w:r w:rsidR="00FF6E33">
        <w:t>48</w:t>
      </w:r>
      <w:r>
        <w:t xml:space="preserve"> using case 4.</w:t>
      </w:r>
    </w:p>
    <w:p w:rsidR="00E67529" w:rsidP="00F17B08" w14:paraId="05AADF71" w14:textId="000D71DB">
      <w:pPr>
        <w:pStyle w:val="ListParagraph"/>
        <w:numPr>
          <w:ilvl w:val="0"/>
          <w:numId w:val="23"/>
        </w:numPr>
        <w:tabs>
          <w:tab w:val="clear" w:pos="1353"/>
        </w:tabs>
        <w:spacing w:before="60"/>
        <w:contextualSpacing w:val="0"/>
      </w:pPr>
      <w:r>
        <w:t>For activities 1a through 1c, manage and staff hours increase by 10% over the hours for the 2023-2025 period because of the additional HAP pollutants</w:t>
      </w:r>
      <w:r w:rsidR="0079044C">
        <w:t>.</w:t>
      </w:r>
      <w:r w:rsidR="00FD0EA9">
        <w:t xml:space="preserve"> </w:t>
      </w:r>
    </w:p>
    <w:p w:rsidR="00442B83" w:rsidP="00F17B08" w14:paraId="1D4F286C" w14:textId="1200AD49">
      <w:pPr>
        <w:pStyle w:val="ListParagraph"/>
        <w:numPr>
          <w:ilvl w:val="0"/>
          <w:numId w:val="23"/>
        </w:numPr>
        <w:tabs>
          <w:tab w:val="clear" w:pos="1353"/>
        </w:tabs>
        <w:spacing w:before="60"/>
        <w:contextualSpacing w:val="0"/>
      </w:pPr>
      <w:r>
        <w:t>For activity 1a,</w:t>
      </w:r>
      <w:r>
        <w:t xml:space="preserve"> </w:t>
      </w:r>
      <w:r>
        <w:t>e</w:t>
      </w:r>
      <w:r>
        <w:t xml:space="preserve">ngineer and IT staff hours increase </w:t>
      </w:r>
      <w:r>
        <w:t>an additional 20% because of necessary updates to the SLT point collection system.</w:t>
      </w:r>
    </w:p>
    <w:p w:rsidR="00E67529" w:rsidP="00F17B08" w14:paraId="3F0477C0" w14:textId="26B69F37">
      <w:pPr>
        <w:pStyle w:val="ListParagraph"/>
        <w:numPr>
          <w:ilvl w:val="0"/>
          <w:numId w:val="23"/>
        </w:numPr>
        <w:tabs>
          <w:tab w:val="clear" w:pos="1353"/>
        </w:tabs>
        <w:spacing w:before="60"/>
        <w:contextualSpacing w:val="0"/>
      </w:pPr>
      <w:r>
        <w:t>For activity 1b, engineer and IT staff hours increase an additional 10% because of necessary updates to the SLT point collection system. This reduction would be associated with lower system burden because CAERS would serve as the user interface.</w:t>
      </w:r>
    </w:p>
    <w:p w:rsidR="00E67529" w:rsidP="00F17B08" w14:paraId="2C52EAD2" w14:textId="777C8530">
      <w:pPr>
        <w:pStyle w:val="ListParagraph"/>
        <w:numPr>
          <w:ilvl w:val="0"/>
          <w:numId w:val="23"/>
        </w:numPr>
        <w:tabs>
          <w:tab w:val="clear" w:pos="1353"/>
        </w:tabs>
        <w:spacing w:before="60"/>
        <w:contextualSpacing w:val="0"/>
      </w:pPr>
      <w:r>
        <w:t>For activity 2, this minor update would impact the staff engineer for supporting facilities to report additional data under the new requirement</w:t>
      </w:r>
    </w:p>
    <w:p w:rsidR="00442B83" w:rsidP="00F17B08" w14:paraId="084D8DB8" w14:textId="6CC92AAC">
      <w:pPr>
        <w:pStyle w:val="ListParagraph"/>
        <w:numPr>
          <w:ilvl w:val="0"/>
          <w:numId w:val="23"/>
        </w:numPr>
        <w:spacing w:before="60"/>
        <w:contextualSpacing w:val="0"/>
      </w:pPr>
      <w:r>
        <w:t>For activity 3, this update would include 5% managerial hours and the following breakdown of activities for staff</w:t>
      </w:r>
    </w:p>
    <w:p w:rsidR="00E67529" w:rsidP="00F17B08" w14:paraId="2088E93D" w14:textId="58CAA1C2">
      <w:pPr>
        <w:pStyle w:val="ListParagraph"/>
        <w:numPr>
          <w:ilvl w:val="1"/>
          <w:numId w:val="23"/>
        </w:numPr>
        <w:spacing w:before="60"/>
        <w:contextualSpacing w:val="0"/>
      </w:pPr>
      <w:r>
        <w:t>Prescribed fires collection system O&amp;M: 40 hours engineering and 520 hours IT</w:t>
      </w:r>
    </w:p>
    <w:p w:rsidR="00E67529" w:rsidP="00F17B08" w14:paraId="70AC6C9C" w14:textId="6B9C7261">
      <w:pPr>
        <w:pStyle w:val="ListParagraph"/>
        <w:numPr>
          <w:ilvl w:val="1"/>
          <w:numId w:val="23"/>
        </w:numPr>
        <w:spacing w:before="60"/>
        <w:contextualSpacing w:val="0"/>
      </w:pPr>
      <w:r>
        <w:t>User support for prescribed fire activity reporting: 120 hours engineering and 20 hours IT</w:t>
      </w:r>
    </w:p>
    <w:p w:rsidR="00E67529" w:rsidP="00F17B08" w14:paraId="6BDCE919" w14:textId="5A32FD32">
      <w:pPr>
        <w:pStyle w:val="ListParagraph"/>
        <w:numPr>
          <w:ilvl w:val="1"/>
          <w:numId w:val="23"/>
        </w:numPr>
        <w:spacing w:before="60"/>
        <w:contextualSpacing w:val="0"/>
      </w:pPr>
      <w:r>
        <w:t>QA of submitted data and revision support: 80 hours engineering</w:t>
      </w:r>
    </w:p>
    <w:p w:rsidR="00E67529" w:rsidP="00F17B08" w14:paraId="71283DDA" w14:textId="16E0E6F3">
      <w:pPr>
        <w:pStyle w:val="ListParagraph"/>
        <w:numPr>
          <w:ilvl w:val="1"/>
          <w:numId w:val="23"/>
        </w:numPr>
        <w:spacing w:before="60"/>
        <w:contextualSpacing w:val="0"/>
      </w:pPr>
      <w:r>
        <w:t>Converting data into required format: 8 hours engineering and 2 hours IT</w:t>
      </w:r>
    </w:p>
    <w:p w:rsidR="00E67529" w:rsidP="00F17B08" w14:paraId="4D08A5E9" w14:textId="27DD3480">
      <w:pPr>
        <w:pStyle w:val="ListParagraph"/>
        <w:numPr>
          <w:ilvl w:val="1"/>
          <w:numId w:val="23"/>
        </w:numPr>
        <w:spacing w:before="60"/>
        <w:contextualSpacing w:val="0"/>
      </w:pPr>
      <w:r>
        <w:t xml:space="preserve">Submitting final data to </w:t>
      </w:r>
      <w:r w:rsidR="009443FB">
        <w:t>EPA</w:t>
      </w:r>
      <w:r>
        <w:t xml:space="preserve"> via CDX: 4 hours engineering</w:t>
      </w:r>
    </w:p>
    <w:p w:rsidR="00E67529" w:rsidP="00F17B08" w14:paraId="250994CF" w14:textId="1B52A192">
      <w:pPr>
        <w:pStyle w:val="ListParagraph"/>
        <w:numPr>
          <w:ilvl w:val="1"/>
          <w:numId w:val="23"/>
        </w:numPr>
        <w:spacing w:before="60"/>
        <w:contextualSpacing w:val="0"/>
      </w:pPr>
      <w:r>
        <w:t xml:space="preserve">Responding to follow-up questions from </w:t>
      </w:r>
      <w:r w:rsidR="009443FB">
        <w:t>EPA</w:t>
      </w:r>
      <w:r>
        <w:t>: 20 hours engineering</w:t>
      </w:r>
    </w:p>
    <w:p w:rsidR="00E67529" w:rsidP="00F17B08" w14:paraId="74CC5A83" w14:textId="77460E61">
      <w:pPr>
        <w:pStyle w:val="ListParagraph"/>
        <w:numPr>
          <w:ilvl w:val="0"/>
          <w:numId w:val="23"/>
        </w:numPr>
        <w:spacing w:before="60"/>
        <w:contextualSpacing w:val="0"/>
      </w:pPr>
      <w:r>
        <w:t>For activities 4a through 4c, the work to implement the HEDD collection would have occurred during the 2023-2026 period as part of the updates to state regulations and updating the SLT data system (except for CAERS case 4). Thus, these hours represent the minor additional burden associated with collecting data from a small number of additional units in each SLT.</w:t>
      </w:r>
    </w:p>
    <w:p w:rsidR="00E67529" w:rsidP="00F17B08" w14:paraId="4BB41E90" w14:textId="0F6C2941">
      <w:pPr>
        <w:pStyle w:val="ListParagraph"/>
        <w:numPr>
          <w:ilvl w:val="0"/>
          <w:numId w:val="23"/>
        </w:numPr>
        <w:spacing w:before="60"/>
        <w:contextualSpacing w:val="0"/>
      </w:pPr>
      <w:r>
        <w:t xml:space="preserve">Activity 4b is expected to take more hours because of the additional time needed to register more facilities in the SLT data system. This is a </w:t>
      </w:r>
      <w:r w:rsidR="0079044C">
        <w:t>one</w:t>
      </w:r>
      <w:r>
        <w:t>-time impact that would occur during 2027. Since ICRs cover 3-year periods</w:t>
      </w:r>
      <w:r w:rsidR="0079044C">
        <w:t>,</w:t>
      </w:r>
      <w:r>
        <w:t xml:space="preserve"> the additional hours over Activity 4a are divided by three. The EPA estimates that the additional hours (above activity 1a) that would occur in 2027 would be 12 management hours and 80 engineering hours.</w:t>
      </w:r>
    </w:p>
    <w:p w:rsidR="00551B97" w:rsidP="00F17B08" w14:paraId="4F88BB82" w14:textId="2F600503">
      <w:pPr>
        <w:pStyle w:val="ListParagraph"/>
        <w:numPr>
          <w:ilvl w:val="0"/>
          <w:numId w:val="23"/>
        </w:numPr>
        <w:spacing w:before="60"/>
        <w:contextualSpacing w:val="0"/>
      </w:pPr>
      <w:r>
        <w:t xml:space="preserve">Activity 5 includes additional engineering hours (7) and IT hours (16) to update the SLT data system with the additional per- and polyfluoroalkyl substances (PFAS) </w:t>
      </w:r>
      <w:r w:rsidRPr="00442B83">
        <w:rPr>
          <w:rFonts w:ascii="Calibri" w:hAnsi="Calibri" w:cs="Calibri"/>
          <w:szCs w:val="22"/>
        </w:rPr>
        <w:t>pollutants</w:t>
      </w:r>
      <w:r>
        <w:rPr>
          <w:rFonts w:ascii="Calibri" w:hAnsi="Calibri" w:cs="Calibri"/>
          <w:szCs w:val="22"/>
        </w:rPr>
        <w:t xml:space="preserve"> that would be required. This potential impact would not affect SLTs choosing CAERS case 4.</w:t>
      </w:r>
    </w:p>
    <w:p w:rsidR="009C0D39" w:rsidP="00793526" w14:paraId="772ED00E" w14:textId="7BD2DD86"/>
    <w:p w:rsidR="00442B83" w:rsidP="00793526" w14:paraId="0D3B321B" w14:textId="2DC80A89">
      <w:r w:rsidRPr="0020098E">
        <w:t>Table A</w:t>
      </w:r>
      <w:r w:rsidRPr="0020098E">
        <w:t>-1:</w:t>
      </w:r>
      <w:r w:rsidRPr="00442B83">
        <w:t xml:space="preserve"> Annual Burden </w:t>
      </w:r>
      <w:r w:rsidR="00E73DD4">
        <w:t>and Additions</w:t>
      </w:r>
      <w:r w:rsidRPr="00442B83" w:rsidR="00E73DD4">
        <w:t xml:space="preserve"> per</w:t>
      </w:r>
      <w:r w:rsidRPr="00442B83">
        <w:t xml:space="preserve"> </w:t>
      </w:r>
      <w:r w:rsidR="00901E5A">
        <w:t>SLT</w:t>
      </w:r>
      <w:r w:rsidRPr="00442B83">
        <w:t xml:space="preserve"> </w:t>
      </w:r>
      <w:r w:rsidR="00ED0F0C">
        <w:t>S</w:t>
      </w:r>
      <w:r w:rsidRPr="00442B83" w:rsidR="00ED0F0C">
        <w:t>tarting in 2027</w:t>
      </w:r>
      <w:r w:rsidR="00ED0F0C">
        <w:t xml:space="preserve"> </w:t>
      </w:r>
      <w:r w:rsidRPr="00442B83">
        <w:t xml:space="preserve">for </w:t>
      </w:r>
      <w:r w:rsidR="00ED0F0C">
        <w:t>P</w:t>
      </w:r>
      <w:r w:rsidRPr="00442B83">
        <w:t xml:space="preserve">roposed AERR </w:t>
      </w:r>
      <w:r w:rsidR="00ED0F0C">
        <w:t>C</w:t>
      </w:r>
      <w:r w:rsidRPr="00442B83">
        <w:t xml:space="preserve">hanges </w:t>
      </w:r>
    </w:p>
    <w:tbl>
      <w:tblPr>
        <w:tblW w:w="9864" w:type="dxa"/>
        <w:tblLook w:val="04A0"/>
      </w:tblPr>
      <w:tblGrid>
        <w:gridCol w:w="3770"/>
        <w:gridCol w:w="610"/>
        <w:gridCol w:w="1256"/>
        <w:gridCol w:w="474"/>
        <w:gridCol w:w="670"/>
        <w:gridCol w:w="590"/>
        <w:gridCol w:w="554"/>
        <w:gridCol w:w="526"/>
        <w:gridCol w:w="360"/>
        <w:gridCol w:w="90"/>
        <w:gridCol w:w="180"/>
        <w:gridCol w:w="270"/>
        <w:gridCol w:w="90"/>
        <w:gridCol w:w="424"/>
      </w:tblGrid>
      <w:tr w14:paraId="28B5DB60" w14:textId="77777777" w:rsidTr="00FD0EA9">
        <w:tblPrEx>
          <w:tblW w:w="9864" w:type="dxa"/>
          <w:tblLook w:val="04A0"/>
        </w:tblPrEx>
        <w:trPr>
          <w:trHeight w:val="880"/>
          <w:tblHeader/>
        </w:trPr>
        <w:tc>
          <w:tcPr>
            <w:tcW w:w="37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42B83" w:rsidRPr="00442B83" w:rsidP="00442B83" w14:paraId="5C94B4C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442B83">
              <w:rPr>
                <w:rFonts w:ascii="Calibri" w:hAnsi="Calibri" w:cs="Calibri"/>
                <w:color w:val="000000"/>
                <w:szCs w:val="22"/>
              </w:rPr>
              <w:t> </w:t>
            </w:r>
          </w:p>
        </w:tc>
        <w:tc>
          <w:tcPr>
            <w:tcW w:w="610" w:type="dxa"/>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4FE87CB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No.</w:t>
            </w:r>
            <w:r w:rsidRPr="00442B83">
              <w:rPr>
                <w:rFonts w:ascii="Calibri" w:hAnsi="Calibri" w:cs="Calibri"/>
                <w:b/>
                <w:bCs/>
                <w:color w:val="000000"/>
                <w:szCs w:val="22"/>
              </w:rPr>
              <w:br/>
              <w:t>of SLTs</w:t>
            </w:r>
          </w:p>
        </w:tc>
        <w:tc>
          <w:tcPr>
            <w:tcW w:w="1256" w:type="dxa"/>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2504DEA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Manager Hrs/yr @ $118.94/Hr</w:t>
            </w:r>
          </w:p>
        </w:tc>
        <w:tc>
          <w:tcPr>
            <w:tcW w:w="1144" w:type="dxa"/>
            <w:gridSpan w:val="2"/>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46DDAD2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Engineer Hrs/yr @ $90.83/Hr</w:t>
            </w:r>
          </w:p>
        </w:tc>
        <w:tc>
          <w:tcPr>
            <w:tcW w:w="1144" w:type="dxa"/>
            <w:gridSpan w:val="2"/>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4148121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 xml:space="preserve">IT </w:t>
            </w:r>
            <w:r w:rsidRPr="00442B83">
              <w:rPr>
                <w:rFonts w:ascii="Calibri" w:hAnsi="Calibri" w:cs="Calibri"/>
                <w:b/>
                <w:bCs/>
                <w:color w:val="000000"/>
                <w:szCs w:val="22"/>
              </w:rPr>
              <w:br/>
              <w:t>Hrs/yr @ $81.02/Hr</w:t>
            </w:r>
          </w:p>
        </w:tc>
        <w:tc>
          <w:tcPr>
            <w:tcW w:w="886" w:type="dxa"/>
            <w:gridSpan w:val="2"/>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04EA2E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Hours/</w:t>
            </w:r>
            <w:r w:rsidRPr="00442B83">
              <w:rPr>
                <w:rFonts w:ascii="Calibri" w:hAnsi="Calibri" w:cs="Calibri"/>
                <w:b/>
                <w:bCs/>
                <w:color w:val="000000"/>
                <w:szCs w:val="22"/>
              </w:rPr>
              <w:br/>
              <w:t>year per SLT</w:t>
            </w:r>
          </w:p>
        </w:tc>
        <w:tc>
          <w:tcPr>
            <w:tcW w:w="1054" w:type="dxa"/>
            <w:gridSpan w:val="5"/>
            <w:tcBorders>
              <w:top w:val="single" w:sz="8" w:space="0" w:color="auto"/>
              <w:left w:val="nil"/>
              <w:bottom w:val="single" w:sz="8" w:space="0" w:color="auto"/>
              <w:right w:val="single" w:sz="8" w:space="0" w:color="auto"/>
            </w:tcBorders>
            <w:shd w:val="clear" w:color="auto" w:fill="auto"/>
            <w:vAlign w:val="bottom"/>
            <w:hideMark/>
          </w:tcPr>
          <w:p w:rsidR="00442B83" w:rsidRPr="00442B83" w:rsidP="00442B83" w14:paraId="26F88FEA" w14:textId="1501D95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442B83">
              <w:rPr>
                <w:rFonts w:ascii="Calibri" w:hAnsi="Calibri" w:cs="Calibri"/>
                <w:b/>
                <w:bCs/>
                <w:color w:val="000000"/>
                <w:szCs w:val="22"/>
              </w:rPr>
              <w:t>Cost/</w:t>
            </w:r>
            <w:r>
              <w:rPr>
                <w:rFonts w:ascii="Calibri" w:hAnsi="Calibri" w:cs="Calibri"/>
                <w:b/>
                <w:bCs/>
                <w:color w:val="000000"/>
                <w:szCs w:val="22"/>
              </w:rPr>
              <w:br/>
            </w:r>
            <w:r w:rsidRPr="00442B83">
              <w:rPr>
                <w:rFonts w:ascii="Calibri" w:hAnsi="Calibri" w:cs="Calibri"/>
                <w:b/>
                <w:bCs/>
                <w:color w:val="000000"/>
                <w:szCs w:val="22"/>
              </w:rPr>
              <w:t xml:space="preserve">year </w:t>
            </w:r>
            <w:r w:rsidRPr="00442B83">
              <w:rPr>
                <w:rFonts w:ascii="Calibri" w:hAnsi="Calibri" w:cs="Calibri"/>
                <w:b/>
                <w:bCs/>
                <w:color w:val="000000"/>
                <w:szCs w:val="22"/>
              </w:rPr>
              <w:br/>
              <w:t>per SLT</w:t>
            </w:r>
          </w:p>
        </w:tc>
      </w:tr>
      <w:tr w14:paraId="4614A4EF" w14:textId="77777777" w:rsidTr="00FD0EA9">
        <w:tblPrEx>
          <w:tblW w:w="9864" w:type="dxa"/>
          <w:tblLook w:val="04A0"/>
        </w:tblPrEx>
        <w:trPr>
          <w:trHeight w:val="367"/>
        </w:trPr>
        <w:tc>
          <w:tcPr>
            <w:tcW w:w="6780" w:type="dxa"/>
            <w:gridSpan w:val="5"/>
            <w:tcBorders>
              <w:top w:val="single" w:sz="8" w:space="0" w:color="auto"/>
              <w:left w:val="single" w:sz="8" w:space="0" w:color="auto"/>
              <w:bottom w:val="single" w:sz="8" w:space="0" w:color="auto"/>
            </w:tcBorders>
            <w:shd w:val="clear" w:color="auto" w:fill="D9D9D9" w:themeFill="background1" w:themeFillShade="D9"/>
            <w:noWrap/>
            <w:vAlign w:val="center"/>
          </w:tcPr>
          <w:p w:rsidR="00FD0EA9" w:rsidRPr="00442B83" w:rsidP="00FD0EA9" w14:paraId="574EB585" w14:textId="1857EA5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b/>
                <w:bCs/>
                <w:color w:val="000000"/>
                <w:szCs w:val="22"/>
              </w:rPr>
              <w:t>Activities from with changes to burden calculation</w:t>
            </w:r>
          </w:p>
        </w:tc>
        <w:tc>
          <w:tcPr>
            <w:tcW w:w="590" w:type="dxa"/>
            <w:tcBorders>
              <w:top w:val="single" w:sz="8" w:space="0" w:color="auto"/>
              <w:bottom w:val="single" w:sz="8" w:space="0" w:color="auto"/>
            </w:tcBorders>
            <w:shd w:val="clear" w:color="auto" w:fill="D9D9D9" w:themeFill="background1" w:themeFillShade="D9"/>
            <w:vAlign w:val="center"/>
          </w:tcPr>
          <w:p w:rsidR="00FD0EA9" w:rsidRPr="00442B83" w:rsidP="00FD0EA9" w14:paraId="01969E5D" w14:textId="64899CC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c>
          <w:tcPr>
            <w:tcW w:w="554" w:type="dxa"/>
            <w:tcBorders>
              <w:top w:val="single" w:sz="8" w:space="0" w:color="auto"/>
              <w:bottom w:val="single" w:sz="8" w:space="0" w:color="auto"/>
            </w:tcBorders>
            <w:shd w:val="clear" w:color="auto" w:fill="D9D9D9" w:themeFill="background1" w:themeFillShade="D9"/>
            <w:vAlign w:val="center"/>
          </w:tcPr>
          <w:p w:rsidR="00FD0EA9" w:rsidRPr="00442B83" w:rsidP="00FD0EA9" w14:paraId="0A46109C" w14:textId="0E51190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c>
          <w:tcPr>
            <w:tcW w:w="526" w:type="dxa"/>
            <w:tcBorders>
              <w:top w:val="single" w:sz="8" w:space="0" w:color="auto"/>
              <w:bottom w:val="single" w:sz="8" w:space="0" w:color="auto"/>
            </w:tcBorders>
            <w:shd w:val="clear" w:color="auto" w:fill="D9D9D9" w:themeFill="background1" w:themeFillShade="D9"/>
            <w:vAlign w:val="center"/>
          </w:tcPr>
          <w:p w:rsidR="00FD0EA9" w:rsidRPr="00442B83" w:rsidP="00FD0EA9" w14:paraId="3CF7D457" w14:textId="5838D52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c>
          <w:tcPr>
            <w:tcW w:w="450" w:type="dxa"/>
            <w:gridSpan w:val="2"/>
            <w:tcBorders>
              <w:top w:val="single" w:sz="8" w:space="0" w:color="auto"/>
              <w:bottom w:val="single" w:sz="8" w:space="0" w:color="auto"/>
            </w:tcBorders>
            <w:shd w:val="clear" w:color="auto" w:fill="D9D9D9" w:themeFill="background1" w:themeFillShade="D9"/>
            <w:vAlign w:val="center"/>
          </w:tcPr>
          <w:p w:rsidR="00FD0EA9" w:rsidRPr="00442B83" w:rsidP="00FD0EA9" w14:paraId="0A99DE45" w14:textId="17558C2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c>
          <w:tcPr>
            <w:tcW w:w="450" w:type="dxa"/>
            <w:gridSpan w:val="2"/>
            <w:tcBorders>
              <w:top w:val="single" w:sz="8" w:space="0" w:color="auto"/>
              <w:bottom w:val="single" w:sz="8" w:space="0" w:color="auto"/>
            </w:tcBorders>
            <w:shd w:val="clear" w:color="auto" w:fill="D9D9D9" w:themeFill="background1" w:themeFillShade="D9"/>
            <w:vAlign w:val="center"/>
          </w:tcPr>
          <w:p w:rsidR="00FD0EA9" w:rsidRPr="00442B83" w:rsidP="00FD0EA9" w14:paraId="4BF0B1F7" w14:textId="47EDEE2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c>
          <w:tcPr>
            <w:tcW w:w="514"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rsidR="00FD0EA9" w:rsidRPr="00442B83" w:rsidP="00FD0EA9" w14:paraId="6BE833B5" w14:textId="0DD7684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w:t>
            </w:r>
          </w:p>
        </w:tc>
      </w:tr>
      <w:tr w14:paraId="3F11C292" w14:textId="77777777" w:rsidTr="00FD0EA9">
        <w:tblPrEx>
          <w:tblW w:w="9864" w:type="dxa"/>
          <w:tblLook w:val="04A0"/>
        </w:tblPrEx>
        <w:trPr>
          <w:trHeight w:val="117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63ADC3C5" w14:textId="4595512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1a. Point source annual emissions system O&amp;M, collection, and reporting for required CAP and HAP by SLTs, with SLT system or CAERS cases 1 or 2</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1C3C4ADD" w14:textId="70CF6D6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5010C225" w14:textId="47B8A49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189</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2DF4F8AF" w14:textId="392229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724</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29F512FD" w14:textId="77E795E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1,508</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39E63D57" w14:textId="55BDD8F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2,421</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50CC0CBE" w14:textId="12DD1AB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$210,446 </w:t>
            </w:r>
          </w:p>
        </w:tc>
      </w:tr>
      <w:tr w14:paraId="1F9A219D" w14:textId="77777777" w:rsidTr="00FD0EA9">
        <w:tblPrEx>
          <w:tblW w:w="9864" w:type="dxa"/>
          <w:tblLook w:val="04A0"/>
        </w:tblPrEx>
        <w:trPr>
          <w:trHeight w:val="88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276223F2" w14:textId="6A25773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1b. Point source annual emissions system O&amp;M, collection, and reporting for required CAP and HAP by SLTs, with CAERS case 3</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7B09CAA2" w14:textId="3F5EE3B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24</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41AFB33F" w14:textId="7BE29B5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136</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C7C3E3F" w14:textId="6477605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371</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156CBFDF" w14:textId="204DA42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1,099</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8097E58" w14:textId="3A23CA6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1,606</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6F40AF83" w14:textId="06E9663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$138,852 </w:t>
            </w:r>
          </w:p>
        </w:tc>
      </w:tr>
      <w:tr w14:paraId="591AA6A8" w14:textId="77777777" w:rsidTr="00FD0EA9">
        <w:tblPrEx>
          <w:tblW w:w="9864" w:type="dxa"/>
          <w:tblLook w:val="04A0"/>
        </w:tblPrEx>
        <w:trPr>
          <w:trHeight w:val="88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77084299" w14:textId="7E2D3BD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1c. Point source annual emissions collection and reporting for required CAP and HAP by SLTs, with CAERS case 4</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12EFDB20" w14:textId="5817769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48</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16B611B3" w14:textId="7365D9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23</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61D1C6E8" w14:textId="32BFF8B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168</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47C8AC0A" w14:textId="1ADCCC9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22</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787CDBD6" w14:textId="221ABC9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213</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690AA9A2" w14:textId="7D0B503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$19,772 </w:t>
            </w:r>
          </w:p>
        </w:tc>
      </w:tr>
      <w:tr w14:paraId="765BD808" w14:textId="77777777" w:rsidTr="00FD0EA9">
        <w:tblPrEx>
          <w:tblW w:w="9864" w:type="dxa"/>
          <w:tblLook w:val="04A0"/>
        </w:tblPrEx>
        <w:trPr>
          <w:trHeight w:val="385"/>
        </w:trPr>
        <w:tc>
          <w:tcPr>
            <w:tcW w:w="6110" w:type="dxa"/>
            <w:gridSpan w:val="4"/>
            <w:tcBorders>
              <w:top w:val="single" w:sz="8" w:space="0" w:color="auto"/>
              <w:left w:val="single" w:sz="8" w:space="0" w:color="auto"/>
              <w:bottom w:val="single" w:sz="8" w:space="0" w:color="auto"/>
            </w:tcBorders>
            <w:shd w:val="clear" w:color="auto" w:fill="D9D9D9" w:themeFill="background1" w:themeFillShade="D9"/>
            <w:vAlign w:val="center"/>
          </w:tcPr>
          <w:p w:rsidR="00FD0EA9" w:rsidP="00FD0EA9" w14:paraId="5E3C9190" w14:textId="1EBA47A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b/>
                <w:bCs/>
                <w:color w:val="000000"/>
                <w:szCs w:val="22"/>
              </w:rPr>
              <w:t>Additional proposed activities</w:t>
            </w:r>
          </w:p>
        </w:tc>
        <w:tc>
          <w:tcPr>
            <w:tcW w:w="670" w:type="dxa"/>
            <w:tcBorders>
              <w:top w:val="single" w:sz="8" w:space="0" w:color="auto"/>
              <w:bottom w:val="single" w:sz="8" w:space="0" w:color="auto"/>
            </w:tcBorders>
            <w:shd w:val="clear" w:color="auto" w:fill="D9D9D9" w:themeFill="background1" w:themeFillShade="D9"/>
            <w:noWrap/>
            <w:vAlign w:val="center"/>
          </w:tcPr>
          <w:p w:rsidR="00FD0EA9" w:rsidP="00FD0EA9" w14:paraId="54A92EEF" w14:textId="6469929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590" w:type="dxa"/>
            <w:tcBorders>
              <w:top w:val="single" w:sz="8" w:space="0" w:color="auto"/>
              <w:bottom w:val="single" w:sz="8" w:space="0" w:color="auto"/>
            </w:tcBorders>
            <w:shd w:val="clear" w:color="auto" w:fill="D9D9D9" w:themeFill="background1" w:themeFillShade="D9"/>
            <w:noWrap/>
            <w:vAlign w:val="center"/>
          </w:tcPr>
          <w:p w:rsidR="00FD0EA9" w:rsidP="00FD0EA9" w14:paraId="797A56B2" w14:textId="4128C10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1080" w:type="dxa"/>
            <w:gridSpan w:val="2"/>
            <w:tcBorders>
              <w:top w:val="single" w:sz="8" w:space="0" w:color="auto"/>
              <w:bottom w:val="single" w:sz="8" w:space="0" w:color="auto"/>
            </w:tcBorders>
            <w:shd w:val="clear" w:color="auto" w:fill="D9D9D9" w:themeFill="background1" w:themeFillShade="D9"/>
            <w:noWrap/>
            <w:vAlign w:val="center"/>
          </w:tcPr>
          <w:p w:rsidR="00FD0EA9" w:rsidP="00FD0EA9" w14:paraId="655CDCA1" w14:textId="5383240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630" w:type="dxa"/>
            <w:gridSpan w:val="3"/>
            <w:tcBorders>
              <w:top w:val="single" w:sz="8" w:space="0" w:color="auto"/>
              <w:bottom w:val="single" w:sz="8" w:space="0" w:color="auto"/>
            </w:tcBorders>
            <w:shd w:val="clear" w:color="auto" w:fill="D9D9D9" w:themeFill="background1" w:themeFillShade="D9"/>
            <w:noWrap/>
            <w:vAlign w:val="center"/>
          </w:tcPr>
          <w:p w:rsidR="00FD0EA9" w:rsidP="00FD0EA9" w14:paraId="3688F0F8" w14:textId="6909261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360" w:type="dxa"/>
            <w:gridSpan w:val="2"/>
            <w:tcBorders>
              <w:top w:val="single" w:sz="8" w:space="0" w:color="auto"/>
              <w:bottom w:val="single" w:sz="8" w:space="0" w:color="auto"/>
            </w:tcBorders>
            <w:shd w:val="clear" w:color="auto" w:fill="D9D9D9" w:themeFill="background1" w:themeFillShade="D9"/>
            <w:noWrap/>
            <w:vAlign w:val="center"/>
          </w:tcPr>
          <w:p w:rsidR="00FD0EA9" w:rsidP="00FD0EA9" w14:paraId="3E9123D3" w14:textId="1F07E1A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 </w:t>
            </w:r>
          </w:p>
        </w:tc>
        <w:tc>
          <w:tcPr>
            <w:tcW w:w="424" w:type="dxa"/>
            <w:tcBorders>
              <w:top w:val="single" w:sz="8" w:space="0" w:color="auto"/>
              <w:bottom w:val="single" w:sz="8" w:space="0" w:color="auto"/>
              <w:right w:val="single" w:sz="8" w:space="0" w:color="auto"/>
            </w:tcBorders>
            <w:shd w:val="clear" w:color="auto" w:fill="D9D9D9" w:themeFill="background1" w:themeFillShade="D9"/>
            <w:noWrap/>
            <w:vAlign w:val="center"/>
          </w:tcPr>
          <w:p w:rsidR="00FD0EA9" w:rsidP="00FD0EA9" w14:paraId="6118254D" w14:textId="0C68A99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w:t>
            </w:r>
          </w:p>
        </w:tc>
      </w:tr>
      <w:tr w14:paraId="6A2081B1" w14:textId="77777777" w:rsidTr="00FD0EA9">
        <w:tblPrEx>
          <w:tblW w:w="9864" w:type="dxa"/>
          <w:tblLook w:val="04A0"/>
        </w:tblPrEx>
        <w:trPr>
          <w:trHeight w:val="88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6E787011" w14:textId="3887CA5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2. Provision to require inclusion of certain facility-dedicated mobile sources as part of facility emissions</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1D7031BE" w14:textId="2583A63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7430F959" w14:textId="369AE2C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15DAB56F" w14:textId="535A08A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26F1E99" w14:textId="5B89452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7BF57AB1" w14:textId="5F2026F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1370D177" w14:textId="0E5B889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$3,633 </w:t>
            </w:r>
          </w:p>
        </w:tc>
      </w:tr>
      <w:tr w14:paraId="6C9ADE1C" w14:textId="77777777" w:rsidTr="00FD0EA9">
        <w:tblPrEx>
          <w:tblW w:w="9864" w:type="dxa"/>
          <w:tblLook w:val="04A0"/>
        </w:tblPrEx>
        <w:trPr>
          <w:trHeight w:val="59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7C1C5DBB" w14:textId="2A843DB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3. Provision for states to report activity data every year for certain prescribed burns</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6744C77E" w14:textId="21C9587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52</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54A610A7" w14:textId="7E47F90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41</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1D9B562" w14:textId="3820FE0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272</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1810147F" w14:textId="455EB99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542</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3BEEFFD7" w14:textId="1A70CEB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855</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5AD9B252" w14:textId="3F6A734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$73,493 </w:t>
            </w:r>
          </w:p>
        </w:tc>
      </w:tr>
      <w:tr w14:paraId="3AE0CA62" w14:textId="77777777" w:rsidTr="00FD0EA9">
        <w:tblPrEx>
          <w:tblW w:w="9864" w:type="dxa"/>
          <w:tblLook w:val="04A0"/>
        </w:tblPrEx>
        <w:trPr>
          <w:trHeight w:val="88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0C47CEB6" w14:textId="4DBA238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4a. HEDD Preferred approach: States to report fuel data or heat input for for small generating units</w:t>
            </w:r>
          </w:p>
        </w:tc>
        <w:tc>
          <w:tcPr>
            <w:tcW w:w="610" w:type="dxa"/>
            <w:tcBorders>
              <w:top w:val="nil"/>
              <w:left w:val="nil"/>
              <w:bottom w:val="single" w:sz="8" w:space="0" w:color="auto"/>
              <w:right w:val="single" w:sz="8" w:space="0" w:color="auto"/>
            </w:tcBorders>
            <w:shd w:val="clear" w:color="auto" w:fill="auto"/>
            <w:vAlign w:val="center"/>
            <w:hideMark/>
          </w:tcPr>
          <w:p w:rsidR="00FD0EA9" w:rsidRPr="00442B83" w:rsidP="00FD0EA9" w14:paraId="39D1DD61" w14:textId="6D2D85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24</w:t>
            </w:r>
          </w:p>
        </w:tc>
        <w:tc>
          <w:tcPr>
            <w:tcW w:w="1256" w:type="dxa"/>
            <w:tcBorders>
              <w:top w:val="nil"/>
              <w:left w:val="nil"/>
              <w:bottom w:val="single" w:sz="8" w:space="0" w:color="auto"/>
              <w:right w:val="single" w:sz="8" w:space="0" w:color="auto"/>
            </w:tcBorders>
            <w:shd w:val="clear" w:color="auto" w:fill="auto"/>
            <w:vAlign w:val="center"/>
            <w:hideMark/>
          </w:tcPr>
          <w:p w:rsidR="00FD0EA9" w:rsidRPr="00442B83" w:rsidP="00FD0EA9" w14:paraId="4326B418" w14:textId="7903632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1</w:t>
            </w:r>
          </w:p>
        </w:tc>
        <w:tc>
          <w:tcPr>
            <w:tcW w:w="1144" w:type="dxa"/>
            <w:gridSpan w:val="2"/>
            <w:tcBorders>
              <w:top w:val="nil"/>
              <w:left w:val="nil"/>
              <w:bottom w:val="single" w:sz="8" w:space="0" w:color="auto"/>
              <w:right w:val="single" w:sz="8" w:space="0" w:color="auto"/>
            </w:tcBorders>
            <w:shd w:val="clear" w:color="auto" w:fill="auto"/>
            <w:vAlign w:val="center"/>
            <w:hideMark/>
          </w:tcPr>
          <w:p w:rsidR="00FD0EA9" w:rsidRPr="00442B83" w:rsidP="00FD0EA9" w14:paraId="3ED7DF1A" w14:textId="0B1CB82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8</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7A96AEE0" w14:textId="5FE3F37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1BFBDB1" w14:textId="42CC47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9</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33DCDB96" w14:textId="1CDF083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$846 </w:t>
            </w:r>
          </w:p>
        </w:tc>
      </w:tr>
      <w:tr w14:paraId="6C59E889" w14:textId="77777777" w:rsidTr="00FD0EA9">
        <w:tblPrEx>
          <w:tblW w:w="9864" w:type="dxa"/>
          <w:tblLook w:val="04A0"/>
        </w:tblPrEx>
        <w:trPr>
          <w:trHeight w:val="916"/>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5CC0E79E" w14:textId="7A18180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4b. HEDD Alternative D2: expand preferred approach to include all units deployed by CSPs</w:t>
            </w:r>
          </w:p>
        </w:tc>
        <w:tc>
          <w:tcPr>
            <w:tcW w:w="610" w:type="dxa"/>
            <w:tcBorders>
              <w:top w:val="nil"/>
              <w:left w:val="nil"/>
              <w:bottom w:val="single" w:sz="8" w:space="0" w:color="auto"/>
              <w:right w:val="single" w:sz="8" w:space="0" w:color="auto"/>
            </w:tcBorders>
            <w:shd w:val="clear" w:color="auto" w:fill="auto"/>
            <w:vAlign w:val="center"/>
            <w:hideMark/>
          </w:tcPr>
          <w:p w:rsidR="00FD0EA9" w:rsidRPr="00442B83" w:rsidP="00FD0EA9" w14:paraId="6F828651" w14:textId="67BEBF4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24</w:t>
            </w:r>
          </w:p>
        </w:tc>
        <w:tc>
          <w:tcPr>
            <w:tcW w:w="1256" w:type="dxa"/>
            <w:tcBorders>
              <w:top w:val="nil"/>
              <w:left w:val="nil"/>
              <w:bottom w:val="single" w:sz="8" w:space="0" w:color="auto"/>
              <w:right w:val="single" w:sz="8" w:space="0" w:color="auto"/>
            </w:tcBorders>
            <w:shd w:val="clear" w:color="auto" w:fill="auto"/>
            <w:vAlign w:val="center"/>
            <w:hideMark/>
          </w:tcPr>
          <w:p w:rsidR="00FD0EA9" w:rsidRPr="00442B83" w:rsidP="00FD0EA9" w14:paraId="7D67BD2B" w14:textId="1F4035B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5</w:t>
            </w:r>
          </w:p>
        </w:tc>
        <w:tc>
          <w:tcPr>
            <w:tcW w:w="1144" w:type="dxa"/>
            <w:gridSpan w:val="2"/>
            <w:tcBorders>
              <w:top w:val="nil"/>
              <w:left w:val="nil"/>
              <w:bottom w:val="single" w:sz="8" w:space="0" w:color="auto"/>
              <w:right w:val="single" w:sz="8" w:space="0" w:color="auto"/>
            </w:tcBorders>
            <w:shd w:val="clear" w:color="auto" w:fill="auto"/>
            <w:vAlign w:val="center"/>
            <w:hideMark/>
          </w:tcPr>
          <w:p w:rsidR="00FD0EA9" w:rsidRPr="00442B83" w:rsidP="00FD0EA9" w14:paraId="0FD1229F" w14:textId="45935FA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35</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6529D4F3" w14:textId="777F7A2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10DB480B" w14:textId="2A0879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476798B3" w14:textId="6BAD8C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$3,743 </w:t>
            </w:r>
          </w:p>
        </w:tc>
      </w:tr>
      <w:tr w14:paraId="10FE4EE7" w14:textId="77777777" w:rsidTr="00FD0EA9">
        <w:tblPrEx>
          <w:tblW w:w="9864" w:type="dxa"/>
          <w:tblLook w:val="04A0"/>
        </w:tblPrEx>
        <w:trPr>
          <w:trHeight w:val="511"/>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503AC3FC" w14:textId="699D5CC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4c. HEDD Alternative D3: restrict preferred approach to ozone SIP states</w:t>
            </w:r>
          </w:p>
        </w:tc>
        <w:tc>
          <w:tcPr>
            <w:tcW w:w="610" w:type="dxa"/>
            <w:tcBorders>
              <w:top w:val="nil"/>
              <w:left w:val="nil"/>
              <w:bottom w:val="single" w:sz="8" w:space="0" w:color="auto"/>
              <w:right w:val="single" w:sz="8" w:space="0" w:color="auto"/>
            </w:tcBorders>
            <w:shd w:val="clear" w:color="auto" w:fill="auto"/>
            <w:vAlign w:val="center"/>
            <w:hideMark/>
          </w:tcPr>
          <w:p w:rsidR="00FD0EA9" w:rsidRPr="00442B83" w:rsidP="00FD0EA9" w14:paraId="797D69E5" w14:textId="6FC96D9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17</w:t>
            </w:r>
          </w:p>
        </w:tc>
        <w:tc>
          <w:tcPr>
            <w:tcW w:w="1256" w:type="dxa"/>
            <w:tcBorders>
              <w:top w:val="nil"/>
              <w:left w:val="nil"/>
              <w:bottom w:val="single" w:sz="8" w:space="0" w:color="auto"/>
              <w:right w:val="single" w:sz="8" w:space="0" w:color="auto"/>
            </w:tcBorders>
            <w:shd w:val="clear" w:color="auto" w:fill="auto"/>
            <w:vAlign w:val="center"/>
            <w:hideMark/>
          </w:tcPr>
          <w:p w:rsidR="00FD0EA9" w:rsidRPr="00442B83" w:rsidP="00FD0EA9" w14:paraId="5B545DBE" w14:textId="2DABFC7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1</w:t>
            </w:r>
          </w:p>
        </w:tc>
        <w:tc>
          <w:tcPr>
            <w:tcW w:w="1144" w:type="dxa"/>
            <w:gridSpan w:val="2"/>
            <w:tcBorders>
              <w:top w:val="nil"/>
              <w:left w:val="nil"/>
              <w:bottom w:val="single" w:sz="8" w:space="0" w:color="auto"/>
              <w:right w:val="single" w:sz="8" w:space="0" w:color="auto"/>
            </w:tcBorders>
            <w:shd w:val="clear" w:color="auto" w:fill="auto"/>
            <w:vAlign w:val="center"/>
            <w:hideMark/>
          </w:tcPr>
          <w:p w:rsidR="00FD0EA9" w:rsidRPr="00442B83" w:rsidP="00FD0EA9" w14:paraId="4E9D1D10" w14:textId="4090924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szCs w:val="22"/>
              </w:rPr>
            </w:pPr>
            <w:r>
              <w:rPr>
                <w:rFonts w:ascii="Calibri" w:hAnsi="Calibri" w:cs="Calibri"/>
                <w:szCs w:val="22"/>
              </w:rPr>
              <w:t>8</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7C70BCE2" w14:textId="2DC68EB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C0B34A6" w14:textId="7EA61A7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9</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24EF723D" w14:textId="10352A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$846 </w:t>
            </w:r>
          </w:p>
        </w:tc>
      </w:tr>
      <w:tr w14:paraId="0C397628" w14:textId="77777777" w:rsidTr="00FD0EA9">
        <w:tblPrEx>
          <w:tblW w:w="9864" w:type="dxa"/>
          <w:tblLook w:val="04A0"/>
        </w:tblPrEx>
        <w:trPr>
          <w:trHeight w:val="300"/>
        </w:trPr>
        <w:tc>
          <w:tcPr>
            <w:tcW w:w="3770" w:type="dxa"/>
            <w:tcBorders>
              <w:top w:val="nil"/>
              <w:left w:val="single" w:sz="8" w:space="0" w:color="auto"/>
              <w:bottom w:val="single" w:sz="8" w:space="0" w:color="auto"/>
              <w:right w:val="single" w:sz="8" w:space="0" w:color="auto"/>
            </w:tcBorders>
            <w:shd w:val="clear" w:color="auto" w:fill="auto"/>
            <w:vAlign w:val="center"/>
            <w:hideMark/>
          </w:tcPr>
          <w:p w:rsidR="00FD0EA9" w:rsidRPr="00442B83" w:rsidP="00FD0EA9" w14:paraId="0725A500" w14:textId="627A3768">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ind w:left="334" w:hanging="334"/>
              <w:rPr>
                <w:rFonts w:ascii="Calibri" w:hAnsi="Calibri" w:cs="Calibri"/>
                <w:szCs w:val="22"/>
              </w:rPr>
            </w:pPr>
            <w:r>
              <w:rPr>
                <w:rFonts w:ascii="Calibri" w:hAnsi="Calibri" w:cs="Calibri"/>
                <w:color w:val="000000"/>
                <w:szCs w:val="22"/>
              </w:rPr>
              <w:t>5. Option: Include per- and polyfluoroalkyl substances (PFAS) in required pollutants</w:t>
            </w:r>
          </w:p>
        </w:tc>
        <w:tc>
          <w:tcPr>
            <w:tcW w:w="610"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4A37A380" w14:textId="45EFDFF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w:t>
            </w:r>
          </w:p>
        </w:tc>
        <w:tc>
          <w:tcPr>
            <w:tcW w:w="1256" w:type="dxa"/>
            <w:tcBorders>
              <w:top w:val="nil"/>
              <w:left w:val="nil"/>
              <w:bottom w:val="single" w:sz="8" w:space="0" w:color="auto"/>
              <w:right w:val="single" w:sz="8" w:space="0" w:color="auto"/>
            </w:tcBorders>
            <w:shd w:val="clear" w:color="auto" w:fill="auto"/>
            <w:noWrap/>
            <w:vAlign w:val="center"/>
            <w:hideMark/>
          </w:tcPr>
          <w:p w:rsidR="00FD0EA9" w:rsidRPr="00442B83" w:rsidP="00FD0EA9" w14:paraId="53884FAC" w14:textId="68D0168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0</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2F656216" w14:textId="552F24A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w:t>
            </w:r>
          </w:p>
        </w:tc>
        <w:tc>
          <w:tcPr>
            <w:tcW w:w="1144"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5F70AF58" w14:textId="3A2902F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16</w:t>
            </w:r>
          </w:p>
        </w:tc>
        <w:tc>
          <w:tcPr>
            <w:tcW w:w="886" w:type="dxa"/>
            <w:gridSpan w:val="2"/>
            <w:tcBorders>
              <w:top w:val="nil"/>
              <w:left w:val="nil"/>
              <w:bottom w:val="single" w:sz="8" w:space="0" w:color="auto"/>
              <w:right w:val="single" w:sz="8" w:space="0" w:color="auto"/>
            </w:tcBorders>
            <w:shd w:val="clear" w:color="auto" w:fill="auto"/>
            <w:noWrap/>
            <w:vAlign w:val="center"/>
            <w:hideMark/>
          </w:tcPr>
          <w:p w:rsidR="00FD0EA9" w:rsidRPr="00442B83" w:rsidP="00FD0EA9" w14:paraId="0103BC82" w14:textId="7E90694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24</w:t>
            </w:r>
          </w:p>
        </w:tc>
        <w:tc>
          <w:tcPr>
            <w:tcW w:w="1054" w:type="dxa"/>
            <w:gridSpan w:val="5"/>
            <w:tcBorders>
              <w:top w:val="nil"/>
              <w:left w:val="nil"/>
              <w:bottom w:val="single" w:sz="8" w:space="0" w:color="auto"/>
              <w:right w:val="single" w:sz="8" w:space="0" w:color="auto"/>
            </w:tcBorders>
            <w:shd w:val="clear" w:color="auto" w:fill="auto"/>
            <w:noWrap/>
            <w:vAlign w:val="center"/>
            <w:hideMark/>
          </w:tcPr>
          <w:p w:rsidR="00FD0EA9" w:rsidRPr="00442B83" w:rsidP="00FD0EA9" w14:paraId="07636C2C" w14:textId="772E3B3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color w:val="000000"/>
                <w:szCs w:val="22"/>
              </w:rPr>
              <w:t xml:space="preserve">$2,023 </w:t>
            </w:r>
          </w:p>
        </w:tc>
      </w:tr>
      <w:tr w14:paraId="53EDC5B7" w14:textId="77777777" w:rsidTr="00FD0EA9">
        <w:tblPrEx>
          <w:tblW w:w="9864" w:type="dxa"/>
          <w:tblLook w:val="04A0"/>
        </w:tblPrEx>
        <w:trPr>
          <w:trHeight w:val="300"/>
        </w:trPr>
        <w:tc>
          <w:tcPr>
            <w:tcW w:w="377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FD0EA9" w:rsidRPr="00442B83" w:rsidP="00FD0EA9" w14:paraId="137694EB" w14:textId="2276A03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szCs w:val="22"/>
              </w:rPr>
            </w:pPr>
            <w:r>
              <w:rPr>
                <w:rFonts w:ascii="Calibri" w:hAnsi="Calibri" w:cs="Calibri"/>
                <w:b/>
                <w:bCs/>
                <w:szCs w:val="22"/>
              </w:rPr>
              <w:t xml:space="preserve">Maximum Burden </w:t>
            </w:r>
            <w:r w:rsidR="00E73DD4">
              <w:rPr>
                <w:rFonts w:ascii="Calibri" w:hAnsi="Calibri" w:cs="Calibri"/>
                <w:b/>
                <w:bCs/>
                <w:szCs w:val="22"/>
              </w:rPr>
              <w:t xml:space="preserve">Changes </w:t>
            </w:r>
            <w:r>
              <w:rPr>
                <w:rFonts w:ascii="Calibri" w:hAnsi="Calibri" w:cs="Calibri"/>
                <w:b/>
                <w:bCs/>
                <w:szCs w:val="22"/>
              </w:rPr>
              <w:t>per SLT (activities 1a, 2, 3, 4b, and 5)</w:t>
            </w:r>
          </w:p>
        </w:tc>
        <w:tc>
          <w:tcPr>
            <w:tcW w:w="610" w:type="dxa"/>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473BB5ED" w14:textId="34305F01">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13</w:t>
            </w:r>
          </w:p>
        </w:tc>
        <w:tc>
          <w:tcPr>
            <w:tcW w:w="1256" w:type="dxa"/>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58BF3048" w14:textId="6CD4601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235</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39AC20F5" w14:textId="523F07F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1,079</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1B7938F0" w14:textId="1E0D4239">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2,066</w:t>
            </w:r>
          </w:p>
        </w:tc>
        <w:tc>
          <w:tcPr>
            <w:tcW w:w="886" w:type="dxa"/>
            <w:gridSpan w:val="2"/>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148A122D" w14:textId="3BB4772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3,380</w:t>
            </w:r>
          </w:p>
        </w:tc>
        <w:tc>
          <w:tcPr>
            <w:tcW w:w="1054" w:type="dxa"/>
            <w:gridSpan w:val="5"/>
            <w:tcBorders>
              <w:top w:val="single" w:sz="8" w:space="0" w:color="auto"/>
              <w:left w:val="nil"/>
              <w:bottom w:val="single" w:sz="8" w:space="0" w:color="auto"/>
              <w:right w:val="single" w:sz="8" w:space="0" w:color="auto"/>
            </w:tcBorders>
            <w:shd w:val="clear" w:color="000000" w:fill="D9D9D9"/>
            <w:noWrap/>
            <w:vAlign w:val="center"/>
            <w:hideMark/>
          </w:tcPr>
          <w:p w:rsidR="00FD0EA9" w:rsidRPr="00442B83" w:rsidP="00FD0EA9" w14:paraId="0FE80AAA" w14:textId="7C90AAD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b/>
                <w:bCs/>
                <w:color w:val="000000"/>
                <w:szCs w:val="22"/>
              </w:rPr>
              <w:t xml:space="preserve">$293,338 </w:t>
            </w:r>
          </w:p>
        </w:tc>
      </w:tr>
      <w:tr w14:paraId="1389F9EC" w14:textId="77777777" w:rsidTr="00FD0EA9">
        <w:tblPrEx>
          <w:tblW w:w="9864" w:type="dxa"/>
          <w:tblLook w:val="04A0"/>
        </w:tblPrEx>
        <w:trPr>
          <w:trHeight w:val="300"/>
        </w:trPr>
        <w:tc>
          <w:tcPr>
            <w:tcW w:w="3770" w:type="dxa"/>
            <w:tcBorders>
              <w:top w:val="single" w:sz="8" w:space="0" w:color="auto"/>
              <w:left w:val="single" w:sz="8" w:space="0" w:color="auto"/>
              <w:bottom w:val="single" w:sz="8" w:space="0" w:color="auto"/>
              <w:right w:val="single" w:sz="8" w:space="0" w:color="auto"/>
            </w:tcBorders>
            <w:shd w:val="clear" w:color="000000" w:fill="D9D9D9"/>
            <w:vAlign w:val="center"/>
          </w:tcPr>
          <w:p w:rsidR="00FD0EA9" w:rsidRPr="00442B83" w:rsidP="00FD0EA9" w14:paraId="7C4549A7" w14:textId="4C8564CA">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szCs w:val="22"/>
              </w:rPr>
            </w:pPr>
            <w:r>
              <w:rPr>
                <w:rFonts w:ascii="Calibri" w:hAnsi="Calibri" w:cs="Calibri"/>
                <w:b/>
                <w:bCs/>
                <w:color w:val="000000"/>
                <w:szCs w:val="22"/>
              </w:rPr>
              <w:t xml:space="preserve">Maximum Burden </w:t>
            </w:r>
            <w:r w:rsidR="00E73DD4">
              <w:rPr>
                <w:rFonts w:ascii="Calibri" w:hAnsi="Calibri" w:cs="Calibri"/>
                <w:b/>
                <w:bCs/>
                <w:color w:val="000000"/>
                <w:szCs w:val="22"/>
              </w:rPr>
              <w:t xml:space="preserve">Changes </w:t>
            </w:r>
            <w:r>
              <w:rPr>
                <w:rFonts w:ascii="Calibri" w:hAnsi="Calibri" w:cs="Calibri"/>
                <w:b/>
                <w:bCs/>
                <w:color w:val="000000"/>
                <w:szCs w:val="22"/>
              </w:rPr>
              <w:t>for CAERS case 3 (activities 1b, 2, 3, 4b, and 5)</w:t>
            </w:r>
          </w:p>
        </w:tc>
        <w:tc>
          <w:tcPr>
            <w:tcW w:w="610" w:type="dxa"/>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0927777E" w14:textId="2317A674">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24</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4A1FDEEF" w14:textId="4C85351C">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182</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43B85F93" w14:textId="6E9BEAD2">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725</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133761B2" w14:textId="1D55702F">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1,657</w:t>
            </w:r>
          </w:p>
        </w:tc>
        <w:tc>
          <w:tcPr>
            <w:tcW w:w="886"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4EABB497" w14:textId="0ABCEF1B">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2,564</w:t>
            </w:r>
          </w:p>
        </w:tc>
        <w:tc>
          <w:tcPr>
            <w:tcW w:w="1054" w:type="dxa"/>
            <w:gridSpan w:val="5"/>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2C3BF746" w14:textId="292C425D">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b/>
                <w:bCs/>
                <w:color w:val="000000"/>
                <w:szCs w:val="22"/>
              </w:rPr>
              <w:t xml:space="preserve">$221,744 </w:t>
            </w:r>
          </w:p>
        </w:tc>
      </w:tr>
      <w:tr w14:paraId="27EB51B1" w14:textId="77777777" w:rsidTr="00FD0EA9">
        <w:tblPrEx>
          <w:tblW w:w="9864" w:type="dxa"/>
          <w:tblLook w:val="04A0"/>
        </w:tblPrEx>
        <w:trPr>
          <w:trHeight w:val="300"/>
        </w:trPr>
        <w:tc>
          <w:tcPr>
            <w:tcW w:w="3770" w:type="dxa"/>
            <w:tcBorders>
              <w:top w:val="single" w:sz="8" w:space="0" w:color="auto"/>
              <w:left w:val="single" w:sz="8" w:space="0" w:color="auto"/>
              <w:bottom w:val="single" w:sz="8" w:space="0" w:color="auto"/>
              <w:right w:val="single" w:sz="8" w:space="0" w:color="auto"/>
            </w:tcBorders>
            <w:shd w:val="clear" w:color="000000" w:fill="D9D9D9"/>
            <w:vAlign w:val="center"/>
          </w:tcPr>
          <w:p w:rsidR="00FD0EA9" w:rsidRPr="00442B83" w:rsidP="00FD0EA9" w14:paraId="264A5EB4" w14:textId="36667B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b/>
                <w:bCs/>
                <w:szCs w:val="22"/>
              </w:rPr>
            </w:pPr>
            <w:r>
              <w:rPr>
                <w:rFonts w:ascii="Calibri" w:hAnsi="Calibri" w:cs="Calibri"/>
                <w:b/>
                <w:bCs/>
                <w:color w:val="000000"/>
                <w:szCs w:val="22"/>
              </w:rPr>
              <w:t xml:space="preserve">Maximum Burden </w:t>
            </w:r>
            <w:r w:rsidR="00E73DD4">
              <w:rPr>
                <w:rFonts w:ascii="Calibri" w:hAnsi="Calibri" w:cs="Calibri"/>
                <w:b/>
                <w:bCs/>
                <w:color w:val="000000"/>
                <w:szCs w:val="22"/>
              </w:rPr>
              <w:t xml:space="preserve">Changes </w:t>
            </w:r>
            <w:r>
              <w:rPr>
                <w:rFonts w:ascii="Calibri" w:hAnsi="Calibri" w:cs="Calibri"/>
                <w:b/>
                <w:bCs/>
                <w:color w:val="000000"/>
                <w:szCs w:val="22"/>
              </w:rPr>
              <w:t>for CAERS case 4 (activities 1c, 2, 3, 4b, and 5)</w:t>
            </w:r>
          </w:p>
        </w:tc>
        <w:tc>
          <w:tcPr>
            <w:tcW w:w="610" w:type="dxa"/>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0E1FDB7D" w14:textId="7CF3DB7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48</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7733F172" w14:textId="1CFECA5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69</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1EC2949B" w14:textId="073CD8C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523</w:t>
            </w:r>
          </w:p>
        </w:tc>
        <w:tc>
          <w:tcPr>
            <w:tcW w:w="1144"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29CBD142" w14:textId="65C1341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580</w:t>
            </w:r>
          </w:p>
        </w:tc>
        <w:tc>
          <w:tcPr>
            <w:tcW w:w="886" w:type="dxa"/>
            <w:gridSpan w:val="2"/>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0B278761" w14:textId="0CDF4D2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b/>
                <w:bCs/>
                <w:color w:val="000000"/>
                <w:szCs w:val="22"/>
              </w:rPr>
              <w:t>1,172</w:t>
            </w:r>
          </w:p>
        </w:tc>
        <w:tc>
          <w:tcPr>
            <w:tcW w:w="1054" w:type="dxa"/>
            <w:gridSpan w:val="5"/>
            <w:tcBorders>
              <w:top w:val="single" w:sz="8" w:space="0" w:color="auto"/>
              <w:left w:val="nil"/>
              <w:bottom w:val="single" w:sz="8" w:space="0" w:color="auto"/>
              <w:right w:val="single" w:sz="8" w:space="0" w:color="auto"/>
            </w:tcBorders>
            <w:shd w:val="clear" w:color="000000" w:fill="D9D9D9"/>
            <w:noWrap/>
            <w:vAlign w:val="center"/>
          </w:tcPr>
          <w:p w:rsidR="00FD0EA9" w:rsidRPr="00442B83" w:rsidP="00FD0EA9" w14:paraId="068142C6" w14:textId="7920CDA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right"/>
              <w:rPr>
                <w:rFonts w:ascii="Calibri" w:hAnsi="Calibri" w:cs="Calibri"/>
                <w:color w:val="000000"/>
                <w:szCs w:val="22"/>
              </w:rPr>
            </w:pPr>
            <w:r>
              <w:rPr>
                <w:rFonts w:ascii="Calibri" w:hAnsi="Calibri" w:cs="Calibri"/>
                <w:b/>
                <w:bCs/>
                <w:color w:val="000000"/>
                <w:szCs w:val="22"/>
              </w:rPr>
              <w:t xml:space="preserve">$102,664 </w:t>
            </w:r>
          </w:p>
        </w:tc>
      </w:tr>
    </w:tbl>
    <w:p w:rsidR="003D65F6" w:rsidP="00793526" w14:paraId="110F5D3D" w14:textId="355ECE0C"/>
    <w:p w:rsidR="00FD0EA9" w:rsidP="00FD0EA9" w14:paraId="39F46292" w14:textId="774C5791">
      <w:r>
        <w:t xml:space="preserve">In Table A-1, the hours and cost estimates for activities 1a through 1c replace the analogous estimates in </w:t>
      </w:r>
      <w:r w:rsidRPr="00FD0EA9">
        <w:fldChar w:fldCharType="begin"/>
      </w:r>
      <w:r w:rsidRPr="00FD0EA9">
        <w:instrText xml:space="preserve"> REF _Ref116590318 \h  \* MERGEFORMAT </w:instrText>
      </w:r>
      <w:r w:rsidRPr="00FD0EA9">
        <w:fldChar w:fldCharType="separate"/>
      </w:r>
      <w:r w:rsidRPr="0020098E" w:rsidR="00646F0F">
        <w:t xml:space="preserve">Table </w:t>
      </w:r>
      <w:r w:rsidR="00646F0F">
        <w:rPr>
          <w:noProof/>
        </w:rPr>
        <w:t>12</w:t>
      </w:r>
      <w:r w:rsidRPr="00FD0EA9">
        <w:fldChar w:fldCharType="end"/>
      </w:r>
      <w:r>
        <w:t>, while the remainder of the rows are estimated additional burden to the burden estimates form 2024-2026</w:t>
      </w:r>
      <w:r w:rsidRPr="00FD0EA9">
        <w:t xml:space="preserve">. </w:t>
      </w:r>
      <w:r>
        <w:t>The maximum burden</w:t>
      </w:r>
      <w:r w:rsidR="00E73DD4">
        <w:t xml:space="preserve"> changes</w:t>
      </w:r>
      <w:r>
        <w:t xml:space="preserve"> totals in Table A-1 include activities 1a, 2, 3, 4b, and 5. The SLTs using CAERS case 3 would have a lower burden that includes activity 1b rather than 1a. The burden is further reduced for SLTs using CAERS case 4 by including activity 1c rather than 1a. The reasons  for these lower burdens are both the reductions as described in the main body above as well as the lower increase in burden associated with mandatory HAP reporting.</w:t>
      </w:r>
    </w:p>
    <w:p w:rsidR="00FD0EA9" w:rsidP="00793526" w14:paraId="016FD2BE" w14:textId="77777777"/>
    <w:p w:rsidR="000520E5" w:rsidP="000520E5" w14:paraId="6A4F7751" w14:textId="5E7506AE">
      <w:r>
        <w:t>Table A</w:t>
      </w:r>
      <w:r w:rsidR="009C0D39">
        <w:t xml:space="preserve">-2 provides the </w:t>
      </w:r>
      <w:r w:rsidR="00E73DD4">
        <w:t xml:space="preserve">additional </w:t>
      </w:r>
      <w:r w:rsidR="009C0D39">
        <w:t xml:space="preserve">proposed AERR provisions that would take effect for owners/operators starting in 2027 and their associated annual </w:t>
      </w:r>
      <w:r w:rsidR="00E73DD4">
        <w:t>additions of</w:t>
      </w:r>
      <w:r w:rsidR="009C0D39">
        <w:t xml:space="preserve"> hour and cost burden.</w:t>
      </w:r>
      <w:r>
        <w:t xml:space="preserve"> </w:t>
      </w:r>
      <w:r w:rsidR="001E72DB">
        <w:t xml:space="preserve">These burden increases are in addition to the reporting burden included in the main body of this document. The activity numbers in the table match the numbers used in </w:t>
      </w:r>
      <w:r>
        <w:t>Table A</w:t>
      </w:r>
      <w:r w:rsidR="001E72DB">
        <w:t>-2 and</w:t>
      </w:r>
      <w:r w:rsidR="00EE3394">
        <w:t>,</w:t>
      </w:r>
      <w:r w:rsidR="001E72DB">
        <w:t xml:space="preserve"> therefore</w:t>
      </w:r>
      <w:r w:rsidR="00EE3394">
        <w:t>,</w:t>
      </w:r>
      <w:r w:rsidR="001E72DB">
        <w:t xml:space="preserve"> are not sequential</w:t>
      </w:r>
      <w:r w:rsidR="001110F5">
        <w:t>. The EPA</w:t>
      </w:r>
      <w:r>
        <w:t xml:space="preserve"> includes the following assumptions in these estimates:</w:t>
      </w:r>
    </w:p>
    <w:p w:rsidR="000C0170" w:rsidP="00F17B08" w14:paraId="540D2210" w14:textId="6F237AB8">
      <w:pPr>
        <w:pStyle w:val="ListParagraph"/>
        <w:numPr>
          <w:ilvl w:val="0"/>
          <w:numId w:val="24"/>
        </w:numPr>
      </w:pPr>
      <w:r>
        <w:t>The total number of facilities reporting is the number of major facilities plus the number of non-major facilities estimated to report as described in a separate document prepared for the Small Business Advocacy (SBAR) Panel. This approach is described in a</w:t>
      </w:r>
      <w:r w:rsidR="00A80AB0">
        <w:t>n attachment to the SBAR Panel convening materials “Attachment 4 – Draft AERR small business estimation method.docx”. After the panel as part of continued development of the AERR proposal, that method was applied to the final list of NAICS and final emissions thresholds proposed by this rule to derive the final estimated number of non-major facilities and small businesses using the CAA small  business definition</w:t>
      </w:r>
      <w:r>
        <w:t>.</w:t>
      </w:r>
    </w:p>
    <w:p w:rsidR="00926619" w:rsidP="00F17B08" w14:paraId="2611AD49" w14:textId="1304C0D8">
      <w:pPr>
        <w:pStyle w:val="ListParagraph"/>
        <w:numPr>
          <w:ilvl w:val="0"/>
          <w:numId w:val="24"/>
        </w:numPr>
      </w:pPr>
      <w:r>
        <w:t>The estimated number of states that will allow facilities to report HAP directly to EPA is 2</w:t>
      </w:r>
      <w:r w:rsidR="00286419">
        <w:t>7</w:t>
      </w:r>
      <w:r>
        <w:t xml:space="preserve">. Of the remaining SLTs, </w:t>
      </w:r>
      <w:r w:rsidR="00286419">
        <w:t>26 would continue to use the SLT system or adopt CAERS cases 1 or 2. The remaining 32 states would report HAP to EPA using CAERS cases 3 or 4.</w:t>
      </w:r>
    </w:p>
    <w:p w:rsidR="000520E5" w:rsidP="00F17B08" w14:paraId="0E9577D6" w14:textId="68252ABB">
      <w:pPr>
        <w:pStyle w:val="ListParagraph"/>
        <w:numPr>
          <w:ilvl w:val="0"/>
          <w:numId w:val="24"/>
        </w:numPr>
      </w:pPr>
      <w:r>
        <w:t xml:space="preserve">The number of facilities reporting under activity 1a is the total number of facilities times the number of SLTs collecting using the SLT data system or CAERS cases 1 or 2 </w:t>
      </w:r>
      <w:r w:rsidR="00286419">
        <w:t xml:space="preserve">(26) </w:t>
      </w:r>
      <w:r>
        <w:t>divided by the total number of SLTs reporting (85).</w:t>
      </w:r>
    </w:p>
    <w:p w:rsidR="000C0170" w:rsidP="00F17B08" w14:paraId="10A33DED" w14:textId="558FBB70">
      <w:pPr>
        <w:pStyle w:val="ListParagraph"/>
        <w:numPr>
          <w:ilvl w:val="0"/>
          <w:numId w:val="24"/>
        </w:numPr>
      </w:pPr>
      <w:r>
        <w:t xml:space="preserve">The number of facilities reporting under activity 1b/c is the total number of facilities times the number of SLTs </w:t>
      </w:r>
      <w:r w:rsidR="00286419">
        <w:t xml:space="preserve">with EPA collecting or that are </w:t>
      </w:r>
      <w:r>
        <w:t>collecting using CAERS cases 3 or 4 divided by the total number of SLTs reporting (85).</w:t>
      </w:r>
    </w:p>
    <w:p w:rsidR="00286419" w:rsidP="00F17B08" w14:paraId="06169BCC" w14:textId="4B1D7776">
      <w:pPr>
        <w:pStyle w:val="ListParagraph"/>
        <w:numPr>
          <w:ilvl w:val="0"/>
          <w:numId w:val="24"/>
        </w:numPr>
      </w:pPr>
      <w:r>
        <w:t xml:space="preserve">The number of facilities reporting PFAS is based on an </w:t>
      </w:r>
      <w:hyperlink r:id="rId24" w:anchor=":~:text=News%20%26%20Insights-,PFAS%20Nation%3A%20Toxic%20Discharges%20Suspected%20From%20Almost%20500%20Industrial%20Facilities,a%20suspected%20source%20of%20PFAS" w:history="1">
        <w:r w:rsidRPr="00286419">
          <w:rPr>
            <w:rStyle w:val="Hyperlink"/>
          </w:rPr>
          <w:t>Environmental Working Group report</w:t>
        </w:r>
      </w:hyperlink>
      <w:r>
        <w:t xml:space="preserve"> “PFAS Nation: Toxic Discharges Suspected From Almost 500 Industrial Facilities across U.S.” from June 11, 2019</w:t>
      </w:r>
      <w:r w:rsidR="00EE3394">
        <w:t>,</w:t>
      </w:r>
      <w:r>
        <w:t xml:space="preserve"> and revised July 2021. The report indicates that more than 41,000 facilities may use or emit PFAS</w:t>
      </w:r>
      <w:r w:rsidR="001110F5">
        <w:t>. The EPA</w:t>
      </w:r>
      <w:r>
        <w:t xml:space="preserve"> chose to include a cost estimate based on about 10% or 4,000 facilities being subject to reporting PFAS. Given the lack of information about air emissions of PFAS, this number is highly uncertain, but since the additional hours to report PFAS are low, the uncertainty does not have a large impact on the overall burden estimates. </w:t>
      </w:r>
    </w:p>
    <w:p w:rsidR="00286419" w:rsidP="00286419" w14:paraId="216B95F9" w14:textId="6FA22C87"/>
    <w:p w:rsidR="001E72DB" w:rsidP="001E72DB" w14:paraId="0D6DB7B1" w14:textId="003096A8">
      <w:r>
        <w:t xml:space="preserve">The maximum burden totals in </w:t>
      </w:r>
      <w:r w:rsidR="0027358E">
        <w:t>Table A</w:t>
      </w:r>
      <w:r>
        <w:t>-2 include activities 1a, 4b, and 5. The owners/operators using CAERS case 3 or case 4 would have a lower burden through using the CAERS user interface. The burden reductions included here for owners/operators using CAERS result from the inclusion of quality controls during emissions reporting, which avoid submission errors and repeated report submittals</w:t>
      </w:r>
      <w:r w:rsidR="001110F5">
        <w:t>. The EPA</w:t>
      </w:r>
      <w:r>
        <w:t xml:space="preserve"> expects additional burden reduction </w:t>
      </w:r>
      <w:r w:rsidR="00350BD6">
        <w:t>from CAERS because it streamlines reporting across several other data systems, but those additional burden reductions are not quantified here.</w:t>
      </w:r>
    </w:p>
    <w:p w:rsidR="001E72DB" w:rsidP="009C0D39" w14:paraId="1F90B49D" w14:textId="77777777"/>
    <w:p w:rsidR="003D65F6" w:rsidRPr="0076581F" w:rsidP="00370665" w14:paraId="308D6F27" w14:textId="6325DED8">
      <w:pPr>
        <w:keepNext/>
      </w:pPr>
      <w:r w:rsidRPr="0020098E">
        <w:t>Table A</w:t>
      </w:r>
      <w:r w:rsidRPr="0020098E" w:rsidR="008969F9">
        <w:t>-2: Annual</w:t>
      </w:r>
      <w:r w:rsidRPr="008969F9" w:rsidR="008969F9">
        <w:t xml:space="preserve"> Burden per Facility </w:t>
      </w:r>
      <w:r w:rsidR="00ED0F0C">
        <w:t>S</w:t>
      </w:r>
      <w:r w:rsidRPr="00442B83" w:rsidR="00ED0F0C">
        <w:t>tarting in 2027</w:t>
      </w:r>
      <w:r w:rsidR="00ED0F0C">
        <w:t xml:space="preserve"> </w:t>
      </w:r>
      <w:r w:rsidRPr="00442B83" w:rsidR="00ED0F0C">
        <w:t xml:space="preserve">for </w:t>
      </w:r>
      <w:r w:rsidR="00ED0F0C">
        <w:t>P</w:t>
      </w:r>
      <w:r w:rsidRPr="00442B83" w:rsidR="00ED0F0C">
        <w:t xml:space="preserve">roposed AERR </w:t>
      </w:r>
      <w:r w:rsidR="00ED0F0C">
        <w:t>C</w:t>
      </w:r>
      <w:r w:rsidRPr="00442B83" w:rsidR="00ED0F0C">
        <w:t>hanges</w:t>
      </w:r>
    </w:p>
    <w:tbl>
      <w:tblPr>
        <w:tblW w:w="9620" w:type="dxa"/>
        <w:tblLook w:val="04A0"/>
      </w:tblPr>
      <w:tblGrid>
        <w:gridCol w:w="4043"/>
        <w:gridCol w:w="1009"/>
        <w:gridCol w:w="1256"/>
        <w:gridCol w:w="1256"/>
        <w:gridCol w:w="944"/>
        <w:gridCol w:w="1112"/>
      </w:tblGrid>
      <w:tr w14:paraId="11372E46" w14:textId="77777777" w:rsidTr="003B1CF8">
        <w:tblPrEx>
          <w:tblW w:w="9620" w:type="dxa"/>
          <w:tblLook w:val="04A0"/>
        </w:tblPrEx>
        <w:trPr>
          <w:trHeight w:val="20"/>
          <w:tblHeader/>
        </w:trPr>
        <w:tc>
          <w:tcPr>
            <w:tcW w:w="404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01E5A" w:rsidRPr="00901E5A" w:rsidP="00901E5A" w14:paraId="53537FF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sidRPr="00901E5A">
              <w:rPr>
                <w:rFonts w:ascii="Calibri" w:hAnsi="Calibri" w:cs="Calibri"/>
                <w:color w:val="000000"/>
                <w:szCs w:val="22"/>
              </w:rPr>
              <w:t> </w:t>
            </w:r>
          </w:p>
        </w:tc>
        <w:tc>
          <w:tcPr>
            <w:tcW w:w="1009" w:type="dxa"/>
            <w:tcBorders>
              <w:top w:val="single" w:sz="8" w:space="0" w:color="auto"/>
              <w:left w:val="nil"/>
              <w:bottom w:val="single" w:sz="8" w:space="0" w:color="auto"/>
              <w:right w:val="single" w:sz="8" w:space="0" w:color="auto"/>
            </w:tcBorders>
            <w:shd w:val="clear" w:color="auto" w:fill="auto"/>
            <w:vAlign w:val="bottom"/>
            <w:hideMark/>
          </w:tcPr>
          <w:p w:rsidR="00901E5A" w:rsidRPr="00901E5A" w:rsidP="00901E5A" w14:paraId="4561F98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901E5A">
              <w:rPr>
                <w:rFonts w:ascii="Calibri" w:hAnsi="Calibri" w:cs="Calibri"/>
                <w:b/>
                <w:bCs/>
                <w:color w:val="000000"/>
                <w:szCs w:val="22"/>
              </w:rPr>
              <w:t>No. Facilities</w:t>
            </w:r>
          </w:p>
        </w:tc>
        <w:tc>
          <w:tcPr>
            <w:tcW w:w="1256" w:type="dxa"/>
            <w:tcBorders>
              <w:top w:val="single" w:sz="8" w:space="0" w:color="auto"/>
              <w:left w:val="nil"/>
              <w:bottom w:val="single" w:sz="8" w:space="0" w:color="auto"/>
              <w:right w:val="single" w:sz="8" w:space="0" w:color="auto"/>
            </w:tcBorders>
            <w:shd w:val="clear" w:color="auto" w:fill="auto"/>
            <w:vAlign w:val="bottom"/>
            <w:hideMark/>
          </w:tcPr>
          <w:p w:rsidR="00901E5A" w:rsidRPr="00901E5A" w:rsidP="00901E5A" w14:paraId="5AAFA4F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901E5A">
              <w:rPr>
                <w:rFonts w:ascii="Calibri" w:hAnsi="Calibri" w:cs="Calibri"/>
                <w:b/>
                <w:bCs/>
                <w:color w:val="000000"/>
                <w:szCs w:val="22"/>
              </w:rPr>
              <w:t>Manager Hrs/yr @ $160.50/Hr</w:t>
            </w:r>
          </w:p>
        </w:tc>
        <w:tc>
          <w:tcPr>
            <w:tcW w:w="1256" w:type="dxa"/>
            <w:tcBorders>
              <w:top w:val="single" w:sz="8" w:space="0" w:color="auto"/>
              <w:left w:val="nil"/>
              <w:bottom w:val="single" w:sz="8" w:space="0" w:color="auto"/>
              <w:right w:val="single" w:sz="8" w:space="0" w:color="auto"/>
            </w:tcBorders>
            <w:shd w:val="clear" w:color="auto" w:fill="auto"/>
            <w:vAlign w:val="bottom"/>
            <w:hideMark/>
          </w:tcPr>
          <w:p w:rsidR="00901E5A" w:rsidRPr="00901E5A" w:rsidP="00901E5A" w14:paraId="1F584C2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901E5A">
              <w:rPr>
                <w:rFonts w:ascii="Calibri" w:hAnsi="Calibri" w:cs="Calibri"/>
                <w:b/>
                <w:bCs/>
                <w:color w:val="000000"/>
                <w:szCs w:val="22"/>
              </w:rPr>
              <w:t>Engineer Hrs/yr @ $101.18/Hr</w:t>
            </w:r>
          </w:p>
        </w:tc>
        <w:tc>
          <w:tcPr>
            <w:tcW w:w="944" w:type="dxa"/>
            <w:tcBorders>
              <w:top w:val="single" w:sz="8" w:space="0" w:color="auto"/>
              <w:left w:val="nil"/>
              <w:bottom w:val="single" w:sz="8" w:space="0" w:color="auto"/>
              <w:right w:val="single" w:sz="8" w:space="0" w:color="auto"/>
            </w:tcBorders>
            <w:shd w:val="clear" w:color="auto" w:fill="auto"/>
            <w:vAlign w:val="bottom"/>
            <w:hideMark/>
          </w:tcPr>
          <w:p w:rsidR="00901E5A" w:rsidRPr="00901E5A" w:rsidP="00901E5A" w14:paraId="196F603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901E5A">
              <w:rPr>
                <w:rFonts w:ascii="Calibri" w:hAnsi="Calibri" w:cs="Calibri"/>
                <w:b/>
                <w:bCs/>
                <w:color w:val="000000"/>
                <w:szCs w:val="22"/>
              </w:rPr>
              <w:t>Hours/</w:t>
            </w:r>
            <w:r w:rsidRPr="00901E5A">
              <w:rPr>
                <w:rFonts w:ascii="Calibri" w:hAnsi="Calibri" w:cs="Calibri"/>
                <w:b/>
                <w:bCs/>
                <w:color w:val="000000"/>
                <w:szCs w:val="22"/>
              </w:rPr>
              <w:br/>
              <w:t>year per Facility</w:t>
            </w:r>
          </w:p>
        </w:tc>
        <w:tc>
          <w:tcPr>
            <w:tcW w:w="1112" w:type="dxa"/>
            <w:tcBorders>
              <w:top w:val="single" w:sz="8" w:space="0" w:color="auto"/>
              <w:left w:val="nil"/>
              <w:bottom w:val="single" w:sz="8" w:space="0" w:color="auto"/>
              <w:right w:val="single" w:sz="8" w:space="0" w:color="auto"/>
            </w:tcBorders>
            <w:shd w:val="clear" w:color="auto" w:fill="auto"/>
            <w:vAlign w:val="bottom"/>
            <w:hideMark/>
          </w:tcPr>
          <w:p w:rsidR="00901E5A" w:rsidRPr="00901E5A" w:rsidP="00901E5A" w14:paraId="60CC1B1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901E5A">
              <w:rPr>
                <w:rFonts w:ascii="Calibri" w:hAnsi="Calibri" w:cs="Calibri"/>
                <w:b/>
                <w:bCs/>
                <w:color w:val="000000"/>
                <w:szCs w:val="22"/>
              </w:rPr>
              <w:t xml:space="preserve">Cost/year </w:t>
            </w:r>
            <w:r w:rsidRPr="00901E5A">
              <w:rPr>
                <w:rFonts w:ascii="Calibri" w:hAnsi="Calibri" w:cs="Calibri"/>
                <w:b/>
                <w:bCs/>
                <w:color w:val="000000"/>
                <w:szCs w:val="22"/>
              </w:rPr>
              <w:br/>
              <w:t>per Facility</w:t>
            </w:r>
          </w:p>
        </w:tc>
      </w:tr>
      <w:tr w14:paraId="15E99823"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0CF6F7C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901E5A">
              <w:rPr>
                <w:rFonts w:ascii="Calibri" w:hAnsi="Calibri" w:cs="Calibri"/>
                <w:szCs w:val="22"/>
              </w:rPr>
              <w:t>1a. Collection by SLT for facilities required to report for HAP for SLT reporting on behalf of facilities because of new AERR</w:t>
            </w:r>
          </w:p>
        </w:tc>
        <w:tc>
          <w:tcPr>
            <w:tcW w:w="1009"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798BE6DA" w14:textId="78EFA98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w:t>
            </w:r>
            <w:r w:rsidR="007262A1">
              <w:rPr>
                <w:rFonts w:ascii="Calibri" w:hAnsi="Calibri" w:cs="Calibri"/>
                <w:color w:val="000000"/>
                <w:szCs w:val="22"/>
              </w:rPr>
              <w:t>6</w:t>
            </w:r>
            <w:r>
              <w:rPr>
                <w:rFonts w:ascii="Calibri" w:hAnsi="Calibri" w:cs="Calibri"/>
                <w:color w:val="000000"/>
                <w:szCs w:val="22"/>
              </w:rPr>
              <w:t>,</w:t>
            </w:r>
            <w:r w:rsidR="00A26C36">
              <w:rPr>
                <w:rFonts w:ascii="Calibri" w:hAnsi="Calibri" w:cs="Calibri"/>
                <w:color w:val="000000"/>
                <w:szCs w:val="22"/>
              </w:rPr>
              <w:t>859</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0724326F" w14:textId="22592A8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1</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12AF7BE8" w14:textId="2CB4788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24</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713133DE" w14:textId="1E88CFF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25</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079FBB85" w14:textId="25105D9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$2,589 </w:t>
            </w:r>
          </w:p>
        </w:tc>
      </w:tr>
      <w:tr w14:paraId="5E47E585"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3D7E40B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901E5A">
              <w:rPr>
                <w:rFonts w:ascii="Calibri" w:hAnsi="Calibri" w:cs="Calibri"/>
                <w:szCs w:val="22"/>
              </w:rPr>
              <w:t>1b/c. Collection of required annual HAP by EPA or SLT with CAERS cases 3 or 4 from owners/operators due to new AERR</w:t>
            </w:r>
          </w:p>
        </w:tc>
        <w:tc>
          <w:tcPr>
            <w:tcW w:w="1009"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2F86A48C" w14:textId="1D48C72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9</w:t>
            </w:r>
            <w:r w:rsidR="00A26C36">
              <w:rPr>
                <w:rFonts w:ascii="Calibri" w:hAnsi="Calibri" w:cs="Calibri"/>
                <w:color w:val="000000"/>
                <w:szCs w:val="22"/>
              </w:rPr>
              <w:t>3</w:t>
            </w:r>
            <w:r>
              <w:rPr>
                <w:rFonts w:ascii="Calibri" w:hAnsi="Calibri" w:cs="Calibri"/>
                <w:color w:val="000000"/>
                <w:szCs w:val="22"/>
              </w:rPr>
              <w:t>,</w:t>
            </w:r>
            <w:r w:rsidR="00A26C36">
              <w:rPr>
                <w:rFonts w:ascii="Calibri" w:hAnsi="Calibri" w:cs="Calibri"/>
                <w:color w:val="000000"/>
                <w:szCs w:val="22"/>
              </w:rPr>
              <w:t>372</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5B635B6F" w14:textId="276FC1D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1</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0DB7A398" w14:textId="4F5E44B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16</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590BB1C5" w14:textId="2F6623D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17</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30AFAB35" w14:textId="5219AFA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$1,779 </w:t>
            </w:r>
          </w:p>
        </w:tc>
      </w:tr>
      <w:tr w14:paraId="4857AC11"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073D1449" w14:textId="39C7A84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901E5A">
              <w:rPr>
                <w:rFonts w:ascii="Calibri" w:hAnsi="Calibri" w:cs="Calibri"/>
                <w:color w:val="000000"/>
                <w:szCs w:val="22"/>
              </w:rPr>
              <w:t xml:space="preserve">4a. HEDD Preferred approach: States to report fuel data or heat input for </w:t>
            </w:r>
            <w:r>
              <w:rPr>
                <w:rFonts w:ascii="Calibri" w:hAnsi="Calibri" w:cs="Calibri"/>
                <w:color w:val="000000"/>
                <w:szCs w:val="22"/>
              </w:rPr>
              <w:t>small generating units</w:t>
            </w:r>
          </w:p>
        </w:tc>
        <w:tc>
          <w:tcPr>
            <w:tcW w:w="1009" w:type="dxa"/>
            <w:tcBorders>
              <w:top w:val="nil"/>
              <w:left w:val="nil"/>
              <w:bottom w:val="single" w:sz="8" w:space="0" w:color="auto"/>
              <w:right w:val="single" w:sz="8" w:space="0" w:color="auto"/>
            </w:tcBorders>
            <w:shd w:val="clear" w:color="auto" w:fill="auto"/>
            <w:vAlign w:val="center"/>
            <w:hideMark/>
          </w:tcPr>
          <w:p w:rsidR="00043AE6" w:rsidRPr="00901E5A" w:rsidP="00043AE6" w14:paraId="4D3FD663" w14:textId="42FC7C7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vertAlign w:val="superscript"/>
              </w:rPr>
            </w:pPr>
            <w:r>
              <w:rPr>
                <w:rFonts w:ascii="Calibri" w:hAnsi="Calibri" w:cs="Calibri"/>
                <w:szCs w:val="22"/>
              </w:rPr>
              <w:t>235</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251071B4" w14:textId="2AF8149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5</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02E6C2C9" w14:textId="0E1C5D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60</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69CB5BEE" w14:textId="5DA342B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65</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39929B2C" w14:textId="4234AB5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$6,873 </w:t>
            </w:r>
          </w:p>
        </w:tc>
      </w:tr>
      <w:tr w14:paraId="5A2E0003"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6670F42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901E5A">
              <w:rPr>
                <w:rFonts w:ascii="Calibri" w:hAnsi="Calibri" w:cs="Calibri"/>
                <w:color w:val="000000"/>
                <w:szCs w:val="22"/>
              </w:rPr>
              <w:t>4b. HEDD Alternative D2: expand preferred approach to include all units deployed by CSPs</w:t>
            </w:r>
          </w:p>
        </w:tc>
        <w:tc>
          <w:tcPr>
            <w:tcW w:w="1009" w:type="dxa"/>
            <w:tcBorders>
              <w:top w:val="nil"/>
              <w:left w:val="nil"/>
              <w:bottom w:val="single" w:sz="8" w:space="0" w:color="auto"/>
              <w:right w:val="single" w:sz="8" w:space="0" w:color="auto"/>
            </w:tcBorders>
            <w:shd w:val="clear" w:color="auto" w:fill="auto"/>
            <w:vAlign w:val="center"/>
            <w:hideMark/>
          </w:tcPr>
          <w:p w:rsidR="00043AE6" w:rsidRPr="00901E5A" w:rsidP="00043AE6" w14:paraId="165325D5" w14:textId="4F3818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235</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0EDF0F8F" w14:textId="7C2FF21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10</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1E6496C0" w14:textId="7515099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120</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13F80743" w14:textId="78D6F77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130</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2D3B6211" w14:textId="579016B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$13,746 </w:t>
            </w:r>
          </w:p>
        </w:tc>
      </w:tr>
      <w:tr w14:paraId="17B769BD"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31C36B2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sidRPr="00901E5A">
              <w:rPr>
                <w:rFonts w:ascii="Calibri" w:hAnsi="Calibri" w:cs="Calibri"/>
                <w:color w:val="000000"/>
                <w:szCs w:val="22"/>
              </w:rPr>
              <w:t>4c. HEDD Alternative D3: restrict preferred approach to ozone SIP states</w:t>
            </w:r>
          </w:p>
        </w:tc>
        <w:tc>
          <w:tcPr>
            <w:tcW w:w="1009" w:type="dxa"/>
            <w:tcBorders>
              <w:top w:val="nil"/>
              <w:left w:val="nil"/>
              <w:bottom w:val="single" w:sz="8" w:space="0" w:color="auto"/>
              <w:right w:val="single" w:sz="8" w:space="0" w:color="auto"/>
            </w:tcBorders>
            <w:shd w:val="clear" w:color="auto" w:fill="auto"/>
            <w:vAlign w:val="center"/>
            <w:hideMark/>
          </w:tcPr>
          <w:p w:rsidR="00043AE6" w:rsidRPr="00901E5A" w:rsidP="00043AE6" w14:paraId="30F18404" w14:textId="29C3F1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226</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3C625BAE" w14:textId="245FF0B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5</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2463EDF7" w14:textId="5F07F1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60</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28ACE8B6" w14:textId="358F81E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65</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0C6848A4" w14:textId="6CF4C74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$6,873 </w:t>
            </w:r>
          </w:p>
        </w:tc>
      </w:tr>
      <w:tr w14:paraId="6B76A4F4" w14:textId="77777777" w:rsidTr="00326670">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hideMark/>
          </w:tcPr>
          <w:p w:rsidR="00043AE6" w:rsidRPr="00901E5A" w:rsidP="00043AE6" w14:paraId="726026F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sidRPr="00901E5A">
              <w:rPr>
                <w:rFonts w:ascii="Calibri" w:hAnsi="Calibri" w:cs="Calibri"/>
                <w:szCs w:val="22"/>
              </w:rPr>
              <w:t>5. Include PFAS in required pollutants </w:t>
            </w:r>
          </w:p>
        </w:tc>
        <w:tc>
          <w:tcPr>
            <w:tcW w:w="1009" w:type="dxa"/>
            <w:tcBorders>
              <w:top w:val="nil"/>
              <w:left w:val="nil"/>
              <w:bottom w:val="single" w:sz="8" w:space="0" w:color="auto"/>
              <w:right w:val="single" w:sz="8" w:space="0" w:color="auto"/>
            </w:tcBorders>
            <w:shd w:val="clear" w:color="auto" w:fill="auto"/>
            <w:vAlign w:val="center"/>
            <w:hideMark/>
          </w:tcPr>
          <w:p w:rsidR="00043AE6" w:rsidRPr="00901E5A" w:rsidP="00043AE6" w14:paraId="6DC2B6A0" w14:textId="0F52E33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4,000</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61E518A0" w14:textId="07750CD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0</w:t>
            </w:r>
          </w:p>
        </w:tc>
        <w:tc>
          <w:tcPr>
            <w:tcW w:w="1256" w:type="dxa"/>
            <w:tcBorders>
              <w:top w:val="nil"/>
              <w:left w:val="nil"/>
              <w:bottom w:val="single" w:sz="8" w:space="0" w:color="auto"/>
              <w:right w:val="single" w:sz="8" w:space="0" w:color="auto"/>
            </w:tcBorders>
            <w:shd w:val="clear" w:color="auto" w:fill="auto"/>
            <w:vAlign w:val="center"/>
            <w:hideMark/>
          </w:tcPr>
          <w:p w:rsidR="00043AE6" w:rsidRPr="00901E5A" w:rsidP="00043AE6" w14:paraId="2CEE9FBF" w14:textId="046E774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szCs w:val="22"/>
              </w:rPr>
              <w:t>2</w:t>
            </w:r>
          </w:p>
        </w:tc>
        <w:tc>
          <w:tcPr>
            <w:tcW w:w="944"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59733242" w14:textId="48019DC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2</w:t>
            </w:r>
          </w:p>
        </w:tc>
        <w:tc>
          <w:tcPr>
            <w:tcW w:w="1112" w:type="dxa"/>
            <w:tcBorders>
              <w:top w:val="nil"/>
              <w:left w:val="nil"/>
              <w:bottom w:val="single" w:sz="8" w:space="0" w:color="auto"/>
              <w:right w:val="single" w:sz="8" w:space="0" w:color="auto"/>
            </w:tcBorders>
            <w:shd w:val="clear" w:color="auto" w:fill="auto"/>
            <w:noWrap/>
            <w:vAlign w:val="center"/>
            <w:hideMark/>
          </w:tcPr>
          <w:p w:rsidR="00043AE6" w:rsidRPr="00901E5A" w:rsidP="00043AE6" w14:paraId="335BFFF2" w14:textId="0B27E88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$202 </w:t>
            </w:r>
          </w:p>
        </w:tc>
      </w:tr>
      <w:tr w14:paraId="03810D5A" w14:textId="77777777" w:rsidTr="005C11CF">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tcPr>
          <w:p w:rsidR="00043AE6" w:rsidRPr="00901E5A" w:rsidP="00043AE6" w14:paraId="6DEDAA1E" w14:textId="3317A1A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szCs w:val="22"/>
              </w:rPr>
            </w:pPr>
            <w:r>
              <w:rPr>
                <w:rFonts w:ascii="Calibri" w:hAnsi="Calibri" w:cs="Calibri"/>
                <w:color w:val="000000"/>
                <w:szCs w:val="22"/>
              </w:rPr>
              <w:t>6. CAERS training (one-time costs hrs / 3)</w:t>
            </w:r>
          </w:p>
        </w:tc>
        <w:tc>
          <w:tcPr>
            <w:tcW w:w="1009" w:type="dxa"/>
            <w:tcBorders>
              <w:top w:val="nil"/>
              <w:left w:val="nil"/>
              <w:bottom w:val="single" w:sz="8" w:space="0" w:color="auto"/>
              <w:right w:val="single" w:sz="8" w:space="0" w:color="auto"/>
            </w:tcBorders>
            <w:shd w:val="clear" w:color="auto" w:fill="auto"/>
            <w:vAlign w:val="center"/>
          </w:tcPr>
          <w:p w:rsidR="00043AE6" w:rsidRPr="00901E5A" w:rsidP="00043AE6" w14:paraId="51A42946" w14:textId="04305C9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color w:val="000000"/>
                <w:szCs w:val="22"/>
              </w:rPr>
              <w:t>9</w:t>
            </w:r>
            <w:r w:rsidR="00A26C36">
              <w:rPr>
                <w:rFonts w:ascii="Calibri" w:hAnsi="Calibri" w:cs="Calibri"/>
                <w:color w:val="000000"/>
                <w:szCs w:val="22"/>
              </w:rPr>
              <w:t>3</w:t>
            </w:r>
            <w:r>
              <w:rPr>
                <w:rFonts w:ascii="Calibri" w:hAnsi="Calibri" w:cs="Calibri"/>
                <w:color w:val="000000"/>
                <w:szCs w:val="22"/>
              </w:rPr>
              <w:t>,</w:t>
            </w:r>
            <w:r w:rsidR="00A26C36">
              <w:rPr>
                <w:rFonts w:ascii="Calibri" w:hAnsi="Calibri" w:cs="Calibri"/>
                <w:color w:val="000000"/>
                <w:szCs w:val="22"/>
              </w:rPr>
              <w:t>372</w:t>
            </w:r>
          </w:p>
        </w:tc>
        <w:tc>
          <w:tcPr>
            <w:tcW w:w="1256" w:type="dxa"/>
            <w:tcBorders>
              <w:top w:val="nil"/>
              <w:left w:val="nil"/>
              <w:bottom w:val="single" w:sz="8" w:space="0" w:color="auto"/>
              <w:right w:val="single" w:sz="8" w:space="0" w:color="auto"/>
            </w:tcBorders>
            <w:shd w:val="clear" w:color="auto" w:fill="auto"/>
            <w:vAlign w:val="center"/>
          </w:tcPr>
          <w:p w:rsidR="00043AE6" w:rsidRPr="00901E5A" w:rsidP="00043AE6" w14:paraId="21D03D52" w14:textId="38EC1DB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color w:val="000000"/>
                <w:szCs w:val="22"/>
              </w:rPr>
              <w:t>0</w:t>
            </w:r>
          </w:p>
        </w:tc>
        <w:tc>
          <w:tcPr>
            <w:tcW w:w="1256" w:type="dxa"/>
            <w:tcBorders>
              <w:top w:val="nil"/>
              <w:left w:val="nil"/>
              <w:bottom w:val="single" w:sz="8" w:space="0" w:color="auto"/>
              <w:right w:val="single" w:sz="8" w:space="0" w:color="auto"/>
            </w:tcBorders>
            <w:shd w:val="clear" w:color="auto" w:fill="auto"/>
            <w:vAlign w:val="center"/>
          </w:tcPr>
          <w:p w:rsidR="00043AE6" w:rsidRPr="00901E5A" w:rsidP="00043AE6" w14:paraId="4CCD32ED" w14:textId="3701F3D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szCs w:val="22"/>
              </w:rPr>
            </w:pPr>
            <w:r>
              <w:rPr>
                <w:rFonts w:ascii="Calibri" w:hAnsi="Calibri" w:cs="Calibri"/>
                <w:color w:val="000000"/>
                <w:szCs w:val="22"/>
              </w:rPr>
              <w:t>3</w:t>
            </w:r>
          </w:p>
        </w:tc>
        <w:tc>
          <w:tcPr>
            <w:tcW w:w="944" w:type="dxa"/>
            <w:tcBorders>
              <w:top w:val="nil"/>
              <w:left w:val="nil"/>
              <w:bottom w:val="single" w:sz="8" w:space="0" w:color="auto"/>
              <w:right w:val="single" w:sz="8" w:space="0" w:color="auto"/>
            </w:tcBorders>
            <w:shd w:val="clear" w:color="auto" w:fill="auto"/>
            <w:noWrap/>
            <w:vAlign w:val="center"/>
          </w:tcPr>
          <w:p w:rsidR="00043AE6" w:rsidRPr="00901E5A" w:rsidP="00043AE6" w14:paraId="77279A84" w14:textId="41D2F7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3</w:t>
            </w:r>
          </w:p>
        </w:tc>
        <w:tc>
          <w:tcPr>
            <w:tcW w:w="1112" w:type="dxa"/>
            <w:tcBorders>
              <w:top w:val="nil"/>
              <w:left w:val="nil"/>
              <w:bottom w:val="single" w:sz="8" w:space="0" w:color="auto"/>
              <w:right w:val="single" w:sz="8" w:space="0" w:color="auto"/>
            </w:tcBorders>
            <w:shd w:val="clear" w:color="auto" w:fill="auto"/>
            <w:noWrap/>
            <w:vAlign w:val="center"/>
          </w:tcPr>
          <w:p w:rsidR="00043AE6" w:rsidRPr="00901E5A" w:rsidP="00043AE6" w14:paraId="455FB3C9" w14:textId="1930892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$304 </w:t>
            </w:r>
          </w:p>
        </w:tc>
      </w:tr>
      <w:tr w14:paraId="77CE3DFA" w14:textId="77777777" w:rsidTr="005C11CF">
        <w:tblPrEx>
          <w:tblW w:w="9620" w:type="dxa"/>
          <w:tblLook w:val="04A0"/>
        </w:tblPrEx>
        <w:trPr>
          <w:trHeight w:val="20"/>
        </w:trPr>
        <w:tc>
          <w:tcPr>
            <w:tcW w:w="4043" w:type="dxa"/>
            <w:tcBorders>
              <w:top w:val="nil"/>
              <w:left w:val="single" w:sz="8" w:space="0" w:color="auto"/>
              <w:bottom w:val="single" w:sz="8" w:space="0" w:color="auto"/>
              <w:right w:val="single" w:sz="8" w:space="0" w:color="auto"/>
            </w:tcBorders>
            <w:shd w:val="clear" w:color="auto" w:fill="auto"/>
            <w:vAlign w:val="center"/>
          </w:tcPr>
          <w:p w:rsidR="00043AE6" w:rsidP="00043AE6" w14:paraId="5D2C114F" w14:textId="3D52DDA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rPr>
                <w:rFonts w:ascii="Calibri" w:hAnsi="Calibri" w:cs="Calibri"/>
                <w:color w:val="000000"/>
                <w:szCs w:val="22"/>
              </w:rPr>
            </w:pPr>
            <w:r>
              <w:rPr>
                <w:rFonts w:ascii="Calibri" w:hAnsi="Calibri" w:cs="Calibri"/>
                <w:color w:val="000000"/>
                <w:szCs w:val="22"/>
              </w:rPr>
              <w:t>7. Contractor support for small businesses with &lt; 20 employees or &lt;$3M receipts</w:t>
            </w:r>
          </w:p>
        </w:tc>
        <w:tc>
          <w:tcPr>
            <w:tcW w:w="1009" w:type="dxa"/>
            <w:tcBorders>
              <w:top w:val="nil"/>
              <w:left w:val="nil"/>
              <w:bottom w:val="single" w:sz="8" w:space="0" w:color="auto"/>
              <w:right w:val="single" w:sz="8" w:space="0" w:color="auto"/>
            </w:tcBorders>
            <w:shd w:val="clear" w:color="auto" w:fill="auto"/>
            <w:vAlign w:val="center"/>
          </w:tcPr>
          <w:p w:rsidR="00043AE6" w:rsidP="00043AE6" w14:paraId="7EA0E3AE" w14:textId="0C0BCF8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1</w:t>
            </w:r>
            <w:r w:rsidR="00A26C36">
              <w:rPr>
                <w:rFonts w:ascii="Calibri" w:hAnsi="Calibri" w:cs="Calibri"/>
                <w:color w:val="000000"/>
                <w:szCs w:val="22"/>
              </w:rPr>
              <w:t>9</w:t>
            </w:r>
            <w:r>
              <w:rPr>
                <w:rFonts w:ascii="Calibri" w:hAnsi="Calibri" w:cs="Calibri"/>
                <w:color w:val="000000"/>
                <w:szCs w:val="22"/>
              </w:rPr>
              <w:t>,</w:t>
            </w:r>
            <w:r w:rsidR="00A26C36">
              <w:rPr>
                <w:rFonts w:ascii="Calibri" w:hAnsi="Calibri" w:cs="Calibri"/>
                <w:color w:val="000000"/>
                <w:szCs w:val="22"/>
              </w:rPr>
              <w:t>024</w:t>
            </w:r>
          </w:p>
        </w:tc>
        <w:tc>
          <w:tcPr>
            <w:tcW w:w="1256" w:type="dxa"/>
            <w:tcBorders>
              <w:top w:val="nil"/>
              <w:left w:val="nil"/>
              <w:bottom w:val="single" w:sz="8" w:space="0" w:color="auto"/>
              <w:right w:val="single" w:sz="8" w:space="0" w:color="auto"/>
            </w:tcBorders>
            <w:shd w:val="clear" w:color="auto" w:fill="auto"/>
            <w:vAlign w:val="center"/>
          </w:tcPr>
          <w:p w:rsidR="00043AE6" w:rsidP="00043AE6" w14:paraId="7D4B7E32" w14:textId="74F2D9D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w:t>
            </w:r>
          </w:p>
        </w:tc>
        <w:tc>
          <w:tcPr>
            <w:tcW w:w="1256" w:type="dxa"/>
            <w:tcBorders>
              <w:top w:val="nil"/>
              <w:left w:val="nil"/>
              <w:bottom w:val="single" w:sz="8" w:space="0" w:color="auto"/>
              <w:right w:val="single" w:sz="8" w:space="0" w:color="auto"/>
            </w:tcBorders>
            <w:shd w:val="clear" w:color="auto" w:fill="auto"/>
            <w:vAlign w:val="center"/>
          </w:tcPr>
          <w:p w:rsidR="00043AE6" w:rsidP="00043AE6" w14:paraId="54354B42" w14:textId="0A400A8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w:t>
            </w:r>
          </w:p>
        </w:tc>
        <w:tc>
          <w:tcPr>
            <w:tcW w:w="944" w:type="dxa"/>
            <w:tcBorders>
              <w:top w:val="nil"/>
              <w:left w:val="nil"/>
              <w:bottom w:val="single" w:sz="8" w:space="0" w:color="auto"/>
              <w:right w:val="single" w:sz="8" w:space="0" w:color="auto"/>
            </w:tcBorders>
            <w:shd w:val="clear" w:color="auto" w:fill="auto"/>
            <w:noWrap/>
            <w:vAlign w:val="center"/>
          </w:tcPr>
          <w:p w:rsidR="00043AE6" w:rsidP="00043AE6" w14:paraId="1B951000" w14:textId="5399C12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color w:val="000000"/>
                <w:szCs w:val="22"/>
              </w:rPr>
            </w:pPr>
            <w:r>
              <w:rPr>
                <w:rFonts w:ascii="Calibri" w:hAnsi="Calibri" w:cs="Calibri"/>
                <w:color w:val="000000"/>
                <w:szCs w:val="22"/>
              </w:rPr>
              <w:t>-</w:t>
            </w:r>
          </w:p>
        </w:tc>
        <w:tc>
          <w:tcPr>
            <w:tcW w:w="1112" w:type="dxa"/>
            <w:tcBorders>
              <w:top w:val="nil"/>
              <w:left w:val="nil"/>
              <w:bottom w:val="single" w:sz="8" w:space="0" w:color="auto"/>
              <w:right w:val="single" w:sz="8" w:space="0" w:color="auto"/>
            </w:tcBorders>
            <w:shd w:val="clear" w:color="auto" w:fill="auto"/>
            <w:noWrap/>
            <w:vAlign w:val="center"/>
          </w:tcPr>
          <w:p w:rsidR="00043AE6" w:rsidP="00043AE6" w14:paraId="40938E7E" w14:textId="792CB25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color w:val="000000"/>
                <w:szCs w:val="22"/>
              </w:rPr>
              <w:t xml:space="preserve">$8,094 </w:t>
            </w:r>
          </w:p>
        </w:tc>
      </w:tr>
      <w:tr w14:paraId="1A5834AD" w14:textId="77777777" w:rsidTr="005C11CF">
        <w:tblPrEx>
          <w:tblW w:w="9620" w:type="dxa"/>
          <w:tblLook w:val="04A0"/>
        </w:tblPrEx>
        <w:trPr>
          <w:trHeight w:val="20"/>
        </w:trPr>
        <w:tc>
          <w:tcPr>
            <w:tcW w:w="4043"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43AE6" w:rsidRPr="00901E5A" w:rsidP="00043AE6" w14:paraId="41A30DC4" w14:textId="3D55849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Pr>
                <w:rFonts w:ascii="Calibri" w:hAnsi="Calibri" w:cs="Calibri"/>
                <w:b/>
                <w:bCs/>
                <w:szCs w:val="22"/>
              </w:rPr>
              <w:t xml:space="preserve">Maximum Burden per Facility </w:t>
            </w:r>
            <w:r>
              <w:rPr>
                <w:rFonts w:ascii="Calibri" w:hAnsi="Calibri" w:cs="Calibri"/>
                <w:b/>
                <w:bCs/>
                <w:szCs w:val="22"/>
              </w:rPr>
              <w:br/>
              <w:t>(activities 1a + 5)</w:t>
            </w:r>
          </w:p>
        </w:tc>
        <w:tc>
          <w:tcPr>
            <w:tcW w:w="1009"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2753EC0D" w14:textId="2C09B90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w:t>
            </w:r>
            <w:r w:rsidR="00EA09C9">
              <w:rPr>
                <w:rFonts w:ascii="Calibri" w:hAnsi="Calibri" w:cs="Calibri"/>
                <w:b/>
                <w:bCs/>
                <w:color w:val="000000"/>
                <w:szCs w:val="22"/>
              </w:rPr>
              <w:t>6,859</w:t>
            </w:r>
          </w:p>
        </w:tc>
        <w:tc>
          <w:tcPr>
            <w:tcW w:w="1256"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59936C03" w14:textId="350AD40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w:t>
            </w:r>
          </w:p>
        </w:tc>
        <w:tc>
          <w:tcPr>
            <w:tcW w:w="1256"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07A39F43" w14:textId="6A012FD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26</w:t>
            </w:r>
          </w:p>
        </w:tc>
        <w:tc>
          <w:tcPr>
            <w:tcW w:w="944"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2B217D98" w14:textId="7CEFF15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27</w:t>
            </w:r>
          </w:p>
        </w:tc>
        <w:tc>
          <w:tcPr>
            <w:tcW w:w="1112"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3EDC0929" w14:textId="7624769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b/>
                <w:bCs/>
                <w:color w:val="000000"/>
                <w:szCs w:val="22"/>
              </w:rPr>
              <w:t xml:space="preserve">$2,791 </w:t>
            </w:r>
          </w:p>
        </w:tc>
      </w:tr>
      <w:tr w14:paraId="4AC5FA49" w14:textId="77777777" w:rsidTr="005C11CF">
        <w:tblPrEx>
          <w:tblW w:w="9620" w:type="dxa"/>
          <w:tblLook w:val="04A0"/>
        </w:tblPrEx>
        <w:trPr>
          <w:trHeight w:val="20"/>
        </w:trPr>
        <w:tc>
          <w:tcPr>
            <w:tcW w:w="4043"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43AE6" w:rsidRPr="00901E5A" w:rsidP="00043AE6" w14:paraId="44E98EF7" w14:textId="4182762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Pr>
                <w:rFonts w:ascii="Calibri" w:hAnsi="Calibri" w:cs="Calibri"/>
                <w:b/>
                <w:bCs/>
                <w:szCs w:val="22"/>
              </w:rPr>
              <w:t>Maximum Burden per Facility CAERS cases 3 and 4 (activities 1b/c + 5 + 6)</w:t>
            </w:r>
          </w:p>
        </w:tc>
        <w:tc>
          <w:tcPr>
            <w:tcW w:w="1009"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4F1E6376" w14:textId="78994C1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9</w:t>
            </w:r>
            <w:r w:rsidR="00EA09C9">
              <w:rPr>
                <w:rFonts w:ascii="Calibri" w:hAnsi="Calibri" w:cs="Calibri"/>
                <w:b/>
                <w:bCs/>
                <w:color w:val="000000"/>
                <w:szCs w:val="22"/>
              </w:rPr>
              <w:t>3,372</w:t>
            </w:r>
          </w:p>
        </w:tc>
        <w:tc>
          <w:tcPr>
            <w:tcW w:w="1256"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5BDA7584" w14:textId="54A5F0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w:t>
            </w:r>
          </w:p>
        </w:tc>
        <w:tc>
          <w:tcPr>
            <w:tcW w:w="1256"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66DB2603" w14:textId="21CB017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21</w:t>
            </w:r>
          </w:p>
        </w:tc>
        <w:tc>
          <w:tcPr>
            <w:tcW w:w="944"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004E31DC" w14:textId="55A76D0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22</w:t>
            </w:r>
          </w:p>
        </w:tc>
        <w:tc>
          <w:tcPr>
            <w:tcW w:w="1112" w:type="dxa"/>
            <w:tcBorders>
              <w:top w:val="single" w:sz="8" w:space="0" w:color="auto"/>
              <w:left w:val="nil"/>
              <w:bottom w:val="single" w:sz="8" w:space="0" w:color="auto"/>
              <w:right w:val="single" w:sz="8" w:space="0" w:color="auto"/>
            </w:tcBorders>
            <w:shd w:val="clear" w:color="000000" w:fill="D9D9D9"/>
            <w:noWrap/>
            <w:vAlign w:val="center"/>
            <w:hideMark/>
          </w:tcPr>
          <w:p w:rsidR="00043AE6" w:rsidRPr="00901E5A" w:rsidP="00043AE6" w14:paraId="52DB868F" w14:textId="192ED6A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b/>
                <w:bCs/>
                <w:color w:val="000000"/>
                <w:szCs w:val="22"/>
              </w:rPr>
              <w:t xml:space="preserve">$2,285 </w:t>
            </w:r>
          </w:p>
        </w:tc>
      </w:tr>
      <w:tr w14:paraId="277084D4" w14:textId="77777777" w:rsidTr="005C11CF">
        <w:tblPrEx>
          <w:tblW w:w="9620" w:type="dxa"/>
          <w:tblLook w:val="04A0"/>
        </w:tblPrEx>
        <w:trPr>
          <w:trHeight w:val="20"/>
        </w:trPr>
        <w:tc>
          <w:tcPr>
            <w:tcW w:w="4043" w:type="dxa"/>
            <w:tcBorders>
              <w:top w:val="single" w:sz="8" w:space="0" w:color="auto"/>
              <w:left w:val="single" w:sz="8" w:space="0" w:color="auto"/>
              <w:bottom w:val="single" w:sz="8" w:space="0" w:color="auto"/>
              <w:right w:val="single" w:sz="8" w:space="0" w:color="auto"/>
            </w:tcBorders>
            <w:shd w:val="clear" w:color="000000" w:fill="D9D9D9"/>
            <w:vAlign w:val="center"/>
          </w:tcPr>
          <w:p w:rsidR="00043AE6" w:rsidP="00043AE6" w14:paraId="6CB0001E" w14:textId="12458AC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Pr>
                <w:rFonts w:ascii="Calibri" w:hAnsi="Calibri" w:cs="Calibri"/>
                <w:b/>
                <w:bCs/>
                <w:szCs w:val="22"/>
              </w:rPr>
              <w:t>Maximum Burden per Facility for CSPs (activity 4b)</w:t>
            </w:r>
          </w:p>
        </w:tc>
        <w:tc>
          <w:tcPr>
            <w:tcW w:w="1009"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3701615B" w14:textId="7A1D2C8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235</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4B00AD9C" w14:textId="215A142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10</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7411136F" w14:textId="3BF66E7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120</w:t>
            </w:r>
          </w:p>
        </w:tc>
        <w:tc>
          <w:tcPr>
            <w:tcW w:w="944"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4E237A64" w14:textId="742CBBF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130</w:t>
            </w:r>
          </w:p>
        </w:tc>
        <w:tc>
          <w:tcPr>
            <w:tcW w:w="1112"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421B2BEA" w14:textId="375B3E0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b/>
                <w:bCs/>
                <w:color w:val="000000"/>
                <w:szCs w:val="22"/>
              </w:rPr>
              <w:t xml:space="preserve">$13,746 </w:t>
            </w:r>
          </w:p>
        </w:tc>
      </w:tr>
      <w:tr w14:paraId="4AA13952" w14:textId="77777777" w:rsidTr="005C11CF">
        <w:tblPrEx>
          <w:tblW w:w="9620" w:type="dxa"/>
          <w:tblLook w:val="04A0"/>
        </w:tblPrEx>
        <w:trPr>
          <w:trHeight w:val="20"/>
        </w:trPr>
        <w:tc>
          <w:tcPr>
            <w:tcW w:w="4043" w:type="dxa"/>
            <w:tcBorders>
              <w:top w:val="single" w:sz="8" w:space="0" w:color="auto"/>
              <w:left w:val="single" w:sz="8" w:space="0" w:color="auto"/>
              <w:bottom w:val="single" w:sz="8" w:space="0" w:color="auto"/>
              <w:right w:val="single" w:sz="8" w:space="0" w:color="auto"/>
            </w:tcBorders>
            <w:shd w:val="clear" w:color="000000" w:fill="D9D9D9"/>
            <w:vAlign w:val="center"/>
          </w:tcPr>
          <w:p w:rsidR="00043AE6" w:rsidP="00043AE6" w14:paraId="32FB968E" w14:textId="74FAAAD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b/>
                <w:bCs/>
                <w:szCs w:val="22"/>
              </w:rPr>
            </w:pPr>
            <w:r>
              <w:rPr>
                <w:rFonts w:ascii="Calibri" w:hAnsi="Calibri" w:cs="Calibri"/>
                <w:b/>
                <w:bCs/>
                <w:szCs w:val="22"/>
              </w:rPr>
              <w:t xml:space="preserve">Weighted average across facilities </w:t>
            </w:r>
            <w:r>
              <w:rPr>
                <w:rFonts w:ascii="Calibri" w:hAnsi="Calibri" w:cs="Calibri"/>
                <w:b/>
                <w:bCs/>
                <w:szCs w:val="22"/>
              </w:rPr>
              <w:br/>
              <w:t>(across 3 maxima and activity 7)</w:t>
            </w:r>
          </w:p>
        </w:tc>
        <w:tc>
          <w:tcPr>
            <w:tcW w:w="1009"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78CB9F6C" w14:textId="29D9EF5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129,</w:t>
            </w:r>
            <w:r w:rsidR="006A7915">
              <w:rPr>
                <w:rFonts w:ascii="Calibri" w:hAnsi="Calibri" w:cs="Calibri"/>
                <w:b/>
                <w:bCs/>
                <w:color w:val="000000"/>
                <w:szCs w:val="22"/>
              </w:rPr>
              <w:t>490</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36AFEA45" w14:textId="2A6E8ABD">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w:t>
            </w:r>
          </w:p>
        </w:tc>
        <w:tc>
          <w:tcPr>
            <w:tcW w:w="1256"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15BB329C" w14:textId="69EF726A">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19</w:t>
            </w:r>
          </w:p>
        </w:tc>
        <w:tc>
          <w:tcPr>
            <w:tcW w:w="944"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49914078" w14:textId="5FF5F8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center"/>
              <w:rPr>
                <w:rFonts w:ascii="Calibri" w:hAnsi="Calibri" w:cs="Calibri"/>
                <w:b/>
                <w:bCs/>
                <w:color w:val="000000"/>
                <w:szCs w:val="22"/>
              </w:rPr>
            </w:pPr>
            <w:r>
              <w:rPr>
                <w:rFonts w:ascii="Calibri" w:hAnsi="Calibri" w:cs="Calibri"/>
                <w:b/>
                <w:bCs/>
                <w:color w:val="000000"/>
                <w:szCs w:val="22"/>
              </w:rPr>
              <w:t>20</w:t>
            </w:r>
          </w:p>
        </w:tc>
        <w:tc>
          <w:tcPr>
            <w:tcW w:w="1112" w:type="dxa"/>
            <w:tcBorders>
              <w:top w:val="single" w:sz="8" w:space="0" w:color="auto"/>
              <w:left w:val="nil"/>
              <w:bottom w:val="single" w:sz="8" w:space="0" w:color="auto"/>
              <w:right w:val="single" w:sz="8" w:space="0" w:color="auto"/>
            </w:tcBorders>
            <w:shd w:val="clear" w:color="000000" w:fill="D9D9D9"/>
            <w:noWrap/>
            <w:vAlign w:val="center"/>
          </w:tcPr>
          <w:p w:rsidR="00043AE6" w:rsidP="00043AE6" w14:paraId="64632577" w14:textId="01C22F1C">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40" w:after="40" w:line="240" w:lineRule="auto"/>
              <w:jc w:val="right"/>
              <w:rPr>
                <w:rFonts w:ascii="Calibri" w:hAnsi="Calibri" w:cs="Calibri"/>
                <w:color w:val="000000"/>
                <w:szCs w:val="22"/>
              </w:rPr>
            </w:pPr>
            <w:r>
              <w:rPr>
                <w:rFonts w:ascii="Calibri" w:hAnsi="Calibri" w:cs="Calibri"/>
                <w:b/>
                <w:bCs/>
                <w:color w:val="000000"/>
                <w:szCs w:val="22"/>
              </w:rPr>
              <w:t>$3,2</w:t>
            </w:r>
            <w:r w:rsidR="000D27B8">
              <w:rPr>
                <w:rFonts w:ascii="Calibri" w:hAnsi="Calibri" w:cs="Calibri"/>
                <w:b/>
                <w:bCs/>
                <w:color w:val="000000"/>
                <w:szCs w:val="22"/>
              </w:rPr>
              <w:t>25</w:t>
            </w:r>
            <w:r>
              <w:rPr>
                <w:rFonts w:ascii="Calibri" w:hAnsi="Calibri" w:cs="Calibri"/>
                <w:b/>
                <w:bCs/>
                <w:color w:val="000000"/>
                <w:szCs w:val="22"/>
              </w:rPr>
              <w:t xml:space="preserve"> </w:t>
            </w:r>
          </w:p>
        </w:tc>
      </w:tr>
    </w:tbl>
    <w:p w:rsidR="003D65F6" w:rsidRPr="003B1CF8" w:rsidP="00793526" w14:paraId="0698D76F" w14:textId="7540A02E">
      <w:r>
        <w:rPr>
          <w:vertAlign w:val="superscript"/>
        </w:rPr>
        <w:t>1</w:t>
      </w:r>
      <w:r>
        <w:t xml:space="preserve"> This number assumes that states would collect the data from CSPs rather than from individual facilities.</w:t>
      </w:r>
    </w:p>
    <w:p w:rsidR="003B1CF8" w:rsidP="00793526" w14:paraId="02EF5DA1" w14:textId="77777777"/>
    <w:p w:rsidR="00E73DD4" w:rsidP="00E73DD4" w14:paraId="01B99079" w14:textId="056C179C">
      <w:r>
        <w:t xml:space="preserve">To better understand the expected impact of these changes in comparison to this ICR for the 2024-2026 period, </w:t>
      </w:r>
      <w:r w:rsidR="0027358E">
        <w:t>Table A</w:t>
      </w:r>
      <w:r>
        <w:t xml:space="preserve">-3 provides the burden </w:t>
      </w:r>
      <w:r w:rsidR="00996431">
        <w:t>associated with labor hours for SLTs, owners/operators and the total for both 2024-2026 and for 2027. The table reflects the changes list in Tables A-1 and A-2, as well as the removal of the one-time costs occuring during 2024-2026.</w:t>
      </w:r>
      <w:r>
        <w:t xml:space="preserve"> We calculated the SLT burden (hours and costs) in 2027 by</w:t>
      </w:r>
      <w:r w:rsidR="00D00E17">
        <w:t>:</w:t>
      </w:r>
    </w:p>
    <w:p w:rsidR="00E73DD4" w:rsidP="00E73DD4" w14:paraId="4B7DBE8B" w14:textId="472D85E6">
      <w:pPr>
        <w:pStyle w:val="ListParagraph"/>
        <w:numPr>
          <w:ilvl w:val="0"/>
          <w:numId w:val="30"/>
        </w:numPr>
      </w:pPr>
      <w:r>
        <w:t>S</w:t>
      </w:r>
      <w:r>
        <w:t>tarting with the total burden from Table 14</w:t>
      </w:r>
      <w:r>
        <w:t xml:space="preserve">; </w:t>
      </w:r>
    </w:p>
    <w:p w:rsidR="009C0D39" w:rsidP="00E73DD4" w14:paraId="688286FA" w14:textId="465C9E5D">
      <w:pPr>
        <w:pStyle w:val="ListParagraph"/>
        <w:numPr>
          <w:ilvl w:val="0"/>
          <w:numId w:val="30"/>
        </w:numPr>
      </w:pPr>
      <w:r>
        <w:t>S</w:t>
      </w:r>
      <w:r w:rsidR="00E73DD4">
        <w:t>ubtracting the burden for “One-Time Required, Prescribed Burning,” “One-Time Required, Point Sources,” “Annual Required, Point Sources,” and “Triennial Required, Point Sources</w:t>
      </w:r>
      <w:r>
        <w:t xml:space="preserve">;” and </w:t>
      </w:r>
    </w:p>
    <w:p w:rsidR="00E73DD4" w:rsidP="00E73DD4" w14:paraId="52A8B094" w14:textId="14889C7E">
      <w:pPr>
        <w:pStyle w:val="ListParagraph"/>
        <w:numPr>
          <w:ilvl w:val="0"/>
          <w:numId w:val="30"/>
        </w:numPr>
      </w:pPr>
      <w:r>
        <w:t>A</w:t>
      </w:r>
      <w:r>
        <w:t>dding the burden from the three Maximum Burden Changes by SLT from the Bottom of Table A-1, using the appropriate number of SLTs for each of the rows to multipl</w:t>
      </w:r>
      <w:r w:rsidR="007279CA">
        <w:t>y</w:t>
      </w:r>
      <w:r>
        <w:t xml:space="preserve"> the per-SLT</w:t>
      </w:r>
      <w:r w:rsidR="007279CA">
        <w:t xml:space="preserve"> burden for each.</w:t>
      </w:r>
    </w:p>
    <w:p w:rsidR="003D65F6" w:rsidP="00793526" w14:paraId="5CB577F6" w14:textId="3967AC7D"/>
    <w:p w:rsidR="00996431" w:rsidP="00793526" w14:paraId="5950F72C" w14:textId="0EFAE5D5">
      <w:r>
        <w:t>The primary reasons for the changes to the SLT costs are</w:t>
      </w:r>
      <w:r w:rsidR="00F321EF">
        <w:t xml:space="preserve"> the increases in burden shown in </w:t>
      </w:r>
      <w:r w:rsidR="0027358E">
        <w:t>Table A</w:t>
      </w:r>
      <w:r w:rsidR="00F321EF">
        <w:t xml:space="preserve">-1 and decreases in burden for one-time activities for all states to update their regulations </w:t>
      </w:r>
      <w:r w:rsidR="0043003C">
        <w:t xml:space="preserve">and to implement a prescribed burning data collection system. </w:t>
      </w:r>
      <w:r w:rsidR="005C11CF">
        <w:t>An additional decrease in burden is reflected because of the additional states expected to use CAERS cases 3 and 4 in 2027 (</w:t>
      </w:r>
      <w:r w:rsidR="007279CA">
        <w:t xml:space="preserve">24 </w:t>
      </w:r>
      <w:r w:rsidR="005C11CF">
        <w:t xml:space="preserve">and </w:t>
      </w:r>
      <w:r w:rsidR="007279CA">
        <w:t>48</w:t>
      </w:r>
      <w:r w:rsidR="005C11CF">
        <w:t xml:space="preserve">, respectively as compared to </w:t>
      </w:r>
      <w:r w:rsidR="007279CA">
        <w:t xml:space="preserve">10 </w:t>
      </w:r>
      <w:r w:rsidR="005C11CF">
        <w:t xml:space="preserve">and </w:t>
      </w:r>
      <w:r w:rsidR="007279CA">
        <w:t xml:space="preserve">19 </w:t>
      </w:r>
      <w:r w:rsidR="005C11CF">
        <w:t>during the 2024-2026 period). Further estimates of CAERS adoption beyond 2027 ha</w:t>
      </w:r>
      <w:r w:rsidR="00815DD1">
        <w:t>ve</w:t>
      </w:r>
      <w:r w:rsidR="005C11CF">
        <w:t xml:space="preserve"> not been included. </w:t>
      </w:r>
      <w:r w:rsidR="0043003C">
        <w:t xml:space="preserve">The costs of voluntary activities to update HAP regulations are not included in the final summary tables in Section </w:t>
      </w:r>
      <w:r w:rsidR="0043003C">
        <w:fldChar w:fldCharType="begin"/>
      </w:r>
      <w:r w:rsidR="0043003C">
        <w:instrText xml:space="preserve"> REF _Ref116849759 \r \h </w:instrText>
      </w:r>
      <w:r w:rsidR="0043003C">
        <w:fldChar w:fldCharType="separate"/>
      </w:r>
      <w:r w:rsidR="00646F0F">
        <w:t>13</w:t>
      </w:r>
      <w:r w:rsidR="0043003C">
        <w:fldChar w:fldCharType="end"/>
      </w:r>
      <w:r w:rsidR="0021034F">
        <w:t xml:space="preserve">, and thus the removal of those costs </w:t>
      </w:r>
      <w:r w:rsidR="005C11CF">
        <w:t>is</w:t>
      </w:r>
      <w:r w:rsidR="0021034F">
        <w:t xml:space="preserve"> not captured here as part of the changes in burden for 2027.</w:t>
      </w:r>
    </w:p>
    <w:p w:rsidR="00996431" w:rsidP="00793526" w14:paraId="75D48B1D" w14:textId="75E9CD18"/>
    <w:p w:rsidR="00996431" w:rsidP="00793526" w14:paraId="256E11C6" w14:textId="3BB2A785">
      <w:r w:rsidRPr="00E04326">
        <w:t xml:space="preserve">The primary reasons for the changes to the </w:t>
      </w:r>
      <w:r w:rsidR="00D00E17">
        <w:t>o</w:t>
      </w:r>
      <w:r w:rsidRPr="00E04326">
        <w:t>wner/</w:t>
      </w:r>
      <w:r w:rsidR="00D00E17">
        <w:t>o</w:t>
      </w:r>
      <w:r w:rsidRPr="00E04326" w:rsidR="00D00E17">
        <w:t>perator</w:t>
      </w:r>
      <w:r w:rsidRPr="00E04326">
        <w:t xml:space="preserve"> costs are that there are many more facilities required to report starting in 2027 (about 12</w:t>
      </w:r>
      <w:r w:rsidR="00F53932">
        <w:t>9</w:t>
      </w:r>
      <w:r w:rsidRPr="00E04326">
        <w:t>,</w:t>
      </w:r>
      <w:r w:rsidR="0018139C">
        <w:t>5</w:t>
      </w:r>
      <w:r w:rsidRPr="00E04326">
        <w:t xml:space="preserve">00) </w:t>
      </w:r>
      <w:r w:rsidRPr="00E04326" w:rsidR="00D646AD">
        <w:t>plus</w:t>
      </w:r>
      <w:r w:rsidR="00D646AD">
        <w:t xml:space="preserve"> a possible additional 235 CSPs</w:t>
      </w:r>
      <w:r w:rsidR="00D00E17">
        <w:t xml:space="preserve">. These numbers are in contrast to the </w:t>
      </w:r>
      <w:r w:rsidR="00E04326">
        <w:t xml:space="preserve">CAP </w:t>
      </w:r>
      <w:r>
        <w:t xml:space="preserve">major sources </w:t>
      </w:r>
      <w:r w:rsidR="00D00E17">
        <w:t xml:space="preserve">(and few additional Pb emitters) required </w:t>
      </w:r>
      <w:r>
        <w:t>in 2024-2026 (</w:t>
      </w:r>
      <w:r w:rsidR="00E04326">
        <w:t>12,379</w:t>
      </w:r>
      <w:r>
        <w:t xml:space="preserve">). </w:t>
      </w:r>
      <w:r w:rsidR="0021034F">
        <w:t xml:space="preserve">Since the AERR for the 2024-2026 period does not require HAP, the collection of HAP by SLTs from facilities is not part of the ICR for that period. </w:t>
      </w:r>
      <w:r w:rsidR="00F53932">
        <w:t xml:space="preserve">The costs during </w:t>
      </w:r>
      <w:r w:rsidR="007F1BE3">
        <w:t>the 2024-2026</w:t>
      </w:r>
      <w:r w:rsidR="00F53932">
        <w:t xml:space="preserve"> period associated with g</w:t>
      </w:r>
      <w:r w:rsidR="00F53932">
        <w:rPr>
          <w:rFonts w:ascii="Calibri" w:hAnsi="Calibri" w:cs="Calibri"/>
          <w:color w:val="000000"/>
          <w:szCs w:val="22"/>
        </w:rPr>
        <w:t xml:space="preserve">athering release point latitude-longitude </w:t>
      </w:r>
      <w:r w:rsidR="007F1BE3">
        <w:rPr>
          <w:rFonts w:ascii="Calibri" w:hAnsi="Calibri" w:cs="Calibri"/>
          <w:color w:val="000000"/>
          <w:szCs w:val="22"/>
        </w:rPr>
        <w:t>for reporting starting in 2027 would be dropped from the costs associated with these change</w:t>
      </w:r>
      <w:r w:rsidR="00500B94">
        <w:rPr>
          <w:rFonts w:ascii="Calibri" w:hAnsi="Calibri" w:cs="Calibri"/>
          <w:color w:val="000000"/>
          <w:szCs w:val="22"/>
        </w:rPr>
        <w:t>s</w:t>
      </w:r>
      <w:r w:rsidR="007F1BE3">
        <w:rPr>
          <w:rFonts w:ascii="Calibri" w:hAnsi="Calibri" w:cs="Calibri"/>
          <w:color w:val="000000"/>
          <w:szCs w:val="22"/>
        </w:rPr>
        <w:t xml:space="preserve">. </w:t>
      </w:r>
      <w:r w:rsidR="0021034F">
        <w:t xml:space="preserve">With the requirement of </w:t>
      </w:r>
      <w:r w:rsidR="004653B7">
        <w:t xml:space="preserve">collecting </w:t>
      </w:r>
      <w:r w:rsidR="0021034F">
        <w:t xml:space="preserve">HAP emissions starting in 2027, all burden of owners/operators reporting to both states and directly to EPA becomes a part of the burden estimate. Although the increase in burden </w:t>
      </w:r>
      <w:r w:rsidR="00151B3A">
        <w:t xml:space="preserve">appears </w:t>
      </w:r>
      <w:r w:rsidR="0021034F">
        <w:t xml:space="preserve">large, </w:t>
      </w:r>
      <w:r w:rsidR="00277382">
        <w:t>states are voluntarily collecting CAP and</w:t>
      </w:r>
      <w:r w:rsidR="00FA0861">
        <w:t>,</w:t>
      </w:r>
      <w:r w:rsidR="00277382">
        <w:t xml:space="preserve"> in some cases</w:t>
      </w:r>
      <w:r w:rsidR="00FA0861">
        <w:t>,</w:t>
      </w:r>
      <w:r w:rsidR="00277382">
        <w:t xml:space="preserve"> HAP from nearly 59,000 facilities</w:t>
      </w:r>
      <w:r w:rsidR="00D646AD">
        <w:t xml:space="preserve"> (based on 2017 NEI data)</w:t>
      </w:r>
      <w:r w:rsidR="00277382">
        <w:t xml:space="preserve"> in addition to the </w:t>
      </w:r>
      <w:r w:rsidR="00E04326">
        <w:t>12,379</w:t>
      </w:r>
      <w:r w:rsidR="00D00E17">
        <w:t xml:space="preserve"> </w:t>
      </w:r>
      <w:r w:rsidR="00277382">
        <w:t xml:space="preserve">required facilities. Thus, the </w:t>
      </w:r>
      <w:r w:rsidR="00E04326">
        <w:t xml:space="preserve">practical </w:t>
      </w:r>
      <w:r w:rsidR="00277382">
        <w:t xml:space="preserve">impact on owners/operators is </w:t>
      </w:r>
      <w:r w:rsidR="00D646AD">
        <w:t>lower</w:t>
      </w:r>
      <w:r w:rsidR="00277382">
        <w:t xml:space="preserve"> than what is captured here because the </w:t>
      </w:r>
      <w:r w:rsidR="00151B3A">
        <w:t xml:space="preserve">voluntary </w:t>
      </w:r>
      <w:r w:rsidR="00277382">
        <w:t>SLT</w:t>
      </w:r>
      <w:r w:rsidRPr="00D00E17" w:rsidR="00D00E17">
        <w:t xml:space="preserve"> </w:t>
      </w:r>
      <w:r w:rsidR="00D00E17">
        <w:t xml:space="preserve">collections include far more facilities than </w:t>
      </w:r>
      <w:r w:rsidR="00CC29B8">
        <w:t xml:space="preserve">the </w:t>
      </w:r>
      <w:r w:rsidR="00D00E17">
        <w:t>required minimum</w:t>
      </w:r>
      <w:r w:rsidR="00277382">
        <w:t>.</w:t>
      </w:r>
      <w:r w:rsidR="00E04326">
        <w:t xml:space="preserve"> In other </w:t>
      </w:r>
      <w:r w:rsidR="00E04326">
        <w:t>words, while this proposed action would require</w:t>
      </w:r>
      <w:r w:rsidR="00D00E17">
        <w:t xml:space="preserve"> reporting for about 11</w:t>
      </w:r>
      <w:r w:rsidR="00EA0371">
        <w:t>7</w:t>
      </w:r>
      <w:r w:rsidR="00D00E17">
        <w:t>,000 additional facilities beyond the current AERR, 59,000 of those facilities are already reporting to states.</w:t>
      </w:r>
    </w:p>
    <w:p w:rsidR="00996431" w:rsidP="00793526" w14:paraId="073F662D" w14:textId="77777777"/>
    <w:p w:rsidR="00BC3DFA" w:rsidRPr="005707EB" w:rsidP="00BC3DFA" w14:paraId="458A981B" w14:textId="4BAB0476">
      <w:pPr>
        <w:pStyle w:val="Caption"/>
      </w:pPr>
      <w:bookmarkStart w:id="52" w:name="_Hlk117007139"/>
      <w:r w:rsidRPr="0020098E">
        <w:t>Table A</w:t>
      </w:r>
      <w:r w:rsidRPr="0020098E">
        <w:t>-3: Total</w:t>
      </w:r>
      <w:r w:rsidRPr="005707EB">
        <w:t xml:space="preserve"> Estimated Respondent </w:t>
      </w:r>
      <w:r>
        <w:t xml:space="preserve">and EPA </w:t>
      </w:r>
      <w:r w:rsidRPr="005707EB">
        <w:t>Burden and Cost Summary</w:t>
      </w:r>
      <w:r>
        <w:t xml:space="preserve"> Differences for 2027 Compared to the 2024-2026 Average.</w:t>
      </w:r>
      <w:r w:rsidR="0041354F">
        <w:t>*</w:t>
      </w:r>
    </w:p>
    <w:bookmarkEnd w:id="52"/>
    <w:tbl>
      <w:tblPr>
        <w:tblW w:w="9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85"/>
        <w:gridCol w:w="1169"/>
        <w:gridCol w:w="360"/>
        <w:gridCol w:w="788"/>
        <w:gridCol w:w="1138"/>
        <w:gridCol w:w="734"/>
        <w:gridCol w:w="409"/>
        <w:gridCol w:w="1107"/>
        <w:gridCol w:w="424"/>
        <w:gridCol w:w="720"/>
      </w:tblGrid>
      <w:tr w14:paraId="40B170C1" w14:textId="7DEB81F5" w:rsidTr="00D00E17">
        <w:tblPrEx>
          <w:tblW w:w="9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2690" w:type="dxa"/>
            <w:shd w:val="clear" w:color="auto" w:fill="auto"/>
            <w:vAlign w:val="center"/>
          </w:tcPr>
          <w:p w:rsidR="00BC3DFA" w:rsidRPr="00B645C8" w:rsidP="00BC3DFA" w14:paraId="108C8B2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p>
        </w:tc>
        <w:tc>
          <w:tcPr>
            <w:tcW w:w="1530" w:type="dxa"/>
            <w:gridSpan w:val="2"/>
            <w:tcBorders>
              <w:right w:val="nil"/>
            </w:tcBorders>
            <w:shd w:val="clear" w:color="auto" w:fill="auto"/>
            <w:vAlign w:val="center"/>
          </w:tcPr>
          <w:p w:rsidR="00BC3DFA" w:rsidRPr="00B645C8" w:rsidP="00BC3DFA" w14:paraId="7AC3E86E" w14:textId="441D1E1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     </w:t>
            </w:r>
            <w:r w:rsidR="00D00E17">
              <w:rPr>
                <w:rFonts w:ascii="Calibri" w:hAnsi="Calibri" w:cs="Calibri"/>
                <w:b/>
                <w:bCs/>
                <w:color w:val="000000"/>
                <w:szCs w:val="22"/>
              </w:rPr>
              <w:t xml:space="preserve">      </w:t>
            </w:r>
            <w:r>
              <w:rPr>
                <w:rFonts w:ascii="Calibri" w:hAnsi="Calibri" w:cs="Calibri"/>
                <w:b/>
                <w:bCs/>
                <w:color w:val="000000"/>
                <w:szCs w:val="22"/>
              </w:rPr>
              <w:t xml:space="preserve">      </w:t>
            </w:r>
            <w:r w:rsidRPr="00B645C8">
              <w:rPr>
                <w:rFonts w:ascii="Calibri" w:hAnsi="Calibri" w:cs="Calibri"/>
                <w:b/>
                <w:bCs/>
                <w:color w:val="000000"/>
                <w:szCs w:val="22"/>
              </w:rPr>
              <w:t>SLTs</w:t>
            </w:r>
          </w:p>
        </w:tc>
        <w:tc>
          <w:tcPr>
            <w:tcW w:w="788" w:type="dxa"/>
            <w:tcBorders>
              <w:left w:val="nil"/>
            </w:tcBorders>
            <w:vAlign w:val="center"/>
          </w:tcPr>
          <w:p w:rsidR="00BC3DFA" w:rsidRPr="00B645C8" w:rsidP="00BC3DFA" w14:paraId="7B533472" w14:textId="47AFF86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p>
        </w:tc>
        <w:tc>
          <w:tcPr>
            <w:tcW w:w="1872" w:type="dxa"/>
            <w:gridSpan w:val="2"/>
            <w:tcBorders>
              <w:right w:val="nil"/>
            </w:tcBorders>
            <w:shd w:val="clear" w:color="auto" w:fill="auto"/>
            <w:vAlign w:val="center"/>
          </w:tcPr>
          <w:p w:rsidR="00BC3DFA" w:rsidRPr="00B645C8" w:rsidP="00BC3DFA" w14:paraId="48B8AECF" w14:textId="04D7370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 </w:t>
            </w:r>
            <w:r w:rsidR="00D00E17">
              <w:rPr>
                <w:rFonts w:ascii="Calibri" w:hAnsi="Calibri" w:cs="Calibri"/>
                <w:b/>
                <w:bCs/>
                <w:color w:val="000000"/>
                <w:szCs w:val="22"/>
              </w:rPr>
              <w:t xml:space="preserve">  </w:t>
            </w:r>
            <w:r>
              <w:rPr>
                <w:rFonts w:ascii="Calibri" w:hAnsi="Calibri" w:cs="Calibri"/>
                <w:b/>
                <w:bCs/>
                <w:color w:val="000000"/>
                <w:szCs w:val="22"/>
              </w:rPr>
              <w:t xml:space="preserve">     </w:t>
            </w:r>
            <w:r w:rsidRPr="00B645C8">
              <w:rPr>
                <w:rFonts w:ascii="Calibri" w:hAnsi="Calibri" w:cs="Calibri"/>
                <w:b/>
                <w:bCs/>
                <w:color w:val="000000"/>
                <w:szCs w:val="22"/>
              </w:rPr>
              <w:t>Owners/</w:t>
            </w:r>
            <w:r w:rsidRPr="00B645C8">
              <w:rPr>
                <w:rFonts w:ascii="Calibri" w:hAnsi="Calibri" w:cs="Calibri"/>
                <w:b/>
                <w:bCs/>
                <w:color w:val="000000"/>
                <w:szCs w:val="22"/>
              </w:rPr>
              <w:br/>
            </w:r>
            <w:r>
              <w:rPr>
                <w:rFonts w:ascii="Calibri" w:hAnsi="Calibri" w:cs="Calibri"/>
                <w:b/>
                <w:bCs/>
                <w:color w:val="000000"/>
                <w:szCs w:val="22"/>
              </w:rPr>
              <w:t xml:space="preserve">   </w:t>
            </w:r>
            <w:r w:rsidR="00D00E17">
              <w:rPr>
                <w:rFonts w:ascii="Calibri" w:hAnsi="Calibri" w:cs="Calibri"/>
                <w:b/>
                <w:bCs/>
                <w:color w:val="000000"/>
                <w:szCs w:val="22"/>
              </w:rPr>
              <w:t xml:space="preserve">  </w:t>
            </w:r>
            <w:r>
              <w:rPr>
                <w:rFonts w:ascii="Calibri" w:hAnsi="Calibri" w:cs="Calibri"/>
                <w:b/>
                <w:bCs/>
                <w:color w:val="000000"/>
                <w:szCs w:val="22"/>
              </w:rPr>
              <w:t xml:space="preserve">  </w:t>
            </w:r>
            <w:r w:rsidRPr="00B645C8">
              <w:rPr>
                <w:rFonts w:ascii="Calibri" w:hAnsi="Calibri" w:cs="Calibri"/>
                <w:b/>
                <w:bCs/>
                <w:color w:val="000000"/>
                <w:szCs w:val="22"/>
              </w:rPr>
              <w:t>Operators</w:t>
            </w:r>
          </w:p>
        </w:tc>
        <w:tc>
          <w:tcPr>
            <w:tcW w:w="409" w:type="dxa"/>
            <w:tcBorders>
              <w:left w:val="nil"/>
            </w:tcBorders>
            <w:vAlign w:val="center"/>
          </w:tcPr>
          <w:p w:rsidR="00BC3DFA" w:rsidRPr="00B645C8" w:rsidP="00BC3DFA" w14:paraId="3322303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p>
        </w:tc>
        <w:tc>
          <w:tcPr>
            <w:tcW w:w="1525" w:type="dxa"/>
            <w:gridSpan w:val="2"/>
            <w:tcBorders>
              <w:right w:val="nil"/>
            </w:tcBorders>
            <w:shd w:val="clear" w:color="auto" w:fill="auto"/>
            <w:vAlign w:val="center"/>
          </w:tcPr>
          <w:p w:rsidR="00BC3DFA" w:rsidRPr="00B645C8" w:rsidP="00BC3DFA" w14:paraId="701715EF" w14:textId="7474D86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 xml:space="preserve">            </w:t>
            </w:r>
            <w:r w:rsidRPr="00B645C8">
              <w:rPr>
                <w:rFonts w:ascii="Calibri" w:hAnsi="Calibri" w:cs="Calibri"/>
                <w:b/>
                <w:bCs/>
                <w:color w:val="000000"/>
                <w:szCs w:val="22"/>
              </w:rPr>
              <w:t>Total</w:t>
            </w:r>
          </w:p>
        </w:tc>
        <w:tc>
          <w:tcPr>
            <w:tcW w:w="720" w:type="dxa"/>
            <w:tcBorders>
              <w:left w:val="nil"/>
            </w:tcBorders>
            <w:vAlign w:val="center"/>
          </w:tcPr>
          <w:p w:rsidR="00BC3DFA" w:rsidRPr="00B645C8" w:rsidP="00BC3DFA" w14:paraId="4EE5973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p>
        </w:tc>
      </w:tr>
      <w:tr w14:paraId="7964364F" w14:textId="52547AA3" w:rsidTr="00A62488">
        <w:tblPrEx>
          <w:tblW w:w="9534" w:type="dxa"/>
          <w:tblLook w:val="04A0"/>
        </w:tblPrEx>
        <w:trPr>
          <w:trHeight w:val="576"/>
        </w:trPr>
        <w:tc>
          <w:tcPr>
            <w:tcW w:w="2690" w:type="dxa"/>
            <w:shd w:val="clear" w:color="auto" w:fill="auto"/>
            <w:vAlign w:val="center"/>
            <w:hideMark/>
          </w:tcPr>
          <w:p w:rsidR="00D00E17" w:rsidRPr="00B645C8" w:rsidP="00D00E17" w14:paraId="70FA1241" w14:textId="33ED5BF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Burden Element</w:t>
            </w:r>
          </w:p>
        </w:tc>
        <w:tc>
          <w:tcPr>
            <w:tcW w:w="1170" w:type="dxa"/>
            <w:shd w:val="clear" w:color="auto" w:fill="auto"/>
            <w:vAlign w:val="center"/>
            <w:hideMark/>
          </w:tcPr>
          <w:p w:rsidR="00D00E17" w:rsidRPr="00B645C8" w:rsidP="00D00E17" w14:paraId="449B4EA2" w14:textId="70C0CBC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2024-2026</w:t>
            </w:r>
          </w:p>
        </w:tc>
        <w:tc>
          <w:tcPr>
            <w:tcW w:w="1148" w:type="dxa"/>
            <w:gridSpan w:val="2"/>
            <w:vAlign w:val="center"/>
          </w:tcPr>
          <w:p w:rsidR="00D00E17" w:rsidRPr="00B645C8" w:rsidP="00D00E17" w14:paraId="52A8300C" w14:textId="7B735D7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2027</w:t>
            </w:r>
          </w:p>
        </w:tc>
        <w:tc>
          <w:tcPr>
            <w:tcW w:w="1138" w:type="dxa"/>
            <w:shd w:val="clear" w:color="auto" w:fill="auto"/>
            <w:vAlign w:val="center"/>
            <w:hideMark/>
          </w:tcPr>
          <w:p w:rsidR="00D00E17" w:rsidRPr="00B645C8" w:rsidP="00D00E17" w14:paraId="152482FB" w14:textId="3080871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2024-2026</w:t>
            </w:r>
          </w:p>
        </w:tc>
        <w:tc>
          <w:tcPr>
            <w:tcW w:w="1143" w:type="dxa"/>
            <w:gridSpan w:val="2"/>
            <w:vAlign w:val="center"/>
          </w:tcPr>
          <w:p w:rsidR="00D00E17" w:rsidRPr="00B645C8" w:rsidP="00D00E17" w14:paraId="4047804F" w14:textId="7A86DE0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2027</w:t>
            </w:r>
          </w:p>
        </w:tc>
        <w:tc>
          <w:tcPr>
            <w:tcW w:w="1101" w:type="dxa"/>
            <w:shd w:val="clear" w:color="auto" w:fill="auto"/>
            <w:vAlign w:val="center"/>
            <w:hideMark/>
          </w:tcPr>
          <w:p w:rsidR="00D00E17" w:rsidRPr="00B645C8" w:rsidP="00D00E17" w14:paraId="034140EB" w14:textId="63AF647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2024-2026</w:t>
            </w:r>
          </w:p>
        </w:tc>
        <w:tc>
          <w:tcPr>
            <w:tcW w:w="1144" w:type="dxa"/>
            <w:gridSpan w:val="2"/>
            <w:vAlign w:val="center"/>
          </w:tcPr>
          <w:p w:rsidR="00D00E17" w:rsidRPr="00B645C8" w:rsidP="00D00E17" w14:paraId="0DF197EF" w14:textId="584F9C1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2027</w:t>
            </w:r>
          </w:p>
        </w:tc>
      </w:tr>
      <w:tr w14:paraId="1A748539" w14:textId="788975D4" w:rsidTr="00EA0371">
        <w:tblPrEx>
          <w:tblW w:w="9534" w:type="dxa"/>
          <w:tblLook w:val="04A0"/>
        </w:tblPrEx>
        <w:trPr>
          <w:trHeight w:val="576"/>
        </w:trPr>
        <w:tc>
          <w:tcPr>
            <w:tcW w:w="2690" w:type="dxa"/>
            <w:shd w:val="clear" w:color="auto" w:fill="auto"/>
            <w:vAlign w:val="center"/>
            <w:hideMark/>
          </w:tcPr>
          <w:p w:rsidR="00A563F9" w:rsidRPr="00B645C8" w:rsidP="00A563F9" w14:paraId="148464B9" w14:textId="4788B31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Number of Respondents</w:t>
            </w:r>
          </w:p>
        </w:tc>
        <w:tc>
          <w:tcPr>
            <w:tcW w:w="1170" w:type="dxa"/>
            <w:shd w:val="clear" w:color="auto" w:fill="auto"/>
            <w:vAlign w:val="center"/>
            <w:hideMark/>
          </w:tcPr>
          <w:p w:rsidR="00A563F9" w:rsidRPr="00B645C8" w:rsidP="00A563F9" w14:paraId="3618C687" w14:textId="14B4A78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85</w:t>
            </w:r>
          </w:p>
        </w:tc>
        <w:tc>
          <w:tcPr>
            <w:tcW w:w="1148" w:type="dxa"/>
            <w:gridSpan w:val="2"/>
            <w:vAlign w:val="center"/>
          </w:tcPr>
          <w:p w:rsidR="00A563F9" w:rsidRPr="0035356F" w:rsidP="00A563F9" w14:paraId="22E6EE6A" w14:textId="18B4B9A1">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85</w:t>
            </w:r>
          </w:p>
        </w:tc>
        <w:tc>
          <w:tcPr>
            <w:tcW w:w="1138" w:type="dxa"/>
            <w:shd w:val="clear" w:color="auto" w:fill="auto"/>
            <w:vAlign w:val="center"/>
          </w:tcPr>
          <w:p w:rsidR="00A563F9" w:rsidRPr="00B645C8" w:rsidP="00A563F9" w14:paraId="6F850128" w14:textId="7BEBEEC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40,3</w:t>
            </w:r>
            <w:r w:rsidR="00BC254F">
              <w:rPr>
                <w:rFonts w:ascii="Calibri" w:hAnsi="Calibri" w:cs="Calibri"/>
                <w:color w:val="000000"/>
                <w:szCs w:val="22"/>
              </w:rPr>
              <w:t>15</w:t>
            </w:r>
          </w:p>
        </w:tc>
        <w:tc>
          <w:tcPr>
            <w:tcW w:w="1143" w:type="dxa"/>
            <w:gridSpan w:val="2"/>
            <w:vAlign w:val="center"/>
          </w:tcPr>
          <w:p w:rsidR="00A563F9" w:rsidRPr="0035356F" w:rsidP="00A563F9" w14:paraId="2368B22B" w14:textId="2533D435">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129,</w:t>
            </w:r>
            <w:r w:rsidR="00D64BA7">
              <w:rPr>
                <w:rFonts w:ascii="Calibri" w:hAnsi="Calibri" w:cs="Calibri"/>
                <w:color w:val="000000"/>
                <w:szCs w:val="22"/>
              </w:rPr>
              <w:t>490</w:t>
            </w:r>
          </w:p>
        </w:tc>
        <w:tc>
          <w:tcPr>
            <w:tcW w:w="1101" w:type="dxa"/>
            <w:shd w:val="clear" w:color="auto" w:fill="auto"/>
            <w:vAlign w:val="center"/>
          </w:tcPr>
          <w:p w:rsidR="00A563F9" w:rsidRPr="00B645C8" w:rsidP="00A563F9" w14:paraId="40AF26E9" w14:textId="5060CA9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40,4</w:t>
            </w:r>
            <w:r w:rsidR="00F3205C">
              <w:rPr>
                <w:rFonts w:ascii="Calibri" w:hAnsi="Calibri" w:cs="Calibri"/>
                <w:color w:val="000000"/>
                <w:szCs w:val="22"/>
              </w:rPr>
              <w:t>00</w:t>
            </w:r>
          </w:p>
        </w:tc>
        <w:tc>
          <w:tcPr>
            <w:tcW w:w="1144" w:type="dxa"/>
            <w:gridSpan w:val="2"/>
            <w:vAlign w:val="center"/>
          </w:tcPr>
          <w:p w:rsidR="00A563F9" w:rsidRPr="0035356F" w:rsidP="00A563F9" w14:paraId="4C7A4698" w14:textId="2C49252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129,</w:t>
            </w:r>
            <w:r w:rsidR="00F3205C">
              <w:rPr>
                <w:rFonts w:ascii="Calibri" w:hAnsi="Calibri" w:cs="Calibri"/>
                <w:color w:val="000000"/>
                <w:szCs w:val="22"/>
              </w:rPr>
              <w:t>575</w:t>
            </w:r>
          </w:p>
        </w:tc>
      </w:tr>
      <w:tr w14:paraId="07BE3774" w14:textId="6C11EBB5" w:rsidTr="00EA0371">
        <w:tblPrEx>
          <w:tblW w:w="9534" w:type="dxa"/>
          <w:tblLook w:val="04A0"/>
        </w:tblPrEx>
        <w:trPr>
          <w:trHeight w:val="576"/>
        </w:trPr>
        <w:tc>
          <w:tcPr>
            <w:tcW w:w="2690" w:type="dxa"/>
            <w:shd w:val="clear" w:color="auto" w:fill="auto"/>
            <w:vAlign w:val="center"/>
            <w:hideMark/>
          </w:tcPr>
          <w:p w:rsidR="00380EE3" w:rsidRPr="00B645C8" w:rsidP="00380EE3" w14:paraId="0327A79D" w14:textId="46CEE3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color w:val="000000"/>
                <w:szCs w:val="22"/>
              </w:rPr>
            </w:pPr>
            <w:r>
              <w:rPr>
                <w:rFonts w:ascii="Calibri" w:hAnsi="Calibri" w:cs="Calibri"/>
                <w:color w:val="000000"/>
                <w:szCs w:val="22"/>
              </w:rPr>
              <w:t>Total Hours Per year</w:t>
            </w:r>
          </w:p>
        </w:tc>
        <w:tc>
          <w:tcPr>
            <w:tcW w:w="1170" w:type="dxa"/>
            <w:shd w:val="clear" w:color="auto" w:fill="auto"/>
            <w:vAlign w:val="center"/>
            <w:hideMark/>
          </w:tcPr>
          <w:p w:rsidR="00380EE3" w:rsidRPr="00B645C8" w:rsidP="00380EE3" w14:paraId="2355E597" w14:textId="73AEC30B">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298,710</w:t>
            </w:r>
          </w:p>
        </w:tc>
        <w:tc>
          <w:tcPr>
            <w:tcW w:w="1148" w:type="dxa"/>
            <w:gridSpan w:val="2"/>
            <w:vAlign w:val="center"/>
          </w:tcPr>
          <w:p w:rsidR="00380EE3" w:rsidRPr="0035356F" w:rsidP="00380EE3" w14:paraId="29861808" w14:textId="6EE0713F">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294,732</w:t>
            </w:r>
          </w:p>
        </w:tc>
        <w:tc>
          <w:tcPr>
            <w:tcW w:w="1138" w:type="dxa"/>
            <w:shd w:val="clear" w:color="auto" w:fill="auto"/>
            <w:vAlign w:val="center"/>
          </w:tcPr>
          <w:p w:rsidR="00380EE3" w:rsidRPr="00B645C8" w:rsidP="00380EE3" w14:paraId="31558423" w14:textId="0C25B853">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82</w:t>
            </w:r>
            <w:r w:rsidR="00BC254F">
              <w:rPr>
                <w:rFonts w:ascii="Calibri" w:hAnsi="Calibri" w:cs="Calibri"/>
                <w:color w:val="000000"/>
                <w:szCs w:val="22"/>
              </w:rPr>
              <w:t>5,473</w:t>
            </w:r>
          </w:p>
        </w:tc>
        <w:tc>
          <w:tcPr>
            <w:tcW w:w="1143" w:type="dxa"/>
            <w:gridSpan w:val="2"/>
            <w:vAlign w:val="center"/>
          </w:tcPr>
          <w:p w:rsidR="00380EE3" w:rsidRPr="0035356F" w:rsidP="00380EE3" w14:paraId="0D690832" w14:textId="1E1D0AF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2,</w:t>
            </w:r>
            <w:r w:rsidR="00D64BA7">
              <w:rPr>
                <w:rFonts w:ascii="Calibri" w:hAnsi="Calibri" w:cs="Calibri"/>
                <w:color w:val="000000"/>
                <w:szCs w:val="22"/>
              </w:rPr>
              <w:t>857</w:t>
            </w:r>
            <w:r>
              <w:rPr>
                <w:rFonts w:ascii="Calibri" w:hAnsi="Calibri" w:cs="Calibri"/>
                <w:color w:val="000000"/>
                <w:szCs w:val="22"/>
              </w:rPr>
              <w:t>,</w:t>
            </w:r>
            <w:r w:rsidR="00D64BA7">
              <w:rPr>
                <w:rFonts w:ascii="Calibri" w:hAnsi="Calibri" w:cs="Calibri"/>
                <w:color w:val="000000"/>
                <w:szCs w:val="22"/>
              </w:rPr>
              <w:t>426</w:t>
            </w:r>
          </w:p>
        </w:tc>
        <w:tc>
          <w:tcPr>
            <w:tcW w:w="1101" w:type="dxa"/>
            <w:shd w:val="clear" w:color="auto" w:fill="auto"/>
            <w:vAlign w:val="center"/>
          </w:tcPr>
          <w:p w:rsidR="00380EE3" w:rsidRPr="00B645C8" w:rsidP="00380EE3" w14:paraId="77E0D7A8" w14:textId="5B3B66A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color w:val="000000"/>
                <w:szCs w:val="22"/>
              </w:rPr>
            </w:pPr>
            <w:r>
              <w:rPr>
                <w:rFonts w:ascii="Calibri" w:hAnsi="Calibri" w:cs="Calibri"/>
                <w:color w:val="000000"/>
                <w:szCs w:val="22"/>
              </w:rPr>
              <w:t>1,1</w:t>
            </w:r>
            <w:r w:rsidR="00F3205C">
              <w:rPr>
                <w:rFonts w:ascii="Calibri" w:hAnsi="Calibri" w:cs="Calibri"/>
                <w:color w:val="000000"/>
                <w:szCs w:val="22"/>
              </w:rPr>
              <w:t>24</w:t>
            </w:r>
            <w:r>
              <w:rPr>
                <w:rFonts w:ascii="Calibri" w:hAnsi="Calibri" w:cs="Calibri"/>
                <w:color w:val="000000"/>
                <w:szCs w:val="22"/>
              </w:rPr>
              <w:t>,</w:t>
            </w:r>
            <w:r w:rsidR="00F3205C">
              <w:rPr>
                <w:rFonts w:ascii="Calibri" w:hAnsi="Calibri" w:cs="Calibri"/>
                <w:color w:val="000000"/>
                <w:szCs w:val="22"/>
              </w:rPr>
              <w:t>183</w:t>
            </w:r>
          </w:p>
        </w:tc>
        <w:tc>
          <w:tcPr>
            <w:tcW w:w="1144" w:type="dxa"/>
            <w:gridSpan w:val="2"/>
            <w:vAlign w:val="center"/>
          </w:tcPr>
          <w:p w:rsidR="00380EE3" w:rsidRPr="0035356F" w:rsidP="00380EE3" w14:paraId="068C5F44" w14:textId="10DDC6E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pPr>
            <w:r>
              <w:rPr>
                <w:rFonts w:ascii="Calibri" w:hAnsi="Calibri" w:cs="Calibri"/>
                <w:color w:val="000000"/>
                <w:szCs w:val="22"/>
              </w:rPr>
              <w:t>3,</w:t>
            </w:r>
            <w:r w:rsidR="004D7564">
              <w:rPr>
                <w:rFonts w:ascii="Calibri" w:hAnsi="Calibri" w:cs="Calibri"/>
                <w:color w:val="000000"/>
                <w:szCs w:val="22"/>
              </w:rPr>
              <w:t>152,158</w:t>
            </w:r>
          </w:p>
        </w:tc>
      </w:tr>
      <w:tr w14:paraId="3E135FF6" w14:textId="66F1989D" w:rsidTr="00EA0371">
        <w:tblPrEx>
          <w:tblW w:w="9534" w:type="dxa"/>
          <w:tblLook w:val="04A0"/>
        </w:tblPrEx>
        <w:trPr>
          <w:trHeight w:val="576"/>
        </w:trPr>
        <w:tc>
          <w:tcPr>
            <w:tcW w:w="2690" w:type="dxa"/>
            <w:shd w:val="clear" w:color="auto" w:fill="auto"/>
            <w:vAlign w:val="center"/>
            <w:hideMark/>
          </w:tcPr>
          <w:p w:rsidR="00380EE3" w:rsidRPr="00BC3DFA" w:rsidP="00380EE3" w14:paraId="752217BE" w14:textId="57342AA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rPr>
                <w:rFonts w:ascii="Calibri" w:hAnsi="Calibri" w:cs="Calibri"/>
                <w:b/>
                <w:bCs/>
                <w:color w:val="000000"/>
                <w:szCs w:val="22"/>
              </w:rPr>
            </w:pPr>
            <w:r>
              <w:rPr>
                <w:rFonts w:ascii="Calibri" w:hAnsi="Calibri" w:cs="Calibri"/>
                <w:b/>
                <w:bCs/>
                <w:color w:val="000000"/>
                <w:szCs w:val="22"/>
              </w:rPr>
              <w:t>Cost Per Year</w:t>
            </w:r>
          </w:p>
        </w:tc>
        <w:tc>
          <w:tcPr>
            <w:tcW w:w="1170" w:type="dxa"/>
            <w:shd w:val="clear" w:color="auto" w:fill="auto"/>
            <w:vAlign w:val="center"/>
          </w:tcPr>
          <w:p w:rsidR="00380EE3" w:rsidRPr="00BC3DFA" w:rsidP="00380EE3" w14:paraId="37F5C6F7" w14:textId="305A87C0">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sidRPr="005244CB">
              <w:rPr>
                <w:rFonts w:ascii="Calibri" w:hAnsi="Calibri" w:cs="Calibri"/>
                <w:b/>
                <w:bCs/>
                <w:color w:val="000000"/>
                <w:szCs w:val="22"/>
              </w:rPr>
              <w:t>$28.5M</w:t>
            </w:r>
          </w:p>
        </w:tc>
        <w:tc>
          <w:tcPr>
            <w:tcW w:w="1148" w:type="dxa"/>
            <w:gridSpan w:val="2"/>
            <w:vAlign w:val="center"/>
          </w:tcPr>
          <w:p w:rsidR="00380EE3" w:rsidRPr="00BC3DFA" w:rsidP="00380EE3" w14:paraId="477D6E1D" w14:textId="1C16992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rPr>
            </w:pPr>
            <w:r>
              <w:rPr>
                <w:rFonts w:ascii="Calibri" w:hAnsi="Calibri" w:cs="Calibri"/>
                <w:b/>
                <w:bCs/>
                <w:color w:val="000000"/>
                <w:szCs w:val="22"/>
              </w:rPr>
              <w:t>$27.7M</w:t>
            </w:r>
          </w:p>
        </w:tc>
        <w:tc>
          <w:tcPr>
            <w:tcW w:w="1138" w:type="dxa"/>
            <w:shd w:val="clear" w:color="auto" w:fill="auto"/>
            <w:vAlign w:val="center"/>
          </w:tcPr>
          <w:p w:rsidR="00380EE3" w:rsidRPr="00BC3DFA" w:rsidP="00380EE3" w14:paraId="6ADEBDC8" w14:textId="29FD72A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$8</w:t>
            </w:r>
            <w:r w:rsidR="00BC254F">
              <w:rPr>
                <w:rFonts w:ascii="Calibri" w:hAnsi="Calibri" w:cs="Calibri"/>
                <w:b/>
                <w:bCs/>
                <w:color w:val="000000"/>
                <w:szCs w:val="22"/>
              </w:rPr>
              <w:t>8</w:t>
            </w:r>
            <w:r>
              <w:rPr>
                <w:rFonts w:ascii="Calibri" w:hAnsi="Calibri" w:cs="Calibri"/>
                <w:b/>
                <w:bCs/>
                <w:color w:val="000000"/>
                <w:szCs w:val="22"/>
              </w:rPr>
              <w:t>.</w:t>
            </w:r>
            <w:r w:rsidR="00BC254F">
              <w:rPr>
                <w:rFonts w:ascii="Calibri" w:hAnsi="Calibri" w:cs="Calibri"/>
                <w:b/>
                <w:bCs/>
                <w:color w:val="000000"/>
                <w:szCs w:val="22"/>
              </w:rPr>
              <w:t>9</w:t>
            </w:r>
            <w:r>
              <w:rPr>
                <w:rFonts w:ascii="Calibri" w:hAnsi="Calibri" w:cs="Calibri"/>
                <w:b/>
                <w:bCs/>
                <w:color w:val="000000"/>
                <w:szCs w:val="22"/>
              </w:rPr>
              <w:t>M</w:t>
            </w:r>
          </w:p>
        </w:tc>
        <w:tc>
          <w:tcPr>
            <w:tcW w:w="1143" w:type="dxa"/>
            <w:gridSpan w:val="2"/>
            <w:vAlign w:val="center"/>
          </w:tcPr>
          <w:p w:rsidR="00380EE3" w:rsidRPr="00BC3DFA" w:rsidP="00380EE3" w14:paraId="0E555CD3" w14:textId="7B2497E8">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rPr>
            </w:pPr>
            <w:r>
              <w:rPr>
                <w:rFonts w:ascii="Calibri" w:hAnsi="Calibri" w:cs="Calibri"/>
                <w:b/>
                <w:bCs/>
                <w:color w:val="000000"/>
                <w:szCs w:val="22"/>
              </w:rPr>
              <w:t>$4</w:t>
            </w:r>
            <w:r w:rsidR="00D64BA7">
              <w:rPr>
                <w:rFonts w:ascii="Calibri" w:hAnsi="Calibri" w:cs="Calibri"/>
                <w:b/>
                <w:bCs/>
                <w:color w:val="000000"/>
                <w:szCs w:val="22"/>
              </w:rPr>
              <w:t>50</w:t>
            </w:r>
            <w:r>
              <w:rPr>
                <w:rFonts w:ascii="Calibri" w:hAnsi="Calibri" w:cs="Calibri"/>
                <w:b/>
                <w:bCs/>
                <w:color w:val="000000"/>
                <w:szCs w:val="22"/>
              </w:rPr>
              <w:t>.</w:t>
            </w:r>
            <w:r w:rsidR="00D64BA7">
              <w:rPr>
                <w:rFonts w:ascii="Calibri" w:hAnsi="Calibri" w:cs="Calibri"/>
                <w:b/>
                <w:bCs/>
                <w:color w:val="000000"/>
                <w:szCs w:val="22"/>
              </w:rPr>
              <w:t>1</w:t>
            </w:r>
            <w:r>
              <w:rPr>
                <w:rFonts w:ascii="Calibri" w:hAnsi="Calibri" w:cs="Calibri"/>
                <w:b/>
                <w:bCs/>
                <w:color w:val="000000"/>
                <w:szCs w:val="22"/>
              </w:rPr>
              <w:t>M</w:t>
            </w:r>
          </w:p>
        </w:tc>
        <w:tc>
          <w:tcPr>
            <w:tcW w:w="1101" w:type="dxa"/>
            <w:shd w:val="clear" w:color="auto" w:fill="auto"/>
            <w:vAlign w:val="center"/>
          </w:tcPr>
          <w:p w:rsidR="00380EE3" w:rsidRPr="00BC3DFA" w:rsidP="00380EE3" w14:paraId="345F10C7" w14:textId="45E4894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rFonts w:ascii="Calibri" w:hAnsi="Calibri" w:cs="Calibri"/>
                <w:b/>
                <w:bCs/>
                <w:color w:val="000000"/>
                <w:szCs w:val="22"/>
              </w:rPr>
            </w:pPr>
            <w:r>
              <w:rPr>
                <w:rFonts w:ascii="Calibri" w:hAnsi="Calibri" w:cs="Calibri"/>
                <w:b/>
                <w:bCs/>
                <w:color w:val="000000"/>
                <w:szCs w:val="22"/>
              </w:rPr>
              <w:t>$117.</w:t>
            </w:r>
            <w:r w:rsidR="00F3205C">
              <w:rPr>
                <w:rFonts w:ascii="Calibri" w:hAnsi="Calibri" w:cs="Calibri"/>
                <w:b/>
                <w:bCs/>
                <w:color w:val="000000"/>
                <w:szCs w:val="22"/>
              </w:rPr>
              <w:t>4</w:t>
            </w:r>
            <w:r>
              <w:rPr>
                <w:rFonts w:ascii="Calibri" w:hAnsi="Calibri" w:cs="Calibri"/>
                <w:b/>
                <w:bCs/>
                <w:color w:val="000000"/>
                <w:szCs w:val="22"/>
              </w:rPr>
              <w:t>M</w:t>
            </w:r>
          </w:p>
        </w:tc>
        <w:tc>
          <w:tcPr>
            <w:tcW w:w="1144" w:type="dxa"/>
            <w:gridSpan w:val="2"/>
            <w:vAlign w:val="center"/>
          </w:tcPr>
          <w:p w:rsidR="00380EE3" w:rsidRPr="00BC3DFA" w:rsidP="00380EE3" w14:paraId="5D78AAB5" w14:textId="6B745012">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line="240" w:lineRule="auto"/>
              <w:jc w:val="center"/>
              <w:rPr>
                <w:b/>
                <w:bCs/>
              </w:rPr>
            </w:pPr>
            <w:r>
              <w:rPr>
                <w:rFonts w:ascii="Calibri" w:hAnsi="Calibri" w:cs="Calibri"/>
                <w:b/>
                <w:bCs/>
                <w:color w:val="000000"/>
                <w:szCs w:val="22"/>
              </w:rPr>
              <w:t>$4</w:t>
            </w:r>
            <w:r w:rsidR="00D64BA7">
              <w:rPr>
                <w:rFonts w:ascii="Calibri" w:hAnsi="Calibri" w:cs="Calibri"/>
                <w:b/>
                <w:bCs/>
                <w:color w:val="000000"/>
                <w:szCs w:val="22"/>
              </w:rPr>
              <w:t>77</w:t>
            </w:r>
            <w:r>
              <w:rPr>
                <w:rFonts w:ascii="Calibri" w:hAnsi="Calibri" w:cs="Calibri"/>
                <w:b/>
                <w:bCs/>
                <w:color w:val="000000"/>
                <w:szCs w:val="22"/>
              </w:rPr>
              <w:t>.9M</w:t>
            </w:r>
          </w:p>
        </w:tc>
      </w:tr>
    </w:tbl>
    <w:p w:rsidR="00BC3DFA" w:rsidP="00793526" w14:paraId="58B81C85" w14:textId="7AD710B5">
      <w:r>
        <w:t>*</w:t>
      </w:r>
      <w:r w:rsidR="00754FA4">
        <w:t xml:space="preserve"> </w:t>
      </w:r>
      <w:r>
        <w:t>2021 dollars.</w:t>
      </w:r>
    </w:p>
    <w:p w:rsidR="005618EB" w:rsidP="00793526" w14:paraId="04C2C46D" w14:textId="77777777">
      <w:pPr>
        <w:sectPr w:rsidSect="00370665">
          <w:pgSz w:w="12240" w:h="15840"/>
          <w:pgMar w:top="1080" w:right="1440" w:bottom="1152" w:left="1440" w:header="1440" w:footer="864" w:gutter="0"/>
          <w:cols w:space="720"/>
          <w:noEndnote/>
          <w:docGrid w:linePitch="326"/>
        </w:sectPr>
      </w:pPr>
    </w:p>
    <w:p w:rsidR="00BC3DFA" w:rsidP="00877276" w14:paraId="36D37723" w14:textId="386BFE80">
      <w:pPr>
        <w:pStyle w:val="AppendixHeading1"/>
      </w:pPr>
      <w:r>
        <w:t xml:space="preserve">Collection </w:t>
      </w:r>
      <w:r w:rsidR="009834D2">
        <w:t>i</w:t>
      </w:r>
      <w:r>
        <w:t>nstruments</w:t>
      </w:r>
    </w:p>
    <w:p w:rsidR="005618EB" w:rsidP="005618EB" w14:paraId="5FC4EDC1" w14:textId="20E1E0E7"/>
    <w:p w:rsidR="005618EB" w:rsidP="005618EB" w14:paraId="147DC4F4" w14:textId="317AE70B">
      <w:r>
        <w:t>The collection instruments for the proposed AERR revisions reflect the 2-party approach for collection. To collect data from SLTs, the current AERR relies on the EIS, submissions through the EPA Exchange Network, and the EIS Bridge Tool. The proposed AERR revisions would continue to rely on those from states. In addition, the proposed AERR revisions would rely on CAERS for collection from owners/operators that would in some cases report directly to EPA. CAERS is also a tool for states to use but would transmit data from CAERS to EIS with a simple mouse click.</w:t>
      </w:r>
      <w:r w:rsidR="00156F13">
        <w:t xml:space="preserve"> All of the </w:t>
      </w:r>
      <w:r w:rsidR="004A42D6">
        <w:t>illustrations of the collection instruments mentioned below are available as attachment</w:t>
      </w:r>
      <w:r w:rsidR="009B1FFA">
        <w:t>s</w:t>
      </w:r>
      <w:r w:rsidR="004A42D6">
        <w:t xml:space="preserve"> to the docket entry for this ICR Supporting Statement.</w:t>
      </w:r>
    </w:p>
    <w:p w:rsidR="005618EB" w:rsidP="005618EB" w14:paraId="2AAE4D9F" w14:textId="7BE4A1CD"/>
    <w:p w:rsidR="005618EB" w:rsidP="005618EB" w14:paraId="0D203BE6" w14:textId="20991ED0">
      <w:r>
        <w:t>SLTs often start their submission process to EIS using the EIS Bridge Tool, which is a Microsoft® Access ® tool developed by EPA. The attachment to this ICR Supporting Statement “Bridge Tool with screen shots.pdf” provides the user guide and the screen shots of the user interfaces.</w:t>
      </w:r>
    </w:p>
    <w:p w:rsidR="005618EB" w:rsidP="005618EB" w14:paraId="2B712484" w14:textId="2E92A77B"/>
    <w:p w:rsidR="005618EB" w:rsidP="005618EB" w14:paraId="4B2FF71E" w14:textId="5702E74E">
      <w:r>
        <w:t>When reporting to EPA, SLTs also use the Exchange Network Services Center. The website for this services center allows SLTs to upload data in predefined XML formats that would flow into EIS. The directions and user interface for submitting data in this way are available in the attachment “Exchange network services center.pdf</w:t>
      </w:r>
      <w:r w:rsidR="00711EA5">
        <w:t>.</w:t>
      </w:r>
      <w:r>
        <w:t>”</w:t>
      </w:r>
    </w:p>
    <w:p w:rsidR="005618EB" w:rsidP="005618EB" w14:paraId="4686F169" w14:textId="41E81DF7"/>
    <w:p w:rsidR="005618EB" w:rsidP="005618EB" w14:paraId="00D257E3" w14:textId="226E2079">
      <w:r>
        <w:t>Also available to SLTs is a web client approach for submitting data to EIS, which also works via the EPA Exchange Network. The directions and user interfaces for this approach are available in the attachment “EIS Webclient.pdf</w:t>
      </w:r>
      <w:r w:rsidR="00711EA5">
        <w:t>.</w:t>
      </w:r>
      <w:r>
        <w:t>”</w:t>
      </w:r>
    </w:p>
    <w:p w:rsidR="005618EB" w:rsidP="005618EB" w14:paraId="5AC5C7EC" w14:textId="70938EB6"/>
    <w:p w:rsidR="00932E35" w:rsidP="005618EB" w14:paraId="7CF331C1" w14:textId="220F4619">
      <w:pPr>
        <w:sectPr w:rsidSect="00370665">
          <w:pgSz w:w="12240" w:h="15840"/>
          <w:pgMar w:top="1080" w:right="1440" w:bottom="1152" w:left="1440" w:header="1440" w:footer="864" w:gutter="0"/>
          <w:cols w:space="720"/>
          <w:noEndnote/>
          <w:docGrid w:linePitch="326"/>
        </w:sectPr>
      </w:pPr>
      <w:r>
        <w:t>Finally, the currently available CAERS application can be used by facilities reporting to SLTs and for SLTs to report to EPA. As described in the preamble to the AERR proposed rule, the EPA would expand CAERS to allow for facilities to report directly to EPA. The user interfaces for doing so would largely reflect the user interfaces available in the latest version of CAERS, with amendments based on the final AERR. The available documentation on CAERS including images of the user interfaces is available in the attachment “CAER System User Guide v4 01062023 Final.pdf</w:t>
      </w:r>
      <w:r w:rsidR="00711EA5">
        <w:t>.</w:t>
      </w:r>
      <w:r>
        <w:t>”</w:t>
      </w:r>
    </w:p>
    <w:p w:rsidR="005618EB" w:rsidP="00877276" w14:paraId="67D6BE1F" w14:textId="678E7F8E">
      <w:pPr>
        <w:pStyle w:val="AppendixHeading1"/>
      </w:pPr>
      <w:bookmarkStart w:id="53" w:name="_Ref137218596"/>
      <w:r>
        <w:t>C</w:t>
      </w:r>
      <w:r w:rsidRPr="00D371F7">
        <w:t xml:space="preserve">osts of </w:t>
      </w:r>
      <w:r w:rsidR="009834D2">
        <w:t>e</w:t>
      </w:r>
      <w:r w:rsidRPr="00D371F7">
        <w:t xml:space="preserve">missions </w:t>
      </w:r>
      <w:r w:rsidR="009834D2">
        <w:t>d</w:t>
      </w:r>
      <w:r w:rsidRPr="00D371F7">
        <w:t xml:space="preserve">ata </w:t>
      </w:r>
      <w:r w:rsidR="009834D2">
        <w:t>a</w:t>
      </w:r>
      <w:r w:rsidRPr="00D371F7">
        <w:t xml:space="preserve">ctivities for </w:t>
      </w:r>
      <w:r>
        <w:t>S</w:t>
      </w:r>
      <w:r w:rsidRPr="00D371F7">
        <w:t xml:space="preserve">tate </w:t>
      </w:r>
      <w:r>
        <w:t>I</w:t>
      </w:r>
      <w:r w:rsidRPr="00D371F7">
        <w:t xml:space="preserve">mplementation </w:t>
      </w:r>
      <w:r>
        <w:t>P</w:t>
      </w:r>
      <w:r w:rsidRPr="00D371F7">
        <w:t>lans</w:t>
      </w:r>
      <w:bookmarkEnd w:id="53"/>
    </w:p>
    <w:p w:rsidR="00932E35" w:rsidP="005618EB" w14:paraId="55FFCECC" w14:textId="0135E38B"/>
    <w:p w:rsidR="00D371F7" w:rsidP="00D371F7" w14:paraId="2282C8E3" w14:textId="1D101B5F">
      <w:r>
        <w:t xml:space="preserve">In addition to the burden associated with the proposed AERR revisions, this </w:t>
      </w:r>
      <w:r w:rsidR="00DF6390">
        <w:t>appendix</w:t>
      </w:r>
      <w:r>
        <w:t xml:space="preserve"> quantifies the burden of activities that states/locals must do to create emissions inventor</w:t>
      </w:r>
      <w:r w:rsidR="00A552EE">
        <w:t>y data</w:t>
      </w:r>
      <w:r>
        <w:t xml:space="preserve"> needed to comply with certain Clean Air Act requirements for SIPs. While the activities by SLTs to submit such information to EPA are covered by the ICRs associated with the various SIP requirements rules, the activities to develop the emissions data for SIPs have not been covered in the ICRs associated with those rules. This analysis quantifies emissions data preparation costs for those expected SIP emissions inventory preparation efforts over the three-year period covered by this ICR.</w:t>
      </w:r>
    </w:p>
    <w:p w:rsidR="00AE7058" w:rsidP="00D371F7" w14:paraId="26E40B39" w14:textId="36D72044"/>
    <w:p w:rsidR="00602B41" w:rsidRPr="002059D3" w:rsidP="003B5D30" w14:paraId="25B16D66" w14:textId="576DCC3B">
      <w:pPr>
        <w:pStyle w:val="AppendixCheading2"/>
        <w:numPr>
          <w:ilvl w:val="1"/>
          <w:numId w:val="41"/>
        </w:numPr>
        <w:rPr>
          <w:rStyle w:val="Strong"/>
          <w:b/>
          <w:bCs w:val="0"/>
        </w:rPr>
      </w:pPr>
      <w:r w:rsidRPr="002059D3">
        <w:rPr>
          <w:rStyle w:val="Strong"/>
          <w:b/>
          <w:bCs w:val="0"/>
        </w:rPr>
        <w:t>How, by whom, and for what purpose the information is to be used</w:t>
      </w:r>
    </w:p>
    <w:p w:rsidR="00602B41" w:rsidRPr="002C058E" w:rsidP="00602B41" w14:paraId="6919C5C6" w14:textId="74A3622F">
      <w:pPr>
        <w:rPr>
          <w:rStyle w:val="Strong"/>
          <w:b w:val="0"/>
          <w:bCs w:val="0"/>
        </w:rPr>
      </w:pPr>
      <w:r>
        <w:rPr>
          <w:rStyle w:val="Strong"/>
          <w:b w:val="0"/>
          <w:bCs w:val="0"/>
        </w:rPr>
        <w:t>The emissions data included in SIP submissions are required as part of various CAA provisions</w:t>
      </w:r>
      <w:r w:rsidR="009834D2">
        <w:rPr>
          <w:rStyle w:val="Strong"/>
          <w:b w:val="0"/>
          <w:bCs w:val="0"/>
        </w:rPr>
        <w:t xml:space="preserve"> as described in Section </w:t>
      </w:r>
      <w:r w:rsidR="009834D2">
        <w:rPr>
          <w:rStyle w:val="Strong"/>
          <w:b w:val="0"/>
          <w:bCs w:val="0"/>
        </w:rPr>
        <w:fldChar w:fldCharType="begin"/>
      </w:r>
      <w:r w:rsidR="009834D2">
        <w:rPr>
          <w:rStyle w:val="Strong"/>
          <w:b w:val="0"/>
          <w:bCs w:val="0"/>
        </w:rPr>
        <w:instrText xml:space="preserve"> REF _Ref114765758 \r \h </w:instrText>
      </w:r>
      <w:r w:rsidR="009834D2">
        <w:rPr>
          <w:rStyle w:val="Strong"/>
          <w:b w:val="0"/>
          <w:bCs w:val="0"/>
        </w:rPr>
        <w:fldChar w:fldCharType="separate"/>
      </w:r>
      <w:r w:rsidR="00646F0F">
        <w:rPr>
          <w:rStyle w:val="Strong"/>
          <w:b w:val="0"/>
          <w:bCs w:val="0"/>
        </w:rPr>
        <w:t>1</w:t>
      </w:r>
      <w:r w:rsidR="009834D2">
        <w:rPr>
          <w:rStyle w:val="Strong"/>
          <w:b w:val="0"/>
          <w:bCs w:val="0"/>
        </w:rPr>
        <w:fldChar w:fldCharType="end"/>
      </w:r>
      <w:r w:rsidR="009834D2">
        <w:rPr>
          <w:rStyle w:val="Strong"/>
          <w:b w:val="0"/>
          <w:bCs w:val="0"/>
        </w:rPr>
        <w:t xml:space="preserve"> of the ICR</w:t>
      </w:r>
      <w:r>
        <w:rPr>
          <w:rStyle w:val="Strong"/>
          <w:b w:val="0"/>
          <w:bCs w:val="0"/>
        </w:rPr>
        <w:t>. These data are necessary for states and EPA to characterize the sources of emissions that may be controlled to reduce pollutants and support a state in its efforts to attain a NAAQS for any nonattainment areas and to meet regional haze requirements.</w:t>
      </w:r>
    </w:p>
    <w:p w:rsidR="00602B41" w:rsidRPr="00602B41" w:rsidP="00602B41" w14:paraId="6DCFE3EC" w14:textId="77777777"/>
    <w:p w:rsidR="009834D2" w:rsidP="00C647BD" w14:paraId="44BA9222" w14:textId="5F78FDF8">
      <w:pPr>
        <w:pStyle w:val="AppendixCheading2"/>
        <w:rPr>
          <w:rStyle w:val="Strong"/>
          <w:b/>
          <w:bCs w:val="0"/>
        </w:rPr>
      </w:pPr>
      <w:r>
        <w:rPr>
          <w:rStyle w:val="Strong"/>
          <w:b/>
          <w:bCs w:val="0"/>
        </w:rPr>
        <w:t>C</w:t>
      </w:r>
      <w:r w:rsidRPr="00793526">
        <w:rPr>
          <w:rStyle w:val="Strong"/>
          <w:b/>
          <w:bCs w:val="0"/>
        </w:rPr>
        <w:t>onsequence to Federal program or policy activities if the collection is not conducted or is conducted less frequently, as well as any technical or legal obstacles to reducing burden.</w:t>
      </w:r>
    </w:p>
    <w:p w:rsidR="009834D2" w:rsidRPr="00890489" w:rsidP="009834D2" w14:paraId="779880F1" w14:textId="006200FA">
      <w:pPr>
        <w:rPr>
          <w:b/>
          <w:bCs/>
        </w:rPr>
      </w:pPr>
      <w:r>
        <w:t>The CAA</w:t>
      </w:r>
      <w:r w:rsidRPr="004E6C7D">
        <w:t xml:space="preserve"> requires</w:t>
      </w:r>
      <w:r>
        <w:t xml:space="preserve"> states to submit SIPs, requires including emissions inventories in some SIPs, and requires air quality modeling for which emissions inventories are essential. These requirements are spread throughout CAA Part D. Without the collections included in this proposed action, states would be unable to comply with those requirements, or in the very least it would make compliance extremely difficult as each state would need to develop their own method for compliance. The burden included in this ICR associated with emissions data collected for SIPs primarily reflects existing burden imposed by the requirements of the CAA, and in-fact is very likely less of a burden on states when compared to a reality without the AERR.</w:t>
      </w:r>
      <w:r>
        <w:br/>
      </w:r>
    </w:p>
    <w:p w:rsidR="009834D2" w:rsidP="00C647BD" w14:paraId="5CA95D35" w14:textId="79F583EE">
      <w:pPr>
        <w:pStyle w:val="AppendixCheading2"/>
        <w:rPr>
          <w:rStyle w:val="Strong"/>
          <w:b/>
          <w:bCs w:val="0"/>
        </w:rPr>
      </w:pPr>
      <w:r>
        <w:rPr>
          <w:rStyle w:val="Strong"/>
          <w:b/>
          <w:bCs w:val="0"/>
        </w:rPr>
        <w:t>E</w:t>
      </w:r>
      <w:r w:rsidRPr="00793526">
        <w:rPr>
          <w:rStyle w:val="Strong"/>
          <w:b/>
          <w:bCs w:val="0"/>
        </w:rPr>
        <w:t>stimates of the hour</w:t>
      </w:r>
      <w:r>
        <w:rPr>
          <w:rStyle w:val="Strong"/>
          <w:b/>
          <w:bCs w:val="0"/>
        </w:rPr>
        <w:t>s and annual cost</w:t>
      </w:r>
      <w:r w:rsidRPr="00793526">
        <w:rPr>
          <w:rStyle w:val="Strong"/>
          <w:b/>
          <w:bCs w:val="0"/>
        </w:rPr>
        <w:t xml:space="preserve"> burden of the collection of information</w:t>
      </w:r>
    </w:p>
    <w:p w:rsidR="00877276" w:rsidP="00877276" w14:paraId="50F1DC02" w14:textId="263EA84D">
      <w:r>
        <w:t xml:space="preserve">The analysis provided in this section is divided into four subsections. The Section </w:t>
      </w:r>
      <w:r>
        <w:fldChar w:fldCharType="begin"/>
      </w:r>
      <w:r>
        <w:instrText xml:space="preserve"> REF _Ref137128875 \r \h </w:instrText>
      </w:r>
      <w:r>
        <w:fldChar w:fldCharType="separate"/>
      </w:r>
      <w:r w:rsidR="00646F0F">
        <w:t>C.3.1</w:t>
      </w:r>
      <w:r>
        <w:fldChar w:fldCharType="end"/>
      </w:r>
      <w:r>
        <w:t xml:space="preserve"> provides the approach for estimating the number of SLT respondents, while the second Section </w:t>
      </w:r>
      <w:r>
        <w:fldChar w:fldCharType="begin"/>
      </w:r>
      <w:r>
        <w:instrText xml:space="preserve"> REF _Ref137128907 \r \h </w:instrText>
      </w:r>
      <w:r>
        <w:fldChar w:fldCharType="separate"/>
      </w:r>
      <w:r w:rsidR="00646F0F">
        <w:t>C.3.2</w:t>
      </w:r>
      <w:r>
        <w:fldChar w:fldCharType="end"/>
      </w:r>
      <w:r>
        <w:t xml:space="preserve"> provides cost estimates for these. Section </w:t>
      </w:r>
      <w:r>
        <w:fldChar w:fldCharType="begin"/>
      </w:r>
      <w:r>
        <w:instrText xml:space="preserve"> REF _Ref137128915 \r \h </w:instrText>
      </w:r>
      <w:r>
        <w:fldChar w:fldCharType="separate"/>
      </w:r>
      <w:r w:rsidR="00646F0F">
        <w:t>C.3.3</w:t>
      </w:r>
      <w:r>
        <w:fldChar w:fldCharType="end"/>
      </w:r>
      <w:r>
        <w:t xml:space="preserve"> provides estimated costs of additional reporting by owners/operators to states to provide additional emissions inventory data needed for SIPs that is in addition to the annual data collected by states for reporting under the AERR. Finally, Section </w:t>
      </w:r>
      <w:r>
        <w:fldChar w:fldCharType="begin"/>
      </w:r>
      <w:r>
        <w:instrText xml:space="preserve"> REF _Ref137128921 \r \h </w:instrText>
      </w:r>
      <w:r>
        <w:fldChar w:fldCharType="separate"/>
      </w:r>
      <w:r w:rsidR="00646F0F">
        <w:t>C.3.4</w:t>
      </w:r>
      <w:r>
        <w:fldChar w:fldCharType="end"/>
      </w:r>
      <w:r>
        <w:t xml:space="preserve"> includes the total burden associated with these SIP-related emissions inventory activities for both SLTs and owners/operators.</w:t>
      </w:r>
    </w:p>
    <w:p w:rsidR="002059D3" w:rsidRPr="002059D3" w:rsidP="002059D3" w14:paraId="5AD34BED" w14:textId="69922C44"/>
    <w:p w:rsidR="00AE7058" w:rsidRPr="00C647BD" w:rsidP="002059D3" w14:paraId="43B1639D" w14:textId="6F95B0B7">
      <w:pPr>
        <w:pStyle w:val="AppendixHeading3"/>
      </w:pPr>
      <w:bookmarkStart w:id="54" w:name="_Ref137128875"/>
      <w:r w:rsidRPr="002059D3">
        <w:t>Number</w:t>
      </w:r>
      <w:r w:rsidRPr="00C647BD">
        <w:t xml:space="preserve"> of SLT respondents</w:t>
      </w:r>
      <w:bookmarkEnd w:id="54"/>
    </w:p>
    <w:p w:rsidR="00AE7058" w:rsidP="00AE7058" w14:paraId="074768A9" w14:textId="6FD77CBA">
      <w:r>
        <w:t xml:space="preserve">The number of respondents overall includes all 50 states, but depending on the activity, some states may have more than one SIP action. The EPA estimates that during the 2024-2026 period, states will </w:t>
      </w:r>
      <w:r>
        <w:t>prepare 58 periodic ozone season emissions inventories, 28 projected attainment year inventories, 74 base year inventories for the nonattainment area (total for both ozone or PM</w:t>
      </w:r>
      <w:r w:rsidRPr="00A552EE">
        <w:rPr>
          <w:vertAlign w:val="subscript"/>
        </w:rPr>
        <w:t>2.5</w:t>
      </w:r>
      <w:r>
        <w:t xml:space="preserve"> SIPs), 42 emissions inventories to support modeled attainment demonstrations, and 50 emissions inventories for regional haze modeling for the third planning period.</w:t>
      </w:r>
    </w:p>
    <w:p w:rsidR="00C3782D" w:rsidP="00AE7058" w14:paraId="38D8D97E" w14:textId="77777777"/>
    <w:p w:rsidR="00AE7058" w:rsidP="00AE7058" w14:paraId="5986E114" w14:textId="3320CB92">
      <w:r>
        <w:fldChar w:fldCharType="begin"/>
      </w:r>
      <w:r>
        <w:instrText xml:space="preserve"> REF _Ref137125570 \h </w:instrText>
      </w:r>
      <w:r>
        <w:fldChar w:fldCharType="separate"/>
      </w:r>
      <w:r w:rsidR="00646F0F">
        <w:t>Table C-</w:t>
      </w:r>
      <w:r w:rsidR="00646F0F">
        <w:rPr>
          <w:noProof/>
        </w:rPr>
        <w:t>1</w:t>
      </w:r>
      <w:r>
        <w:fldChar w:fldCharType="end"/>
      </w:r>
      <w:r>
        <w:t xml:space="preserve"> </w:t>
      </w:r>
      <w:r>
        <w:t>provides EPA’s estimates of the SIP actions expected occur during the 2024-2026 period. The left most column of the table shows the program name followed in the subsequent columns by the various emissions-related activities (and any relevant assumptions) and the number of areas affected. The column labeled “Count by” indicates the basis for estimating the “Number affected” on that row. These “Count by” labels are for the nonattainment area (“Area”), the combinations of nonattainment area and SLTs (“Area-SLT”), or the SLT. The type of “Count by” used affect</w:t>
      </w:r>
      <w:r w:rsidR="00A552EE">
        <w:t>s</w:t>
      </w:r>
      <w:r>
        <w:t xml:space="preserve"> how EPA computed the hours for the burden estimates. The “Emissions activities 2024-2026” column indicates whether during the 2024-2026 period covered by this analysis, EPA expects emissions activities to be performed by SLTs.</w:t>
      </w:r>
    </w:p>
    <w:p w:rsidR="00C3782D" w:rsidP="00AE7058" w14:paraId="494280FA" w14:textId="77777777"/>
    <w:p w:rsidR="004D2F8A" w:rsidRPr="004D2F8A" w:rsidP="004D2F8A" w14:paraId="36162381" w14:textId="319B1D0F">
      <w:pPr>
        <w:pStyle w:val="Caption"/>
      </w:pPr>
      <w:bookmarkStart w:id="55" w:name="_Ref137125570"/>
      <w:r>
        <w:t>Table C-</w:t>
      </w:r>
      <w:r w:rsidR="00E05ECE">
        <w:fldChar w:fldCharType="begin"/>
      </w:r>
      <w:r w:rsidR="00E05ECE">
        <w:instrText xml:space="preserve"> SEQ Table_C- \* ARABIC </w:instrText>
      </w:r>
      <w:r w:rsidR="00E05ECE">
        <w:fldChar w:fldCharType="separate"/>
      </w:r>
      <w:r w:rsidR="00646F0F">
        <w:rPr>
          <w:noProof/>
        </w:rPr>
        <w:t>1</w:t>
      </w:r>
      <w:r w:rsidR="00E05ECE">
        <w:rPr>
          <w:noProof/>
        </w:rPr>
        <w:fldChar w:fldCharType="end"/>
      </w:r>
      <w:bookmarkEnd w:id="55"/>
      <w:r w:rsidRPr="004D2F8A">
        <w:t>: Evaluation of Potential SIP Activities</w:t>
      </w:r>
    </w:p>
    <w:tbl>
      <w:tblPr>
        <w:tblW w:w="9620" w:type="dxa"/>
        <w:tblLook w:val="04A0"/>
      </w:tblPr>
      <w:tblGrid>
        <w:gridCol w:w="1891"/>
        <w:gridCol w:w="3951"/>
        <w:gridCol w:w="1399"/>
        <w:gridCol w:w="856"/>
        <w:gridCol w:w="1523"/>
      </w:tblGrid>
      <w:tr w14:paraId="43ADDE55" w14:textId="77777777" w:rsidTr="00A552EE">
        <w:tblPrEx>
          <w:tblW w:w="9620" w:type="dxa"/>
          <w:tblLook w:val="04A0"/>
        </w:tblPrEx>
        <w:trPr>
          <w:trHeight w:val="576"/>
          <w:tblHeader/>
        </w:trPr>
        <w:tc>
          <w:tcPr>
            <w:tcW w:w="189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D2F8A" w:rsidRPr="004D2F8A" w:rsidP="00A552EE" w14:paraId="0A5CDB71" w14:textId="77777777">
            <w:pPr>
              <w:keepNext/>
              <w:rPr>
                <w:b/>
              </w:rPr>
            </w:pPr>
            <w:r w:rsidRPr="004D2F8A">
              <w:rPr>
                <w:b/>
              </w:rPr>
              <w:t>Program</w:t>
            </w:r>
          </w:p>
        </w:tc>
        <w:tc>
          <w:tcPr>
            <w:tcW w:w="3951" w:type="dxa"/>
            <w:tcBorders>
              <w:top w:val="single" w:sz="8" w:space="0" w:color="auto"/>
              <w:left w:val="nil"/>
              <w:bottom w:val="single" w:sz="8" w:space="0" w:color="auto"/>
              <w:right w:val="single" w:sz="8" w:space="0" w:color="auto"/>
            </w:tcBorders>
            <w:shd w:val="clear" w:color="auto" w:fill="auto"/>
            <w:noWrap/>
            <w:vAlign w:val="bottom"/>
            <w:hideMark/>
          </w:tcPr>
          <w:p w:rsidR="004D2F8A" w:rsidRPr="004D2F8A" w:rsidP="00A552EE" w14:paraId="275B2DC8" w14:textId="77777777">
            <w:pPr>
              <w:keepNext/>
              <w:rPr>
                <w:b/>
              </w:rPr>
            </w:pPr>
            <w:r w:rsidRPr="004D2F8A">
              <w:rPr>
                <w:b/>
              </w:rPr>
              <w:t>Activity</w:t>
            </w:r>
          </w:p>
        </w:tc>
        <w:tc>
          <w:tcPr>
            <w:tcW w:w="1399" w:type="dxa"/>
            <w:tcBorders>
              <w:top w:val="single" w:sz="8" w:space="0" w:color="auto"/>
              <w:left w:val="nil"/>
              <w:bottom w:val="single" w:sz="8" w:space="0" w:color="auto"/>
              <w:right w:val="single" w:sz="8" w:space="0" w:color="auto"/>
            </w:tcBorders>
            <w:shd w:val="clear" w:color="auto" w:fill="auto"/>
            <w:vAlign w:val="bottom"/>
            <w:hideMark/>
          </w:tcPr>
          <w:p w:rsidR="004D2F8A" w:rsidRPr="004D2F8A" w:rsidP="00A552EE" w14:paraId="6FF8202E" w14:textId="77777777">
            <w:pPr>
              <w:keepNext/>
              <w:jc w:val="center"/>
              <w:rPr>
                <w:b/>
              </w:rPr>
            </w:pPr>
            <w:r w:rsidRPr="004D2F8A">
              <w:rPr>
                <w:b/>
              </w:rPr>
              <w:t>Number affected</w:t>
            </w:r>
          </w:p>
        </w:tc>
        <w:tc>
          <w:tcPr>
            <w:tcW w:w="856" w:type="dxa"/>
            <w:tcBorders>
              <w:top w:val="single" w:sz="8" w:space="0" w:color="auto"/>
              <w:left w:val="nil"/>
              <w:bottom w:val="single" w:sz="8" w:space="0" w:color="auto"/>
              <w:right w:val="single" w:sz="8" w:space="0" w:color="000000"/>
            </w:tcBorders>
            <w:vAlign w:val="bottom"/>
          </w:tcPr>
          <w:p w:rsidR="004D2F8A" w:rsidRPr="004D2F8A" w:rsidP="00A552EE" w14:paraId="1CF76C57" w14:textId="77777777">
            <w:pPr>
              <w:keepNext/>
              <w:jc w:val="center"/>
              <w:rPr>
                <w:b/>
              </w:rPr>
            </w:pPr>
            <w:r w:rsidRPr="004D2F8A">
              <w:rPr>
                <w:b/>
              </w:rPr>
              <w:t>Count by</w:t>
            </w:r>
          </w:p>
        </w:tc>
        <w:tc>
          <w:tcPr>
            <w:tcW w:w="1523" w:type="dxa"/>
            <w:tcBorders>
              <w:top w:val="single" w:sz="8" w:space="0" w:color="auto"/>
              <w:left w:val="single" w:sz="8" w:space="0" w:color="000000"/>
              <w:bottom w:val="single" w:sz="8" w:space="0" w:color="auto"/>
              <w:right w:val="single" w:sz="8" w:space="0" w:color="auto"/>
            </w:tcBorders>
            <w:shd w:val="clear" w:color="auto" w:fill="auto"/>
            <w:noWrap/>
            <w:vAlign w:val="bottom"/>
            <w:hideMark/>
          </w:tcPr>
          <w:p w:rsidR="004D2F8A" w:rsidRPr="004D2F8A" w:rsidP="00A552EE" w14:paraId="5B04012C" w14:textId="77777777">
            <w:pPr>
              <w:keepNext/>
              <w:jc w:val="center"/>
              <w:rPr>
                <w:b/>
              </w:rPr>
            </w:pPr>
            <w:r w:rsidRPr="004D2F8A">
              <w:rPr>
                <w:b/>
              </w:rPr>
              <w:t>Emissions activities 2024-2026</w:t>
            </w:r>
          </w:p>
        </w:tc>
      </w:tr>
      <w:tr w14:paraId="52133592" w14:textId="77777777" w:rsidTr="00A552EE">
        <w:tblPrEx>
          <w:tblW w:w="9620" w:type="dxa"/>
          <w:tblLook w:val="04A0"/>
        </w:tblPrEx>
        <w:trPr>
          <w:trHeight w:val="302"/>
        </w:trPr>
        <w:tc>
          <w:tcPr>
            <w:tcW w:w="1891" w:type="dxa"/>
            <w:tcBorders>
              <w:top w:val="single" w:sz="8" w:space="0" w:color="auto"/>
              <w:left w:val="single" w:sz="8" w:space="0" w:color="auto"/>
              <w:right w:val="single" w:sz="8" w:space="0" w:color="auto"/>
            </w:tcBorders>
            <w:shd w:val="clear" w:color="auto" w:fill="auto"/>
            <w:noWrap/>
            <w:vAlign w:val="center"/>
            <w:hideMark/>
          </w:tcPr>
          <w:p w:rsidR="004D2F8A" w:rsidRPr="004D2F8A" w:rsidP="00A552EE" w14:paraId="00374B8F" w14:textId="77777777">
            <w:pPr>
              <w:keepNext/>
            </w:pPr>
            <w:r w:rsidRPr="004D2F8A">
              <w:t>Ozone NAAQS (all active)</w:t>
            </w:r>
          </w:p>
        </w:tc>
        <w:tc>
          <w:tcPr>
            <w:tcW w:w="3951" w:type="dxa"/>
            <w:tcBorders>
              <w:top w:val="single" w:sz="8" w:space="0" w:color="auto"/>
              <w:left w:val="nil"/>
              <w:bottom w:val="single" w:sz="8" w:space="0" w:color="auto"/>
              <w:right w:val="single" w:sz="8" w:space="0" w:color="auto"/>
            </w:tcBorders>
            <w:shd w:val="clear" w:color="auto" w:fill="auto"/>
            <w:vAlign w:val="center"/>
            <w:hideMark/>
          </w:tcPr>
          <w:p w:rsidR="004D2F8A" w:rsidRPr="004D2F8A" w:rsidP="00A552EE" w14:paraId="645A56E8" w14:textId="77777777">
            <w:pPr>
              <w:keepNext/>
            </w:pPr>
            <w:r w:rsidRPr="004D2F8A">
              <w:t>Periodic Emissions Inventory</w:t>
            </w:r>
          </w:p>
        </w:tc>
        <w:tc>
          <w:tcPr>
            <w:tcW w:w="1399" w:type="dxa"/>
            <w:tcBorders>
              <w:top w:val="single" w:sz="8" w:space="0" w:color="auto"/>
              <w:left w:val="nil"/>
              <w:bottom w:val="single" w:sz="8" w:space="0" w:color="auto"/>
              <w:right w:val="single" w:sz="8" w:space="0" w:color="auto"/>
            </w:tcBorders>
            <w:shd w:val="clear" w:color="auto" w:fill="auto"/>
            <w:noWrap/>
            <w:vAlign w:val="center"/>
            <w:hideMark/>
          </w:tcPr>
          <w:p w:rsidR="004D2F8A" w:rsidRPr="004D2F8A" w:rsidP="00A552EE" w14:paraId="78C4F7B1" w14:textId="77777777">
            <w:pPr>
              <w:keepNext/>
              <w:jc w:val="center"/>
            </w:pPr>
            <w:r w:rsidRPr="004D2F8A">
              <w:t>58</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375F41BB" w14:textId="77777777">
            <w:pPr>
              <w:keepNext/>
              <w:jc w:val="center"/>
            </w:pPr>
            <w:r w:rsidRPr="004D2F8A">
              <w:t>Area</w:t>
            </w:r>
          </w:p>
        </w:tc>
        <w:tc>
          <w:tcPr>
            <w:tcW w:w="1523" w:type="dxa"/>
            <w:tcBorders>
              <w:top w:val="single" w:sz="8" w:space="0" w:color="auto"/>
              <w:left w:val="single" w:sz="8" w:space="0" w:color="000000"/>
              <w:bottom w:val="single" w:sz="8" w:space="0" w:color="auto"/>
              <w:right w:val="single" w:sz="8" w:space="0" w:color="auto"/>
            </w:tcBorders>
            <w:shd w:val="clear" w:color="auto" w:fill="auto"/>
            <w:vAlign w:val="center"/>
            <w:hideMark/>
          </w:tcPr>
          <w:p w:rsidR="004D2F8A" w:rsidRPr="004D2F8A" w:rsidP="00A552EE" w14:paraId="5C69634C" w14:textId="77777777">
            <w:pPr>
              <w:keepNext/>
              <w:jc w:val="center"/>
            </w:pPr>
            <w:r w:rsidRPr="004D2F8A">
              <w:t>Yes</w:t>
            </w:r>
          </w:p>
        </w:tc>
      </w:tr>
      <w:tr w14:paraId="6446D9CA" w14:textId="77777777" w:rsidTr="00A552EE">
        <w:tblPrEx>
          <w:tblW w:w="9620" w:type="dxa"/>
          <w:tblLook w:val="04A0"/>
        </w:tblPrEx>
        <w:trPr>
          <w:trHeight w:val="576"/>
        </w:trPr>
        <w:tc>
          <w:tcPr>
            <w:tcW w:w="1891" w:type="dxa"/>
            <w:tcBorders>
              <w:top w:val="nil"/>
              <w:left w:val="single" w:sz="8" w:space="0" w:color="000000"/>
              <w:bottom w:val="nil"/>
              <w:right w:val="nil"/>
            </w:tcBorders>
            <w:shd w:val="clear" w:color="auto" w:fill="auto"/>
            <w:noWrap/>
            <w:vAlign w:val="center"/>
            <w:hideMark/>
          </w:tcPr>
          <w:p w:rsidR="004D2F8A" w:rsidRPr="004D2F8A" w:rsidP="004D2F8A" w14:paraId="45FB0F82" w14:textId="77777777"/>
        </w:tc>
        <w:tc>
          <w:tcPr>
            <w:tcW w:w="3951" w:type="dxa"/>
            <w:tcBorders>
              <w:top w:val="nil"/>
              <w:left w:val="single" w:sz="8" w:space="0" w:color="auto"/>
              <w:bottom w:val="single" w:sz="8" w:space="0" w:color="auto"/>
              <w:right w:val="single" w:sz="8" w:space="0" w:color="auto"/>
            </w:tcBorders>
            <w:shd w:val="clear" w:color="auto" w:fill="auto"/>
            <w:vAlign w:val="center"/>
            <w:hideMark/>
          </w:tcPr>
          <w:p w:rsidR="004D2F8A" w:rsidRPr="004D2F8A" w:rsidP="004D2F8A" w14:paraId="4B8ED687" w14:textId="77777777">
            <w:r w:rsidRPr="004D2F8A">
              <w:t>Projected 10-year inventory for maintenance plan</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41C8CCE3" w14:textId="77777777">
            <w:pPr>
              <w:jc w:val="center"/>
            </w:pPr>
            <w:r w:rsidRPr="004D2F8A">
              <w:t>14</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4F69041E"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4D2F8A" w:rsidRPr="004D2F8A" w:rsidP="00A552EE" w14:paraId="0ACFE312" w14:textId="77777777">
            <w:pPr>
              <w:jc w:val="center"/>
            </w:pPr>
            <w:r w:rsidRPr="004D2F8A">
              <w:t>Yes</w:t>
            </w:r>
          </w:p>
        </w:tc>
      </w:tr>
      <w:tr w14:paraId="60E996FE" w14:textId="77777777" w:rsidTr="00A552EE">
        <w:tblPrEx>
          <w:tblW w:w="9620" w:type="dxa"/>
          <w:tblLook w:val="04A0"/>
        </w:tblPrEx>
        <w:trPr>
          <w:trHeight w:val="576"/>
        </w:trPr>
        <w:tc>
          <w:tcPr>
            <w:tcW w:w="1891" w:type="dxa"/>
            <w:tcBorders>
              <w:top w:val="nil"/>
              <w:left w:val="single" w:sz="8" w:space="0" w:color="auto"/>
              <w:bottom w:val="nil"/>
              <w:right w:val="single" w:sz="8" w:space="0" w:color="auto"/>
            </w:tcBorders>
            <w:shd w:val="clear" w:color="auto" w:fill="auto"/>
            <w:noWrap/>
            <w:hideMark/>
          </w:tcPr>
          <w:p w:rsidR="004D2F8A" w:rsidRPr="004D2F8A" w:rsidP="004D2F8A" w14:paraId="0D1E19B0" w14:textId="77777777">
            <w:r w:rsidRPr="004D2F8A">
              <w:t> </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56CC3FB7" w14:textId="77777777">
            <w:r w:rsidRPr="004D2F8A">
              <w:t>Base year inventory for the NAA (for inventory SIP or maintenance plan)</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74B533F5" w14:textId="77777777">
            <w:pPr>
              <w:jc w:val="center"/>
            </w:pPr>
            <w:r w:rsidRPr="004D2F8A">
              <w:t>52</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66972E18"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4D2F8A" w:rsidRPr="004D2F8A" w:rsidP="00A552EE" w14:paraId="50D044BB" w14:textId="77777777">
            <w:pPr>
              <w:jc w:val="center"/>
            </w:pPr>
            <w:r w:rsidRPr="004D2F8A">
              <w:t>Yes</w:t>
            </w:r>
          </w:p>
        </w:tc>
      </w:tr>
      <w:tr w14:paraId="250D9D3A" w14:textId="77777777" w:rsidTr="00A552EE">
        <w:tblPrEx>
          <w:tblW w:w="9620" w:type="dxa"/>
          <w:tblLook w:val="04A0"/>
        </w:tblPrEx>
        <w:trPr>
          <w:trHeight w:val="576"/>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rsidR="004D2F8A" w:rsidRPr="004D2F8A" w:rsidP="004D2F8A" w14:paraId="7C527F0A" w14:textId="77777777">
            <w:r w:rsidRPr="004D2F8A">
              <w:t> </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03E08AA3" w14:textId="77777777">
            <w:r w:rsidRPr="004D2F8A">
              <w:t>Emissions for modeled attainment demonstration (base year and projected attainment year)</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5833472F" w14:textId="77777777">
            <w:pPr>
              <w:jc w:val="center"/>
            </w:pPr>
            <w:r w:rsidRPr="004D2F8A">
              <w:t>38</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423ECA37"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4D2F8A" w:rsidRPr="004D2F8A" w:rsidP="00A552EE" w14:paraId="7DE06848" w14:textId="77777777">
            <w:pPr>
              <w:jc w:val="center"/>
            </w:pPr>
            <w:r w:rsidRPr="004D2F8A">
              <w:t>Yes</w:t>
            </w:r>
          </w:p>
        </w:tc>
      </w:tr>
      <w:tr w14:paraId="619DE9A0" w14:textId="77777777" w:rsidTr="00A552EE">
        <w:tblPrEx>
          <w:tblW w:w="9620" w:type="dxa"/>
          <w:tblLook w:val="04A0"/>
        </w:tblPrEx>
        <w:trPr>
          <w:trHeight w:val="576"/>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rsidR="004D2F8A" w:rsidRPr="004D2F8A" w:rsidP="004D2F8A" w14:paraId="16557258" w14:textId="77777777">
            <w:r w:rsidRPr="004D2F8A">
              <w:t>Ozone NAAQS (Transport)</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67105D41" w14:textId="77777777">
            <w:r w:rsidRPr="004D2F8A">
              <w:t xml:space="preserve">No specific requirements, though upwind linked states may need to use emissions data. </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79D664CC" w14:textId="77777777">
            <w:pPr>
              <w:jc w:val="center"/>
            </w:pPr>
            <w:r w:rsidRPr="004D2F8A">
              <w:t>23</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30E5CC50" w14:textId="77777777">
            <w:pPr>
              <w:jc w:val="center"/>
            </w:pPr>
            <w:r w:rsidRPr="004D2F8A">
              <w:t>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4D2F8A" w:rsidRPr="004D2F8A" w:rsidP="00A552EE" w14:paraId="7ADBE99B" w14:textId="77777777">
            <w:pPr>
              <w:jc w:val="center"/>
            </w:pPr>
            <w:r w:rsidRPr="004D2F8A">
              <w:t>Yes</w:t>
            </w:r>
          </w:p>
        </w:tc>
      </w:tr>
      <w:tr w14:paraId="2D31EA7E" w14:textId="77777777" w:rsidTr="00A552EE">
        <w:tblPrEx>
          <w:tblW w:w="9620" w:type="dxa"/>
          <w:tblLook w:val="04A0"/>
        </w:tblPrEx>
        <w:trPr>
          <w:trHeight w:val="576"/>
        </w:trPr>
        <w:tc>
          <w:tcPr>
            <w:tcW w:w="1891" w:type="dxa"/>
            <w:tcBorders>
              <w:top w:val="nil"/>
              <w:left w:val="single" w:sz="8" w:space="0" w:color="auto"/>
              <w:bottom w:val="nil"/>
              <w:right w:val="single" w:sz="8" w:space="0" w:color="auto"/>
            </w:tcBorders>
            <w:shd w:val="clear" w:color="auto" w:fill="auto"/>
            <w:noWrap/>
            <w:vAlign w:val="center"/>
            <w:hideMark/>
          </w:tcPr>
          <w:p w:rsidR="004D2F8A" w:rsidRPr="004D2F8A" w:rsidP="004D2F8A" w14:paraId="021884F5" w14:textId="77777777">
            <w:r w:rsidRPr="004D2F8A">
              <w:t>PM</w:t>
            </w:r>
            <w:r w:rsidRPr="004D2F8A">
              <w:rPr>
                <w:vertAlign w:val="subscript"/>
              </w:rPr>
              <w:t>2.5</w:t>
            </w:r>
            <w:r w:rsidRPr="004D2F8A">
              <w:t xml:space="preserve"> (all active)</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01B158B7" w14:textId="77777777">
            <w:r w:rsidRPr="004D2F8A">
              <w:t>Projected 10-year inventory for maintenance plan or projected attainment year inventory</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0BA51052" w14:textId="77777777">
            <w:pPr>
              <w:jc w:val="center"/>
            </w:pPr>
            <w:r w:rsidRPr="004D2F8A">
              <w:t>14</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566FC7DD"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195356B4" w14:textId="77777777">
            <w:pPr>
              <w:jc w:val="center"/>
            </w:pPr>
            <w:r w:rsidRPr="004D2F8A">
              <w:t>Yes</w:t>
            </w:r>
          </w:p>
        </w:tc>
      </w:tr>
      <w:tr w14:paraId="2A759728" w14:textId="77777777" w:rsidTr="00A552EE">
        <w:tblPrEx>
          <w:tblW w:w="9620" w:type="dxa"/>
          <w:tblLook w:val="04A0"/>
        </w:tblPrEx>
        <w:trPr>
          <w:trHeight w:val="576"/>
        </w:trPr>
        <w:tc>
          <w:tcPr>
            <w:tcW w:w="1891" w:type="dxa"/>
            <w:tcBorders>
              <w:top w:val="nil"/>
              <w:left w:val="single" w:sz="8" w:space="0" w:color="auto"/>
              <w:right w:val="single" w:sz="8" w:space="0" w:color="auto"/>
            </w:tcBorders>
            <w:shd w:val="clear" w:color="auto" w:fill="auto"/>
            <w:noWrap/>
            <w:vAlign w:val="center"/>
            <w:hideMark/>
          </w:tcPr>
          <w:p w:rsidR="004D2F8A" w:rsidRPr="004D2F8A" w:rsidP="004D2F8A" w14:paraId="6EFDB8F7" w14:textId="77777777">
            <w:r w:rsidRPr="004D2F8A">
              <w:t> </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16ADC9BA" w14:textId="77777777">
            <w:r w:rsidRPr="004D2F8A">
              <w:t>Base year inventory for the NAA (for inventory SIP or maintenance plan)</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2420B0ED" w14:textId="77777777">
            <w:pPr>
              <w:jc w:val="center"/>
            </w:pPr>
            <w:r w:rsidRPr="004D2F8A">
              <w:t>22</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15302B19"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73F21DFE" w14:textId="77777777">
            <w:pPr>
              <w:jc w:val="center"/>
            </w:pPr>
            <w:r w:rsidRPr="004D2F8A">
              <w:t>Yes</w:t>
            </w:r>
          </w:p>
        </w:tc>
      </w:tr>
      <w:tr w14:paraId="717980C6" w14:textId="77777777" w:rsidTr="00A552EE">
        <w:tblPrEx>
          <w:tblW w:w="9620" w:type="dxa"/>
          <w:tblLook w:val="04A0"/>
        </w:tblPrEx>
        <w:trPr>
          <w:trHeight w:val="576"/>
        </w:trPr>
        <w:tc>
          <w:tcPr>
            <w:tcW w:w="1891" w:type="dxa"/>
            <w:tcBorders>
              <w:top w:val="nil"/>
              <w:left w:val="single" w:sz="8" w:space="0" w:color="000000"/>
              <w:bottom w:val="single" w:sz="8" w:space="0" w:color="000000"/>
              <w:right w:val="nil"/>
            </w:tcBorders>
            <w:shd w:val="clear" w:color="auto" w:fill="auto"/>
            <w:noWrap/>
            <w:vAlign w:val="center"/>
            <w:hideMark/>
          </w:tcPr>
          <w:p w:rsidR="004D2F8A" w:rsidRPr="004D2F8A" w:rsidP="004D2F8A" w14:paraId="7C3492FF" w14:textId="77777777"/>
        </w:tc>
        <w:tc>
          <w:tcPr>
            <w:tcW w:w="3951" w:type="dxa"/>
            <w:tcBorders>
              <w:top w:val="nil"/>
              <w:left w:val="single" w:sz="8" w:space="0" w:color="auto"/>
              <w:bottom w:val="single" w:sz="8" w:space="0" w:color="auto"/>
              <w:right w:val="single" w:sz="8" w:space="0" w:color="auto"/>
            </w:tcBorders>
            <w:shd w:val="clear" w:color="auto" w:fill="auto"/>
            <w:vAlign w:val="center"/>
            <w:hideMark/>
          </w:tcPr>
          <w:p w:rsidR="004D2F8A" w:rsidRPr="004D2F8A" w:rsidP="004D2F8A" w14:paraId="07F84D0E" w14:textId="77777777">
            <w:r w:rsidRPr="004D2F8A">
              <w:t>Emissions for modeled attainment demonstration (base year and projected attainment year)</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A552EE" w14:paraId="5BB0D4D8" w14:textId="77777777">
            <w:pPr>
              <w:jc w:val="center"/>
            </w:pPr>
            <w:r w:rsidRPr="004D2F8A">
              <w:t>4</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29E25C9B" w14:textId="77777777">
            <w:pPr>
              <w:jc w:val="center"/>
            </w:pPr>
            <w:r w:rsidRPr="004D2F8A">
              <w:t>Area-SLT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6C075CA1" w14:textId="77777777">
            <w:pPr>
              <w:jc w:val="center"/>
            </w:pPr>
            <w:r w:rsidRPr="004D2F8A">
              <w:t>Yes</w:t>
            </w:r>
          </w:p>
        </w:tc>
      </w:tr>
      <w:tr w14:paraId="553ECC73" w14:textId="77777777" w:rsidTr="00A552EE">
        <w:tblPrEx>
          <w:tblW w:w="9620" w:type="dxa"/>
          <w:tblLook w:val="04A0"/>
        </w:tblPrEx>
        <w:trPr>
          <w:trHeight w:val="576"/>
        </w:trPr>
        <w:tc>
          <w:tcPr>
            <w:tcW w:w="1891" w:type="dxa"/>
            <w:tcBorders>
              <w:top w:val="nil"/>
              <w:left w:val="single" w:sz="8" w:space="0" w:color="000000"/>
              <w:bottom w:val="single" w:sz="8" w:space="0" w:color="000000"/>
              <w:right w:val="nil"/>
            </w:tcBorders>
            <w:shd w:val="clear" w:color="auto" w:fill="auto"/>
            <w:noWrap/>
            <w:vAlign w:val="center"/>
          </w:tcPr>
          <w:p w:rsidR="00393ACD" w:rsidRPr="004D2F8A" w:rsidP="00393ACD" w14:paraId="51BF2F9F" w14:textId="77777777"/>
        </w:tc>
        <w:tc>
          <w:tcPr>
            <w:tcW w:w="3951" w:type="dxa"/>
            <w:tcBorders>
              <w:top w:val="nil"/>
              <w:left w:val="single" w:sz="8" w:space="0" w:color="auto"/>
              <w:bottom w:val="single" w:sz="8" w:space="0" w:color="auto"/>
              <w:right w:val="single" w:sz="8" w:space="0" w:color="auto"/>
            </w:tcBorders>
            <w:shd w:val="clear" w:color="auto" w:fill="auto"/>
            <w:vAlign w:val="center"/>
          </w:tcPr>
          <w:p w:rsidR="00393ACD" w:rsidRPr="004D2F8A" w:rsidP="00393ACD" w14:paraId="2E92D176" w14:textId="0C9B315B">
            <w:r>
              <w:rPr>
                <w:rFonts w:ascii="Calibri" w:hAnsi="Calibri" w:cs="Calibri"/>
                <w:color w:val="000000"/>
                <w:szCs w:val="22"/>
              </w:rPr>
              <w:t>Designations, 5-factor analysis including emissions evaluations</w:t>
            </w:r>
          </w:p>
        </w:tc>
        <w:tc>
          <w:tcPr>
            <w:tcW w:w="1399" w:type="dxa"/>
            <w:tcBorders>
              <w:top w:val="nil"/>
              <w:left w:val="nil"/>
              <w:bottom w:val="single" w:sz="8" w:space="0" w:color="auto"/>
              <w:right w:val="single" w:sz="8" w:space="0" w:color="auto"/>
            </w:tcBorders>
            <w:shd w:val="clear" w:color="auto" w:fill="auto"/>
            <w:vAlign w:val="center"/>
          </w:tcPr>
          <w:p w:rsidR="00393ACD" w:rsidRPr="004D2F8A" w:rsidP="00393ACD" w14:paraId="517A6885" w14:textId="38C11812">
            <w:pPr>
              <w:jc w:val="center"/>
            </w:pPr>
            <w:r>
              <w:rPr>
                <w:rFonts w:ascii="Calibri" w:hAnsi="Calibri" w:cs="Calibri"/>
                <w:color w:val="000000"/>
                <w:szCs w:val="22"/>
              </w:rPr>
              <w:t>30</w:t>
            </w:r>
          </w:p>
        </w:tc>
        <w:tc>
          <w:tcPr>
            <w:tcW w:w="856" w:type="dxa"/>
            <w:tcBorders>
              <w:top w:val="single" w:sz="8" w:space="0" w:color="auto"/>
              <w:left w:val="nil"/>
              <w:bottom w:val="single" w:sz="8" w:space="0" w:color="auto"/>
              <w:right w:val="single" w:sz="8" w:space="0" w:color="000000"/>
            </w:tcBorders>
            <w:vAlign w:val="center"/>
          </w:tcPr>
          <w:p w:rsidR="00393ACD" w:rsidRPr="004D2F8A" w:rsidP="00393ACD" w14:paraId="6008892F" w14:textId="62C5443A">
            <w:pPr>
              <w:jc w:val="center"/>
            </w:pPr>
            <w:r>
              <w:rPr>
                <w:rFonts w:ascii="Calibri" w:hAnsi="Calibri" w:cs="Calibri"/>
                <w:szCs w:val="22"/>
              </w:rPr>
              <w:t>Area-</w:t>
            </w:r>
            <w:r>
              <w:rPr>
                <w:rFonts w:ascii="Calibri" w:hAnsi="Calibri" w:cs="Calibri"/>
                <w:szCs w:val="22"/>
              </w:rPr>
              <w:br/>
              <w:t>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393ACD" w:rsidRPr="004D2F8A" w:rsidP="00393ACD" w14:paraId="4283CC3B" w14:textId="13050641">
            <w:pPr>
              <w:jc w:val="center"/>
            </w:pPr>
            <w:r>
              <w:rPr>
                <w:rFonts w:ascii="Calibri" w:hAnsi="Calibri" w:cs="Calibri"/>
                <w:color w:val="000000"/>
                <w:szCs w:val="22"/>
              </w:rPr>
              <w:t>No</w:t>
            </w:r>
          </w:p>
        </w:tc>
      </w:tr>
      <w:tr w14:paraId="12E50F35" w14:textId="77777777" w:rsidTr="00A552EE">
        <w:tblPrEx>
          <w:tblW w:w="9620" w:type="dxa"/>
          <w:tblLook w:val="04A0"/>
        </w:tblPrEx>
        <w:trPr>
          <w:trHeight w:val="576"/>
        </w:trPr>
        <w:tc>
          <w:tcPr>
            <w:tcW w:w="1891" w:type="dxa"/>
            <w:tcBorders>
              <w:top w:val="nil"/>
              <w:left w:val="single" w:sz="8" w:space="0" w:color="000000"/>
              <w:bottom w:val="single" w:sz="8" w:space="0" w:color="000000"/>
              <w:right w:val="nil"/>
            </w:tcBorders>
            <w:shd w:val="clear" w:color="auto" w:fill="auto"/>
            <w:noWrap/>
            <w:vAlign w:val="center"/>
          </w:tcPr>
          <w:p w:rsidR="00393ACD" w:rsidRPr="004D2F8A" w:rsidP="00393ACD" w14:paraId="3E5A9922" w14:textId="77777777"/>
        </w:tc>
        <w:tc>
          <w:tcPr>
            <w:tcW w:w="3951" w:type="dxa"/>
            <w:tcBorders>
              <w:top w:val="nil"/>
              <w:left w:val="single" w:sz="8" w:space="0" w:color="auto"/>
              <w:bottom w:val="single" w:sz="8" w:space="0" w:color="auto"/>
              <w:right w:val="single" w:sz="8" w:space="0" w:color="auto"/>
            </w:tcBorders>
            <w:shd w:val="clear" w:color="auto" w:fill="auto"/>
            <w:vAlign w:val="center"/>
          </w:tcPr>
          <w:p w:rsidR="00393ACD" w:rsidRPr="004D2F8A" w:rsidP="00393ACD" w14:paraId="34B1840B" w14:textId="69427A26">
            <w:r>
              <w:rPr>
                <w:rFonts w:ascii="Calibri" w:hAnsi="Calibri" w:cs="Calibri"/>
                <w:color w:val="000000"/>
                <w:szCs w:val="22"/>
              </w:rPr>
              <w:t>Infrastructure SIPs/Transport</w:t>
            </w:r>
          </w:p>
        </w:tc>
        <w:tc>
          <w:tcPr>
            <w:tcW w:w="1399" w:type="dxa"/>
            <w:tcBorders>
              <w:top w:val="nil"/>
              <w:left w:val="nil"/>
              <w:bottom w:val="single" w:sz="8" w:space="0" w:color="auto"/>
              <w:right w:val="single" w:sz="8" w:space="0" w:color="auto"/>
            </w:tcBorders>
            <w:shd w:val="clear" w:color="auto" w:fill="auto"/>
            <w:vAlign w:val="center"/>
          </w:tcPr>
          <w:p w:rsidR="00393ACD" w:rsidRPr="004D2F8A" w:rsidP="00393ACD" w14:paraId="192379E8" w14:textId="3654F8FE">
            <w:pPr>
              <w:jc w:val="center"/>
            </w:pPr>
            <w:r>
              <w:rPr>
                <w:rFonts w:ascii="Calibri" w:hAnsi="Calibri" w:cs="Calibri"/>
                <w:color w:val="000000"/>
                <w:szCs w:val="22"/>
              </w:rPr>
              <w:t>51</w:t>
            </w:r>
          </w:p>
        </w:tc>
        <w:tc>
          <w:tcPr>
            <w:tcW w:w="856" w:type="dxa"/>
            <w:tcBorders>
              <w:top w:val="single" w:sz="8" w:space="0" w:color="auto"/>
              <w:left w:val="nil"/>
              <w:bottom w:val="single" w:sz="8" w:space="0" w:color="auto"/>
              <w:right w:val="single" w:sz="8" w:space="0" w:color="000000"/>
            </w:tcBorders>
            <w:vAlign w:val="center"/>
          </w:tcPr>
          <w:p w:rsidR="00393ACD" w:rsidRPr="004D2F8A" w:rsidP="00393ACD" w14:paraId="01087FF1" w14:textId="74E10568">
            <w:pPr>
              <w:jc w:val="center"/>
            </w:pPr>
            <w:r>
              <w:rPr>
                <w:rFonts w:ascii="Calibri" w:hAnsi="Calibri" w:cs="Calibri"/>
                <w:szCs w:val="22"/>
              </w:rPr>
              <w:t>SLT</w:t>
            </w:r>
          </w:p>
        </w:tc>
        <w:tc>
          <w:tcPr>
            <w:tcW w:w="1523" w:type="dxa"/>
            <w:tcBorders>
              <w:top w:val="nil"/>
              <w:left w:val="single" w:sz="8" w:space="0" w:color="000000"/>
              <w:bottom w:val="single" w:sz="8" w:space="0" w:color="auto"/>
              <w:right w:val="single" w:sz="8" w:space="0" w:color="auto"/>
            </w:tcBorders>
            <w:shd w:val="clear" w:color="auto" w:fill="auto"/>
            <w:vAlign w:val="center"/>
          </w:tcPr>
          <w:p w:rsidR="00393ACD" w:rsidRPr="004D2F8A" w:rsidP="00393ACD" w14:paraId="3E20FF0B" w14:textId="77995E83">
            <w:pPr>
              <w:jc w:val="center"/>
            </w:pPr>
            <w:r>
              <w:rPr>
                <w:rFonts w:ascii="Calibri" w:hAnsi="Calibri" w:cs="Calibri"/>
                <w:color w:val="000000"/>
                <w:szCs w:val="22"/>
              </w:rPr>
              <w:t>No</w:t>
            </w:r>
          </w:p>
        </w:tc>
      </w:tr>
      <w:tr w14:paraId="3BB41458" w14:textId="77777777" w:rsidTr="00A552EE">
        <w:tblPrEx>
          <w:tblW w:w="9620" w:type="dxa"/>
          <w:tblLook w:val="04A0"/>
        </w:tblPrEx>
        <w:trPr>
          <w:trHeight w:val="302"/>
        </w:trPr>
        <w:tc>
          <w:tcPr>
            <w:tcW w:w="1891" w:type="dxa"/>
            <w:tcBorders>
              <w:top w:val="single" w:sz="8" w:space="0" w:color="000000"/>
              <w:left w:val="single" w:sz="8" w:space="0" w:color="auto"/>
              <w:bottom w:val="single" w:sz="8" w:space="0" w:color="auto"/>
              <w:right w:val="single" w:sz="8" w:space="0" w:color="auto"/>
            </w:tcBorders>
            <w:shd w:val="clear" w:color="auto" w:fill="auto"/>
            <w:noWrap/>
            <w:vAlign w:val="center"/>
            <w:hideMark/>
          </w:tcPr>
          <w:p w:rsidR="004D2F8A" w:rsidRPr="004D2F8A" w:rsidP="004D2F8A" w14:paraId="5D4E2889" w14:textId="77777777">
            <w:r w:rsidRPr="004D2F8A">
              <w:t>NOx SIP call</w:t>
            </w:r>
          </w:p>
        </w:tc>
        <w:tc>
          <w:tcPr>
            <w:tcW w:w="3951" w:type="dxa"/>
            <w:tcBorders>
              <w:top w:val="nil"/>
              <w:left w:val="nil"/>
              <w:bottom w:val="single" w:sz="8" w:space="0" w:color="auto"/>
              <w:right w:val="single" w:sz="8" w:space="0" w:color="auto"/>
            </w:tcBorders>
            <w:shd w:val="clear" w:color="auto" w:fill="auto"/>
            <w:noWrap/>
            <w:vAlign w:val="center"/>
            <w:hideMark/>
          </w:tcPr>
          <w:p w:rsidR="004D2F8A" w:rsidRPr="004D2F8A" w:rsidP="004D2F8A" w14:paraId="1A75EC4F" w14:textId="77777777">
            <w:r w:rsidRPr="004D2F8A">
              <w:t>Any activity</w:t>
            </w:r>
          </w:p>
        </w:tc>
        <w:tc>
          <w:tcPr>
            <w:tcW w:w="1399" w:type="dxa"/>
            <w:tcBorders>
              <w:top w:val="nil"/>
              <w:left w:val="nil"/>
              <w:bottom w:val="single" w:sz="8" w:space="0" w:color="auto"/>
              <w:right w:val="single" w:sz="8" w:space="0" w:color="auto"/>
            </w:tcBorders>
            <w:shd w:val="clear" w:color="auto" w:fill="auto"/>
            <w:noWrap/>
            <w:vAlign w:val="center"/>
            <w:hideMark/>
          </w:tcPr>
          <w:p w:rsidR="004D2F8A" w:rsidRPr="004D2F8A" w:rsidP="00A552EE" w14:paraId="38F752B0" w14:textId="77777777">
            <w:pPr>
              <w:jc w:val="center"/>
            </w:pPr>
            <w:r w:rsidRPr="004D2F8A">
              <w:t>21</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032C086D" w14:textId="77777777">
            <w:pPr>
              <w:jc w:val="center"/>
            </w:pPr>
            <w:r w:rsidRPr="004D2F8A">
              <w:t>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4B4BF2F2" w14:textId="77777777">
            <w:pPr>
              <w:jc w:val="center"/>
            </w:pPr>
            <w:r w:rsidRPr="004D2F8A">
              <w:t>No</w:t>
            </w:r>
          </w:p>
        </w:tc>
      </w:tr>
      <w:tr w14:paraId="323FB010" w14:textId="77777777" w:rsidTr="00A552EE">
        <w:tblPrEx>
          <w:tblW w:w="9620" w:type="dxa"/>
          <w:tblLook w:val="04A0"/>
        </w:tblPrEx>
        <w:trPr>
          <w:trHeight w:val="576"/>
        </w:trPr>
        <w:tc>
          <w:tcPr>
            <w:tcW w:w="1891" w:type="dxa"/>
            <w:tcBorders>
              <w:top w:val="single" w:sz="8" w:space="0" w:color="auto"/>
              <w:left w:val="single" w:sz="8" w:space="0" w:color="auto"/>
              <w:right w:val="single" w:sz="8" w:space="0" w:color="auto"/>
            </w:tcBorders>
            <w:shd w:val="clear" w:color="auto" w:fill="auto"/>
            <w:noWrap/>
            <w:vAlign w:val="center"/>
            <w:hideMark/>
          </w:tcPr>
          <w:p w:rsidR="004D2F8A" w:rsidRPr="004D2F8A" w:rsidP="00045E59" w14:paraId="067D4A11" w14:textId="77777777">
            <w:pPr>
              <w:keepNext/>
            </w:pPr>
            <w:r w:rsidRPr="004D2F8A">
              <w:t>Regional Haze</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045E59" w14:paraId="0F8F1657" w14:textId="77777777">
            <w:pPr>
              <w:keepNext/>
            </w:pPr>
            <w:r w:rsidRPr="004D2F8A">
              <w:t>Statewide emissions inventory needed for Regional Haze progress reports due in 2025.</w:t>
            </w:r>
          </w:p>
        </w:tc>
        <w:tc>
          <w:tcPr>
            <w:tcW w:w="1399" w:type="dxa"/>
            <w:tcBorders>
              <w:top w:val="nil"/>
              <w:left w:val="nil"/>
              <w:bottom w:val="single" w:sz="8" w:space="0" w:color="auto"/>
              <w:right w:val="single" w:sz="8" w:space="0" w:color="auto"/>
            </w:tcBorders>
            <w:shd w:val="clear" w:color="auto" w:fill="auto"/>
            <w:noWrap/>
            <w:vAlign w:val="center"/>
            <w:hideMark/>
          </w:tcPr>
          <w:p w:rsidR="004D2F8A" w:rsidRPr="004D2F8A" w:rsidP="00045E59" w14:paraId="7F58C8DD" w14:textId="77777777">
            <w:pPr>
              <w:keepNext/>
              <w:jc w:val="center"/>
            </w:pPr>
            <w:r w:rsidRPr="004D2F8A">
              <w:t>51</w:t>
            </w:r>
          </w:p>
        </w:tc>
        <w:tc>
          <w:tcPr>
            <w:tcW w:w="856" w:type="dxa"/>
            <w:tcBorders>
              <w:top w:val="single" w:sz="8" w:space="0" w:color="auto"/>
              <w:left w:val="nil"/>
              <w:bottom w:val="single" w:sz="8" w:space="0" w:color="auto"/>
              <w:right w:val="single" w:sz="8" w:space="0" w:color="000000"/>
            </w:tcBorders>
            <w:vAlign w:val="center"/>
          </w:tcPr>
          <w:p w:rsidR="004D2F8A" w:rsidRPr="004D2F8A" w:rsidP="00045E59" w14:paraId="0C1ECE82" w14:textId="77777777">
            <w:pPr>
              <w:keepNext/>
              <w:jc w:val="center"/>
            </w:pPr>
            <w:r w:rsidRPr="004D2F8A">
              <w:t>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045E59" w14:paraId="14E50D66" w14:textId="77777777">
            <w:pPr>
              <w:keepNext/>
              <w:jc w:val="center"/>
            </w:pPr>
            <w:r w:rsidRPr="004D2F8A">
              <w:t>No</w:t>
            </w:r>
          </w:p>
        </w:tc>
      </w:tr>
      <w:tr w14:paraId="5C8DE124" w14:textId="77777777" w:rsidTr="00A552EE">
        <w:tblPrEx>
          <w:tblW w:w="9620" w:type="dxa"/>
          <w:tblLook w:val="04A0"/>
        </w:tblPrEx>
        <w:trPr>
          <w:trHeight w:val="1152"/>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rsidR="004D2F8A" w:rsidRPr="004D2F8A" w:rsidP="00045E59" w14:paraId="50521D85" w14:textId="77777777">
            <w:pPr>
              <w:keepNext/>
            </w:pP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045E59" w14:paraId="79434AA2" w14:textId="77777777">
            <w:pPr>
              <w:keepNext/>
            </w:pPr>
            <w:r w:rsidRPr="004D2F8A">
              <w:t>Statewide emissions inventory for the 3rd SIP planning period (due in 2028). Assume modeling inventory and emissions modeling activities needed.</w:t>
            </w:r>
          </w:p>
        </w:tc>
        <w:tc>
          <w:tcPr>
            <w:tcW w:w="1399" w:type="dxa"/>
            <w:tcBorders>
              <w:top w:val="nil"/>
              <w:left w:val="nil"/>
              <w:bottom w:val="single" w:sz="8" w:space="0" w:color="auto"/>
              <w:right w:val="single" w:sz="8" w:space="0" w:color="auto"/>
            </w:tcBorders>
            <w:shd w:val="clear" w:color="auto" w:fill="auto"/>
            <w:vAlign w:val="center"/>
            <w:hideMark/>
          </w:tcPr>
          <w:p w:rsidR="004D2F8A" w:rsidRPr="004D2F8A" w:rsidP="00045E59" w14:paraId="25932875" w14:textId="77777777">
            <w:pPr>
              <w:keepNext/>
              <w:jc w:val="center"/>
            </w:pPr>
            <w:r w:rsidRPr="004D2F8A">
              <w:t>51</w:t>
            </w:r>
          </w:p>
        </w:tc>
        <w:tc>
          <w:tcPr>
            <w:tcW w:w="856" w:type="dxa"/>
            <w:tcBorders>
              <w:top w:val="single" w:sz="8" w:space="0" w:color="auto"/>
              <w:left w:val="nil"/>
              <w:bottom w:val="single" w:sz="8" w:space="0" w:color="auto"/>
              <w:right w:val="single" w:sz="8" w:space="0" w:color="000000"/>
            </w:tcBorders>
            <w:vAlign w:val="center"/>
          </w:tcPr>
          <w:p w:rsidR="004D2F8A" w:rsidRPr="004D2F8A" w:rsidP="00045E59" w14:paraId="1983D0DF" w14:textId="77777777">
            <w:pPr>
              <w:keepNext/>
              <w:jc w:val="center"/>
            </w:pPr>
            <w:r w:rsidRPr="004D2F8A">
              <w:t>SLT</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045E59" w14:paraId="70F0AF9C" w14:textId="77777777">
            <w:pPr>
              <w:keepNext/>
              <w:jc w:val="center"/>
            </w:pPr>
            <w:r w:rsidRPr="004D2F8A">
              <w:t>Yes</w:t>
            </w:r>
          </w:p>
        </w:tc>
      </w:tr>
      <w:tr w14:paraId="439EDF4E" w14:textId="77777777" w:rsidTr="00A552EE">
        <w:tblPrEx>
          <w:tblW w:w="9620" w:type="dxa"/>
          <w:tblLook w:val="04A0"/>
        </w:tblPrEx>
        <w:trPr>
          <w:trHeight w:val="300"/>
        </w:trPr>
        <w:tc>
          <w:tcPr>
            <w:tcW w:w="18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D2F8A" w:rsidRPr="004D2F8A" w:rsidP="004D2F8A" w14:paraId="4A030A74" w14:textId="77777777">
            <w:r w:rsidRPr="004D2F8A">
              <w:t>CO</w:t>
            </w:r>
          </w:p>
        </w:tc>
        <w:tc>
          <w:tcPr>
            <w:tcW w:w="3951" w:type="dxa"/>
            <w:tcBorders>
              <w:top w:val="single" w:sz="8" w:space="0" w:color="auto"/>
              <w:left w:val="nil"/>
              <w:bottom w:val="single" w:sz="8" w:space="0" w:color="auto"/>
              <w:right w:val="single" w:sz="8" w:space="0" w:color="auto"/>
            </w:tcBorders>
            <w:shd w:val="clear" w:color="auto" w:fill="auto"/>
            <w:vAlign w:val="center"/>
            <w:hideMark/>
          </w:tcPr>
          <w:p w:rsidR="004D2F8A" w:rsidRPr="004D2F8A" w:rsidP="004D2F8A" w14:paraId="71B4DEF3" w14:textId="77777777">
            <w:r w:rsidRPr="004D2F8A">
              <w:t>Base year inventory for the NAA (for maintenance plan)</w:t>
            </w:r>
          </w:p>
        </w:tc>
        <w:tc>
          <w:tcPr>
            <w:tcW w:w="1399" w:type="dxa"/>
            <w:tcBorders>
              <w:top w:val="single" w:sz="8" w:space="0" w:color="auto"/>
              <w:left w:val="nil"/>
              <w:bottom w:val="single" w:sz="8" w:space="0" w:color="auto"/>
              <w:right w:val="single" w:sz="8" w:space="0" w:color="auto"/>
            </w:tcBorders>
            <w:shd w:val="clear" w:color="auto" w:fill="auto"/>
            <w:noWrap/>
            <w:vAlign w:val="center"/>
            <w:hideMark/>
          </w:tcPr>
          <w:p w:rsidR="004D2F8A" w:rsidRPr="004D2F8A" w:rsidP="00A552EE" w14:paraId="42DA162D" w14:textId="77777777">
            <w:pPr>
              <w:jc w:val="center"/>
            </w:pPr>
            <w:r w:rsidRPr="004D2F8A">
              <w:t>82</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4391869A" w14:textId="77777777">
            <w:pPr>
              <w:jc w:val="center"/>
            </w:pPr>
            <w:r w:rsidRPr="004D2F8A">
              <w:t>Area</w:t>
            </w:r>
          </w:p>
        </w:tc>
        <w:tc>
          <w:tcPr>
            <w:tcW w:w="1523" w:type="dxa"/>
            <w:tcBorders>
              <w:top w:val="single" w:sz="8" w:space="0" w:color="auto"/>
              <w:left w:val="single" w:sz="8" w:space="0" w:color="000000"/>
              <w:bottom w:val="single" w:sz="8" w:space="0" w:color="auto"/>
              <w:right w:val="single" w:sz="8" w:space="0" w:color="auto"/>
            </w:tcBorders>
            <w:shd w:val="clear" w:color="auto" w:fill="auto"/>
            <w:vAlign w:val="center"/>
            <w:hideMark/>
          </w:tcPr>
          <w:p w:rsidR="004D2F8A" w:rsidRPr="004D2F8A" w:rsidP="00A552EE" w14:paraId="40E59C02" w14:textId="77777777">
            <w:pPr>
              <w:jc w:val="center"/>
            </w:pPr>
            <w:r w:rsidRPr="004D2F8A">
              <w:t>No</w:t>
            </w:r>
          </w:p>
        </w:tc>
      </w:tr>
      <w:tr w14:paraId="7E8802A9" w14:textId="77777777" w:rsidTr="00A552EE">
        <w:tblPrEx>
          <w:tblW w:w="9620" w:type="dxa"/>
          <w:tblLook w:val="04A0"/>
        </w:tblPrEx>
        <w:trPr>
          <w:trHeight w:val="302"/>
        </w:trPr>
        <w:tc>
          <w:tcPr>
            <w:tcW w:w="1891" w:type="dxa"/>
            <w:tcBorders>
              <w:top w:val="nil"/>
              <w:left w:val="single" w:sz="8" w:space="0" w:color="auto"/>
              <w:bottom w:val="single" w:sz="8" w:space="0" w:color="auto"/>
              <w:right w:val="single" w:sz="8" w:space="0" w:color="auto"/>
            </w:tcBorders>
            <w:shd w:val="clear" w:color="auto" w:fill="auto"/>
            <w:noWrap/>
            <w:vAlign w:val="center"/>
          </w:tcPr>
          <w:p w:rsidR="004D2F8A" w:rsidRPr="004D2F8A" w:rsidP="004D2F8A" w14:paraId="40E9805D" w14:textId="77777777">
            <w:r w:rsidRPr="004D2F8A">
              <w:t>NO</w:t>
            </w:r>
            <w:r w:rsidRPr="004D2F8A">
              <w:rPr>
                <w:vertAlign w:val="subscript"/>
              </w:rPr>
              <w:t>2</w:t>
            </w:r>
          </w:p>
        </w:tc>
        <w:tc>
          <w:tcPr>
            <w:tcW w:w="3951" w:type="dxa"/>
            <w:tcBorders>
              <w:top w:val="nil"/>
              <w:left w:val="nil"/>
              <w:bottom w:val="single" w:sz="8" w:space="0" w:color="auto"/>
              <w:right w:val="single" w:sz="8" w:space="0" w:color="auto"/>
            </w:tcBorders>
            <w:shd w:val="clear" w:color="auto" w:fill="auto"/>
            <w:vAlign w:val="center"/>
          </w:tcPr>
          <w:p w:rsidR="004D2F8A" w:rsidRPr="004D2F8A" w:rsidP="004D2F8A" w14:paraId="58EE3F22" w14:textId="77777777">
            <w:r w:rsidRPr="004D2F8A">
              <w:t>Base year inventory for the NAA (for maintenance plan)</w:t>
            </w:r>
          </w:p>
        </w:tc>
        <w:tc>
          <w:tcPr>
            <w:tcW w:w="1399" w:type="dxa"/>
            <w:tcBorders>
              <w:top w:val="nil"/>
              <w:left w:val="nil"/>
              <w:bottom w:val="single" w:sz="8" w:space="0" w:color="auto"/>
              <w:right w:val="single" w:sz="8" w:space="0" w:color="auto"/>
            </w:tcBorders>
            <w:shd w:val="clear" w:color="auto" w:fill="auto"/>
            <w:noWrap/>
            <w:vAlign w:val="center"/>
          </w:tcPr>
          <w:p w:rsidR="004D2F8A" w:rsidRPr="004D2F8A" w:rsidP="00A552EE" w14:paraId="46F8E2E7" w14:textId="77777777">
            <w:pPr>
              <w:jc w:val="center"/>
            </w:pPr>
            <w:r w:rsidRPr="004D2F8A">
              <w:t>1</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552592CE" w14:textId="77777777">
            <w:pPr>
              <w:jc w:val="center"/>
            </w:pPr>
            <w:r w:rsidRPr="004D2F8A">
              <w:t>Area</w:t>
            </w:r>
          </w:p>
        </w:tc>
        <w:tc>
          <w:tcPr>
            <w:tcW w:w="1523" w:type="dxa"/>
            <w:tcBorders>
              <w:top w:val="nil"/>
              <w:left w:val="single" w:sz="8" w:space="0" w:color="000000"/>
              <w:bottom w:val="single" w:sz="8" w:space="0" w:color="auto"/>
              <w:right w:val="single" w:sz="8" w:space="0" w:color="auto"/>
            </w:tcBorders>
            <w:shd w:val="clear" w:color="auto" w:fill="auto"/>
            <w:vAlign w:val="center"/>
          </w:tcPr>
          <w:p w:rsidR="004D2F8A" w:rsidRPr="004D2F8A" w:rsidP="00A552EE" w14:paraId="1D7DCF57" w14:textId="77777777">
            <w:pPr>
              <w:jc w:val="center"/>
            </w:pPr>
            <w:r w:rsidRPr="004D2F8A">
              <w:t>No</w:t>
            </w:r>
          </w:p>
        </w:tc>
      </w:tr>
      <w:tr w14:paraId="3A6F5F57" w14:textId="77777777" w:rsidTr="00A552EE">
        <w:tblPrEx>
          <w:tblW w:w="9620" w:type="dxa"/>
          <w:tblLook w:val="04A0"/>
        </w:tblPrEx>
        <w:trPr>
          <w:trHeight w:val="302"/>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rsidR="004D2F8A" w:rsidRPr="004D2F8A" w:rsidP="004D2F8A" w14:paraId="42DB073A" w14:textId="77777777">
            <w:r w:rsidRPr="004D2F8A">
              <w:t>SO</w:t>
            </w:r>
            <w:r w:rsidRPr="004D2F8A">
              <w:rPr>
                <w:vertAlign w:val="subscript"/>
              </w:rPr>
              <w:t>2</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67B12365" w14:textId="77777777">
            <w:r w:rsidRPr="004D2F8A">
              <w:t>Emissions for AERMOD modeling</w:t>
            </w:r>
          </w:p>
        </w:tc>
        <w:tc>
          <w:tcPr>
            <w:tcW w:w="1399" w:type="dxa"/>
            <w:tcBorders>
              <w:top w:val="nil"/>
              <w:left w:val="nil"/>
              <w:bottom w:val="single" w:sz="8" w:space="0" w:color="auto"/>
              <w:right w:val="single" w:sz="8" w:space="0" w:color="auto"/>
            </w:tcBorders>
            <w:shd w:val="clear" w:color="auto" w:fill="auto"/>
            <w:noWrap/>
            <w:vAlign w:val="center"/>
            <w:hideMark/>
          </w:tcPr>
          <w:p w:rsidR="004D2F8A" w:rsidRPr="004D2F8A" w:rsidP="00A552EE" w14:paraId="11A7C60A" w14:textId="77777777">
            <w:pPr>
              <w:jc w:val="center"/>
            </w:pPr>
            <w:r w:rsidRPr="004D2F8A">
              <w:t>35</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6C653A22" w14:textId="77777777">
            <w:pPr>
              <w:jc w:val="center"/>
            </w:pPr>
            <w:r w:rsidRPr="004D2F8A">
              <w:t>Area</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027415A7" w14:textId="77777777">
            <w:pPr>
              <w:jc w:val="center"/>
            </w:pPr>
            <w:r w:rsidRPr="004D2F8A">
              <w:t>No</w:t>
            </w:r>
          </w:p>
        </w:tc>
      </w:tr>
      <w:tr w14:paraId="10664DCB" w14:textId="77777777" w:rsidTr="00A552EE">
        <w:tblPrEx>
          <w:tblW w:w="9620" w:type="dxa"/>
          <w:tblLook w:val="04A0"/>
        </w:tblPrEx>
        <w:trPr>
          <w:trHeight w:val="302"/>
        </w:trPr>
        <w:tc>
          <w:tcPr>
            <w:tcW w:w="1891" w:type="dxa"/>
            <w:tcBorders>
              <w:top w:val="nil"/>
              <w:left w:val="single" w:sz="8" w:space="0" w:color="auto"/>
              <w:bottom w:val="single" w:sz="8" w:space="0" w:color="auto"/>
              <w:right w:val="single" w:sz="8" w:space="0" w:color="auto"/>
            </w:tcBorders>
            <w:shd w:val="clear" w:color="auto" w:fill="auto"/>
            <w:noWrap/>
            <w:vAlign w:val="center"/>
            <w:hideMark/>
          </w:tcPr>
          <w:p w:rsidR="004D2F8A" w:rsidRPr="004D2F8A" w:rsidP="004D2F8A" w14:paraId="5DA964DF" w14:textId="77777777">
            <w:r w:rsidRPr="004D2F8A">
              <w:t>Pb</w:t>
            </w:r>
          </w:p>
        </w:tc>
        <w:tc>
          <w:tcPr>
            <w:tcW w:w="3951" w:type="dxa"/>
            <w:tcBorders>
              <w:top w:val="nil"/>
              <w:left w:val="nil"/>
              <w:bottom w:val="single" w:sz="8" w:space="0" w:color="auto"/>
              <w:right w:val="single" w:sz="8" w:space="0" w:color="auto"/>
            </w:tcBorders>
            <w:shd w:val="clear" w:color="auto" w:fill="auto"/>
            <w:vAlign w:val="center"/>
            <w:hideMark/>
          </w:tcPr>
          <w:p w:rsidR="004D2F8A" w:rsidRPr="004D2F8A" w:rsidP="004D2F8A" w14:paraId="468FAECE" w14:textId="77777777">
            <w:r w:rsidRPr="004D2F8A">
              <w:t>Emissions for AERMOD modeling</w:t>
            </w:r>
          </w:p>
        </w:tc>
        <w:tc>
          <w:tcPr>
            <w:tcW w:w="1399" w:type="dxa"/>
            <w:tcBorders>
              <w:top w:val="nil"/>
              <w:left w:val="nil"/>
              <w:bottom w:val="single" w:sz="8" w:space="0" w:color="auto"/>
              <w:right w:val="single" w:sz="8" w:space="0" w:color="auto"/>
            </w:tcBorders>
            <w:shd w:val="clear" w:color="auto" w:fill="auto"/>
            <w:noWrap/>
            <w:vAlign w:val="center"/>
            <w:hideMark/>
          </w:tcPr>
          <w:p w:rsidR="004D2F8A" w:rsidRPr="004D2F8A" w:rsidP="00A552EE" w14:paraId="1131EEFA" w14:textId="77777777">
            <w:pPr>
              <w:jc w:val="center"/>
            </w:pPr>
            <w:r w:rsidRPr="004D2F8A">
              <w:t>1</w:t>
            </w:r>
          </w:p>
        </w:tc>
        <w:tc>
          <w:tcPr>
            <w:tcW w:w="856" w:type="dxa"/>
            <w:tcBorders>
              <w:top w:val="single" w:sz="8" w:space="0" w:color="auto"/>
              <w:left w:val="nil"/>
              <w:bottom w:val="single" w:sz="8" w:space="0" w:color="auto"/>
              <w:right w:val="single" w:sz="8" w:space="0" w:color="000000"/>
            </w:tcBorders>
            <w:vAlign w:val="center"/>
          </w:tcPr>
          <w:p w:rsidR="004D2F8A" w:rsidRPr="004D2F8A" w:rsidP="00A552EE" w14:paraId="43A9B401" w14:textId="77777777">
            <w:pPr>
              <w:jc w:val="center"/>
            </w:pPr>
            <w:r w:rsidRPr="004D2F8A">
              <w:t>Area</w:t>
            </w:r>
          </w:p>
        </w:tc>
        <w:tc>
          <w:tcPr>
            <w:tcW w:w="1523" w:type="dxa"/>
            <w:tcBorders>
              <w:top w:val="nil"/>
              <w:left w:val="single" w:sz="8" w:space="0" w:color="000000"/>
              <w:bottom w:val="single" w:sz="8" w:space="0" w:color="auto"/>
              <w:right w:val="single" w:sz="8" w:space="0" w:color="auto"/>
            </w:tcBorders>
            <w:shd w:val="clear" w:color="auto" w:fill="auto"/>
            <w:vAlign w:val="center"/>
            <w:hideMark/>
          </w:tcPr>
          <w:p w:rsidR="004D2F8A" w:rsidRPr="004D2F8A" w:rsidP="00A552EE" w14:paraId="606B5344" w14:textId="77777777">
            <w:pPr>
              <w:jc w:val="center"/>
            </w:pPr>
            <w:r w:rsidRPr="004D2F8A">
              <w:t>No</w:t>
            </w:r>
          </w:p>
        </w:tc>
      </w:tr>
    </w:tbl>
    <w:p w:rsidR="00AE7058" w:rsidP="00AE7058" w14:paraId="217ECE9E" w14:textId="77777777"/>
    <w:p w:rsidR="00AE7058" w:rsidP="00AE7058" w14:paraId="18C9560C" w14:textId="51C880D4">
      <w:r>
        <w:t>For the activities related to the ozone standards shown in this table, EPA reviewed possible actions that could occur during the 2024-2026 period based on the classification of nonattainment areas (Marginal, Moderate, Serious, Severe, or Extreme) and the latest information about ambient conditions in those areas. For the periodic emissions inventory, EPA assumed all 58 existing nonattainment areas would need to do a periodic inventory. These inventories are not identical to those submitted to EPA for the AERR’s triennial reporting requirement previously described, because the periodic inventories have several differences. Thus, EPA counts here only the additional effort (beyond what would be done for the AERR) needed for states with existing nonattainment areas to create the nonattainment area inventories.</w:t>
      </w:r>
    </w:p>
    <w:p w:rsidR="00C3782D" w:rsidP="00AE7058" w14:paraId="1CFF68DD" w14:textId="77777777"/>
    <w:p w:rsidR="00AE7058" w:rsidP="00AE7058" w14:paraId="7EF6CB3E" w14:textId="00EFC822">
      <w:r>
        <w:t>For the ozone NAAQS projected 10-year inventory for maintenance plans, EPA has assumed the following numbers of state-area (or “area-SLT”) combinations to arrive at the count of 14 shown in the table: 2008 ozone standard (3), 2015 ozone standard (11). A state-area combination reflects that a single nonattainment or maintenance area may overlap with 3 states, for example, the New York-New Jersey-Long Island nonattainment area overlaps with New York, New Jersey, and Connecticut. This is consistent with EPA’s assumption that all 58 existing ozone NAAQS nonattainment areas would need to do a periodic inventory. Since each state would separately need to do emissions projections, EPA has counted these separately for purposes of estimating burden.</w:t>
      </w:r>
    </w:p>
    <w:p w:rsidR="00C3782D" w:rsidP="00AE7058" w14:paraId="09DD6B10" w14:textId="77777777"/>
    <w:p w:rsidR="00AE7058" w:rsidP="00AE7058" w14:paraId="5CE01543" w14:textId="25B2B7A3">
      <w:r>
        <w:t xml:space="preserve">In addition, for ozone, EPA arrived at a count of 52 new or updated base year inventories for the nonattainment areas, as follows. Each of the following occurrences would trigger a state to need to prepare such an inventory: 2008 ozone standard areas reclassified from Serious to Severe (7), 2015 standard areas reclassified from Marginal to Moderate (5) and from Marginal or Moderate to Serious (31), and areas needing maintenance plans (9). Lastly for the ozone standard, a reclassification from </w:t>
      </w:r>
      <w:r>
        <w:t xml:space="preserve">Moderate to Severe would cause an area/state to create a new modeled attainment demonstration, so EPA has counted a possible 38 such demonstrations requiring modeling inventories during the period of this </w:t>
      </w:r>
      <w:r w:rsidR="00A552EE">
        <w:t>ICR</w:t>
      </w:r>
      <w:r>
        <w:t>.</w:t>
      </w:r>
    </w:p>
    <w:p w:rsidR="00C3782D" w:rsidP="00AE7058" w14:paraId="4503AD18" w14:textId="77777777"/>
    <w:p w:rsidR="00AE7058" w:rsidP="00AE7058" w14:paraId="1B9CA267" w14:textId="112E6AE9">
      <w:r>
        <w:t>For ozone transport SIPs, there are not necessarily any specific submissions from states that EPA believes would occur during the 2024-2026 period. However, states may need to develop emissions inventories (or revise EPA inventories) during the period so that they could meet requirements for submissions after 2026. Thus, EPA assumes 23 upwind states based on its latest proposed rulemaking would have emissions inventory activities during the period of the RIA.</w:t>
      </w:r>
    </w:p>
    <w:p w:rsidR="00C3782D" w:rsidP="00AE7058" w14:paraId="141944A6" w14:textId="77777777"/>
    <w:p w:rsidR="00AE7058" w:rsidP="00AE7058" w14:paraId="630F14F2" w14:textId="6D058226">
      <w:r>
        <w:t>For the PM</w:t>
      </w:r>
      <w:r w:rsidRPr="00A552EE">
        <w:rPr>
          <w:vertAlign w:val="subscript"/>
        </w:rPr>
        <w:t>2.5</w:t>
      </w:r>
      <w:r>
        <w:t xml:space="preserve"> standards, EPA reviewed possible actions that could occur during the period for this ICR based on the classification of nonattainment areas (i.e., Moderate or Serious). In the case of PM</w:t>
      </w:r>
      <w:r w:rsidRPr="00A552EE" w:rsidR="00A552EE">
        <w:rPr>
          <w:vertAlign w:val="subscript"/>
        </w:rPr>
        <w:t>2.5</w:t>
      </w:r>
      <w:r>
        <w:t xml:space="preserve"> SIPs, projected inventories could be needed either for a 10-year inventory for a maintenance plan or for a projected attainment year inventory for a Moderate or Serious SIP. The EPA anticipates that the following could occur </w:t>
      </w:r>
      <w:r w:rsidR="00A552EE">
        <w:t>(</w:t>
      </w:r>
      <w:r>
        <w:t xml:space="preserve">during the </w:t>
      </w:r>
      <w:r w:rsidR="00A552EE">
        <w:t xml:space="preserve">2024-2026 </w:t>
      </w:r>
      <w:r>
        <w:t>period</w:t>
      </w:r>
      <w:r w:rsidR="00A552EE">
        <w:t>)</w:t>
      </w:r>
      <w:r>
        <w:t xml:space="preserve"> resulting in 14 future-year projected inventories: </w:t>
      </w:r>
      <w:r w:rsidR="00A552EE">
        <w:t>m</w:t>
      </w:r>
      <w:r>
        <w:t>aintenance plans for the 1997 PM</w:t>
      </w:r>
      <w:r w:rsidRPr="00A552EE" w:rsidR="00A552EE">
        <w:rPr>
          <w:vertAlign w:val="subscript"/>
        </w:rPr>
        <w:t>2.5</w:t>
      </w:r>
      <w:r>
        <w:t xml:space="preserve"> standard (3) and for the 2006 PM</w:t>
      </w:r>
      <w:r w:rsidRPr="00A552EE" w:rsidR="00A552EE">
        <w:rPr>
          <w:vertAlign w:val="subscript"/>
        </w:rPr>
        <w:t>2.5</w:t>
      </w:r>
      <w:r>
        <w:t xml:space="preserve"> standard (7), 2012 PM</w:t>
      </w:r>
      <w:r w:rsidRPr="00A552EE" w:rsidR="00A552EE">
        <w:rPr>
          <w:vertAlign w:val="subscript"/>
        </w:rPr>
        <w:t>2.5</w:t>
      </w:r>
      <w:r>
        <w:t xml:space="preserve"> standard areas bumped from Moderate to Serious (2), and 2012 PM</w:t>
      </w:r>
      <w:r w:rsidRPr="00A552EE" w:rsidR="00A552EE">
        <w:rPr>
          <w:vertAlign w:val="subscript"/>
        </w:rPr>
        <w:t>2.5</w:t>
      </w:r>
      <w:r>
        <w:t xml:space="preserve"> standard Serious area attainment plans due (2). For new base year inventories for the nonattainment areas, EPA anticipates a total of 22 of these as follows: for all the cases just described for PM</w:t>
      </w:r>
      <w:r w:rsidRPr="00A552EE" w:rsidR="00A552EE">
        <w:rPr>
          <w:vertAlign w:val="subscript"/>
        </w:rPr>
        <w:t>2.5</w:t>
      </w:r>
      <w:r>
        <w:t xml:space="preserve"> SIP projected attainment inventories above (14) and for second maintenance plans (8).</w:t>
      </w:r>
    </w:p>
    <w:p w:rsidR="00C3782D" w:rsidP="00AE7058" w14:paraId="22C40FE2" w14:textId="77777777"/>
    <w:p w:rsidR="00AE7058" w:rsidP="00AE7058" w14:paraId="54A36559" w14:textId="2B60572C">
      <w:r>
        <w:t>In addition to the ozone and PM</w:t>
      </w:r>
      <w:r w:rsidRPr="00A552EE" w:rsidR="00A552EE">
        <w:rPr>
          <w:vertAlign w:val="subscript"/>
        </w:rPr>
        <w:t>2.5</w:t>
      </w:r>
      <w:r>
        <w:t xml:space="preserve"> standards where most of the activities would occur during the 2024-2026 period, EPA considered whether any state activities beyond the AERR reporting activities would be necessary for the NOX SIP call (40 CFR 51, Subpart G) and determined that there are not. For Regional Haze SIPs, the inventory work needed for the 2025 progress reports would generally have been completed prior to 2024, but the emissions inventory work for the </w:t>
      </w:r>
      <w:r w:rsidR="00A552EE">
        <w:t>third</w:t>
      </w:r>
      <w:r>
        <w:t xml:space="preserve"> planning period will likely occur in part during 2025 and 2026. The EPA also considered whether any emissions-related SIP work would be necessary for CO or NO</w:t>
      </w:r>
      <w:r w:rsidRPr="00602B41">
        <w:rPr>
          <w:vertAlign w:val="subscript"/>
        </w:rPr>
        <w:t>2</w:t>
      </w:r>
      <w:r>
        <w:t xml:space="preserve"> maintenance areas and concluded none would occur during the 2024-2026 analysis period. Finally, for SO</w:t>
      </w:r>
      <w:r w:rsidRPr="00602B41">
        <w:rPr>
          <w:vertAlign w:val="subscript"/>
        </w:rPr>
        <w:t>2</w:t>
      </w:r>
      <w:r>
        <w:t xml:space="preserve"> and Lead nonattainment areas, while some activities related to emissions may occur, EPA assumes that no additional emissions activities beyond what SLTs do for annual and triennial emissions reporting and permitting efforts already covered by ICRs would be needed. This is in part because emissions levels used in modeling for these SIPs are usually PTE levels, the values for which are available in permits and collected via other ICRs as previously described.</w:t>
      </w:r>
    </w:p>
    <w:p w:rsidR="00C3782D" w:rsidP="00AE7058" w14:paraId="5851A779" w14:textId="77777777"/>
    <w:p w:rsidR="00AE7058" w:rsidP="00AE7058" w14:paraId="1B73F494" w14:textId="1A8DCE60">
      <w:r>
        <w:t>The EPA additionally has assumed that no further emissions inventory preparation burden exists for NO</w:t>
      </w:r>
      <w:r w:rsidRPr="00602B41">
        <w:rPr>
          <w:vertAlign w:val="subscript"/>
        </w:rPr>
        <w:t>2</w:t>
      </w:r>
      <w:r>
        <w:t>, SO</w:t>
      </w:r>
      <w:r w:rsidRPr="00602B41">
        <w:rPr>
          <w:vertAlign w:val="subscript"/>
        </w:rPr>
        <w:t>2</w:t>
      </w:r>
      <w:r>
        <w:t xml:space="preserve">, or Lead SIP development. This assumption has been made because SIPs for these pollutants use source-specific analyses that require detailed PTE emissions and facility emissions release parameters. The PTE information is included in facility permits and its collection is, therefore, covered by the 40 CFR Part 70 State Operating Permit Program (EPA ICR Number 1587.15, OMB Control Number 2060-0243) and the 40 CFR Part 71 Federal Operating Program (EPA ICR Number 1713.13, OMB Control Number 2060-0336). The emissions release parameters for those facilities needed for completing these SIPs are covered by the annual emissions inventory collection, for which the burden is included in this </w:t>
      </w:r>
      <w:r>
        <w:t>analysis. Finally, EPA has identified that no CO maintenance plans or SIPs are due during the 2024-2026 period of this analysis.</w:t>
      </w:r>
    </w:p>
    <w:p w:rsidR="00C3782D" w:rsidP="00AE7058" w14:paraId="53997C38" w14:textId="77777777"/>
    <w:p w:rsidR="00AE7058" w:rsidP="00877276" w14:paraId="4A7AA529" w14:textId="02BEA815">
      <w:pPr>
        <w:pStyle w:val="AppendixHeading3"/>
      </w:pPr>
      <w:bookmarkStart w:id="56" w:name="_Ref137128907"/>
      <w:r>
        <w:t>SLT burden for emissions-related SIP requirements</w:t>
      </w:r>
      <w:bookmarkEnd w:id="56"/>
    </w:p>
    <w:p w:rsidR="00AE7058" w:rsidP="00AE7058" w14:paraId="5E1EF61A" w14:textId="719F15EB">
      <w:r>
        <w:t xml:space="preserve">To estimate costs associated with SIP emissions inventory data preparation, this methodology uses three steps. First, as listed in </w:t>
      </w:r>
      <w:r w:rsidR="00A552EE">
        <w:fldChar w:fldCharType="begin"/>
      </w:r>
      <w:r w:rsidR="00A552EE">
        <w:instrText xml:space="preserve"> REF _Ref137125570 \h </w:instrText>
      </w:r>
      <w:r w:rsidR="00A552EE">
        <w:fldChar w:fldCharType="separate"/>
      </w:r>
      <w:r w:rsidR="00646F0F">
        <w:t>Table C-</w:t>
      </w:r>
      <w:r w:rsidR="00646F0F">
        <w:rPr>
          <w:noProof/>
        </w:rPr>
        <w:t>1</w:t>
      </w:r>
      <w:r w:rsidR="00A552EE">
        <w:fldChar w:fldCharType="end"/>
      </w:r>
      <w:r>
        <w:t>, EPA estimated the number of states or local agencies that will need to create emissions data for each emissions-related SIP activity occurring during the 2024-2026 analysis period (e.g., for the ozone program this would be the number of agencies with nonattainment planning obligations; for the regional haze program, this would be each state air agency). Second, EPA estimated the number of hours associated with creating the emissions data that are beyond hours associated with emissions work for annual and triennial submissions under the AERR. Third, EPA multiplied the number of entities and the number of hours to get the total hours, including hourly cost information in those calculations to also get annualized costs.</w:t>
      </w:r>
    </w:p>
    <w:p w:rsidR="00C3782D" w:rsidP="00AE7058" w14:paraId="37614175" w14:textId="77777777"/>
    <w:p w:rsidR="00AE7058" w:rsidP="00AE7058" w14:paraId="64D425F9" w14:textId="13BE8FC7">
      <w:r>
        <w:t xml:space="preserve">Based on the standards and activities listed in </w:t>
      </w:r>
      <w:r w:rsidR="003113AB">
        <w:fldChar w:fldCharType="begin"/>
      </w:r>
      <w:r w:rsidR="003113AB">
        <w:instrText xml:space="preserve"> REF _Ref137126029 \h </w:instrText>
      </w:r>
      <w:r w:rsidR="003113AB">
        <w:fldChar w:fldCharType="separate"/>
      </w:r>
      <w:r w:rsidR="00646F0F">
        <w:t>Table C-</w:t>
      </w:r>
      <w:r w:rsidR="00646F0F">
        <w:rPr>
          <w:noProof/>
        </w:rPr>
        <w:t>2</w:t>
      </w:r>
      <w:r w:rsidR="003113AB">
        <w:fldChar w:fldCharType="end"/>
      </w:r>
      <w:r>
        <w:t xml:space="preserve">, EPA grouped activities across the air quality standards and aggregated the areas affected. The "Number affected" column in </w:t>
      </w:r>
      <w:r w:rsidR="003113AB">
        <w:fldChar w:fldCharType="begin"/>
      </w:r>
      <w:r w:rsidR="003113AB">
        <w:instrText xml:space="preserve"> REF _Ref137126029 \h </w:instrText>
      </w:r>
      <w:r w:rsidR="003113AB">
        <w:fldChar w:fldCharType="separate"/>
      </w:r>
      <w:r w:rsidR="00646F0F">
        <w:t>Table C-</w:t>
      </w:r>
      <w:r w:rsidR="00646F0F">
        <w:rPr>
          <w:noProof/>
        </w:rPr>
        <w:t>2</w:t>
      </w:r>
      <w:r w:rsidR="003113AB">
        <w:fldChar w:fldCharType="end"/>
      </w:r>
      <w:r>
        <w:t xml:space="preserve"> provides the totals of affected nonattainment areas and/or states. The other columns in that table provide EPA’s estimated number of additional annual hours beyond annual/triennial reporting to perform the emissions-related steps for SIPs. A party performing these activities would, at most, perform each activity listed only once during the 3-year analysis period. So, to provide the annualized burden per entity, EPA divided the total number of hours for each activity by 3. The EPA assumed that managerial hours for these tasks were 5 percent of the technical hours. For preparation of periodic ozone season emissions, EPA calculated that there are on average 1.3 states associated with each ozone nonattainment area. Since the row included periodic inventories counts by area, the hours were set to be 30 percent higher in this row than for similar activities in the subsequent two rows.</w:t>
      </w:r>
    </w:p>
    <w:p w:rsidR="00C3782D" w:rsidP="00AE7058" w14:paraId="5E98E3F6" w14:textId="77777777"/>
    <w:p w:rsidR="00AE7058" w:rsidP="003113AB" w14:paraId="39C1BC31" w14:textId="30E50633">
      <w:pPr>
        <w:pStyle w:val="Caption"/>
      </w:pPr>
      <w:bookmarkStart w:id="57" w:name="_Ref137126029"/>
      <w:r>
        <w:t>Table C-</w:t>
      </w:r>
      <w:r w:rsidR="00E05ECE">
        <w:fldChar w:fldCharType="begin"/>
      </w:r>
      <w:r w:rsidR="00E05ECE">
        <w:instrText xml:space="preserve"> SEQ Table_C- \* ARABIC </w:instrText>
      </w:r>
      <w:r w:rsidR="00E05ECE">
        <w:fldChar w:fldCharType="separate"/>
      </w:r>
      <w:r w:rsidR="00646F0F">
        <w:rPr>
          <w:noProof/>
        </w:rPr>
        <w:t>2</w:t>
      </w:r>
      <w:r w:rsidR="00E05ECE">
        <w:rPr>
          <w:noProof/>
        </w:rPr>
        <w:fldChar w:fldCharType="end"/>
      </w:r>
      <w:bookmarkEnd w:id="57"/>
      <w:r w:rsidRPr="003113AB">
        <w:t>:</w:t>
      </w:r>
      <w:r>
        <w:t xml:space="preserve"> Annualized Burden per SLT respondent for SIP emissions activities </w:t>
      </w:r>
    </w:p>
    <w:tbl>
      <w:tblPr>
        <w:tblStyle w:val="TableGrid"/>
        <w:tblW w:w="9663" w:type="dxa"/>
        <w:tblLook w:val="04A0"/>
      </w:tblPr>
      <w:tblGrid>
        <w:gridCol w:w="3351"/>
        <w:gridCol w:w="972"/>
        <w:gridCol w:w="1034"/>
        <w:gridCol w:w="1256"/>
        <w:gridCol w:w="1144"/>
        <w:gridCol w:w="852"/>
        <w:gridCol w:w="1054"/>
      </w:tblGrid>
      <w:tr w14:paraId="10C5A3C9" w14:textId="77777777" w:rsidTr="00C647BD">
        <w:tblPrEx>
          <w:tblW w:w="9663" w:type="dxa"/>
          <w:tblLook w:val="04A0"/>
        </w:tblPrEx>
        <w:trPr>
          <w:tblHeader/>
        </w:trPr>
        <w:tc>
          <w:tcPr>
            <w:tcW w:w="3415" w:type="dxa"/>
            <w:vAlign w:val="bottom"/>
          </w:tcPr>
          <w:p w:rsidR="00C647BD" w:rsidRPr="00C647BD" w:rsidP="00C647BD" w14:paraId="0A531D3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rPr>
                <w:b/>
                <w:bCs/>
              </w:rPr>
            </w:pPr>
            <w:r w:rsidRPr="00C647BD">
              <w:rPr>
                <w:b/>
                <w:bCs/>
              </w:rPr>
              <w:t>Activity</w:t>
            </w:r>
          </w:p>
        </w:tc>
        <w:tc>
          <w:tcPr>
            <w:tcW w:w="900" w:type="dxa"/>
            <w:vAlign w:val="bottom"/>
          </w:tcPr>
          <w:p w:rsidR="00C647BD" w:rsidRPr="00C647BD" w:rsidP="00C647BD" w14:paraId="31958D2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Number affected</w:t>
            </w:r>
          </w:p>
        </w:tc>
        <w:tc>
          <w:tcPr>
            <w:tcW w:w="1044" w:type="dxa"/>
            <w:vAlign w:val="bottom"/>
          </w:tcPr>
          <w:p w:rsidR="00C647BD" w:rsidRPr="00C647BD" w:rsidP="00C647BD" w14:paraId="51549211"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Count By</w:t>
            </w:r>
          </w:p>
        </w:tc>
        <w:tc>
          <w:tcPr>
            <w:tcW w:w="1256" w:type="dxa"/>
            <w:vAlign w:val="bottom"/>
          </w:tcPr>
          <w:p w:rsidR="00C647BD" w:rsidRPr="00C647BD" w:rsidP="00C647BD" w14:paraId="347476E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Manager Hrs/yr @ $118.94/Hr</w:t>
            </w:r>
          </w:p>
        </w:tc>
        <w:tc>
          <w:tcPr>
            <w:tcW w:w="1144" w:type="dxa"/>
            <w:vAlign w:val="bottom"/>
          </w:tcPr>
          <w:p w:rsidR="00C647BD" w:rsidRPr="00C647BD" w:rsidP="00C647BD" w14:paraId="73028F3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Engineer Hrs/yr @ $90.83/Hr</w:t>
            </w:r>
          </w:p>
        </w:tc>
        <w:tc>
          <w:tcPr>
            <w:tcW w:w="852" w:type="dxa"/>
            <w:vAlign w:val="bottom"/>
          </w:tcPr>
          <w:p w:rsidR="00C647BD" w:rsidRPr="00C647BD" w:rsidP="00C647BD" w14:paraId="443D81F5" w14:textId="7499CF14">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Total Hours/</w:t>
            </w:r>
            <w:r>
              <w:rPr>
                <w:b/>
                <w:bCs/>
              </w:rPr>
              <w:br/>
            </w:r>
            <w:r w:rsidRPr="00C647BD">
              <w:rPr>
                <w:b/>
                <w:bCs/>
              </w:rPr>
              <w:t>Year</w:t>
            </w:r>
          </w:p>
        </w:tc>
        <w:tc>
          <w:tcPr>
            <w:tcW w:w="1052" w:type="dxa"/>
            <w:vAlign w:val="bottom"/>
          </w:tcPr>
          <w:p w:rsidR="00C647BD" w:rsidRPr="00C647BD" w:rsidP="00C647BD" w14:paraId="06AF5E69" w14:textId="4714EEFE">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C647BD">
              <w:rPr>
                <w:b/>
                <w:bCs/>
              </w:rPr>
              <w:t>Labor Cost/</w:t>
            </w:r>
            <w:r>
              <w:rPr>
                <w:b/>
                <w:bCs/>
              </w:rPr>
              <w:br/>
            </w:r>
            <w:r w:rsidRPr="00C647BD">
              <w:rPr>
                <w:b/>
                <w:bCs/>
              </w:rPr>
              <w:t>Year</w:t>
            </w:r>
          </w:p>
        </w:tc>
      </w:tr>
      <w:tr w14:paraId="69EF838D" w14:textId="77777777" w:rsidTr="00C647BD">
        <w:tblPrEx>
          <w:tblW w:w="9663" w:type="dxa"/>
          <w:tblLook w:val="04A0"/>
        </w:tblPrEx>
        <w:tc>
          <w:tcPr>
            <w:tcW w:w="3415" w:type="dxa"/>
          </w:tcPr>
          <w:p w:rsidR="00C647BD" w:rsidRPr="006932EF" w:rsidP="006932EF" w14:paraId="09290DF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6932EF">
              <w:t>1. SLT prepare periodic ozone season emissions for point, nonpoint, mobile, and events</w:t>
            </w:r>
          </w:p>
        </w:tc>
        <w:tc>
          <w:tcPr>
            <w:tcW w:w="900" w:type="dxa"/>
            <w:vAlign w:val="center"/>
          </w:tcPr>
          <w:p w:rsidR="00C647BD" w:rsidRPr="006932EF" w:rsidP="00C647BD" w14:paraId="070A970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58</w:t>
            </w:r>
          </w:p>
        </w:tc>
        <w:tc>
          <w:tcPr>
            <w:tcW w:w="1044" w:type="dxa"/>
            <w:vAlign w:val="center"/>
          </w:tcPr>
          <w:p w:rsidR="00C647BD" w:rsidRPr="006932EF" w:rsidP="00C647BD" w14:paraId="3C519607"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Area</w:t>
            </w:r>
          </w:p>
        </w:tc>
        <w:tc>
          <w:tcPr>
            <w:tcW w:w="1256" w:type="dxa"/>
            <w:vAlign w:val="center"/>
          </w:tcPr>
          <w:p w:rsidR="00C647BD" w:rsidRPr="006932EF" w:rsidP="00C647BD" w14:paraId="20F56F4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10.67</w:t>
            </w:r>
          </w:p>
        </w:tc>
        <w:tc>
          <w:tcPr>
            <w:tcW w:w="1144" w:type="dxa"/>
            <w:vAlign w:val="center"/>
          </w:tcPr>
          <w:p w:rsidR="00C647BD" w:rsidRPr="006932EF" w:rsidP="00C647BD" w14:paraId="02B9A28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208</w:t>
            </w:r>
          </w:p>
        </w:tc>
        <w:tc>
          <w:tcPr>
            <w:tcW w:w="852" w:type="dxa"/>
            <w:vAlign w:val="center"/>
          </w:tcPr>
          <w:p w:rsidR="00C647BD" w:rsidRPr="006932EF" w:rsidP="00C647BD" w14:paraId="269CB1F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219</w:t>
            </w:r>
          </w:p>
        </w:tc>
        <w:tc>
          <w:tcPr>
            <w:tcW w:w="1052" w:type="dxa"/>
            <w:vAlign w:val="center"/>
          </w:tcPr>
          <w:p w:rsidR="00C647BD" w:rsidRPr="006932EF" w:rsidP="00C647BD" w14:paraId="64642EE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6932EF">
              <w:t>$20,160</w:t>
            </w:r>
          </w:p>
        </w:tc>
      </w:tr>
      <w:tr w14:paraId="2167C6E1" w14:textId="77777777" w:rsidTr="00C647BD">
        <w:tblPrEx>
          <w:tblW w:w="9663" w:type="dxa"/>
          <w:tblLook w:val="04A0"/>
        </w:tblPrEx>
        <w:tc>
          <w:tcPr>
            <w:tcW w:w="3415" w:type="dxa"/>
          </w:tcPr>
          <w:p w:rsidR="00C647BD" w:rsidRPr="006932EF" w:rsidP="006932EF" w14:paraId="383C397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6932EF">
              <w:t>2. SLT prepare any projected year NAA emissions for point, nonpoint, and mobile</w:t>
            </w:r>
          </w:p>
        </w:tc>
        <w:tc>
          <w:tcPr>
            <w:tcW w:w="900" w:type="dxa"/>
            <w:vAlign w:val="center"/>
          </w:tcPr>
          <w:p w:rsidR="00C647BD" w:rsidRPr="006932EF" w:rsidP="00C647BD" w14:paraId="797548CB"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28</w:t>
            </w:r>
          </w:p>
        </w:tc>
        <w:tc>
          <w:tcPr>
            <w:tcW w:w="1044" w:type="dxa"/>
            <w:vAlign w:val="center"/>
          </w:tcPr>
          <w:p w:rsidR="00C647BD" w:rsidRPr="006932EF" w:rsidP="00C647BD" w14:paraId="2376874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Area and State</w:t>
            </w:r>
          </w:p>
        </w:tc>
        <w:tc>
          <w:tcPr>
            <w:tcW w:w="1256" w:type="dxa"/>
            <w:vAlign w:val="center"/>
          </w:tcPr>
          <w:p w:rsidR="00C647BD" w:rsidRPr="006932EF" w:rsidP="00C647BD" w14:paraId="1530D8F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8.67</w:t>
            </w:r>
          </w:p>
        </w:tc>
        <w:tc>
          <w:tcPr>
            <w:tcW w:w="1144" w:type="dxa"/>
            <w:vAlign w:val="center"/>
          </w:tcPr>
          <w:p w:rsidR="00C647BD" w:rsidRPr="006932EF" w:rsidP="00C647BD" w14:paraId="0DFFF5E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173.33</w:t>
            </w:r>
          </w:p>
        </w:tc>
        <w:tc>
          <w:tcPr>
            <w:tcW w:w="852" w:type="dxa"/>
            <w:vAlign w:val="center"/>
          </w:tcPr>
          <w:p w:rsidR="00C647BD" w:rsidRPr="006932EF" w:rsidP="00C647BD" w14:paraId="2F88D8DD"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182</w:t>
            </w:r>
          </w:p>
        </w:tc>
        <w:tc>
          <w:tcPr>
            <w:tcW w:w="1052" w:type="dxa"/>
            <w:vAlign w:val="center"/>
          </w:tcPr>
          <w:p w:rsidR="00C647BD" w:rsidRPr="006932EF" w:rsidP="00C647BD" w14:paraId="2FF4502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6932EF">
              <w:t>$16,774</w:t>
            </w:r>
          </w:p>
        </w:tc>
      </w:tr>
      <w:tr w14:paraId="215FCF6A" w14:textId="77777777" w:rsidTr="00C647BD">
        <w:tblPrEx>
          <w:tblW w:w="9663" w:type="dxa"/>
          <w:tblLook w:val="04A0"/>
        </w:tblPrEx>
        <w:tc>
          <w:tcPr>
            <w:tcW w:w="3415" w:type="dxa"/>
          </w:tcPr>
          <w:p w:rsidR="00C647BD" w:rsidRPr="006932EF" w:rsidP="006932EF" w14:paraId="4BF596AF"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6932EF">
              <w:t>3. SLT prepare any base year inventory for the NAA</w:t>
            </w:r>
          </w:p>
        </w:tc>
        <w:tc>
          <w:tcPr>
            <w:tcW w:w="900" w:type="dxa"/>
            <w:vAlign w:val="center"/>
          </w:tcPr>
          <w:p w:rsidR="00C647BD" w:rsidRPr="006932EF" w:rsidP="00C647BD" w14:paraId="27A2A5A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74</w:t>
            </w:r>
          </w:p>
        </w:tc>
        <w:tc>
          <w:tcPr>
            <w:tcW w:w="1044" w:type="dxa"/>
            <w:vAlign w:val="center"/>
          </w:tcPr>
          <w:p w:rsidR="00C647BD" w:rsidRPr="006932EF" w:rsidP="00C647BD" w14:paraId="25B97E4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Area and State</w:t>
            </w:r>
          </w:p>
        </w:tc>
        <w:tc>
          <w:tcPr>
            <w:tcW w:w="1256" w:type="dxa"/>
            <w:vAlign w:val="center"/>
          </w:tcPr>
          <w:p w:rsidR="00C647BD" w:rsidRPr="006932EF" w:rsidP="00C647BD" w14:paraId="582DA99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17.33</w:t>
            </w:r>
          </w:p>
        </w:tc>
        <w:tc>
          <w:tcPr>
            <w:tcW w:w="1144" w:type="dxa"/>
            <w:vAlign w:val="center"/>
          </w:tcPr>
          <w:p w:rsidR="00C647BD" w:rsidRPr="006932EF" w:rsidP="00C647BD" w14:paraId="6ACF796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346.67</w:t>
            </w:r>
          </w:p>
        </w:tc>
        <w:tc>
          <w:tcPr>
            <w:tcW w:w="852" w:type="dxa"/>
            <w:vAlign w:val="center"/>
          </w:tcPr>
          <w:p w:rsidR="00C647BD" w:rsidRPr="006932EF" w:rsidP="00C647BD" w14:paraId="3471D1DE"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364</w:t>
            </w:r>
          </w:p>
        </w:tc>
        <w:tc>
          <w:tcPr>
            <w:tcW w:w="1052" w:type="dxa"/>
            <w:vAlign w:val="center"/>
          </w:tcPr>
          <w:p w:rsidR="00C647BD" w:rsidRPr="006932EF" w:rsidP="00C647BD" w14:paraId="0D8CFCF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6932EF">
              <w:t>$33,548</w:t>
            </w:r>
          </w:p>
        </w:tc>
      </w:tr>
      <w:tr w14:paraId="162FF3F8" w14:textId="77777777" w:rsidTr="00C647BD">
        <w:tblPrEx>
          <w:tblW w:w="9663" w:type="dxa"/>
          <w:tblLook w:val="04A0"/>
        </w:tblPrEx>
        <w:tc>
          <w:tcPr>
            <w:tcW w:w="3415" w:type="dxa"/>
          </w:tcPr>
          <w:p w:rsidR="00C647BD" w:rsidRPr="006932EF" w:rsidP="006932EF" w14:paraId="0CF49C3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6932EF">
              <w:t xml:space="preserve">4. SLT prepare emissions for any modeled attainment demonstration (includes future </w:t>
            </w:r>
            <w:r w:rsidRPr="006932EF">
              <w:t>emissions and processing)</w:t>
            </w:r>
          </w:p>
        </w:tc>
        <w:tc>
          <w:tcPr>
            <w:tcW w:w="900" w:type="dxa"/>
            <w:vAlign w:val="center"/>
          </w:tcPr>
          <w:p w:rsidR="00C647BD" w:rsidRPr="006932EF" w:rsidP="00C647BD" w14:paraId="1F1A55C8"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42</w:t>
            </w:r>
          </w:p>
        </w:tc>
        <w:tc>
          <w:tcPr>
            <w:tcW w:w="1044" w:type="dxa"/>
            <w:vAlign w:val="center"/>
          </w:tcPr>
          <w:p w:rsidR="00C647BD" w:rsidRPr="006932EF" w:rsidP="00C647BD" w14:paraId="5059A50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Area and State</w:t>
            </w:r>
          </w:p>
        </w:tc>
        <w:tc>
          <w:tcPr>
            <w:tcW w:w="1256" w:type="dxa"/>
            <w:vAlign w:val="center"/>
          </w:tcPr>
          <w:p w:rsidR="00C647BD" w:rsidRPr="006932EF" w:rsidP="00C647BD" w14:paraId="1A1D19C5"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8.67</w:t>
            </w:r>
          </w:p>
        </w:tc>
        <w:tc>
          <w:tcPr>
            <w:tcW w:w="1144" w:type="dxa"/>
            <w:vAlign w:val="center"/>
          </w:tcPr>
          <w:p w:rsidR="00C647BD" w:rsidRPr="006932EF" w:rsidP="00C647BD" w14:paraId="697269B0"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173.33</w:t>
            </w:r>
          </w:p>
        </w:tc>
        <w:tc>
          <w:tcPr>
            <w:tcW w:w="852" w:type="dxa"/>
            <w:vAlign w:val="center"/>
          </w:tcPr>
          <w:p w:rsidR="00C647BD" w:rsidRPr="006932EF" w:rsidP="00C647BD" w14:paraId="654D7DF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182</w:t>
            </w:r>
          </w:p>
        </w:tc>
        <w:tc>
          <w:tcPr>
            <w:tcW w:w="1052" w:type="dxa"/>
            <w:vAlign w:val="center"/>
          </w:tcPr>
          <w:p w:rsidR="00C647BD" w:rsidRPr="006932EF" w:rsidP="00C647BD" w14:paraId="68E5942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6932EF">
              <w:t>$16,774</w:t>
            </w:r>
          </w:p>
        </w:tc>
      </w:tr>
      <w:tr w14:paraId="491A1FB2" w14:textId="77777777" w:rsidTr="00C647BD">
        <w:tblPrEx>
          <w:tblW w:w="9663" w:type="dxa"/>
          <w:tblLook w:val="04A0"/>
        </w:tblPrEx>
        <w:tc>
          <w:tcPr>
            <w:tcW w:w="3415" w:type="dxa"/>
          </w:tcPr>
          <w:p w:rsidR="00C647BD" w:rsidRPr="006932EF" w:rsidP="00DF6390" w14:paraId="10C2E1D7"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6932EF">
              <w:t>5. SLT prepare emissions for regional haze modeling for 3rd planning period</w:t>
            </w:r>
          </w:p>
        </w:tc>
        <w:tc>
          <w:tcPr>
            <w:tcW w:w="900" w:type="dxa"/>
            <w:vAlign w:val="center"/>
          </w:tcPr>
          <w:p w:rsidR="00C647BD" w:rsidRPr="006932EF" w:rsidP="00DF6390" w14:paraId="1F5EB9AB"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51</w:t>
            </w:r>
          </w:p>
        </w:tc>
        <w:tc>
          <w:tcPr>
            <w:tcW w:w="1044" w:type="dxa"/>
            <w:vAlign w:val="center"/>
          </w:tcPr>
          <w:p w:rsidR="00C647BD" w:rsidRPr="006932EF" w:rsidP="00DF6390" w14:paraId="10059051"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State</w:t>
            </w:r>
          </w:p>
        </w:tc>
        <w:tc>
          <w:tcPr>
            <w:tcW w:w="1256" w:type="dxa"/>
            <w:vAlign w:val="center"/>
          </w:tcPr>
          <w:p w:rsidR="00C647BD" w:rsidRPr="006932EF" w:rsidP="00DF6390" w14:paraId="407E39EF"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17.33</w:t>
            </w:r>
          </w:p>
        </w:tc>
        <w:tc>
          <w:tcPr>
            <w:tcW w:w="1144" w:type="dxa"/>
            <w:vAlign w:val="center"/>
          </w:tcPr>
          <w:p w:rsidR="00C647BD" w:rsidRPr="006932EF" w:rsidP="00DF6390" w14:paraId="45815CBE"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346.67</w:t>
            </w:r>
          </w:p>
        </w:tc>
        <w:tc>
          <w:tcPr>
            <w:tcW w:w="852" w:type="dxa"/>
            <w:vAlign w:val="center"/>
          </w:tcPr>
          <w:p w:rsidR="00C647BD" w:rsidRPr="006932EF" w:rsidP="00DF6390" w14:paraId="0ECFB37A"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6932EF">
              <w:t>364</w:t>
            </w:r>
          </w:p>
        </w:tc>
        <w:tc>
          <w:tcPr>
            <w:tcW w:w="1052" w:type="dxa"/>
            <w:vAlign w:val="center"/>
          </w:tcPr>
          <w:p w:rsidR="00C647BD" w:rsidRPr="006932EF" w:rsidP="00DF6390" w14:paraId="5125099D" w14:textId="77777777">
            <w:pPr>
              <w:keepNext/>
              <w:widowControl/>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6932EF">
              <w:t>$33,548</w:t>
            </w:r>
          </w:p>
        </w:tc>
      </w:tr>
      <w:tr w14:paraId="63046A25" w14:textId="77777777" w:rsidTr="00C647BD">
        <w:tblPrEx>
          <w:tblW w:w="9663" w:type="dxa"/>
          <w:tblLook w:val="04A0"/>
        </w:tblPrEx>
        <w:tc>
          <w:tcPr>
            <w:tcW w:w="3415" w:type="dxa"/>
          </w:tcPr>
          <w:p w:rsidR="00C647BD" w:rsidRPr="00DF6390" w:rsidP="006932EF" w14:paraId="242FFF1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rPr>
                <w:b/>
                <w:bCs/>
              </w:rPr>
            </w:pPr>
            <w:r w:rsidRPr="00DF6390">
              <w:rPr>
                <w:b/>
                <w:bCs/>
              </w:rPr>
              <w:t>Average Burden per State</w:t>
            </w:r>
          </w:p>
        </w:tc>
        <w:tc>
          <w:tcPr>
            <w:tcW w:w="900" w:type="dxa"/>
            <w:vAlign w:val="center"/>
          </w:tcPr>
          <w:p w:rsidR="00C647BD" w:rsidRPr="00DF6390" w:rsidP="00C647BD" w14:paraId="605A2C09"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DF6390">
              <w:rPr>
                <w:b/>
                <w:bCs/>
              </w:rPr>
              <w:t>51</w:t>
            </w:r>
          </w:p>
        </w:tc>
        <w:tc>
          <w:tcPr>
            <w:tcW w:w="1044" w:type="dxa"/>
            <w:vAlign w:val="center"/>
          </w:tcPr>
          <w:p w:rsidR="00C647BD" w:rsidRPr="00DF6390" w:rsidP="00C647BD" w14:paraId="7E5839D2"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DF6390">
              <w:rPr>
                <w:b/>
                <w:bCs/>
              </w:rPr>
              <w:t>State</w:t>
            </w:r>
          </w:p>
        </w:tc>
        <w:tc>
          <w:tcPr>
            <w:tcW w:w="1256" w:type="dxa"/>
            <w:vAlign w:val="center"/>
          </w:tcPr>
          <w:p w:rsidR="00C647BD" w:rsidRPr="00DF6390" w:rsidP="00C647BD" w14:paraId="19AF245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DF6390">
              <w:rPr>
                <w:b/>
                <w:bCs/>
              </w:rPr>
              <w:t>67</w:t>
            </w:r>
          </w:p>
        </w:tc>
        <w:tc>
          <w:tcPr>
            <w:tcW w:w="1144" w:type="dxa"/>
            <w:vAlign w:val="center"/>
          </w:tcPr>
          <w:p w:rsidR="00C647BD" w:rsidRPr="00DF6390" w:rsidP="00C647BD" w14:paraId="6F125C4C"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DF6390">
              <w:rPr>
                <w:b/>
                <w:bCs/>
              </w:rPr>
              <w:t>1,324</w:t>
            </w:r>
          </w:p>
        </w:tc>
        <w:tc>
          <w:tcPr>
            <w:tcW w:w="852" w:type="dxa"/>
            <w:vAlign w:val="center"/>
          </w:tcPr>
          <w:p w:rsidR="00C647BD" w:rsidRPr="00DF6390" w:rsidP="00C647BD" w14:paraId="2E6BB404"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DF6390">
              <w:rPr>
                <w:b/>
                <w:bCs/>
              </w:rPr>
              <w:t>1,391</w:t>
            </w:r>
          </w:p>
        </w:tc>
        <w:tc>
          <w:tcPr>
            <w:tcW w:w="1052" w:type="dxa"/>
            <w:vAlign w:val="center"/>
          </w:tcPr>
          <w:p w:rsidR="00C647BD" w:rsidRPr="00DF6390" w:rsidP="00C647BD" w14:paraId="74E5C036"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rPr>
                <w:b/>
                <w:bCs/>
              </w:rPr>
            </w:pPr>
            <w:r w:rsidRPr="00DF6390">
              <w:rPr>
                <w:b/>
                <w:bCs/>
              </w:rPr>
              <w:t>$128,175</w:t>
            </w:r>
          </w:p>
        </w:tc>
      </w:tr>
    </w:tbl>
    <w:p w:rsidR="00AE7058" w:rsidP="00AE7058" w14:paraId="64CE9A5C" w14:textId="77777777"/>
    <w:p w:rsidR="00AE7058" w:rsidP="00AE7058" w14:paraId="6504A299" w14:textId="6CBE2F7C">
      <w:r>
        <w:t xml:space="preserve">To calculate an average value across entities, EPA chose to make this calculation by state (including the District of Columbia), even though some of the burden is also shared by local agencies and tribes. This averaging approach allows for comparison between this analysis and subsequent analyses that would be needed for future SIP-related ICRs, for which the number of estimated entities per activity may change. The EPA recognizes that all emissions-related activities do not apply to all states and that some such activities are performed by local agencies and tribes. The total burden associated with the rule will not be affected by this calculation, but rather, we provide this state average only for comparison purposes with other estimates in this analysis and with subsequent ICRs. </w:t>
      </w:r>
    </w:p>
    <w:p w:rsidR="00C3782D" w:rsidP="00AE7058" w14:paraId="57309956" w14:textId="77777777"/>
    <w:p w:rsidR="00AE7058" w:rsidP="00877276" w14:paraId="7DDEA5FD" w14:textId="3FDC11FD">
      <w:pPr>
        <w:pStyle w:val="AppendixHeading3"/>
      </w:pPr>
      <w:bookmarkStart w:id="58" w:name="_Ref137128915"/>
      <w:r>
        <w:t xml:space="preserve">Burden on </w:t>
      </w:r>
      <w:r w:rsidR="009834D2">
        <w:t>o</w:t>
      </w:r>
      <w:r>
        <w:t>wners/</w:t>
      </w:r>
      <w:r w:rsidR="009834D2">
        <w:t>o</w:t>
      </w:r>
      <w:r>
        <w:t xml:space="preserve">perators </w:t>
      </w:r>
      <w:r w:rsidR="009834D2">
        <w:t>r</w:t>
      </w:r>
      <w:r>
        <w:t xml:space="preserve">elated to </w:t>
      </w:r>
      <w:r w:rsidR="009834D2">
        <w:t>e</w:t>
      </w:r>
      <w:r>
        <w:t xml:space="preserve">missions </w:t>
      </w:r>
      <w:r w:rsidR="009834D2">
        <w:t>i</w:t>
      </w:r>
      <w:r>
        <w:t>nventories for SIPs</w:t>
      </w:r>
      <w:bookmarkEnd w:id="58"/>
    </w:p>
    <w:p w:rsidR="00AE7058" w:rsidP="00AE7058" w14:paraId="6192D604" w14:textId="5542F8E0">
      <w:r>
        <w:t>To estimate burden on owners/operators that is related to emissions inventory submissions in support of SIPs, EPA has estimated the number of affected facilities and the number of hours to report seasonal emissions needed for SIPs that go beyond the effort for annual reporting associated with the AERR (and covered in the primary RIA). These efforts are to report the seasonal data, such as ozone-season-day emissions.</w:t>
      </w:r>
    </w:p>
    <w:p w:rsidR="00C3782D" w:rsidP="00AE7058" w14:paraId="0552949A" w14:textId="77777777"/>
    <w:p w:rsidR="00AE7058" w:rsidP="00AE7058" w14:paraId="59294213" w14:textId="065EF3CD">
      <w:r>
        <w:t>To estimate the number of facilities affected, EPA has estimated the number of facilities that SLTs collect to comply with requirements to create inventories for nonattainment areas for Ozone SIPs and PM</w:t>
      </w:r>
      <w:r w:rsidRPr="00A552EE" w:rsidR="00A552EE">
        <w:rPr>
          <w:vertAlign w:val="subscript"/>
        </w:rPr>
        <w:t>2.5</w:t>
      </w:r>
      <w:r>
        <w:t xml:space="preserve"> SIPs. Only those standards are included because reporting the season-day emissions (that can be used for emissions inventories for those standards) would impose additional burden on facilities and states to estimate those emissions. To estimate the number of facilities, EPA analyzed NEI facilities within nonattainment areas. Facilities were counted as being directly or indirectly required to report for SIP reasons if any of the following were true:</w:t>
      </w:r>
    </w:p>
    <w:p w:rsidR="00C3782D" w:rsidP="00AE7058" w14:paraId="747E9DA7" w14:textId="77777777"/>
    <w:p w:rsidR="00AE7058" w:rsidP="003113AB" w14:paraId="1ED8BEF4" w14:textId="54009991">
      <w:pPr>
        <w:pStyle w:val="ListParagraph"/>
        <w:numPr>
          <w:ilvl w:val="0"/>
          <w:numId w:val="35"/>
        </w:numPr>
      </w:pPr>
      <w:r>
        <w:t xml:space="preserve">The facility is listed as a </w:t>
      </w:r>
      <w:r w:rsidR="00C3782D">
        <w:t>“</w:t>
      </w:r>
      <w:r>
        <w:t>CAP Major</w:t>
      </w:r>
      <w:r w:rsidR="00C3782D">
        <w:t>”</w:t>
      </w:r>
      <w:r>
        <w:t xml:space="preserve"> or </w:t>
      </w:r>
      <w:r w:rsidR="00C3782D">
        <w:t>“</w:t>
      </w:r>
      <w:r>
        <w:t>HAP/CAP Major</w:t>
      </w:r>
      <w:r w:rsidR="00C3782D">
        <w:t>”</w:t>
      </w:r>
      <w:r>
        <w:t>.</w:t>
      </w:r>
    </w:p>
    <w:p w:rsidR="00AE7058" w:rsidP="003113AB" w14:paraId="7C224744" w14:textId="752ED21B">
      <w:pPr>
        <w:pStyle w:val="ListParagraph"/>
        <w:numPr>
          <w:ilvl w:val="0"/>
          <w:numId w:val="35"/>
        </w:numPr>
      </w:pPr>
      <w:r>
        <w:t>The facility has emissions of 5 tons or more of NOx or VOC.</w:t>
      </w:r>
    </w:p>
    <w:p w:rsidR="00AE7058" w:rsidP="003113AB" w14:paraId="4A14F77C" w14:textId="73B3900F">
      <w:pPr>
        <w:pStyle w:val="ListParagraph"/>
        <w:numPr>
          <w:ilvl w:val="0"/>
          <w:numId w:val="35"/>
        </w:numPr>
      </w:pPr>
      <w:r>
        <w:t>The facility had 10x or more the minimum value of NOx or VOC of any Major facilities within the area. This step is done because NOX and VOC emissions reporting thresholds are based on PTE rather than actual emissions. The minimum values for NOX and VOC for all Major facilities within any given area are usually much less than 1 tpy, so this approach is conservative.</w:t>
      </w:r>
    </w:p>
    <w:p w:rsidR="00AE7058" w:rsidP="00AE7058" w14:paraId="21672C96" w14:textId="77777777"/>
    <w:p w:rsidR="00AE7058" w:rsidP="00AE7058" w14:paraId="0E26367C" w14:textId="0525D99E">
      <w:r>
        <w:t>Based on this approach, EPA estimated 8,947 facilities were required to report based on nonattainment area emission inventory requirements. This value was rounded to 8,950 for the burden calculations made for this proposed rule.</w:t>
      </w:r>
    </w:p>
    <w:p w:rsidR="00C3782D" w:rsidP="00AE7058" w14:paraId="181A4397" w14:textId="77777777"/>
    <w:p w:rsidR="00AE7058" w:rsidP="00AE7058" w14:paraId="6B04EB2A" w14:textId="0E320CC7">
      <w:r>
        <w:t>To estimate the number of hours, EPA considered that the bulk of emissions reporting burden is associated with reporting annual emissions to states. The incremental burden would be low, and EPA assumed this would be 15 percent of the annual reporting burden</w:t>
      </w:r>
      <w:r w:rsidR="00602B41">
        <w:t xml:space="preserve"> (from activity 1, </w:t>
      </w:r>
      <w:r w:rsidR="00602B41">
        <w:fldChar w:fldCharType="begin"/>
      </w:r>
      <w:r w:rsidR="00602B41">
        <w:instrText xml:space="preserve"> REF _Ref114845025 \h </w:instrText>
      </w:r>
      <w:r w:rsidR="00602B41">
        <w:fldChar w:fldCharType="separate"/>
      </w:r>
      <w:r w:rsidRPr="0020098E" w:rsidR="00646F0F">
        <w:t xml:space="preserve">Table </w:t>
      </w:r>
      <w:r w:rsidR="00646F0F">
        <w:rPr>
          <w:noProof/>
        </w:rPr>
        <w:t>11</w:t>
      </w:r>
      <w:r w:rsidR="00602B41">
        <w:fldChar w:fldCharType="end"/>
      </w:r>
      <w:r w:rsidR="00602B41">
        <w:t>)</w:t>
      </w:r>
      <w:r>
        <w:t xml:space="preserve">, or 4 hours per facility </w:t>
      </w:r>
      <w:r w:rsidR="006E5648">
        <w:t xml:space="preserve">for an engineer and 0 hours for a manager </w:t>
      </w:r>
      <w:r>
        <w:t>once within each three-year period.</w:t>
      </w:r>
    </w:p>
    <w:p w:rsidR="00C3782D" w:rsidP="00AE7058" w14:paraId="2E32EF83" w14:textId="77777777"/>
    <w:p w:rsidR="00AE7058" w:rsidP="00877276" w14:paraId="36BEAC56" w14:textId="62525CDD">
      <w:pPr>
        <w:pStyle w:val="AppendixHeading3"/>
      </w:pPr>
      <w:bookmarkStart w:id="59" w:name="_Ref137128921"/>
      <w:r>
        <w:t xml:space="preserve">Total </w:t>
      </w:r>
      <w:r w:rsidR="009834D2">
        <w:t>e</w:t>
      </w:r>
      <w:r>
        <w:t xml:space="preserve">stimated </w:t>
      </w:r>
      <w:r w:rsidR="009834D2">
        <w:t>c</w:t>
      </w:r>
      <w:r>
        <w:t xml:space="preserve">osts per </w:t>
      </w:r>
      <w:r w:rsidR="009834D2">
        <w:t>y</w:t>
      </w:r>
      <w:r>
        <w:t xml:space="preserve">ear of </w:t>
      </w:r>
      <w:r w:rsidR="009834D2">
        <w:t>e</w:t>
      </w:r>
      <w:r>
        <w:t xml:space="preserve">missions </w:t>
      </w:r>
      <w:r w:rsidR="009834D2">
        <w:t>i</w:t>
      </w:r>
      <w:r>
        <w:t>nventories for SIPs</w:t>
      </w:r>
      <w:bookmarkEnd w:id="59"/>
    </w:p>
    <w:p w:rsidR="00AE7058" w:rsidP="00AE7058" w14:paraId="4BE61F4E" w14:textId="422EA531">
      <w:r>
        <w:t xml:space="preserve">Based on the information in the previous sections, </w:t>
      </w:r>
      <w:r w:rsidR="003113AB">
        <w:fldChar w:fldCharType="begin"/>
      </w:r>
      <w:r w:rsidR="003113AB">
        <w:instrText xml:space="preserve"> REF _Ref137125949 \h </w:instrText>
      </w:r>
      <w:r w:rsidR="003113AB">
        <w:fldChar w:fldCharType="separate"/>
      </w:r>
      <w:r w:rsidR="00646F0F">
        <w:t>Table C-</w:t>
      </w:r>
      <w:r w:rsidR="00646F0F">
        <w:rPr>
          <w:noProof/>
        </w:rPr>
        <w:t>3</w:t>
      </w:r>
      <w:r w:rsidR="003113AB">
        <w:fldChar w:fldCharType="end"/>
      </w:r>
      <w:r w:rsidR="003113AB">
        <w:t xml:space="preserve"> </w:t>
      </w:r>
      <w:r>
        <w:t>provides the resulting annual costs associated with creating the emissions inventories for SIPs. The estimated total costs to SLTs are about $6.5 million per year while costs to owners/operators are about $1.2 million per year. As with the other annual costs in this RIA, these costs are in 2021 dollars.</w:t>
      </w:r>
    </w:p>
    <w:p w:rsidR="00AE7058" w:rsidP="00AE7058" w14:paraId="564BD8CA" w14:textId="77777777"/>
    <w:p w:rsidR="00AE7058" w:rsidP="003113AB" w14:paraId="36C894FA" w14:textId="31C46259">
      <w:pPr>
        <w:pStyle w:val="Caption"/>
      </w:pPr>
      <w:bookmarkStart w:id="60" w:name="_Ref137125949"/>
      <w:r>
        <w:t>Table C-</w:t>
      </w:r>
      <w:r w:rsidR="00646F0F">
        <w:fldChar w:fldCharType="begin"/>
      </w:r>
      <w:r w:rsidR="00646F0F">
        <w:instrText xml:space="preserve"> SEQ Table_C- \* ARABIC </w:instrText>
      </w:r>
      <w:r w:rsidR="00646F0F">
        <w:fldChar w:fldCharType="separate"/>
      </w:r>
      <w:r w:rsidR="00646F0F">
        <w:rPr>
          <w:noProof/>
        </w:rPr>
        <w:t>3</w:t>
      </w:r>
      <w:r w:rsidR="00646F0F">
        <w:rPr>
          <w:noProof/>
        </w:rPr>
        <w:fldChar w:fldCharType="end"/>
      </w:r>
      <w:bookmarkEnd w:id="60"/>
      <w:r w:rsidRPr="003113AB">
        <w:t>:</w:t>
      </w:r>
      <w:r>
        <w:t xml:space="preserve"> Total Annual Cost of Emissions Inventory Preparation Activities for SIPs</w:t>
      </w:r>
    </w:p>
    <w:tbl>
      <w:tblPr>
        <w:tblStyle w:val="TableGrid"/>
        <w:tblW w:w="9445" w:type="dxa"/>
        <w:tblLook w:val="04A0"/>
      </w:tblPr>
      <w:tblGrid>
        <w:gridCol w:w="4855"/>
        <w:gridCol w:w="1890"/>
        <w:gridCol w:w="1350"/>
        <w:gridCol w:w="1350"/>
      </w:tblGrid>
      <w:tr w14:paraId="548A45C3" w14:textId="77777777" w:rsidTr="003113AB">
        <w:tblPrEx>
          <w:tblW w:w="9445" w:type="dxa"/>
          <w:tblLook w:val="04A0"/>
        </w:tblPrEx>
        <w:tc>
          <w:tcPr>
            <w:tcW w:w="4855" w:type="dxa"/>
            <w:vAlign w:val="bottom"/>
          </w:tcPr>
          <w:p w:rsidR="00C647BD" w:rsidRPr="003113AB" w:rsidP="003113AB" w14:paraId="698DC484"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rPr>
                <w:b/>
                <w:bCs/>
              </w:rPr>
            </w:pPr>
            <w:r w:rsidRPr="003113AB">
              <w:rPr>
                <w:b/>
                <w:bCs/>
              </w:rPr>
              <w:t>Activity</w:t>
            </w:r>
          </w:p>
        </w:tc>
        <w:tc>
          <w:tcPr>
            <w:tcW w:w="1890" w:type="dxa"/>
            <w:vAlign w:val="center"/>
          </w:tcPr>
          <w:p w:rsidR="00C647BD" w:rsidRPr="003113AB" w:rsidP="003113AB" w14:paraId="7EB8E97F"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3113AB">
              <w:rPr>
                <w:b/>
                <w:bCs/>
              </w:rPr>
              <w:t>Average Number Entities Per Year</w:t>
            </w:r>
          </w:p>
        </w:tc>
        <w:tc>
          <w:tcPr>
            <w:tcW w:w="1350" w:type="dxa"/>
            <w:vAlign w:val="center"/>
          </w:tcPr>
          <w:p w:rsidR="00C647BD" w:rsidRPr="003113AB" w:rsidP="003113AB" w14:paraId="16E29C68"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3113AB">
              <w:rPr>
                <w:b/>
                <w:bCs/>
              </w:rPr>
              <w:t>Total Hours Per Year</w:t>
            </w:r>
          </w:p>
        </w:tc>
        <w:tc>
          <w:tcPr>
            <w:tcW w:w="1350" w:type="dxa"/>
            <w:vAlign w:val="center"/>
          </w:tcPr>
          <w:p w:rsidR="00C647BD" w:rsidRPr="003113AB" w:rsidP="003113AB" w14:paraId="0E971195"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rPr>
                <w:b/>
                <w:bCs/>
              </w:rPr>
            </w:pPr>
            <w:r w:rsidRPr="003113AB">
              <w:rPr>
                <w:b/>
                <w:bCs/>
              </w:rPr>
              <w:t>Total Costs Per Year</w:t>
            </w:r>
          </w:p>
        </w:tc>
      </w:tr>
      <w:tr w14:paraId="7FC45612" w14:textId="77777777" w:rsidTr="003113AB">
        <w:tblPrEx>
          <w:tblW w:w="9445" w:type="dxa"/>
          <w:tblLook w:val="04A0"/>
        </w:tblPrEx>
        <w:tc>
          <w:tcPr>
            <w:tcW w:w="4855" w:type="dxa"/>
          </w:tcPr>
          <w:p w:rsidR="00C647BD" w:rsidRPr="00F04328" w:rsidP="003113AB" w14:paraId="57A3325D"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F04328">
              <w:t>SLTs collect required SIP emissions data</w:t>
            </w:r>
          </w:p>
        </w:tc>
        <w:tc>
          <w:tcPr>
            <w:tcW w:w="1890" w:type="dxa"/>
            <w:vAlign w:val="center"/>
          </w:tcPr>
          <w:p w:rsidR="00C647BD" w:rsidRPr="00F04328" w:rsidP="003113AB" w14:paraId="2AD00289"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F04328">
              <w:t>51</w:t>
            </w:r>
          </w:p>
        </w:tc>
        <w:tc>
          <w:tcPr>
            <w:tcW w:w="1350" w:type="dxa"/>
            <w:vAlign w:val="center"/>
          </w:tcPr>
          <w:p w:rsidR="00C647BD" w:rsidRPr="00F04328" w:rsidP="003113AB" w14:paraId="08FE1911"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F04328">
              <w:t>70,941</w:t>
            </w:r>
          </w:p>
        </w:tc>
        <w:tc>
          <w:tcPr>
            <w:tcW w:w="1350" w:type="dxa"/>
            <w:vAlign w:val="center"/>
          </w:tcPr>
          <w:p w:rsidR="00C647BD" w:rsidRPr="00F04328" w:rsidP="003113AB" w14:paraId="171445BE" w14:textId="77777777">
            <w:pPr>
              <w:keepNext/>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F04328">
              <w:t>$6,536,925</w:t>
            </w:r>
          </w:p>
        </w:tc>
      </w:tr>
      <w:tr w14:paraId="59D13E39" w14:textId="77777777" w:rsidTr="003113AB">
        <w:tblPrEx>
          <w:tblW w:w="9445" w:type="dxa"/>
          <w:tblLook w:val="04A0"/>
        </w:tblPrEx>
        <w:tc>
          <w:tcPr>
            <w:tcW w:w="4855" w:type="dxa"/>
          </w:tcPr>
          <w:p w:rsidR="00C647BD" w:rsidRPr="00F04328" w:rsidP="00F04328" w14:paraId="2A26FEC1" w14:textId="1BCB3566">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pPr>
            <w:r w:rsidRPr="00F04328">
              <w:t>Owners/</w:t>
            </w:r>
            <w:r w:rsidR="006E5648">
              <w:t>o</w:t>
            </w:r>
            <w:r w:rsidRPr="00F04328">
              <w:t>perators report season-day CAPs by facilities within nonattainment areas to states</w:t>
            </w:r>
          </w:p>
        </w:tc>
        <w:tc>
          <w:tcPr>
            <w:tcW w:w="1890" w:type="dxa"/>
            <w:vAlign w:val="center"/>
          </w:tcPr>
          <w:p w:rsidR="00C647BD" w:rsidRPr="00F04328" w:rsidP="003113AB" w14:paraId="350802A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F04328">
              <w:t>2,983</w:t>
            </w:r>
          </w:p>
        </w:tc>
        <w:tc>
          <w:tcPr>
            <w:tcW w:w="1350" w:type="dxa"/>
            <w:vAlign w:val="center"/>
          </w:tcPr>
          <w:p w:rsidR="00C647BD" w:rsidRPr="00F04328" w:rsidP="003113AB" w14:paraId="0F5AF15A"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center"/>
            </w:pPr>
            <w:r w:rsidRPr="00F04328">
              <w:t>11,933</w:t>
            </w:r>
          </w:p>
        </w:tc>
        <w:tc>
          <w:tcPr>
            <w:tcW w:w="1350" w:type="dxa"/>
            <w:vAlign w:val="center"/>
          </w:tcPr>
          <w:p w:rsidR="00C647BD" w:rsidRPr="00F04328" w:rsidP="003113AB" w14:paraId="2EE9C903" w14:textId="77777777">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jc w:val="right"/>
            </w:pPr>
            <w:r w:rsidRPr="00F04328">
              <w:t>$1,207,391</w:t>
            </w:r>
          </w:p>
        </w:tc>
      </w:tr>
    </w:tbl>
    <w:p w:rsidR="001F0E8C" w:rsidRPr="005618EB" w:rsidP="009A5221" w14:paraId="1A1CE5E0" w14:textId="092BDA83"/>
    <w:sectPr w:rsidSect="00370665">
      <w:pgSz w:w="12240" w:h="15840"/>
      <w:pgMar w:top="1080" w:right="1440" w:bottom="1152" w:left="1440" w:header="1440" w:footer="86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6206187"/>
      <w:docPartObj>
        <w:docPartGallery w:val="Page Numbers (Bottom of Page)"/>
        <w:docPartUnique/>
      </w:docPartObj>
    </w:sdtPr>
    <w:sdtEndPr>
      <w:rPr>
        <w:noProof/>
      </w:rPr>
    </w:sdtEndPr>
    <w:sdtContent>
      <w:p w:rsidR="00370665" w14:paraId="7EE2F2AB" w14:textId="6FE936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0665" w:rsidP="00370665" w14:paraId="2177BD7C" w14:textId="580DD176">
    <w:pPr>
      <w:pStyle w:val="Footer"/>
      <w:tabs>
        <w:tab w:val="clear" w:pos="422"/>
        <w:tab w:val="clear" w:pos="888"/>
        <w:tab w:val="clear" w:pos="1353"/>
        <w:tab w:val="clear" w:pos="1819"/>
        <w:tab w:val="clear" w:pos="2284"/>
        <w:tab w:val="clear" w:pos="3216"/>
        <w:tab w:val="clear" w:pos="3681"/>
        <w:tab w:val="clear" w:pos="4147"/>
        <w:tab w:val="clear" w:pos="4612"/>
        <w:tab w:val="clear" w:pos="4680"/>
        <w:tab w:val="clear" w:pos="5078"/>
        <w:tab w:val="clear" w:pos="5544"/>
        <w:tab w:val="clear" w:pos="6009"/>
        <w:tab w:val="clear" w:pos="6475"/>
        <w:tab w:val="clear" w:pos="6940"/>
        <w:tab w:val="clear" w:pos="7406"/>
        <w:tab w:val="clear" w:pos="7872"/>
        <w:tab w:val="clear" w:pos="8337"/>
        <w:tab w:val="clear" w:pos="8803"/>
        <w:tab w:val="clear" w:pos="9268"/>
        <w:tab w:val="clear" w:pos="9360"/>
        <w:tab w:val="clear" w:pos="9734"/>
        <w:tab w:val="clear" w:pos="10200"/>
        <w:tab w:val="clear" w:pos="106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73D2" w:rsidP="009E08D8" w14:paraId="7D2CAF0F" w14:textId="77777777">
      <w:r>
        <w:separator/>
      </w:r>
    </w:p>
  </w:footnote>
  <w:footnote w:type="continuationSeparator" w:id="1">
    <w:p w:rsidR="003573D2" w:rsidP="009E08D8" w14:paraId="0AAB12E6" w14:textId="77777777">
      <w:r>
        <w:continuationSeparator/>
      </w:r>
    </w:p>
  </w:footnote>
  <w:footnote w:type="continuationNotice" w:id="2">
    <w:p w:rsidR="003573D2" w:rsidP="009E08D8" w14:paraId="17C8D316" w14:textId="77777777"/>
  </w:footnote>
  <w:footnote w:id="3">
    <w:p w:rsidR="00FD4410" w:rsidP="009E08D8" w14:paraId="21A89F7E" w14:textId="3384E40F">
      <w:pPr>
        <w:pStyle w:val="FootnoteText"/>
      </w:pPr>
      <w:r w:rsidRPr="00F40F41">
        <w:rPr>
          <w:rStyle w:val="FootnoteReference"/>
          <w:vertAlign w:val="superscript"/>
        </w:rPr>
        <w:footnoteRef/>
      </w:r>
      <w:r>
        <w:t xml:space="preserve"> </w:t>
      </w:r>
      <w:r w:rsidR="006061C1">
        <w:t>Thir</w:t>
      </w:r>
      <w:r w:rsidR="006A713E">
        <w:t>ty</w:t>
      </w:r>
      <w:r w:rsidR="006061C1">
        <w:t>-one</w:t>
      </w:r>
      <w:r>
        <w:t xml:space="preserve"> local and tribal agencies reported in 2017 and 23 in 2018. 26 is a weighted average with triennial years assuming 31 and interim years assume 23 (i.e., [31 + 23 + 23]/3 rounds up to 26)</w:t>
      </w:r>
      <w:r w:rsidR="009801E0">
        <w:t>.</w:t>
      </w:r>
    </w:p>
  </w:footnote>
  <w:footnote w:id="4">
    <w:p w:rsidR="00FD4410" w:rsidRPr="00037BF4" w:rsidP="009E08D8" w14:paraId="050C9619" w14:textId="37919F10">
      <w:pPr>
        <w:pStyle w:val="FootnoteText"/>
        <w:rPr>
          <w:sz w:val="22"/>
          <w:szCs w:val="22"/>
        </w:rPr>
      </w:pPr>
      <w:r w:rsidRPr="003D4EA2">
        <w:rPr>
          <w:rStyle w:val="FootnoteReference"/>
          <w:vertAlign w:val="superscript"/>
        </w:rPr>
        <w:footnoteRef/>
      </w:r>
      <w:r w:rsidRPr="003D4EA2" w:rsidR="006061C1">
        <w:t xml:space="preserve"> </w:t>
      </w:r>
      <w:r w:rsidRPr="003D4EA2">
        <w:t xml:space="preserve">Except where noted, future reference to “state(s)” in this supporting statement includes 50 states, 3 territories, 31 local </w:t>
      </w:r>
      <w:r w:rsidRPr="003D4EA2" w:rsidR="00EB29F0">
        <w:t xml:space="preserve">and tribal </w:t>
      </w:r>
      <w:r w:rsidRPr="003D4EA2">
        <w:t>agencies, and the District of Columbia (DC).</w:t>
      </w:r>
      <w:r w:rsidRPr="003D4EA2" w:rsidR="00DF23A5">
        <w:t xml:space="preserve"> As prescribed by the Tribal Authority Rule (63 FR 7253, February 12, 1998), codified at 40 CFR part 49, subpart A, tribes may elect to seek Treatment as State (TAS) status under the Clean Air Act and obtain approval to implement rules such as the AERR through a Tribal Implementation Plan.</w:t>
      </w:r>
    </w:p>
  </w:footnote>
  <w:footnote w:id="5">
    <w:p w:rsidR="00B6261E" w14:paraId="1B2B720A" w14:textId="3051EAC1">
      <w:pPr>
        <w:pStyle w:val="FootnoteText"/>
      </w:pPr>
      <w:r w:rsidRPr="00B6261E">
        <w:rPr>
          <w:rStyle w:val="FootnoteReference"/>
          <w:vertAlign w:val="superscript"/>
        </w:rPr>
        <w:footnoteRef/>
      </w:r>
      <w:r>
        <w:t xml:space="preserve"> </w:t>
      </w:r>
      <w:r w:rsidRPr="00B6261E">
        <w:t>https://www.epa.gov/AirToxScreen</w:t>
      </w:r>
    </w:p>
  </w:footnote>
  <w:footnote w:id="6">
    <w:p w:rsidR="00266377" w:rsidP="00EA6571" w14:paraId="5862E8AD" w14:textId="624710EF">
      <w:pPr>
        <w:pStyle w:val="FootnoteText"/>
        <w:tabs>
          <w:tab w:val="clear" w:pos="-43"/>
        </w:tabs>
        <w:ind w:left="90" w:hanging="90"/>
      </w:pPr>
      <w:r w:rsidRPr="00AA1D9C">
        <w:rPr>
          <w:rStyle w:val="FootnoteReference"/>
          <w:vertAlign w:val="superscript"/>
        </w:rPr>
        <w:footnoteRef/>
      </w:r>
      <w:r>
        <w:t xml:space="preserve"> See </w:t>
      </w:r>
      <w:r w:rsidRPr="0007005F" w:rsidR="00883592">
        <w:t>https://www.epa.gov/office-inspector-general/report-epa-can-improve-emissions-factors-development-and-management</w:t>
      </w:r>
      <w:r>
        <w:t>.</w:t>
      </w:r>
    </w:p>
  </w:footnote>
  <w:footnote w:id="7">
    <w:p w:rsidR="00883592" w:rsidRPr="00775C5E" w:rsidP="00EA6571" w14:paraId="297E9996" w14:textId="07E96A51">
      <w:pPr>
        <w:tabs>
          <w:tab w:val="clear" w:pos="-43"/>
        </w:tabs>
        <w:ind w:left="90" w:hanging="90"/>
        <w:rPr>
          <w:sz w:val="18"/>
          <w:szCs w:val="18"/>
        </w:rPr>
      </w:pPr>
      <w:r w:rsidRPr="0019684E">
        <w:rPr>
          <w:rStyle w:val="FootnoteReference"/>
          <w:sz w:val="20"/>
          <w:szCs w:val="20"/>
          <w:vertAlign w:val="superscript"/>
        </w:rPr>
        <w:footnoteRef/>
      </w:r>
      <w:r w:rsidRPr="0019684E">
        <w:t xml:space="preserve"> See </w:t>
      </w:r>
      <w:r w:rsidRPr="003543BA">
        <w:rPr>
          <w:rFonts w:cstheme="minorHAnsi"/>
          <w:sz w:val="20"/>
          <w:szCs w:val="20"/>
        </w:rPr>
        <w:t>https://www.epa.gov/air-emissions-factors-and-quantification/documentation-supporting-draft-and-final-emissions-factors</w:t>
      </w:r>
      <w:r w:rsidRPr="0019684E">
        <w:rPr>
          <w:rStyle w:val="Hyperlink"/>
          <w:rFonts w:cstheme="minorHAnsi"/>
          <w:sz w:val="20"/>
          <w:szCs w:val="20"/>
        </w:rPr>
        <w:t>.</w:t>
      </w:r>
    </w:p>
  </w:footnote>
  <w:footnote w:id="8">
    <w:p w:rsidR="00C34CAF" w14:paraId="58BEFEB5" w14:textId="75822958">
      <w:pPr>
        <w:pStyle w:val="FootnoteText"/>
      </w:pPr>
      <w:r w:rsidRPr="00C34CAF">
        <w:rPr>
          <w:rStyle w:val="FootnoteReference"/>
          <w:vertAlign w:val="superscript"/>
        </w:rPr>
        <w:footnoteRef/>
      </w:r>
      <w:r>
        <w:t xml:space="preserve"> </w:t>
      </w:r>
      <w:r w:rsidRPr="00C34CAF">
        <w:t>https://www.epa.gov/air-emissions-inventories/emissions-inventory-system-eis-users-manual-and-how-tos</w:t>
      </w:r>
    </w:p>
  </w:footnote>
  <w:footnote w:id="9">
    <w:p w:rsidR="00840110" w14:paraId="02F21831" w14:textId="67580061">
      <w:pPr>
        <w:pStyle w:val="FootnoteText"/>
      </w:pPr>
      <w:r w:rsidRPr="00840110">
        <w:rPr>
          <w:rStyle w:val="FootnoteReference"/>
          <w:vertAlign w:val="superscript"/>
        </w:rPr>
        <w:footnoteRef/>
      </w:r>
      <w:r>
        <w:t xml:space="preserve"> </w:t>
      </w:r>
      <w:r w:rsidRPr="00840110">
        <w:t>https://www.epa.gov/air-emissions-inventories/emissions-inventory-system-eis-users-manual-and-how-tos</w:t>
      </w:r>
    </w:p>
  </w:footnote>
  <w:footnote w:id="10">
    <w:p w:rsidR="00840110" w14:paraId="7229C23E" w14:textId="3E1201AB">
      <w:pPr>
        <w:pStyle w:val="FootnoteText"/>
      </w:pPr>
      <w:r w:rsidRPr="00840110">
        <w:rPr>
          <w:rStyle w:val="FootnoteReference"/>
          <w:vertAlign w:val="superscript"/>
        </w:rPr>
        <w:footnoteRef/>
      </w:r>
      <w:r>
        <w:t xml:space="preserve"> </w:t>
      </w:r>
      <w:r w:rsidRPr="00840110">
        <w:t>https://eis.epa.gov/userguide/index.html</w:t>
      </w:r>
    </w:p>
  </w:footnote>
  <w:footnote w:id="11">
    <w:p w:rsidR="00840110" w14:paraId="130C804C" w14:textId="439D2071">
      <w:pPr>
        <w:pStyle w:val="FootnoteText"/>
      </w:pPr>
      <w:r w:rsidRPr="00840110">
        <w:rPr>
          <w:rStyle w:val="FootnoteReference"/>
          <w:vertAlign w:val="superscript"/>
        </w:rPr>
        <w:footnoteRef/>
      </w:r>
      <w:r>
        <w:t xml:space="preserve"> </w:t>
      </w:r>
      <w:r w:rsidRPr="00840110">
        <w:t>https://www.epa.gov/combined-air-emissions-reporting/combined-air-emissions-reporting-system-caers</w:t>
      </w:r>
    </w:p>
  </w:footnote>
  <w:footnote w:id="12">
    <w:p w:rsidR="00840110" w14:paraId="60DBD417" w14:textId="5A46FC16">
      <w:pPr>
        <w:pStyle w:val="FootnoteText"/>
      </w:pPr>
      <w:r w:rsidRPr="00840110">
        <w:rPr>
          <w:rStyle w:val="FootnoteReference"/>
          <w:vertAlign w:val="superscript"/>
        </w:rPr>
        <w:footnoteRef/>
      </w:r>
      <w:r>
        <w:t xml:space="preserve"> </w:t>
      </w:r>
      <w:r w:rsidRPr="00840110">
        <w:t>https://www.epa.gov/electronic-reporting-air-emissions/cedri#guide</w:t>
      </w:r>
    </w:p>
  </w:footnote>
  <w:footnote w:id="13">
    <w:p w:rsidR="001016CE" w14:paraId="15F8B411" w14:textId="5281CE10">
      <w:pPr>
        <w:pStyle w:val="FootnoteText"/>
      </w:pPr>
      <w:r w:rsidRPr="001016CE">
        <w:rPr>
          <w:rStyle w:val="FootnoteReference"/>
          <w:vertAlign w:val="superscript"/>
        </w:rPr>
        <w:footnoteRef/>
      </w:r>
      <w:r>
        <w:t xml:space="preserve"> </w:t>
      </w:r>
      <w:r w:rsidRPr="001016CE">
        <w:t>E-Enterprise for the Environment is a collaborative partnership through which EPA, states, and tribes work together to improve the way we protect the environment and human health.</w:t>
      </w:r>
      <w:r>
        <w:t xml:space="preserve"> See also </w:t>
      </w:r>
      <w:r w:rsidRPr="001016CE">
        <w:t>https://www.epa.gov/e-enterprise</w:t>
      </w:r>
      <w:r>
        <w:t>.</w:t>
      </w:r>
    </w:p>
  </w:footnote>
  <w:footnote w:id="14">
    <w:p w:rsidR="00D031B7" w14:paraId="61722F08" w14:textId="691F9635">
      <w:pPr>
        <w:pStyle w:val="FootnoteText"/>
      </w:pPr>
      <w:r w:rsidRPr="00D031B7">
        <w:rPr>
          <w:rStyle w:val="FootnoteReference"/>
          <w:vertAlign w:val="superscript"/>
        </w:rPr>
        <w:footnoteRef/>
      </w:r>
      <w:r>
        <w:t xml:space="preserve"> This regulation is part of a set of regulations that have been incorporated into federal implementation plans for 39 Indian reservations for those three states. The set of regulations is known as the Federal Air Rules for Reservations (FARR) in Idaho, Oregon, and Washington. The EPA has proposed revisions to the FARR on October 12, 2022 (87 FR 61870).</w:t>
      </w:r>
    </w:p>
  </w:footnote>
  <w:footnote w:id="15">
    <w:p w:rsidR="003461BB" w14:paraId="5D214C8A" w14:textId="2E93802E">
      <w:pPr>
        <w:pStyle w:val="FootnoteText"/>
      </w:pPr>
      <w:r w:rsidRPr="00850AB6">
        <w:rPr>
          <w:rStyle w:val="FootnoteReference"/>
          <w:vertAlign w:val="superscript"/>
        </w:rPr>
        <w:footnoteRef/>
      </w:r>
      <w:r>
        <w:t xml:space="preserve"> North American Industry </w:t>
      </w:r>
      <w:r w:rsidR="008A58C5">
        <w:t xml:space="preserve">Classification </w:t>
      </w:r>
      <w:r>
        <w:t>S</w:t>
      </w:r>
      <w:r w:rsidR="008A58C5">
        <w:t>ystem code</w:t>
      </w:r>
      <w:r w:rsidR="00485168">
        <w:t>.</w:t>
      </w:r>
    </w:p>
  </w:footnote>
  <w:footnote w:id="16">
    <w:p w:rsidR="007816C7" w:rsidP="009E08D8" w14:paraId="2B66836C" w14:textId="6F40F992">
      <w:pPr>
        <w:pStyle w:val="FootnoteText"/>
      </w:pPr>
      <w:r w:rsidRPr="004E6C7D">
        <w:rPr>
          <w:rStyle w:val="FootnoteReference"/>
          <w:vertAlign w:val="superscript"/>
        </w:rPr>
        <w:footnoteRef/>
      </w:r>
      <w:r>
        <w:t xml:space="preserve"> See </w:t>
      </w:r>
      <w:r w:rsidRPr="00466A29">
        <w:t>https://www.epa.gov/office-inspector-general/report-epa-can-improve-emissions-factors-development-and-management</w:t>
      </w:r>
      <w:r>
        <w:t>.</w:t>
      </w:r>
    </w:p>
  </w:footnote>
  <w:footnote w:id="17">
    <w:p w:rsidR="00B64C3E" w14:paraId="7563AC18" w14:textId="03D2DACA">
      <w:pPr>
        <w:pStyle w:val="FootnoteText"/>
      </w:pPr>
      <w:r w:rsidRPr="00B64C3E">
        <w:rPr>
          <w:rStyle w:val="FootnoteReference"/>
          <w:vertAlign w:val="superscript"/>
        </w:rPr>
        <w:footnoteRef/>
      </w:r>
      <w:r>
        <w:t xml:space="preserve"> </w:t>
      </w:r>
      <w:r w:rsidRPr="009D69B6">
        <w:t xml:space="preserve">As prescribed by the Tribal Authority Rule (63 FR 7253, February 12, 1998), codified at 40 CFR part 49, </w:t>
      </w:r>
      <w:r>
        <w:t>S</w:t>
      </w:r>
      <w:r w:rsidRPr="009D69B6">
        <w:t xml:space="preserve">ubpart A, tribes may elect to seek </w:t>
      </w:r>
      <w:r>
        <w:t>t</w:t>
      </w:r>
      <w:r w:rsidRPr="009D69B6">
        <w:t xml:space="preserve">reatment </w:t>
      </w:r>
      <w:r>
        <w:t>in the same manner as a s</w:t>
      </w:r>
      <w:r w:rsidRPr="009D69B6">
        <w:t>tate (TAS) status and obtain approval to implement rules such as the AERR through a Tribal Implementation Plan (TIP), but tribes are under no obligation to do so. However, those tribes that have obtained TAS status</w:t>
      </w:r>
      <w:r>
        <w:t xml:space="preserve"> for this purpose</w:t>
      </w:r>
      <w:r w:rsidRPr="009D69B6">
        <w:t xml:space="preserve"> are subject to the </w:t>
      </w:r>
      <w:r>
        <w:t>Subpart A requirements</w:t>
      </w:r>
      <w:r w:rsidRPr="009D69B6">
        <w:t xml:space="preserve"> to the extent allowed in their TIP. Accordingly, to the extent a tribal government has applied for and received TAS status for air quality control purposes and is subject to the </w:t>
      </w:r>
      <w:r>
        <w:t>Subpart A requirements</w:t>
      </w:r>
      <w:r w:rsidRPr="009D69B6">
        <w:t xml:space="preserve"> under its TIP, the use of the term state(s) in </w:t>
      </w:r>
      <w:r>
        <w:t>Subpart A</w:t>
      </w:r>
      <w:r w:rsidRPr="009D69B6">
        <w:t xml:space="preserve"> shall include that tr</w:t>
      </w:r>
      <w:r>
        <w:t>ibe.</w:t>
      </w:r>
    </w:p>
  </w:footnote>
  <w:footnote w:id="18">
    <w:p w:rsidR="00560FBC" w14:paraId="4FE49D90" w14:textId="6F212BA4">
      <w:pPr>
        <w:pStyle w:val="FootnoteText"/>
      </w:pPr>
      <w:r w:rsidRPr="00C3656A">
        <w:rPr>
          <w:rStyle w:val="FootnoteReference"/>
          <w:vertAlign w:val="superscript"/>
        </w:rPr>
        <w:footnoteRef/>
      </w:r>
      <w:r>
        <w:t xml:space="preserve"> This smaller set of sources has been referenced as “Type A" sources in previous versions of the AERR, </w:t>
      </w:r>
      <w:r w:rsidR="00C739B4">
        <w:t>as well as the current version</w:t>
      </w:r>
      <w:r w:rsidR="00A90DA5">
        <w:t>. However,</w:t>
      </w:r>
      <w:r>
        <w:t xml:space="preserve"> EPA is </w:t>
      </w:r>
      <w:r w:rsidR="00C739B4">
        <w:t xml:space="preserve">proposing to </w:t>
      </w:r>
      <w:r>
        <w:t>eliminat</w:t>
      </w:r>
      <w:r w:rsidR="00C739B4">
        <w:t>e</w:t>
      </w:r>
      <w:r>
        <w:t xml:space="preserve"> the Type A and Type B terminology because the </w:t>
      </w:r>
      <w:r w:rsidR="00A90DA5">
        <w:t xml:space="preserve">proposed revisions would require point sources to report every year </w:t>
      </w:r>
      <w:r>
        <w:t>starting with the 2026 inventory year.</w:t>
      </w:r>
    </w:p>
  </w:footnote>
  <w:footnote w:id="19">
    <w:p w:rsidR="00686ADC" w14:paraId="24BBAEEF" w14:textId="351D1149">
      <w:pPr>
        <w:pStyle w:val="FootnoteText"/>
      </w:pPr>
      <w:r w:rsidRPr="00686ADC">
        <w:rPr>
          <w:rStyle w:val="FootnoteReference"/>
          <w:vertAlign w:val="superscript"/>
        </w:rPr>
        <w:footnoteRef/>
      </w:r>
      <w:r>
        <w:t xml:space="preserve"> This analysis was repeated with 2017 NEI data and only 6 such facilities were identified, but the difference is so small we have retained the facility count</w:t>
      </w:r>
      <w:r w:rsidR="00DD1628">
        <w:t xml:space="preserve"> based on 2014</w:t>
      </w:r>
      <w:r>
        <w:t>.</w:t>
      </w:r>
      <w:r w:rsidR="00E31A87">
        <w:t xml:space="preserve"> 2020 NEI data were not available </w:t>
      </w:r>
      <w:r w:rsidR="0004320E">
        <w:t>when this ICR was prepared.</w:t>
      </w:r>
    </w:p>
  </w:footnote>
  <w:footnote w:id="20">
    <w:p w:rsidR="00CF71A4" w14:paraId="405BC7D6" w14:textId="6F7FDE49">
      <w:pPr>
        <w:pStyle w:val="FootnoteText"/>
      </w:pPr>
      <w:r w:rsidRPr="00CF71A4">
        <w:rPr>
          <w:rStyle w:val="FootnoteReference"/>
          <w:vertAlign w:val="superscript"/>
        </w:rPr>
        <w:footnoteRef/>
      </w:r>
      <w:r>
        <w:t xml:space="preserve"> As described in Section </w:t>
      </w:r>
      <w:r>
        <w:fldChar w:fldCharType="begin"/>
      </w:r>
      <w:r>
        <w:instrText xml:space="preserve"> REF _Ref125747016 \r \h </w:instrText>
      </w:r>
      <w:r>
        <w:fldChar w:fldCharType="separate"/>
      </w:r>
      <w:r w:rsidR="00646F0F">
        <w:t>12.4.1</w:t>
      </w:r>
      <w:r>
        <w:fldChar w:fldCharType="end"/>
      </w:r>
      <w:r>
        <w:t>, the revised estimate for CAP major facilities based on 2017 NEI and additional data sources is 12,379.</w:t>
      </w:r>
    </w:p>
  </w:footnote>
  <w:footnote w:id="21">
    <w:p w:rsidR="00410015" w:rsidP="00ED141D" w14:paraId="4A58DE60" w14:textId="5536CFBC">
      <w:pPr>
        <w:pStyle w:val="FootnoteText"/>
        <w:spacing w:after="60"/>
      </w:pPr>
      <w:r w:rsidRPr="00A000A7">
        <w:rPr>
          <w:rStyle w:val="FootnoteReference"/>
          <w:vertAlign w:val="superscript"/>
        </w:rPr>
        <w:footnoteRef/>
      </w:r>
      <w:r>
        <w:t xml:space="preserve"> The </w:t>
      </w:r>
      <w:r w:rsidR="00567CCA">
        <w:t xml:space="preserve">2020 NEI </w:t>
      </w:r>
      <w:r>
        <w:t xml:space="preserve">Wagon Wheel tool </w:t>
      </w:r>
      <w:r w:rsidR="00771294">
        <w:t xml:space="preserve">and templates are </w:t>
      </w:r>
      <w:r>
        <w:t xml:space="preserve">available </w:t>
      </w:r>
      <w:r w:rsidR="00DE3087">
        <w:t xml:space="preserve">on EPA’s website </w:t>
      </w:r>
      <w:r w:rsidR="00567CCA">
        <w:t xml:space="preserve">at </w:t>
      </w:r>
      <w:hyperlink r:id="rId1" w:history="1">
        <w:r w:rsidRPr="00A30966" w:rsidR="00567CCA">
          <w:rPr>
            <w:rStyle w:val="Hyperlink"/>
          </w:rPr>
          <w:t>https://www.epa.gov/air-emissions-inventories/2020-nei-supporting-data-and-summaries</w:t>
        </w:r>
      </w:hyperlink>
      <w:r w:rsidR="00567CCA">
        <w:t xml:space="preserve">. </w:t>
      </w:r>
    </w:p>
  </w:footnote>
  <w:footnote w:id="22">
    <w:p w:rsidR="00981F90" w14:paraId="3D26A519" w14:textId="4C56ADE6">
      <w:pPr>
        <w:pStyle w:val="FootnoteText"/>
      </w:pPr>
      <w:r w:rsidRPr="00981F90">
        <w:rPr>
          <w:rStyle w:val="FootnoteReference"/>
          <w:vertAlign w:val="superscript"/>
        </w:rPr>
        <w:footnoteRef/>
      </w:r>
      <w:r>
        <w:t xml:space="preserve"> This assumption can be revised for the final ICR because</w:t>
      </w:r>
      <w:r w:rsidR="00A63C96">
        <w:t xml:space="preserve"> more information will be available based on final template submissions for the </w:t>
      </w:r>
      <w:r>
        <w:t>2020 NEI</w:t>
      </w:r>
      <w:r w:rsidR="00A63C96">
        <w:t>.</w:t>
      </w:r>
    </w:p>
  </w:footnote>
  <w:footnote w:id="23">
    <w:p w:rsidR="005D3DB6" w:rsidP="00172E63" w14:paraId="4FBE7674" w14:textId="5183D2E5">
      <w:pPr>
        <w:pStyle w:val="FootnoteText"/>
        <w:spacing w:after="60" w:line="240" w:lineRule="auto"/>
      </w:pPr>
      <w:r w:rsidRPr="005D3DB6">
        <w:rPr>
          <w:rStyle w:val="FootnoteReference"/>
          <w:vertAlign w:val="superscript"/>
        </w:rPr>
        <w:footnoteRef/>
      </w:r>
      <w:r>
        <w:t xml:space="preserve"> 2017 National Emissions Inventory (NEI) Data, U.S. EPA, </w:t>
      </w:r>
      <w:hyperlink r:id="rId2" w:history="1">
        <w:r w:rsidRPr="00106B89">
          <w:rPr>
            <w:rStyle w:val="Hyperlink"/>
          </w:rPr>
          <w:t>https://www.epa.gov/air-emissions-inventories/2017-national-emissions-inventory-nei-data</w:t>
        </w:r>
      </w:hyperlink>
      <w:r>
        <w:t xml:space="preserve">. </w:t>
      </w:r>
    </w:p>
  </w:footnote>
  <w:footnote w:id="24">
    <w:p w:rsidR="005D3DB6" w:rsidP="00172E63" w14:paraId="63BFB860" w14:textId="2CB55E7B">
      <w:pPr>
        <w:pStyle w:val="FootnoteText"/>
        <w:spacing w:after="60" w:line="240" w:lineRule="auto"/>
      </w:pPr>
      <w:r w:rsidRPr="005D3DB6">
        <w:rPr>
          <w:rStyle w:val="FootnoteReference"/>
          <w:vertAlign w:val="superscript"/>
        </w:rPr>
        <w:footnoteRef/>
      </w:r>
      <w:r>
        <w:t xml:space="preserve"> </w:t>
      </w:r>
      <w:r w:rsidRPr="005D3DB6">
        <w:t>Integrated Compliance Information System for Air</w:t>
      </w:r>
      <w:r>
        <w:t xml:space="preserve"> (ICIS-AIR), U.S., EPA, </w:t>
      </w:r>
      <w:hyperlink r:id="rId3" w:history="1">
        <w:r w:rsidRPr="00106B89">
          <w:rPr>
            <w:rStyle w:val="Hyperlink"/>
          </w:rPr>
          <w:t>https://www.epa.gov/enviro/icis-air-search</w:t>
        </w:r>
      </w:hyperlink>
      <w:r>
        <w:t xml:space="preserve">. </w:t>
      </w:r>
    </w:p>
  </w:footnote>
  <w:footnote w:id="25">
    <w:p w:rsidR="003543E3" w:rsidP="00172E63" w14:paraId="75438CD4" w14:textId="68018D5A">
      <w:pPr>
        <w:pStyle w:val="FootnoteText"/>
        <w:spacing w:line="240" w:lineRule="auto"/>
      </w:pPr>
      <w:r w:rsidRPr="003543E3">
        <w:rPr>
          <w:rStyle w:val="FootnoteReference"/>
          <w:vertAlign w:val="superscript"/>
        </w:rPr>
        <w:footnoteRef/>
      </w:r>
      <w:r>
        <w:t xml:space="preserve"> U.S. EPA, </w:t>
      </w:r>
      <w:bookmarkStart w:id="25" w:name="_Hlk137130246"/>
      <w:r>
        <w:t>Technical Support Document: Revisions to the Air Emissions Reporting Requirements (Proposal), June 2023,</w:t>
      </w:r>
      <w:r w:rsidR="00035B3C">
        <w:t xml:space="preserve"> Docket number </w:t>
      </w:r>
      <w:r w:rsidRPr="00913BA0" w:rsidR="00913BA0">
        <w:t>EPA-HQ-OAR-2004-0489-0091</w:t>
      </w:r>
      <w:r>
        <w:t>.</w:t>
      </w:r>
      <w:bookmarkEnd w:id="25"/>
    </w:p>
  </w:footnote>
  <w:footnote w:id="26">
    <w:p w:rsidR="00D3520F" w14:paraId="231D16CA" w14:textId="1AFCF317">
      <w:pPr>
        <w:pStyle w:val="FootnoteText"/>
      </w:pPr>
      <w:r w:rsidRPr="00D3520F">
        <w:rPr>
          <w:rStyle w:val="FootnoteReference"/>
          <w:vertAlign w:val="superscript"/>
        </w:rPr>
        <w:footnoteRef/>
      </w:r>
      <w:r>
        <w:t xml:space="preserve"> </w:t>
      </w:r>
      <w:r w:rsidRPr="003732EB" w:rsidR="00C15DEB">
        <w:t>https://www.epa.gov/air-emissions-inventories/national-emissions-inventory-nei</w:t>
      </w:r>
      <w:r w:rsidR="00C15DEB">
        <w:t xml:space="preserve">. </w:t>
      </w:r>
    </w:p>
  </w:footnote>
  <w:footnote w:id="27">
    <w:p w:rsidR="00D3520F" w14:paraId="10BE53E7" w14:textId="453BAFC5">
      <w:pPr>
        <w:pStyle w:val="FootnoteText"/>
      </w:pPr>
      <w:r w:rsidRPr="00D3520F">
        <w:rPr>
          <w:rStyle w:val="FootnoteReference"/>
          <w:vertAlign w:val="superscript"/>
        </w:rPr>
        <w:footnoteRef/>
      </w:r>
      <w:r>
        <w:t xml:space="preserve"> </w:t>
      </w:r>
      <w:r w:rsidRPr="003732EB" w:rsidR="00C15DEB">
        <w:t>https://cfpub.epa.gov/webfire/</w:t>
      </w:r>
      <w:r w:rsidR="00C15DEB">
        <w:t xml:space="preserve">. </w:t>
      </w:r>
    </w:p>
  </w:footnote>
  <w:footnote w:id="28">
    <w:p w:rsidR="00D3520F" w14:paraId="35C56F73" w14:textId="696CC9A6">
      <w:pPr>
        <w:pStyle w:val="FootnoteText"/>
      </w:pPr>
      <w:r w:rsidRPr="00D3520F">
        <w:rPr>
          <w:rStyle w:val="FootnoteReference"/>
          <w:vertAlign w:val="superscript"/>
        </w:rPr>
        <w:footnoteRef/>
      </w:r>
      <w:r>
        <w:t xml:space="preserve"> </w:t>
      </w:r>
      <w:r w:rsidRPr="003732EB" w:rsidR="00C15DEB">
        <w:t>https://dev.epacdx.net/FAQ/ViewDocument?documentNumber=Phx8CgcKgTs%3D</w:t>
      </w:r>
      <w:r w:rsidR="00C15DE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4">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3A749E3"/>
    <w:multiLevelType w:val="hybridMultilevel"/>
    <w:tmpl w:val="95846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B55EFF"/>
    <w:multiLevelType w:val="hybridMultilevel"/>
    <w:tmpl w:val="6E52BA30"/>
    <w:lvl w:ilvl="0">
      <w:start w:val="1"/>
      <w:numFmt w:val="decimal"/>
      <w:lvlText w:val="C.%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4015581"/>
    <w:multiLevelType w:val="hybridMultilevel"/>
    <w:tmpl w:val="E0A6D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696AB5"/>
    <w:multiLevelType w:val="hybridMultilevel"/>
    <w:tmpl w:val="BAC840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732335E"/>
    <w:multiLevelType w:val="hybridMultilevel"/>
    <w:tmpl w:val="46B05498"/>
    <w:styleLink w:val="Style1"/>
    <w:lvl w:ilvl="0">
      <w:start w:val="0"/>
      <w:numFmt w:val="bullet"/>
      <w:lvlText w:val="•"/>
      <w:lvlJc w:val="left"/>
      <w:pPr>
        <w:ind w:left="887" w:hanging="465"/>
      </w:pPr>
      <w:rPr>
        <w:rFonts w:ascii="Times New Roman" w:eastAsia="Times New Roman" w:hAnsi="Times New Roman" w:cs="Times New Roman"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13">
    <w:nsid w:val="0B7418CA"/>
    <w:multiLevelType w:val="hybridMultilevel"/>
    <w:tmpl w:val="6F686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E02738"/>
    <w:multiLevelType w:val="hybridMultilevel"/>
    <w:tmpl w:val="9440C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2361A3"/>
    <w:multiLevelType w:val="hybridMultilevel"/>
    <w:tmpl w:val="3D380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7272D"/>
    <w:multiLevelType w:val="hybridMultilevel"/>
    <w:tmpl w:val="9974A4F4"/>
    <w:lvl w:ilvl="0">
      <w:start w:val="1"/>
      <w:numFmt w:val="upperLetter"/>
      <w:lvlText w:val="Appendix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C23ED9"/>
    <w:multiLevelType w:val="hybridMultilevel"/>
    <w:tmpl w:val="08FE32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4547D71"/>
    <w:multiLevelType w:val="hybridMultilevel"/>
    <w:tmpl w:val="5B6CB0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D144585"/>
    <w:multiLevelType w:val="hybridMultilevel"/>
    <w:tmpl w:val="6F3A8F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0883FFB"/>
    <w:multiLevelType w:val="hybridMultilevel"/>
    <w:tmpl w:val="95F41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792926"/>
    <w:multiLevelType w:val="hybridMultilevel"/>
    <w:tmpl w:val="40DA7D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A26C19"/>
    <w:multiLevelType w:val="hybridMultilevel"/>
    <w:tmpl w:val="8384E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BA5760"/>
    <w:multiLevelType w:val="hybridMultilevel"/>
    <w:tmpl w:val="64686F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E52B1B"/>
    <w:multiLevelType w:val="multilevel"/>
    <w:tmpl w:val="F7F28AA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257E0201"/>
    <w:multiLevelType w:val="hybridMultilevel"/>
    <w:tmpl w:val="B94AD628"/>
    <w:lvl w:ilvl="0">
      <w:start w:val="1"/>
      <w:numFmt w:val="bullet"/>
      <w:lvlText w:val=""/>
      <w:lvlJc w:val="left"/>
      <w:pPr>
        <w:ind w:left="1248" w:hanging="360"/>
      </w:pPr>
      <w:rPr>
        <w:rFonts w:ascii="Symbol" w:hAnsi="Symbol" w:hint="default"/>
      </w:rPr>
    </w:lvl>
    <w:lvl w:ilvl="1" w:tentative="1">
      <w:start w:val="1"/>
      <w:numFmt w:val="bullet"/>
      <w:lvlText w:val="o"/>
      <w:lvlJc w:val="left"/>
      <w:pPr>
        <w:ind w:left="1968" w:hanging="360"/>
      </w:pPr>
      <w:rPr>
        <w:rFonts w:ascii="Courier New" w:hAnsi="Courier New" w:cs="Courier New" w:hint="default"/>
      </w:rPr>
    </w:lvl>
    <w:lvl w:ilvl="2" w:tentative="1">
      <w:start w:val="1"/>
      <w:numFmt w:val="bullet"/>
      <w:lvlText w:val=""/>
      <w:lvlJc w:val="left"/>
      <w:pPr>
        <w:ind w:left="2688" w:hanging="360"/>
      </w:pPr>
      <w:rPr>
        <w:rFonts w:ascii="Wingdings" w:hAnsi="Wingdings" w:hint="default"/>
      </w:rPr>
    </w:lvl>
    <w:lvl w:ilvl="3" w:tentative="1">
      <w:start w:val="1"/>
      <w:numFmt w:val="bullet"/>
      <w:lvlText w:val=""/>
      <w:lvlJc w:val="left"/>
      <w:pPr>
        <w:ind w:left="3408" w:hanging="360"/>
      </w:pPr>
      <w:rPr>
        <w:rFonts w:ascii="Symbol" w:hAnsi="Symbol" w:hint="default"/>
      </w:rPr>
    </w:lvl>
    <w:lvl w:ilvl="4" w:tentative="1">
      <w:start w:val="1"/>
      <w:numFmt w:val="bullet"/>
      <w:lvlText w:val="o"/>
      <w:lvlJc w:val="left"/>
      <w:pPr>
        <w:ind w:left="4128" w:hanging="360"/>
      </w:pPr>
      <w:rPr>
        <w:rFonts w:ascii="Courier New" w:hAnsi="Courier New" w:cs="Courier New" w:hint="default"/>
      </w:rPr>
    </w:lvl>
    <w:lvl w:ilvl="5" w:tentative="1">
      <w:start w:val="1"/>
      <w:numFmt w:val="bullet"/>
      <w:lvlText w:val=""/>
      <w:lvlJc w:val="left"/>
      <w:pPr>
        <w:ind w:left="4848" w:hanging="360"/>
      </w:pPr>
      <w:rPr>
        <w:rFonts w:ascii="Wingdings" w:hAnsi="Wingdings" w:hint="default"/>
      </w:rPr>
    </w:lvl>
    <w:lvl w:ilvl="6" w:tentative="1">
      <w:start w:val="1"/>
      <w:numFmt w:val="bullet"/>
      <w:lvlText w:val=""/>
      <w:lvlJc w:val="left"/>
      <w:pPr>
        <w:ind w:left="5568" w:hanging="360"/>
      </w:pPr>
      <w:rPr>
        <w:rFonts w:ascii="Symbol" w:hAnsi="Symbol" w:hint="default"/>
      </w:rPr>
    </w:lvl>
    <w:lvl w:ilvl="7" w:tentative="1">
      <w:start w:val="1"/>
      <w:numFmt w:val="bullet"/>
      <w:lvlText w:val="o"/>
      <w:lvlJc w:val="left"/>
      <w:pPr>
        <w:ind w:left="6288" w:hanging="360"/>
      </w:pPr>
      <w:rPr>
        <w:rFonts w:ascii="Courier New" w:hAnsi="Courier New" w:cs="Courier New" w:hint="default"/>
      </w:rPr>
    </w:lvl>
    <w:lvl w:ilvl="8" w:tentative="1">
      <w:start w:val="1"/>
      <w:numFmt w:val="bullet"/>
      <w:lvlText w:val=""/>
      <w:lvlJc w:val="left"/>
      <w:pPr>
        <w:ind w:left="7008" w:hanging="360"/>
      </w:pPr>
      <w:rPr>
        <w:rFonts w:ascii="Wingdings" w:hAnsi="Wingdings" w:hint="default"/>
      </w:rPr>
    </w:lvl>
  </w:abstractNum>
  <w:abstractNum w:abstractNumId="26">
    <w:nsid w:val="26343F76"/>
    <w:multiLevelType w:val="hybridMultilevel"/>
    <w:tmpl w:val="DBF04544"/>
    <w:lvl w:ilvl="0">
      <w:start w:val="1"/>
      <w:numFmt w:val="decimal"/>
      <w:lvlText w:val="%1."/>
      <w:lvlJc w:val="left"/>
      <w:pPr>
        <w:ind w:left="-1080" w:hanging="360"/>
      </w:pPr>
    </w:lvl>
    <w:lvl w:ilvl="1" w:tentative="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27">
    <w:nsid w:val="28DF2A02"/>
    <w:multiLevelType w:val="hybridMultilevel"/>
    <w:tmpl w:val="B1244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C9A48C9"/>
    <w:multiLevelType w:val="hybridMultilevel"/>
    <w:tmpl w:val="6E02E5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DA126E3"/>
    <w:multiLevelType w:val="hybridMultilevel"/>
    <w:tmpl w:val="0AC8E7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A956D5"/>
    <w:multiLevelType w:val="hybridMultilevel"/>
    <w:tmpl w:val="CDE8D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F728DF"/>
    <w:multiLevelType w:val="multilevel"/>
    <w:tmpl w:val="ADE47AE4"/>
    <w:lvl w:ilvl="0">
      <w:start w:val="1"/>
      <w:numFmt w:val="upperLetter"/>
      <w:pStyle w:val="AppendixHeading1"/>
      <w:lvlText w:val="Appendix %1:"/>
      <w:lvlJc w:val="left"/>
      <w:pPr>
        <w:ind w:left="360" w:hanging="360"/>
      </w:pPr>
      <w:rPr>
        <w:rFonts w:hint="default"/>
      </w:rPr>
    </w:lvl>
    <w:lvl w:ilvl="1">
      <w:start w:val="1"/>
      <w:numFmt w:val="decimal"/>
      <w:pStyle w:val="AppendixC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3EF9180A"/>
    <w:multiLevelType w:val="hybridMultilevel"/>
    <w:tmpl w:val="F0627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2F043B9"/>
    <w:multiLevelType w:val="hybridMultilevel"/>
    <w:tmpl w:val="CB4494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AE6B36"/>
    <w:multiLevelType w:val="hybridMultilevel"/>
    <w:tmpl w:val="961078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68D47F4"/>
    <w:multiLevelType w:val="hybridMultilevel"/>
    <w:tmpl w:val="8B78FF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220" w:hanging="42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88E23D4"/>
    <w:multiLevelType w:val="hybridMultilevel"/>
    <w:tmpl w:val="5C86F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BDD1ADD"/>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56B94C7B"/>
    <w:multiLevelType w:val="hybridMultilevel"/>
    <w:tmpl w:val="839EA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85322E3"/>
    <w:multiLevelType w:val="hybridMultilevel"/>
    <w:tmpl w:val="CC685E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87B229D"/>
    <w:multiLevelType w:val="hybridMultilevel"/>
    <w:tmpl w:val="4B00A8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E995264"/>
    <w:multiLevelType w:val="hybridMultilevel"/>
    <w:tmpl w:val="F0964F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F0B05E9"/>
    <w:multiLevelType w:val="hybridMultilevel"/>
    <w:tmpl w:val="C6EA7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7F6042"/>
    <w:multiLevelType w:val="hybridMultilevel"/>
    <w:tmpl w:val="23E44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0950AA"/>
    <w:multiLevelType w:val="hybridMultilevel"/>
    <w:tmpl w:val="95E05B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74C01CC"/>
    <w:multiLevelType w:val="hybridMultilevel"/>
    <w:tmpl w:val="21587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777963"/>
    <w:multiLevelType w:val="hybridMultilevel"/>
    <w:tmpl w:val="30302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6095686">
    <w:abstractNumId w:val="40"/>
  </w:num>
  <w:num w:numId="2" w16cid:durableId="19478423">
    <w:abstractNumId w:val="19"/>
  </w:num>
  <w:num w:numId="3" w16cid:durableId="1443182024">
    <w:abstractNumId w:val="11"/>
  </w:num>
  <w:num w:numId="4" w16cid:durableId="314115236">
    <w:abstractNumId w:val="22"/>
  </w:num>
  <w:num w:numId="5" w16cid:durableId="1775250701">
    <w:abstractNumId w:val="34"/>
  </w:num>
  <w:num w:numId="6" w16cid:durableId="292292957">
    <w:abstractNumId w:val="27"/>
  </w:num>
  <w:num w:numId="7" w16cid:durableId="2079160550">
    <w:abstractNumId w:val="43"/>
  </w:num>
  <w:num w:numId="8" w16cid:durableId="1356345072">
    <w:abstractNumId w:val="42"/>
  </w:num>
  <w:num w:numId="9" w16cid:durableId="566065669">
    <w:abstractNumId w:val="10"/>
  </w:num>
  <w:num w:numId="10" w16cid:durableId="1177189948">
    <w:abstractNumId w:val="30"/>
  </w:num>
  <w:num w:numId="11" w16cid:durableId="845750052">
    <w:abstractNumId w:val="15"/>
  </w:num>
  <w:num w:numId="12" w16cid:durableId="1112749751">
    <w:abstractNumId w:val="12"/>
  </w:num>
  <w:num w:numId="13" w16cid:durableId="1253932931">
    <w:abstractNumId w:val="24"/>
  </w:num>
  <w:num w:numId="14" w16cid:durableId="1599095434">
    <w:abstractNumId w:val="17"/>
  </w:num>
  <w:num w:numId="15" w16cid:durableId="387656499">
    <w:abstractNumId w:val="29"/>
  </w:num>
  <w:num w:numId="16" w16cid:durableId="504130618">
    <w:abstractNumId w:val="23"/>
  </w:num>
  <w:num w:numId="17" w16cid:durableId="1543438490">
    <w:abstractNumId w:val="33"/>
  </w:num>
  <w:num w:numId="18" w16cid:durableId="1642541445">
    <w:abstractNumId w:val="44"/>
  </w:num>
  <w:num w:numId="19" w16cid:durableId="308094639">
    <w:abstractNumId w:val="38"/>
  </w:num>
  <w:num w:numId="20" w16cid:durableId="897742661">
    <w:abstractNumId w:val="21"/>
  </w:num>
  <w:num w:numId="21" w16cid:durableId="680470190">
    <w:abstractNumId w:val="20"/>
  </w:num>
  <w:num w:numId="22" w16cid:durableId="577716046">
    <w:abstractNumId w:val="14"/>
  </w:num>
  <w:num w:numId="23" w16cid:durableId="535578826">
    <w:abstractNumId w:val="8"/>
  </w:num>
  <w:num w:numId="24" w16cid:durableId="1410540988">
    <w:abstractNumId w:val="36"/>
  </w:num>
  <w:num w:numId="25" w16cid:durableId="234710624">
    <w:abstractNumId w:val="25"/>
  </w:num>
  <w:num w:numId="26" w16cid:durableId="1966500297">
    <w:abstractNumId w:val="18"/>
  </w:num>
  <w:num w:numId="27" w16cid:durableId="636182582">
    <w:abstractNumId w:val="35"/>
  </w:num>
  <w:num w:numId="28" w16cid:durableId="454520031">
    <w:abstractNumId w:val="39"/>
  </w:num>
  <w:num w:numId="29" w16cid:durableId="2085251280">
    <w:abstractNumId w:val="28"/>
  </w:num>
  <w:num w:numId="30" w16cid:durableId="2140301048">
    <w:abstractNumId w:val="46"/>
  </w:num>
  <w:num w:numId="31" w16cid:durableId="68960953">
    <w:abstractNumId w:val="41"/>
  </w:num>
  <w:num w:numId="32" w16cid:durableId="1203447242">
    <w:abstractNumId w:val="45"/>
  </w:num>
  <w:num w:numId="33" w16cid:durableId="1392267340">
    <w:abstractNumId w:val="13"/>
  </w:num>
  <w:num w:numId="34" w16cid:durableId="713581444">
    <w:abstractNumId w:val="9"/>
  </w:num>
  <w:num w:numId="35" w16cid:durableId="856500698">
    <w:abstractNumId w:val="32"/>
  </w:num>
  <w:num w:numId="36" w16cid:durableId="1304777244">
    <w:abstractNumId w:val="37"/>
  </w:num>
  <w:num w:numId="37" w16cid:durableId="1538004410">
    <w:abstractNumId w:val="31"/>
  </w:num>
  <w:num w:numId="38" w16cid:durableId="1574700926">
    <w:abstractNumId w:val="16"/>
  </w:num>
  <w:num w:numId="39" w16cid:durableId="1566067259">
    <w:abstractNumId w:val="31"/>
  </w:num>
  <w:num w:numId="40" w16cid:durableId="998190834">
    <w:abstractNumId w:val="31"/>
  </w:num>
  <w:num w:numId="41" w16cid:durableId="1425108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60461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embedSystemFonts/>
  <w:bordersDoNotSurroundHeader/>
  <w:bordersDoNotSurroundFooter/>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1E6"/>
    <w:rsid w:val="0000032F"/>
    <w:rsid w:val="00000788"/>
    <w:rsid w:val="00001F6C"/>
    <w:rsid w:val="0000534B"/>
    <w:rsid w:val="000064DF"/>
    <w:rsid w:val="00006F79"/>
    <w:rsid w:val="000074DD"/>
    <w:rsid w:val="000075DD"/>
    <w:rsid w:val="00007BAB"/>
    <w:rsid w:val="0001088F"/>
    <w:rsid w:val="00011838"/>
    <w:rsid w:val="00011871"/>
    <w:rsid w:val="000119DE"/>
    <w:rsid w:val="00012141"/>
    <w:rsid w:val="00016316"/>
    <w:rsid w:val="00016589"/>
    <w:rsid w:val="00016859"/>
    <w:rsid w:val="000207B5"/>
    <w:rsid w:val="000217BF"/>
    <w:rsid w:val="0002508F"/>
    <w:rsid w:val="00025EF1"/>
    <w:rsid w:val="000268E3"/>
    <w:rsid w:val="00027557"/>
    <w:rsid w:val="0003028E"/>
    <w:rsid w:val="000312F2"/>
    <w:rsid w:val="000329AD"/>
    <w:rsid w:val="00032D15"/>
    <w:rsid w:val="000339DF"/>
    <w:rsid w:val="00034AD4"/>
    <w:rsid w:val="00035197"/>
    <w:rsid w:val="00035B3C"/>
    <w:rsid w:val="00035E1F"/>
    <w:rsid w:val="00036A45"/>
    <w:rsid w:val="000371AC"/>
    <w:rsid w:val="000376FA"/>
    <w:rsid w:val="00037984"/>
    <w:rsid w:val="00037BF4"/>
    <w:rsid w:val="0004060C"/>
    <w:rsid w:val="00041946"/>
    <w:rsid w:val="00041F47"/>
    <w:rsid w:val="000429E9"/>
    <w:rsid w:val="0004320E"/>
    <w:rsid w:val="000436F3"/>
    <w:rsid w:val="00043AE6"/>
    <w:rsid w:val="00044241"/>
    <w:rsid w:val="00045E59"/>
    <w:rsid w:val="00046D64"/>
    <w:rsid w:val="000520E5"/>
    <w:rsid w:val="00052325"/>
    <w:rsid w:val="00052A7F"/>
    <w:rsid w:val="00054026"/>
    <w:rsid w:val="000542C0"/>
    <w:rsid w:val="00056BB6"/>
    <w:rsid w:val="00056F92"/>
    <w:rsid w:val="00060008"/>
    <w:rsid w:val="0006263D"/>
    <w:rsid w:val="00062882"/>
    <w:rsid w:val="00064411"/>
    <w:rsid w:val="000646E3"/>
    <w:rsid w:val="00065B78"/>
    <w:rsid w:val="0007005F"/>
    <w:rsid w:val="0007026F"/>
    <w:rsid w:val="00070FE2"/>
    <w:rsid w:val="00071D6C"/>
    <w:rsid w:val="00072BE7"/>
    <w:rsid w:val="00073AF7"/>
    <w:rsid w:val="000740BA"/>
    <w:rsid w:val="000742C8"/>
    <w:rsid w:val="00074D53"/>
    <w:rsid w:val="00077B03"/>
    <w:rsid w:val="000818A8"/>
    <w:rsid w:val="00081A26"/>
    <w:rsid w:val="00082004"/>
    <w:rsid w:val="0008424B"/>
    <w:rsid w:val="00084302"/>
    <w:rsid w:val="00084381"/>
    <w:rsid w:val="00085792"/>
    <w:rsid w:val="00085BE3"/>
    <w:rsid w:val="00086175"/>
    <w:rsid w:val="0008651B"/>
    <w:rsid w:val="00086817"/>
    <w:rsid w:val="0008697E"/>
    <w:rsid w:val="00086AC4"/>
    <w:rsid w:val="00086B52"/>
    <w:rsid w:val="00086E4F"/>
    <w:rsid w:val="00086FE6"/>
    <w:rsid w:val="0008780E"/>
    <w:rsid w:val="0009025D"/>
    <w:rsid w:val="00092355"/>
    <w:rsid w:val="000925F7"/>
    <w:rsid w:val="00093133"/>
    <w:rsid w:val="0009536B"/>
    <w:rsid w:val="00095B12"/>
    <w:rsid w:val="000A0144"/>
    <w:rsid w:val="000A04D1"/>
    <w:rsid w:val="000A1911"/>
    <w:rsid w:val="000A3259"/>
    <w:rsid w:val="000A4881"/>
    <w:rsid w:val="000A4C0E"/>
    <w:rsid w:val="000A5106"/>
    <w:rsid w:val="000A58A6"/>
    <w:rsid w:val="000A58F9"/>
    <w:rsid w:val="000A5966"/>
    <w:rsid w:val="000A787C"/>
    <w:rsid w:val="000B023E"/>
    <w:rsid w:val="000B151D"/>
    <w:rsid w:val="000B1912"/>
    <w:rsid w:val="000B42F8"/>
    <w:rsid w:val="000B75DF"/>
    <w:rsid w:val="000B7CBE"/>
    <w:rsid w:val="000C0170"/>
    <w:rsid w:val="000C04FE"/>
    <w:rsid w:val="000C1C27"/>
    <w:rsid w:val="000C24DA"/>
    <w:rsid w:val="000C288E"/>
    <w:rsid w:val="000C34BA"/>
    <w:rsid w:val="000C3A3D"/>
    <w:rsid w:val="000C5B00"/>
    <w:rsid w:val="000C60F3"/>
    <w:rsid w:val="000C6B32"/>
    <w:rsid w:val="000D0955"/>
    <w:rsid w:val="000D27B8"/>
    <w:rsid w:val="000D2806"/>
    <w:rsid w:val="000D29D4"/>
    <w:rsid w:val="000D3375"/>
    <w:rsid w:val="000D4871"/>
    <w:rsid w:val="000D4FA5"/>
    <w:rsid w:val="000D521B"/>
    <w:rsid w:val="000D586F"/>
    <w:rsid w:val="000D5F30"/>
    <w:rsid w:val="000D6BD7"/>
    <w:rsid w:val="000D6F0E"/>
    <w:rsid w:val="000E0952"/>
    <w:rsid w:val="000E23BC"/>
    <w:rsid w:val="000E24E8"/>
    <w:rsid w:val="000E2C7F"/>
    <w:rsid w:val="000E3643"/>
    <w:rsid w:val="000E3908"/>
    <w:rsid w:val="000E3CF4"/>
    <w:rsid w:val="000E4466"/>
    <w:rsid w:val="000E4EC8"/>
    <w:rsid w:val="000E767E"/>
    <w:rsid w:val="000E76B7"/>
    <w:rsid w:val="000F29A1"/>
    <w:rsid w:val="000F349F"/>
    <w:rsid w:val="000F47DF"/>
    <w:rsid w:val="000F49D9"/>
    <w:rsid w:val="000F4C6E"/>
    <w:rsid w:val="000F734A"/>
    <w:rsid w:val="000F75A8"/>
    <w:rsid w:val="000F7E33"/>
    <w:rsid w:val="00100BA6"/>
    <w:rsid w:val="001016CE"/>
    <w:rsid w:val="00101794"/>
    <w:rsid w:val="001018FE"/>
    <w:rsid w:val="0010275C"/>
    <w:rsid w:val="00104749"/>
    <w:rsid w:val="00104CBB"/>
    <w:rsid w:val="00106B89"/>
    <w:rsid w:val="00107875"/>
    <w:rsid w:val="001110F5"/>
    <w:rsid w:val="00111216"/>
    <w:rsid w:val="0011184B"/>
    <w:rsid w:val="001139F3"/>
    <w:rsid w:val="001151D5"/>
    <w:rsid w:val="0011566D"/>
    <w:rsid w:val="00116E57"/>
    <w:rsid w:val="0011707E"/>
    <w:rsid w:val="00117F1C"/>
    <w:rsid w:val="001207DC"/>
    <w:rsid w:val="00120B82"/>
    <w:rsid w:val="00121DE8"/>
    <w:rsid w:val="001221FF"/>
    <w:rsid w:val="001243FF"/>
    <w:rsid w:val="00124A89"/>
    <w:rsid w:val="0012524C"/>
    <w:rsid w:val="00125F89"/>
    <w:rsid w:val="0012649D"/>
    <w:rsid w:val="001264CB"/>
    <w:rsid w:val="00130D55"/>
    <w:rsid w:val="00131849"/>
    <w:rsid w:val="00131F24"/>
    <w:rsid w:val="00134924"/>
    <w:rsid w:val="00135417"/>
    <w:rsid w:val="001356C5"/>
    <w:rsid w:val="00137105"/>
    <w:rsid w:val="0013777F"/>
    <w:rsid w:val="001401EC"/>
    <w:rsid w:val="00140226"/>
    <w:rsid w:val="00141845"/>
    <w:rsid w:val="00142882"/>
    <w:rsid w:val="00143D95"/>
    <w:rsid w:val="00144B05"/>
    <w:rsid w:val="00147CC0"/>
    <w:rsid w:val="0015052A"/>
    <w:rsid w:val="00151B3A"/>
    <w:rsid w:val="001526CC"/>
    <w:rsid w:val="00153505"/>
    <w:rsid w:val="00153550"/>
    <w:rsid w:val="00153B20"/>
    <w:rsid w:val="00153FC0"/>
    <w:rsid w:val="0015405C"/>
    <w:rsid w:val="001554CA"/>
    <w:rsid w:val="0015614C"/>
    <w:rsid w:val="001568F7"/>
    <w:rsid w:val="00156BE7"/>
    <w:rsid w:val="00156F13"/>
    <w:rsid w:val="00157876"/>
    <w:rsid w:val="001601E4"/>
    <w:rsid w:val="00160F71"/>
    <w:rsid w:val="0016176E"/>
    <w:rsid w:val="00163215"/>
    <w:rsid w:val="001639C4"/>
    <w:rsid w:val="00163A88"/>
    <w:rsid w:val="00163B7C"/>
    <w:rsid w:val="00164309"/>
    <w:rsid w:val="001673BD"/>
    <w:rsid w:val="0016740F"/>
    <w:rsid w:val="001708A2"/>
    <w:rsid w:val="001710B7"/>
    <w:rsid w:val="00171A47"/>
    <w:rsid w:val="001722A3"/>
    <w:rsid w:val="00172E63"/>
    <w:rsid w:val="00173AD4"/>
    <w:rsid w:val="00173D09"/>
    <w:rsid w:val="0017408B"/>
    <w:rsid w:val="00177407"/>
    <w:rsid w:val="00177FF9"/>
    <w:rsid w:val="00181275"/>
    <w:rsid w:val="0018139C"/>
    <w:rsid w:val="001814EE"/>
    <w:rsid w:val="001815BC"/>
    <w:rsid w:val="00182CED"/>
    <w:rsid w:val="00183949"/>
    <w:rsid w:val="00184CC4"/>
    <w:rsid w:val="00184FCE"/>
    <w:rsid w:val="00185010"/>
    <w:rsid w:val="00185363"/>
    <w:rsid w:val="00186ECC"/>
    <w:rsid w:val="00187457"/>
    <w:rsid w:val="00187773"/>
    <w:rsid w:val="00190F08"/>
    <w:rsid w:val="00193CE1"/>
    <w:rsid w:val="0019517A"/>
    <w:rsid w:val="00195862"/>
    <w:rsid w:val="00195A92"/>
    <w:rsid w:val="0019684E"/>
    <w:rsid w:val="001A0171"/>
    <w:rsid w:val="001A063E"/>
    <w:rsid w:val="001A40B5"/>
    <w:rsid w:val="001A450A"/>
    <w:rsid w:val="001A4859"/>
    <w:rsid w:val="001A6A0C"/>
    <w:rsid w:val="001B0451"/>
    <w:rsid w:val="001B4899"/>
    <w:rsid w:val="001B4CFB"/>
    <w:rsid w:val="001B5C69"/>
    <w:rsid w:val="001B6D87"/>
    <w:rsid w:val="001B70BD"/>
    <w:rsid w:val="001B74D9"/>
    <w:rsid w:val="001C08CB"/>
    <w:rsid w:val="001C1F68"/>
    <w:rsid w:val="001C2B61"/>
    <w:rsid w:val="001C3058"/>
    <w:rsid w:val="001C339A"/>
    <w:rsid w:val="001C5B1B"/>
    <w:rsid w:val="001D20E3"/>
    <w:rsid w:val="001D286F"/>
    <w:rsid w:val="001D311A"/>
    <w:rsid w:val="001D32BB"/>
    <w:rsid w:val="001D3486"/>
    <w:rsid w:val="001D5274"/>
    <w:rsid w:val="001D55AF"/>
    <w:rsid w:val="001D6B5F"/>
    <w:rsid w:val="001E17FC"/>
    <w:rsid w:val="001E2AE6"/>
    <w:rsid w:val="001E3051"/>
    <w:rsid w:val="001E3269"/>
    <w:rsid w:val="001E4142"/>
    <w:rsid w:val="001E4670"/>
    <w:rsid w:val="001E5270"/>
    <w:rsid w:val="001E5402"/>
    <w:rsid w:val="001E5431"/>
    <w:rsid w:val="001E68A2"/>
    <w:rsid w:val="001E72DB"/>
    <w:rsid w:val="001E7B4E"/>
    <w:rsid w:val="001F0690"/>
    <w:rsid w:val="001F0E8C"/>
    <w:rsid w:val="001F1A7C"/>
    <w:rsid w:val="001F2F4E"/>
    <w:rsid w:val="001F30E9"/>
    <w:rsid w:val="001F6217"/>
    <w:rsid w:val="001F7570"/>
    <w:rsid w:val="0020098E"/>
    <w:rsid w:val="00200FA0"/>
    <w:rsid w:val="00204E7E"/>
    <w:rsid w:val="00205038"/>
    <w:rsid w:val="002050F4"/>
    <w:rsid w:val="002054E0"/>
    <w:rsid w:val="002057A2"/>
    <w:rsid w:val="0020584C"/>
    <w:rsid w:val="002059D3"/>
    <w:rsid w:val="00206041"/>
    <w:rsid w:val="002061DB"/>
    <w:rsid w:val="0020714B"/>
    <w:rsid w:val="0021034F"/>
    <w:rsid w:val="0021265B"/>
    <w:rsid w:val="00212880"/>
    <w:rsid w:val="0021336C"/>
    <w:rsid w:val="002139AC"/>
    <w:rsid w:val="00213EE2"/>
    <w:rsid w:val="00214044"/>
    <w:rsid w:val="00221867"/>
    <w:rsid w:val="00221F91"/>
    <w:rsid w:val="00222D58"/>
    <w:rsid w:val="00223013"/>
    <w:rsid w:val="00225A78"/>
    <w:rsid w:val="002265CC"/>
    <w:rsid w:val="0023026B"/>
    <w:rsid w:val="00231C74"/>
    <w:rsid w:val="0023205F"/>
    <w:rsid w:val="002326DE"/>
    <w:rsid w:val="002333FB"/>
    <w:rsid w:val="00233917"/>
    <w:rsid w:val="00234F36"/>
    <w:rsid w:val="00235397"/>
    <w:rsid w:val="00235A63"/>
    <w:rsid w:val="0024228C"/>
    <w:rsid w:val="002432FE"/>
    <w:rsid w:val="00243C1C"/>
    <w:rsid w:val="00244DC3"/>
    <w:rsid w:val="002462E6"/>
    <w:rsid w:val="0024651E"/>
    <w:rsid w:val="00246E3A"/>
    <w:rsid w:val="00247EE1"/>
    <w:rsid w:val="00250896"/>
    <w:rsid w:val="002509B2"/>
    <w:rsid w:val="00250AB7"/>
    <w:rsid w:val="00250AE0"/>
    <w:rsid w:val="00250BB0"/>
    <w:rsid w:val="00250D43"/>
    <w:rsid w:val="00250FCB"/>
    <w:rsid w:val="00251188"/>
    <w:rsid w:val="00252311"/>
    <w:rsid w:val="00252510"/>
    <w:rsid w:val="002525DD"/>
    <w:rsid w:val="00255B2E"/>
    <w:rsid w:val="00255BE4"/>
    <w:rsid w:val="00255ED3"/>
    <w:rsid w:val="002563A9"/>
    <w:rsid w:val="00256560"/>
    <w:rsid w:val="00256C40"/>
    <w:rsid w:val="00257355"/>
    <w:rsid w:val="00260573"/>
    <w:rsid w:val="00260A48"/>
    <w:rsid w:val="00263B10"/>
    <w:rsid w:val="00263FE8"/>
    <w:rsid w:val="00264111"/>
    <w:rsid w:val="00265EFB"/>
    <w:rsid w:val="00265FD0"/>
    <w:rsid w:val="00266377"/>
    <w:rsid w:val="0026696F"/>
    <w:rsid w:val="00267996"/>
    <w:rsid w:val="0027053B"/>
    <w:rsid w:val="00270FBC"/>
    <w:rsid w:val="0027358E"/>
    <w:rsid w:val="00273F07"/>
    <w:rsid w:val="00273F35"/>
    <w:rsid w:val="00275462"/>
    <w:rsid w:val="00276537"/>
    <w:rsid w:val="00277382"/>
    <w:rsid w:val="00277B82"/>
    <w:rsid w:val="002807A3"/>
    <w:rsid w:val="00281B92"/>
    <w:rsid w:val="00283025"/>
    <w:rsid w:val="0028350A"/>
    <w:rsid w:val="00284E4F"/>
    <w:rsid w:val="0028549B"/>
    <w:rsid w:val="0028604B"/>
    <w:rsid w:val="00286413"/>
    <w:rsid w:val="00286419"/>
    <w:rsid w:val="00286E26"/>
    <w:rsid w:val="00287622"/>
    <w:rsid w:val="00290684"/>
    <w:rsid w:val="00291981"/>
    <w:rsid w:val="00293608"/>
    <w:rsid w:val="00294144"/>
    <w:rsid w:val="002947A3"/>
    <w:rsid w:val="00294BE1"/>
    <w:rsid w:val="002961E7"/>
    <w:rsid w:val="00296871"/>
    <w:rsid w:val="0029742D"/>
    <w:rsid w:val="002A1801"/>
    <w:rsid w:val="002A1F30"/>
    <w:rsid w:val="002A20E6"/>
    <w:rsid w:val="002A2671"/>
    <w:rsid w:val="002A26A5"/>
    <w:rsid w:val="002A343F"/>
    <w:rsid w:val="002A36F9"/>
    <w:rsid w:val="002A4911"/>
    <w:rsid w:val="002A577C"/>
    <w:rsid w:val="002A65CB"/>
    <w:rsid w:val="002A7332"/>
    <w:rsid w:val="002A7BDB"/>
    <w:rsid w:val="002B06A9"/>
    <w:rsid w:val="002B0AB7"/>
    <w:rsid w:val="002B142E"/>
    <w:rsid w:val="002B6414"/>
    <w:rsid w:val="002B792B"/>
    <w:rsid w:val="002C01E6"/>
    <w:rsid w:val="002C058E"/>
    <w:rsid w:val="002C07D2"/>
    <w:rsid w:val="002C1F11"/>
    <w:rsid w:val="002C1F78"/>
    <w:rsid w:val="002C3A3A"/>
    <w:rsid w:val="002C41E2"/>
    <w:rsid w:val="002C5446"/>
    <w:rsid w:val="002D0865"/>
    <w:rsid w:val="002D0D3B"/>
    <w:rsid w:val="002D1333"/>
    <w:rsid w:val="002D13A4"/>
    <w:rsid w:val="002D1464"/>
    <w:rsid w:val="002D33B0"/>
    <w:rsid w:val="002D437A"/>
    <w:rsid w:val="002D454C"/>
    <w:rsid w:val="002D4C48"/>
    <w:rsid w:val="002D65D1"/>
    <w:rsid w:val="002D72D4"/>
    <w:rsid w:val="002D7CAD"/>
    <w:rsid w:val="002E04C0"/>
    <w:rsid w:val="002E4768"/>
    <w:rsid w:val="002E4795"/>
    <w:rsid w:val="002E4C95"/>
    <w:rsid w:val="002E558F"/>
    <w:rsid w:val="002E6B85"/>
    <w:rsid w:val="002E73ED"/>
    <w:rsid w:val="002F03CA"/>
    <w:rsid w:val="002F24E7"/>
    <w:rsid w:val="002F2DCE"/>
    <w:rsid w:val="002F3302"/>
    <w:rsid w:val="002F4046"/>
    <w:rsid w:val="002F7510"/>
    <w:rsid w:val="002F7927"/>
    <w:rsid w:val="002F79DA"/>
    <w:rsid w:val="002F79EA"/>
    <w:rsid w:val="002F7E5F"/>
    <w:rsid w:val="002F7ED0"/>
    <w:rsid w:val="00300845"/>
    <w:rsid w:val="00300A9C"/>
    <w:rsid w:val="0030262A"/>
    <w:rsid w:val="0030374D"/>
    <w:rsid w:val="00303DBC"/>
    <w:rsid w:val="00303DD4"/>
    <w:rsid w:val="00303F52"/>
    <w:rsid w:val="00310E81"/>
    <w:rsid w:val="003113AB"/>
    <w:rsid w:val="0031313C"/>
    <w:rsid w:val="003136FF"/>
    <w:rsid w:val="003152D2"/>
    <w:rsid w:val="00315693"/>
    <w:rsid w:val="0031613C"/>
    <w:rsid w:val="003167BA"/>
    <w:rsid w:val="00320365"/>
    <w:rsid w:val="00320D7E"/>
    <w:rsid w:val="003212A5"/>
    <w:rsid w:val="00322126"/>
    <w:rsid w:val="00322497"/>
    <w:rsid w:val="003239F1"/>
    <w:rsid w:val="00324491"/>
    <w:rsid w:val="0032634D"/>
    <w:rsid w:val="00326670"/>
    <w:rsid w:val="0033059F"/>
    <w:rsid w:val="00330C08"/>
    <w:rsid w:val="00333D25"/>
    <w:rsid w:val="00335E0D"/>
    <w:rsid w:val="00336FEE"/>
    <w:rsid w:val="003415B1"/>
    <w:rsid w:val="003416B5"/>
    <w:rsid w:val="00341B88"/>
    <w:rsid w:val="00342DEC"/>
    <w:rsid w:val="00345564"/>
    <w:rsid w:val="003461BB"/>
    <w:rsid w:val="00347120"/>
    <w:rsid w:val="00347769"/>
    <w:rsid w:val="00350BD6"/>
    <w:rsid w:val="003512FC"/>
    <w:rsid w:val="00352272"/>
    <w:rsid w:val="0035289B"/>
    <w:rsid w:val="0035356F"/>
    <w:rsid w:val="003543BA"/>
    <w:rsid w:val="003543E3"/>
    <w:rsid w:val="003548D6"/>
    <w:rsid w:val="00354A4D"/>
    <w:rsid w:val="003560EC"/>
    <w:rsid w:val="00356584"/>
    <w:rsid w:val="003566E0"/>
    <w:rsid w:val="003573D2"/>
    <w:rsid w:val="003609D5"/>
    <w:rsid w:val="00362433"/>
    <w:rsid w:val="003625DE"/>
    <w:rsid w:val="00362A07"/>
    <w:rsid w:val="00364500"/>
    <w:rsid w:val="0036606A"/>
    <w:rsid w:val="00366D8E"/>
    <w:rsid w:val="00366DED"/>
    <w:rsid w:val="00370665"/>
    <w:rsid w:val="00372306"/>
    <w:rsid w:val="00372B50"/>
    <w:rsid w:val="003732EB"/>
    <w:rsid w:val="00373742"/>
    <w:rsid w:val="00375CB0"/>
    <w:rsid w:val="00376EF4"/>
    <w:rsid w:val="00380C4C"/>
    <w:rsid w:val="00380EE3"/>
    <w:rsid w:val="00383110"/>
    <w:rsid w:val="00384A57"/>
    <w:rsid w:val="00386ECB"/>
    <w:rsid w:val="00390092"/>
    <w:rsid w:val="00390C9F"/>
    <w:rsid w:val="0039110E"/>
    <w:rsid w:val="00391EFB"/>
    <w:rsid w:val="00393ACD"/>
    <w:rsid w:val="003947DF"/>
    <w:rsid w:val="00394F41"/>
    <w:rsid w:val="00395A30"/>
    <w:rsid w:val="00395AB5"/>
    <w:rsid w:val="003962BE"/>
    <w:rsid w:val="003972B5"/>
    <w:rsid w:val="0039759B"/>
    <w:rsid w:val="0039798D"/>
    <w:rsid w:val="00397CBC"/>
    <w:rsid w:val="003A3C24"/>
    <w:rsid w:val="003A73A4"/>
    <w:rsid w:val="003A7623"/>
    <w:rsid w:val="003B137A"/>
    <w:rsid w:val="003B1C49"/>
    <w:rsid w:val="003B1CF8"/>
    <w:rsid w:val="003B1F46"/>
    <w:rsid w:val="003B2991"/>
    <w:rsid w:val="003B346B"/>
    <w:rsid w:val="003B37CE"/>
    <w:rsid w:val="003B4320"/>
    <w:rsid w:val="003B4E99"/>
    <w:rsid w:val="003B5D30"/>
    <w:rsid w:val="003B664F"/>
    <w:rsid w:val="003B72F9"/>
    <w:rsid w:val="003B7D80"/>
    <w:rsid w:val="003B7E78"/>
    <w:rsid w:val="003C0560"/>
    <w:rsid w:val="003C1032"/>
    <w:rsid w:val="003C2FA0"/>
    <w:rsid w:val="003C3F21"/>
    <w:rsid w:val="003C4306"/>
    <w:rsid w:val="003C47AC"/>
    <w:rsid w:val="003C4B6A"/>
    <w:rsid w:val="003C5230"/>
    <w:rsid w:val="003C52A8"/>
    <w:rsid w:val="003D0932"/>
    <w:rsid w:val="003D0D35"/>
    <w:rsid w:val="003D1192"/>
    <w:rsid w:val="003D16BE"/>
    <w:rsid w:val="003D1E22"/>
    <w:rsid w:val="003D459C"/>
    <w:rsid w:val="003D4EA2"/>
    <w:rsid w:val="003D5EA4"/>
    <w:rsid w:val="003D65AC"/>
    <w:rsid w:val="003D65F6"/>
    <w:rsid w:val="003D6D85"/>
    <w:rsid w:val="003E0070"/>
    <w:rsid w:val="003E16D5"/>
    <w:rsid w:val="003E20C2"/>
    <w:rsid w:val="003E20F8"/>
    <w:rsid w:val="003E248C"/>
    <w:rsid w:val="003E28BE"/>
    <w:rsid w:val="003E37DB"/>
    <w:rsid w:val="003E3E99"/>
    <w:rsid w:val="003E51E8"/>
    <w:rsid w:val="003F0B0F"/>
    <w:rsid w:val="003F1E68"/>
    <w:rsid w:val="003F23BE"/>
    <w:rsid w:val="003F28E3"/>
    <w:rsid w:val="003F2A3F"/>
    <w:rsid w:val="003F360B"/>
    <w:rsid w:val="003F388B"/>
    <w:rsid w:val="003F3E41"/>
    <w:rsid w:val="003F4030"/>
    <w:rsid w:val="003F6651"/>
    <w:rsid w:val="003F6A0F"/>
    <w:rsid w:val="003F7786"/>
    <w:rsid w:val="003F7CE4"/>
    <w:rsid w:val="004007D3"/>
    <w:rsid w:val="00400FD7"/>
    <w:rsid w:val="00401918"/>
    <w:rsid w:val="00402F43"/>
    <w:rsid w:val="00402F60"/>
    <w:rsid w:val="00404180"/>
    <w:rsid w:val="00404EDC"/>
    <w:rsid w:val="00406A59"/>
    <w:rsid w:val="00407622"/>
    <w:rsid w:val="004079C6"/>
    <w:rsid w:val="00407A77"/>
    <w:rsid w:val="00410015"/>
    <w:rsid w:val="0041002C"/>
    <w:rsid w:val="0041354F"/>
    <w:rsid w:val="00413CD0"/>
    <w:rsid w:val="00414B52"/>
    <w:rsid w:val="0041572F"/>
    <w:rsid w:val="0042041E"/>
    <w:rsid w:val="0042055C"/>
    <w:rsid w:val="00421792"/>
    <w:rsid w:val="004237FD"/>
    <w:rsid w:val="0042788E"/>
    <w:rsid w:val="0043003C"/>
    <w:rsid w:val="00431B1F"/>
    <w:rsid w:val="00433398"/>
    <w:rsid w:val="0043482F"/>
    <w:rsid w:val="00436C60"/>
    <w:rsid w:val="00441600"/>
    <w:rsid w:val="00442B83"/>
    <w:rsid w:val="00442C43"/>
    <w:rsid w:val="00443012"/>
    <w:rsid w:val="00444209"/>
    <w:rsid w:val="004455F4"/>
    <w:rsid w:val="00450598"/>
    <w:rsid w:val="0045073E"/>
    <w:rsid w:val="0045108D"/>
    <w:rsid w:val="00452856"/>
    <w:rsid w:val="00453B2F"/>
    <w:rsid w:val="004554A4"/>
    <w:rsid w:val="00455D73"/>
    <w:rsid w:val="004579B3"/>
    <w:rsid w:val="00457B52"/>
    <w:rsid w:val="004653B7"/>
    <w:rsid w:val="004653DA"/>
    <w:rsid w:val="00465947"/>
    <w:rsid w:val="0046616C"/>
    <w:rsid w:val="0046622D"/>
    <w:rsid w:val="00466A29"/>
    <w:rsid w:val="00466C46"/>
    <w:rsid w:val="00467B02"/>
    <w:rsid w:val="00467C86"/>
    <w:rsid w:val="004700D7"/>
    <w:rsid w:val="00470329"/>
    <w:rsid w:val="00471126"/>
    <w:rsid w:val="004717FA"/>
    <w:rsid w:val="004735D8"/>
    <w:rsid w:val="00475121"/>
    <w:rsid w:val="0047628F"/>
    <w:rsid w:val="00480C66"/>
    <w:rsid w:val="00480D5A"/>
    <w:rsid w:val="00482FC8"/>
    <w:rsid w:val="0048453B"/>
    <w:rsid w:val="00485168"/>
    <w:rsid w:val="00486B83"/>
    <w:rsid w:val="004872A5"/>
    <w:rsid w:val="00491454"/>
    <w:rsid w:val="00492317"/>
    <w:rsid w:val="00493E53"/>
    <w:rsid w:val="00494257"/>
    <w:rsid w:val="00494FBE"/>
    <w:rsid w:val="0049530E"/>
    <w:rsid w:val="00497903"/>
    <w:rsid w:val="004A09A6"/>
    <w:rsid w:val="004A1B83"/>
    <w:rsid w:val="004A2D38"/>
    <w:rsid w:val="004A42D6"/>
    <w:rsid w:val="004A7825"/>
    <w:rsid w:val="004B3E1D"/>
    <w:rsid w:val="004B48C8"/>
    <w:rsid w:val="004B4FC6"/>
    <w:rsid w:val="004B61B9"/>
    <w:rsid w:val="004C12E6"/>
    <w:rsid w:val="004C1AEA"/>
    <w:rsid w:val="004C418D"/>
    <w:rsid w:val="004C55CC"/>
    <w:rsid w:val="004C60CB"/>
    <w:rsid w:val="004C73ED"/>
    <w:rsid w:val="004C7DD2"/>
    <w:rsid w:val="004D00CE"/>
    <w:rsid w:val="004D0679"/>
    <w:rsid w:val="004D0CFA"/>
    <w:rsid w:val="004D23DB"/>
    <w:rsid w:val="004D28DC"/>
    <w:rsid w:val="004D2F8A"/>
    <w:rsid w:val="004D4005"/>
    <w:rsid w:val="004D4AC2"/>
    <w:rsid w:val="004D52B5"/>
    <w:rsid w:val="004D5498"/>
    <w:rsid w:val="004D56F8"/>
    <w:rsid w:val="004D73A2"/>
    <w:rsid w:val="004D7564"/>
    <w:rsid w:val="004E0288"/>
    <w:rsid w:val="004E036E"/>
    <w:rsid w:val="004E0EC7"/>
    <w:rsid w:val="004E12EA"/>
    <w:rsid w:val="004E187A"/>
    <w:rsid w:val="004E2FEB"/>
    <w:rsid w:val="004E32E8"/>
    <w:rsid w:val="004E3F72"/>
    <w:rsid w:val="004E4F82"/>
    <w:rsid w:val="004E6C7D"/>
    <w:rsid w:val="004E742F"/>
    <w:rsid w:val="004E7BEF"/>
    <w:rsid w:val="004F0CBC"/>
    <w:rsid w:val="004F0D06"/>
    <w:rsid w:val="004F10DF"/>
    <w:rsid w:val="004F1B28"/>
    <w:rsid w:val="004F1B8A"/>
    <w:rsid w:val="004F4091"/>
    <w:rsid w:val="004F416F"/>
    <w:rsid w:val="004F4E29"/>
    <w:rsid w:val="004F5517"/>
    <w:rsid w:val="004F5AE5"/>
    <w:rsid w:val="004F651A"/>
    <w:rsid w:val="004F6913"/>
    <w:rsid w:val="004F6B9B"/>
    <w:rsid w:val="00500806"/>
    <w:rsid w:val="00500855"/>
    <w:rsid w:val="00500B94"/>
    <w:rsid w:val="00502E87"/>
    <w:rsid w:val="00502F49"/>
    <w:rsid w:val="00503A3F"/>
    <w:rsid w:val="0050481A"/>
    <w:rsid w:val="00504915"/>
    <w:rsid w:val="00505924"/>
    <w:rsid w:val="005062C0"/>
    <w:rsid w:val="00506ECA"/>
    <w:rsid w:val="00507350"/>
    <w:rsid w:val="00507731"/>
    <w:rsid w:val="00510776"/>
    <w:rsid w:val="0051430A"/>
    <w:rsid w:val="0051562F"/>
    <w:rsid w:val="00515807"/>
    <w:rsid w:val="005173BE"/>
    <w:rsid w:val="005203B5"/>
    <w:rsid w:val="0052178D"/>
    <w:rsid w:val="00522695"/>
    <w:rsid w:val="00522F49"/>
    <w:rsid w:val="00523CED"/>
    <w:rsid w:val="005244CB"/>
    <w:rsid w:val="00525E0B"/>
    <w:rsid w:val="00530BA3"/>
    <w:rsid w:val="005311EA"/>
    <w:rsid w:val="00532071"/>
    <w:rsid w:val="00532598"/>
    <w:rsid w:val="00533F9E"/>
    <w:rsid w:val="0053400B"/>
    <w:rsid w:val="005347E7"/>
    <w:rsid w:val="0053484B"/>
    <w:rsid w:val="005358C0"/>
    <w:rsid w:val="00536AC3"/>
    <w:rsid w:val="00537456"/>
    <w:rsid w:val="00544280"/>
    <w:rsid w:val="00544F89"/>
    <w:rsid w:val="0054500B"/>
    <w:rsid w:val="00545A2A"/>
    <w:rsid w:val="00545B88"/>
    <w:rsid w:val="00545F59"/>
    <w:rsid w:val="00547731"/>
    <w:rsid w:val="00550E89"/>
    <w:rsid w:val="00551B97"/>
    <w:rsid w:val="005525F9"/>
    <w:rsid w:val="00553526"/>
    <w:rsid w:val="005543EF"/>
    <w:rsid w:val="0055752B"/>
    <w:rsid w:val="00557841"/>
    <w:rsid w:val="005601A5"/>
    <w:rsid w:val="00560C32"/>
    <w:rsid w:val="00560FBC"/>
    <w:rsid w:val="005618EB"/>
    <w:rsid w:val="005620E6"/>
    <w:rsid w:val="00562E38"/>
    <w:rsid w:val="0056361A"/>
    <w:rsid w:val="00563B82"/>
    <w:rsid w:val="00563C64"/>
    <w:rsid w:val="0056447A"/>
    <w:rsid w:val="00564857"/>
    <w:rsid w:val="0056565A"/>
    <w:rsid w:val="005656AD"/>
    <w:rsid w:val="00565806"/>
    <w:rsid w:val="005658D7"/>
    <w:rsid w:val="005665B3"/>
    <w:rsid w:val="00567CCA"/>
    <w:rsid w:val="005707EB"/>
    <w:rsid w:val="00571420"/>
    <w:rsid w:val="00571752"/>
    <w:rsid w:val="00571A0A"/>
    <w:rsid w:val="0057211F"/>
    <w:rsid w:val="005724F9"/>
    <w:rsid w:val="00572CC3"/>
    <w:rsid w:val="00572EAF"/>
    <w:rsid w:val="00573D50"/>
    <w:rsid w:val="00573D97"/>
    <w:rsid w:val="00574F75"/>
    <w:rsid w:val="005769E5"/>
    <w:rsid w:val="00576FFA"/>
    <w:rsid w:val="00577D15"/>
    <w:rsid w:val="00577DDE"/>
    <w:rsid w:val="00582A29"/>
    <w:rsid w:val="00583916"/>
    <w:rsid w:val="00583E47"/>
    <w:rsid w:val="00585AE5"/>
    <w:rsid w:val="00586101"/>
    <w:rsid w:val="0058614C"/>
    <w:rsid w:val="005869E8"/>
    <w:rsid w:val="005877F7"/>
    <w:rsid w:val="00590736"/>
    <w:rsid w:val="005926D1"/>
    <w:rsid w:val="00593424"/>
    <w:rsid w:val="00594189"/>
    <w:rsid w:val="00594804"/>
    <w:rsid w:val="005A1665"/>
    <w:rsid w:val="005A6111"/>
    <w:rsid w:val="005A63CC"/>
    <w:rsid w:val="005A6B7B"/>
    <w:rsid w:val="005A70B7"/>
    <w:rsid w:val="005A7F1E"/>
    <w:rsid w:val="005B03BC"/>
    <w:rsid w:val="005B18C8"/>
    <w:rsid w:val="005B1F58"/>
    <w:rsid w:val="005B2B24"/>
    <w:rsid w:val="005B2D74"/>
    <w:rsid w:val="005B3380"/>
    <w:rsid w:val="005B3BC5"/>
    <w:rsid w:val="005B3EDB"/>
    <w:rsid w:val="005B4DA7"/>
    <w:rsid w:val="005B5536"/>
    <w:rsid w:val="005B55F4"/>
    <w:rsid w:val="005B571B"/>
    <w:rsid w:val="005B66CE"/>
    <w:rsid w:val="005B6752"/>
    <w:rsid w:val="005C11CF"/>
    <w:rsid w:val="005C32C5"/>
    <w:rsid w:val="005C5763"/>
    <w:rsid w:val="005C7C99"/>
    <w:rsid w:val="005C7CF5"/>
    <w:rsid w:val="005C7FB4"/>
    <w:rsid w:val="005D3DB6"/>
    <w:rsid w:val="005D4996"/>
    <w:rsid w:val="005D5217"/>
    <w:rsid w:val="005D791F"/>
    <w:rsid w:val="005E03F3"/>
    <w:rsid w:val="005E0590"/>
    <w:rsid w:val="005E0B66"/>
    <w:rsid w:val="005E0F6F"/>
    <w:rsid w:val="005E10B2"/>
    <w:rsid w:val="005E2836"/>
    <w:rsid w:val="005E3589"/>
    <w:rsid w:val="005E4818"/>
    <w:rsid w:val="005E4935"/>
    <w:rsid w:val="005E73B9"/>
    <w:rsid w:val="005E7CD4"/>
    <w:rsid w:val="005F049E"/>
    <w:rsid w:val="005F070D"/>
    <w:rsid w:val="005F0F18"/>
    <w:rsid w:val="005F2504"/>
    <w:rsid w:val="005F47FC"/>
    <w:rsid w:val="005F558C"/>
    <w:rsid w:val="00602A38"/>
    <w:rsid w:val="00602B41"/>
    <w:rsid w:val="00602CBA"/>
    <w:rsid w:val="00604302"/>
    <w:rsid w:val="006044E1"/>
    <w:rsid w:val="006061C1"/>
    <w:rsid w:val="0060691C"/>
    <w:rsid w:val="006107AE"/>
    <w:rsid w:val="00615F13"/>
    <w:rsid w:val="00617C7D"/>
    <w:rsid w:val="0062091F"/>
    <w:rsid w:val="00620F39"/>
    <w:rsid w:val="006215D5"/>
    <w:rsid w:val="00621EAC"/>
    <w:rsid w:val="006239EF"/>
    <w:rsid w:val="00623E86"/>
    <w:rsid w:val="006242BE"/>
    <w:rsid w:val="00625160"/>
    <w:rsid w:val="00625711"/>
    <w:rsid w:val="00625930"/>
    <w:rsid w:val="006268D9"/>
    <w:rsid w:val="00631569"/>
    <w:rsid w:val="00632AF2"/>
    <w:rsid w:val="00632D4C"/>
    <w:rsid w:val="00633B34"/>
    <w:rsid w:val="00634567"/>
    <w:rsid w:val="00635E33"/>
    <w:rsid w:val="00636D9F"/>
    <w:rsid w:val="00637938"/>
    <w:rsid w:val="00641282"/>
    <w:rsid w:val="00642B07"/>
    <w:rsid w:val="00643AE7"/>
    <w:rsid w:val="006446DD"/>
    <w:rsid w:val="00644A14"/>
    <w:rsid w:val="00646F0F"/>
    <w:rsid w:val="0065043C"/>
    <w:rsid w:val="006513ED"/>
    <w:rsid w:val="00653279"/>
    <w:rsid w:val="00655940"/>
    <w:rsid w:val="00657A6E"/>
    <w:rsid w:val="0066138E"/>
    <w:rsid w:val="00661B5E"/>
    <w:rsid w:val="00662B6F"/>
    <w:rsid w:val="00663641"/>
    <w:rsid w:val="006665D5"/>
    <w:rsid w:val="00666D35"/>
    <w:rsid w:val="006670AD"/>
    <w:rsid w:val="0066754F"/>
    <w:rsid w:val="00667697"/>
    <w:rsid w:val="00667FB3"/>
    <w:rsid w:val="00670A0A"/>
    <w:rsid w:val="0067303D"/>
    <w:rsid w:val="006735CD"/>
    <w:rsid w:val="00673D63"/>
    <w:rsid w:val="00674238"/>
    <w:rsid w:val="00675E7B"/>
    <w:rsid w:val="006779B1"/>
    <w:rsid w:val="00680DF6"/>
    <w:rsid w:val="006810A4"/>
    <w:rsid w:val="00682746"/>
    <w:rsid w:val="0068287C"/>
    <w:rsid w:val="00682D15"/>
    <w:rsid w:val="00683800"/>
    <w:rsid w:val="00683A85"/>
    <w:rsid w:val="00686ADC"/>
    <w:rsid w:val="00687858"/>
    <w:rsid w:val="0069221E"/>
    <w:rsid w:val="00692496"/>
    <w:rsid w:val="00692668"/>
    <w:rsid w:val="0069272F"/>
    <w:rsid w:val="00692CC3"/>
    <w:rsid w:val="00692F81"/>
    <w:rsid w:val="006932EF"/>
    <w:rsid w:val="0069352A"/>
    <w:rsid w:val="006945C8"/>
    <w:rsid w:val="00694635"/>
    <w:rsid w:val="00696A96"/>
    <w:rsid w:val="00696F91"/>
    <w:rsid w:val="00697ADB"/>
    <w:rsid w:val="006A01BD"/>
    <w:rsid w:val="006A099E"/>
    <w:rsid w:val="006A38E2"/>
    <w:rsid w:val="006A3A13"/>
    <w:rsid w:val="006A69DC"/>
    <w:rsid w:val="006A6C78"/>
    <w:rsid w:val="006A713E"/>
    <w:rsid w:val="006A7915"/>
    <w:rsid w:val="006B0DCD"/>
    <w:rsid w:val="006B1AE5"/>
    <w:rsid w:val="006B2E71"/>
    <w:rsid w:val="006B6C37"/>
    <w:rsid w:val="006B71FF"/>
    <w:rsid w:val="006C2668"/>
    <w:rsid w:val="006C3064"/>
    <w:rsid w:val="006C33A4"/>
    <w:rsid w:val="006C3F69"/>
    <w:rsid w:val="006C6EBE"/>
    <w:rsid w:val="006C7AD5"/>
    <w:rsid w:val="006D0E29"/>
    <w:rsid w:val="006D12BA"/>
    <w:rsid w:val="006D1B03"/>
    <w:rsid w:val="006D2BCE"/>
    <w:rsid w:val="006D30B3"/>
    <w:rsid w:val="006D3458"/>
    <w:rsid w:val="006D3B3A"/>
    <w:rsid w:val="006D3CE4"/>
    <w:rsid w:val="006D3D88"/>
    <w:rsid w:val="006D4428"/>
    <w:rsid w:val="006D5C5F"/>
    <w:rsid w:val="006D685B"/>
    <w:rsid w:val="006D725D"/>
    <w:rsid w:val="006D77B8"/>
    <w:rsid w:val="006D7E7E"/>
    <w:rsid w:val="006E0DB0"/>
    <w:rsid w:val="006E256D"/>
    <w:rsid w:val="006E2978"/>
    <w:rsid w:val="006E3032"/>
    <w:rsid w:val="006E3806"/>
    <w:rsid w:val="006E5648"/>
    <w:rsid w:val="006E5A26"/>
    <w:rsid w:val="006E5F9B"/>
    <w:rsid w:val="006E6208"/>
    <w:rsid w:val="006E64B3"/>
    <w:rsid w:val="006E6531"/>
    <w:rsid w:val="006E789F"/>
    <w:rsid w:val="006E7E29"/>
    <w:rsid w:val="006F133D"/>
    <w:rsid w:val="006F354D"/>
    <w:rsid w:val="006F5B1F"/>
    <w:rsid w:val="006F5B8F"/>
    <w:rsid w:val="006F5EE5"/>
    <w:rsid w:val="006F60D5"/>
    <w:rsid w:val="006F6E46"/>
    <w:rsid w:val="006F7F2C"/>
    <w:rsid w:val="00700D82"/>
    <w:rsid w:val="00702A3C"/>
    <w:rsid w:val="007059A1"/>
    <w:rsid w:val="00706566"/>
    <w:rsid w:val="00706EDB"/>
    <w:rsid w:val="00707A79"/>
    <w:rsid w:val="00707C5E"/>
    <w:rsid w:val="00710B05"/>
    <w:rsid w:val="00710B51"/>
    <w:rsid w:val="00711D13"/>
    <w:rsid w:val="00711EA5"/>
    <w:rsid w:val="00712173"/>
    <w:rsid w:val="00712218"/>
    <w:rsid w:val="00714004"/>
    <w:rsid w:val="00715944"/>
    <w:rsid w:val="00716C1D"/>
    <w:rsid w:val="0072199B"/>
    <w:rsid w:val="00722851"/>
    <w:rsid w:val="00722A5B"/>
    <w:rsid w:val="00722EEF"/>
    <w:rsid w:val="00724A63"/>
    <w:rsid w:val="00724B47"/>
    <w:rsid w:val="00724E03"/>
    <w:rsid w:val="007255E5"/>
    <w:rsid w:val="00725ADB"/>
    <w:rsid w:val="007262A1"/>
    <w:rsid w:val="00726B51"/>
    <w:rsid w:val="0072780E"/>
    <w:rsid w:val="007279CA"/>
    <w:rsid w:val="00727E94"/>
    <w:rsid w:val="00730194"/>
    <w:rsid w:val="00731E5C"/>
    <w:rsid w:val="007336A8"/>
    <w:rsid w:val="00735276"/>
    <w:rsid w:val="0074152B"/>
    <w:rsid w:val="007416D9"/>
    <w:rsid w:val="007416FF"/>
    <w:rsid w:val="007419A6"/>
    <w:rsid w:val="00743DEF"/>
    <w:rsid w:val="007464CD"/>
    <w:rsid w:val="00746DD4"/>
    <w:rsid w:val="00746E31"/>
    <w:rsid w:val="007470E4"/>
    <w:rsid w:val="007474EC"/>
    <w:rsid w:val="00750AEC"/>
    <w:rsid w:val="00751DDC"/>
    <w:rsid w:val="0075245F"/>
    <w:rsid w:val="007532BB"/>
    <w:rsid w:val="00753B8D"/>
    <w:rsid w:val="00754FA4"/>
    <w:rsid w:val="00757993"/>
    <w:rsid w:val="007618E1"/>
    <w:rsid w:val="00761AAD"/>
    <w:rsid w:val="00761D8C"/>
    <w:rsid w:val="00762205"/>
    <w:rsid w:val="00763C39"/>
    <w:rsid w:val="00764787"/>
    <w:rsid w:val="0076581F"/>
    <w:rsid w:val="00770024"/>
    <w:rsid w:val="0077013D"/>
    <w:rsid w:val="007705DB"/>
    <w:rsid w:val="00771294"/>
    <w:rsid w:val="0077221B"/>
    <w:rsid w:val="00772A31"/>
    <w:rsid w:val="00773EB7"/>
    <w:rsid w:val="00774A46"/>
    <w:rsid w:val="00775216"/>
    <w:rsid w:val="007758E7"/>
    <w:rsid w:val="007758F8"/>
    <w:rsid w:val="007759ED"/>
    <w:rsid w:val="00775B88"/>
    <w:rsid w:val="00775C5E"/>
    <w:rsid w:val="0077606E"/>
    <w:rsid w:val="0078088C"/>
    <w:rsid w:val="007813D4"/>
    <w:rsid w:val="007816C7"/>
    <w:rsid w:val="007836CA"/>
    <w:rsid w:val="00783892"/>
    <w:rsid w:val="00783950"/>
    <w:rsid w:val="0078465E"/>
    <w:rsid w:val="00785981"/>
    <w:rsid w:val="007861C4"/>
    <w:rsid w:val="00786B1F"/>
    <w:rsid w:val="0079044C"/>
    <w:rsid w:val="0079065A"/>
    <w:rsid w:val="00791B5C"/>
    <w:rsid w:val="00791CB5"/>
    <w:rsid w:val="00793245"/>
    <w:rsid w:val="00793526"/>
    <w:rsid w:val="0079459B"/>
    <w:rsid w:val="00794B59"/>
    <w:rsid w:val="00795545"/>
    <w:rsid w:val="00795BD8"/>
    <w:rsid w:val="00795D1E"/>
    <w:rsid w:val="007964E8"/>
    <w:rsid w:val="00796F97"/>
    <w:rsid w:val="0079761F"/>
    <w:rsid w:val="007A0D4C"/>
    <w:rsid w:val="007A4A26"/>
    <w:rsid w:val="007A508A"/>
    <w:rsid w:val="007A6B61"/>
    <w:rsid w:val="007B1F74"/>
    <w:rsid w:val="007B5280"/>
    <w:rsid w:val="007B53EA"/>
    <w:rsid w:val="007B681B"/>
    <w:rsid w:val="007B7710"/>
    <w:rsid w:val="007B7F1F"/>
    <w:rsid w:val="007B7FAE"/>
    <w:rsid w:val="007C00C0"/>
    <w:rsid w:val="007C0424"/>
    <w:rsid w:val="007C106F"/>
    <w:rsid w:val="007C1B7F"/>
    <w:rsid w:val="007C2941"/>
    <w:rsid w:val="007C5663"/>
    <w:rsid w:val="007C694E"/>
    <w:rsid w:val="007D0A3F"/>
    <w:rsid w:val="007D2718"/>
    <w:rsid w:val="007D2CA4"/>
    <w:rsid w:val="007D3DBC"/>
    <w:rsid w:val="007D44E5"/>
    <w:rsid w:val="007D459F"/>
    <w:rsid w:val="007D4EB2"/>
    <w:rsid w:val="007D51A9"/>
    <w:rsid w:val="007D5EC2"/>
    <w:rsid w:val="007D6009"/>
    <w:rsid w:val="007D665A"/>
    <w:rsid w:val="007D7026"/>
    <w:rsid w:val="007D7203"/>
    <w:rsid w:val="007D725F"/>
    <w:rsid w:val="007E0220"/>
    <w:rsid w:val="007E23F0"/>
    <w:rsid w:val="007E3655"/>
    <w:rsid w:val="007E41F7"/>
    <w:rsid w:val="007E4310"/>
    <w:rsid w:val="007E652C"/>
    <w:rsid w:val="007F0AF4"/>
    <w:rsid w:val="007F1747"/>
    <w:rsid w:val="007F1BE3"/>
    <w:rsid w:val="007F1EA4"/>
    <w:rsid w:val="007F2056"/>
    <w:rsid w:val="007F25E2"/>
    <w:rsid w:val="007F44D0"/>
    <w:rsid w:val="007F5F86"/>
    <w:rsid w:val="007F625D"/>
    <w:rsid w:val="007F62C4"/>
    <w:rsid w:val="007F763A"/>
    <w:rsid w:val="008028FF"/>
    <w:rsid w:val="00804EEB"/>
    <w:rsid w:val="00805360"/>
    <w:rsid w:val="00805EE4"/>
    <w:rsid w:val="00806225"/>
    <w:rsid w:val="00806F2C"/>
    <w:rsid w:val="00810754"/>
    <w:rsid w:val="00810775"/>
    <w:rsid w:val="008116BD"/>
    <w:rsid w:val="0081342B"/>
    <w:rsid w:val="008142BD"/>
    <w:rsid w:val="00814376"/>
    <w:rsid w:val="00814A51"/>
    <w:rsid w:val="00814DE6"/>
    <w:rsid w:val="00815DD1"/>
    <w:rsid w:val="00815EA7"/>
    <w:rsid w:val="0081725F"/>
    <w:rsid w:val="00817B9C"/>
    <w:rsid w:val="0082094C"/>
    <w:rsid w:val="008209F6"/>
    <w:rsid w:val="00820C8E"/>
    <w:rsid w:val="00821D86"/>
    <w:rsid w:val="008221F6"/>
    <w:rsid w:val="008226FE"/>
    <w:rsid w:val="008233E3"/>
    <w:rsid w:val="00824A78"/>
    <w:rsid w:val="00825C67"/>
    <w:rsid w:val="00826AB8"/>
    <w:rsid w:val="00830718"/>
    <w:rsid w:val="00831F34"/>
    <w:rsid w:val="00833903"/>
    <w:rsid w:val="008339C7"/>
    <w:rsid w:val="00834941"/>
    <w:rsid w:val="00834EF7"/>
    <w:rsid w:val="008352CE"/>
    <w:rsid w:val="00835C1E"/>
    <w:rsid w:val="00837965"/>
    <w:rsid w:val="00840110"/>
    <w:rsid w:val="00840B15"/>
    <w:rsid w:val="00842D18"/>
    <w:rsid w:val="008471AE"/>
    <w:rsid w:val="008474F2"/>
    <w:rsid w:val="0084769A"/>
    <w:rsid w:val="00847C9B"/>
    <w:rsid w:val="00850352"/>
    <w:rsid w:val="00850AB6"/>
    <w:rsid w:val="00851193"/>
    <w:rsid w:val="008515CB"/>
    <w:rsid w:val="00852E8A"/>
    <w:rsid w:val="008530F5"/>
    <w:rsid w:val="00853DE5"/>
    <w:rsid w:val="00854C42"/>
    <w:rsid w:val="008551AF"/>
    <w:rsid w:val="00857EC1"/>
    <w:rsid w:val="00860406"/>
    <w:rsid w:val="00860681"/>
    <w:rsid w:val="00861100"/>
    <w:rsid w:val="008612D2"/>
    <w:rsid w:val="00861711"/>
    <w:rsid w:val="00861771"/>
    <w:rsid w:val="00862F28"/>
    <w:rsid w:val="00863665"/>
    <w:rsid w:val="008640A4"/>
    <w:rsid w:val="008643A4"/>
    <w:rsid w:val="008665C0"/>
    <w:rsid w:val="008670D5"/>
    <w:rsid w:val="00867A82"/>
    <w:rsid w:val="00870502"/>
    <w:rsid w:val="008711C9"/>
    <w:rsid w:val="008714C5"/>
    <w:rsid w:val="00872E57"/>
    <w:rsid w:val="008734CF"/>
    <w:rsid w:val="00873DF7"/>
    <w:rsid w:val="008749D0"/>
    <w:rsid w:val="00874A60"/>
    <w:rsid w:val="00875020"/>
    <w:rsid w:val="00877276"/>
    <w:rsid w:val="0087756C"/>
    <w:rsid w:val="00881924"/>
    <w:rsid w:val="008830CA"/>
    <w:rsid w:val="00883592"/>
    <w:rsid w:val="008839AB"/>
    <w:rsid w:val="00884778"/>
    <w:rsid w:val="0088735F"/>
    <w:rsid w:val="00887370"/>
    <w:rsid w:val="008901C5"/>
    <w:rsid w:val="00890489"/>
    <w:rsid w:val="00891321"/>
    <w:rsid w:val="00892891"/>
    <w:rsid w:val="008958FD"/>
    <w:rsid w:val="00896665"/>
    <w:rsid w:val="008969F9"/>
    <w:rsid w:val="008972EE"/>
    <w:rsid w:val="00897488"/>
    <w:rsid w:val="00897E47"/>
    <w:rsid w:val="008A0DC7"/>
    <w:rsid w:val="008A1D13"/>
    <w:rsid w:val="008A2319"/>
    <w:rsid w:val="008A250E"/>
    <w:rsid w:val="008A28D8"/>
    <w:rsid w:val="008A3541"/>
    <w:rsid w:val="008A3EBD"/>
    <w:rsid w:val="008A4B5D"/>
    <w:rsid w:val="008A58C5"/>
    <w:rsid w:val="008A6CAE"/>
    <w:rsid w:val="008A797D"/>
    <w:rsid w:val="008A7DFE"/>
    <w:rsid w:val="008B01DE"/>
    <w:rsid w:val="008B1891"/>
    <w:rsid w:val="008B416F"/>
    <w:rsid w:val="008B56EA"/>
    <w:rsid w:val="008B5E76"/>
    <w:rsid w:val="008C23BC"/>
    <w:rsid w:val="008C2DE3"/>
    <w:rsid w:val="008C6C96"/>
    <w:rsid w:val="008C7292"/>
    <w:rsid w:val="008C7646"/>
    <w:rsid w:val="008D4B7E"/>
    <w:rsid w:val="008D5F67"/>
    <w:rsid w:val="008E1242"/>
    <w:rsid w:val="008E3046"/>
    <w:rsid w:val="008E47A8"/>
    <w:rsid w:val="008E4E65"/>
    <w:rsid w:val="008E5A86"/>
    <w:rsid w:val="008E5C9F"/>
    <w:rsid w:val="008F1F07"/>
    <w:rsid w:val="008F2CC8"/>
    <w:rsid w:val="008F3020"/>
    <w:rsid w:val="008F3E64"/>
    <w:rsid w:val="008F3F88"/>
    <w:rsid w:val="008F5A27"/>
    <w:rsid w:val="008F66F0"/>
    <w:rsid w:val="00900897"/>
    <w:rsid w:val="0090133B"/>
    <w:rsid w:val="00901E5A"/>
    <w:rsid w:val="00901FCD"/>
    <w:rsid w:val="00902040"/>
    <w:rsid w:val="009030ED"/>
    <w:rsid w:val="00903A7C"/>
    <w:rsid w:val="00904EA9"/>
    <w:rsid w:val="00910343"/>
    <w:rsid w:val="00910A3E"/>
    <w:rsid w:val="00911428"/>
    <w:rsid w:val="00911E0B"/>
    <w:rsid w:val="009124C5"/>
    <w:rsid w:val="00913BA0"/>
    <w:rsid w:val="009145DD"/>
    <w:rsid w:val="00914FC9"/>
    <w:rsid w:val="009157B7"/>
    <w:rsid w:val="00917A30"/>
    <w:rsid w:val="00921A98"/>
    <w:rsid w:val="00923100"/>
    <w:rsid w:val="00925B78"/>
    <w:rsid w:val="009263B7"/>
    <w:rsid w:val="009264DF"/>
    <w:rsid w:val="00926619"/>
    <w:rsid w:val="00927A06"/>
    <w:rsid w:val="00930579"/>
    <w:rsid w:val="00930F1A"/>
    <w:rsid w:val="00931B9A"/>
    <w:rsid w:val="00932005"/>
    <w:rsid w:val="0093260C"/>
    <w:rsid w:val="00932E35"/>
    <w:rsid w:val="0093301C"/>
    <w:rsid w:val="00935843"/>
    <w:rsid w:val="00937D8C"/>
    <w:rsid w:val="00940AE4"/>
    <w:rsid w:val="00941618"/>
    <w:rsid w:val="00943EB1"/>
    <w:rsid w:val="0094415E"/>
    <w:rsid w:val="009443FB"/>
    <w:rsid w:val="00944E8C"/>
    <w:rsid w:val="009451DF"/>
    <w:rsid w:val="00945CC7"/>
    <w:rsid w:val="00945EFA"/>
    <w:rsid w:val="009461F1"/>
    <w:rsid w:val="00946B89"/>
    <w:rsid w:val="00950109"/>
    <w:rsid w:val="00950BC1"/>
    <w:rsid w:val="00950BF4"/>
    <w:rsid w:val="00951BB1"/>
    <w:rsid w:val="00951C21"/>
    <w:rsid w:val="0095279E"/>
    <w:rsid w:val="00952A70"/>
    <w:rsid w:val="00952F78"/>
    <w:rsid w:val="00953263"/>
    <w:rsid w:val="0095440A"/>
    <w:rsid w:val="00954876"/>
    <w:rsid w:val="00956468"/>
    <w:rsid w:val="00960A15"/>
    <w:rsid w:val="00961037"/>
    <w:rsid w:val="00961089"/>
    <w:rsid w:val="00962398"/>
    <w:rsid w:val="00965A1B"/>
    <w:rsid w:val="0096702A"/>
    <w:rsid w:val="009674FC"/>
    <w:rsid w:val="009711B0"/>
    <w:rsid w:val="00973E69"/>
    <w:rsid w:val="00974242"/>
    <w:rsid w:val="009765D7"/>
    <w:rsid w:val="009768EC"/>
    <w:rsid w:val="009801E0"/>
    <w:rsid w:val="00980E23"/>
    <w:rsid w:val="00981F90"/>
    <w:rsid w:val="00982123"/>
    <w:rsid w:val="009834D2"/>
    <w:rsid w:val="0098408C"/>
    <w:rsid w:val="00984B04"/>
    <w:rsid w:val="00985283"/>
    <w:rsid w:val="009860F4"/>
    <w:rsid w:val="009914D3"/>
    <w:rsid w:val="009919BB"/>
    <w:rsid w:val="00991BB9"/>
    <w:rsid w:val="0099384E"/>
    <w:rsid w:val="00993E74"/>
    <w:rsid w:val="0099499C"/>
    <w:rsid w:val="00994EBB"/>
    <w:rsid w:val="00995E7F"/>
    <w:rsid w:val="009960B2"/>
    <w:rsid w:val="00996431"/>
    <w:rsid w:val="009A02B0"/>
    <w:rsid w:val="009A0DCE"/>
    <w:rsid w:val="009A2318"/>
    <w:rsid w:val="009A2E4A"/>
    <w:rsid w:val="009A3E47"/>
    <w:rsid w:val="009A5221"/>
    <w:rsid w:val="009A5320"/>
    <w:rsid w:val="009B05FE"/>
    <w:rsid w:val="009B0806"/>
    <w:rsid w:val="009B0F63"/>
    <w:rsid w:val="009B1FFA"/>
    <w:rsid w:val="009B39E7"/>
    <w:rsid w:val="009B42E9"/>
    <w:rsid w:val="009B44F2"/>
    <w:rsid w:val="009B6786"/>
    <w:rsid w:val="009B7902"/>
    <w:rsid w:val="009B7ABD"/>
    <w:rsid w:val="009C01FA"/>
    <w:rsid w:val="009C0D39"/>
    <w:rsid w:val="009C21F1"/>
    <w:rsid w:val="009C2403"/>
    <w:rsid w:val="009C4049"/>
    <w:rsid w:val="009C4563"/>
    <w:rsid w:val="009C51F1"/>
    <w:rsid w:val="009C5DA6"/>
    <w:rsid w:val="009D0F37"/>
    <w:rsid w:val="009D2181"/>
    <w:rsid w:val="009D231D"/>
    <w:rsid w:val="009D2A9C"/>
    <w:rsid w:val="009D34B8"/>
    <w:rsid w:val="009D41A2"/>
    <w:rsid w:val="009D512F"/>
    <w:rsid w:val="009D689A"/>
    <w:rsid w:val="009D69B6"/>
    <w:rsid w:val="009D7F1E"/>
    <w:rsid w:val="009E011D"/>
    <w:rsid w:val="009E0232"/>
    <w:rsid w:val="009E0352"/>
    <w:rsid w:val="009E03BA"/>
    <w:rsid w:val="009E08D8"/>
    <w:rsid w:val="009E25B5"/>
    <w:rsid w:val="009E3729"/>
    <w:rsid w:val="009E6C9E"/>
    <w:rsid w:val="009F201A"/>
    <w:rsid w:val="009F2442"/>
    <w:rsid w:val="009F2B61"/>
    <w:rsid w:val="009F5256"/>
    <w:rsid w:val="009F58E3"/>
    <w:rsid w:val="009F794F"/>
    <w:rsid w:val="009F7F53"/>
    <w:rsid w:val="00A000A7"/>
    <w:rsid w:val="00A00C3C"/>
    <w:rsid w:val="00A00C5E"/>
    <w:rsid w:val="00A034CE"/>
    <w:rsid w:val="00A05F65"/>
    <w:rsid w:val="00A06A20"/>
    <w:rsid w:val="00A07B6D"/>
    <w:rsid w:val="00A10051"/>
    <w:rsid w:val="00A1036A"/>
    <w:rsid w:val="00A10E87"/>
    <w:rsid w:val="00A11DF6"/>
    <w:rsid w:val="00A132A9"/>
    <w:rsid w:val="00A13B13"/>
    <w:rsid w:val="00A13B8D"/>
    <w:rsid w:val="00A1497D"/>
    <w:rsid w:val="00A14D6C"/>
    <w:rsid w:val="00A15D81"/>
    <w:rsid w:val="00A15F90"/>
    <w:rsid w:val="00A17668"/>
    <w:rsid w:val="00A17CAD"/>
    <w:rsid w:val="00A17F7E"/>
    <w:rsid w:val="00A20573"/>
    <w:rsid w:val="00A21045"/>
    <w:rsid w:val="00A24269"/>
    <w:rsid w:val="00A24FCE"/>
    <w:rsid w:val="00A25076"/>
    <w:rsid w:val="00A25775"/>
    <w:rsid w:val="00A2579B"/>
    <w:rsid w:val="00A26642"/>
    <w:rsid w:val="00A26C36"/>
    <w:rsid w:val="00A27FE9"/>
    <w:rsid w:val="00A30966"/>
    <w:rsid w:val="00A33231"/>
    <w:rsid w:val="00A33BEA"/>
    <w:rsid w:val="00A34367"/>
    <w:rsid w:val="00A34D4C"/>
    <w:rsid w:val="00A37866"/>
    <w:rsid w:val="00A4038B"/>
    <w:rsid w:val="00A41099"/>
    <w:rsid w:val="00A41409"/>
    <w:rsid w:val="00A41C90"/>
    <w:rsid w:val="00A41F90"/>
    <w:rsid w:val="00A427C1"/>
    <w:rsid w:val="00A42F5E"/>
    <w:rsid w:val="00A43AC0"/>
    <w:rsid w:val="00A43F48"/>
    <w:rsid w:val="00A43FA8"/>
    <w:rsid w:val="00A474B0"/>
    <w:rsid w:val="00A50753"/>
    <w:rsid w:val="00A5154A"/>
    <w:rsid w:val="00A52CB5"/>
    <w:rsid w:val="00A52F3A"/>
    <w:rsid w:val="00A5333A"/>
    <w:rsid w:val="00A545E9"/>
    <w:rsid w:val="00A552EE"/>
    <w:rsid w:val="00A563F9"/>
    <w:rsid w:val="00A569F9"/>
    <w:rsid w:val="00A578B5"/>
    <w:rsid w:val="00A605C3"/>
    <w:rsid w:val="00A61172"/>
    <w:rsid w:val="00A61FFD"/>
    <w:rsid w:val="00A62488"/>
    <w:rsid w:val="00A63C70"/>
    <w:rsid w:val="00A63C96"/>
    <w:rsid w:val="00A641CB"/>
    <w:rsid w:val="00A65E11"/>
    <w:rsid w:val="00A66AA4"/>
    <w:rsid w:val="00A66CBB"/>
    <w:rsid w:val="00A7074E"/>
    <w:rsid w:val="00A710A5"/>
    <w:rsid w:val="00A733C9"/>
    <w:rsid w:val="00A73617"/>
    <w:rsid w:val="00A7448E"/>
    <w:rsid w:val="00A746C8"/>
    <w:rsid w:val="00A771E7"/>
    <w:rsid w:val="00A80AB0"/>
    <w:rsid w:val="00A812DD"/>
    <w:rsid w:val="00A8268D"/>
    <w:rsid w:val="00A845EF"/>
    <w:rsid w:val="00A84708"/>
    <w:rsid w:val="00A85D7E"/>
    <w:rsid w:val="00A867C9"/>
    <w:rsid w:val="00A86832"/>
    <w:rsid w:val="00A8730C"/>
    <w:rsid w:val="00A90699"/>
    <w:rsid w:val="00A906E1"/>
    <w:rsid w:val="00A90DA5"/>
    <w:rsid w:val="00A93413"/>
    <w:rsid w:val="00A93541"/>
    <w:rsid w:val="00A947E3"/>
    <w:rsid w:val="00A97AD5"/>
    <w:rsid w:val="00AA051D"/>
    <w:rsid w:val="00AA32BA"/>
    <w:rsid w:val="00AA38CD"/>
    <w:rsid w:val="00AA3B96"/>
    <w:rsid w:val="00AA7880"/>
    <w:rsid w:val="00AB1140"/>
    <w:rsid w:val="00AB1317"/>
    <w:rsid w:val="00AB406C"/>
    <w:rsid w:val="00AB46F0"/>
    <w:rsid w:val="00AC0322"/>
    <w:rsid w:val="00AC0FFA"/>
    <w:rsid w:val="00AC136A"/>
    <w:rsid w:val="00AC2C16"/>
    <w:rsid w:val="00AC30A0"/>
    <w:rsid w:val="00AC4E41"/>
    <w:rsid w:val="00AC7479"/>
    <w:rsid w:val="00AC7CA4"/>
    <w:rsid w:val="00AD00D8"/>
    <w:rsid w:val="00AD0288"/>
    <w:rsid w:val="00AD1607"/>
    <w:rsid w:val="00AD1DCD"/>
    <w:rsid w:val="00AD236B"/>
    <w:rsid w:val="00AD2E59"/>
    <w:rsid w:val="00AD35BA"/>
    <w:rsid w:val="00AD4A43"/>
    <w:rsid w:val="00AD4CDD"/>
    <w:rsid w:val="00AD5B37"/>
    <w:rsid w:val="00AD766C"/>
    <w:rsid w:val="00AE0053"/>
    <w:rsid w:val="00AE1D57"/>
    <w:rsid w:val="00AE2B23"/>
    <w:rsid w:val="00AE31C3"/>
    <w:rsid w:val="00AE3E89"/>
    <w:rsid w:val="00AE4303"/>
    <w:rsid w:val="00AE599D"/>
    <w:rsid w:val="00AE6DD8"/>
    <w:rsid w:val="00AE7058"/>
    <w:rsid w:val="00AF38B7"/>
    <w:rsid w:val="00AF49A5"/>
    <w:rsid w:val="00AF5297"/>
    <w:rsid w:val="00AF52CF"/>
    <w:rsid w:val="00AF5B6C"/>
    <w:rsid w:val="00AF5BFF"/>
    <w:rsid w:val="00AF6F82"/>
    <w:rsid w:val="00AF7BE8"/>
    <w:rsid w:val="00B02E6C"/>
    <w:rsid w:val="00B03B1B"/>
    <w:rsid w:val="00B03C21"/>
    <w:rsid w:val="00B043A6"/>
    <w:rsid w:val="00B05542"/>
    <w:rsid w:val="00B06445"/>
    <w:rsid w:val="00B065A4"/>
    <w:rsid w:val="00B1472E"/>
    <w:rsid w:val="00B16307"/>
    <w:rsid w:val="00B16739"/>
    <w:rsid w:val="00B20E7C"/>
    <w:rsid w:val="00B25838"/>
    <w:rsid w:val="00B26904"/>
    <w:rsid w:val="00B27242"/>
    <w:rsid w:val="00B27877"/>
    <w:rsid w:val="00B27952"/>
    <w:rsid w:val="00B322A9"/>
    <w:rsid w:val="00B3299E"/>
    <w:rsid w:val="00B367CA"/>
    <w:rsid w:val="00B405D8"/>
    <w:rsid w:val="00B4095C"/>
    <w:rsid w:val="00B40D52"/>
    <w:rsid w:val="00B40E2F"/>
    <w:rsid w:val="00B426A9"/>
    <w:rsid w:val="00B444F4"/>
    <w:rsid w:val="00B44977"/>
    <w:rsid w:val="00B45661"/>
    <w:rsid w:val="00B50187"/>
    <w:rsid w:val="00B545EB"/>
    <w:rsid w:val="00B5526D"/>
    <w:rsid w:val="00B55F0A"/>
    <w:rsid w:val="00B56EFA"/>
    <w:rsid w:val="00B57991"/>
    <w:rsid w:val="00B6261E"/>
    <w:rsid w:val="00B631AB"/>
    <w:rsid w:val="00B63D21"/>
    <w:rsid w:val="00B63DE7"/>
    <w:rsid w:val="00B645C8"/>
    <w:rsid w:val="00B64C3E"/>
    <w:rsid w:val="00B677CE"/>
    <w:rsid w:val="00B71ACD"/>
    <w:rsid w:val="00B72667"/>
    <w:rsid w:val="00B729AA"/>
    <w:rsid w:val="00B7430E"/>
    <w:rsid w:val="00B7756F"/>
    <w:rsid w:val="00B80F33"/>
    <w:rsid w:val="00B818EE"/>
    <w:rsid w:val="00B84C2D"/>
    <w:rsid w:val="00B84DF4"/>
    <w:rsid w:val="00B84EDA"/>
    <w:rsid w:val="00B85543"/>
    <w:rsid w:val="00B86EFC"/>
    <w:rsid w:val="00B87DFF"/>
    <w:rsid w:val="00B9078D"/>
    <w:rsid w:val="00B91432"/>
    <w:rsid w:val="00B9214F"/>
    <w:rsid w:val="00B92EA5"/>
    <w:rsid w:val="00B940F5"/>
    <w:rsid w:val="00B95A3C"/>
    <w:rsid w:val="00B965FD"/>
    <w:rsid w:val="00B9736A"/>
    <w:rsid w:val="00BA070F"/>
    <w:rsid w:val="00BA29FD"/>
    <w:rsid w:val="00BA3B55"/>
    <w:rsid w:val="00BA42D9"/>
    <w:rsid w:val="00BA4533"/>
    <w:rsid w:val="00BA462C"/>
    <w:rsid w:val="00BA5C52"/>
    <w:rsid w:val="00BA5F92"/>
    <w:rsid w:val="00BA697D"/>
    <w:rsid w:val="00BA6B3C"/>
    <w:rsid w:val="00BA6E8F"/>
    <w:rsid w:val="00BA7C8B"/>
    <w:rsid w:val="00BA7C92"/>
    <w:rsid w:val="00BB0625"/>
    <w:rsid w:val="00BB0B58"/>
    <w:rsid w:val="00BB0EEB"/>
    <w:rsid w:val="00BB1F8C"/>
    <w:rsid w:val="00BB244B"/>
    <w:rsid w:val="00BB39E4"/>
    <w:rsid w:val="00BB3BC4"/>
    <w:rsid w:val="00BB41D8"/>
    <w:rsid w:val="00BB49FF"/>
    <w:rsid w:val="00BB5CF4"/>
    <w:rsid w:val="00BB639B"/>
    <w:rsid w:val="00BB7740"/>
    <w:rsid w:val="00BC01AC"/>
    <w:rsid w:val="00BC09CF"/>
    <w:rsid w:val="00BC0AA5"/>
    <w:rsid w:val="00BC1013"/>
    <w:rsid w:val="00BC1113"/>
    <w:rsid w:val="00BC14A2"/>
    <w:rsid w:val="00BC1F8D"/>
    <w:rsid w:val="00BC225A"/>
    <w:rsid w:val="00BC24C8"/>
    <w:rsid w:val="00BC254F"/>
    <w:rsid w:val="00BC25E1"/>
    <w:rsid w:val="00BC392F"/>
    <w:rsid w:val="00BC3B67"/>
    <w:rsid w:val="00BC3DFA"/>
    <w:rsid w:val="00BC614F"/>
    <w:rsid w:val="00BC681F"/>
    <w:rsid w:val="00BD0167"/>
    <w:rsid w:val="00BD0EB8"/>
    <w:rsid w:val="00BD2C82"/>
    <w:rsid w:val="00BD2FEA"/>
    <w:rsid w:val="00BD3A5A"/>
    <w:rsid w:val="00BD788B"/>
    <w:rsid w:val="00BD7E20"/>
    <w:rsid w:val="00BD7FB7"/>
    <w:rsid w:val="00BE0A5E"/>
    <w:rsid w:val="00BE11E0"/>
    <w:rsid w:val="00BE15EB"/>
    <w:rsid w:val="00BE1708"/>
    <w:rsid w:val="00BE1DB2"/>
    <w:rsid w:val="00BE1EAF"/>
    <w:rsid w:val="00BE20A0"/>
    <w:rsid w:val="00BE2696"/>
    <w:rsid w:val="00BE3756"/>
    <w:rsid w:val="00BE5F17"/>
    <w:rsid w:val="00BE69FD"/>
    <w:rsid w:val="00BF1ED8"/>
    <w:rsid w:val="00BF1FE0"/>
    <w:rsid w:val="00BF22CF"/>
    <w:rsid w:val="00BF3194"/>
    <w:rsid w:val="00BF3BF4"/>
    <w:rsid w:val="00BF5491"/>
    <w:rsid w:val="00BF5F75"/>
    <w:rsid w:val="00BF6249"/>
    <w:rsid w:val="00BF7C94"/>
    <w:rsid w:val="00C00159"/>
    <w:rsid w:val="00C003A5"/>
    <w:rsid w:val="00C00A2D"/>
    <w:rsid w:val="00C013B0"/>
    <w:rsid w:val="00C01B44"/>
    <w:rsid w:val="00C02872"/>
    <w:rsid w:val="00C02CC6"/>
    <w:rsid w:val="00C040CD"/>
    <w:rsid w:val="00C0450F"/>
    <w:rsid w:val="00C0460E"/>
    <w:rsid w:val="00C05850"/>
    <w:rsid w:val="00C05AAA"/>
    <w:rsid w:val="00C061D6"/>
    <w:rsid w:val="00C06940"/>
    <w:rsid w:val="00C07D50"/>
    <w:rsid w:val="00C07E5B"/>
    <w:rsid w:val="00C10E61"/>
    <w:rsid w:val="00C11465"/>
    <w:rsid w:val="00C1193C"/>
    <w:rsid w:val="00C12129"/>
    <w:rsid w:val="00C12A3E"/>
    <w:rsid w:val="00C12D8D"/>
    <w:rsid w:val="00C142B7"/>
    <w:rsid w:val="00C1532D"/>
    <w:rsid w:val="00C15DEB"/>
    <w:rsid w:val="00C17AA7"/>
    <w:rsid w:val="00C17BA3"/>
    <w:rsid w:val="00C2007A"/>
    <w:rsid w:val="00C20D06"/>
    <w:rsid w:val="00C20F18"/>
    <w:rsid w:val="00C21E78"/>
    <w:rsid w:val="00C21FDC"/>
    <w:rsid w:val="00C22879"/>
    <w:rsid w:val="00C22A54"/>
    <w:rsid w:val="00C22DCD"/>
    <w:rsid w:val="00C23C91"/>
    <w:rsid w:val="00C23D37"/>
    <w:rsid w:val="00C26C44"/>
    <w:rsid w:val="00C26E9E"/>
    <w:rsid w:val="00C2718D"/>
    <w:rsid w:val="00C2741C"/>
    <w:rsid w:val="00C32311"/>
    <w:rsid w:val="00C32688"/>
    <w:rsid w:val="00C32D1E"/>
    <w:rsid w:val="00C34CAF"/>
    <w:rsid w:val="00C3635A"/>
    <w:rsid w:val="00C3656A"/>
    <w:rsid w:val="00C36A07"/>
    <w:rsid w:val="00C370CC"/>
    <w:rsid w:val="00C37321"/>
    <w:rsid w:val="00C374DB"/>
    <w:rsid w:val="00C3782D"/>
    <w:rsid w:val="00C40A09"/>
    <w:rsid w:val="00C40BF4"/>
    <w:rsid w:val="00C40D1E"/>
    <w:rsid w:val="00C425CF"/>
    <w:rsid w:val="00C43212"/>
    <w:rsid w:val="00C4422F"/>
    <w:rsid w:val="00C44465"/>
    <w:rsid w:val="00C44F5A"/>
    <w:rsid w:val="00C46794"/>
    <w:rsid w:val="00C468CC"/>
    <w:rsid w:val="00C46E4C"/>
    <w:rsid w:val="00C5331A"/>
    <w:rsid w:val="00C5404B"/>
    <w:rsid w:val="00C546F0"/>
    <w:rsid w:val="00C5478E"/>
    <w:rsid w:val="00C54DD0"/>
    <w:rsid w:val="00C5503B"/>
    <w:rsid w:val="00C6083D"/>
    <w:rsid w:val="00C60E99"/>
    <w:rsid w:val="00C613CC"/>
    <w:rsid w:val="00C61DF3"/>
    <w:rsid w:val="00C62212"/>
    <w:rsid w:val="00C6307F"/>
    <w:rsid w:val="00C631AC"/>
    <w:rsid w:val="00C632E2"/>
    <w:rsid w:val="00C64029"/>
    <w:rsid w:val="00C647BD"/>
    <w:rsid w:val="00C6549C"/>
    <w:rsid w:val="00C65548"/>
    <w:rsid w:val="00C65696"/>
    <w:rsid w:val="00C65BB5"/>
    <w:rsid w:val="00C660EB"/>
    <w:rsid w:val="00C66E77"/>
    <w:rsid w:val="00C66FB2"/>
    <w:rsid w:val="00C71888"/>
    <w:rsid w:val="00C723EA"/>
    <w:rsid w:val="00C73413"/>
    <w:rsid w:val="00C739B4"/>
    <w:rsid w:val="00C73A9F"/>
    <w:rsid w:val="00C75317"/>
    <w:rsid w:val="00C808FB"/>
    <w:rsid w:val="00C81F54"/>
    <w:rsid w:val="00C82AFC"/>
    <w:rsid w:val="00C8373C"/>
    <w:rsid w:val="00C8408F"/>
    <w:rsid w:val="00C84C79"/>
    <w:rsid w:val="00C84E9D"/>
    <w:rsid w:val="00C84FD7"/>
    <w:rsid w:val="00C86E4A"/>
    <w:rsid w:val="00C87388"/>
    <w:rsid w:val="00C902FF"/>
    <w:rsid w:val="00C91280"/>
    <w:rsid w:val="00C913DF"/>
    <w:rsid w:val="00C91A78"/>
    <w:rsid w:val="00C91FD3"/>
    <w:rsid w:val="00C92DCD"/>
    <w:rsid w:val="00C95D4A"/>
    <w:rsid w:val="00CA0658"/>
    <w:rsid w:val="00CA09DC"/>
    <w:rsid w:val="00CA0CA2"/>
    <w:rsid w:val="00CA15DC"/>
    <w:rsid w:val="00CA547D"/>
    <w:rsid w:val="00CA5C9D"/>
    <w:rsid w:val="00CA6347"/>
    <w:rsid w:val="00CB0773"/>
    <w:rsid w:val="00CB1115"/>
    <w:rsid w:val="00CB2F14"/>
    <w:rsid w:val="00CB4168"/>
    <w:rsid w:val="00CB418B"/>
    <w:rsid w:val="00CB55C6"/>
    <w:rsid w:val="00CB7739"/>
    <w:rsid w:val="00CC29B8"/>
    <w:rsid w:val="00CC3A4D"/>
    <w:rsid w:val="00CC55B4"/>
    <w:rsid w:val="00CC5782"/>
    <w:rsid w:val="00CC60F9"/>
    <w:rsid w:val="00CC6E6C"/>
    <w:rsid w:val="00CC76CF"/>
    <w:rsid w:val="00CC7B2E"/>
    <w:rsid w:val="00CD1D76"/>
    <w:rsid w:val="00CD2BA6"/>
    <w:rsid w:val="00CD4069"/>
    <w:rsid w:val="00CD68BB"/>
    <w:rsid w:val="00CE196E"/>
    <w:rsid w:val="00CE330C"/>
    <w:rsid w:val="00CE334B"/>
    <w:rsid w:val="00CE37E8"/>
    <w:rsid w:val="00CE38F8"/>
    <w:rsid w:val="00CE3ED3"/>
    <w:rsid w:val="00CE5589"/>
    <w:rsid w:val="00CE7CB2"/>
    <w:rsid w:val="00CF2211"/>
    <w:rsid w:val="00CF341E"/>
    <w:rsid w:val="00CF423A"/>
    <w:rsid w:val="00CF593C"/>
    <w:rsid w:val="00CF649A"/>
    <w:rsid w:val="00CF7002"/>
    <w:rsid w:val="00CF71A4"/>
    <w:rsid w:val="00CF76DF"/>
    <w:rsid w:val="00D003E7"/>
    <w:rsid w:val="00D00C4E"/>
    <w:rsid w:val="00D00E17"/>
    <w:rsid w:val="00D01AC5"/>
    <w:rsid w:val="00D02216"/>
    <w:rsid w:val="00D031B7"/>
    <w:rsid w:val="00D03EB6"/>
    <w:rsid w:val="00D0422A"/>
    <w:rsid w:val="00D0517B"/>
    <w:rsid w:val="00D053CA"/>
    <w:rsid w:val="00D05E37"/>
    <w:rsid w:val="00D07E93"/>
    <w:rsid w:val="00D10084"/>
    <w:rsid w:val="00D103F3"/>
    <w:rsid w:val="00D10DF5"/>
    <w:rsid w:val="00D11D6E"/>
    <w:rsid w:val="00D20F22"/>
    <w:rsid w:val="00D22DDC"/>
    <w:rsid w:val="00D245B4"/>
    <w:rsid w:val="00D24A1C"/>
    <w:rsid w:val="00D26110"/>
    <w:rsid w:val="00D266D5"/>
    <w:rsid w:val="00D30350"/>
    <w:rsid w:val="00D31C18"/>
    <w:rsid w:val="00D32533"/>
    <w:rsid w:val="00D329DE"/>
    <w:rsid w:val="00D32C4C"/>
    <w:rsid w:val="00D3345B"/>
    <w:rsid w:val="00D338B8"/>
    <w:rsid w:val="00D33F77"/>
    <w:rsid w:val="00D3520F"/>
    <w:rsid w:val="00D36977"/>
    <w:rsid w:val="00D36AEF"/>
    <w:rsid w:val="00D371F7"/>
    <w:rsid w:val="00D40143"/>
    <w:rsid w:val="00D401CE"/>
    <w:rsid w:val="00D405E2"/>
    <w:rsid w:val="00D40605"/>
    <w:rsid w:val="00D40A7A"/>
    <w:rsid w:val="00D42838"/>
    <w:rsid w:val="00D44863"/>
    <w:rsid w:val="00D44D3D"/>
    <w:rsid w:val="00D45CF2"/>
    <w:rsid w:val="00D45F81"/>
    <w:rsid w:val="00D530F4"/>
    <w:rsid w:val="00D547B5"/>
    <w:rsid w:val="00D55E10"/>
    <w:rsid w:val="00D62485"/>
    <w:rsid w:val="00D6314F"/>
    <w:rsid w:val="00D646AD"/>
    <w:rsid w:val="00D64B79"/>
    <w:rsid w:val="00D64BA7"/>
    <w:rsid w:val="00D65C36"/>
    <w:rsid w:val="00D65DF5"/>
    <w:rsid w:val="00D66604"/>
    <w:rsid w:val="00D675CA"/>
    <w:rsid w:val="00D7073C"/>
    <w:rsid w:val="00D7225E"/>
    <w:rsid w:val="00D72736"/>
    <w:rsid w:val="00D72BB5"/>
    <w:rsid w:val="00D72CB7"/>
    <w:rsid w:val="00D7362B"/>
    <w:rsid w:val="00D73A09"/>
    <w:rsid w:val="00D758F7"/>
    <w:rsid w:val="00D7615A"/>
    <w:rsid w:val="00D82926"/>
    <w:rsid w:val="00D83321"/>
    <w:rsid w:val="00D84D3E"/>
    <w:rsid w:val="00D84EE5"/>
    <w:rsid w:val="00D868BE"/>
    <w:rsid w:val="00D8730C"/>
    <w:rsid w:val="00D906EF"/>
    <w:rsid w:val="00D94484"/>
    <w:rsid w:val="00D94855"/>
    <w:rsid w:val="00D965F1"/>
    <w:rsid w:val="00D97319"/>
    <w:rsid w:val="00D9752D"/>
    <w:rsid w:val="00D97DA4"/>
    <w:rsid w:val="00D97DC9"/>
    <w:rsid w:val="00D97FA0"/>
    <w:rsid w:val="00DA03C3"/>
    <w:rsid w:val="00DA0938"/>
    <w:rsid w:val="00DA1C79"/>
    <w:rsid w:val="00DA3470"/>
    <w:rsid w:val="00DA55BE"/>
    <w:rsid w:val="00DA6C38"/>
    <w:rsid w:val="00DA6D10"/>
    <w:rsid w:val="00DA6FB6"/>
    <w:rsid w:val="00DA7763"/>
    <w:rsid w:val="00DB278C"/>
    <w:rsid w:val="00DB3105"/>
    <w:rsid w:val="00DB3E39"/>
    <w:rsid w:val="00DB4C98"/>
    <w:rsid w:val="00DB58B9"/>
    <w:rsid w:val="00DC081F"/>
    <w:rsid w:val="00DC144D"/>
    <w:rsid w:val="00DC27F4"/>
    <w:rsid w:val="00DC456C"/>
    <w:rsid w:val="00DC53E9"/>
    <w:rsid w:val="00DC6D27"/>
    <w:rsid w:val="00DD0179"/>
    <w:rsid w:val="00DD0242"/>
    <w:rsid w:val="00DD046A"/>
    <w:rsid w:val="00DD1628"/>
    <w:rsid w:val="00DD171A"/>
    <w:rsid w:val="00DD1A8E"/>
    <w:rsid w:val="00DD1BB2"/>
    <w:rsid w:val="00DD1CD8"/>
    <w:rsid w:val="00DD2FB6"/>
    <w:rsid w:val="00DD42AF"/>
    <w:rsid w:val="00DD4A34"/>
    <w:rsid w:val="00DD51C2"/>
    <w:rsid w:val="00DD60F9"/>
    <w:rsid w:val="00DD6B7F"/>
    <w:rsid w:val="00DD7FC7"/>
    <w:rsid w:val="00DE07FE"/>
    <w:rsid w:val="00DE0A86"/>
    <w:rsid w:val="00DE3087"/>
    <w:rsid w:val="00DE3192"/>
    <w:rsid w:val="00DE44EB"/>
    <w:rsid w:val="00DE478D"/>
    <w:rsid w:val="00DF04A2"/>
    <w:rsid w:val="00DF06DE"/>
    <w:rsid w:val="00DF0EA5"/>
    <w:rsid w:val="00DF13E0"/>
    <w:rsid w:val="00DF23A5"/>
    <w:rsid w:val="00DF2AE5"/>
    <w:rsid w:val="00DF38F3"/>
    <w:rsid w:val="00DF3A44"/>
    <w:rsid w:val="00DF3C58"/>
    <w:rsid w:val="00DF50B8"/>
    <w:rsid w:val="00DF5C65"/>
    <w:rsid w:val="00DF62FF"/>
    <w:rsid w:val="00DF6390"/>
    <w:rsid w:val="00DF67E1"/>
    <w:rsid w:val="00DF7211"/>
    <w:rsid w:val="00DF7E6A"/>
    <w:rsid w:val="00DF7F0B"/>
    <w:rsid w:val="00E009C9"/>
    <w:rsid w:val="00E00F61"/>
    <w:rsid w:val="00E010A2"/>
    <w:rsid w:val="00E0126B"/>
    <w:rsid w:val="00E02C12"/>
    <w:rsid w:val="00E04326"/>
    <w:rsid w:val="00E04FDB"/>
    <w:rsid w:val="00E05172"/>
    <w:rsid w:val="00E059E3"/>
    <w:rsid w:val="00E05ECE"/>
    <w:rsid w:val="00E06173"/>
    <w:rsid w:val="00E07054"/>
    <w:rsid w:val="00E07790"/>
    <w:rsid w:val="00E10BA9"/>
    <w:rsid w:val="00E11B90"/>
    <w:rsid w:val="00E126AB"/>
    <w:rsid w:val="00E13E51"/>
    <w:rsid w:val="00E14591"/>
    <w:rsid w:val="00E1515D"/>
    <w:rsid w:val="00E151F5"/>
    <w:rsid w:val="00E16403"/>
    <w:rsid w:val="00E167B9"/>
    <w:rsid w:val="00E16F09"/>
    <w:rsid w:val="00E172B7"/>
    <w:rsid w:val="00E24EE5"/>
    <w:rsid w:val="00E265D9"/>
    <w:rsid w:val="00E31A87"/>
    <w:rsid w:val="00E32267"/>
    <w:rsid w:val="00E3226C"/>
    <w:rsid w:val="00E32E3F"/>
    <w:rsid w:val="00E33509"/>
    <w:rsid w:val="00E33DF8"/>
    <w:rsid w:val="00E340BB"/>
    <w:rsid w:val="00E34B9C"/>
    <w:rsid w:val="00E351FB"/>
    <w:rsid w:val="00E35871"/>
    <w:rsid w:val="00E3618D"/>
    <w:rsid w:val="00E371EC"/>
    <w:rsid w:val="00E40115"/>
    <w:rsid w:val="00E40262"/>
    <w:rsid w:val="00E41496"/>
    <w:rsid w:val="00E42F9C"/>
    <w:rsid w:val="00E43FCE"/>
    <w:rsid w:val="00E449B8"/>
    <w:rsid w:val="00E44D09"/>
    <w:rsid w:val="00E476E3"/>
    <w:rsid w:val="00E52435"/>
    <w:rsid w:val="00E53527"/>
    <w:rsid w:val="00E55006"/>
    <w:rsid w:val="00E567C0"/>
    <w:rsid w:val="00E61309"/>
    <w:rsid w:val="00E62472"/>
    <w:rsid w:val="00E62C11"/>
    <w:rsid w:val="00E63ED3"/>
    <w:rsid w:val="00E64DFD"/>
    <w:rsid w:val="00E65E66"/>
    <w:rsid w:val="00E662D1"/>
    <w:rsid w:val="00E6641D"/>
    <w:rsid w:val="00E67529"/>
    <w:rsid w:val="00E675D7"/>
    <w:rsid w:val="00E676D6"/>
    <w:rsid w:val="00E67CB6"/>
    <w:rsid w:val="00E67EAC"/>
    <w:rsid w:val="00E7039A"/>
    <w:rsid w:val="00E7043D"/>
    <w:rsid w:val="00E7044B"/>
    <w:rsid w:val="00E73DD4"/>
    <w:rsid w:val="00E751F4"/>
    <w:rsid w:val="00E75332"/>
    <w:rsid w:val="00E77CD8"/>
    <w:rsid w:val="00E8299E"/>
    <w:rsid w:val="00E82FEE"/>
    <w:rsid w:val="00E840FF"/>
    <w:rsid w:val="00E84D73"/>
    <w:rsid w:val="00E858D0"/>
    <w:rsid w:val="00E86781"/>
    <w:rsid w:val="00E9029C"/>
    <w:rsid w:val="00E903E7"/>
    <w:rsid w:val="00E91780"/>
    <w:rsid w:val="00E91C60"/>
    <w:rsid w:val="00E92EAB"/>
    <w:rsid w:val="00E9587F"/>
    <w:rsid w:val="00E963A3"/>
    <w:rsid w:val="00E96DD5"/>
    <w:rsid w:val="00E97300"/>
    <w:rsid w:val="00E97BB0"/>
    <w:rsid w:val="00EA0371"/>
    <w:rsid w:val="00EA09BB"/>
    <w:rsid w:val="00EA09C9"/>
    <w:rsid w:val="00EA2DFC"/>
    <w:rsid w:val="00EA34C9"/>
    <w:rsid w:val="00EA56E1"/>
    <w:rsid w:val="00EA5BD9"/>
    <w:rsid w:val="00EA6345"/>
    <w:rsid w:val="00EA6571"/>
    <w:rsid w:val="00EB11C3"/>
    <w:rsid w:val="00EB29F0"/>
    <w:rsid w:val="00EB38B2"/>
    <w:rsid w:val="00EB515A"/>
    <w:rsid w:val="00EB7997"/>
    <w:rsid w:val="00EB7ED3"/>
    <w:rsid w:val="00EB7FBE"/>
    <w:rsid w:val="00EC0379"/>
    <w:rsid w:val="00EC61AB"/>
    <w:rsid w:val="00EC6F26"/>
    <w:rsid w:val="00ED0F0C"/>
    <w:rsid w:val="00ED141D"/>
    <w:rsid w:val="00ED2389"/>
    <w:rsid w:val="00ED33FC"/>
    <w:rsid w:val="00ED3519"/>
    <w:rsid w:val="00ED41DC"/>
    <w:rsid w:val="00ED52F9"/>
    <w:rsid w:val="00ED5F89"/>
    <w:rsid w:val="00ED65E7"/>
    <w:rsid w:val="00EE0F40"/>
    <w:rsid w:val="00EE1C94"/>
    <w:rsid w:val="00EE235D"/>
    <w:rsid w:val="00EE286C"/>
    <w:rsid w:val="00EE3394"/>
    <w:rsid w:val="00EE3731"/>
    <w:rsid w:val="00EE4378"/>
    <w:rsid w:val="00EE4C7E"/>
    <w:rsid w:val="00EE4E04"/>
    <w:rsid w:val="00EE5394"/>
    <w:rsid w:val="00EE53BB"/>
    <w:rsid w:val="00EE5E65"/>
    <w:rsid w:val="00EE5FBB"/>
    <w:rsid w:val="00EE66DF"/>
    <w:rsid w:val="00EF119D"/>
    <w:rsid w:val="00EF192C"/>
    <w:rsid w:val="00EF1EAC"/>
    <w:rsid w:val="00EF58E3"/>
    <w:rsid w:val="00EF5D45"/>
    <w:rsid w:val="00EF7ABB"/>
    <w:rsid w:val="00F01098"/>
    <w:rsid w:val="00F02133"/>
    <w:rsid w:val="00F0234C"/>
    <w:rsid w:val="00F02DE4"/>
    <w:rsid w:val="00F032D6"/>
    <w:rsid w:val="00F04153"/>
    <w:rsid w:val="00F04328"/>
    <w:rsid w:val="00F049B2"/>
    <w:rsid w:val="00F04DC7"/>
    <w:rsid w:val="00F05477"/>
    <w:rsid w:val="00F06A46"/>
    <w:rsid w:val="00F06BCC"/>
    <w:rsid w:val="00F07F2F"/>
    <w:rsid w:val="00F103FA"/>
    <w:rsid w:val="00F10C21"/>
    <w:rsid w:val="00F10DB5"/>
    <w:rsid w:val="00F1187A"/>
    <w:rsid w:val="00F13330"/>
    <w:rsid w:val="00F14759"/>
    <w:rsid w:val="00F149BB"/>
    <w:rsid w:val="00F14AD6"/>
    <w:rsid w:val="00F163D1"/>
    <w:rsid w:val="00F16B81"/>
    <w:rsid w:val="00F1761F"/>
    <w:rsid w:val="00F17B08"/>
    <w:rsid w:val="00F200E1"/>
    <w:rsid w:val="00F20BCF"/>
    <w:rsid w:val="00F221E3"/>
    <w:rsid w:val="00F2289B"/>
    <w:rsid w:val="00F22EDB"/>
    <w:rsid w:val="00F24945"/>
    <w:rsid w:val="00F25C93"/>
    <w:rsid w:val="00F31945"/>
    <w:rsid w:val="00F3205C"/>
    <w:rsid w:val="00F321EF"/>
    <w:rsid w:val="00F34364"/>
    <w:rsid w:val="00F35A91"/>
    <w:rsid w:val="00F367E2"/>
    <w:rsid w:val="00F40F41"/>
    <w:rsid w:val="00F41022"/>
    <w:rsid w:val="00F416DA"/>
    <w:rsid w:val="00F425A8"/>
    <w:rsid w:val="00F43C9F"/>
    <w:rsid w:val="00F44E63"/>
    <w:rsid w:val="00F45280"/>
    <w:rsid w:val="00F45D31"/>
    <w:rsid w:val="00F46284"/>
    <w:rsid w:val="00F47608"/>
    <w:rsid w:val="00F503A5"/>
    <w:rsid w:val="00F53053"/>
    <w:rsid w:val="00F53932"/>
    <w:rsid w:val="00F53DDB"/>
    <w:rsid w:val="00F54489"/>
    <w:rsid w:val="00F55DAA"/>
    <w:rsid w:val="00F560DA"/>
    <w:rsid w:val="00F574F2"/>
    <w:rsid w:val="00F5766A"/>
    <w:rsid w:val="00F60D62"/>
    <w:rsid w:val="00F60F7A"/>
    <w:rsid w:val="00F60F84"/>
    <w:rsid w:val="00F62304"/>
    <w:rsid w:val="00F62415"/>
    <w:rsid w:val="00F62A9A"/>
    <w:rsid w:val="00F652CC"/>
    <w:rsid w:val="00F65C9E"/>
    <w:rsid w:val="00F6603A"/>
    <w:rsid w:val="00F66340"/>
    <w:rsid w:val="00F671D5"/>
    <w:rsid w:val="00F7068C"/>
    <w:rsid w:val="00F73788"/>
    <w:rsid w:val="00F73FED"/>
    <w:rsid w:val="00F745AF"/>
    <w:rsid w:val="00F74838"/>
    <w:rsid w:val="00F7497F"/>
    <w:rsid w:val="00F74C40"/>
    <w:rsid w:val="00F7706F"/>
    <w:rsid w:val="00F77962"/>
    <w:rsid w:val="00F77D3B"/>
    <w:rsid w:val="00F80AEA"/>
    <w:rsid w:val="00F81706"/>
    <w:rsid w:val="00F81F2A"/>
    <w:rsid w:val="00F83100"/>
    <w:rsid w:val="00F8587C"/>
    <w:rsid w:val="00F86D1D"/>
    <w:rsid w:val="00F905B4"/>
    <w:rsid w:val="00F93861"/>
    <w:rsid w:val="00F93FB0"/>
    <w:rsid w:val="00F94A7F"/>
    <w:rsid w:val="00F952EB"/>
    <w:rsid w:val="00F96412"/>
    <w:rsid w:val="00F97B10"/>
    <w:rsid w:val="00FA00B7"/>
    <w:rsid w:val="00FA0861"/>
    <w:rsid w:val="00FA3A56"/>
    <w:rsid w:val="00FA6AF1"/>
    <w:rsid w:val="00FA7943"/>
    <w:rsid w:val="00FA7C47"/>
    <w:rsid w:val="00FB1267"/>
    <w:rsid w:val="00FB328C"/>
    <w:rsid w:val="00FB4429"/>
    <w:rsid w:val="00FB57BE"/>
    <w:rsid w:val="00FB585E"/>
    <w:rsid w:val="00FB61C3"/>
    <w:rsid w:val="00FB7146"/>
    <w:rsid w:val="00FB7EFB"/>
    <w:rsid w:val="00FC0F97"/>
    <w:rsid w:val="00FC21FC"/>
    <w:rsid w:val="00FC2290"/>
    <w:rsid w:val="00FC22EB"/>
    <w:rsid w:val="00FC2427"/>
    <w:rsid w:val="00FC5924"/>
    <w:rsid w:val="00FC7653"/>
    <w:rsid w:val="00FD0EA9"/>
    <w:rsid w:val="00FD2D7A"/>
    <w:rsid w:val="00FD2E6E"/>
    <w:rsid w:val="00FD2FA4"/>
    <w:rsid w:val="00FD3189"/>
    <w:rsid w:val="00FD3214"/>
    <w:rsid w:val="00FD4410"/>
    <w:rsid w:val="00FD474E"/>
    <w:rsid w:val="00FD48C4"/>
    <w:rsid w:val="00FD4EF3"/>
    <w:rsid w:val="00FD5204"/>
    <w:rsid w:val="00FD5630"/>
    <w:rsid w:val="00FD64A2"/>
    <w:rsid w:val="00FD69D4"/>
    <w:rsid w:val="00FD7436"/>
    <w:rsid w:val="00FE0982"/>
    <w:rsid w:val="00FE0CE9"/>
    <w:rsid w:val="00FE2443"/>
    <w:rsid w:val="00FE25E0"/>
    <w:rsid w:val="00FE2DA1"/>
    <w:rsid w:val="00FE34DE"/>
    <w:rsid w:val="00FE360C"/>
    <w:rsid w:val="00FE45A0"/>
    <w:rsid w:val="00FE465B"/>
    <w:rsid w:val="00FE4AAF"/>
    <w:rsid w:val="00FE5A1E"/>
    <w:rsid w:val="00FE6D4D"/>
    <w:rsid w:val="00FF159D"/>
    <w:rsid w:val="00FF1C79"/>
    <w:rsid w:val="00FF23B9"/>
    <w:rsid w:val="00FF2642"/>
    <w:rsid w:val="00FF3069"/>
    <w:rsid w:val="00FF6E33"/>
    <w:rsid w:val="00FF7074"/>
    <w:rsid w:val="01D4BD0C"/>
    <w:rsid w:val="1B729BDD"/>
    <w:rsid w:val="35374B87"/>
    <w:rsid w:val="3992CDB4"/>
    <w:rsid w:val="5037DE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B6F428"/>
  <w15:docId w15:val="{04CD370B-A861-4CB0-9281-D1198663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B41"/>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autoSpaceDE w:val="0"/>
      <w:autoSpaceDN w:val="0"/>
      <w:adjustRightInd w:val="0"/>
      <w:spacing w:line="276" w:lineRule="auto"/>
    </w:pPr>
    <w:rPr>
      <w:rFonts w:asciiTheme="minorHAnsi" w:hAnsiTheme="minorHAnsi"/>
      <w:sz w:val="22"/>
      <w:szCs w:val="24"/>
    </w:rPr>
  </w:style>
  <w:style w:type="paragraph" w:styleId="Heading1">
    <w:name w:val="heading 1"/>
    <w:basedOn w:val="Normal"/>
    <w:next w:val="Normal"/>
    <w:link w:val="Heading1Char"/>
    <w:qFormat/>
    <w:rsid w:val="00877276"/>
    <w:pPr>
      <w:keepNext/>
      <w:keepLines/>
      <w:numPr>
        <w:numId w:val="13"/>
      </w:numPr>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C44F5A"/>
    <w:pPr>
      <w:keepNext/>
      <w:keepLines/>
      <w:numPr>
        <w:ilvl w:val="1"/>
        <w:numId w:val="13"/>
      </w:numPr>
      <w:spacing w:before="40" w:after="240"/>
      <w:outlineLvl w:val="1"/>
    </w:pPr>
    <w:rPr>
      <w:rFonts w:eastAsiaTheme="majorEastAsia" w:cstheme="majorBidi"/>
      <w:b/>
      <w:szCs w:val="26"/>
    </w:rPr>
  </w:style>
  <w:style w:type="paragraph" w:styleId="Heading3">
    <w:name w:val="heading 3"/>
    <w:basedOn w:val="Normal"/>
    <w:next w:val="Normal"/>
    <w:link w:val="Heading3Char"/>
    <w:unhideWhenUsed/>
    <w:qFormat/>
    <w:rsid w:val="00C44F5A"/>
    <w:pPr>
      <w:keepNext/>
      <w:keepLines/>
      <w:numPr>
        <w:ilvl w:val="2"/>
        <w:numId w:val="13"/>
      </w:numPr>
      <w:spacing w:before="40" w:after="240"/>
      <w:outlineLvl w:val="2"/>
    </w:pPr>
    <w:rPr>
      <w:rFonts w:eastAsiaTheme="majorEastAsia" w:cstheme="majorBidi"/>
      <w:b/>
      <w:i/>
    </w:rPr>
  </w:style>
  <w:style w:type="paragraph" w:styleId="Heading4">
    <w:name w:val="heading 4"/>
    <w:basedOn w:val="Normal"/>
    <w:next w:val="Normal"/>
    <w:link w:val="Heading4Char"/>
    <w:semiHidden/>
    <w:unhideWhenUsed/>
    <w:qFormat/>
    <w:rsid w:val="00F86D1D"/>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86D1D"/>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86D1D"/>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86D1D"/>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86D1D"/>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86D1D"/>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link w:val="FootnoteTextChar"/>
    <w:uiPriority w:val="99"/>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uiPriority w:val="99"/>
    <w:rsid w:val="00BC01AC"/>
    <w:rPr>
      <w:sz w:val="16"/>
      <w:szCs w:val="16"/>
    </w:rPr>
  </w:style>
  <w:style w:type="paragraph" w:styleId="CommentText">
    <w:name w:val="annotation text"/>
    <w:aliases w:val="Char8"/>
    <w:basedOn w:val="Normal"/>
    <w:link w:val="CommentTextChar"/>
    <w:uiPriority w:val="99"/>
    <w:qFormat/>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 w:type="paragraph" w:styleId="Header">
    <w:name w:val="header"/>
    <w:basedOn w:val="Normal"/>
    <w:link w:val="HeaderChar"/>
    <w:uiPriority w:val="99"/>
    <w:unhideWhenUsed/>
    <w:rsid w:val="00712218"/>
    <w:pPr>
      <w:tabs>
        <w:tab w:val="center" w:pos="4680"/>
        <w:tab w:val="right" w:pos="9360"/>
      </w:tabs>
    </w:pPr>
  </w:style>
  <w:style w:type="character" w:customStyle="1" w:styleId="HeaderChar">
    <w:name w:val="Header Char"/>
    <w:basedOn w:val="DefaultParagraphFont"/>
    <w:link w:val="Header"/>
    <w:uiPriority w:val="99"/>
    <w:rsid w:val="00712218"/>
    <w:rPr>
      <w:sz w:val="24"/>
      <w:szCs w:val="24"/>
    </w:rPr>
  </w:style>
  <w:style w:type="paragraph" w:styleId="Footer">
    <w:name w:val="footer"/>
    <w:basedOn w:val="Normal"/>
    <w:link w:val="FooterChar"/>
    <w:uiPriority w:val="99"/>
    <w:unhideWhenUsed/>
    <w:rsid w:val="00712218"/>
    <w:pPr>
      <w:tabs>
        <w:tab w:val="center" w:pos="4680"/>
        <w:tab w:val="right" w:pos="9360"/>
      </w:tabs>
    </w:pPr>
  </w:style>
  <w:style w:type="character" w:customStyle="1" w:styleId="FooterChar">
    <w:name w:val="Footer Char"/>
    <w:basedOn w:val="DefaultParagraphFont"/>
    <w:link w:val="Footer"/>
    <w:uiPriority w:val="99"/>
    <w:rsid w:val="00712218"/>
    <w:rPr>
      <w:sz w:val="24"/>
      <w:szCs w:val="24"/>
    </w:rPr>
  </w:style>
  <w:style w:type="character" w:customStyle="1" w:styleId="CommentTextChar">
    <w:name w:val="Comment Text Char"/>
    <w:aliases w:val="Char8 Char"/>
    <w:basedOn w:val="DefaultParagraphFont"/>
    <w:link w:val="CommentText"/>
    <w:uiPriority w:val="99"/>
    <w:rsid w:val="00E059E3"/>
  </w:style>
  <w:style w:type="character" w:customStyle="1" w:styleId="markwuz0b62bn">
    <w:name w:val="markwuz0b62bn"/>
    <w:basedOn w:val="DefaultParagraphFont"/>
    <w:rsid w:val="00F032D6"/>
  </w:style>
  <w:style w:type="character" w:styleId="UnresolvedMention">
    <w:name w:val="Unresolved Mention"/>
    <w:basedOn w:val="DefaultParagraphFont"/>
    <w:uiPriority w:val="99"/>
    <w:unhideWhenUsed/>
    <w:rsid w:val="00CA0658"/>
    <w:rPr>
      <w:color w:val="605E5C"/>
      <w:shd w:val="clear" w:color="auto" w:fill="E1DFDD"/>
    </w:rPr>
  </w:style>
  <w:style w:type="character" w:styleId="FollowedHyperlink">
    <w:name w:val="FollowedHyperlink"/>
    <w:basedOn w:val="DefaultParagraphFont"/>
    <w:semiHidden/>
    <w:unhideWhenUsed/>
    <w:rsid w:val="00CA0658"/>
    <w:rPr>
      <w:color w:val="800080" w:themeColor="followedHyperlink"/>
      <w:u w:val="single"/>
    </w:rPr>
  </w:style>
  <w:style w:type="character" w:styleId="Strong">
    <w:name w:val="Strong"/>
    <w:basedOn w:val="DefaultParagraphFont"/>
    <w:qFormat/>
    <w:rsid w:val="008D4B7E"/>
    <w:rPr>
      <w:b/>
      <w:bCs/>
    </w:rPr>
  </w:style>
  <w:style w:type="character" w:customStyle="1" w:styleId="FootnoteTextChar">
    <w:name w:val="Footnote Text Char"/>
    <w:basedOn w:val="DefaultParagraphFont"/>
    <w:link w:val="FootnoteText"/>
    <w:uiPriority w:val="99"/>
    <w:rsid w:val="00883592"/>
  </w:style>
  <w:style w:type="paragraph" w:customStyle="1" w:styleId="StrongItalics">
    <w:name w:val="StrongItalics"/>
    <w:basedOn w:val="Normal"/>
    <w:link w:val="StrongItalicsChar"/>
    <w:qFormat/>
    <w:rsid w:val="008D4B7E"/>
    <w:pPr>
      <w:keepNext/>
      <w:spacing w:after="240"/>
    </w:pPr>
    <w:rPr>
      <w:b/>
      <w:i/>
      <w:iCs/>
    </w:rPr>
  </w:style>
  <w:style w:type="character" w:customStyle="1" w:styleId="Heading1Char">
    <w:name w:val="Heading 1 Char"/>
    <w:basedOn w:val="DefaultParagraphFont"/>
    <w:link w:val="Heading1"/>
    <w:rsid w:val="00877276"/>
    <w:rPr>
      <w:rFonts w:asciiTheme="minorHAnsi" w:eastAsiaTheme="majorEastAsia" w:hAnsiTheme="minorHAnsi" w:cstheme="majorBidi"/>
      <w:b/>
      <w:sz w:val="22"/>
      <w:szCs w:val="32"/>
    </w:rPr>
  </w:style>
  <w:style w:type="character" w:customStyle="1" w:styleId="StrongItalicsChar">
    <w:name w:val="StrongItalics Char"/>
    <w:basedOn w:val="DefaultParagraphFont"/>
    <w:link w:val="StrongItalics"/>
    <w:rsid w:val="008D4B7E"/>
    <w:rPr>
      <w:b/>
      <w:i/>
      <w:iCs/>
      <w:sz w:val="24"/>
      <w:szCs w:val="24"/>
    </w:rPr>
  </w:style>
  <w:style w:type="character" w:customStyle="1" w:styleId="Heading2Char">
    <w:name w:val="Heading 2 Char"/>
    <w:basedOn w:val="DefaultParagraphFont"/>
    <w:link w:val="Heading2"/>
    <w:rsid w:val="00C44F5A"/>
    <w:rPr>
      <w:rFonts w:asciiTheme="minorHAnsi" w:eastAsiaTheme="majorEastAsia" w:hAnsiTheme="minorHAnsi" w:cstheme="majorBidi"/>
      <w:b/>
      <w:sz w:val="22"/>
      <w:szCs w:val="26"/>
    </w:rPr>
  </w:style>
  <w:style w:type="character" w:customStyle="1" w:styleId="Heading3Char">
    <w:name w:val="Heading 3 Char"/>
    <w:basedOn w:val="DefaultParagraphFont"/>
    <w:link w:val="Heading3"/>
    <w:rsid w:val="00C44F5A"/>
    <w:rPr>
      <w:rFonts w:asciiTheme="minorHAnsi" w:eastAsiaTheme="majorEastAsia" w:hAnsiTheme="minorHAnsi" w:cstheme="majorBidi"/>
      <w:b/>
      <w:i/>
      <w:sz w:val="22"/>
      <w:szCs w:val="24"/>
    </w:rPr>
  </w:style>
  <w:style w:type="character" w:customStyle="1" w:styleId="Heading4Char">
    <w:name w:val="Heading 4 Char"/>
    <w:basedOn w:val="DefaultParagraphFont"/>
    <w:link w:val="Heading4"/>
    <w:semiHidden/>
    <w:rsid w:val="00F86D1D"/>
    <w:rPr>
      <w:rFonts w:asciiTheme="majorHAnsi" w:eastAsiaTheme="majorEastAsia" w:hAnsiTheme="majorHAnsi" w:cstheme="majorBidi"/>
      <w:i/>
      <w:iCs/>
      <w:color w:val="365F91" w:themeColor="accent1" w:themeShade="BF"/>
      <w:sz w:val="22"/>
      <w:szCs w:val="24"/>
    </w:rPr>
  </w:style>
  <w:style w:type="character" w:customStyle="1" w:styleId="Heading5Char">
    <w:name w:val="Heading 5 Char"/>
    <w:basedOn w:val="DefaultParagraphFont"/>
    <w:link w:val="Heading5"/>
    <w:semiHidden/>
    <w:rsid w:val="00F86D1D"/>
    <w:rPr>
      <w:rFonts w:asciiTheme="majorHAnsi" w:eastAsiaTheme="majorEastAsia" w:hAnsiTheme="majorHAnsi" w:cstheme="majorBidi"/>
      <w:color w:val="365F91" w:themeColor="accent1" w:themeShade="BF"/>
      <w:sz w:val="22"/>
      <w:szCs w:val="24"/>
    </w:rPr>
  </w:style>
  <w:style w:type="character" w:customStyle="1" w:styleId="Heading6Char">
    <w:name w:val="Heading 6 Char"/>
    <w:basedOn w:val="DefaultParagraphFont"/>
    <w:link w:val="Heading6"/>
    <w:semiHidden/>
    <w:rsid w:val="00F86D1D"/>
    <w:rPr>
      <w:rFonts w:asciiTheme="majorHAnsi" w:eastAsiaTheme="majorEastAsia" w:hAnsiTheme="majorHAnsi" w:cstheme="majorBidi"/>
      <w:color w:val="243F60" w:themeColor="accent1" w:themeShade="7F"/>
      <w:sz w:val="22"/>
      <w:szCs w:val="24"/>
    </w:rPr>
  </w:style>
  <w:style w:type="character" w:customStyle="1" w:styleId="Heading7Char">
    <w:name w:val="Heading 7 Char"/>
    <w:basedOn w:val="DefaultParagraphFont"/>
    <w:link w:val="Heading7"/>
    <w:semiHidden/>
    <w:rsid w:val="00F86D1D"/>
    <w:rPr>
      <w:rFonts w:asciiTheme="majorHAnsi" w:eastAsiaTheme="majorEastAsia" w:hAnsiTheme="majorHAnsi" w:cstheme="majorBidi"/>
      <w:i/>
      <w:iCs/>
      <w:color w:val="243F60" w:themeColor="accent1" w:themeShade="7F"/>
      <w:sz w:val="22"/>
      <w:szCs w:val="24"/>
    </w:rPr>
  </w:style>
  <w:style w:type="character" w:customStyle="1" w:styleId="Heading8Char">
    <w:name w:val="Heading 8 Char"/>
    <w:basedOn w:val="DefaultParagraphFont"/>
    <w:link w:val="Heading8"/>
    <w:semiHidden/>
    <w:rsid w:val="00F86D1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86D1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F86D1D"/>
    <w:pPr>
      <w:numPr>
        <w:numId w:val="12"/>
      </w:numPr>
    </w:pPr>
  </w:style>
  <w:style w:type="paragraph" w:styleId="Caption">
    <w:name w:val="caption"/>
    <w:basedOn w:val="Normal"/>
    <w:next w:val="Normal"/>
    <w:unhideWhenUsed/>
    <w:qFormat/>
    <w:rsid w:val="00E52435"/>
    <w:pPr>
      <w:keepNext/>
      <w:spacing w:after="60" w:line="240" w:lineRule="auto"/>
    </w:pPr>
    <w:rPr>
      <w:iCs/>
      <w:szCs w:val="18"/>
    </w:rPr>
  </w:style>
  <w:style w:type="paragraph" w:styleId="NormalWeb">
    <w:name w:val="Normal (Web)"/>
    <w:basedOn w:val="Normal"/>
    <w:uiPriority w:val="99"/>
    <w:semiHidden/>
    <w:unhideWhenUsed/>
    <w:rsid w:val="000A3259"/>
    <w:pPr>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 w:val="clear" w:pos="6475"/>
        <w:tab w:val="clear" w:pos="6940"/>
        <w:tab w:val="clear" w:pos="7406"/>
        <w:tab w:val="clear" w:pos="7872"/>
        <w:tab w:val="clear" w:pos="8337"/>
        <w:tab w:val="clear" w:pos="8803"/>
        <w:tab w:val="clear" w:pos="9268"/>
        <w:tab w:val="clear" w:pos="9734"/>
        <w:tab w:val="clear" w:pos="10200"/>
        <w:tab w:val="clear" w:pos="10665"/>
      </w:tabs>
      <w:autoSpaceDE/>
      <w:autoSpaceDN/>
      <w:adjustRightInd/>
      <w:spacing w:before="100" w:beforeAutospacing="1" w:after="100" w:afterAutospacing="1" w:line="240" w:lineRule="auto"/>
    </w:pPr>
  </w:style>
  <w:style w:type="character" w:customStyle="1" w:styleId="cf01">
    <w:name w:val="cf01"/>
    <w:basedOn w:val="DefaultParagraphFont"/>
    <w:rsid w:val="00286419"/>
    <w:rPr>
      <w:rFonts w:ascii="Segoe UI" w:hAnsi="Segoe UI" w:cs="Segoe UI" w:hint="default"/>
      <w:sz w:val="18"/>
      <w:szCs w:val="18"/>
    </w:rPr>
  </w:style>
  <w:style w:type="character" w:customStyle="1" w:styleId="normaltextrun">
    <w:name w:val="normaltextrun"/>
    <w:basedOn w:val="DefaultParagraphFont"/>
    <w:rsid w:val="00806F2C"/>
  </w:style>
  <w:style w:type="paragraph" w:styleId="Revision">
    <w:name w:val="Revision"/>
    <w:hidden/>
    <w:uiPriority w:val="99"/>
    <w:semiHidden/>
    <w:rsid w:val="00F6603A"/>
    <w:rPr>
      <w:rFonts w:asciiTheme="minorHAnsi" w:hAnsiTheme="minorHAnsi"/>
      <w:sz w:val="22"/>
      <w:szCs w:val="24"/>
    </w:rPr>
  </w:style>
  <w:style w:type="character" w:styleId="Mention">
    <w:name w:val="Mention"/>
    <w:basedOn w:val="DefaultParagraphFont"/>
    <w:uiPriority w:val="99"/>
    <w:unhideWhenUsed/>
    <w:rsid w:val="001221FF"/>
    <w:rPr>
      <w:color w:val="2B579A"/>
      <w:shd w:val="clear" w:color="auto" w:fill="E1DFDD"/>
    </w:rPr>
  </w:style>
  <w:style w:type="paragraph" w:customStyle="1" w:styleId="AppendixCheading2">
    <w:name w:val="Appendix C heading 2"/>
    <w:basedOn w:val="Heading2"/>
    <w:next w:val="Normal"/>
    <w:link w:val="AppendixCheading2Char"/>
    <w:qFormat/>
    <w:rsid w:val="00C647BD"/>
    <w:pPr>
      <w:numPr>
        <w:numId w:val="40"/>
      </w:numPr>
      <w:tabs>
        <w:tab w:val="clear" w:pos="422"/>
        <w:tab w:val="left" w:pos="630"/>
      </w:tabs>
    </w:pPr>
  </w:style>
  <w:style w:type="paragraph" w:customStyle="1" w:styleId="AppendixHeading3">
    <w:name w:val="Appendix Heading 3"/>
    <w:basedOn w:val="Heading3"/>
    <w:next w:val="Normal"/>
    <w:link w:val="AppendixHeading3Char"/>
    <w:qFormat/>
    <w:rsid w:val="009834D2"/>
    <w:pPr>
      <w:numPr>
        <w:numId w:val="40"/>
      </w:numPr>
    </w:pPr>
  </w:style>
  <w:style w:type="character" w:customStyle="1" w:styleId="AppendixCheading2Char">
    <w:name w:val="Appendix C heading 2 Char"/>
    <w:basedOn w:val="Heading2Char"/>
    <w:link w:val="AppendixCheading2"/>
    <w:rsid w:val="00C647BD"/>
    <w:rPr>
      <w:rFonts w:asciiTheme="minorHAnsi" w:eastAsiaTheme="majorEastAsia" w:hAnsiTheme="minorHAnsi" w:cstheme="majorBidi"/>
      <w:b/>
      <w:sz w:val="22"/>
      <w:szCs w:val="26"/>
    </w:rPr>
  </w:style>
  <w:style w:type="paragraph" w:customStyle="1" w:styleId="AppendixHeading1">
    <w:name w:val="Appendix Heading 1"/>
    <w:basedOn w:val="Heading1"/>
    <w:next w:val="Normal"/>
    <w:link w:val="AppendixHeading1Char"/>
    <w:qFormat/>
    <w:rsid w:val="00877276"/>
    <w:pPr>
      <w:numPr>
        <w:numId w:val="40"/>
      </w:numPr>
    </w:pPr>
  </w:style>
  <w:style w:type="character" w:customStyle="1" w:styleId="AppendixHeading3Char">
    <w:name w:val="Appendix Heading 3 Char"/>
    <w:basedOn w:val="Heading2Char"/>
    <w:link w:val="AppendixHeading3"/>
    <w:rsid w:val="002059D3"/>
    <w:rPr>
      <w:rFonts w:asciiTheme="minorHAnsi" w:eastAsiaTheme="majorEastAsia" w:hAnsiTheme="minorHAnsi" w:cstheme="majorBidi"/>
      <w:b/>
      <w:i/>
      <w:sz w:val="22"/>
      <w:szCs w:val="24"/>
    </w:rPr>
  </w:style>
  <w:style w:type="character" w:customStyle="1" w:styleId="AppendixHeading1Char">
    <w:name w:val="Appendix Heading 1 Char"/>
    <w:basedOn w:val="Heading1Char"/>
    <w:link w:val="AppendixHeading1"/>
    <w:rsid w:val="002059D3"/>
    <w:rPr>
      <w:rFonts w:asciiTheme="minorHAnsi" w:eastAsiaTheme="majorEastAsia" w:hAnsiTheme="minorHAnsi" w:cstheme="majorBidi"/>
      <w:b/>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footer" Target="footer1.xml" /><Relationship Id="rId12" Type="http://schemas.openxmlformats.org/officeDocument/2006/relationships/image" Target="media/image2.png" /><Relationship Id="rId13" Type="http://schemas.openxmlformats.org/officeDocument/2006/relationships/hyperlink" Target="https://www.ferc.gov/power-sales-and-markets/rtos-and-isos" TargetMode="External" /><Relationship Id="rId14" Type="http://schemas.openxmlformats.org/officeDocument/2006/relationships/hyperlink" Target="https://www.pjm.com/markets-and-operations/demand-response/csps" TargetMode="External" /><Relationship Id="rId15" Type="http://schemas.openxmlformats.org/officeDocument/2006/relationships/hyperlink" Target="http://www.caiso.com/documents/listofdemandresponseparticipants.pdf" TargetMode="External" /><Relationship Id="rId16" Type="http://schemas.openxmlformats.org/officeDocument/2006/relationships/hyperlink" Target="https://www.ercot.com/services/programs/load" TargetMode="External" /><Relationship Id="rId17" Type="http://schemas.openxmlformats.org/officeDocument/2006/relationships/hyperlink" Target="https://www.potomaceconomics.com/wp-content/uploads/2021/05/2020-MISO-SOM_Report_Body_Compiled_Final_rev-6-1-21.pdf" TargetMode="External" /><Relationship Id="rId18" Type="http://schemas.openxmlformats.org/officeDocument/2006/relationships/hyperlink" Target="https://www.nyiso.com/documents/20142/1398619/Demand-Response-Providers-List.pdf/a9943929-edf6-4b5a-c16f-2c42bdebd18d" TargetMode="External" /><Relationship Id="rId19" Type="http://schemas.openxmlformats.org/officeDocument/2006/relationships/hyperlink" Target="https://www.iso-ne.com/markets-operations/markets/demand-resources/about" TargetMode="External" /><Relationship Id="rId2" Type="http://schemas.openxmlformats.org/officeDocument/2006/relationships/settings" Target="settings.xml" /><Relationship Id="rId20" Type="http://schemas.openxmlformats.org/officeDocument/2006/relationships/hyperlink" Target="https://www.energy.gov/eere/femp/demand-response-and-time-variable-pricing-programs-southeastern-and-midwestern-states" TargetMode="External" /><Relationship Id="rId21" Type="http://schemas.openxmlformats.org/officeDocument/2006/relationships/hyperlink" Target="https://www.epa.gov/air-emissions-inventories/national-emissions-inventory-nei" TargetMode="External" /><Relationship Id="rId22" Type="http://schemas.openxmlformats.org/officeDocument/2006/relationships/hyperlink" Target="https://cfpub.epa.gov/webfire/" TargetMode="External" /><Relationship Id="rId23" Type="http://schemas.openxmlformats.org/officeDocument/2006/relationships/hyperlink" Target="https://dev.epacdx.net/FAQ/ViewDocument?documentNumber=Phx8CgcKgTs%3D" TargetMode="External" /><Relationship Id="rId24" Type="http://schemas.openxmlformats.org/officeDocument/2006/relationships/hyperlink" Target="https://www.ewg.org/news-insights/news/pfas-nation-toxic-discharges-suspected-almost-500-industrial-facilities-across"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air-emissions-inventories/2020-nei-supporting-data-and-summaries" TargetMode="External" /><Relationship Id="rId2" Type="http://schemas.openxmlformats.org/officeDocument/2006/relationships/hyperlink" Target="https://www.epa.gov/air-emissions-inventories/2017-national-emissions-inventory-nei-data" TargetMode="External" /><Relationship Id="rId3" Type="http://schemas.openxmlformats.org/officeDocument/2006/relationships/hyperlink" Target="https://www.epa.gov/enviro/icis-air-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2022-10-17T12:48:05+00:00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c81a07b-2486-47a3-a2a5-b2c404b6cf2a">
      <UserInfo>
        <DisplayName>Schultz, Eric</DisplayName>
        <AccountId>39</AccountId>
        <AccountType/>
      </UserInfo>
      <UserInfo>
        <DisplayName>Bernales, Barbara</DisplayName>
        <AccountId>38</AccountId>
        <AccountType/>
      </UserInfo>
      <UserInfo>
        <DisplayName>Sorrels, Larry</DisplayName>
        <AccountId>37</AccountId>
        <AccountType/>
      </UserInfo>
      <UserInfo>
        <DisplayName>Mills, Derek</DisplayName>
        <AccountId>40</AccountId>
        <AccountType/>
      </UserInfo>
      <UserInfo>
        <DisplayName>Jordan, Scott</DisplayName>
        <AccountId>41</AccountId>
        <AccountType/>
      </UserInfo>
      <UserInfo>
        <DisplayName>Vanakkeren, Brett</DisplayName>
        <AccountId>42</AccountId>
        <AccountType/>
      </UserInfo>
      <UserInfo>
        <DisplayName>Brown, Kelly</DisplayName>
        <AccountId>10</AccountId>
        <AccountType/>
      </UserInfo>
      <UserInfo>
        <DisplayName>Houyoux, Marc</DisplayName>
        <AccountId>6</AccountId>
        <AccountType/>
      </UserInfo>
      <UserInfo>
        <DisplayName>Strum, Madeleine</DisplayName>
        <AccountId>43</AccountId>
        <AccountType/>
      </UserInfo>
      <UserInfo>
        <DisplayName>Godfrey, Janice</DisplayName>
        <AccountId>44</AccountId>
        <AccountType/>
      </UserInfo>
      <UserInfo>
        <DisplayName>McGrath, Daniel (he/him/his)</DisplayName>
        <AccountId>48</AccountId>
        <AccountType/>
      </UserInfo>
      <UserInfo>
        <DisplayName>Ling, Michael</DisplayName>
        <AccountId>51</AccountId>
        <AccountType/>
      </UserInfo>
      <UserInfo>
        <DisplayName>Averback, Jonathan</DisplayName>
        <AccountId>52</AccountId>
        <AccountType/>
      </UserInfo>
      <UserInfo>
        <DisplayName>Evans, DavidA</DisplayName>
        <AccountId>49</AccountId>
        <AccountType/>
      </UserInfo>
      <UserInfo>
        <DisplayName>Hemby, James</DisplayName>
        <AccountId>35</AccountId>
        <AccountType/>
      </UserInfo>
      <UserInfo>
        <DisplayName>Lau, Peiley</DisplayName>
        <AccountId>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E13D7B3E0764EBAF0ED43D1844FE5" ma:contentTypeVersion="4" ma:contentTypeDescription="Create a new document." ma:contentTypeScope="" ma:versionID="b4e551b1d56318bc9cfd050cd07283b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8a4d002-b39b-4ac7-9cb8-7302f8e71712" xmlns:ns6="3c81a07b-2486-47a3-a2a5-b2c404b6cf2a" targetNamespace="http://schemas.microsoft.com/office/2006/metadata/properties" ma:root="true" ma:fieldsID="8c2d24dbe0d333d7b184ad8f37ec6160" ns1:_="" ns2:_="" ns3:_="" ns4:_="" ns5:_="" ns6:_="">
    <xsd:import namespace="http://schemas.microsoft.com/sharepoint/v3"/>
    <xsd:import namespace="4ffa91fb-a0ff-4ac5-b2db-65c790d184a4"/>
    <xsd:import namespace="http://schemas.microsoft.com/sharepoint.v3"/>
    <xsd:import namespace="http://schemas.microsoft.com/sharepoint/v3/fields"/>
    <xsd:import namespace="e8a4d002-b39b-4ac7-9cb8-7302f8e71712"/>
    <xsd:import namespace="3c81a07b-2486-47a3-a2a5-b2c404b6cf2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9faa09-9b6f-4a34-8c39-76975034ff94}" ma:internalName="TaxCatchAllLabel" ma:readOnly="true" ma:showField="CatchAllDataLabel" ma:web="3c81a07b-2486-47a3-a2a5-b2c404b6cf2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9faa09-9b6f-4a34-8c39-76975034ff94}" ma:internalName="TaxCatchAll" ma:showField="CatchAllData" ma:web="3c81a07b-2486-47a3-a2a5-b2c404b6cf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4d002-b39b-4ac7-9cb8-7302f8e717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1a07b-2486-47a3-a2a5-b2c404b6cf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E028F0E-F816-4326-8C16-1EF1CBED5CA7}">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3c81a07b-2486-47a3-a2a5-b2c404b6cf2a"/>
    <ds:schemaRef ds:uri="e8a4d002-b39b-4ac7-9cb8-7302f8e71712"/>
    <ds:schemaRef ds:uri="http://schemas.microsoft.com/sharepoint/v3"/>
    <ds:schemaRef ds:uri="http://schemas.microsoft.com/sharepoint/v3/fields"/>
    <ds:schemaRef ds:uri="http://purl.org/dc/term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54338F0E-96DC-4182-AE1E-6BA081B1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8a4d002-b39b-4ac7-9cb8-7302f8e71712"/>
    <ds:schemaRef ds:uri="3c81a07b-2486-47a3-a2a5-b2c404b6c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82222-183C-4D6C-B925-782F7E5FD764}">
  <ds:schemaRefs>
    <ds:schemaRef ds:uri="http://schemas.openxmlformats.org/officeDocument/2006/bibliography"/>
  </ds:schemaRefs>
</ds:datastoreItem>
</file>

<file path=customXml/itemProps4.xml><?xml version="1.0" encoding="utf-8"?>
<ds:datastoreItem xmlns:ds="http://schemas.openxmlformats.org/officeDocument/2006/customXml" ds:itemID="{055F3E4E-5C9D-4287-9984-C7C4ED928953}">
  <ds:schemaRefs>
    <ds:schemaRef ds:uri="http://schemas.microsoft.com/sharepoint/v3/contenttype/forms"/>
  </ds:schemaRefs>
</ds:datastoreItem>
</file>

<file path=customXml/itemProps5.xml><?xml version="1.0" encoding="utf-8"?>
<ds:datastoreItem xmlns:ds="http://schemas.openxmlformats.org/officeDocument/2006/customXml" ds:itemID="{0EDDDDAE-D241-4DBD-9676-BDA4D0A9C3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27017</TotalTime>
  <Pages>79</Pages>
  <Words>32447</Words>
  <Characters>183457</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dbeaureg</dc:creator>
  <cp:lastModifiedBy>Houyoux, Marc</cp:lastModifiedBy>
  <cp:revision>503</cp:revision>
  <cp:lastPrinted>2023-07-05T22:20:00Z</cp:lastPrinted>
  <dcterms:created xsi:type="dcterms:W3CDTF">2022-01-26T18:10:00Z</dcterms:created>
  <dcterms:modified xsi:type="dcterms:W3CDTF">2023-07-05T22:21:00Z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0x010100CEEE13D7B3E0764EBAF0ED43D1844FE5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