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5B55" w:rsidR="00232965" w:rsidP="00232965" w:rsidRDefault="00232965" w14:paraId="2BAA5368" w14:textId="77777777">
      <w:pPr>
        <w:jc w:val="center"/>
        <w:outlineLvl w:val="0"/>
        <w:rPr>
          <w:b/>
          <w:sz w:val="32"/>
          <w:szCs w:val="32"/>
        </w:rPr>
      </w:pPr>
      <w:r w:rsidRPr="001F5B55">
        <w:rPr>
          <w:b/>
          <w:sz w:val="32"/>
          <w:szCs w:val="32"/>
        </w:rPr>
        <w:t>Department of Transportation</w:t>
      </w:r>
    </w:p>
    <w:p w:rsidRPr="001F5B55" w:rsidR="00232965" w:rsidP="00232965" w:rsidRDefault="00232965" w14:paraId="404E8C48" w14:textId="77777777">
      <w:pPr>
        <w:jc w:val="center"/>
        <w:outlineLvl w:val="0"/>
        <w:rPr>
          <w:b/>
          <w:sz w:val="32"/>
          <w:szCs w:val="32"/>
        </w:rPr>
      </w:pPr>
      <w:r w:rsidRPr="001F5B55">
        <w:rPr>
          <w:b/>
          <w:sz w:val="32"/>
          <w:szCs w:val="32"/>
        </w:rPr>
        <w:t>Office of the Chief Information Officer</w:t>
      </w:r>
    </w:p>
    <w:p w:rsidRPr="001F5B55" w:rsidR="00232965" w:rsidP="00232965" w:rsidRDefault="00232965" w14:paraId="20687548" w14:textId="77777777"/>
    <w:p w:rsidRPr="001F5B55" w:rsidR="00232965" w:rsidP="00232965" w:rsidRDefault="00232965" w14:paraId="62681DCD" w14:textId="77777777">
      <w:pPr>
        <w:jc w:val="center"/>
        <w:outlineLvl w:val="0"/>
        <w:rPr>
          <w:b/>
          <w:u w:val="single"/>
        </w:rPr>
      </w:pPr>
    </w:p>
    <w:p w:rsidRPr="001F5B55" w:rsidR="00232965" w:rsidP="00232965" w:rsidRDefault="00232965" w14:paraId="4F4C28B9" w14:textId="77777777">
      <w:pPr>
        <w:jc w:val="center"/>
        <w:outlineLvl w:val="0"/>
        <w:rPr>
          <w:b/>
        </w:rPr>
      </w:pPr>
      <w:r w:rsidRPr="001F5B55">
        <w:rPr>
          <w:b/>
          <w:u w:val="single"/>
        </w:rPr>
        <w:t>SUPPORTING STATEMENT:</w:t>
      </w:r>
      <w:r w:rsidRPr="001F5B55">
        <w:rPr>
          <w:b/>
        </w:rPr>
        <w:t xml:space="preserve"> </w:t>
      </w:r>
    </w:p>
    <w:p w:rsidRPr="001F5B55" w:rsidR="00232965" w:rsidP="00232965" w:rsidRDefault="00232965" w14:paraId="37C32696" w14:textId="77777777">
      <w:pPr>
        <w:jc w:val="center"/>
        <w:outlineLvl w:val="0"/>
        <w:rPr>
          <w:b/>
        </w:rPr>
      </w:pPr>
    </w:p>
    <w:p w:rsidRPr="001F5B55" w:rsidR="00232965" w:rsidP="00232965" w:rsidRDefault="00D803B2" w14:paraId="54AC191D" w14:textId="77777777">
      <w:pPr>
        <w:jc w:val="center"/>
        <w:rPr>
          <w:b/>
        </w:rPr>
      </w:pPr>
      <w:r>
        <w:rPr>
          <w:b/>
        </w:rPr>
        <w:t xml:space="preserve">Office of </w:t>
      </w:r>
      <w:r w:rsidR="00232965">
        <w:rPr>
          <w:b/>
        </w:rPr>
        <w:t>Aviation Consumer Protection Webpage</w:t>
      </w:r>
      <w:r w:rsidR="001617FB">
        <w:rPr>
          <w:b/>
        </w:rPr>
        <w:t xml:space="preserve"> On</w:t>
      </w:r>
      <w:r w:rsidR="008414E1">
        <w:rPr>
          <w:b/>
        </w:rPr>
        <w:t>l</w:t>
      </w:r>
      <w:r w:rsidR="001617FB">
        <w:rPr>
          <w:b/>
        </w:rPr>
        <w:t>ine</w:t>
      </w:r>
      <w:r w:rsidR="00232965">
        <w:rPr>
          <w:b/>
        </w:rPr>
        <w:t xml:space="preserve"> </w:t>
      </w:r>
      <w:r w:rsidR="00C52786">
        <w:rPr>
          <w:b/>
        </w:rPr>
        <w:t xml:space="preserve">Aviation </w:t>
      </w:r>
      <w:r w:rsidR="00232965">
        <w:rPr>
          <w:b/>
        </w:rPr>
        <w:t>Complaint Form</w:t>
      </w:r>
    </w:p>
    <w:p w:rsidRPr="001F5B55" w:rsidR="00232965" w:rsidP="00232965" w:rsidRDefault="00232965" w14:paraId="694C5875" w14:textId="77777777">
      <w:pPr>
        <w:jc w:val="center"/>
        <w:rPr>
          <w:b/>
        </w:rPr>
      </w:pPr>
    </w:p>
    <w:p w:rsidRPr="001F5B55" w:rsidR="00232965" w:rsidP="00232965" w:rsidRDefault="00232965" w14:paraId="30EA6210" w14:textId="77777777">
      <w:pPr>
        <w:jc w:val="center"/>
        <w:outlineLvl w:val="0"/>
        <w:rPr>
          <w:b/>
          <w:u w:val="single"/>
        </w:rPr>
      </w:pPr>
      <w:r w:rsidRPr="001F5B55">
        <w:t>OMB Control Number</w:t>
      </w:r>
      <w:r w:rsidRPr="001F5B55">
        <w:rPr>
          <w:b/>
        </w:rPr>
        <w:t xml:space="preserve"> </w:t>
      </w:r>
      <w:r w:rsidR="006E1AA1">
        <w:rPr>
          <w:rFonts w:cs="Arial"/>
          <w:sz w:val="22"/>
          <w:szCs w:val="22"/>
        </w:rPr>
        <w:t>2105-0568</w:t>
      </w:r>
    </w:p>
    <w:p w:rsidR="00232965" w:rsidP="00287240" w:rsidRDefault="00232965" w14:paraId="2AC0C652" w14:textId="77777777">
      <w:pPr>
        <w:rPr>
          <w:b/>
        </w:rPr>
      </w:pPr>
    </w:p>
    <w:p w:rsidR="00900B8A" w:rsidP="00900B8A" w:rsidRDefault="00287240" w14:paraId="40850EB5" w14:textId="77777777">
      <w:pPr>
        <w:rPr>
          <w:b/>
        </w:rPr>
      </w:pPr>
      <w:r>
        <w:rPr>
          <w:b/>
        </w:rPr>
        <w:t xml:space="preserve">SUMMARY:  </w:t>
      </w:r>
    </w:p>
    <w:p w:rsidR="00900B8A" w:rsidP="00900B8A" w:rsidRDefault="00900B8A" w14:paraId="4B920434" w14:textId="77777777">
      <w:pPr>
        <w:rPr>
          <w:b/>
        </w:rPr>
      </w:pPr>
    </w:p>
    <w:p w:rsidR="00277C2C" w:rsidP="00900B8A" w:rsidRDefault="00277C2C" w14:paraId="3BB81F8C" w14:textId="77777777">
      <w:r>
        <w:t>The Department of Transportation</w:t>
      </w:r>
      <w:r w:rsidR="00D75375">
        <w:t xml:space="preserve"> (Department)</w:t>
      </w:r>
      <w:r>
        <w:t xml:space="preserve"> is seeking</w:t>
      </w:r>
      <w:r w:rsidR="006E1AA1">
        <w:t xml:space="preserve"> to reinstate</w:t>
      </w:r>
      <w:r>
        <w:t xml:space="preserve"> an OMB co</w:t>
      </w:r>
      <w:r w:rsidR="006E1AA1">
        <w:t>ntrol number for the</w:t>
      </w:r>
      <w:r w:rsidR="00D803B2">
        <w:t xml:space="preserve"> Office of</w:t>
      </w:r>
      <w:r w:rsidR="006E1AA1">
        <w:t xml:space="preserve"> Aviation Consumer Protection’s</w:t>
      </w:r>
      <w:r w:rsidR="00155C91">
        <w:t xml:space="preserve"> </w:t>
      </w:r>
      <w:r w:rsidR="006E1AA1">
        <w:t>On</w:t>
      </w:r>
      <w:r w:rsidR="001D21ED">
        <w:t>l</w:t>
      </w:r>
      <w:r w:rsidR="006E1AA1">
        <w:t>ine Aviation Complaint</w:t>
      </w:r>
      <w:r w:rsidR="00155C91">
        <w:t>/Comment</w:t>
      </w:r>
      <w:r w:rsidR="006E1AA1">
        <w:t xml:space="preserve"> Form</w:t>
      </w:r>
      <w:r w:rsidR="00494677">
        <w:t xml:space="preserve"> (OST Docket No. DOT-OST-2011-0022)</w:t>
      </w:r>
      <w:r>
        <w:t>.</w:t>
      </w:r>
    </w:p>
    <w:p w:rsidR="00277C2C" w:rsidP="00900B8A" w:rsidRDefault="00277C2C" w14:paraId="219F23D7" w14:textId="77777777"/>
    <w:p w:rsidR="00D0535B" w:rsidP="00900B8A" w:rsidRDefault="00522CC6" w14:paraId="712EAABF" w14:textId="7573D5F2">
      <w:r>
        <w:t>The</w:t>
      </w:r>
      <w:r w:rsidR="009D54E0">
        <w:t xml:space="preserve"> </w:t>
      </w:r>
      <w:r w:rsidR="00D75375">
        <w:t>Department</w:t>
      </w:r>
      <w:r w:rsidR="005B461F">
        <w:t>’s Office</w:t>
      </w:r>
      <w:r>
        <w:t xml:space="preserve"> </w:t>
      </w:r>
      <w:r w:rsidR="00D803B2">
        <w:t xml:space="preserve">of </w:t>
      </w:r>
      <w:r>
        <w:t>Aviation</w:t>
      </w:r>
      <w:r w:rsidR="005B461F">
        <w:t xml:space="preserve"> Consumer Protection</w:t>
      </w:r>
      <w:r w:rsidR="00155C91">
        <w:t xml:space="preserve"> (</w:t>
      </w:r>
      <w:r w:rsidR="00D803B2">
        <w:t>OA</w:t>
      </w:r>
      <w:r w:rsidR="005B461F">
        <w:t>CP</w:t>
      </w:r>
      <w:r w:rsidR="00155C91">
        <w:t>)</w:t>
      </w:r>
      <w:r>
        <w:t>, monitors compliance with and investigates violations of the Department’s aviation economic</w:t>
      </w:r>
      <w:r w:rsidR="00457AC3">
        <w:t xml:space="preserve"> requirements, including consumer protection </w:t>
      </w:r>
      <w:r>
        <w:t xml:space="preserve">and civil rights requirements. The </w:t>
      </w:r>
      <w:r w:rsidR="00D803B2">
        <w:t>OACP</w:t>
      </w:r>
      <w:r>
        <w:t xml:space="preserve">’s </w:t>
      </w:r>
      <w:r w:rsidR="005B771C">
        <w:t>website</w:t>
      </w:r>
      <w:r w:rsidR="00287240">
        <w:t xml:space="preserve"> has an online form by which a consumer can electronically submit a service-related complaint against an air carrier</w:t>
      </w:r>
      <w:r w:rsidR="00BD1FF4">
        <w:t xml:space="preserve"> or air travel-related companies</w:t>
      </w:r>
      <w:r w:rsidR="00287240">
        <w:t>.</w:t>
      </w:r>
      <w:r w:rsidRPr="00F4138B" w:rsidR="00F4138B">
        <w:t xml:space="preserve"> </w:t>
      </w:r>
      <w:r w:rsidR="00155C91">
        <w:t xml:space="preserve">In </w:t>
      </w:r>
      <w:r w:rsidR="00BD1FF4">
        <w:t>addition</w:t>
      </w:r>
      <w:r w:rsidR="00155C91">
        <w:t xml:space="preserve">, consumers </w:t>
      </w:r>
      <w:r w:rsidR="00BD1FF4">
        <w:t xml:space="preserve">may </w:t>
      </w:r>
      <w:r w:rsidR="00F4138B">
        <w:t xml:space="preserve">use the form to give a description of a specific air-travel related problem or to ask for air-travel related information from the </w:t>
      </w:r>
      <w:r w:rsidR="00D803B2">
        <w:t>OACP</w:t>
      </w:r>
      <w:r w:rsidR="00F4138B">
        <w:t xml:space="preserve">. </w:t>
      </w:r>
      <w:r w:rsidRPr="00155C91" w:rsidR="00155C91">
        <w:t>Based on</w:t>
      </w:r>
      <w:r w:rsidR="00B473F9">
        <w:t xml:space="preserve"> Calendar Year (</w:t>
      </w:r>
      <w:r w:rsidRPr="00155C91" w:rsidR="00155C91">
        <w:t>CY</w:t>
      </w:r>
      <w:r w:rsidR="00B473F9">
        <w:t xml:space="preserve">) </w:t>
      </w:r>
      <w:r w:rsidR="00D803B2">
        <w:t>17-19</w:t>
      </w:r>
      <w:r w:rsidRPr="00155C91" w:rsidR="00155C91">
        <w:t xml:space="preserve"> information</w:t>
      </w:r>
      <w:r w:rsidRPr="00155C91" w:rsidR="00155C91">
        <w:rPr>
          <w:vertAlign w:val="superscript"/>
        </w:rPr>
        <w:footnoteReference w:id="1"/>
      </w:r>
      <w:r w:rsidR="004A21EB">
        <w:t>,</w:t>
      </w:r>
      <w:r w:rsidRPr="00155C91" w:rsidR="00155C91">
        <w:t xml:space="preserve"> </w:t>
      </w:r>
      <w:r w:rsidR="00D803B2">
        <w:t>14,713</w:t>
      </w:r>
      <w:r w:rsidRPr="00155C91" w:rsidR="00155C91">
        <w:t xml:space="preserve"> of the </w:t>
      </w:r>
      <w:r w:rsidR="00D803B2">
        <w:t>16,348 averaged</w:t>
      </w:r>
      <w:r w:rsidRPr="00155C91" w:rsidR="00155C91">
        <w:t xml:space="preserve"> total cases (includes complaints and comments) received by the </w:t>
      </w:r>
      <w:r w:rsidR="00BD1FF4">
        <w:t>Office of Aviation Consumer Protection</w:t>
      </w:r>
      <w:r w:rsidRPr="00155C91" w:rsidR="00155C91">
        <w:t xml:space="preserve"> were submitted using the electronic online form (</w:t>
      </w:r>
      <w:r w:rsidR="00D803B2">
        <w:t>approx. 90</w:t>
      </w:r>
      <w:r w:rsidRPr="00155C91" w:rsidR="00155C91">
        <w:t>%)</w:t>
      </w:r>
      <w:r w:rsidR="00D803B2">
        <w:t>, of which</w:t>
      </w:r>
      <w:r w:rsidR="00E922FC">
        <w:t xml:space="preserve"> </w:t>
      </w:r>
      <w:r w:rsidR="00D803B2">
        <w:t>t</w:t>
      </w:r>
      <w:r w:rsidRPr="00155C91" w:rsidR="00155C91">
        <w:t xml:space="preserve">he vast majority of the submissions are complaints. </w:t>
      </w:r>
      <w:r w:rsidR="00277C2C">
        <w:t xml:space="preserve">The </w:t>
      </w:r>
      <w:r w:rsidR="00752089">
        <w:t>remaining complaints</w:t>
      </w:r>
      <w:r w:rsidR="006E1AA1">
        <w:t xml:space="preserve"> and cases</w:t>
      </w:r>
      <w:r w:rsidR="00752089">
        <w:t xml:space="preserve"> are</w:t>
      </w:r>
      <w:r w:rsidR="000773ED">
        <w:t xml:space="preserve"> received by letter</w:t>
      </w:r>
      <w:r w:rsidR="00752089">
        <w:t>,</w:t>
      </w:r>
      <w:r w:rsidR="006B3558">
        <w:t xml:space="preserve"> </w:t>
      </w:r>
      <w:r w:rsidR="00752089">
        <w:t>email,</w:t>
      </w:r>
      <w:r w:rsidR="000773ED">
        <w:t xml:space="preserve"> and in some cases by telephone.</w:t>
      </w:r>
      <w:r w:rsidR="00D0535B">
        <w:t xml:space="preserve"> </w:t>
      </w:r>
    </w:p>
    <w:p w:rsidR="00D0535B" w:rsidP="00900B8A" w:rsidRDefault="00D0535B" w14:paraId="265951B5" w14:textId="77777777"/>
    <w:p w:rsidRPr="00287240" w:rsidR="00287240" w:rsidP="00900B8A" w:rsidRDefault="00277C2C" w14:paraId="4BA04B05" w14:textId="77777777">
      <w:r>
        <w:t xml:space="preserve">All </w:t>
      </w:r>
      <w:r w:rsidR="005B771C">
        <w:t>complaints are reviewed</w:t>
      </w:r>
      <w:r w:rsidR="006A4F1E">
        <w:t xml:space="preserve"> </w:t>
      </w:r>
      <w:r w:rsidR="005B771C">
        <w:t xml:space="preserve">to determine the extent to which carriers </w:t>
      </w:r>
      <w:proofErr w:type="gramStart"/>
      <w:r w:rsidR="005B771C">
        <w:t>are in compliance with</w:t>
      </w:r>
      <w:proofErr w:type="gramEnd"/>
      <w:r w:rsidR="005B771C">
        <w:t xml:space="preserve"> federal aviation</w:t>
      </w:r>
      <w:r w:rsidR="000773ED">
        <w:t xml:space="preserve"> consumer protection </w:t>
      </w:r>
      <w:r w:rsidR="003D3E5C">
        <w:t>and civil rights requir</w:t>
      </w:r>
      <w:r w:rsidR="000773ED">
        <w:t>ements</w:t>
      </w:r>
      <w:r w:rsidR="005B771C">
        <w:t xml:space="preserve"> and to determine when enforcement action may be necessary. </w:t>
      </w:r>
      <w:r w:rsidR="00D0535B">
        <w:t xml:space="preserve">The information submitted via the on-line form also serves as a basis for rulemaking, </w:t>
      </w:r>
      <w:proofErr w:type="gramStart"/>
      <w:r w:rsidR="00D0535B">
        <w:t>legislation</w:t>
      </w:r>
      <w:proofErr w:type="gramEnd"/>
      <w:r w:rsidR="00D0535B">
        <w:t xml:space="preserve"> and research. </w:t>
      </w:r>
      <w:r w:rsidR="00AC3968">
        <w:t xml:space="preserve">  </w:t>
      </w:r>
    </w:p>
    <w:p w:rsidRPr="001F5B55" w:rsidR="00232965" w:rsidP="00232965" w:rsidRDefault="00232965" w14:paraId="5F6AD67B" w14:textId="77777777"/>
    <w:p w:rsidR="00232965" w:rsidP="00232965" w:rsidRDefault="00232965" w14:paraId="20B31A75" w14:textId="77777777">
      <w:pPr>
        <w:outlineLvl w:val="0"/>
        <w:rPr>
          <w:b/>
        </w:rPr>
      </w:pPr>
      <w:r w:rsidRPr="001F5B55">
        <w:rPr>
          <w:b/>
        </w:rPr>
        <w:t>JUSTIFICATION</w:t>
      </w:r>
      <w:r w:rsidR="00900B8A">
        <w:rPr>
          <w:b/>
        </w:rPr>
        <w:t>:</w:t>
      </w:r>
    </w:p>
    <w:p w:rsidRPr="001F5B55" w:rsidR="00232965" w:rsidP="00232965" w:rsidRDefault="00232965" w14:paraId="120AB1F4" w14:textId="77777777"/>
    <w:p w:rsidRPr="001F5B55" w:rsidR="00232965" w:rsidP="00232965" w:rsidRDefault="00232965" w14:paraId="3F59A100" w14:textId="77777777">
      <w:r w:rsidRPr="001F5B55">
        <w:t xml:space="preserve">1. </w:t>
      </w:r>
      <w:r w:rsidRPr="001F5B55">
        <w:rPr>
          <w:u w:val="single"/>
        </w:rPr>
        <w:t>Circumstances that make collection of information necessary.</w:t>
      </w:r>
      <w:r w:rsidRPr="001F5B55">
        <w:t xml:space="preserve"> </w:t>
      </w:r>
      <w:r w:rsidRPr="001F5B55">
        <w:rPr>
          <w:b/>
          <w:bCs/>
          <w:i/>
          <w:iCs/>
        </w:rPr>
        <w:t>Explain the circumstances that make the collection of information necessary.  Identify any legal or administrative requirements that necessitate the collection</w:t>
      </w:r>
      <w:r w:rsidRPr="001F5B55">
        <w:t>.</w:t>
      </w:r>
    </w:p>
    <w:p w:rsidRPr="001F5B55" w:rsidR="00232965" w:rsidP="00232965" w:rsidRDefault="00232965" w14:paraId="6C826227" w14:textId="77777777">
      <w:pPr>
        <w:ind w:left="720"/>
      </w:pPr>
    </w:p>
    <w:p w:rsidR="00232965" w:rsidP="00232965" w:rsidRDefault="00232965" w14:paraId="4B38EC3F" w14:textId="1DA9A5C0">
      <w:r w:rsidRPr="001F5B55">
        <w:lastRenderedPageBreak/>
        <w:t>The</w:t>
      </w:r>
      <w:r w:rsidR="00D0535B">
        <w:t xml:space="preserve"> Department’s</w:t>
      </w:r>
      <w:r w:rsidR="00F7638A">
        <w:t xml:space="preserve"> </w:t>
      </w:r>
      <w:r w:rsidR="00D803B2">
        <w:t>OACP</w:t>
      </w:r>
      <w:r w:rsidR="00522CC6">
        <w:t xml:space="preserve"> </w:t>
      </w:r>
      <w:r w:rsidR="00555FB4">
        <w:t xml:space="preserve">has </w:t>
      </w:r>
      <w:r w:rsidR="00691B3C">
        <w:t xml:space="preserve">broad </w:t>
      </w:r>
      <w:r w:rsidR="00555FB4">
        <w:t>authority u</w:t>
      </w:r>
      <w:r w:rsidR="00CD7166">
        <w:t xml:space="preserve">nder </w:t>
      </w:r>
      <w:r w:rsidR="00555FB4">
        <w:t>49</w:t>
      </w:r>
      <w:r w:rsidR="00CD7166">
        <w:t xml:space="preserve"> U.S.C.</w:t>
      </w:r>
      <w:r w:rsidR="00020C22">
        <w:t>, Subtitle VII</w:t>
      </w:r>
      <w:r w:rsidR="00555FB4">
        <w:t>,</w:t>
      </w:r>
      <w:r w:rsidR="005D7368">
        <w:t xml:space="preserve"> to investigate and enforce</w:t>
      </w:r>
      <w:r w:rsidR="00555FB4">
        <w:t xml:space="preserve"> consumer pro</w:t>
      </w:r>
      <w:r w:rsidR="000773ED">
        <w:t>tection and civil rights laws</w:t>
      </w:r>
      <w:r w:rsidR="00555FB4">
        <w:t xml:space="preserve"> and regulations related to air transportation.</w:t>
      </w:r>
      <w:r w:rsidR="000773ED">
        <w:t xml:space="preserve">  Each disability-relate</w:t>
      </w:r>
      <w:r w:rsidR="00627551">
        <w:t>d complaint must be investigated</w:t>
      </w:r>
      <w:r w:rsidR="000773ED">
        <w:t xml:space="preserve"> as required by 49 U.S.C. § 41705.</w:t>
      </w:r>
      <w:r w:rsidR="00D0535B">
        <w:t xml:space="preserve"> </w:t>
      </w:r>
      <w:r w:rsidR="00531D5D">
        <w:t xml:space="preserve">Among other things, </w:t>
      </w:r>
      <w:r w:rsidR="00D75375">
        <w:t xml:space="preserve">OACP </w:t>
      </w:r>
      <w:r w:rsidR="000773ED">
        <w:t>is</w:t>
      </w:r>
      <w:r w:rsidR="00D0535B">
        <w:t xml:space="preserve"> also</w:t>
      </w:r>
      <w:r w:rsidR="00531D5D">
        <w:t xml:space="preserve"> responsible for receiv</w:t>
      </w:r>
      <w:r w:rsidR="00F7638A">
        <w:t xml:space="preserve">ing and investigating </w:t>
      </w:r>
      <w:r w:rsidR="00531D5D">
        <w:t>service-related consumer complaints</w:t>
      </w:r>
      <w:r w:rsidR="00D0535B">
        <w:t xml:space="preserve"> filed against air carriers. </w:t>
      </w:r>
      <w:r w:rsidR="000773ED">
        <w:t xml:space="preserve">To </w:t>
      </w:r>
      <w:r w:rsidR="00485B10">
        <w:t>expedite this process, t</w:t>
      </w:r>
      <w:r w:rsidR="00F4138B">
        <w:t xml:space="preserve">he </w:t>
      </w:r>
      <w:r w:rsidR="00D803B2">
        <w:t>OACP</w:t>
      </w:r>
      <w:r>
        <w:t xml:space="preserve"> has </w:t>
      </w:r>
      <w:r w:rsidR="00277C2C">
        <w:t xml:space="preserve">provided the public with </w:t>
      </w:r>
      <w:r>
        <w:t>a</w:t>
      </w:r>
      <w:r w:rsidR="00485B10">
        <w:t>n online form</w:t>
      </w:r>
      <w:r w:rsidR="00D0535B">
        <w:t>, via</w:t>
      </w:r>
      <w:r w:rsidR="00485B10">
        <w:t xml:space="preserve"> its</w:t>
      </w:r>
      <w:r>
        <w:t xml:space="preserve"> website</w:t>
      </w:r>
      <w:r w:rsidR="00277C2C">
        <w:t>,</w:t>
      </w:r>
      <w:r>
        <w:t xml:space="preserve"> by which a consumer can </w:t>
      </w:r>
      <w:r w:rsidR="00522CC6">
        <w:t xml:space="preserve">electronically </w:t>
      </w:r>
      <w:r>
        <w:t>file</w:t>
      </w:r>
      <w:r w:rsidR="00F7638A">
        <w:t xml:space="preserve"> such</w:t>
      </w:r>
      <w:r w:rsidR="00485B10">
        <w:t xml:space="preserve"> a complaint</w:t>
      </w:r>
      <w:r w:rsidR="00F7638A">
        <w:t xml:space="preserve"> </w:t>
      </w:r>
      <w:r>
        <w:t>against an air carrier</w:t>
      </w:r>
      <w:r w:rsidR="00555FB4">
        <w:t>.</w:t>
      </w:r>
      <w:r w:rsidR="00D0535B">
        <w:t xml:space="preserve"> See, </w:t>
      </w:r>
      <w:hyperlink w:history="1" r:id="rId8">
        <w:r w:rsidRPr="00481449" w:rsidR="00D0535B">
          <w:rPr>
            <w:rStyle w:val="Hyperlink"/>
          </w:rPr>
          <w:t>https://www.transportation.gov/airconsumer/file-consumer-complaint</w:t>
        </w:r>
      </w:hyperlink>
      <w:r w:rsidR="00D0535B">
        <w:t xml:space="preserve">. </w:t>
      </w:r>
      <w:r w:rsidR="00555FB4">
        <w:t xml:space="preserve"> </w:t>
      </w:r>
      <w:r w:rsidR="00485B10">
        <w:t>Once received, the complaints are reviewed</w:t>
      </w:r>
      <w:r w:rsidR="000773ED">
        <w:t xml:space="preserve"> by the</w:t>
      </w:r>
      <w:r w:rsidR="00485B10">
        <w:t xml:space="preserve"> office to determine the extent to which carriers </w:t>
      </w:r>
      <w:proofErr w:type="gramStart"/>
      <w:r w:rsidR="00485B10">
        <w:t>are in compliance with</w:t>
      </w:r>
      <w:proofErr w:type="gramEnd"/>
      <w:r w:rsidR="00485B10">
        <w:t xml:space="preserve"> federal aviation</w:t>
      </w:r>
      <w:r w:rsidR="000773ED">
        <w:t xml:space="preserve"> consumer protection and civil rights laws</w:t>
      </w:r>
      <w:r w:rsidR="00485B10">
        <w:t xml:space="preserve"> and what, if any, action should be taken.</w:t>
      </w:r>
    </w:p>
    <w:p w:rsidRPr="001F5B55" w:rsidR="00232965" w:rsidP="00232965" w:rsidRDefault="00232965" w14:paraId="61CC1449" w14:textId="77777777"/>
    <w:p w:rsidRPr="00587CF6" w:rsidR="00AC3968" w:rsidP="00555FB4" w:rsidRDefault="00232965" w14:paraId="6D3327D5" w14:textId="77777777">
      <w:r w:rsidRPr="001F5B55">
        <w:t>The information collection furthers the objectives of 49 U.S.C. §§</w:t>
      </w:r>
      <w:r w:rsidR="005D7368">
        <w:t xml:space="preserve"> 41712, 40101</w:t>
      </w:r>
      <w:r w:rsidRPr="001F5B55">
        <w:t>,</w:t>
      </w:r>
      <w:r w:rsidR="000773ED">
        <w:t xml:space="preserve"> 40127, </w:t>
      </w:r>
      <w:r w:rsidRPr="001F5B55">
        <w:t>41702</w:t>
      </w:r>
      <w:r w:rsidR="000773ED">
        <w:t>, and 41705</w:t>
      </w:r>
      <w:r w:rsidRPr="001F5B55">
        <w:t xml:space="preserve"> to protect consumers from unfair or deceptive practices,</w:t>
      </w:r>
      <w:r w:rsidR="000773ED">
        <w:t xml:space="preserve"> to protect the civil rights of air travelers,</w:t>
      </w:r>
      <w:r w:rsidRPr="001F5B55">
        <w:t xml:space="preserve"> and to ensure safe and adequate service in air transportation. </w:t>
      </w:r>
    </w:p>
    <w:p w:rsidR="00AC3968" w:rsidP="00232965" w:rsidRDefault="00AC3968" w14:paraId="5E8C051F" w14:textId="77777777"/>
    <w:p w:rsidRPr="001F5B55" w:rsidR="00232965" w:rsidP="00232965" w:rsidRDefault="00232965" w14:paraId="3CAD6216" w14:textId="77777777">
      <w:r w:rsidRPr="001F5B55">
        <w:t xml:space="preserve">2. </w:t>
      </w:r>
      <w:r w:rsidRPr="001F5B55">
        <w:rPr>
          <w:u w:val="single"/>
        </w:rPr>
        <w:t>How, by whom, and for what purpose is the information used</w:t>
      </w:r>
      <w:r w:rsidRPr="001F5B55">
        <w:t>.</w:t>
      </w:r>
      <w:r w:rsidRPr="001F5B55">
        <w:rPr>
          <w:b/>
          <w:bCs/>
          <w:i/>
          <w:iCs/>
        </w:rPr>
        <w:t xml:space="preserve"> Indicate how, by whom, and for what purpose the information is to be used</w:t>
      </w:r>
      <w:r w:rsidRPr="001F5B55">
        <w:t>.</w:t>
      </w:r>
    </w:p>
    <w:p w:rsidRPr="001F5B55" w:rsidR="00232965" w:rsidP="00232965" w:rsidRDefault="00232965" w14:paraId="6298A814" w14:textId="77777777"/>
    <w:p w:rsidR="00232965" w:rsidP="00232965" w:rsidRDefault="00531D5D" w14:paraId="1574E90D" w14:textId="77777777">
      <w:pPr>
        <w:outlineLvl w:val="0"/>
      </w:pPr>
      <w:r>
        <w:t xml:space="preserve">A consumer </w:t>
      </w:r>
      <w:r w:rsidR="00232965">
        <w:t>can file a complaint</w:t>
      </w:r>
      <w:r w:rsidR="00D0535B">
        <w:t xml:space="preserve"> or comment</w:t>
      </w:r>
      <w:r w:rsidR="000773ED">
        <w:t xml:space="preserve"> with the</w:t>
      </w:r>
      <w:r w:rsidR="00CF6BE4">
        <w:t xml:space="preserve"> office</w:t>
      </w:r>
      <w:r>
        <w:t xml:space="preserve"> </w:t>
      </w:r>
      <w:r w:rsidR="00277C2C">
        <w:t xml:space="preserve">by sending a letter using </w:t>
      </w:r>
      <w:r w:rsidR="00CF6BE4">
        <w:t xml:space="preserve">regular mail, </w:t>
      </w:r>
      <w:r w:rsidR="00277C2C">
        <w:t>telephoning</w:t>
      </w:r>
      <w:r>
        <w:t>,</w:t>
      </w:r>
      <w:r w:rsidR="006B3558">
        <w:t xml:space="preserve"> emailing,</w:t>
      </w:r>
      <w:r w:rsidR="00CF6BE4">
        <w:t xml:space="preserve"> or by</w:t>
      </w:r>
      <w:r w:rsidR="00232965">
        <w:t xml:space="preserve"> </w:t>
      </w:r>
      <w:r w:rsidR="00CF6BE4">
        <w:t>filing</w:t>
      </w:r>
      <w:r w:rsidR="00232965">
        <w:t xml:space="preserve"> a </w:t>
      </w:r>
      <w:r w:rsidR="00CF6BE4">
        <w:t>web-based complaint</w:t>
      </w:r>
      <w:r w:rsidRPr="001F5B55" w:rsidR="00232965">
        <w:t xml:space="preserve">. </w:t>
      </w:r>
      <w:r w:rsidR="000773ED">
        <w:t>In C</w:t>
      </w:r>
      <w:r>
        <w:t>Y</w:t>
      </w:r>
      <w:r w:rsidR="005B461F">
        <w:t>s</w:t>
      </w:r>
      <w:r w:rsidR="00D803B2">
        <w:t xml:space="preserve"> 17-19</w:t>
      </w:r>
      <w:r w:rsidR="00F4138B">
        <w:t xml:space="preserve">, </w:t>
      </w:r>
      <w:r w:rsidR="00D803B2">
        <w:t xml:space="preserve">14,713 </w:t>
      </w:r>
      <w:r w:rsidR="00617B86">
        <w:t xml:space="preserve">of the </w:t>
      </w:r>
      <w:r w:rsidR="00D803B2">
        <w:t>16,348</w:t>
      </w:r>
      <w:r w:rsidR="00E922FC">
        <w:t xml:space="preserve"> averaged</w:t>
      </w:r>
      <w:r w:rsidR="00D0535B">
        <w:t xml:space="preserve"> complaints/comments </w:t>
      </w:r>
      <w:r>
        <w:t xml:space="preserve">submitted to </w:t>
      </w:r>
      <w:r w:rsidR="000773ED">
        <w:t>the</w:t>
      </w:r>
      <w:r w:rsidR="00617B86">
        <w:t xml:space="preserve"> office</w:t>
      </w:r>
      <w:r>
        <w:t xml:space="preserve"> were filed using the online complaint</w:t>
      </w:r>
      <w:r w:rsidR="00D0535B">
        <w:t>/comment form (</w:t>
      </w:r>
      <w:r w:rsidR="00D803B2">
        <w:t>approx. 90</w:t>
      </w:r>
      <w:r w:rsidR="00D0535B">
        <w:t>%).</w:t>
      </w:r>
    </w:p>
    <w:p w:rsidR="00232965" w:rsidP="00232965" w:rsidRDefault="00232965" w14:paraId="411D4CC6" w14:textId="77777777"/>
    <w:p w:rsidR="003415B2" w:rsidP="00232965" w:rsidRDefault="00F37611" w14:paraId="1C17127C" w14:textId="77777777">
      <w:r>
        <w:t>All complaints are entered in DOT's computerized aviation industry monitoring system</w:t>
      </w:r>
      <w:r w:rsidR="005F6423">
        <w:t xml:space="preserve"> </w:t>
      </w:r>
      <w:r>
        <w:t xml:space="preserve">and </w:t>
      </w:r>
      <w:r w:rsidR="00277C2C">
        <w:t>attributed</w:t>
      </w:r>
      <w:r>
        <w:t xml:space="preserve"> to the </w:t>
      </w:r>
      <w:r w:rsidR="00D4231E">
        <w:t>airline</w:t>
      </w:r>
      <w:r>
        <w:t xml:space="preserve"> </w:t>
      </w:r>
      <w:r w:rsidR="005F6423">
        <w:t xml:space="preserve">or ticket agent that is the subject of the complaint </w:t>
      </w:r>
      <w:r>
        <w:t xml:space="preserve">in the monthly Air Travel Consumer Report. This report is distributed to the industry and made available to the news media and the </w:t>
      </w:r>
      <w:r w:rsidR="00617B86">
        <w:t>public</w:t>
      </w:r>
      <w:r>
        <w:t xml:space="preserve"> so that consumers and air travel companies can compare the complaint records of individual airlines and </w:t>
      </w:r>
      <w:r w:rsidR="005F6423">
        <w:t>ticket agents</w:t>
      </w:r>
      <w:r>
        <w:t xml:space="preserve">. These complaints are reviewed </w:t>
      </w:r>
      <w:r w:rsidR="00D4231E">
        <w:t xml:space="preserve">by </w:t>
      </w:r>
      <w:r w:rsidR="00316AF7">
        <w:t xml:space="preserve">the Department </w:t>
      </w:r>
      <w:r>
        <w:t xml:space="preserve">to determine the extent to which carriers </w:t>
      </w:r>
      <w:proofErr w:type="gramStart"/>
      <w:r>
        <w:t>are in compliance with</w:t>
      </w:r>
      <w:proofErr w:type="gramEnd"/>
      <w:r>
        <w:t xml:space="preserve"> federal aviation</w:t>
      </w:r>
      <w:r w:rsidR="000773ED">
        <w:t xml:space="preserve"> consumer protection and civil rights requirements</w:t>
      </w:r>
      <w:r w:rsidR="00691B3C">
        <w:t xml:space="preserve"> and to determine when enforcement action may be</w:t>
      </w:r>
      <w:r w:rsidR="00CD7166">
        <w:t xml:space="preserve"> necessary</w:t>
      </w:r>
      <w:r>
        <w:t>.</w:t>
      </w:r>
      <w:r w:rsidR="00617B86">
        <w:t xml:space="preserve"> </w:t>
      </w:r>
      <w:r w:rsidR="005F6423">
        <w:t xml:space="preserve">Complaints are also forwarded to the subject entity for response.  In </w:t>
      </w:r>
      <w:r w:rsidR="00617B86">
        <w:t>appropriate</w:t>
      </w:r>
      <w:r w:rsidR="005F6423">
        <w:t xml:space="preserve"> instances</w:t>
      </w:r>
      <w:r w:rsidR="00617B86">
        <w:t xml:space="preserve">, the office investigates the complaint. </w:t>
      </w:r>
      <w:r>
        <w:t xml:space="preserve">This system also serves as a basis for rulemaking, </w:t>
      </w:r>
      <w:proofErr w:type="gramStart"/>
      <w:r>
        <w:t>legislation</w:t>
      </w:r>
      <w:proofErr w:type="gramEnd"/>
      <w:r>
        <w:t xml:space="preserve"> and research.</w:t>
      </w:r>
      <w:r w:rsidR="00316AF7">
        <w:t xml:space="preserve">  </w:t>
      </w:r>
    </w:p>
    <w:p w:rsidRPr="001F5B55" w:rsidR="00617B86" w:rsidP="00232965" w:rsidRDefault="00617B86" w14:paraId="3C2CEE9F" w14:textId="77777777"/>
    <w:p w:rsidRPr="001F5B55" w:rsidR="00232965" w:rsidP="00232965" w:rsidRDefault="00232965" w14:paraId="22CB1FDB" w14:textId="77777777">
      <w:r w:rsidRPr="001F5B55">
        <w:t xml:space="preserve">3. </w:t>
      </w:r>
      <w:r w:rsidRPr="001F5B55">
        <w:rPr>
          <w:u w:val="single"/>
        </w:rPr>
        <w:t>Extent of automated information collection</w:t>
      </w:r>
      <w:r w:rsidRPr="001F5B55">
        <w:t xml:space="preserve">.  </w:t>
      </w:r>
      <w:r w:rsidRPr="001F5B55">
        <w:rPr>
          <w:b/>
          <w:bCs/>
          <w:i/>
          <w:iCs/>
        </w:rPr>
        <w:t>Describe whether, and to what extent, the collection of information involves the use of automated, electronic, mechanical, or other technological collection techniques or other forms of information technology</w:t>
      </w:r>
      <w:r w:rsidRPr="001F5B55">
        <w:t>.</w:t>
      </w:r>
    </w:p>
    <w:p w:rsidRPr="001F5B55" w:rsidR="00232965" w:rsidP="00232965" w:rsidRDefault="00232965" w14:paraId="6591E315" w14:textId="77777777"/>
    <w:p w:rsidRPr="001F5B55" w:rsidR="00232965" w:rsidP="00232965" w:rsidRDefault="00A62411" w14:paraId="28C18442" w14:textId="77777777">
      <w:r>
        <w:t>Using the online complaint form is the most efficient way for consumers to submit information.  Each consumer’s submission is unique so there is no automation.  C</w:t>
      </w:r>
      <w:r w:rsidR="00CD7166">
        <w:t>onsumer</w:t>
      </w:r>
      <w:r>
        <w:t>s are</w:t>
      </w:r>
      <w:r w:rsidR="00CD7166">
        <w:t xml:space="preserve"> free to determine </w:t>
      </w:r>
      <w:proofErr w:type="gramStart"/>
      <w:r w:rsidR="00CD7166">
        <w:t>whether or not</w:t>
      </w:r>
      <w:proofErr w:type="gramEnd"/>
      <w:r w:rsidR="00CD7166">
        <w:t xml:space="preserve"> </w:t>
      </w:r>
      <w:r w:rsidRPr="001F5B55" w:rsidR="00CD7166">
        <w:t>to use</w:t>
      </w:r>
      <w:r w:rsidR="00CD7166">
        <w:t xml:space="preserve"> the Department’s </w:t>
      </w:r>
      <w:r>
        <w:t xml:space="preserve">online format </w:t>
      </w:r>
      <w:r w:rsidR="00CD7166">
        <w:t>to submit a complaint</w:t>
      </w:r>
      <w:r>
        <w:t xml:space="preserve"> and the vast majority of consumers that file complaints have chosen the online method</w:t>
      </w:r>
      <w:r w:rsidR="00CD7166">
        <w:t xml:space="preserve">.  </w:t>
      </w:r>
    </w:p>
    <w:p w:rsidRPr="001F5B55" w:rsidR="00232965" w:rsidP="00232965" w:rsidRDefault="00232965" w14:paraId="22FB9379" w14:textId="77777777"/>
    <w:p w:rsidRPr="001F5B55" w:rsidR="00232965" w:rsidP="00232965" w:rsidRDefault="00232965" w14:paraId="285544FA" w14:textId="77777777">
      <w:r w:rsidRPr="001F5B55">
        <w:t xml:space="preserve">4. </w:t>
      </w:r>
      <w:r w:rsidRPr="001F5B55">
        <w:rPr>
          <w:u w:val="single"/>
        </w:rPr>
        <w:t>Efforts to identify duplication</w:t>
      </w:r>
      <w:r w:rsidRPr="001F5B55">
        <w:t xml:space="preserve">.  </w:t>
      </w:r>
      <w:r w:rsidRPr="001F5B55">
        <w:rPr>
          <w:b/>
          <w:bCs/>
          <w:i/>
          <w:iCs/>
        </w:rPr>
        <w:t>Describe efforts to identify duplication.  Show specifically why any similar information already available cannot be used or modified for use for the purpose(s) described in 2 above</w:t>
      </w:r>
      <w:r w:rsidRPr="001F5B55">
        <w:t>.</w:t>
      </w:r>
    </w:p>
    <w:p w:rsidRPr="001F5B55" w:rsidR="00232965" w:rsidP="00232965" w:rsidRDefault="00232965" w14:paraId="6A43F140" w14:textId="77777777">
      <w:pPr>
        <w:rPr>
          <w:highlight w:val="yellow"/>
        </w:rPr>
      </w:pPr>
    </w:p>
    <w:p w:rsidRPr="001F5B55" w:rsidR="00232965" w:rsidP="00232965" w:rsidRDefault="00232965" w14:paraId="4B8B1A90" w14:textId="77777777">
      <w:r w:rsidRPr="001F5B55">
        <w:t>There is no similar information</w:t>
      </w:r>
      <w:r w:rsidR="00A62411">
        <w:t xml:space="preserve"> collected by or available to the Department</w:t>
      </w:r>
      <w:r w:rsidR="00CD7166">
        <w:t xml:space="preserve"> </w:t>
      </w:r>
      <w:r w:rsidRPr="001F5B55">
        <w:t>that could be used or modified f</w:t>
      </w:r>
      <w:r w:rsidR="00CF6BE4">
        <w:t>or th</w:t>
      </w:r>
      <w:r w:rsidR="00A62411">
        <w:t>is</w:t>
      </w:r>
      <w:r w:rsidR="00CF6BE4">
        <w:t xml:space="preserve"> </w:t>
      </w:r>
      <w:r w:rsidR="00CD7166">
        <w:t xml:space="preserve">collection of information. </w:t>
      </w:r>
      <w:r w:rsidR="00617B86">
        <w:t xml:space="preserve"> </w:t>
      </w:r>
    </w:p>
    <w:p w:rsidRPr="001F5B55" w:rsidR="00232965" w:rsidP="00232965" w:rsidRDefault="00232965" w14:paraId="3286D8E2" w14:textId="77777777"/>
    <w:p w:rsidRPr="001F5B55" w:rsidR="00232965" w:rsidP="00232965" w:rsidRDefault="00232965" w14:paraId="7A3B3662" w14:textId="77777777">
      <w:r w:rsidRPr="001F5B55">
        <w:t xml:space="preserve">5. </w:t>
      </w:r>
      <w:r w:rsidRPr="001F5B55">
        <w:rPr>
          <w:u w:val="single"/>
        </w:rPr>
        <w:t>Efforts to minimize the burden on small businesses</w:t>
      </w:r>
      <w:r w:rsidRPr="001F5B55">
        <w:t xml:space="preserve">.  </w:t>
      </w:r>
      <w:r w:rsidRPr="001F5B55">
        <w:rPr>
          <w:b/>
          <w:bCs/>
          <w:i/>
          <w:iCs/>
        </w:rPr>
        <w:t>If the collection of information has a significant impact on a substantial number of small businesses or other small entities, describe the methods used to minimize burden</w:t>
      </w:r>
      <w:r w:rsidRPr="001F5B55">
        <w:t>.</w:t>
      </w:r>
      <w:r w:rsidRPr="001F5B55">
        <w:br/>
      </w:r>
    </w:p>
    <w:p w:rsidRPr="001F5B55" w:rsidR="00232965" w:rsidP="00232965" w:rsidRDefault="000773ED" w14:paraId="4CA2371A" w14:textId="77777777">
      <w:r>
        <w:t>This form</w:t>
      </w:r>
      <w:r w:rsidRPr="001F5B55" w:rsidR="00232965">
        <w:t xml:space="preserve"> will not have a significant impact on a subst</w:t>
      </w:r>
      <w:r>
        <w:t xml:space="preserve">antial number of small entities.  </w:t>
      </w:r>
    </w:p>
    <w:p w:rsidRPr="001F5B55" w:rsidR="00232965" w:rsidP="00232965" w:rsidRDefault="00232965" w14:paraId="0628B0B3" w14:textId="77777777"/>
    <w:p w:rsidRPr="001F5B55" w:rsidR="00232965" w:rsidP="00232965" w:rsidRDefault="00232965" w14:paraId="620F64BE" w14:textId="77777777">
      <w:r w:rsidRPr="001F5B55">
        <w:t xml:space="preserve">6. </w:t>
      </w:r>
      <w:r w:rsidRPr="001F5B55">
        <w:rPr>
          <w:u w:val="single"/>
        </w:rPr>
        <w:t>Impact of less frequent collection of information</w:t>
      </w:r>
      <w:r w:rsidRPr="001F5B55">
        <w:t xml:space="preserve">.  </w:t>
      </w:r>
      <w:r w:rsidRPr="001F5B55">
        <w:rPr>
          <w:b/>
          <w:bCs/>
          <w:i/>
          <w:iCs/>
        </w:rPr>
        <w:t>Describe the consequence to Federal program or policy activities if the collection is not conducted or is conducted less frequently, as well as any technical or legal obstacles to reducing burden</w:t>
      </w:r>
      <w:r w:rsidRPr="001F5B55">
        <w:t>.</w:t>
      </w:r>
    </w:p>
    <w:p w:rsidRPr="001F5B55" w:rsidR="00232965" w:rsidP="00232965" w:rsidRDefault="00232965" w14:paraId="0398C330" w14:textId="77777777"/>
    <w:p w:rsidRPr="001F5B55" w:rsidR="00232965" w:rsidP="00602D78" w:rsidRDefault="00602D78" w14:paraId="1684CD13" w14:textId="77777777">
      <w:r>
        <w:t>If the</w:t>
      </w:r>
      <w:r w:rsidRPr="001F5B55" w:rsidR="00232965">
        <w:t xml:space="preserve"> </w:t>
      </w:r>
      <w:r w:rsidR="00EE3D1F">
        <w:t xml:space="preserve">information </w:t>
      </w:r>
      <w:r w:rsidRPr="001F5B55" w:rsidR="00232965">
        <w:t>collection</w:t>
      </w:r>
      <w:r w:rsidR="000773ED">
        <w:t xml:space="preserve"> form</w:t>
      </w:r>
      <w:r>
        <w:t xml:space="preserve"> is not available, the Department may receive f</w:t>
      </w:r>
      <w:r w:rsidR="00D266CB">
        <w:t>ewer complaints</w:t>
      </w:r>
      <w:r w:rsidR="00617B86">
        <w:t xml:space="preserve"> and comments</w:t>
      </w:r>
      <w:r w:rsidR="00D266CB">
        <w:t xml:space="preserve"> from con</w:t>
      </w:r>
      <w:r w:rsidR="00EE3D1F">
        <w:t xml:space="preserve">sumers, </w:t>
      </w:r>
      <w:r w:rsidR="00617B86">
        <w:t>most of whom file the information</w:t>
      </w:r>
      <w:r w:rsidR="000773ED">
        <w:t xml:space="preserve"> using the internet and the</w:t>
      </w:r>
      <w:r w:rsidR="00EE3D1F">
        <w:t xml:space="preserve"> </w:t>
      </w:r>
      <w:r w:rsidR="00691B3C">
        <w:t>w</w:t>
      </w:r>
      <w:r w:rsidR="00EE3D1F">
        <w:t>eb-based form.  The lack of information</w:t>
      </w:r>
      <w:r w:rsidR="00691B3C">
        <w:t xml:space="preserve"> could inhibit the office’s </w:t>
      </w:r>
      <w:r w:rsidR="00EE3D1F">
        <w:t>ability to</w:t>
      </w:r>
      <w:r w:rsidR="00D4231E">
        <w:t xml:space="preserve"> </w:t>
      </w:r>
      <w:r w:rsidR="0081218A">
        <w:t xml:space="preserve">identify opportunities to </w:t>
      </w:r>
      <w:r w:rsidR="00D4231E">
        <w:t xml:space="preserve">improve airline consumer satisfaction, </w:t>
      </w:r>
      <w:r w:rsidR="00EE3D1F">
        <w:t>effectively</w:t>
      </w:r>
      <w:r w:rsidR="00D266CB">
        <w:t xml:space="preserve"> investigate individual complaints against an air carri</w:t>
      </w:r>
      <w:r w:rsidR="00691B3C">
        <w:t>er</w:t>
      </w:r>
      <w:r w:rsidR="00BA5616">
        <w:t>,</w:t>
      </w:r>
      <w:r w:rsidR="00EE3D1F">
        <w:t xml:space="preserve"> </w:t>
      </w:r>
      <w:r w:rsidR="00D266CB">
        <w:t>and/or</w:t>
      </w:r>
      <w:r w:rsidR="00BA5616">
        <w:t xml:space="preserve"> </w:t>
      </w:r>
      <w:r w:rsidR="0081218A">
        <w:t xml:space="preserve">review air carrier practices for </w:t>
      </w:r>
      <w:r w:rsidR="00D266CB">
        <w:t xml:space="preserve">patterns and practices that may </w:t>
      </w:r>
      <w:r w:rsidR="00EE3D1F">
        <w:t>violat</w:t>
      </w:r>
      <w:r w:rsidR="0081218A">
        <w:t>e the Department’s</w:t>
      </w:r>
      <w:r w:rsidR="00D266CB">
        <w:t xml:space="preserve"> rules.</w:t>
      </w:r>
    </w:p>
    <w:p w:rsidR="00232965" w:rsidP="00232965" w:rsidRDefault="00232965" w14:paraId="7FBC140F" w14:textId="77777777"/>
    <w:p w:rsidR="00EE3D1F" w:rsidP="00232965" w:rsidRDefault="00EE3D1F" w14:paraId="6D5A928F" w14:textId="77777777">
      <w:r>
        <w:t>Th</w:t>
      </w:r>
      <w:r w:rsidR="004D66D5">
        <w:t xml:space="preserve">e collection serves to expedite </w:t>
      </w:r>
      <w:r w:rsidR="000773ED">
        <w:t>the</w:t>
      </w:r>
      <w:r>
        <w:t xml:space="preserve"> office’s complaint handling process, as electronic submissions are directly uploaded into</w:t>
      </w:r>
      <w:r w:rsidR="000773ED">
        <w:t xml:space="preserve"> the</w:t>
      </w:r>
      <w:r>
        <w:t xml:space="preserve"> electronic database and the information</w:t>
      </w:r>
      <w:r w:rsidR="00522CC6">
        <w:t xml:space="preserve"> can be</w:t>
      </w:r>
      <w:r>
        <w:t xml:space="preserve"> electronically disseminated to the appropriate parties, as necessary</w:t>
      </w:r>
      <w:r w:rsidR="00522CC6">
        <w:t xml:space="preserve"> and appropriate</w:t>
      </w:r>
      <w:r>
        <w:t>.</w:t>
      </w:r>
    </w:p>
    <w:p w:rsidRPr="001F5B55" w:rsidR="00EE3D1F" w:rsidP="00232965" w:rsidRDefault="00EE3D1F" w14:paraId="46B575C1" w14:textId="77777777"/>
    <w:p w:rsidRPr="001F5B55" w:rsidR="00232965" w:rsidP="00232965" w:rsidRDefault="00232965" w14:paraId="3A73460E" w14:textId="77777777">
      <w:r w:rsidRPr="001F5B55">
        <w:t xml:space="preserve">7. </w:t>
      </w:r>
      <w:r w:rsidRPr="001F5B55">
        <w:rPr>
          <w:u w:val="single"/>
        </w:rPr>
        <w:t>Special circumstances</w:t>
      </w:r>
      <w:r w:rsidRPr="001F5B55">
        <w:t xml:space="preserve">.  </w:t>
      </w:r>
      <w:r w:rsidRPr="001F5B55">
        <w:rPr>
          <w:b/>
          <w:bCs/>
          <w:i/>
          <w:iCs/>
        </w:rPr>
        <w:t>Explain any special circumstances that require the collection to be conducted in a manner inconsistent with 5 CFR 1320.5(d)(2)(i)-(viii)</w:t>
      </w:r>
      <w:r w:rsidRPr="001F5B55">
        <w:t>:</w:t>
      </w:r>
    </w:p>
    <w:p w:rsidRPr="001F5B55" w:rsidR="00232965" w:rsidP="00232965" w:rsidRDefault="00232965" w14:paraId="735351DD" w14:textId="77777777"/>
    <w:p w:rsidRPr="001F5B55" w:rsidR="00232965" w:rsidP="00232965" w:rsidRDefault="00232965" w14:paraId="5E786FC3" w14:textId="77777777">
      <w:pPr>
        <w:outlineLvl w:val="0"/>
      </w:pPr>
      <w:r w:rsidRPr="001F5B55">
        <w:t>The collection of information is consistent with 5 CFR 1320.5(d)(2)(i)-(viii).</w:t>
      </w:r>
      <w:r w:rsidRPr="001F5B55">
        <w:tab/>
      </w:r>
    </w:p>
    <w:p w:rsidRPr="001F5B55" w:rsidR="00232965" w:rsidP="00232965" w:rsidRDefault="00232965" w14:paraId="4D647C02" w14:textId="77777777"/>
    <w:p w:rsidR="00232965" w:rsidP="00232965" w:rsidRDefault="00232965" w14:paraId="22F62F59" w14:textId="77777777">
      <w:pPr>
        <w:rPr>
          <w:bCs/>
          <w:iCs/>
        </w:rPr>
      </w:pPr>
      <w:r w:rsidRPr="001F5B55">
        <w:t xml:space="preserve">8. </w:t>
      </w:r>
      <w:r w:rsidRPr="001F5B55">
        <w:rPr>
          <w:u w:val="single"/>
        </w:rPr>
        <w:t>Compliance with 5 CFR 1320.8</w:t>
      </w:r>
      <w:r w:rsidRPr="001F5B55">
        <w:t xml:space="preserve">.  </w:t>
      </w:r>
      <w:r w:rsidRPr="001F5B55">
        <w:rPr>
          <w:b/>
          <w:bCs/>
          <w:i/>
          <w:iCs/>
        </w:rPr>
        <w:t>Describe the efforts to consult with persons outside the agency to obtain their views on the availability of data, frequency of collection, the clarity of instructions and the recordkeeping disclosure, or reporting format (if any) and on the data elements to be recorded, disclosed, or reported</w:t>
      </w:r>
      <w:r w:rsidRPr="001F5B55">
        <w:rPr>
          <w:bCs/>
          <w:iCs/>
        </w:rPr>
        <w:t xml:space="preserve">. </w:t>
      </w:r>
    </w:p>
    <w:p w:rsidR="00232965" w:rsidP="00232965" w:rsidRDefault="00232965" w14:paraId="59831BE8" w14:textId="77777777">
      <w:pPr>
        <w:rPr>
          <w:bCs/>
          <w:iCs/>
        </w:rPr>
      </w:pPr>
    </w:p>
    <w:p w:rsidRPr="0048550A" w:rsidR="007C6BFE" w:rsidP="007C6BFE" w:rsidRDefault="00AE433F" w14:paraId="15D2846D" w14:textId="57ABB7C1">
      <w:r>
        <w:t>On November 29, 2021</w:t>
      </w:r>
      <w:r w:rsidRPr="00F83757">
        <w:t>, OST published a 60-day notice in the Federal Register</w:t>
      </w:r>
      <w:r w:rsidR="008428E4">
        <w:t xml:space="preserve"> (FR) </w:t>
      </w:r>
      <w:r w:rsidRPr="00F83757">
        <w:t xml:space="preserve">soliciting comment on </w:t>
      </w:r>
      <w:r>
        <w:t>the ICR</w:t>
      </w:r>
      <w:r w:rsidRPr="00F83757">
        <w:t xml:space="preserve"> </w:t>
      </w:r>
      <w:r>
        <w:t>for which the agency is seeking reinstatement from OMB</w:t>
      </w:r>
      <w:r w:rsidRPr="00F83757">
        <w:t xml:space="preserve">. </w:t>
      </w:r>
      <w:r>
        <w:t xml:space="preserve">The comment period ended on January 28, 2022. </w:t>
      </w:r>
      <w:r w:rsidR="007C6BFE">
        <w:t xml:space="preserve">We received </w:t>
      </w:r>
      <w:r w:rsidR="00F97B0A">
        <w:t xml:space="preserve">no </w:t>
      </w:r>
      <w:r w:rsidR="00F40502">
        <w:t>comment</w:t>
      </w:r>
      <w:r w:rsidR="00F97B0A">
        <w:t>s f</w:t>
      </w:r>
      <w:r w:rsidR="00F40502">
        <w:t>rom the public</w:t>
      </w:r>
      <w:r w:rsidRPr="0048550A" w:rsidR="007C6BFE">
        <w:t xml:space="preserve"> in response to that notice</w:t>
      </w:r>
      <w:r w:rsidR="00F97B0A">
        <w:t>.</w:t>
      </w:r>
      <w:r w:rsidR="00D803B2">
        <w:t xml:space="preserve"> </w:t>
      </w:r>
      <w:r w:rsidR="00C63740">
        <w:t xml:space="preserve">On </w:t>
      </w:r>
      <w:r w:rsidR="008428E4">
        <w:t>February 11, 2022</w:t>
      </w:r>
      <w:r w:rsidR="00C63740">
        <w:t xml:space="preserve">, OST published a 30-day notice in the FR soliciting public comment on the ICR for submission to OMB. The comment period ends on </w:t>
      </w:r>
      <w:r w:rsidR="008428E4">
        <w:t xml:space="preserve">March 14, </w:t>
      </w:r>
      <w:r w:rsidR="00C63740">
        <w:t>2022.</w:t>
      </w:r>
      <w:r w:rsidR="008428E4">
        <w:t xml:space="preserve"> </w:t>
      </w:r>
      <w:r w:rsidR="008428E4">
        <w:t>See attached, FR notice</w:t>
      </w:r>
      <w:r w:rsidR="008428E4">
        <w:t>s</w:t>
      </w:r>
      <w:r w:rsidR="008428E4">
        <w:t xml:space="preserve"> [Volume 86, Number</w:t>
      </w:r>
      <w:r w:rsidRPr="00613799" w:rsidR="008428E4">
        <w:t xml:space="preserve"> </w:t>
      </w:r>
      <w:r w:rsidR="008428E4">
        <w:t>226 at 67785</w:t>
      </w:r>
      <w:r w:rsidR="008428E4">
        <w:t xml:space="preserve"> and Volume 87, Number 29 at 8084, respectively</w:t>
      </w:r>
      <w:r w:rsidR="008428E4">
        <w:t>].</w:t>
      </w:r>
    </w:p>
    <w:p w:rsidRPr="001F5B55" w:rsidR="00232965" w:rsidP="00232965" w:rsidRDefault="00232965" w14:paraId="482F07B7" w14:textId="77777777"/>
    <w:p w:rsidRPr="001F5B55" w:rsidR="00232965" w:rsidP="00232965" w:rsidRDefault="00232965" w14:paraId="4F47C136" w14:textId="77777777">
      <w:r w:rsidRPr="001F5B55">
        <w:t xml:space="preserve">9. </w:t>
      </w:r>
      <w:r w:rsidRPr="001F5B55">
        <w:rPr>
          <w:u w:val="single"/>
        </w:rPr>
        <w:t>Payments or gifts to respondents</w:t>
      </w:r>
      <w:r w:rsidRPr="001F5B55">
        <w:t xml:space="preserve">.  </w:t>
      </w:r>
      <w:r w:rsidRPr="001F5B55">
        <w:rPr>
          <w:b/>
          <w:bCs/>
          <w:i/>
          <w:iCs/>
        </w:rPr>
        <w:t>Explain any decision to provide any payment or gift to respondents, other than remuneration of contractors or grantees</w:t>
      </w:r>
      <w:r w:rsidRPr="001F5B55">
        <w:rPr>
          <w:bCs/>
          <w:iCs/>
        </w:rPr>
        <w:t>.</w:t>
      </w:r>
    </w:p>
    <w:p w:rsidRPr="001F5B55" w:rsidR="00232965" w:rsidP="00232965" w:rsidRDefault="00232965" w14:paraId="0ECC0445" w14:textId="77777777"/>
    <w:p w:rsidRPr="001F5B55" w:rsidR="00232965" w:rsidP="00232965" w:rsidRDefault="00232965" w14:paraId="43CC81C4" w14:textId="77777777">
      <w:pPr>
        <w:outlineLvl w:val="0"/>
      </w:pPr>
      <w:r w:rsidRPr="001F5B55">
        <w:lastRenderedPageBreak/>
        <w:t>There are no payments or gifts in this rule.</w:t>
      </w:r>
    </w:p>
    <w:p w:rsidRPr="001F5B55" w:rsidR="00232965" w:rsidP="00232965" w:rsidRDefault="00232965" w14:paraId="179B069C" w14:textId="77777777"/>
    <w:p w:rsidRPr="001F5B55" w:rsidR="00232965" w:rsidP="00232965" w:rsidRDefault="00232965" w14:paraId="3159504F" w14:textId="77777777">
      <w:r w:rsidRPr="001F5B55">
        <w:t xml:space="preserve">10. </w:t>
      </w:r>
      <w:r w:rsidRPr="001F5B55">
        <w:rPr>
          <w:u w:val="single"/>
        </w:rPr>
        <w:t>Assurance of confidentiality</w:t>
      </w:r>
      <w:r w:rsidRPr="001F5B55">
        <w:t xml:space="preserve">:  </w:t>
      </w:r>
      <w:r w:rsidRPr="001F5B55">
        <w:rPr>
          <w:b/>
          <w:bCs/>
          <w:i/>
          <w:iCs/>
        </w:rPr>
        <w:t>Describe any assurance of confidentiality provided to respondents and the basis for the assurance in statute, regulation, or agency policy</w:t>
      </w:r>
      <w:r w:rsidRPr="001F5B55">
        <w:t>.</w:t>
      </w:r>
    </w:p>
    <w:p w:rsidRPr="001F5B55" w:rsidR="00232965" w:rsidP="00232965" w:rsidRDefault="00232965" w14:paraId="4A6AC509" w14:textId="77777777"/>
    <w:p w:rsidRPr="00AF6B2D" w:rsidR="00976E80" w:rsidP="00976E80" w:rsidRDefault="00976E80" w14:paraId="7D15B80B" w14:textId="77777777">
      <w:pPr>
        <w:pStyle w:val="Default"/>
        <w:rPr>
          <w:rFonts w:ascii="Times New Roman" w:hAnsi="Times New Roman" w:cs="Times New Roman"/>
          <w:color w:val="auto"/>
        </w:rPr>
      </w:pPr>
      <w:r w:rsidRPr="00587CF6">
        <w:rPr>
          <w:rFonts w:ascii="Times New Roman" w:hAnsi="Times New Roman" w:cs="Times New Roman"/>
          <w:color w:val="auto"/>
        </w:rPr>
        <w:t>The Privacy Act is applicable and regulate</w:t>
      </w:r>
      <w:r w:rsidR="003415B2">
        <w:rPr>
          <w:rFonts w:ascii="Times New Roman" w:hAnsi="Times New Roman" w:cs="Times New Roman"/>
          <w:color w:val="auto"/>
        </w:rPr>
        <w:t>s</w:t>
      </w:r>
      <w:r w:rsidRPr="00587CF6">
        <w:rPr>
          <w:rFonts w:ascii="Times New Roman" w:hAnsi="Times New Roman" w:cs="Times New Roman"/>
          <w:color w:val="auto"/>
        </w:rPr>
        <w:t xml:space="preserve"> the </w:t>
      </w:r>
      <w:proofErr w:type="gramStart"/>
      <w:r w:rsidRPr="00587CF6">
        <w:rPr>
          <w:rFonts w:ascii="Times New Roman" w:hAnsi="Times New Roman" w:cs="Times New Roman"/>
          <w:color w:val="auto"/>
        </w:rPr>
        <w:t>manner in which</w:t>
      </w:r>
      <w:proofErr w:type="gramEnd"/>
      <w:r w:rsidRPr="00587CF6">
        <w:rPr>
          <w:rFonts w:ascii="Times New Roman" w:hAnsi="Times New Roman" w:cs="Times New Roman"/>
          <w:color w:val="auto"/>
        </w:rPr>
        <w:t xml:space="preserve"> the Department handle</w:t>
      </w:r>
      <w:r w:rsidR="003415B2">
        <w:rPr>
          <w:rFonts w:ascii="Times New Roman" w:hAnsi="Times New Roman" w:cs="Times New Roman"/>
          <w:color w:val="auto"/>
        </w:rPr>
        <w:t>s</w:t>
      </w:r>
      <w:r w:rsidRPr="00587CF6">
        <w:rPr>
          <w:rFonts w:ascii="Times New Roman" w:hAnsi="Times New Roman" w:cs="Times New Roman"/>
          <w:color w:val="auto"/>
        </w:rPr>
        <w:t xml:space="preserve"> </w:t>
      </w:r>
      <w:r>
        <w:rPr>
          <w:rFonts w:ascii="Times New Roman" w:hAnsi="Times New Roman" w:cs="Times New Roman"/>
          <w:color w:val="auto"/>
        </w:rPr>
        <w:t>personal</w:t>
      </w:r>
      <w:r w:rsidRPr="00587CF6">
        <w:rPr>
          <w:rFonts w:ascii="Times New Roman" w:hAnsi="Times New Roman" w:cs="Times New Roman"/>
          <w:color w:val="auto"/>
        </w:rPr>
        <w:t xml:space="preserve"> </w:t>
      </w:r>
      <w:r>
        <w:rPr>
          <w:rFonts w:ascii="Times New Roman" w:hAnsi="Times New Roman" w:cs="Times New Roman"/>
          <w:color w:val="auto"/>
        </w:rPr>
        <w:t>in</w:t>
      </w:r>
      <w:r w:rsidRPr="00587CF6">
        <w:rPr>
          <w:rFonts w:ascii="Times New Roman" w:hAnsi="Times New Roman" w:cs="Times New Roman"/>
          <w:color w:val="auto"/>
        </w:rPr>
        <w:t>formation.</w:t>
      </w:r>
      <w:r w:rsidR="00AF6B2D">
        <w:rPr>
          <w:rFonts w:ascii="Times New Roman" w:hAnsi="Times New Roman" w:cs="Times New Roman"/>
          <w:color w:val="auto"/>
        </w:rPr>
        <w:t xml:space="preserve">  On February 25, 2005, the Department published a “Notice of establishment of system of record</w:t>
      </w:r>
      <w:r w:rsidR="001F5776">
        <w:rPr>
          <w:rFonts w:ascii="Times New Roman" w:hAnsi="Times New Roman" w:cs="Times New Roman"/>
          <w:color w:val="auto"/>
        </w:rPr>
        <w:t>s</w:t>
      </w:r>
      <w:r w:rsidR="00AF6B2D">
        <w:rPr>
          <w:rFonts w:ascii="Times New Roman" w:hAnsi="Times New Roman" w:cs="Times New Roman"/>
          <w:color w:val="auto"/>
        </w:rPr>
        <w:t>”</w:t>
      </w:r>
      <w:r w:rsidR="001F5776">
        <w:rPr>
          <w:rFonts w:ascii="Times New Roman" w:hAnsi="Times New Roman" w:cs="Times New Roman"/>
          <w:color w:val="auto"/>
        </w:rPr>
        <w:t xml:space="preserve"> (SORN) in the Federal Register</w:t>
      </w:r>
      <w:r w:rsidR="00AF6B2D">
        <w:rPr>
          <w:rFonts w:ascii="Times New Roman" w:hAnsi="Times New Roman" w:cs="Times New Roman"/>
          <w:color w:val="auto"/>
        </w:rPr>
        <w:t xml:space="preserve"> </w:t>
      </w:r>
      <w:r w:rsidR="006B3558">
        <w:rPr>
          <w:rFonts w:ascii="Times New Roman" w:hAnsi="Times New Roman" w:cs="Times New Roman"/>
          <w:color w:val="auto"/>
        </w:rPr>
        <w:t>[</w:t>
      </w:r>
      <w:r w:rsidR="00AF6B2D">
        <w:rPr>
          <w:rFonts w:ascii="Times New Roman" w:hAnsi="Times New Roman" w:cs="Times New Roman"/>
          <w:color w:val="auto"/>
        </w:rPr>
        <w:t>February 25, 2005</w:t>
      </w:r>
      <w:r w:rsidR="001F5776">
        <w:rPr>
          <w:rFonts w:ascii="Times New Roman" w:hAnsi="Times New Roman" w:cs="Times New Roman"/>
          <w:color w:val="auto"/>
        </w:rPr>
        <w:t>, Volume 70, Number 37, Pages 9436-37</w:t>
      </w:r>
      <w:r w:rsidR="006B3558">
        <w:rPr>
          <w:rFonts w:ascii="Times New Roman" w:hAnsi="Times New Roman" w:cs="Times New Roman"/>
          <w:color w:val="auto"/>
        </w:rPr>
        <w:t>]</w:t>
      </w:r>
      <w:r w:rsidR="00AF6B2D">
        <w:rPr>
          <w:rFonts w:ascii="Times New Roman" w:hAnsi="Times New Roman" w:cs="Times New Roman"/>
          <w:color w:val="auto"/>
        </w:rPr>
        <w:t xml:space="preserve"> and </w:t>
      </w:r>
      <w:r w:rsidR="001F5776">
        <w:rPr>
          <w:rFonts w:ascii="Times New Roman" w:hAnsi="Times New Roman" w:cs="Times New Roman"/>
          <w:color w:val="auto"/>
        </w:rPr>
        <w:t xml:space="preserve">on August 21, 2004, </w:t>
      </w:r>
      <w:r w:rsidR="00AF6B2D">
        <w:rPr>
          <w:rFonts w:ascii="Times New Roman" w:hAnsi="Times New Roman" w:cs="Times New Roman"/>
          <w:color w:val="auto"/>
        </w:rPr>
        <w:t>a Privacy Impact Assessment</w:t>
      </w:r>
      <w:r w:rsidR="001F5776">
        <w:rPr>
          <w:rFonts w:ascii="Times New Roman" w:hAnsi="Times New Roman" w:cs="Times New Roman"/>
          <w:color w:val="auto"/>
        </w:rPr>
        <w:t xml:space="preserve"> </w:t>
      </w:r>
      <w:r w:rsidR="00AF6B2D">
        <w:rPr>
          <w:rFonts w:ascii="Times New Roman" w:hAnsi="Times New Roman" w:cs="Times New Roman"/>
          <w:color w:val="auto"/>
        </w:rPr>
        <w:t>(PIA)</w:t>
      </w:r>
      <w:r w:rsidR="001F5776">
        <w:rPr>
          <w:rFonts w:ascii="Times New Roman" w:hAnsi="Times New Roman" w:cs="Times New Roman"/>
          <w:color w:val="auto"/>
        </w:rPr>
        <w:t xml:space="preserve"> was made </w:t>
      </w:r>
      <w:r w:rsidR="00752089">
        <w:rPr>
          <w:rFonts w:ascii="Times New Roman" w:hAnsi="Times New Roman" w:cs="Times New Roman"/>
          <w:color w:val="auto"/>
        </w:rPr>
        <w:t xml:space="preserve">public </w:t>
      </w:r>
      <w:r w:rsidR="001F5776">
        <w:rPr>
          <w:rFonts w:ascii="Times New Roman" w:hAnsi="Times New Roman" w:cs="Times New Roman"/>
          <w:color w:val="auto"/>
        </w:rPr>
        <w:t>on the DOT’s website</w:t>
      </w:r>
      <w:r w:rsidR="00013BEE">
        <w:rPr>
          <w:rFonts w:ascii="Times New Roman" w:hAnsi="Times New Roman" w:cs="Times New Roman"/>
          <w:color w:val="auto"/>
        </w:rPr>
        <w:t>.</w:t>
      </w:r>
      <w:r w:rsidR="00AF6B2D">
        <w:rPr>
          <w:rFonts w:ascii="Times New Roman" w:hAnsi="Times New Roman" w:cs="Times New Roman"/>
          <w:color w:val="auto"/>
        </w:rPr>
        <w:t xml:space="preserve"> Both documents are available</w:t>
      </w:r>
      <w:r w:rsidRPr="00AF6B2D" w:rsidR="00AF6B2D">
        <w:rPr>
          <w:rFonts w:ascii="Times New Roman" w:hAnsi="Times New Roman" w:cs="Times New Roman"/>
          <w:color w:val="1F497D"/>
        </w:rPr>
        <w:t xml:space="preserve"> at </w:t>
      </w:r>
      <w:hyperlink w:history="1" r:id="rId9">
        <w:r w:rsidRPr="00AF6B2D" w:rsidR="00AF6B2D">
          <w:rPr>
            <w:rStyle w:val="Hyperlink"/>
            <w:rFonts w:ascii="Times New Roman" w:hAnsi="Times New Roman" w:cs="Times New Roman"/>
          </w:rPr>
          <w:t>www.dot.gov/privacy</w:t>
        </w:r>
      </w:hyperlink>
      <w:r w:rsidR="00AF6B2D">
        <w:rPr>
          <w:rFonts w:ascii="Times New Roman" w:hAnsi="Times New Roman" w:cs="Times New Roman"/>
          <w:color w:val="1F497D"/>
        </w:rPr>
        <w:t>.</w:t>
      </w:r>
    </w:p>
    <w:p w:rsidRPr="001F5B55" w:rsidR="00232965" w:rsidP="00976E80" w:rsidRDefault="00232965" w14:paraId="45426CAA" w14:textId="77777777">
      <w:pPr>
        <w:outlineLvl w:val="0"/>
      </w:pPr>
    </w:p>
    <w:p w:rsidRPr="001F5B55" w:rsidR="00232965" w:rsidP="00232965" w:rsidRDefault="00232965" w14:paraId="204F9A8A" w14:textId="77777777">
      <w:r w:rsidRPr="001F5B55">
        <w:t xml:space="preserve">11. </w:t>
      </w:r>
      <w:r w:rsidRPr="001F5B55">
        <w:rPr>
          <w:u w:val="single"/>
        </w:rPr>
        <w:t>Justification for collection of sensitive information</w:t>
      </w:r>
      <w:r w:rsidRPr="001F5B55">
        <w:t xml:space="preserve">.  </w:t>
      </w:r>
      <w:r w:rsidRPr="001F5B55">
        <w:rPr>
          <w:b/>
          <w:bCs/>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1F5B55">
        <w:t>.</w:t>
      </w:r>
    </w:p>
    <w:p w:rsidRPr="001F5B55" w:rsidR="00232965" w:rsidP="00232965" w:rsidRDefault="00232965" w14:paraId="28E85F60" w14:textId="77777777"/>
    <w:p w:rsidRPr="00587CF6" w:rsidR="00976E80" w:rsidP="00976E80" w:rsidRDefault="00232965" w14:paraId="759FA509" w14:textId="77777777">
      <w:pPr>
        <w:pStyle w:val="Default"/>
        <w:rPr>
          <w:rFonts w:ascii="Times New Roman" w:hAnsi="Times New Roman" w:cs="Times New Roman"/>
          <w:color w:val="auto"/>
        </w:rPr>
      </w:pPr>
      <w:r w:rsidRPr="00976E80">
        <w:rPr>
          <w:rFonts w:ascii="Times New Roman" w:hAnsi="Times New Roman" w:cs="Times New Roman"/>
        </w:rPr>
        <w:t>There are no questions of this nature.</w:t>
      </w:r>
      <w:r w:rsidR="00976E80">
        <w:t xml:space="preserve"> </w:t>
      </w:r>
      <w:r w:rsidR="004D66D5">
        <w:t xml:space="preserve"> </w:t>
      </w:r>
      <w:r w:rsidR="00976E80">
        <w:rPr>
          <w:rFonts w:ascii="Times New Roman" w:hAnsi="Times New Roman" w:cs="Times New Roman"/>
          <w:color w:val="auto"/>
        </w:rPr>
        <w:t>However,</w:t>
      </w:r>
      <w:r w:rsidR="000773ED">
        <w:rPr>
          <w:rFonts w:ascii="Times New Roman" w:hAnsi="Times New Roman" w:cs="Times New Roman"/>
          <w:color w:val="auto"/>
        </w:rPr>
        <w:t xml:space="preserve"> a consumer </w:t>
      </w:r>
      <w:r w:rsidR="00976E80">
        <w:rPr>
          <w:rFonts w:ascii="Times New Roman" w:hAnsi="Times New Roman" w:cs="Times New Roman"/>
          <w:color w:val="auto"/>
        </w:rPr>
        <w:t xml:space="preserve">may voluntarily </w:t>
      </w:r>
      <w:r w:rsidR="003656B7">
        <w:rPr>
          <w:rFonts w:ascii="Times New Roman" w:hAnsi="Times New Roman" w:cs="Times New Roman"/>
          <w:color w:val="auto"/>
        </w:rPr>
        <w:t>include information regarding a sensitive</w:t>
      </w:r>
      <w:r w:rsidR="00976E80">
        <w:rPr>
          <w:rFonts w:ascii="Times New Roman" w:hAnsi="Times New Roman" w:cs="Times New Roman"/>
          <w:color w:val="auto"/>
        </w:rPr>
        <w:t xml:space="preserve"> issue</w:t>
      </w:r>
      <w:r w:rsidR="003656B7">
        <w:rPr>
          <w:rFonts w:ascii="Times New Roman" w:hAnsi="Times New Roman" w:cs="Times New Roman"/>
          <w:color w:val="auto"/>
        </w:rPr>
        <w:t>,</w:t>
      </w:r>
      <w:r w:rsidR="00976E80">
        <w:rPr>
          <w:rFonts w:ascii="Times New Roman" w:hAnsi="Times New Roman" w:cs="Times New Roman"/>
          <w:color w:val="auto"/>
        </w:rPr>
        <w:t xml:space="preserve"> such as a passenger’s </w:t>
      </w:r>
      <w:r w:rsidR="000773ED">
        <w:rPr>
          <w:rFonts w:ascii="Times New Roman" w:hAnsi="Times New Roman" w:cs="Times New Roman"/>
          <w:color w:val="auto"/>
        </w:rPr>
        <w:t xml:space="preserve">medical condition or </w:t>
      </w:r>
      <w:r w:rsidR="00976E80">
        <w:rPr>
          <w:rFonts w:ascii="Times New Roman" w:hAnsi="Times New Roman" w:cs="Times New Roman"/>
          <w:color w:val="auto"/>
        </w:rPr>
        <w:t>disability.</w:t>
      </w:r>
      <w:r w:rsidR="003656B7">
        <w:rPr>
          <w:rFonts w:ascii="Times New Roman" w:hAnsi="Times New Roman" w:cs="Times New Roman"/>
          <w:color w:val="auto"/>
        </w:rPr>
        <w:t xml:space="preserve"> </w:t>
      </w:r>
      <w:r w:rsidRPr="00587CF6" w:rsidR="00976E80">
        <w:rPr>
          <w:rFonts w:ascii="Times New Roman" w:hAnsi="Times New Roman" w:cs="Times New Roman"/>
          <w:color w:val="auto"/>
        </w:rPr>
        <w:t>The Department uses the data gathere</w:t>
      </w:r>
      <w:r w:rsidR="00976E80">
        <w:rPr>
          <w:rFonts w:ascii="Times New Roman" w:hAnsi="Times New Roman" w:cs="Times New Roman"/>
          <w:color w:val="auto"/>
        </w:rPr>
        <w:t>d to investigate complaints and determine when it is appropriate to take</w:t>
      </w:r>
      <w:r w:rsidR="004D66D5">
        <w:rPr>
          <w:rFonts w:ascii="Times New Roman" w:hAnsi="Times New Roman" w:cs="Times New Roman"/>
          <w:color w:val="auto"/>
        </w:rPr>
        <w:t xml:space="preserve"> corrective and/or</w:t>
      </w:r>
      <w:r w:rsidR="00976E80">
        <w:rPr>
          <w:rFonts w:ascii="Times New Roman" w:hAnsi="Times New Roman" w:cs="Times New Roman"/>
          <w:color w:val="auto"/>
        </w:rPr>
        <w:t xml:space="preserve"> enforcement action</w:t>
      </w:r>
      <w:r w:rsidRPr="00587CF6" w:rsidR="00976E80">
        <w:rPr>
          <w:rFonts w:ascii="Times New Roman" w:hAnsi="Times New Roman" w:cs="Times New Roman"/>
          <w:color w:val="auto"/>
        </w:rPr>
        <w:t>.</w:t>
      </w:r>
      <w:r w:rsidR="00731B3A">
        <w:rPr>
          <w:rFonts w:ascii="Times New Roman" w:hAnsi="Times New Roman" w:cs="Times New Roman"/>
          <w:color w:val="auto"/>
        </w:rPr>
        <w:t xml:space="preserve">  </w:t>
      </w:r>
    </w:p>
    <w:p w:rsidRPr="001F5B55" w:rsidR="00232965" w:rsidP="00232965" w:rsidRDefault="00232965" w14:paraId="088B4F32" w14:textId="77777777"/>
    <w:p w:rsidRPr="001F5B55" w:rsidR="00232965" w:rsidP="00232965" w:rsidRDefault="00232965" w14:paraId="6369EDA1" w14:textId="77777777">
      <w:r w:rsidRPr="001F5B55">
        <w:t xml:space="preserve">12. </w:t>
      </w:r>
      <w:r w:rsidRPr="001F5B55">
        <w:rPr>
          <w:u w:val="single"/>
        </w:rPr>
        <w:t>Estimate of burden hours for information requested</w:t>
      </w:r>
      <w:r w:rsidRPr="001F5B55">
        <w:t xml:space="preserve">.  </w:t>
      </w:r>
      <w:r w:rsidRPr="001F5B55">
        <w:rPr>
          <w:b/>
          <w:bCs/>
          <w:i/>
          <w:iCs/>
        </w:rPr>
        <w:t>Provide estimates of the hour burden for the collection of information.  The statements should:  Indicate the number of respondents, frequency of response, annual hour burden, and an explanation of how the burden was estimated.  If this request for approval covers more than one form, provide separate hour burden estimates for each form.  Provide estimates of annualized cost to respondents for the hour burdens for collections of information, identifying and using appropriate wage rate categories</w:t>
      </w:r>
    </w:p>
    <w:p w:rsidR="00232965" w:rsidP="00232965" w:rsidRDefault="00232965" w14:paraId="71CE29BA" w14:textId="77777777"/>
    <w:p w:rsidR="00617B86" w:rsidP="00682AFB" w:rsidRDefault="00232965" w14:paraId="0D23C886" w14:textId="77777777">
      <w:pPr>
        <w:jc w:val="center"/>
        <w:outlineLvl w:val="0"/>
        <w:rPr>
          <w:b/>
        </w:rPr>
      </w:pPr>
      <w:r w:rsidRPr="00523225">
        <w:rPr>
          <w:b/>
        </w:rPr>
        <w:t>Table</w:t>
      </w:r>
      <w:r>
        <w:rPr>
          <w:b/>
        </w:rPr>
        <w:t xml:space="preserve"> 1</w:t>
      </w:r>
      <w:r w:rsidRPr="00523225">
        <w:rPr>
          <w:b/>
        </w:rPr>
        <w:t>:  Data for Collection</w:t>
      </w:r>
      <w:r w:rsidR="003656B7">
        <w:rPr>
          <w:b/>
        </w:rPr>
        <w:t xml:space="preserve"> of Information, On-Line Submission of Consumer Complaints</w:t>
      </w:r>
      <w:r w:rsidR="00617B86">
        <w:rPr>
          <w:b/>
        </w:rPr>
        <w:t>/Comments via the Aviation</w:t>
      </w:r>
      <w:r w:rsidR="003656B7">
        <w:rPr>
          <w:b/>
        </w:rPr>
        <w:t xml:space="preserve"> Consumer Protection Division</w:t>
      </w:r>
      <w:r w:rsidR="004D66D5">
        <w:rPr>
          <w:b/>
        </w:rPr>
        <w:t xml:space="preserve"> (</w:t>
      </w:r>
      <w:r w:rsidR="00D803B2">
        <w:rPr>
          <w:b/>
        </w:rPr>
        <w:t>OACP</w:t>
      </w:r>
      <w:r w:rsidR="004D66D5">
        <w:rPr>
          <w:b/>
        </w:rPr>
        <w:t>)</w:t>
      </w:r>
      <w:r w:rsidR="003656B7">
        <w:rPr>
          <w:b/>
        </w:rPr>
        <w:t xml:space="preserve"> </w:t>
      </w:r>
    </w:p>
    <w:p w:rsidR="00682AFB" w:rsidP="00682AFB" w:rsidRDefault="003656B7" w14:paraId="30D06B36" w14:textId="77777777">
      <w:pPr>
        <w:jc w:val="center"/>
        <w:outlineLvl w:val="0"/>
        <w:rPr>
          <w:b/>
        </w:rPr>
      </w:pPr>
      <w:r>
        <w:rPr>
          <w:b/>
        </w:rPr>
        <w:t>Website</w:t>
      </w:r>
      <w:r w:rsidR="00617B86">
        <w:rPr>
          <w:b/>
        </w:rPr>
        <w:t xml:space="preserve"> Electronic Form</w:t>
      </w:r>
    </w:p>
    <w:p w:rsidR="00682AFB" w:rsidP="00682AFB" w:rsidRDefault="00682AFB" w14:paraId="46ADC8BD" w14:textId="77777777">
      <w:pPr>
        <w:jc w:val="center"/>
        <w:outlineLvl w:val="0"/>
        <w:rPr>
          <w:rFonts w:cs="Arial"/>
          <w:sz w:val="22"/>
          <w:szCs w:val="22"/>
        </w:rPr>
      </w:pPr>
      <w:r>
        <w:t>(</w:t>
      </w:r>
      <w:r w:rsidRPr="001F5B55">
        <w:t>OMB Control Number</w:t>
      </w:r>
      <w:r w:rsidRPr="001F5B55">
        <w:rPr>
          <w:b/>
        </w:rPr>
        <w:t xml:space="preserve"> </w:t>
      </w:r>
      <w:r>
        <w:rPr>
          <w:rFonts w:cs="Arial"/>
          <w:sz w:val="22"/>
          <w:szCs w:val="22"/>
        </w:rPr>
        <w:t>2105-0568)</w:t>
      </w:r>
    </w:p>
    <w:p w:rsidR="00AE433F" w:rsidP="00682AFB" w:rsidRDefault="00AE433F" w14:paraId="13FAD780" w14:textId="77777777">
      <w:pPr>
        <w:jc w:val="center"/>
        <w:outlineLvl w:val="0"/>
        <w:rPr>
          <w:rFonts w:cs="Arial"/>
          <w:sz w:val="22"/>
          <w:szCs w:val="22"/>
        </w:rPr>
      </w:pPr>
    </w:p>
    <w:p w:rsidR="00AE433F" w:rsidP="00B473F9" w:rsidRDefault="00B473F9" w14:paraId="1929FF00" w14:textId="5434EB8D">
      <w:pPr>
        <w:shd w:val="clear" w:color="auto" w:fill="FFFFFF"/>
      </w:pPr>
      <w:r>
        <w:t>As shown in</w:t>
      </w:r>
      <w:r w:rsidRPr="00AE433F" w:rsidR="00AE433F">
        <w:t xml:space="preserve"> the table below, approximately ninety </w:t>
      </w:r>
      <w:r w:rsidR="0081218A">
        <w:t xml:space="preserve">percent </w:t>
      </w:r>
      <w:r w:rsidRPr="00AE433F" w:rsidR="00AE433F">
        <w:t>of the submissions (complaints, comments, and inquiries) received by OACP during CY</w:t>
      </w:r>
      <w:r w:rsidR="00021C12">
        <w:t>s</w:t>
      </w:r>
      <w:r w:rsidRPr="00AE433F" w:rsidR="00AE433F">
        <w:t xml:space="preserve"> 2017 through 2019 were filed using the web-based form.</w:t>
      </w:r>
    </w:p>
    <w:p w:rsidRPr="00AE433F" w:rsidR="00B473F9" w:rsidP="00B473F9" w:rsidRDefault="00B473F9" w14:paraId="41FB6EBF" w14:textId="77777777">
      <w:pPr>
        <w:shd w:val="clear" w:color="auto" w:fill="FFFFFF"/>
      </w:pPr>
    </w:p>
    <w:tbl>
      <w:tblPr>
        <w:tblpPr w:leftFromText="180" w:rightFromText="180" w:vertAnchor="text" w:tblpX="1525"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1"/>
        <w:gridCol w:w="1771"/>
        <w:gridCol w:w="1771"/>
        <w:gridCol w:w="1771"/>
      </w:tblGrid>
      <w:tr w:rsidRPr="00AE433F" w:rsidR="00AE433F" w:rsidTr="00B473F9" w14:paraId="0DB7CEED" w14:textId="77777777">
        <w:tc>
          <w:tcPr>
            <w:tcW w:w="246" w:type="dxa"/>
            <w:shd w:val="clear" w:color="auto" w:fill="auto"/>
          </w:tcPr>
          <w:p w:rsidRPr="00AE433F" w:rsidR="00AE433F" w:rsidP="00B473F9" w:rsidRDefault="00AE433F" w14:paraId="7B2870FF" w14:textId="77777777">
            <w:pPr>
              <w:spacing w:line="480" w:lineRule="auto"/>
              <w:jc w:val="center"/>
              <w:rPr>
                <w:sz w:val="22"/>
                <w:szCs w:val="22"/>
                <w:u w:val="single"/>
              </w:rPr>
            </w:pPr>
            <w:r w:rsidRPr="00AE433F">
              <w:rPr>
                <w:sz w:val="22"/>
                <w:szCs w:val="22"/>
                <w:u w:val="single"/>
              </w:rPr>
              <w:t>Calendar Year</w:t>
            </w:r>
          </w:p>
        </w:tc>
        <w:tc>
          <w:tcPr>
            <w:tcW w:w="1771" w:type="dxa"/>
            <w:shd w:val="clear" w:color="auto" w:fill="auto"/>
          </w:tcPr>
          <w:p w:rsidRPr="00AE433F" w:rsidR="00AE433F" w:rsidP="00B473F9" w:rsidRDefault="00AE433F" w14:paraId="5983EA36" w14:textId="77777777">
            <w:pPr>
              <w:jc w:val="center"/>
              <w:rPr>
                <w:sz w:val="22"/>
                <w:szCs w:val="22"/>
                <w:u w:val="single"/>
              </w:rPr>
            </w:pPr>
            <w:r w:rsidRPr="00AE433F">
              <w:rPr>
                <w:sz w:val="22"/>
                <w:szCs w:val="22"/>
                <w:u w:val="single"/>
              </w:rPr>
              <w:t>Total # of Complaints Filed</w:t>
            </w:r>
          </w:p>
        </w:tc>
        <w:tc>
          <w:tcPr>
            <w:tcW w:w="1771" w:type="dxa"/>
            <w:shd w:val="clear" w:color="auto" w:fill="auto"/>
          </w:tcPr>
          <w:p w:rsidRPr="00AE433F" w:rsidR="00AE433F" w:rsidP="00B473F9" w:rsidRDefault="00AE433F" w14:paraId="34BCF1F5" w14:textId="77777777">
            <w:pPr>
              <w:jc w:val="center"/>
              <w:rPr>
                <w:sz w:val="22"/>
                <w:szCs w:val="22"/>
                <w:u w:val="single"/>
              </w:rPr>
            </w:pPr>
            <w:r w:rsidRPr="00AE433F">
              <w:rPr>
                <w:sz w:val="22"/>
                <w:szCs w:val="22"/>
                <w:u w:val="single"/>
              </w:rPr>
              <w:t>Total # of Complaints Filed Online</w:t>
            </w:r>
          </w:p>
        </w:tc>
        <w:tc>
          <w:tcPr>
            <w:tcW w:w="1771" w:type="dxa"/>
            <w:shd w:val="clear" w:color="auto" w:fill="auto"/>
          </w:tcPr>
          <w:p w:rsidRPr="00AE433F" w:rsidR="00AE433F" w:rsidP="00B473F9" w:rsidRDefault="00AE433F" w14:paraId="4F9B23C3" w14:textId="77777777">
            <w:pPr>
              <w:jc w:val="center"/>
              <w:rPr>
                <w:sz w:val="22"/>
                <w:szCs w:val="22"/>
                <w:u w:val="single"/>
              </w:rPr>
            </w:pPr>
            <w:r w:rsidRPr="00AE433F">
              <w:rPr>
                <w:sz w:val="22"/>
                <w:szCs w:val="22"/>
                <w:u w:val="single"/>
              </w:rPr>
              <w:t>Percentage of Complaints Filed Online</w:t>
            </w:r>
          </w:p>
        </w:tc>
      </w:tr>
      <w:tr w:rsidRPr="00AE433F" w:rsidR="00AE433F" w:rsidTr="00B473F9" w14:paraId="16D7BE9F" w14:textId="77777777">
        <w:tc>
          <w:tcPr>
            <w:tcW w:w="246" w:type="dxa"/>
            <w:shd w:val="clear" w:color="auto" w:fill="auto"/>
          </w:tcPr>
          <w:p w:rsidRPr="00AE433F" w:rsidR="00AE433F" w:rsidP="00B473F9" w:rsidRDefault="00AE433F" w14:paraId="5F8A20D4" w14:textId="77777777">
            <w:pPr>
              <w:spacing w:line="480" w:lineRule="auto"/>
              <w:jc w:val="center"/>
              <w:rPr>
                <w:sz w:val="22"/>
                <w:szCs w:val="22"/>
              </w:rPr>
            </w:pPr>
            <w:r w:rsidRPr="00AE433F">
              <w:rPr>
                <w:sz w:val="22"/>
                <w:szCs w:val="22"/>
              </w:rPr>
              <w:t>2017</w:t>
            </w:r>
          </w:p>
        </w:tc>
        <w:tc>
          <w:tcPr>
            <w:tcW w:w="1771" w:type="dxa"/>
            <w:shd w:val="clear" w:color="auto" w:fill="auto"/>
          </w:tcPr>
          <w:p w:rsidRPr="00AE433F" w:rsidR="00AE433F" w:rsidP="00B473F9" w:rsidRDefault="00AE433F" w14:paraId="511A50D6" w14:textId="77777777">
            <w:pPr>
              <w:spacing w:line="480" w:lineRule="auto"/>
              <w:jc w:val="center"/>
              <w:rPr>
                <w:sz w:val="22"/>
                <w:szCs w:val="22"/>
              </w:rPr>
            </w:pPr>
            <w:r w:rsidRPr="00AE433F">
              <w:rPr>
                <w:sz w:val="22"/>
                <w:szCs w:val="22"/>
              </w:rPr>
              <w:t>18</w:t>
            </w:r>
            <w:r w:rsidR="009D54E0">
              <w:rPr>
                <w:sz w:val="22"/>
                <w:szCs w:val="22"/>
              </w:rPr>
              <w:t>,</w:t>
            </w:r>
            <w:r w:rsidRPr="00AE433F">
              <w:rPr>
                <w:sz w:val="22"/>
                <w:szCs w:val="22"/>
              </w:rPr>
              <w:t>155</w:t>
            </w:r>
          </w:p>
        </w:tc>
        <w:tc>
          <w:tcPr>
            <w:tcW w:w="1771" w:type="dxa"/>
            <w:shd w:val="clear" w:color="auto" w:fill="auto"/>
          </w:tcPr>
          <w:p w:rsidRPr="00AE433F" w:rsidR="00AE433F" w:rsidP="00B473F9" w:rsidRDefault="00AE433F" w14:paraId="799C0A30" w14:textId="77777777">
            <w:pPr>
              <w:spacing w:line="480" w:lineRule="auto"/>
              <w:jc w:val="center"/>
              <w:rPr>
                <w:sz w:val="22"/>
                <w:szCs w:val="22"/>
              </w:rPr>
            </w:pPr>
            <w:r w:rsidRPr="00AE433F">
              <w:rPr>
                <w:sz w:val="22"/>
                <w:szCs w:val="22"/>
              </w:rPr>
              <w:t>16</w:t>
            </w:r>
            <w:r w:rsidR="009D54E0">
              <w:rPr>
                <w:sz w:val="22"/>
                <w:szCs w:val="22"/>
              </w:rPr>
              <w:t>,</w:t>
            </w:r>
            <w:r w:rsidRPr="00AE433F">
              <w:rPr>
                <w:sz w:val="22"/>
                <w:szCs w:val="22"/>
              </w:rPr>
              <w:t>067</w:t>
            </w:r>
          </w:p>
        </w:tc>
        <w:tc>
          <w:tcPr>
            <w:tcW w:w="1771" w:type="dxa"/>
            <w:shd w:val="clear" w:color="auto" w:fill="auto"/>
          </w:tcPr>
          <w:p w:rsidRPr="00AE433F" w:rsidR="00AE433F" w:rsidP="00B473F9" w:rsidRDefault="00AE433F" w14:paraId="723FDB94" w14:textId="77777777">
            <w:pPr>
              <w:spacing w:line="480" w:lineRule="auto"/>
              <w:jc w:val="center"/>
              <w:rPr>
                <w:sz w:val="22"/>
                <w:szCs w:val="22"/>
              </w:rPr>
            </w:pPr>
            <w:r w:rsidRPr="00AE433F">
              <w:rPr>
                <w:sz w:val="22"/>
                <w:szCs w:val="22"/>
              </w:rPr>
              <w:t>89%</w:t>
            </w:r>
          </w:p>
        </w:tc>
      </w:tr>
      <w:tr w:rsidRPr="00AE433F" w:rsidR="00AE433F" w:rsidTr="00B473F9" w14:paraId="19D69E10" w14:textId="77777777">
        <w:tc>
          <w:tcPr>
            <w:tcW w:w="246" w:type="dxa"/>
            <w:shd w:val="clear" w:color="auto" w:fill="auto"/>
          </w:tcPr>
          <w:p w:rsidRPr="00AE433F" w:rsidR="00AE433F" w:rsidP="00B473F9" w:rsidRDefault="00AE433F" w14:paraId="6DB884FE" w14:textId="77777777">
            <w:pPr>
              <w:spacing w:line="480" w:lineRule="auto"/>
              <w:jc w:val="center"/>
              <w:rPr>
                <w:sz w:val="22"/>
                <w:szCs w:val="22"/>
              </w:rPr>
            </w:pPr>
            <w:r w:rsidRPr="00AE433F">
              <w:rPr>
                <w:sz w:val="22"/>
                <w:szCs w:val="22"/>
              </w:rPr>
              <w:lastRenderedPageBreak/>
              <w:t>2018</w:t>
            </w:r>
          </w:p>
        </w:tc>
        <w:tc>
          <w:tcPr>
            <w:tcW w:w="1771" w:type="dxa"/>
            <w:shd w:val="clear" w:color="auto" w:fill="auto"/>
          </w:tcPr>
          <w:p w:rsidRPr="00AE433F" w:rsidR="00AE433F" w:rsidP="00B473F9" w:rsidRDefault="00AE433F" w14:paraId="5AD2FD0E" w14:textId="77777777">
            <w:pPr>
              <w:spacing w:line="480" w:lineRule="auto"/>
              <w:jc w:val="center"/>
              <w:rPr>
                <w:sz w:val="22"/>
                <w:szCs w:val="22"/>
              </w:rPr>
            </w:pPr>
            <w:r w:rsidRPr="00AE433F">
              <w:rPr>
                <w:sz w:val="22"/>
                <w:szCs w:val="22"/>
              </w:rPr>
              <w:t>15</w:t>
            </w:r>
            <w:r w:rsidR="009D54E0">
              <w:rPr>
                <w:sz w:val="22"/>
                <w:szCs w:val="22"/>
              </w:rPr>
              <w:t>,</w:t>
            </w:r>
            <w:r w:rsidRPr="00AE433F">
              <w:rPr>
                <w:sz w:val="22"/>
                <w:szCs w:val="22"/>
              </w:rPr>
              <w:t>546</w:t>
            </w:r>
          </w:p>
        </w:tc>
        <w:tc>
          <w:tcPr>
            <w:tcW w:w="1771" w:type="dxa"/>
            <w:shd w:val="clear" w:color="auto" w:fill="auto"/>
          </w:tcPr>
          <w:p w:rsidRPr="00AE433F" w:rsidR="00AE433F" w:rsidP="00B473F9" w:rsidRDefault="00AE433F" w14:paraId="6B42FACB" w14:textId="77777777">
            <w:pPr>
              <w:spacing w:line="480" w:lineRule="auto"/>
              <w:jc w:val="center"/>
              <w:rPr>
                <w:sz w:val="22"/>
                <w:szCs w:val="22"/>
              </w:rPr>
            </w:pPr>
            <w:r w:rsidRPr="00AE433F">
              <w:rPr>
                <w:sz w:val="22"/>
                <w:szCs w:val="22"/>
              </w:rPr>
              <w:t>13</w:t>
            </w:r>
            <w:r w:rsidR="009D54E0">
              <w:rPr>
                <w:sz w:val="22"/>
                <w:szCs w:val="22"/>
              </w:rPr>
              <w:t>,</w:t>
            </w:r>
            <w:r w:rsidRPr="00AE433F">
              <w:rPr>
                <w:sz w:val="22"/>
                <w:szCs w:val="22"/>
              </w:rPr>
              <w:t>964</w:t>
            </w:r>
          </w:p>
        </w:tc>
        <w:tc>
          <w:tcPr>
            <w:tcW w:w="1771" w:type="dxa"/>
            <w:shd w:val="clear" w:color="auto" w:fill="auto"/>
          </w:tcPr>
          <w:p w:rsidRPr="00AE433F" w:rsidR="00AE433F" w:rsidP="00B473F9" w:rsidRDefault="00AE433F" w14:paraId="039C2F7E" w14:textId="77777777">
            <w:pPr>
              <w:spacing w:line="480" w:lineRule="auto"/>
              <w:jc w:val="center"/>
              <w:rPr>
                <w:sz w:val="22"/>
                <w:szCs w:val="22"/>
              </w:rPr>
            </w:pPr>
            <w:r w:rsidRPr="00AE433F">
              <w:rPr>
                <w:sz w:val="22"/>
                <w:szCs w:val="22"/>
              </w:rPr>
              <w:t>90%</w:t>
            </w:r>
          </w:p>
        </w:tc>
      </w:tr>
      <w:tr w:rsidRPr="00AE433F" w:rsidR="00AE433F" w:rsidTr="00B473F9" w14:paraId="11D12D0F" w14:textId="77777777">
        <w:tc>
          <w:tcPr>
            <w:tcW w:w="246" w:type="dxa"/>
            <w:shd w:val="clear" w:color="auto" w:fill="auto"/>
          </w:tcPr>
          <w:p w:rsidRPr="00AE433F" w:rsidR="00AE433F" w:rsidP="00B473F9" w:rsidRDefault="00AE433F" w14:paraId="597A8282" w14:textId="77777777">
            <w:pPr>
              <w:spacing w:line="480" w:lineRule="auto"/>
              <w:jc w:val="center"/>
              <w:rPr>
                <w:sz w:val="22"/>
                <w:szCs w:val="22"/>
              </w:rPr>
            </w:pPr>
            <w:r w:rsidRPr="00AE433F">
              <w:rPr>
                <w:sz w:val="22"/>
                <w:szCs w:val="22"/>
              </w:rPr>
              <w:t>2019</w:t>
            </w:r>
          </w:p>
        </w:tc>
        <w:tc>
          <w:tcPr>
            <w:tcW w:w="1771" w:type="dxa"/>
            <w:shd w:val="clear" w:color="auto" w:fill="auto"/>
          </w:tcPr>
          <w:p w:rsidRPr="00AE433F" w:rsidR="00AE433F" w:rsidP="00B473F9" w:rsidRDefault="00AE433F" w14:paraId="4BEDA5FE" w14:textId="77777777">
            <w:pPr>
              <w:spacing w:line="480" w:lineRule="auto"/>
              <w:jc w:val="center"/>
              <w:rPr>
                <w:sz w:val="22"/>
                <w:szCs w:val="22"/>
              </w:rPr>
            </w:pPr>
            <w:r w:rsidRPr="00AE433F">
              <w:rPr>
                <w:color w:val="000000"/>
                <w:sz w:val="22"/>
                <w:szCs w:val="22"/>
              </w:rPr>
              <w:t>15</w:t>
            </w:r>
            <w:r w:rsidR="009D54E0">
              <w:rPr>
                <w:color w:val="000000"/>
                <w:sz w:val="22"/>
                <w:szCs w:val="22"/>
              </w:rPr>
              <w:t>,</w:t>
            </w:r>
            <w:r w:rsidRPr="00AE433F">
              <w:rPr>
                <w:color w:val="000000"/>
                <w:sz w:val="22"/>
                <w:szCs w:val="22"/>
              </w:rPr>
              <w:t>342</w:t>
            </w:r>
          </w:p>
        </w:tc>
        <w:tc>
          <w:tcPr>
            <w:tcW w:w="1771" w:type="dxa"/>
            <w:shd w:val="clear" w:color="auto" w:fill="auto"/>
          </w:tcPr>
          <w:p w:rsidRPr="00AE433F" w:rsidR="00AE433F" w:rsidP="00B473F9" w:rsidRDefault="00AE433F" w14:paraId="7705E945" w14:textId="77777777">
            <w:pPr>
              <w:spacing w:line="480" w:lineRule="auto"/>
              <w:jc w:val="center"/>
              <w:rPr>
                <w:sz w:val="22"/>
                <w:szCs w:val="22"/>
              </w:rPr>
            </w:pPr>
            <w:r w:rsidRPr="00AE433F">
              <w:rPr>
                <w:sz w:val="22"/>
                <w:szCs w:val="22"/>
              </w:rPr>
              <w:t>14</w:t>
            </w:r>
            <w:r w:rsidR="009D54E0">
              <w:rPr>
                <w:sz w:val="22"/>
                <w:szCs w:val="22"/>
              </w:rPr>
              <w:t>,</w:t>
            </w:r>
            <w:r w:rsidRPr="00AE433F">
              <w:rPr>
                <w:sz w:val="22"/>
                <w:szCs w:val="22"/>
              </w:rPr>
              <w:t>107</w:t>
            </w:r>
          </w:p>
        </w:tc>
        <w:tc>
          <w:tcPr>
            <w:tcW w:w="1771" w:type="dxa"/>
            <w:shd w:val="clear" w:color="auto" w:fill="auto"/>
          </w:tcPr>
          <w:p w:rsidRPr="00AE433F" w:rsidR="00AE433F" w:rsidP="00B473F9" w:rsidRDefault="00AE433F" w14:paraId="38D300C4" w14:textId="77777777">
            <w:pPr>
              <w:spacing w:line="480" w:lineRule="auto"/>
              <w:jc w:val="center"/>
              <w:rPr>
                <w:sz w:val="22"/>
                <w:szCs w:val="22"/>
              </w:rPr>
            </w:pPr>
            <w:r w:rsidRPr="00AE433F">
              <w:rPr>
                <w:sz w:val="22"/>
                <w:szCs w:val="22"/>
              </w:rPr>
              <w:t>92%</w:t>
            </w:r>
          </w:p>
        </w:tc>
      </w:tr>
      <w:tr w:rsidRPr="00AE433F" w:rsidR="00AE433F" w:rsidTr="00B473F9" w14:paraId="52820728" w14:textId="77777777">
        <w:tc>
          <w:tcPr>
            <w:tcW w:w="246" w:type="dxa"/>
            <w:shd w:val="clear" w:color="auto" w:fill="auto"/>
          </w:tcPr>
          <w:p w:rsidRPr="00AE433F" w:rsidR="00AE433F" w:rsidP="00B473F9" w:rsidRDefault="00AE433F" w14:paraId="20BA415D" w14:textId="77777777">
            <w:pPr>
              <w:contextualSpacing/>
              <w:jc w:val="center"/>
              <w:rPr>
                <w:b/>
                <w:sz w:val="22"/>
                <w:szCs w:val="22"/>
              </w:rPr>
            </w:pPr>
            <w:r w:rsidRPr="00AE433F">
              <w:rPr>
                <w:b/>
                <w:sz w:val="22"/>
                <w:szCs w:val="22"/>
              </w:rPr>
              <w:t>Average Total per Year (above)</w:t>
            </w:r>
          </w:p>
        </w:tc>
        <w:tc>
          <w:tcPr>
            <w:tcW w:w="1771" w:type="dxa"/>
            <w:shd w:val="clear" w:color="auto" w:fill="auto"/>
          </w:tcPr>
          <w:p w:rsidRPr="00AE433F" w:rsidR="00AE433F" w:rsidP="00B473F9" w:rsidRDefault="00AE433F" w14:paraId="246A4702" w14:textId="77777777">
            <w:pPr>
              <w:spacing w:line="480" w:lineRule="auto"/>
              <w:jc w:val="center"/>
              <w:rPr>
                <w:b/>
                <w:sz w:val="22"/>
                <w:szCs w:val="22"/>
              </w:rPr>
            </w:pPr>
            <w:r w:rsidRPr="00AE433F">
              <w:rPr>
                <w:b/>
                <w:sz w:val="22"/>
                <w:szCs w:val="22"/>
              </w:rPr>
              <w:t>16</w:t>
            </w:r>
            <w:r w:rsidR="009D54E0">
              <w:rPr>
                <w:b/>
                <w:sz w:val="22"/>
                <w:szCs w:val="22"/>
              </w:rPr>
              <w:t>,</w:t>
            </w:r>
            <w:r w:rsidRPr="00AE433F">
              <w:rPr>
                <w:b/>
                <w:sz w:val="22"/>
                <w:szCs w:val="22"/>
              </w:rPr>
              <w:t>348</w:t>
            </w:r>
          </w:p>
        </w:tc>
        <w:tc>
          <w:tcPr>
            <w:tcW w:w="1771" w:type="dxa"/>
            <w:shd w:val="clear" w:color="auto" w:fill="auto"/>
          </w:tcPr>
          <w:p w:rsidRPr="00AE433F" w:rsidR="00AE433F" w:rsidP="00B473F9" w:rsidRDefault="00AE433F" w14:paraId="1C32D060" w14:textId="77777777">
            <w:pPr>
              <w:spacing w:line="480" w:lineRule="auto"/>
              <w:jc w:val="center"/>
              <w:rPr>
                <w:b/>
                <w:sz w:val="22"/>
                <w:szCs w:val="22"/>
              </w:rPr>
            </w:pPr>
            <w:r w:rsidRPr="00AE433F">
              <w:rPr>
                <w:b/>
                <w:sz w:val="22"/>
                <w:szCs w:val="22"/>
              </w:rPr>
              <w:t>14</w:t>
            </w:r>
            <w:r w:rsidR="009D54E0">
              <w:rPr>
                <w:b/>
                <w:sz w:val="22"/>
                <w:szCs w:val="22"/>
              </w:rPr>
              <w:t>,</w:t>
            </w:r>
            <w:r w:rsidRPr="00AE433F">
              <w:rPr>
                <w:b/>
                <w:sz w:val="22"/>
                <w:szCs w:val="22"/>
              </w:rPr>
              <w:t>713</w:t>
            </w:r>
          </w:p>
        </w:tc>
        <w:tc>
          <w:tcPr>
            <w:tcW w:w="1771" w:type="dxa"/>
            <w:shd w:val="clear" w:color="auto" w:fill="auto"/>
          </w:tcPr>
          <w:p w:rsidRPr="00AE433F" w:rsidR="00AE433F" w:rsidP="00B473F9" w:rsidRDefault="00AE433F" w14:paraId="6470B2A3" w14:textId="77777777">
            <w:pPr>
              <w:spacing w:line="480" w:lineRule="auto"/>
              <w:jc w:val="center"/>
              <w:rPr>
                <w:b/>
                <w:sz w:val="22"/>
                <w:szCs w:val="22"/>
              </w:rPr>
            </w:pPr>
            <w:r w:rsidRPr="00AE433F">
              <w:rPr>
                <w:b/>
                <w:sz w:val="22"/>
                <w:szCs w:val="22"/>
              </w:rPr>
              <w:t>90%</w:t>
            </w:r>
          </w:p>
        </w:tc>
      </w:tr>
    </w:tbl>
    <w:p w:rsidRPr="00AE433F" w:rsidR="00AE433F" w:rsidP="00AE433F" w:rsidRDefault="00AE433F" w14:paraId="6159719B" w14:textId="77777777">
      <w:pPr>
        <w:shd w:val="clear" w:color="auto" w:fill="FFFFFF"/>
        <w:spacing w:line="480" w:lineRule="auto"/>
        <w:ind w:firstLine="720"/>
      </w:pPr>
    </w:p>
    <w:p w:rsidRPr="00AE433F" w:rsidR="00AE433F" w:rsidP="00AE433F" w:rsidRDefault="00AE433F" w14:paraId="3F682C9D" w14:textId="77777777">
      <w:pPr>
        <w:shd w:val="clear" w:color="auto" w:fill="FFFFFF"/>
        <w:spacing w:line="480" w:lineRule="auto"/>
        <w:ind w:firstLine="720"/>
      </w:pPr>
    </w:p>
    <w:p w:rsidR="0081218A" w:rsidP="00AE433F" w:rsidRDefault="0081218A" w14:paraId="1A844CB1" w14:textId="77777777">
      <w:pPr>
        <w:rPr>
          <w:i/>
        </w:rPr>
      </w:pPr>
    </w:p>
    <w:p w:rsidR="0081218A" w:rsidP="00AE433F" w:rsidRDefault="0081218A" w14:paraId="607EEAFB" w14:textId="77777777">
      <w:pPr>
        <w:rPr>
          <w:i/>
        </w:rPr>
      </w:pPr>
    </w:p>
    <w:p w:rsidR="008428E4" w:rsidP="00AE433F" w:rsidRDefault="008428E4" w14:paraId="5C1EA887" w14:textId="77777777">
      <w:pPr>
        <w:rPr>
          <w:i/>
        </w:rPr>
      </w:pPr>
    </w:p>
    <w:p w:rsidR="00B473F9" w:rsidP="00AE433F" w:rsidRDefault="00B473F9" w14:paraId="4CE71E39" w14:textId="77777777">
      <w:pPr>
        <w:rPr>
          <w:i/>
        </w:rPr>
      </w:pPr>
    </w:p>
    <w:p w:rsidR="00B473F9" w:rsidP="00AE433F" w:rsidRDefault="00B473F9" w14:paraId="02CBF500" w14:textId="77777777">
      <w:pPr>
        <w:rPr>
          <w:i/>
        </w:rPr>
      </w:pPr>
    </w:p>
    <w:p w:rsidRPr="00AE433F" w:rsidR="00AE433F" w:rsidP="00AE433F" w:rsidRDefault="00AE433F" w14:paraId="0009805F" w14:textId="6582C243">
      <w:r w:rsidRPr="00AE433F">
        <w:rPr>
          <w:i/>
        </w:rPr>
        <w:t xml:space="preserve">Respondents: </w:t>
      </w:r>
      <w:r w:rsidRPr="00AE433F">
        <w:t>Consumers that Choose to File an Online Complaint/Comment with the Office of Aviation Consumer Protection.</w:t>
      </w:r>
    </w:p>
    <w:p w:rsidRPr="00AE433F" w:rsidR="00AE433F" w:rsidP="00AE433F" w:rsidRDefault="00AE433F" w14:paraId="078E602E" w14:textId="77777777"/>
    <w:p w:rsidR="00AE433F" w:rsidP="00AE433F" w:rsidRDefault="00AE433F" w14:paraId="7C0C89DE" w14:textId="77777777">
      <w:r w:rsidRPr="00AE433F">
        <w:rPr>
          <w:i/>
        </w:rPr>
        <w:t xml:space="preserve">Estimated Number of Respondents: </w:t>
      </w:r>
      <w:r w:rsidRPr="00AE433F">
        <w:t>14,713 (based on averaging data from CYs 2017-19).</w:t>
      </w:r>
    </w:p>
    <w:p w:rsidR="00AE433F" w:rsidP="00AE433F" w:rsidRDefault="00AE433F" w14:paraId="08120A3F" w14:textId="77777777"/>
    <w:p w:rsidR="00AE433F" w:rsidP="00AE433F" w:rsidRDefault="00AE433F" w14:paraId="371FD93F" w14:textId="77777777">
      <w:r w:rsidRPr="00D803B2">
        <w:rPr>
          <w:i/>
          <w:iCs/>
        </w:rPr>
        <w:t>Estimated Annual Burden on Respondents:</w:t>
      </w:r>
      <w:r w:rsidRPr="001F5B55">
        <w:t xml:space="preserve"> </w:t>
      </w:r>
      <w:r>
        <w:t>A maximum of</w:t>
      </w:r>
      <w:r w:rsidRPr="001F5B55">
        <w:t xml:space="preserve"> 15</w:t>
      </w:r>
      <w:r>
        <w:t xml:space="preserve"> minutes per year for each respondent. </w:t>
      </w:r>
      <w:r w:rsidRPr="001F5B55">
        <w:t>The estimate was calculated by multiply</w:t>
      </w:r>
      <w:r>
        <w:t>ing the estimated time for a consumer to submit i</w:t>
      </w:r>
      <w:r w:rsidRPr="001F5B55">
        <w:t>n</w:t>
      </w:r>
      <w:r>
        <w:t xml:space="preserve">formation using the on-line form </w:t>
      </w:r>
      <w:r w:rsidRPr="001F5B55">
        <w:t xml:space="preserve">(15 minutes) by </w:t>
      </w:r>
      <w:r>
        <w:t>the estimated total number of on-line complaints/comments submitted</w:t>
      </w:r>
      <w:r w:rsidRPr="001F5B55">
        <w:t xml:space="preserve"> per respondent (</w:t>
      </w:r>
      <w:r>
        <w:t>one) in 2017</w:t>
      </w:r>
      <w:r w:rsidRPr="001F5B55">
        <w:t xml:space="preserve">. </w:t>
      </w:r>
    </w:p>
    <w:p w:rsidRPr="00AE433F" w:rsidR="00AE433F" w:rsidP="00AE433F" w:rsidRDefault="00AE433F" w14:paraId="5BDE0EDE" w14:textId="77777777"/>
    <w:p w:rsidRPr="00AE433F" w:rsidR="00AE433F" w:rsidP="00AE433F" w:rsidRDefault="00AE433F" w14:paraId="70ED3156" w14:textId="77777777">
      <w:r w:rsidRPr="00AE433F">
        <w:rPr>
          <w:i/>
        </w:rPr>
        <w:t xml:space="preserve">Estimated Total Burden on Respondents: </w:t>
      </w:r>
      <w:r w:rsidRPr="00AE433F">
        <w:t>3,678.25 hours (220,695 minutes). The estimate was calculated by multiplying the average number of cases filed using the online form in CYs17-19 (14,713) by the time needed to fill out the online form (15 minutes).</w:t>
      </w:r>
    </w:p>
    <w:p w:rsidR="00AE433F" w:rsidP="00232965" w:rsidRDefault="00AE433F" w14:paraId="568AB683" w14:textId="77777777"/>
    <w:p w:rsidR="00232965" w:rsidP="00232965" w:rsidRDefault="00232965" w14:paraId="7052C186" w14:textId="77777777">
      <w:r w:rsidRPr="001F5B55">
        <w:t xml:space="preserve">Frequency: </w:t>
      </w:r>
      <w:r>
        <w:t>A maximum of</w:t>
      </w:r>
      <w:r w:rsidR="004D66D5">
        <w:t xml:space="preserve"> one</w:t>
      </w:r>
      <w:r w:rsidR="003656B7">
        <w:t xml:space="preserve"> set of</w:t>
      </w:r>
      <w:r w:rsidR="00E85903">
        <w:t xml:space="preserve"> information to </w:t>
      </w:r>
      <w:r w:rsidR="00C52786">
        <w:t xml:space="preserve">be </w:t>
      </w:r>
      <w:r w:rsidR="00E85903">
        <w:t>submit</w:t>
      </w:r>
      <w:r w:rsidR="00C52786">
        <w:t>ted</w:t>
      </w:r>
      <w:r w:rsidRPr="001F5B55">
        <w:t xml:space="preserve"> per year for each respondent.  (</w:t>
      </w:r>
      <w:r w:rsidRPr="009D54E0" w:rsidR="009D54E0">
        <w:rPr>
          <w:iCs/>
        </w:rPr>
        <w:t>Note:</w:t>
      </w:r>
      <w:r w:rsidR="009D54E0">
        <w:rPr>
          <w:i/>
        </w:rPr>
        <w:t xml:space="preserve"> </w:t>
      </w:r>
      <w:r w:rsidR="00627551">
        <w:t xml:space="preserve">The </w:t>
      </w:r>
      <w:r w:rsidR="00E922FC">
        <w:t xml:space="preserve">average number of </w:t>
      </w:r>
      <w:r w:rsidR="00D803B2">
        <w:t>14,713</w:t>
      </w:r>
      <w:r w:rsidR="00627551">
        <w:t xml:space="preserve"> respondents reflect</w:t>
      </w:r>
      <w:r w:rsidR="00E922FC">
        <w:t>s</w:t>
      </w:r>
      <w:r w:rsidR="00627551">
        <w:t xml:space="preserve"> a count for the total number of </w:t>
      </w:r>
      <w:r w:rsidR="00C52786">
        <w:t xml:space="preserve">on-line </w:t>
      </w:r>
      <w:r w:rsidR="00627551">
        <w:t>complaints</w:t>
      </w:r>
      <w:r w:rsidR="003415B2">
        <w:t xml:space="preserve"> </w:t>
      </w:r>
      <w:r w:rsidR="006E1AA1">
        <w:t xml:space="preserve">and </w:t>
      </w:r>
      <w:r w:rsidR="00327B35">
        <w:t xml:space="preserve">comments </w:t>
      </w:r>
      <w:r w:rsidR="003415B2">
        <w:t>submitted</w:t>
      </w:r>
      <w:r w:rsidR="006E1AA1">
        <w:t xml:space="preserve"> to </w:t>
      </w:r>
      <w:r w:rsidR="00D803B2">
        <w:t>OACP</w:t>
      </w:r>
      <w:r w:rsidR="00627551">
        <w:t xml:space="preserve"> and a small portion of that number may reflect multiple complaints from the same individuals</w:t>
      </w:r>
      <w:r w:rsidR="00E85903">
        <w:t>).</w:t>
      </w:r>
    </w:p>
    <w:p w:rsidRPr="00595FD7" w:rsidR="00232965" w:rsidP="00232965" w:rsidRDefault="00232965" w14:paraId="31D71E41" w14:textId="77777777"/>
    <w:p w:rsidRPr="001F5B55" w:rsidR="00232965" w:rsidP="00232965" w:rsidRDefault="00232965" w14:paraId="24B05EBC" w14:textId="77777777">
      <w:r w:rsidRPr="001F5B55">
        <w:t xml:space="preserve">13. </w:t>
      </w:r>
      <w:r w:rsidRPr="001F5B55">
        <w:rPr>
          <w:u w:val="single"/>
        </w:rPr>
        <w:t>Estimate of total annual costs to respondents</w:t>
      </w:r>
      <w:r w:rsidRPr="001F5B55">
        <w:t xml:space="preserve">.  </w:t>
      </w:r>
      <w:r w:rsidRPr="001F5B55">
        <w:rPr>
          <w:b/>
          <w:bCs/>
          <w:i/>
          <w:iCs/>
        </w:rPr>
        <w:t>Provide an estimate of the total annual cost burden to respondents or record</w:t>
      </w:r>
      <w:r w:rsidR="00C52786">
        <w:rPr>
          <w:b/>
          <w:bCs/>
          <w:i/>
          <w:iCs/>
        </w:rPr>
        <w:t xml:space="preserve"> </w:t>
      </w:r>
      <w:r w:rsidRPr="001F5B55">
        <w:rPr>
          <w:b/>
          <w:bCs/>
          <w:i/>
          <w:iCs/>
        </w:rPr>
        <w:t>keepers resulting from the collection of information</w:t>
      </w:r>
      <w:r w:rsidRPr="001F5B55">
        <w:rPr>
          <w:bCs/>
          <w:iCs/>
        </w:rPr>
        <w:t xml:space="preserve">. </w:t>
      </w:r>
    </w:p>
    <w:p w:rsidRPr="001F5B55" w:rsidR="00232965" w:rsidP="00232965" w:rsidRDefault="00232965" w14:paraId="1D2F11D7" w14:textId="77777777">
      <w:r w:rsidRPr="001F5B55">
        <w:t xml:space="preserve"> </w:t>
      </w:r>
    </w:p>
    <w:p w:rsidRPr="001F5B55" w:rsidR="00232965" w:rsidP="00232965" w:rsidRDefault="00232965" w14:paraId="31CC19C8" w14:textId="77777777">
      <w:r w:rsidRPr="001F5B55">
        <w:t xml:space="preserve">The Department estimates that the total annual cost burden to respondents resulting from the first requirement will be </w:t>
      </w:r>
      <w:r w:rsidR="002E7EF3">
        <w:t>negligible, as consu</w:t>
      </w:r>
      <w:r w:rsidR="006E1AA1">
        <w:t>mers filing via the</w:t>
      </w:r>
      <w:r w:rsidR="00327B35">
        <w:t xml:space="preserve"> </w:t>
      </w:r>
      <w:r w:rsidR="00D803B2">
        <w:t>OACP</w:t>
      </w:r>
      <w:r w:rsidR="00327B35">
        <w:t xml:space="preserve"> website online f</w:t>
      </w:r>
      <w:r w:rsidR="006E1AA1">
        <w:t>o</w:t>
      </w:r>
      <w:r w:rsidR="00327B35">
        <w:t>r</w:t>
      </w:r>
      <w:r w:rsidR="006E1AA1">
        <w:t>m</w:t>
      </w:r>
      <w:r w:rsidR="00287240">
        <w:t xml:space="preserve"> will already</w:t>
      </w:r>
      <w:r w:rsidR="002E7EF3">
        <w:t xml:space="preserve"> have acc</w:t>
      </w:r>
      <w:r w:rsidR="00C56A5C">
        <w:t>ess to a computer and a web provider</w:t>
      </w:r>
      <w:r w:rsidR="006E1AA1">
        <w:t xml:space="preserve"> by which to submit their complaint or other information</w:t>
      </w:r>
      <w:r w:rsidR="002E7EF3">
        <w:t>.</w:t>
      </w:r>
      <w:r w:rsidR="00C56A5C">
        <w:t xml:space="preserve"> We assume t</w:t>
      </w:r>
      <w:r w:rsidR="00287240">
        <w:t>he</w:t>
      </w:r>
      <w:r w:rsidR="006E1AA1">
        <w:t xml:space="preserve"> costs of electronic submissions</w:t>
      </w:r>
      <w:r w:rsidR="00C56A5C">
        <w:t xml:space="preserve"> are less than </w:t>
      </w:r>
      <w:r w:rsidR="005B771C">
        <w:t>those</w:t>
      </w:r>
      <w:r w:rsidR="00522CC6">
        <w:t xml:space="preserve"> associated with filing</w:t>
      </w:r>
      <w:r w:rsidR="005B771C">
        <w:t xml:space="preserve"> </w:t>
      </w:r>
      <w:r w:rsidR="002E7EF3">
        <w:t>using</w:t>
      </w:r>
      <w:r w:rsidR="00C56A5C">
        <w:t xml:space="preserve"> regular</w:t>
      </w:r>
      <w:r w:rsidR="002E7EF3">
        <w:t xml:space="preserve"> mail (e.g</w:t>
      </w:r>
      <w:r w:rsidR="00C56A5C">
        <w:t xml:space="preserve">. costs of stamp, envelope, </w:t>
      </w:r>
      <w:r w:rsidR="002E7EF3">
        <w:t>paper</w:t>
      </w:r>
      <w:r w:rsidR="00C56A5C">
        <w:t>, and amount of time</w:t>
      </w:r>
      <w:r w:rsidR="002E7EF3">
        <w:t>)</w:t>
      </w:r>
      <w:r w:rsidR="00627551">
        <w:t xml:space="preserve"> or </w:t>
      </w:r>
      <w:proofErr w:type="gramStart"/>
      <w:r w:rsidR="00627551">
        <w:t>long distance</w:t>
      </w:r>
      <w:proofErr w:type="gramEnd"/>
      <w:r w:rsidR="00627551">
        <w:t xml:space="preserve"> telephone charges</w:t>
      </w:r>
      <w:r w:rsidR="002E7EF3">
        <w:t>.</w:t>
      </w:r>
    </w:p>
    <w:p w:rsidRPr="001F5B55" w:rsidR="00232965" w:rsidP="00232965" w:rsidRDefault="00232965" w14:paraId="7E05DBBA" w14:textId="77777777"/>
    <w:p w:rsidRPr="001F5B55" w:rsidR="00232965" w:rsidP="00232965" w:rsidRDefault="00232965" w14:paraId="41CB791D" w14:textId="77777777">
      <w:r w:rsidRPr="001F5B55">
        <w:t xml:space="preserve">14. </w:t>
      </w:r>
      <w:r w:rsidRPr="001F5B55">
        <w:rPr>
          <w:u w:val="single"/>
        </w:rPr>
        <w:t>Estimate of cost to the Federal government</w:t>
      </w:r>
      <w:r w:rsidRPr="001F5B55">
        <w:t xml:space="preserve">.  </w:t>
      </w:r>
      <w:r w:rsidRPr="001F5B55">
        <w:rPr>
          <w:b/>
          <w:bCs/>
          <w:i/>
          <w:iCs/>
        </w:rPr>
        <w:t>Provide estimates of annualized cost to the Federal Government</w:t>
      </w:r>
      <w:r w:rsidRPr="001F5B55">
        <w:t>.</w:t>
      </w:r>
    </w:p>
    <w:p w:rsidR="00232965" w:rsidP="00232965" w:rsidRDefault="00232965" w14:paraId="35F221D5" w14:textId="77777777"/>
    <w:p w:rsidR="00C314AA" w:rsidP="00E85903" w:rsidRDefault="00C314AA" w14:paraId="2508A91E" w14:textId="77777777">
      <w:r>
        <w:t>Costs to the Department are negligible</w:t>
      </w:r>
      <w:r w:rsidR="001406A5">
        <w:t>, as processing these requests</w:t>
      </w:r>
      <w:r>
        <w:t xml:space="preserve"> are w</w:t>
      </w:r>
      <w:r w:rsidR="006421F2">
        <w:t>ithin the scope of duties of the</w:t>
      </w:r>
      <w:r>
        <w:t xml:space="preserve"> office’s personnel.  The Department estimates that the costs to</w:t>
      </w:r>
      <w:r w:rsidR="00522CC6">
        <w:t xml:space="preserve"> process web-based complaints are</w:t>
      </w:r>
      <w:r>
        <w:t xml:space="preserve"> less than those received via traditional mail</w:t>
      </w:r>
      <w:r w:rsidR="00627551">
        <w:t xml:space="preserve"> or telephone</w:t>
      </w:r>
      <w:r>
        <w:t>, as the forme</w:t>
      </w:r>
      <w:r w:rsidR="00627551">
        <w:t>r are uploaded directly into the</w:t>
      </w:r>
      <w:r>
        <w:t xml:space="preserve"> office’s electronic data base for processing.</w:t>
      </w:r>
    </w:p>
    <w:p w:rsidR="00C314AA" w:rsidP="00E85903" w:rsidRDefault="00C314AA" w14:paraId="584CBB57" w14:textId="77777777"/>
    <w:p w:rsidRPr="00587CF6" w:rsidR="00E85903" w:rsidP="00E85903" w:rsidRDefault="00900B8A" w14:paraId="12BBD179" w14:textId="7F083108">
      <w:r>
        <w:lastRenderedPageBreak/>
        <w:t xml:space="preserve">Any operation and maintenance costs attributed to this collection are minimal because the online form is </w:t>
      </w:r>
      <w:r w:rsidR="00C63740">
        <w:t xml:space="preserve">already a </w:t>
      </w:r>
      <w:r>
        <w:t xml:space="preserve">part of the </w:t>
      </w:r>
      <w:r w:rsidR="00D803B2">
        <w:t>OACP</w:t>
      </w:r>
      <w:r>
        <w:t>’s</w:t>
      </w:r>
      <w:r w:rsidR="00C63740">
        <w:t xml:space="preserve"> larger</w:t>
      </w:r>
      <w:r>
        <w:t xml:space="preserve"> website that is used to provide consumers</w:t>
      </w:r>
      <w:r w:rsidR="00522CC6">
        <w:t xml:space="preserve"> and regulated entities</w:t>
      </w:r>
      <w:r>
        <w:t xml:space="preserve"> with infor</w:t>
      </w:r>
      <w:r w:rsidR="005B771C">
        <w:t>mation about other aspects of the Enforcement Office’s programs</w:t>
      </w:r>
      <w:r w:rsidR="00522CC6">
        <w:t>, policies,</w:t>
      </w:r>
      <w:r w:rsidR="005B771C">
        <w:t xml:space="preserve"> and procedures</w:t>
      </w:r>
      <w:r>
        <w:t xml:space="preserve"> (e.g. rules, guidance documents).</w:t>
      </w:r>
    </w:p>
    <w:p w:rsidRPr="001F5B55" w:rsidR="00232965" w:rsidP="00232965" w:rsidRDefault="00232965" w14:paraId="4A5FD2C4" w14:textId="77777777"/>
    <w:p w:rsidRPr="001F5B55" w:rsidR="00232965" w:rsidP="00232965" w:rsidRDefault="00232965" w14:paraId="592591CD" w14:textId="77777777">
      <w:r w:rsidRPr="001F5B55">
        <w:t xml:space="preserve">15. </w:t>
      </w:r>
      <w:r w:rsidRPr="001F5B55">
        <w:rPr>
          <w:u w:val="single"/>
        </w:rPr>
        <w:t>Explanation of program changes or adjustments</w:t>
      </w:r>
      <w:r w:rsidRPr="001F5B55">
        <w:t xml:space="preserve">.  </w:t>
      </w:r>
      <w:r w:rsidRPr="001F5B55">
        <w:rPr>
          <w:b/>
          <w:bCs/>
          <w:i/>
          <w:iCs/>
        </w:rPr>
        <w:t>Explain the reasons for any program changes or adjustments reported</w:t>
      </w:r>
      <w:r w:rsidRPr="001F5B55">
        <w:t>.</w:t>
      </w:r>
    </w:p>
    <w:p w:rsidRPr="001F5B55" w:rsidR="00232965" w:rsidP="00232965" w:rsidRDefault="00232965" w14:paraId="11575532" w14:textId="77777777"/>
    <w:p w:rsidR="00232965" w:rsidP="00232965" w:rsidRDefault="00327B35" w14:paraId="5E6C0BF8" w14:textId="77777777">
      <w:r>
        <w:t xml:space="preserve">There are no changes or adjustments to the program. </w:t>
      </w:r>
      <w:r w:rsidR="006E1AA1">
        <w:t>There is an increase in</w:t>
      </w:r>
      <w:r>
        <w:t xml:space="preserve"> total</w:t>
      </w:r>
      <w:r w:rsidR="006E1AA1">
        <w:t xml:space="preserve"> burden hours as more consumers are choosing to file </w:t>
      </w:r>
      <w:r>
        <w:t>complaints and comments</w:t>
      </w:r>
      <w:r w:rsidR="006E1AA1">
        <w:t xml:space="preserve"> </w:t>
      </w:r>
      <w:r w:rsidR="00682AFB">
        <w:t xml:space="preserve">using the </w:t>
      </w:r>
      <w:r w:rsidR="006E1AA1">
        <w:t>online</w:t>
      </w:r>
      <w:r w:rsidR="00682AFB">
        <w:t xml:space="preserve"> form</w:t>
      </w:r>
      <w:r w:rsidR="004F6702">
        <w:t>.</w:t>
      </w:r>
    </w:p>
    <w:p w:rsidRPr="001F5B55" w:rsidR="00E85903" w:rsidP="00232965" w:rsidRDefault="00E85903" w14:paraId="72141AC2" w14:textId="77777777"/>
    <w:p w:rsidRPr="001F5B55" w:rsidR="00232965" w:rsidP="00232965" w:rsidRDefault="00232965" w14:paraId="08537360" w14:textId="77777777">
      <w:r w:rsidRPr="001F5B55">
        <w:t xml:space="preserve">16. </w:t>
      </w:r>
      <w:r w:rsidRPr="001F5B55">
        <w:rPr>
          <w:u w:val="single"/>
        </w:rPr>
        <w:t>Publication of results of data collection</w:t>
      </w:r>
      <w:r w:rsidRPr="001F5B55">
        <w:t xml:space="preserve">.  </w:t>
      </w:r>
      <w:r w:rsidRPr="001F5B55">
        <w:rPr>
          <w:b/>
          <w:bCs/>
          <w:i/>
          <w:iCs/>
        </w:rPr>
        <w:t>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1F5B55">
        <w:t>.</w:t>
      </w:r>
    </w:p>
    <w:p w:rsidRPr="001F5B55" w:rsidR="00232965" w:rsidP="00232965" w:rsidRDefault="00232965" w14:paraId="047DD6C3" w14:textId="77777777"/>
    <w:p w:rsidR="001617FB" w:rsidP="001617FB" w:rsidRDefault="002122EA" w14:paraId="6AA4A2BF" w14:textId="77777777">
      <w:r>
        <w:t xml:space="preserve">The number of complaints </w:t>
      </w:r>
      <w:r w:rsidR="006E1AA1">
        <w:t>submitted by consumers is</w:t>
      </w:r>
      <w:r w:rsidR="00F37611">
        <w:t xml:space="preserve"> entered in</w:t>
      </w:r>
      <w:r w:rsidR="00C52786">
        <w:t>to</w:t>
      </w:r>
      <w:r w:rsidR="004D1754">
        <w:t xml:space="preserve"> the Department’s</w:t>
      </w:r>
      <w:r w:rsidR="00F37611">
        <w:t xml:space="preserve"> computerized aviation ind</w:t>
      </w:r>
      <w:r w:rsidR="006E1AA1">
        <w:t>ustry monitoring system and is</w:t>
      </w:r>
      <w:r w:rsidR="00F37611">
        <w:t xml:space="preserve"> </w:t>
      </w:r>
      <w:r w:rsidR="00C52786">
        <w:t xml:space="preserve">attributed to the airline </w:t>
      </w:r>
      <w:r>
        <w:t xml:space="preserve">or ticket agent that is the subject of the complaint </w:t>
      </w:r>
      <w:r w:rsidR="00F37611">
        <w:t xml:space="preserve">in the monthly Air Travel Consumer Report. This </w:t>
      </w:r>
      <w:r w:rsidR="00F503A2">
        <w:t xml:space="preserve">is a longstanding monthly </w:t>
      </w:r>
      <w:r w:rsidR="00F37611">
        <w:t xml:space="preserve">report </w:t>
      </w:r>
      <w:r w:rsidR="00F503A2">
        <w:t xml:space="preserve">that </w:t>
      </w:r>
      <w:r>
        <w:t xml:space="preserve">includes a variety of aviation-related information collected by the Department, including the </w:t>
      </w:r>
      <w:r w:rsidR="00F503A2">
        <w:t>number of consumer complaints</w:t>
      </w:r>
      <w:r>
        <w:t xml:space="preserve">.  The report </w:t>
      </w:r>
      <w:r w:rsidR="00F37611">
        <w:t xml:space="preserve">is distributed to the industry and made available to the news media and the </w:t>
      </w:r>
      <w:proofErr w:type="gramStart"/>
      <w:r w:rsidR="00F37611">
        <w:t>general public</w:t>
      </w:r>
      <w:proofErr w:type="gramEnd"/>
      <w:r w:rsidR="00F37611">
        <w:t xml:space="preserve"> so that consumers and air travel com</w:t>
      </w:r>
      <w:r w:rsidR="006E1AA1">
        <w:t>panies can compare the</w:t>
      </w:r>
      <w:r w:rsidR="00F37611">
        <w:t xml:space="preserve"> records of individual airlines and tour operators.</w:t>
      </w:r>
      <w:r w:rsidR="004D1754">
        <w:t xml:space="preserve">  These reports are available at</w:t>
      </w:r>
      <w:r w:rsidR="00D803B2">
        <w:t xml:space="preserve"> </w:t>
      </w:r>
      <w:r w:rsidRPr="00D803B2" w:rsidR="00D803B2">
        <w:t>https://www.transportation.gov/airconsumer</w:t>
      </w:r>
      <w:hyperlink w:history="1"/>
      <w:r w:rsidR="00F97B0A">
        <w:t xml:space="preserve">.  </w:t>
      </w:r>
    </w:p>
    <w:p w:rsidRPr="001F5B55" w:rsidR="00232965" w:rsidP="00232965" w:rsidRDefault="00232965" w14:paraId="49046429" w14:textId="77777777"/>
    <w:p w:rsidRPr="001F5B55" w:rsidR="00232965" w:rsidP="00232965" w:rsidRDefault="00232965" w14:paraId="48834C84" w14:textId="77777777">
      <w:r w:rsidRPr="001F5B55">
        <w:t xml:space="preserve">17. </w:t>
      </w:r>
      <w:r w:rsidRPr="001F5B55">
        <w:rPr>
          <w:u w:val="single"/>
        </w:rPr>
        <w:t>Approval for not displaying the expiration date of OMB approval</w:t>
      </w:r>
      <w:r w:rsidRPr="001F5B55">
        <w:t xml:space="preserve">.  </w:t>
      </w:r>
      <w:r w:rsidRPr="001F5B55">
        <w:rPr>
          <w:b/>
          <w:bCs/>
          <w:i/>
          <w:iCs/>
        </w:rPr>
        <w:t>If seeking approval to not display the expiration date for OMB approval of the information collections, explain the reasons that display would be inappropriate</w:t>
      </w:r>
      <w:r w:rsidRPr="001F5B55">
        <w:t>.</w:t>
      </w:r>
    </w:p>
    <w:p w:rsidRPr="001F5B55" w:rsidR="00232965" w:rsidP="00232965" w:rsidRDefault="00232965" w14:paraId="701B32B3" w14:textId="77777777"/>
    <w:p w:rsidRPr="001F5B55" w:rsidR="00232965" w:rsidP="00232965" w:rsidRDefault="00232965" w14:paraId="5E74F98F" w14:textId="77777777">
      <w:pPr>
        <w:outlineLvl w:val="0"/>
      </w:pPr>
      <w:r w:rsidRPr="001F5B55">
        <w:t>Not applicable.</w:t>
      </w:r>
      <w:r w:rsidR="00C52786">
        <w:t xml:space="preserve"> </w:t>
      </w:r>
    </w:p>
    <w:p w:rsidRPr="001F5B55" w:rsidR="00232965" w:rsidP="00232965" w:rsidRDefault="00232965" w14:paraId="4896B898" w14:textId="77777777"/>
    <w:p w:rsidRPr="001F5B55" w:rsidR="00232965" w:rsidP="00232965" w:rsidRDefault="00232965" w14:paraId="59346A4C" w14:textId="77777777">
      <w:r w:rsidRPr="001F5B55">
        <w:t xml:space="preserve">18. </w:t>
      </w:r>
      <w:r w:rsidRPr="001F5B55">
        <w:rPr>
          <w:u w:val="single"/>
        </w:rPr>
        <w:t>Exceptions to certification statement</w:t>
      </w:r>
      <w:r w:rsidRPr="001F5B55">
        <w:t xml:space="preserve">.  </w:t>
      </w:r>
      <w:r w:rsidRPr="001F5B55">
        <w:rPr>
          <w:b/>
          <w:bCs/>
          <w:i/>
          <w:iCs/>
        </w:rPr>
        <w:t>Explain each exception to the certification statement “Certification for Paperwork Reduction Act Submissions</w:t>
      </w:r>
      <w:r>
        <w:rPr>
          <w:b/>
          <w:bCs/>
          <w:i/>
          <w:iCs/>
        </w:rPr>
        <w:t>.</w:t>
      </w:r>
      <w:r w:rsidRPr="001F5B55">
        <w:rPr>
          <w:b/>
          <w:bCs/>
          <w:i/>
          <w:iCs/>
        </w:rPr>
        <w:t xml:space="preserve">” </w:t>
      </w:r>
    </w:p>
    <w:p w:rsidR="00232965" w:rsidP="00232965" w:rsidRDefault="00232965" w14:paraId="4ADEBF99" w14:textId="77777777">
      <w:pPr>
        <w:outlineLvl w:val="0"/>
      </w:pPr>
    </w:p>
    <w:p w:rsidRPr="001F5B55" w:rsidR="00232965" w:rsidP="00232965" w:rsidRDefault="00232965" w14:paraId="5E693030" w14:textId="77777777">
      <w:pPr>
        <w:outlineLvl w:val="0"/>
      </w:pPr>
      <w:r w:rsidRPr="001F5B55">
        <w:t>Not applicable.</w:t>
      </w:r>
    </w:p>
    <w:p w:rsidRPr="001F5B55" w:rsidR="00232965" w:rsidP="00232965" w:rsidRDefault="00232965" w14:paraId="046A98F4" w14:textId="77777777"/>
    <w:p w:rsidRPr="001F5B55" w:rsidR="00232965" w:rsidP="00232965" w:rsidRDefault="00232965" w14:paraId="087A7141" w14:textId="77777777"/>
    <w:p w:rsidRPr="001F5B55" w:rsidR="00232965" w:rsidP="00232965" w:rsidRDefault="00232965" w14:paraId="5C578F52" w14:textId="77777777"/>
    <w:p w:rsidRPr="001F5B55" w:rsidR="00232965" w:rsidP="00232965" w:rsidRDefault="00232965" w14:paraId="26222C49" w14:textId="77777777"/>
    <w:sectPr w:rsidRPr="001F5B55" w:rsidR="00232965" w:rsidSect="00E272B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538BD" w14:textId="77777777" w:rsidR="00C420B8" w:rsidRDefault="00C420B8" w:rsidP="007D3433">
      <w:r>
        <w:separator/>
      </w:r>
    </w:p>
  </w:endnote>
  <w:endnote w:type="continuationSeparator" w:id="0">
    <w:p w14:paraId="7F06C571" w14:textId="77777777" w:rsidR="00C420B8" w:rsidRDefault="00C420B8" w:rsidP="007D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61198" w14:textId="77777777" w:rsidR="00752089" w:rsidRDefault="00752089">
    <w:pPr>
      <w:pStyle w:val="Footer"/>
      <w:jc w:val="center"/>
    </w:pPr>
    <w:r>
      <w:fldChar w:fldCharType="begin"/>
    </w:r>
    <w:r>
      <w:instrText xml:space="preserve"> PAGE   \* MERGEFORMAT </w:instrText>
    </w:r>
    <w:r>
      <w:fldChar w:fldCharType="separate"/>
    </w:r>
    <w:r w:rsidR="00457AC3">
      <w:rPr>
        <w:noProof/>
      </w:rPr>
      <w:t>1</w:t>
    </w:r>
    <w:r>
      <w:fldChar w:fldCharType="end"/>
    </w:r>
  </w:p>
  <w:p w14:paraId="1EBDA0CE" w14:textId="77777777" w:rsidR="00752089" w:rsidRDefault="00752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4B0D4" w14:textId="77777777" w:rsidR="00C420B8" w:rsidRDefault="00C420B8" w:rsidP="007D3433">
      <w:r>
        <w:separator/>
      </w:r>
    </w:p>
  </w:footnote>
  <w:footnote w:type="continuationSeparator" w:id="0">
    <w:p w14:paraId="6A401513" w14:textId="77777777" w:rsidR="00C420B8" w:rsidRDefault="00C420B8" w:rsidP="007D3433">
      <w:r>
        <w:continuationSeparator/>
      </w:r>
    </w:p>
  </w:footnote>
  <w:footnote w:id="1">
    <w:p w14:paraId="7B2DBF7E" w14:textId="085AF2DE" w:rsidR="00D803B2" w:rsidRPr="00D803B2" w:rsidRDefault="00155C91" w:rsidP="00D803B2">
      <w:pPr>
        <w:pStyle w:val="FootnoteText"/>
      </w:pPr>
      <w:r>
        <w:rPr>
          <w:rStyle w:val="FootnoteReference"/>
        </w:rPr>
        <w:footnoteRef/>
      </w:r>
      <w:r>
        <w:t xml:space="preserve"> </w:t>
      </w:r>
      <w:r w:rsidR="00D803B2" w:rsidRPr="00D803B2">
        <w:t>In</w:t>
      </w:r>
      <w:r w:rsidR="0002548C">
        <w:t xml:space="preserve"> CYs</w:t>
      </w:r>
      <w:r w:rsidR="00D803B2" w:rsidRPr="00D803B2">
        <w:t xml:space="preserve"> 2020</w:t>
      </w:r>
      <w:r w:rsidR="009D54E0">
        <w:t>/21</w:t>
      </w:r>
      <w:r w:rsidR="00D803B2" w:rsidRPr="00D803B2">
        <w:t xml:space="preserve"> OACP received an unusually high number (</w:t>
      </w:r>
      <w:r w:rsidR="00D803B2" w:rsidRPr="00D803B2">
        <w:rPr>
          <w:color w:val="000000"/>
        </w:rPr>
        <w:t>100,613</w:t>
      </w:r>
      <w:r w:rsidR="00C76550">
        <w:rPr>
          <w:color w:val="000000"/>
        </w:rPr>
        <w:t>/48,015, respectively</w:t>
      </w:r>
      <w:r w:rsidR="00D803B2" w:rsidRPr="00D803B2">
        <w:rPr>
          <w:color w:val="000000"/>
        </w:rPr>
        <w:t>)</w:t>
      </w:r>
      <w:r w:rsidR="00D803B2" w:rsidRPr="00D803B2">
        <w:t xml:space="preserve"> of online submissions, primarily complaints, largely due to flight cancellations and refund issues that resulted from the Covid-19 pandemic. Using the average number of submissions from the three previous CYs</w:t>
      </w:r>
      <w:r w:rsidR="00D803B2">
        <w:t xml:space="preserve"> (17-19)</w:t>
      </w:r>
      <w:r w:rsidR="00D803B2" w:rsidRPr="00D803B2">
        <w:t xml:space="preserve"> more accurately reflects the annual number of </w:t>
      </w:r>
      <w:r w:rsidR="00C76550">
        <w:t xml:space="preserve">online </w:t>
      </w:r>
      <w:r w:rsidR="00D803B2" w:rsidRPr="00D803B2">
        <w:t>submissions received by our office.</w:t>
      </w:r>
    </w:p>
    <w:p w14:paraId="25184F05" w14:textId="77777777" w:rsidR="00D803B2" w:rsidRPr="00D803B2" w:rsidRDefault="00D803B2" w:rsidP="00D803B2">
      <w:pPr>
        <w:rPr>
          <w:sz w:val="20"/>
          <w:szCs w:val="20"/>
        </w:rPr>
      </w:pPr>
    </w:p>
    <w:p w14:paraId="309C2B3D" w14:textId="77777777" w:rsidR="00155C91" w:rsidRDefault="00155C91" w:rsidP="00155C9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99637" w14:textId="44AD7922" w:rsidR="00ED2946" w:rsidRDefault="00B473F9">
    <w:pPr>
      <w:pStyle w:val="Header"/>
    </w:pPr>
    <w:r>
      <w:t xml:space="preserve">Final </w:t>
    </w:r>
    <w:r w:rsidR="00ED2946">
      <w:t>Supporting Statement</w:t>
    </w:r>
    <w:r w:rsidR="00C63740">
      <w:t xml:space="preserve"> to S-83 and OMB</w:t>
    </w:r>
    <w:r w:rsidR="00ED2946">
      <w:t xml:space="preserve">: </w:t>
    </w:r>
    <w:r w:rsidR="00C63740">
      <w:t>2/</w:t>
    </w:r>
    <w:r>
      <w:t>16</w:t>
    </w:r>
    <w:r w:rsidR="00C63740">
      <w:t>/</w:t>
    </w:r>
    <w:r w:rsidR="00ED2946">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70EE"/>
    <w:multiLevelType w:val="hybridMultilevel"/>
    <w:tmpl w:val="4D82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D37C75"/>
    <w:multiLevelType w:val="hybridMultilevel"/>
    <w:tmpl w:val="C7810D0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65"/>
    <w:rsid w:val="00013BEE"/>
    <w:rsid w:val="00020C22"/>
    <w:rsid w:val="00021C12"/>
    <w:rsid w:val="0002548C"/>
    <w:rsid w:val="000773ED"/>
    <w:rsid w:val="001406A5"/>
    <w:rsid w:val="00155C91"/>
    <w:rsid w:val="001617FB"/>
    <w:rsid w:val="0017397A"/>
    <w:rsid w:val="001D117D"/>
    <w:rsid w:val="001D21ED"/>
    <w:rsid w:val="001F368C"/>
    <w:rsid w:val="001F5776"/>
    <w:rsid w:val="002122EA"/>
    <w:rsid w:val="00232965"/>
    <w:rsid w:val="002756A0"/>
    <w:rsid w:val="002763EB"/>
    <w:rsid w:val="00277C2C"/>
    <w:rsid w:val="00287240"/>
    <w:rsid w:val="00287FCC"/>
    <w:rsid w:val="002E7EF3"/>
    <w:rsid w:val="00316AF7"/>
    <w:rsid w:val="00327B35"/>
    <w:rsid w:val="003415B2"/>
    <w:rsid w:val="003656B7"/>
    <w:rsid w:val="00395241"/>
    <w:rsid w:val="003D3E5C"/>
    <w:rsid w:val="00404853"/>
    <w:rsid w:val="00457AC3"/>
    <w:rsid w:val="00485B10"/>
    <w:rsid w:val="00494677"/>
    <w:rsid w:val="004A0530"/>
    <w:rsid w:val="004A21EB"/>
    <w:rsid w:val="004C101B"/>
    <w:rsid w:val="004D1754"/>
    <w:rsid w:val="004D66D5"/>
    <w:rsid w:val="004F6702"/>
    <w:rsid w:val="00522CC6"/>
    <w:rsid w:val="00531D5D"/>
    <w:rsid w:val="00555FB4"/>
    <w:rsid w:val="00583401"/>
    <w:rsid w:val="005901CB"/>
    <w:rsid w:val="005B461F"/>
    <w:rsid w:val="005B771C"/>
    <w:rsid w:val="005D7368"/>
    <w:rsid w:val="005F6423"/>
    <w:rsid w:val="00602D78"/>
    <w:rsid w:val="00617B86"/>
    <w:rsid w:val="00627551"/>
    <w:rsid w:val="006421F2"/>
    <w:rsid w:val="00647E6E"/>
    <w:rsid w:val="00676099"/>
    <w:rsid w:val="00682AFB"/>
    <w:rsid w:val="00691B3C"/>
    <w:rsid w:val="006A4F1E"/>
    <w:rsid w:val="006B3558"/>
    <w:rsid w:val="006E1AA1"/>
    <w:rsid w:val="00731B3A"/>
    <w:rsid w:val="00736E05"/>
    <w:rsid w:val="007372C8"/>
    <w:rsid w:val="00743966"/>
    <w:rsid w:val="00752089"/>
    <w:rsid w:val="007C6BFE"/>
    <w:rsid w:val="007D3433"/>
    <w:rsid w:val="0081218A"/>
    <w:rsid w:val="008414E1"/>
    <w:rsid w:val="008428E4"/>
    <w:rsid w:val="00887093"/>
    <w:rsid w:val="008E6A5B"/>
    <w:rsid w:val="00900B8A"/>
    <w:rsid w:val="009353F4"/>
    <w:rsid w:val="00975B06"/>
    <w:rsid w:val="00976E80"/>
    <w:rsid w:val="009D54E0"/>
    <w:rsid w:val="009E4573"/>
    <w:rsid w:val="00A16106"/>
    <w:rsid w:val="00A32873"/>
    <w:rsid w:val="00A62411"/>
    <w:rsid w:val="00A956EF"/>
    <w:rsid w:val="00AA01D5"/>
    <w:rsid w:val="00AC3968"/>
    <w:rsid w:val="00AD17F4"/>
    <w:rsid w:val="00AE433F"/>
    <w:rsid w:val="00AF4D1B"/>
    <w:rsid w:val="00AF6B2D"/>
    <w:rsid w:val="00B01DF0"/>
    <w:rsid w:val="00B15D2E"/>
    <w:rsid w:val="00B17797"/>
    <w:rsid w:val="00B473F9"/>
    <w:rsid w:val="00BA5616"/>
    <w:rsid w:val="00BC0D3A"/>
    <w:rsid w:val="00BD1FF4"/>
    <w:rsid w:val="00C314AA"/>
    <w:rsid w:val="00C420B8"/>
    <w:rsid w:val="00C52786"/>
    <w:rsid w:val="00C56A5C"/>
    <w:rsid w:val="00C63740"/>
    <w:rsid w:val="00C76550"/>
    <w:rsid w:val="00CD7166"/>
    <w:rsid w:val="00CF6BE4"/>
    <w:rsid w:val="00D0535B"/>
    <w:rsid w:val="00D22A69"/>
    <w:rsid w:val="00D266CB"/>
    <w:rsid w:val="00D3792E"/>
    <w:rsid w:val="00D4231E"/>
    <w:rsid w:val="00D43EE3"/>
    <w:rsid w:val="00D75375"/>
    <w:rsid w:val="00D803B2"/>
    <w:rsid w:val="00E272B4"/>
    <w:rsid w:val="00E80C57"/>
    <w:rsid w:val="00E85903"/>
    <w:rsid w:val="00E922FC"/>
    <w:rsid w:val="00ED2946"/>
    <w:rsid w:val="00EE3D1F"/>
    <w:rsid w:val="00EE4147"/>
    <w:rsid w:val="00F37611"/>
    <w:rsid w:val="00F40502"/>
    <w:rsid w:val="00F4138B"/>
    <w:rsid w:val="00F503A2"/>
    <w:rsid w:val="00F7638A"/>
    <w:rsid w:val="00F801DF"/>
    <w:rsid w:val="00F97B0A"/>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24086"/>
  <w15:chartTrackingRefBased/>
  <w15:docId w15:val="{4505B26E-3931-4331-9566-98C5BF91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6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2965"/>
    <w:rPr>
      <w:color w:val="0000FF"/>
      <w:u w:val="single"/>
    </w:rPr>
  </w:style>
  <w:style w:type="paragraph" w:customStyle="1" w:styleId="Default">
    <w:name w:val="Default"/>
    <w:rsid w:val="00976E80"/>
    <w:pPr>
      <w:autoSpaceDE w:val="0"/>
      <w:autoSpaceDN w:val="0"/>
      <w:adjustRightInd w:val="0"/>
    </w:pPr>
    <w:rPr>
      <w:rFonts w:ascii="Arial Narrow" w:eastAsia="Times New Roman" w:hAnsi="Arial Narrow" w:cs="Arial Narrow"/>
      <w:color w:val="000000"/>
      <w:sz w:val="24"/>
      <w:szCs w:val="24"/>
    </w:rPr>
  </w:style>
  <w:style w:type="character" w:styleId="FollowedHyperlink">
    <w:name w:val="FollowedHyperlink"/>
    <w:uiPriority w:val="99"/>
    <w:semiHidden/>
    <w:unhideWhenUsed/>
    <w:rsid w:val="00555FB4"/>
    <w:rPr>
      <w:color w:val="800080"/>
      <w:u w:val="single"/>
    </w:rPr>
  </w:style>
  <w:style w:type="paragraph" w:styleId="Header">
    <w:name w:val="header"/>
    <w:basedOn w:val="Normal"/>
    <w:link w:val="HeaderChar"/>
    <w:uiPriority w:val="99"/>
    <w:unhideWhenUsed/>
    <w:rsid w:val="007D3433"/>
    <w:pPr>
      <w:tabs>
        <w:tab w:val="center" w:pos="4680"/>
        <w:tab w:val="right" w:pos="9360"/>
      </w:tabs>
    </w:pPr>
  </w:style>
  <w:style w:type="character" w:customStyle="1" w:styleId="HeaderChar">
    <w:name w:val="Header Char"/>
    <w:link w:val="Header"/>
    <w:uiPriority w:val="99"/>
    <w:rsid w:val="007D3433"/>
    <w:rPr>
      <w:rFonts w:ascii="Times New Roman" w:eastAsia="Times New Roman" w:hAnsi="Times New Roman"/>
      <w:sz w:val="24"/>
      <w:szCs w:val="24"/>
    </w:rPr>
  </w:style>
  <w:style w:type="paragraph" w:styleId="Footer">
    <w:name w:val="footer"/>
    <w:basedOn w:val="Normal"/>
    <w:link w:val="FooterChar"/>
    <w:uiPriority w:val="99"/>
    <w:unhideWhenUsed/>
    <w:rsid w:val="007D3433"/>
    <w:pPr>
      <w:tabs>
        <w:tab w:val="center" w:pos="4680"/>
        <w:tab w:val="right" w:pos="9360"/>
      </w:tabs>
    </w:pPr>
  </w:style>
  <w:style w:type="character" w:customStyle="1" w:styleId="FooterChar">
    <w:name w:val="Footer Char"/>
    <w:link w:val="Footer"/>
    <w:uiPriority w:val="99"/>
    <w:rsid w:val="007D3433"/>
    <w:rPr>
      <w:rFonts w:ascii="Times New Roman" w:eastAsia="Times New Roman" w:hAnsi="Times New Roman"/>
      <w:sz w:val="24"/>
      <w:szCs w:val="24"/>
    </w:rPr>
  </w:style>
  <w:style w:type="character" w:styleId="CommentReference">
    <w:name w:val="annotation reference"/>
    <w:uiPriority w:val="99"/>
    <w:semiHidden/>
    <w:unhideWhenUsed/>
    <w:rsid w:val="00D4231E"/>
    <w:rPr>
      <w:sz w:val="16"/>
      <w:szCs w:val="16"/>
    </w:rPr>
  </w:style>
  <w:style w:type="paragraph" w:styleId="CommentText">
    <w:name w:val="annotation text"/>
    <w:basedOn w:val="Normal"/>
    <w:link w:val="CommentTextChar"/>
    <w:uiPriority w:val="99"/>
    <w:semiHidden/>
    <w:unhideWhenUsed/>
    <w:rsid w:val="00D4231E"/>
    <w:rPr>
      <w:sz w:val="20"/>
      <w:szCs w:val="20"/>
    </w:rPr>
  </w:style>
  <w:style w:type="character" w:customStyle="1" w:styleId="CommentTextChar">
    <w:name w:val="Comment Text Char"/>
    <w:link w:val="CommentText"/>
    <w:uiPriority w:val="99"/>
    <w:semiHidden/>
    <w:rsid w:val="00D423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4231E"/>
    <w:rPr>
      <w:b/>
      <w:bCs/>
    </w:rPr>
  </w:style>
  <w:style w:type="character" w:customStyle="1" w:styleId="CommentSubjectChar">
    <w:name w:val="Comment Subject Char"/>
    <w:link w:val="CommentSubject"/>
    <w:uiPriority w:val="99"/>
    <w:semiHidden/>
    <w:rsid w:val="00D4231E"/>
    <w:rPr>
      <w:rFonts w:ascii="Times New Roman" w:eastAsia="Times New Roman" w:hAnsi="Times New Roman"/>
      <w:b/>
      <w:bCs/>
    </w:rPr>
  </w:style>
  <w:style w:type="paragraph" w:styleId="BalloonText">
    <w:name w:val="Balloon Text"/>
    <w:basedOn w:val="Normal"/>
    <w:link w:val="BalloonTextChar"/>
    <w:uiPriority w:val="99"/>
    <w:semiHidden/>
    <w:unhideWhenUsed/>
    <w:rsid w:val="00D4231E"/>
    <w:rPr>
      <w:rFonts w:ascii="Tahoma" w:hAnsi="Tahoma" w:cs="Tahoma"/>
      <w:sz w:val="16"/>
      <w:szCs w:val="16"/>
    </w:rPr>
  </w:style>
  <w:style w:type="character" w:customStyle="1" w:styleId="BalloonTextChar">
    <w:name w:val="Balloon Text Char"/>
    <w:link w:val="BalloonText"/>
    <w:uiPriority w:val="99"/>
    <w:semiHidden/>
    <w:rsid w:val="00D4231E"/>
    <w:rPr>
      <w:rFonts w:ascii="Tahoma" w:eastAsia="Times New Roman" w:hAnsi="Tahoma" w:cs="Tahoma"/>
      <w:sz w:val="16"/>
      <w:szCs w:val="16"/>
    </w:rPr>
  </w:style>
  <w:style w:type="character" w:styleId="Mention">
    <w:name w:val="Mention"/>
    <w:uiPriority w:val="99"/>
    <w:semiHidden/>
    <w:unhideWhenUsed/>
    <w:rsid w:val="006E1AA1"/>
    <w:rPr>
      <w:color w:val="2B579A"/>
      <w:shd w:val="clear" w:color="auto" w:fill="E6E6E6"/>
    </w:rPr>
  </w:style>
  <w:style w:type="paragraph" w:styleId="FootnoteText">
    <w:name w:val="footnote text"/>
    <w:basedOn w:val="Normal"/>
    <w:link w:val="FootnoteTextChar"/>
    <w:unhideWhenUsed/>
    <w:rsid w:val="009E4573"/>
    <w:rPr>
      <w:sz w:val="20"/>
      <w:szCs w:val="20"/>
    </w:rPr>
  </w:style>
  <w:style w:type="character" w:customStyle="1" w:styleId="FootnoteTextChar">
    <w:name w:val="Footnote Text Char"/>
    <w:link w:val="FootnoteText"/>
    <w:rsid w:val="009E4573"/>
    <w:rPr>
      <w:rFonts w:ascii="Times New Roman" w:eastAsia="Times New Roman" w:hAnsi="Times New Roman"/>
    </w:rPr>
  </w:style>
  <w:style w:type="character" w:styleId="FootnoteReference">
    <w:name w:val="footnote reference"/>
    <w:unhideWhenUsed/>
    <w:rsid w:val="009E4573"/>
    <w:rPr>
      <w:vertAlign w:val="superscript"/>
    </w:rPr>
  </w:style>
  <w:style w:type="character" w:styleId="UnresolvedMention">
    <w:name w:val="Unresolved Mention"/>
    <w:uiPriority w:val="99"/>
    <w:semiHidden/>
    <w:unhideWhenUsed/>
    <w:rsid w:val="00D8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airconsumer/file-consumer-compla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t.gov/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A08C-D402-4D14-83D7-9462BCF0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2306</Words>
  <Characters>13146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15422</CharactersWithSpaces>
  <SharedDoc>false</SharedDoc>
  <HLinks>
    <vt:vector size="12" baseType="variant">
      <vt:variant>
        <vt:i4>2818102</vt:i4>
      </vt:variant>
      <vt:variant>
        <vt:i4>3</vt:i4>
      </vt:variant>
      <vt:variant>
        <vt:i4>0</vt:i4>
      </vt:variant>
      <vt:variant>
        <vt:i4>5</vt:i4>
      </vt:variant>
      <vt:variant>
        <vt:lpwstr>http://www.dot.gov/privacy</vt:lpwstr>
      </vt:variant>
      <vt:variant>
        <vt:lpwstr/>
      </vt:variant>
      <vt:variant>
        <vt:i4>6946879</vt:i4>
      </vt:variant>
      <vt:variant>
        <vt:i4>0</vt:i4>
      </vt:variant>
      <vt:variant>
        <vt:i4>0</vt:i4>
      </vt:variant>
      <vt:variant>
        <vt:i4>5</vt:i4>
      </vt:variant>
      <vt:variant>
        <vt:lpwstr>https://www.transportation.gov/airconsumer/file-consumer-complaint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DaeleenC</dc:creator>
  <cp:keywords/>
  <dc:description/>
  <cp:lastModifiedBy>Chesley, Daeleen (OST)</cp:lastModifiedBy>
  <cp:revision>2</cp:revision>
  <cp:lastPrinted>2018-01-16T22:30:00Z</cp:lastPrinted>
  <dcterms:created xsi:type="dcterms:W3CDTF">2022-02-16T19:02:00Z</dcterms:created>
  <dcterms:modified xsi:type="dcterms:W3CDTF">2022-02-16T19:02:00Z</dcterms:modified>
</cp:coreProperties>
</file>