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7719" w:rsidRPr="00A0358E" w:rsidP="00897719" w14:paraId="161D73FB" w14:textId="77777777">
      <w:pPr>
        <w:pStyle w:val="Heading1"/>
      </w:pPr>
      <w:r w:rsidRPr="00A0358E">
        <w:t>Billing</w:t>
      </w:r>
      <w:r w:rsidRPr="00BD0DF8">
        <w:t xml:space="preserve"> Code</w:t>
      </w:r>
      <w:r w:rsidRPr="0087281B">
        <w:t>:  4910-</w:t>
      </w:r>
      <w:r w:rsidRPr="00A0358E">
        <w:t xml:space="preserve">60-P  </w:t>
      </w:r>
    </w:p>
    <w:p w:rsidR="00897719" w:rsidRPr="00A0358E" w:rsidP="00897719" w14:paraId="02F70FDF" w14:textId="77777777">
      <w:pPr>
        <w:pStyle w:val="Heading1"/>
      </w:pPr>
      <w:bookmarkStart w:id="0" w:name="_Toc326843260"/>
      <w:r w:rsidRPr="00A0358E">
        <w:t>DEPARTMENT OF TRANSPORTATION</w:t>
      </w:r>
      <w:bookmarkEnd w:id="0"/>
    </w:p>
    <w:p w:rsidR="00897719" w:rsidRPr="00A0358E" w14:paraId="5B288D84" w14:textId="77777777">
      <w:pPr>
        <w:pStyle w:val="Heading1"/>
      </w:pPr>
      <w:bookmarkStart w:id="1" w:name="_Toc326843261"/>
      <w:r w:rsidRPr="00A0358E">
        <w:t>Pipeline and Hazardous Materials Safety Administration</w:t>
      </w:r>
      <w:bookmarkEnd w:id="1"/>
    </w:p>
    <w:p w:rsidR="00996821" w:rsidRPr="00A0358E" w14:paraId="3DC9E0F0" w14:textId="0953DB39">
      <w:pPr>
        <w:pStyle w:val="Heading1"/>
      </w:pPr>
      <w:r w:rsidRPr="00A0358E">
        <w:t xml:space="preserve">[Docket No. </w:t>
      </w:r>
      <w:r w:rsidRPr="000A7FD4" w:rsidR="008F2711">
        <w:rPr>
          <w:rFonts w:eastAsia="Times New Roman"/>
        </w:rPr>
        <w:t>PHMSA-2023-</w:t>
      </w:r>
      <w:r w:rsidRPr="000A7FD4" w:rsidR="00AE64FC">
        <w:rPr>
          <w:rFonts w:eastAsia="Times New Roman"/>
        </w:rPr>
        <w:t>0029</w:t>
      </w:r>
      <w:r w:rsidRPr="00A0358E" w:rsidR="00AE64FC">
        <w:t xml:space="preserve"> </w:t>
      </w:r>
      <w:r w:rsidRPr="00A0358E">
        <w:t xml:space="preserve">(Notice No. </w:t>
      </w:r>
      <w:r w:rsidRPr="00A0358E" w:rsidR="00C658FC">
        <w:t>2023</w:t>
      </w:r>
      <w:r w:rsidRPr="00A0358E">
        <w:t>-</w:t>
      </w:r>
      <w:r w:rsidRPr="00A0358E" w:rsidR="00D80863">
        <w:t>07</w:t>
      </w:r>
      <w:r w:rsidRPr="00A0358E">
        <w:t>)]</w:t>
      </w:r>
    </w:p>
    <w:p w:rsidR="00897719" w:rsidRPr="00A0358E" w14:paraId="04C73BD2" w14:textId="77777777">
      <w:pPr>
        <w:pStyle w:val="Heading1"/>
      </w:pPr>
      <w:r w:rsidRPr="00A0358E">
        <w:t xml:space="preserve">Hazardous Materials: </w:t>
      </w:r>
      <w:r w:rsidRPr="00A0358E">
        <w:t>Information Collection Activities</w:t>
      </w:r>
    </w:p>
    <w:p w:rsidR="00897719" w:rsidRPr="000A7FD4" w14:paraId="6A4E9897" w14:textId="77777777">
      <w:pPr>
        <w:rPr>
          <w:szCs w:val="24"/>
        </w:rPr>
      </w:pPr>
      <w:r w:rsidRPr="000A7FD4">
        <w:rPr>
          <w:b/>
          <w:szCs w:val="24"/>
        </w:rPr>
        <w:t>AGENCY:</w:t>
      </w:r>
      <w:r w:rsidRPr="000A7FD4">
        <w:rPr>
          <w:szCs w:val="24"/>
        </w:rPr>
        <w:t xml:space="preserve">  Pipeline and </w:t>
      </w:r>
      <w:r w:rsidRPr="000A7FD4" w:rsidR="00FA1D4F">
        <w:rPr>
          <w:szCs w:val="24"/>
        </w:rPr>
        <w:t xml:space="preserve">Hazardous Materials Safety </w:t>
      </w:r>
      <w:r w:rsidRPr="000A7FD4">
        <w:rPr>
          <w:szCs w:val="24"/>
        </w:rPr>
        <w:t>Administration (PHMSA), DOT.</w:t>
      </w:r>
    </w:p>
    <w:p w:rsidR="00897719" w:rsidRPr="000A7FD4" w14:paraId="6440C6A0" w14:textId="77777777">
      <w:pPr>
        <w:rPr>
          <w:szCs w:val="24"/>
        </w:rPr>
      </w:pPr>
      <w:r w:rsidRPr="000A7FD4">
        <w:rPr>
          <w:b/>
          <w:szCs w:val="24"/>
        </w:rPr>
        <w:t>ACTION:</w:t>
      </w:r>
      <w:r w:rsidRPr="000A7FD4">
        <w:rPr>
          <w:szCs w:val="24"/>
        </w:rPr>
        <w:t xml:space="preserve"> </w:t>
      </w:r>
      <w:r w:rsidRPr="000A7FD4" w:rsidR="007F359C">
        <w:rPr>
          <w:szCs w:val="24"/>
        </w:rPr>
        <w:t xml:space="preserve"> </w:t>
      </w:r>
      <w:r w:rsidRPr="000A7FD4">
        <w:rPr>
          <w:szCs w:val="24"/>
        </w:rPr>
        <w:t>Notice and request for comments.</w:t>
      </w:r>
    </w:p>
    <w:p w:rsidR="00FA1D4F" w:rsidRPr="00A0358E" w:rsidP="00241D05" w14:paraId="2410C5F0" w14:textId="3E6A4222">
      <w:pPr>
        <w:pStyle w:val="Heading1"/>
      </w:pPr>
      <w:r w:rsidRPr="00A0358E">
        <w:rPr>
          <w:rStyle w:val="Heading1Char1"/>
          <w:b/>
        </w:rPr>
        <w:t>SUMMARY:</w:t>
      </w:r>
      <w:r w:rsidRPr="00A0358E">
        <w:rPr>
          <w:rStyle w:val="Heading1Char1"/>
        </w:rPr>
        <w:t xml:space="preserve"> </w:t>
      </w:r>
      <w:r w:rsidRPr="00A0358E">
        <w:rPr>
          <w:rStyle w:val="Heading1Char1"/>
        </w:rPr>
        <w:t xml:space="preserve"> </w:t>
      </w:r>
      <w:r w:rsidRPr="00A0358E">
        <w:rPr>
          <w:rStyle w:val="Heading1Char1"/>
        </w:rPr>
        <w:t xml:space="preserve">In accordance with the Paperwork Reduction Act of 1995, PHMSA invites comments on </w:t>
      </w:r>
      <w:r w:rsidRPr="00A0358E" w:rsidR="00286DA0">
        <w:rPr>
          <w:rStyle w:val="Heading1Char1"/>
        </w:rPr>
        <w:t>six</w:t>
      </w:r>
      <w:r w:rsidRPr="00A0358E" w:rsidR="003D0D42">
        <w:rPr>
          <w:rStyle w:val="Heading1Char1"/>
        </w:rPr>
        <w:t xml:space="preserve"> </w:t>
      </w:r>
      <w:r w:rsidRPr="00A0358E" w:rsidR="00234592">
        <w:rPr>
          <w:rStyle w:val="Heading1Char1"/>
        </w:rPr>
        <w:t xml:space="preserve">Office of </w:t>
      </w:r>
      <w:r w:rsidRPr="00A0358E" w:rsidR="004416FB">
        <w:rPr>
          <w:rStyle w:val="Heading1Char1"/>
        </w:rPr>
        <w:t>Management</w:t>
      </w:r>
      <w:r w:rsidRPr="00A0358E" w:rsidR="00234592">
        <w:rPr>
          <w:rStyle w:val="Heading1Char1"/>
        </w:rPr>
        <w:t xml:space="preserve"> and Budget (OMB) control numbers</w:t>
      </w:r>
      <w:r w:rsidRPr="00A0358E">
        <w:rPr>
          <w:rStyle w:val="Heading1Char1"/>
        </w:rPr>
        <w:t xml:space="preserve"> pertaining to hazardous materials transportation</w:t>
      </w:r>
      <w:r w:rsidRPr="00A0358E" w:rsidR="00C77198">
        <w:rPr>
          <w:rStyle w:val="Heading1Char1"/>
        </w:rPr>
        <w:t>.</w:t>
      </w:r>
      <w:r w:rsidRPr="00A0358E">
        <w:rPr>
          <w:rStyle w:val="Heading1Char1"/>
        </w:rPr>
        <w:t xml:space="preserve"> </w:t>
      </w:r>
      <w:r w:rsidRPr="00A0358E" w:rsidR="270A016B">
        <w:rPr>
          <w:rStyle w:val="Heading1Char1"/>
        </w:rPr>
        <w:t xml:space="preserve"> </w:t>
      </w:r>
      <w:r w:rsidRPr="00A0358E">
        <w:rPr>
          <w:rStyle w:val="Heading1Char1"/>
        </w:rPr>
        <w:t>PHMSA intends to request renewal</w:t>
      </w:r>
      <w:r w:rsidRPr="00A0358E" w:rsidR="004416FB">
        <w:rPr>
          <w:rStyle w:val="Heading1Char1"/>
        </w:rPr>
        <w:t xml:space="preserve"> for these </w:t>
      </w:r>
      <w:r w:rsidRPr="00A0358E" w:rsidR="00286DA0">
        <w:rPr>
          <w:rStyle w:val="Heading1Char1"/>
        </w:rPr>
        <w:t>six</w:t>
      </w:r>
      <w:r w:rsidRPr="00A0358E" w:rsidR="004416FB">
        <w:rPr>
          <w:rStyle w:val="Heading1Char1"/>
        </w:rPr>
        <w:t xml:space="preserve"> control numbers from OMB.</w:t>
      </w:r>
    </w:p>
    <w:p w:rsidR="00FA1D4F" w:rsidRPr="000A7FD4" w:rsidP="002B04BF" w14:paraId="32864B8D" w14:textId="77777777">
      <w:pPr>
        <w:rPr>
          <w:rFonts w:eastAsiaTheme="majorEastAsia"/>
          <w:szCs w:val="24"/>
        </w:rPr>
      </w:pPr>
      <w:r w:rsidRPr="000A7FD4">
        <w:rPr>
          <w:rFonts w:eastAsiaTheme="majorEastAsia"/>
          <w:b/>
          <w:szCs w:val="24"/>
        </w:rPr>
        <w:t>DATES:</w:t>
      </w:r>
      <w:r w:rsidRPr="000A7FD4">
        <w:rPr>
          <w:rFonts w:eastAsiaTheme="majorEastAsia"/>
          <w:szCs w:val="24"/>
        </w:rPr>
        <w:t xml:space="preserve"> </w:t>
      </w:r>
      <w:r w:rsidRPr="000A7FD4">
        <w:rPr>
          <w:rFonts w:eastAsiaTheme="majorEastAsia"/>
          <w:szCs w:val="24"/>
        </w:rPr>
        <w:t xml:space="preserve"> </w:t>
      </w:r>
      <w:r w:rsidRPr="000A7FD4" w:rsidR="0046156B">
        <w:rPr>
          <w:szCs w:val="24"/>
        </w:rPr>
        <w:t xml:space="preserve">Interested persons are invited to submit comments on or before </w:t>
      </w:r>
      <w:r w:rsidRPr="000A7FD4" w:rsidR="009E3DB8">
        <w:rPr>
          <w:szCs w:val="24"/>
        </w:rPr>
        <w:t xml:space="preserve">[INSERT </w:t>
      </w:r>
      <w:r w:rsidRPr="000A7FD4" w:rsidR="002973B2">
        <w:rPr>
          <w:szCs w:val="24"/>
        </w:rPr>
        <w:t xml:space="preserve">DATE </w:t>
      </w:r>
      <w:r w:rsidRPr="000A7FD4" w:rsidR="009E3DB8">
        <w:rPr>
          <w:szCs w:val="24"/>
        </w:rPr>
        <w:t xml:space="preserve">60 DAYS AFTER DATE OF PUBLICATION IN THE FEDERAL REGISTER]. </w:t>
      </w:r>
    </w:p>
    <w:p w:rsidR="00912317" w:rsidRPr="000A7FD4" w:rsidP="002B04BF" w14:paraId="650D1F03" w14:textId="3851C396">
      <w:pPr>
        <w:rPr>
          <w:rFonts w:eastAsiaTheme="majorEastAsia"/>
          <w:szCs w:val="24"/>
        </w:rPr>
      </w:pPr>
      <w:r w:rsidRPr="000A7FD4">
        <w:rPr>
          <w:rFonts w:eastAsiaTheme="majorEastAsia"/>
          <w:b/>
          <w:szCs w:val="24"/>
        </w:rPr>
        <w:t>ADDRESSES:</w:t>
      </w:r>
      <w:r w:rsidRPr="000A7FD4">
        <w:rPr>
          <w:rFonts w:eastAsiaTheme="majorEastAsia"/>
          <w:szCs w:val="24"/>
        </w:rPr>
        <w:t xml:space="preserve">  You may submit comments identified by the Docket Number PHMSA</w:t>
      </w:r>
      <w:r w:rsidRPr="000A7FD4" w:rsidR="000C662E">
        <w:rPr>
          <w:rFonts w:eastAsiaTheme="majorEastAsia"/>
          <w:szCs w:val="24"/>
        </w:rPr>
        <w:t>-</w:t>
      </w:r>
      <w:r w:rsidRPr="000A7FD4" w:rsidR="0039717F">
        <w:rPr>
          <w:rFonts w:eastAsiaTheme="majorEastAsia"/>
          <w:szCs w:val="24"/>
        </w:rPr>
        <w:t>2023</w:t>
      </w:r>
      <w:r w:rsidRPr="000A7FD4" w:rsidR="003D1F18">
        <w:rPr>
          <w:rFonts w:eastAsiaTheme="majorEastAsia"/>
          <w:szCs w:val="24"/>
        </w:rPr>
        <w:t>-</w:t>
      </w:r>
      <w:r w:rsidRPr="000A7FD4" w:rsidR="00AE64FC">
        <w:rPr>
          <w:rFonts w:eastAsiaTheme="majorEastAsia"/>
          <w:szCs w:val="24"/>
        </w:rPr>
        <w:t xml:space="preserve">0029 </w:t>
      </w:r>
      <w:r w:rsidRPr="000A7FD4">
        <w:rPr>
          <w:rFonts w:eastAsiaTheme="majorEastAsia"/>
          <w:szCs w:val="24"/>
        </w:rPr>
        <w:t xml:space="preserve">(Notice No. </w:t>
      </w:r>
      <w:r w:rsidRPr="000A7FD4" w:rsidR="0039717F">
        <w:rPr>
          <w:rFonts w:eastAsiaTheme="majorEastAsia"/>
          <w:szCs w:val="24"/>
        </w:rPr>
        <w:t>2023</w:t>
      </w:r>
      <w:r w:rsidRPr="000A7FD4">
        <w:rPr>
          <w:rFonts w:eastAsiaTheme="majorEastAsia"/>
          <w:szCs w:val="24"/>
        </w:rPr>
        <w:t>-</w:t>
      </w:r>
      <w:r w:rsidRPr="000A7FD4" w:rsidR="00D80863">
        <w:rPr>
          <w:rFonts w:eastAsiaTheme="majorEastAsia"/>
          <w:szCs w:val="24"/>
        </w:rPr>
        <w:t>07</w:t>
      </w:r>
      <w:r w:rsidRPr="000A7FD4">
        <w:rPr>
          <w:rFonts w:eastAsiaTheme="majorEastAsia"/>
          <w:szCs w:val="24"/>
        </w:rPr>
        <w:t>) by any of the following methods:</w:t>
      </w:r>
    </w:p>
    <w:p w:rsidR="00912317" w:rsidRPr="000A7FD4" w:rsidP="00912317" w14:paraId="436B982C" w14:textId="77777777">
      <w:pPr>
        <w:numPr>
          <w:ilvl w:val="0"/>
          <w:numId w:val="4"/>
        </w:numPr>
        <w:rPr>
          <w:szCs w:val="24"/>
        </w:rPr>
      </w:pPr>
      <w:r w:rsidRPr="000A7FD4">
        <w:rPr>
          <w:i/>
          <w:szCs w:val="24"/>
        </w:rPr>
        <w:t xml:space="preserve">Federal </w:t>
      </w:r>
      <w:r w:rsidRPr="000A7FD4">
        <w:rPr>
          <w:i/>
          <w:szCs w:val="24"/>
        </w:rPr>
        <w:t>eRulemaking</w:t>
      </w:r>
      <w:r w:rsidRPr="000A7FD4">
        <w:rPr>
          <w:i/>
          <w:szCs w:val="24"/>
        </w:rPr>
        <w:t xml:space="preserve"> Portal:</w:t>
      </w:r>
      <w:r w:rsidRPr="000A7FD4">
        <w:rPr>
          <w:szCs w:val="24"/>
        </w:rPr>
        <w:t xml:space="preserve">  </w:t>
      </w:r>
      <w:hyperlink r:id="rId8" w:history="1">
        <w:r w:rsidRPr="0087281B">
          <w:rPr>
            <w:szCs w:val="24"/>
          </w:rPr>
          <w:t>http://www.regulations.gov</w:t>
        </w:r>
      </w:hyperlink>
      <w:r w:rsidRPr="00BD0DF8" w:rsidR="00793E82">
        <w:rPr>
          <w:szCs w:val="24"/>
        </w:rPr>
        <w:t>.</w:t>
      </w:r>
      <w:r w:rsidRPr="0087281B" w:rsidR="00037499">
        <w:rPr>
          <w:szCs w:val="24"/>
        </w:rPr>
        <w:t xml:space="preserve"> </w:t>
      </w:r>
      <w:r w:rsidRPr="000A7FD4">
        <w:rPr>
          <w:szCs w:val="24"/>
        </w:rPr>
        <w:t xml:space="preserve"> Follow the instructions for submitting comments.</w:t>
      </w:r>
      <w:r w:rsidRPr="000A7FD4">
        <w:rPr>
          <w:szCs w:val="24"/>
        </w:rPr>
        <w:tab/>
      </w:r>
    </w:p>
    <w:p w:rsidR="00912317" w:rsidRPr="000A7FD4" w:rsidP="00912317" w14:paraId="11B9A0E9" w14:textId="77777777">
      <w:pPr>
        <w:numPr>
          <w:ilvl w:val="0"/>
          <w:numId w:val="4"/>
        </w:numPr>
        <w:rPr>
          <w:szCs w:val="24"/>
        </w:rPr>
      </w:pPr>
      <w:r w:rsidRPr="000A7FD4">
        <w:rPr>
          <w:i/>
          <w:szCs w:val="24"/>
        </w:rPr>
        <w:t>Fax:</w:t>
      </w:r>
      <w:r w:rsidRPr="000A7FD4">
        <w:rPr>
          <w:szCs w:val="24"/>
        </w:rPr>
        <w:t xml:space="preserve">  1-202-493-2251.</w:t>
      </w:r>
    </w:p>
    <w:p w:rsidR="00912317" w:rsidRPr="000A7FD4" w:rsidP="00912317" w14:paraId="195EC4B7" w14:textId="77777777">
      <w:pPr>
        <w:numPr>
          <w:ilvl w:val="0"/>
          <w:numId w:val="4"/>
        </w:numPr>
        <w:rPr>
          <w:szCs w:val="24"/>
        </w:rPr>
      </w:pPr>
      <w:r w:rsidRPr="000A7FD4">
        <w:rPr>
          <w:i/>
          <w:szCs w:val="24"/>
        </w:rPr>
        <w:t>Mail:</w:t>
      </w:r>
      <w:r w:rsidRPr="000A7FD4">
        <w:rPr>
          <w:szCs w:val="24"/>
        </w:rPr>
        <w:t xml:space="preserve">  Docket Management System; U.S. Department of Transportation, West Building, Ground Floor, Room W12–140, Routing Symbol M–30, 1200 New Jersey Avenue, SE, Washington, DC  20590.</w:t>
      </w:r>
    </w:p>
    <w:p w:rsidR="00912317" w:rsidRPr="000A7FD4" w14:paraId="63AD718D" w14:textId="77777777">
      <w:pPr>
        <w:numPr>
          <w:ilvl w:val="0"/>
          <w:numId w:val="4"/>
        </w:numPr>
        <w:rPr>
          <w:szCs w:val="24"/>
        </w:rPr>
      </w:pPr>
      <w:r w:rsidRPr="000A7FD4">
        <w:rPr>
          <w:i/>
          <w:szCs w:val="24"/>
        </w:rPr>
        <w:t>Hand Delivery:</w:t>
      </w:r>
      <w:r w:rsidRPr="000A7FD4">
        <w:rPr>
          <w:szCs w:val="24"/>
        </w:rPr>
        <w:t xml:space="preserve">  To the Docket Management System; Room W12–140 on the ground floor of the West Building, 1200 New Jersey Avenue, SE, Washington, DC  20590, between 9 a.m. and 5 p.m., Monday through Frida</w:t>
      </w:r>
      <w:r w:rsidRPr="000A7FD4" w:rsidR="00793E82">
        <w:rPr>
          <w:szCs w:val="24"/>
        </w:rPr>
        <w:t>y, except Federal holidays.</w:t>
      </w:r>
    </w:p>
    <w:p w:rsidR="00912317" w:rsidRPr="000A7FD4" w:rsidP="00912317" w14:paraId="0FEA1C98" w14:textId="2DE8C0A8">
      <w:pPr>
        <w:tabs>
          <w:tab w:val="left" w:pos="630"/>
          <w:tab w:val="left" w:pos="720"/>
        </w:tabs>
        <w:rPr>
          <w:szCs w:val="24"/>
        </w:rPr>
      </w:pPr>
      <w:r w:rsidRPr="000A7FD4">
        <w:rPr>
          <w:szCs w:val="24"/>
        </w:rPr>
        <w:tab/>
      </w:r>
      <w:r w:rsidRPr="000A7FD4">
        <w:rPr>
          <w:i/>
          <w:szCs w:val="24"/>
        </w:rPr>
        <w:t>Instructions:</w:t>
      </w:r>
      <w:r w:rsidRPr="000A7FD4">
        <w:rPr>
          <w:szCs w:val="24"/>
        </w:rPr>
        <w:t xml:space="preserve">  </w:t>
      </w:r>
      <w:r w:rsidRPr="00A0358E">
        <w:rPr>
          <w:szCs w:val="24"/>
        </w:rPr>
        <w:t>All submissions must include the agency name and Docket Number (PHMSA-</w:t>
      </w:r>
      <w:r w:rsidRPr="00A0358E" w:rsidR="0039717F">
        <w:rPr>
          <w:szCs w:val="24"/>
        </w:rPr>
        <w:t>2023</w:t>
      </w:r>
      <w:r w:rsidRPr="00A0358E">
        <w:rPr>
          <w:szCs w:val="24"/>
        </w:rPr>
        <w:t>-</w:t>
      </w:r>
      <w:r w:rsidRPr="00A0358E" w:rsidR="00AE64FC">
        <w:rPr>
          <w:szCs w:val="24"/>
        </w:rPr>
        <w:t>0029</w:t>
      </w:r>
      <w:r w:rsidRPr="00A0358E">
        <w:rPr>
          <w:szCs w:val="24"/>
        </w:rPr>
        <w:t xml:space="preserve">) for this </w:t>
      </w:r>
      <w:r w:rsidRPr="00A0358E" w:rsidR="00B478B5">
        <w:rPr>
          <w:szCs w:val="24"/>
        </w:rPr>
        <w:t>notice</w:t>
      </w:r>
      <w:r w:rsidRPr="00A0358E">
        <w:rPr>
          <w:szCs w:val="24"/>
        </w:rPr>
        <w:t xml:space="preserve"> at the beginning of the comment.</w:t>
      </w:r>
      <w:r w:rsidRPr="000A7FD4">
        <w:rPr>
          <w:szCs w:val="24"/>
        </w:rPr>
        <w:t xml:space="preserve"> </w:t>
      </w:r>
      <w:r w:rsidRPr="000A7FD4" w:rsidR="00037499">
        <w:rPr>
          <w:szCs w:val="24"/>
        </w:rPr>
        <w:t xml:space="preserve"> </w:t>
      </w:r>
      <w:r w:rsidRPr="000A7FD4">
        <w:rPr>
          <w:szCs w:val="24"/>
        </w:rPr>
        <w:t>To avoid duplication, please use only one of these four methods</w:t>
      </w:r>
      <w:r w:rsidRPr="000A7FD4" w:rsidR="00793E82">
        <w:rPr>
          <w:szCs w:val="24"/>
        </w:rPr>
        <w:t xml:space="preserve">. </w:t>
      </w:r>
      <w:r w:rsidRPr="000A7FD4" w:rsidR="00037499">
        <w:rPr>
          <w:szCs w:val="24"/>
        </w:rPr>
        <w:t xml:space="preserve"> </w:t>
      </w:r>
      <w:r w:rsidRPr="000A7FD4">
        <w:rPr>
          <w:szCs w:val="24"/>
        </w:rPr>
        <w:t>All comments received will be posted without change to the Federal Docket Management System (FDMS) and will include any personal information you provide</w:t>
      </w:r>
      <w:r w:rsidRPr="000A7FD4" w:rsidR="00793E82">
        <w:rPr>
          <w:szCs w:val="24"/>
        </w:rPr>
        <w:t>.</w:t>
      </w:r>
    </w:p>
    <w:p w:rsidR="00912317" w:rsidRPr="000A7FD4" w:rsidP="000A7FD4" w14:paraId="2357BC0D" w14:textId="5E49C065">
      <w:pPr>
        <w:tabs>
          <w:tab w:val="left" w:pos="720"/>
        </w:tabs>
        <w:rPr>
          <w:szCs w:val="24"/>
        </w:rPr>
      </w:pPr>
      <w:r w:rsidRPr="000A7FD4">
        <w:rPr>
          <w:szCs w:val="24"/>
        </w:rPr>
        <w:tab/>
      </w:r>
      <w:r w:rsidRPr="000A7FD4">
        <w:rPr>
          <w:szCs w:val="24"/>
        </w:rPr>
        <w:t xml:space="preserve">Requests for a copy of an information collection should be directed to Steven Andrews or </w:t>
      </w:r>
      <w:r w:rsidRPr="000A7FD4" w:rsidR="255EA035">
        <w:rPr>
          <w:szCs w:val="24"/>
        </w:rPr>
        <w:t xml:space="preserve">T. </w:t>
      </w:r>
      <w:r w:rsidRPr="000A7FD4" w:rsidR="0039717F">
        <w:rPr>
          <w:szCs w:val="24"/>
        </w:rPr>
        <w:t>Glenn Foster,</w:t>
      </w:r>
      <w:r w:rsidRPr="000A7FD4">
        <w:rPr>
          <w:szCs w:val="24"/>
        </w:rPr>
        <w:t xml:space="preserve"> Standards and Rulemaking Division, (202) 366-8553, Pipeline and Hazardous Materials Safety Administration, U.S. Department of Transportation, 1200 New Jersey Avenue, SE, Washington, DC  20590-0001.</w:t>
      </w:r>
    </w:p>
    <w:p w:rsidR="00912317" w:rsidRPr="000A7FD4" w:rsidP="00912317" w14:paraId="77D6077A" w14:textId="77777777">
      <w:pPr>
        <w:tabs>
          <w:tab w:val="left" w:pos="720"/>
        </w:tabs>
        <w:rPr>
          <w:szCs w:val="24"/>
        </w:rPr>
      </w:pPr>
      <w:r w:rsidRPr="000A7FD4">
        <w:rPr>
          <w:szCs w:val="24"/>
        </w:rPr>
        <w:tab/>
      </w:r>
      <w:r w:rsidRPr="000A7FD4">
        <w:rPr>
          <w:i/>
          <w:szCs w:val="24"/>
        </w:rPr>
        <w:t>Docket:</w:t>
      </w:r>
      <w:r w:rsidRPr="000A7FD4">
        <w:rPr>
          <w:szCs w:val="24"/>
        </w:rPr>
        <w:t xml:space="preserve">  For access to the dockets to read background documents or comments received, go to </w:t>
      </w:r>
      <w:hyperlink r:id="rId8" w:history="1">
        <w:r w:rsidRPr="0087281B">
          <w:rPr>
            <w:szCs w:val="24"/>
          </w:rPr>
          <w:t>http://www.re</w:t>
        </w:r>
        <w:r w:rsidRPr="00A0358E">
          <w:rPr>
            <w:szCs w:val="24"/>
          </w:rPr>
          <w:t>gulations.gov</w:t>
        </w:r>
      </w:hyperlink>
      <w:r w:rsidRPr="00BD0DF8">
        <w:rPr>
          <w:szCs w:val="24"/>
        </w:rPr>
        <w:t xml:space="preserve"> or DOT’s Docket Operations Office (see </w:t>
      </w:r>
      <w:r w:rsidRPr="0087281B">
        <w:rPr>
          <w:b/>
          <w:szCs w:val="24"/>
        </w:rPr>
        <w:t>ADDRESSES</w:t>
      </w:r>
      <w:r w:rsidRPr="000A7FD4">
        <w:rPr>
          <w:szCs w:val="24"/>
        </w:rPr>
        <w:t>).</w:t>
      </w:r>
    </w:p>
    <w:p w:rsidR="00912317" w:rsidRPr="0087281B" w:rsidP="00912317" w14:paraId="68E9BB78" w14:textId="77777777">
      <w:pPr>
        <w:ind w:firstLine="720"/>
        <w:rPr>
          <w:szCs w:val="24"/>
        </w:rPr>
      </w:pPr>
      <w:r w:rsidRPr="000A7FD4">
        <w:rPr>
          <w:i/>
          <w:szCs w:val="24"/>
        </w:rPr>
        <w:t>Privacy Act:</w:t>
      </w:r>
      <w:r w:rsidRPr="000A7FD4">
        <w:rPr>
          <w:szCs w:val="24"/>
        </w:rPr>
        <w:t xml:space="preserve">  </w:t>
      </w:r>
      <w:r w:rsidRPr="000A7FD4" w:rsidR="00A922A4">
        <w:rPr>
          <w:szCs w:val="24"/>
        </w:rPr>
        <w:t>In accordance with 5 U.S.C. 553(c), DOT solicits comments from the public to better inform its rulemaking</w:t>
      </w:r>
      <w:r w:rsidRPr="00BD0DF8" w:rsidR="00A922A4">
        <w:rPr>
          <w:szCs w:val="24"/>
        </w:rPr>
        <w:t xml:space="preserve"> process.  DOT posts these comments, without edit, including any personal information the commenter provides, to www.regulations.gov, as described in the system of records notice (DOT/ALL–14 FDMS), which can be reviewed at </w:t>
      </w:r>
      <w:hyperlink r:id="rId9">
        <w:r w:rsidRPr="0087281B" w:rsidR="0EB7C837">
          <w:rPr>
            <w:rStyle w:val="Hyperlink"/>
            <w:szCs w:val="24"/>
          </w:rPr>
          <w:t>www.dot.gov/privacy</w:t>
        </w:r>
      </w:hyperlink>
      <w:r w:rsidRPr="00BD0DF8" w:rsidR="41BD2CDF">
        <w:rPr>
          <w:szCs w:val="24"/>
        </w:rPr>
        <w:t>.</w:t>
      </w:r>
    </w:p>
    <w:p w:rsidR="00974F9E" w:rsidRPr="000A7FD4" w:rsidP="00912317" w14:paraId="694D4FE9" w14:textId="212A75F8">
      <w:pPr>
        <w:ind w:firstLine="720"/>
        <w:rPr>
          <w:szCs w:val="24"/>
        </w:rPr>
      </w:pPr>
      <w:r w:rsidRPr="00A0358E">
        <w:rPr>
          <w:i/>
          <w:szCs w:val="24"/>
        </w:rPr>
        <w:t>Confidential Business Info:</w:t>
      </w:r>
      <w:r w:rsidRPr="00A0358E" w:rsidR="00B87C2F">
        <w:rPr>
          <w:i/>
          <w:szCs w:val="24"/>
        </w:rPr>
        <w:t xml:space="preserve">  </w:t>
      </w:r>
      <w:r w:rsidRPr="000A7FD4" w:rsidR="00FC762C">
        <w:rPr>
          <w:szCs w:val="24"/>
        </w:rPr>
        <w:t xml:space="preserve">Confidential Business Information (CBI) is commercial or financial information that is both customarily and actually treated as private by its owner. </w:t>
      </w:r>
      <w:r w:rsidRPr="000A7FD4" w:rsidR="00525CB4">
        <w:rPr>
          <w:szCs w:val="24"/>
        </w:rPr>
        <w:t xml:space="preserve"> </w:t>
      </w:r>
      <w:r w:rsidRPr="000A7FD4" w:rsidR="00FC762C">
        <w:rPr>
          <w:szCs w:val="24"/>
        </w:rPr>
        <w:t xml:space="preserve">Under the Freedom of Information Act (FOIA) (5 U.S.C. 552), CBI is exempt from public disclosure. </w:t>
      </w:r>
      <w:r w:rsidRPr="000A7FD4" w:rsidR="0035539C">
        <w:rPr>
          <w:szCs w:val="24"/>
        </w:rPr>
        <w:t xml:space="preserve"> </w:t>
      </w:r>
      <w:r w:rsidRPr="000A7FD4" w:rsidR="00FC762C">
        <w:rPr>
          <w:szCs w:val="24"/>
        </w:rPr>
        <w:t xml:space="preserve">If your comments responsive to this notice contain commercial or financial information that is customarily treated as private, that you actually treat as private, and that is relevant or responsive to this notice, it is important that you clearly designate the submitted comments as “CBI.” </w:t>
      </w:r>
      <w:r w:rsidRPr="000A7FD4" w:rsidR="0035539C">
        <w:rPr>
          <w:szCs w:val="24"/>
        </w:rPr>
        <w:t xml:space="preserve"> </w:t>
      </w:r>
      <w:r w:rsidRPr="000A7FD4" w:rsidR="00FC762C">
        <w:rPr>
          <w:szCs w:val="24"/>
        </w:rPr>
        <w:t xml:space="preserve">Please mark each page of your submission containing CBI as “PROPIN.” </w:t>
      </w:r>
      <w:r w:rsidRPr="000A7FD4" w:rsidR="00DB158E">
        <w:rPr>
          <w:szCs w:val="24"/>
        </w:rPr>
        <w:t xml:space="preserve"> </w:t>
      </w:r>
      <w:r w:rsidRPr="000A7FD4" w:rsidR="00FC762C">
        <w:rPr>
          <w:szCs w:val="24"/>
        </w:rPr>
        <w:t xml:space="preserve">PHMSA will treat such marked submissions as confidential under the FOIA, and they will not be placed in the public docket of this notice. </w:t>
      </w:r>
      <w:r w:rsidRPr="000A7FD4" w:rsidR="00DB158E">
        <w:rPr>
          <w:szCs w:val="24"/>
        </w:rPr>
        <w:t xml:space="preserve"> </w:t>
      </w:r>
      <w:r w:rsidRPr="000A7FD4" w:rsidR="00FC762C">
        <w:rPr>
          <w:szCs w:val="24"/>
        </w:rPr>
        <w:t xml:space="preserve">Submissions containing CBI should be sent to Steven Andrews or Glenn Foster, Standards and Rulemaking Division and addressed to the Pipeline and Hazardous Materials Safety Administration, U.S. Department of Transportation, 1200 New Jersey Avenue, SE, Washington, DC 20590-0001. </w:t>
      </w:r>
      <w:r w:rsidRPr="000A7FD4" w:rsidR="00D0793A">
        <w:rPr>
          <w:szCs w:val="24"/>
        </w:rPr>
        <w:t xml:space="preserve"> </w:t>
      </w:r>
      <w:r w:rsidRPr="000A7FD4" w:rsidR="00FC762C">
        <w:rPr>
          <w:szCs w:val="24"/>
        </w:rPr>
        <w:t xml:space="preserve">Any commentary that PHMSA receives which is not specifically designated as CBI will be placed in the public docket for this </w:t>
      </w:r>
      <w:r w:rsidRPr="000A7FD4" w:rsidR="0028316A">
        <w:rPr>
          <w:szCs w:val="24"/>
        </w:rPr>
        <w:t>notice</w:t>
      </w:r>
      <w:r w:rsidRPr="000A7FD4" w:rsidR="00FC762C">
        <w:rPr>
          <w:szCs w:val="24"/>
        </w:rPr>
        <w:t>.</w:t>
      </w:r>
    </w:p>
    <w:p w:rsidR="00912317" w:rsidRPr="000A7FD4" w:rsidP="002B04BF" w14:paraId="55FF7C21" w14:textId="330CC693">
      <w:pPr>
        <w:rPr>
          <w:szCs w:val="24"/>
        </w:rPr>
      </w:pPr>
      <w:r w:rsidRPr="000A7FD4">
        <w:rPr>
          <w:b/>
          <w:szCs w:val="24"/>
        </w:rPr>
        <w:t>FOR FURTHER INFORMATION CONTACT:</w:t>
      </w:r>
      <w:r w:rsidRPr="000A7FD4">
        <w:rPr>
          <w:szCs w:val="24"/>
        </w:rPr>
        <w:t xml:space="preserve">  Steven Andrews</w:t>
      </w:r>
      <w:r w:rsidRPr="000A7FD4" w:rsidR="00F55EC6">
        <w:rPr>
          <w:szCs w:val="24"/>
        </w:rPr>
        <w:t xml:space="preserve"> or </w:t>
      </w:r>
      <w:r w:rsidRPr="000A7FD4" w:rsidR="0E86AF63">
        <w:rPr>
          <w:szCs w:val="24"/>
        </w:rPr>
        <w:t xml:space="preserve">T. </w:t>
      </w:r>
      <w:r w:rsidRPr="000A7FD4" w:rsidR="00F55EC6">
        <w:rPr>
          <w:szCs w:val="24"/>
        </w:rPr>
        <w:t>Glenn Foster</w:t>
      </w:r>
      <w:r w:rsidRPr="000A7FD4">
        <w:rPr>
          <w:szCs w:val="24"/>
        </w:rPr>
        <w:t>, Standards and Rulemaking Division, (202) 366-8553, Pipeline and Hazardous Materials Safety Administration, U.S. Department of Transportation, 1200 New Jersey Avenue, SE, Washington, DC  20590-0001.</w:t>
      </w:r>
    </w:p>
    <w:p w:rsidR="00912317" w:rsidRPr="000A7FD4" w:rsidP="002B04BF" w14:paraId="4549D9B3" w14:textId="77777777">
      <w:pPr>
        <w:rPr>
          <w:rFonts w:eastAsiaTheme="majorEastAsia"/>
          <w:szCs w:val="24"/>
        </w:rPr>
      </w:pPr>
    </w:p>
    <w:p w:rsidR="00077C0C" w:rsidRPr="00A0358E" w:rsidP="002B04BF" w14:paraId="3D318E74" w14:textId="77777777">
      <w:pPr>
        <w:pStyle w:val="Heading1"/>
      </w:pPr>
      <w:r w:rsidRPr="00A0358E">
        <w:t>SUPPLEMENTARY INFORMATION:</w:t>
      </w:r>
    </w:p>
    <w:p w:rsidR="00077C0C" w:rsidRPr="000A7FD4" w:rsidP="002B04BF" w14:paraId="3132DD98" w14:textId="74FC7B0A">
      <w:pPr>
        <w:rPr>
          <w:szCs w:val="24"/>
        </w:rPr>
      </w:pPr>
      <w:r w:rsidRPr="000A7FD4">
        <w:rPr>
          <w:szCs w:val="24"/>
        </w:rPr>
        <w:tab/>
      </w:r>
      <w:r w:rsidRPr="000A7FD4">
        <w:rPr>
          <w:szCs w:val="24"/>
        </w:rPr>
        <w:t xml:space="preserve">Section 1320.8(d), </w:t>
      </w:r>
      <w:r w:rsidRPr="000A7FD4" w:rsidR="004575BC">
        <w:rPr>
          <w:szCs w:val="24"/>
        </w:rPr>
        <w:t xml:space="preserve">title </w:t>
      </w:r>
      <w:r w:rsidRPr="000A7FD4">
        <w:rPr>
          <w:szCs w:val="24"/>
        </w:rPr>
        <w:t xml:space="preserve">5, Code of Federal Regulations </w:t>
      </w:r>
      <w:r w:rsidRPr="000A7FD4" w:rsidR="00FA1D4F">
        <w:rPr>
          <w:szCs w:val="24"/>
        </w:rPr>
        <w:t xml:space="preserve">(CFR) </w:t>
      </w:r>
      <w:r w:rsidRPr="000A7FD4">
        <w:rPr>
          <w:szCs w:val="24"/>
        </w:rPr>
        <w:t xml:space="preserve">requires </w:t>
      </w:r>
      <w:r w:rsidRPr="000A7FD4" w:rsidR="00024691">
        <w:rPr>
          <w:szCs w:val="24"/>
        </w:rPr>
        <w:t xml:space="preserve">the Pipeline and Hazardous </w:t>
      </w:r>
      <w:r w:rsidRPr="000A7FD4" w:rsidR="00326C09">
        <w:rPr>
          <w:szCs w:val="24"/>
        </w:rPr>
        <w:t>Materials</w:t>
      </w:r>
      <w:r w:rsidRPr="000A7FD4" w:rsidR="00024691">
        <w:rPr>
          <w:szCs w:val="24"/>
        </w:rPr>
        <w:t xml:space="preserve"> </w:t>
      </w:r>
      <w:r w:rsidRPr="000A7FD4" w:rsidR="00326C09">
        <w:rPr>
          <w:szCs w:val="24"/>
        </w:rPr>
        <w:t>Safety Administration (</w:t>
      </w:r>
      <w:r w:rsidRPr="000A7FD4">
        <w:rPr>
          <w:szCs w:val="24"/>
        </w:rPr>
        <w:t>PHMSA</w:t>
      </w:r>
      <w:r w:rsidRPr="000A7FD4" w:rsidR="00326C09">
        <w:rPr>
          <w:szCs w:val="24"/>
        </w:rPr>
        <w:t>)</w:t>
      </w:r>
      <w:r w:rsidRPr="000A7FD4">
        <w:rPr>
          <w:szCs w:val="24"/>
        </w:rPr>
        <w:t xml:space="preserve"> </w:t>
      </w:r>
      <w:r w:rsidRPr="000A7FD4" w:rsidR="009738F2">
        <w:rPr>
          <w:szCs w:val="24"/>
        </w:rPr>
        <w:t xml:space="preserve">to </w:t>
      </w:r>
      <w:r w:rsidRPr="000A7FD4">
        <w:rPr>
          <w:szCs w:val="24"/>
        </w:rPr>
        <w:t>provide interested members of the public and affected agencies an opportunity to comment on information collection and recordkeeping requests</w:t>
      </w:r>
      <w:r w:rsidRPr="000A7FD4" w:rsidR="00793E82">
        <w:rPr>
          <w:szCs w:val="24"/>
        </w:rPr>
        <w:t>.</w:t>
      </w:r>
      <w:r w:rsidRPr="000A7FD4" w:rsidR="00FB2B93">
        <w:rPr>
          <w:szCs w:val="24"/>
        </w:rPr>
        <w:t xml:space="preserve"> </w:t>
      </w:r>
      <w:r w:rsidRPr="000A7FD4" w:rsidR="00793E82">
        <w:rPr>
          <w:szCs w:val="24"/>
        </w:rPr>
        <w:t xml:space="preserve"> </w:t>
      </w:r>
      <w:r w:rsidRPr="000A7FD4">
        <w:rPr>
          <w:szCs w:val="24"/>
        </w:rPr>
        <w:t>This notice identifies information collection</w:t>
      </w:r>
      <w:r w:rsidRPr="000A7FD4" w:rsidR="005D1A5B">
        <w:rPr>
          <w:szCs w:val="24"/>
        </w:rPr>
        <w:t xml:space="preserve"> requests that PH</w:t>
      </w:r>
      <w:r w:rsidRPr="000A7FD4">
        <w:rPr>
          <w:szCs w:val="24"/>
        </w:rPr>
        <w:t xml:space="preserve">MSA </w:t>
      </w:r>
      <w:r w:rsidRPr="000A7FD4" w:rsidR="005D1A5B">
        <w:rPr>
          <w:szCs w:val="24"/>
        </w:rPr>
        <w:t>will be s</w:t>
      </w:r>
      <w:r w:rsidRPr="000A7FD4">
        <w:rPr>
          <w:szCs w:val="24"/>
        </w:rPr>
        <w:t xml:space="preserve">ubmitting to </w:t>
      </w:r>
      <w:r w:rsidRPr="000A7FD4" w:rsidR="000C215D">
        <w:rPr>
          <w:szCs w:val="24"/>
        </w:rPr>
        <w:t>the Office of Management and Budget (</w:t>
      </w:r>
      <w:r w:rsidRPr="000A7FD4">
        <w:rPr>
          <w:szCs w:val="24"/>
        </w:rPr>
        <w:t>OMB</w:t>
      </w:r>
      <w:r w:rsidRPr="000A7FD4" w:rsidR="000C215D">
        <w:rPr>
          <w:szCs w:val="24"/>
        </w:rPr>
        <w:t>)</w:t>
      </w:r>
      <w:r w:rsidRPr="000A7FD4">
        <w:rPr>
          <w:szCs w:val="24"/>
        </w:rPr>
        <w:t xml:space="preserve"> for renewal and extension</w:t>
      </w:r>
      <w:r w:rsidRPr="000A7FD4" w:rsidR="00793E82">
        <w:rPr>
          <w:szCs w:val="24"/>
        </w:rPr>
        <w:t xml:space="preserve">. </w:t>
      </w:r>
      <w:r w:rsidRPr="000A7FD4" w:rsidR="00FB2B93">
        <w:rPr>
          <w:szCs w:val="24"/>
        </w:rPr>
        <w:t xml:space="preserve"> </w:t>
      </w:r>
      <w:r w:rsidRPr="000A7FD4">
        <w:rPr>
          <w:szCs w:val="24"/>
        </w:rPr>
        <w:t>Th</w:t>
      </w:r>
      <w:r w:rsidRPr="000A7FD4" w:rsidR="009738F2">
        <w:rPr>
          <w:szCs w:val="24"/>
        </w:rPr>
        <w:t xml:space="preserve">ese </w:t>
      </w:r>
      <w:r w:rsidRPr="000A7FD4">
        <w:rPr>
          <w:szCs w:val="24"/>
        </w:rPr>
        <w:t>information collection</w:t>
      </w:r>
      <w:r w:rsidRPr="000A7FD4" w:rsidR="009738F2">
        <w:rPr>
          <w:szCs w:val="24"/>
        </w:rPr>
        <w:t>s</w:t>
      </w:r>
      <w:r w:rsidRPr="000A7FD4">
        <w:rPr>
          <w:szCs w:val="24"/>
        </w:rPr>
        <w:t xml:space="preserve"> </w:t>
      </w:r>
      <w:r w:rsidRPr="000A7FD4" w:rsidR="009738F2">
        <w:rPr>
          <w:szCs w:val="24"/>
        </w:rPr>
        <w:t xml:space="preserve">are </w:t>
      </w:r>
      <w:r w:rsidRPr="000A7FD4">
        <w:rPr>
          <w:szCs w:val="24"/>
        </w:rPr>
        <w:t xml:space="preserve">contained in </w:t>
      </w:r>
      <w:r w:rsidRPr="000A7FD4" w:rsidR="002152D0">
        <w:rPr>
          <w:szCs w:val="24"/>
        </w:rPr>
        <w:t>49 </w:t>
      </w:r>
      <w:r w:rsidRPr="000A7FD4">
        <w:rPr>
          <w:szCs w:val="24"/>
        </w:rPr>
        <w:t>CFR</w:t>
      </w:r>
      <w:r w:rsidRPr="000A7FD4" w:rsidR="002152D0">
        <w:rPr>
          <w:szCs w:val="24"/>
        </w:rPr>
        <w:t> </w:t>
      </w:r>
      <w:r w:rsidRPr="000A7FD4" w:rsidR="00106682">
        <w:rPr>
          <w:szCs w:val="24"/>
        </w:rPr>
        <w:t>171.6</w:t>
      </w:r>
      <w:r w:rsidRPr="000A7FD4">
        <w:rPr>
          <w:szCs w:val="24"/>
        </w:rPr>
        <w:t xml:space="preserve"> </w:t>
      </w:r>
      <w:r w:rsidRPr="000A7FD4" w:rsidR="006F76EA">
        <w:rPr>
          <w:szCs w:val="24"/>
        </w:rPr>
        <w:t>of the</w:t>
      </w:r>
      <w:r w:rsidRPr="000A7FD4">
        <w:rPr>
          <w:szCs w:val="24"/>
        </w:rPr>
        <w:t xml:space="preserve"> Hazardous Materials Regulations (HMR; 49</w:t>
      </w:r>
      <w:r w:rsidRPr="000A7FD4" w:rsidR="00597FDD">
        <w:rPr>
          <w:szCs w:val="24"/>
        </w:rPr>
        <w:t xml:space="preserve"> </w:t>
      </w:r>
      <w:r w:rsidRPr="000A7FD4">
        <w:rPr>
          <w:szCs w:val="24"/>
        </w:rPr>
        <w:t xml:space="preserve">CFR </w:t>
      </w:r>
      <w:r w:rsidRPr="000A7FD4" w:rsidR="00EE484B">
        <w:rPr>
          <w:szCs w:val="24"/>
        </w:rPr>
        <w:t xml:space="preserve">parts </w:t>
      </w:r>
      <w:r w:rsidRPr="000A7FD4">
        <w:rPr>
          <w:szCs w:val="24"/>
        </w:rPr>
        <w:t>171-180</w:t>
      </w:r>
      <w:r w:rsidRPr="000A7FD4" w:rsidR="00FB0E2C">
        <w:rPr>
          <w:szCs w:val="24"/>
        </w:rPr>
        <w:t>)</w:t>
      </w:r>
      <w:r w:rsidRPr="000A7FD4" w:rsidR="00793E82">
        <w:rPr>
          <w:szCs w:val="24"/>
        </w:rPr>
        <w:t>.</w:t>
      </w:r>
      <w:r w:rsidRPr="000A7FD4" w:rsidR="00FB2B93">
        <w:rPr>
          <w:szCs w:val="24"/>
        </w:rPr>
        <w:t xml:space="preserve"> </w:t>
      </w:r>
      <w:r w:rsidRPr="000A7FD4" w:rsidR="00793E82">
        <w:rPr>
          <w:szCs w:val="24"/>
        </w:rPr>
        <w:t xml:space="preserve"> </w:t>
      </w:r>
      <w:r w:rsidRPr="000A7FD4">
        <w:rPr>
          <w:szCs w:val="24"/>
        </w:rPr>
        <w:t>PHMS</w:t>
      </w:r>
      <w:r w:rsidRPr="000A7FD4" w:rsidR="00106682">
        <w:rPr>
          <w:szCs w:val="24"/>
        </w:rPr>
        <w:t xml:space="preserve">A has revised burden estimates, </w:t>
      </w:r>
      <w:r w:rsidRPr="000A7FD4">
        <w:rPr>
          <w:szCs w:val="24"/>
        </w:rPr>
        <w:t>where appropriate, to reflect current reporting levels or adjustments based on changes in proposed or final rules published since the information collections were last approved</w:t>
      </w:r>
      <w:r w:rsidRPr="000A7FD4" w:rsidR="00793E82">
        <w:rPr>
          <w:szCs w:val="24"/>
        </w:rPr>
        <w:t xml:space="preserve">. </w:t>
      </w:r>
      <w:r w:rsidRPr="000A7FD4" w:rsidR="00FB2B93">
        <w:rPr>
          <w:szCs w:val="24"/>
        </w:rPr>
        <w:t xml:space="preserve"> </w:t>
      </w:r>
      <w:r w:rsidRPr="000A7FD4">
        <w:rPr>
          <w:szCs w:val="24"/>
        </w:rPr>
        <w:t>The following information is provided for ea</w:t>
      </w:r>
      <w:r w:rsidRPr="000A7FD4" w:rsidR="00447AE3">
        <w:rPr>
          <w:szCs w:val="24"/>
        </w:rPr>
        <w:t>ch information collection: (1) t</w:t>
      </w:r>
      <w:r w:rsidRPr="000A7FD4">
        <w:rPr>
          <w:szCs w:val="24"/>
        </w:rPr>
        <w:t>itle of the information collection, including former title if a change is being made; (2) OMB control number; (3) summary of the information collection activity; (4) description of affected public; (5) estimate of total annual reporting and recordkeeping burden; and (6</w:t>
      </w:r>
      <w:r w:rsidRPr="000A7FD4" w:rsidR="005F6A90">
        <w:rPr>
          <w:szCs w:val="24"/>
        </w:rPr>
        <w:t>) </w:t>
      </w:r>
      <w:r w:rsidRPr="000A7FD4">
        <w:rPr>
          <w:szCs w:val="24"/>
        </w:rPr>
        <w:t>frequency of collection</w:t>
      </w:r>
      <w:r w:rsidRPr="000A7FD4" w:rsidR="00793E82">
        <w:rPr>
          <w:szCs w:val="24"/>
        </w:rPr>
        <w:t xml:space="preserve">. </w:t>
      </w:r>
      <w:r w:rsidRPr="000A7FD4" w:rsidR="005F6A90">
        <w:rPr>
          <w:szCs w:val="24"/>
        </w:rPr>
        <w:t xml:space="preserve"> </w:t>
      </w:r>
      <w:r w:rsidRPr="000A7FD4" w:rsidR="00846830">
        <w:rPr>
          <w:szCs w:val="24"/>
        </w:rPr>
        <w:t>PHMSA</w:t>
      </w:r>
      <w:r w:rsidRPr="000A7FD4">
        <w:rPr>
          <w:szCs w:val="24"/>
        </w:rPr>
        <w:t xml:space="preserve"> will request a </w:t>
      </w:r>
      <w:r w:rsidRPr="000A7FD4" w:rsidR="00C066F3">
        <w:rPr>
          <w:szCs w:val="24"/>
        </w:rPr>
        <w:t>3</w:t>
      </w:r>
      <w:r w:rsidRPr="000A7FD4">
        <w:rPr>
          <w:szCs w:val="24"/>
        </w:rPr>
        <w:t>-year term of approval for each information collection activity and</w:t>
      </w:r>
      <w:r w:rsidRPr="000A7FD4" w:rsidR="00C066F3">
        <w:rPr>
          <w:szCs w:val="24"/>
        </w:rPr>
        <w:t xml:space="preserve"> will</w:t>
      </w:r>
      <w:r w:rsidRPr="000A7FD4">
        <w:rPr>
          <w:szCs w:val="24"/>
        </w:rPr>
        <w:t xml:space="preserve"> publish</w:t>
      </w:r>
      <w:r w:rsidRPr="000A7FD4" w:rsidR="00AF4BFE">
        <w:rPr>
          <w:szCs w:val="24"/>
        </w:rPr>
        <w:t xml:space="preserve"> a</w:t>
      </w:r>
      <w:r w:rsidRPr="000A7FD4">
        <w:rPr>
          <w:szCs w:val="24"/>
        </w:rPr>
        <w:t xml:space="preserve"> notice in the </w:t>
      </w:r>
      <w:r w:rsidRPr="000A7FD4">
        <w:rPr>
          <w:i/>
          <w:szCs w:val="24"/>
        </w:rPr>
        <w:t>Federal Register</w:t>
      </w:r>
      <w:r w:rsidRPr="000A7FD4" w:rsidR="00C066F3">
        <w:rPr>
          <w:szCs w:val="24"/>
        </w:rPr>
        <w:t xml:space="preserve"> </w:t>
      </w:r>
      <w:r w:rsidRPr="000A7FD4" w:rsidR="004A0DD5">
        <w:rPr>
          <w:szCs w:val="24"/>
        </w:rPr>
        <w:t xml:space="preserve">alerting the public </w:t>
      </w:r>
      <w:r w:rsidRPr="000A7FD4" w:rsidR="001C5F39">
        <w:rPr>
          <w:szCs w:val="24"/>
        </w:rPr>
        <w:t xml:space="preserve">upon </w:t>
      </w:r>
      <w:r w:rsidRPr="000A7FD4" w:rsidR="00C066F3">
        <w:rPr>
          <w:szCs w:val="24"/>
        </w:rPr>
        <w:t>OMB</w:t>
      </w:r>
      <w:r w:rsidRPr="000A7FD4" w:rsidR="001C5F39">
        <w:rPr>
          <w:szCs w:val="24"/>
        </w:rPr>
        <w:t>’s approval</w:t>
      </w:r>
      <w:r w:rsidRPr="000A7FD4">
        <w:rPr>
          <w:szCs w:val="24"/>
        </w:rPr>
        <w:t>.</w:t>
      </w:r>
    </w:p>
    <w:p w:rsidR="005B4A56" w:rsidP="000A7FD4" w14:paraId="3F8463D2" w14:textId="549F02D9">
      <w:pPr>
        <w:ind w:firstLine="720"/>
        <w:rPr>
          <w:szCs w:val="24"/>
        </w:rPr>
      </w:pPr>
      <w:r w:rsidRPr="000A7FD4">
        <w:rPr>
          <w:szCs w:val="24"/>
        </w:rPr>
        <w:t>PHMSA requests comments on the following information collections:</w:t>
      </w:r>
    </w:p>
    <w:p w:rsidR="000A7FD4" w:rsidRPr="000A7FD4" w:rsidP="000A7FD4" w14:paraId="0DF041BB" w14:textId="77777777">
      <w:pPr>
        <w:ind w:firstLine="720"/>
        <w:rPr>
          <w:szCs w:val="24"/>
        </w:rPr>
      </w:pPr>
    </w:p>
    <w:p w:rsidR="00191BFA" w:rsidRPr="000A7FD4" w:rsidP="007318AC" w14:paraId="42203F12" w14:textId="77777777">
      <w:pPr>
        <w:widowControl w:val="0"/>
        <w:ind w:firstLine="720"/>
        <w:rPr>
          <w:bCs/>
          <w:szCs w:val="24"/>
        </w:rPr>
      </w:pPr>
      <w:r w:rsidRPr="000A7FD4">
        <w:rPr>
          <w:bCs/>
          <w:szCs w:val="24"/>
          <w:u w:val="single"/>
        </w:rPr>
        <w:t>Title</w:t>
      </w:r>
      <w:r w:rsidRPr="000A7FD4">
        <w:rPr>
          <w:bCs/>
          <w:szCs w:val="24"/>
        </w:rPr>
        <w:t>:  Inspection and Testing of Portable Tanks and Intermediate Bulk Containers</w:t>
      </w:r>
    </w:p>
    <w:p w:rsidR="00191BFA" w:rsidRPr="000A7FD4" w:rsidP="007318AC" w14:paraId="6A205EF7" w14:textId="77777777">
      <w:pPr>
        <w:widowControl w:val="0"/>
        <w:ind w:firstLine="720"/>
        <w:rPr>
          <w:bCs/>
          <w:szCs w:val="24"/>
        </w:rPr>
      </w:pPr>
      <w:r w:rsidRPr="000A7FD4">
        <w:rPr>
          <w:bCs/>
          <w:szCs w:val="24"/>
          <w:u w:val="single"/>
        </w:rPr>
        <w:t>OMB Control Number</w:t>
      </w:r>
      <w:r w:rsidRPr="000A7FD4">
        <w:rPr>
          <w:bCs/>
          <w:szCs w:val="24"/>
        </w:rPr>
        <w:t>:  2137-0018</w:t>
      </w:r>
    </w:p>
    <w:p w:rsidR="0080481B" w:rsidRPr="000A7FD4" w:rsidP="00DB4887" w14:paraId="4EF09C9B" w14:textId="63A96970">
      <w:pPr>
        <w:widowControl w:val="0"/>
        <w:ind w:firstLine="720"/>
        <w:rPr>
          <w:szCs w:val="24"/>
        </w:rPr>
      </w:pPr>
      <w:r w:rsidRPr="000A7FD4">
        <w:rPr>
          <w:bCs/>
          <w:szCs w:val="24"/>
          <w:u w:val="single"/>
        </w:rPr>
        <w:t>Summary</w:t>
      </w:r>
      <w:r w:rsidRPr="000A7FD4">
        <w:rPr>
          <w:bCs/>
          <w:szCs w:val="24"/>
        </w:rPr>
        <w:t xml:space="preserve">:  </w:t>
      </w:r>
      <w:r w:rsidRPr="000A7FD4" w:rsidR="00AE64FC">
        <w:rPr>
          <w:bCs/>
          <w:szCs w:val="24"/>
        </w:rPr>
        <w:t xml:space="preserve">This </w:t>
      </w:r>
      <w:r w:rsidRPr="000A7FD4" w:rsidR="00B229F1">
        <w:rPr>
          <w:bCs/>
          <w:szCs w:val="24"/>
        </w:rPr>
        <w:t>OMB control number</w:t>
      </w:r>
      <w:r w:rsidRPr="000A7FD4" w:rsidR="00AE64FC">
        <w:rPr>
          <w:bCs/>
          <w:szCs w:val="24"/>
        </w:rPr>
        <w:t xml:space="preserve"> describes the </w:t>
      </w:r>
      <w:r w:rsidRPr="000A7FD4" w:rsidR="00AE64FC">
        <w:rPr>
          <w:szCs w:val="24"/>
        </w:rPr>
        <w:t xml:space="preserve">information </w:t>
      </w:r>
      <w:r w:rsidRPr="000A7FD4" w:rsidR="00B229F1">
        <w:rPr>
          <w:szCs w:val="24"/>
        </w:rPr>
        <w:t>collections</w:t>
      </w:r>
      <w:r w:rsidRPr="000A7FD4" w:rsidR="00AE64FC">
        <w:rPr>
          <w:szCs w:val="24"/>
        </w:rPr>
        <w:t xml:space="preserve"> in parts 173, 17</w:t>
      </w:r>
      <w:r w:rsidRPr="000A7FD4" w:rsidR="00B229F1">
        <w:rPr>
          <w:szCs w:val="24"/>
        </w:rPr>
        <w:t>8</w:t>
      </w:r>
      <w:r w:rsidRPr="000A7FD4" w:rsidR="00AE64FC">
        <w:rPr>
          <w:szCs w:val="24"/>
        </w:rPr>
        <w:t xml:space="preserve">, and 180 </w:t>
      </w:r>
      <w:r w:rsidRPr="00BD0DF8" w:rsidR="00AE64FC">
        <w:rPr>
          <w:szCs w:val="24"/>
        </w:rPr>
        <w:t xml:space="preserve">of the HMR </w:t>
      </w:r>
      <w:r w:rsidRPr="0087281B" w:rsidR="4B3CDC7A">
        <w:rPr>
          <w:szCs w:val="24"/>
        </w:rPr>
        <w:t xml:space="preserve">pertaining to </w:t>
      </w:r>
      <w:r w:rsidRPr="000A7FD4" w:rsidR="00AE64FC">
        <w:rPr>
          <w:szCs w:val="24"/>
        </w:rPr>
        <w:t>the</w:t>
      </w:r>
      <w:r w:rsidRPr="000A7FD4">
        <w:rPr>
          <w:szCs w:val="24"/>
        </w:rPr>
        <w:t xml:space="preserve"> documenting qualifications, inspections, tests, and approvals pertaining to the manufacture and use of portable tanks and intermediate bulk containers</w:t>
      </w:r>
      <w:r w:rsidRPr="000A7FD4" w:rsidR="00D136A0">
        <w:rPr>
          <w:szCs w:val="24"/>
        </w:rPr>
        <w:t xml:space="preserve"> (IBCs)</w:t>
      </w:r>
      <w:r w:rsidRPr="000A7FD4">
        <w:rPr>
          <w:szCs w:val="24"/>
        </w:rPr>
        <w:t xml:space="preserve"> under various provisions of the HMR.  </w:t>
      </w:r>
      <w:r w:rsidRPr="000A7FD4" w:rsidR="004A219F">
        <w:rPr>
          <w:szCs w:val="24"/>
        </w:rPr>
        <w:t>Information collection</w:t>
      </w:r>
      <w:r w:rsidRPr="000A7FD4" w:rsidR="00957171">
        <w:rPr>
          <w:szCs w:val="24"/>
        </w:rPr>
        <w:t>s</w:t>
      </w:r>
      <w:r w:rsidRPr="000A7FD4" w:rsidR="004A219F">
        <w:rPr>
          <w:szCs w:val="24"/>
        </w:rPr>
        <w:t xml:space="preserve"> under this OMB </w:t>
      </w:r>
      <w:r w:rsidRPr="000A7FD4" w:rsidR="00E84B91">
        <w:rPr>
          <w:szCs w:val="24"/>
        </w:rPr>
        <w:t xml:space="preserve">control number include: </w:t>
      </w:r>
    </w:p>
    <w:p w:rsidR="00D136A0" w:rsidRPr="000A7FD4" w:rsidP="00A27309" w14:paraId="79AF9295" w14:textId="378DE509">
      <w:pPr>
        <w:ind w:firstLine="720"/>
        <w:rPr>
          <w:szCs w:val="24"/>
        </w:rPr>
      </w:pPr>
      <w:r w:rsidRPr="000A7FD4">
        <w:rPr>
          <w:szCs w:val="24"/>
        </w:rPr>
        <w:t xml:space="preserve">(1) </w:t>
      </w:r>
      <w:r w:rsidRPr="000A7FD4">
        <w:rPr>
          <w:i/>
          <w:iCs/>
          <w:szCs w:val="24"/>
        </w:rPr>
        <w:t>Design Qualification Testing for IBC</w:t>
      </w:r>
      <w:r w:rsidRPr="000A7FD4" w:rsidR="00A141D0">
        <w:rPr>
          <w:i/>
          <w:iCs/>
          <w:szCs w:val="24"/>
        </w:rPr>
        <w:t>s</w:t>
      </w:r>
      <w:r w:rsidRPr="000A7FD4" w:rsidR="001106C7">
        <w:rPr>
          <w:szCs w:val="24"/>
        </w:rPr>
        <w:t>:</w:t>
      </w:r>
      <w:r w:rsidRPr="000A7FD4">
        <w:rPr>
          <w:szCs w:val="24"/>
        </w:rPr>
        <w:t xml:space="preserve"> </w:t>
      </w:r>
      <w:r w:rsidRPr="000A7FD4" w:rsidR="6E68D0F0">
        <w:rPr>
          <w:szCs w:val="24"/>
        </w:rPr>
        <w:t xml:space="preserve"> </w:t>
      </w:r>
      <w:r w:rsidRPr="000A7FD4">
        <w:rPr>
          <w:szCs w:val="24"/>
        </w:rPr>
        <w:t xml:space="preserve">This information collection consists of the minimum requirements for testing procedures to ensure that IBCs containing hazardous materials can withstand normal conditions of transportation. </w:t>
      </w:r>
      <w:r w:rsidRPr="000A7FD4" w:rsidR="16776189">
        <w:rPr>
          <w:szCs w:val="24"/>
        </w:rPr>
        <w:t xml:space="preserve"> </w:t>
      </w:r>
      <w:r w:rsidRPr="000A7FD4">
        <w:rPr>
          <w:szCs w:val="24"/>
        </w:rPr>
        <w:t xml:space="preserve">Each packaging must pass the prescribed tests and conform to § 173.24 while in transportation. </w:t>
      </w:r>
      <w:r w:rsidRPr="000A7FD4" w:rsidR="3E630A2B">
        <w:rPr>
          <w:szCs w:val="24"/>
        </w:rPr>
        <w:t xml:space="preserve"> </w:t>
      </w:r>
      <w:r w:rsidRPr="000A7FD4">
        <w:rPr>
          <w:szCs w:val="24"/>
        </w:rPr>
        <w:t xml:space="preserve">The testing requirements in § 178.801(d) ensure that the packaging manufacturer achieves successful test results for the design qualification testing at the start of production of each new or different IBC design type. </w:t>
      </w:r>
    </w:p>
    <w:p w:rsidR="006A0EA4" w:rsidRPr="000A7FD4" w:rsidP="001106C7" w14:paraId="70DC3819" w14:textId="404659A2">
      <w:pPr>
        <w:ind w:firstLine="720"/>
        <w:rPr>
          <w:szCs w:val="24"/>
        </w:rPr>
      </w:pPr>
      <w:r w:rsidRPr="000A7FD4">
        <w:rPr>
          <w:szCs w:val="24"/>
        </w:rPr>
        <w:t>(2)</w:t>
      </w:r>
      <w:r w:rsidRPr="000A7FD4" w:rsidR="00191BFA">
        <w:rPr>
          <w:szCs w:val="24"/>
        </w:rPr>
        <w:t xml:space="preserve"> </w:t>
      </w:r>
      <w:r w:rsidRPr="000A7FD4" w:rsidR="00CB1F20">
        <w:rPr>
          <w:i/>
          <w:szCs w:val="24"/>
        </w:rPr>
        <w:t>Periodic Design Requalification Testing of IBCs</w:t>
      </w:r>
      <w:r w:rsidRPr="000A7FD4" w:rsidR="001106C7">
        <w:rPr>
          <w:szCs w:val="24"/>
        </w:rPr>
        <w:t>:</w:t>
      </w:r>
      <w:r w:rsidRPr="000A7FD4" w:rsidR="00CB1F20">
        <w:rPr>
          <w:szCs w:val="24"/>
        </w:rPr>
        <w:t xml:space="preserve"> </w:t>
      </w:r>
      <w:r w:rsidRPr="000A7FD4" w:rsidR="4377122A">
        <w:rPr>
          <w:szCs w:val="24"/>
        </w:rPr>
        <w:t xml:space="preserve"> </w:t>
      </w:r>
      <w:r w:rsidRPr="000A7FD4" w:rsidR="001106C7">
        <w:rPr>
          <w:szCs w:val="24"/>
        </w:rPr>
        <w:t xml:space="preserve">This information collection consists of the requirements for periodic design re-qualification of each qualified IBC design type to maintain authorization for continued production. </w:t>
      </w:r>
      <w:r w:rsidRPr="000A7FD4" w:rsidR="36455336">
        <w:rPr>
          <w:szCs w:val="24"/>
        </w:rPr>
        <w:t xml:space="preserve"> </w:t>
      </w:r>
      <w:r w:rsidRPr="000A7FD4" w:rsidR="001106C7">
        <w:rPr>
          <w:szCs w:val="24"/>
        </w:rPr>
        <w:t>IBC manufacturers must conduct successful tests at sufficient frequency to ensure each packaging produced is capable of passing the design qualification tests, which must be conducted at least once every 12 months.</w:t>
      </w:r>
    </w:p>
    <w:p w:rsidR="00427564" w:rsidRPr="000A7FD4" w:rsidP="00427564" w14:paraId="317F294C" w14:textId="603B36B6">
      <w:pPr>
        <w:ind w:firstLine="720"/>
        <w:rPr>
          <w:szCs w:val="24"/>
        </w:rPr>
      </w:pPr>
      <w:r w:rsidRPr="000A7FD4">
        <w:rPr>
          <w:szCs w:val="24"/>
        </w:rPr>
        <w:t xml:space="preserve">(3) </w:t>
      </w:r>
      <w:r w:rsidRPr="000A7FD4">
        <w:rPr>
          <w:i/>
          <w:szCs w:val="24"/>
        </w:rPr>
        <w:t>Applications for Approval of Equivalent Packaging</w:t>
      </w:r>
      <w:r w:rsidRPr="000A7FD4" w:rsidR="00435205">
        <w:rPr>
          <w:szCs w:val="24"/>
        </w:rPr>
        <w:t xml:space="preserve">: </w:t>
      </w:r>
      <w:r w:rsidRPr="000A7FD4" w:rsidR="188EBD96">
        <w:rPr>
          <w:szCs w:val="24"/>
        </w:rPr>
        <w:t xml:space="preserve"> </w:t>
      </w:r>
      <w:r w:rsidRPr="000A7FD4" w:rsidR="000375EC">
        <w:rPr>
          <w:szCs w:val="24"/>
        </w:rPr>
        <w:t xml:space="preserve">This information collection consists of the requirements for approval of equivalent packaging applications submitted by the regulated community to PHMSA, which allows the use of an IBC differing from the standards outlined in the HMR if it is shown to be equally effective and if the testing methods used are equivalent. </w:t>
      </w:r>
    </w:p>
    <w:p w:rsidR="0080481B" w:rsidRPr="000A7FD4" w:rsidP="00427564" w14:paraId="3A4188E1" w14:textId="753EE725">
      <w:pPr>
        <w:ind w:firstLine="720"/>
        <w:rPr>
          <w:szCs w:val="24"/>
        </w:rPr>
      </w:pPr>
      <w:r w:rsidRPr="000A7FD4">
        <w:rPr>
          <w:szCs w:val="24"/>
        </w:rPr>
        <w:t xml:space="preserve">(4) </w:t>
      </w:r>
      <w:r w:rsidRPr="000A7FD4" w:rsidR="00E252E3">
        <w:rPr>
          <w:i/>
          <w:szCs w:val="24"/>
        </w:rPr>
        <w:t>Reporting Requirements for Retest and Inspection of IBCs</w:t>
      </w:r>
      <w:r w:rsidRPr="000A7FD4" w:rsidR="00435205">
        <w:rPr>
          <w:szCs w:val="24"/>
        </w:rPr>
        <w:t>:</w:t>
      </w:r>
      <w:r w:rsidRPr="000A7FD4" w:rsidR="00E252E3">
        <w:rPr>
          <w:szCs w:val="24"/>
        </w:rPr>
        <w:t xml:space="preserve"> </w:t>
      </w:r>
      <w:r w:rsidRPr="000A7FD4" w:rsidR="0ACC3DF5">
        <w:rPr>
          <w:szCs w:val="24"/>
        </w:rPr>
        <w:t xml:space="preserve"> </w:t>
      </w:r>
      <w:r w:rsidRPr="000A7FD4" w:rsidR="00836994">
        <w:rPr>
          <w:szCs w:val="24"/>
        </w:rPr>
        <w:t xml:space="preserve">This information collection consists of the requirements for the continuing qualification, maintenance, or periodic retesting of an IBC by any person responsible for it. </w:t>
      </w:r>
      <w:r w:rsidRPr="000A7FD4" w:rsidR="706157D0">
        <w:rPr>
          <w:szCs w:val="24"/>
        </w:rPr>
        <w:t xml:space="preserve"> </w:t>
      </w:r>
      <w:r w:rsidRPr="000A7FD4" w:rsidR="00836994">
        <w:rPr>
          <w:szCs w:val="24"/>
        </w:rPr>
        <w:t xml:space="preserve">Each IBC constructed in accordance with a </w:t>
      </w:r>
      <w:r w:rsidRPr="000A7FD4" w:rsidR="004B7662">
        <w:rPr>
          <w:szCs w:val="24"/>
        </w:rPr>
        <w:t>United Nations (</w:t>
      </w:r>
      <w:r w:rsidRPr="000A7FD4" w:rsidR="00836994">
        <w:rPr>
          <w:szCs w:val="24"/>
        </w:rPr>
        <w:t>UN</w:t>
      </w:r>
      <w:r w:rsidRPr="000A7FD4" w:rsidR="004B7662">
        <w:rPr>
          <w:szCs w:val="24"/>
        </w:rPr>
        <w:t>)</w:t>
      </w:r>
      <w:r w:rsidRPr="000A7FD4" w:rsidR="00836994">
        <w:rPr>
          <w:szCs w:val="24"/>
        </w:rPr>
        <w:t xml:space="preserve"> standard for which a test or inspection is required may not be filled and offered for transportation or transported until the testing and inspection have been successfully completed. </w:t>
      </w:r>
      <w:r w:rsidRPr="000A7FD4" w:rsidR="000B1CBD">
        <w:rPr>
          <w:szCs w:val="24"/>
        </w:rPr>
        <w:t xml:space="preserve"> </w:t>
      </w:r>
      <w:r w:rsidRPr="000A7FD4" w:rsidR="00836994">
        <w:rPr>
          <w:szCs w:val="24"/>
        </w:rPr>
        <w:t>The information collection also reflects the creation of a report that identifies the testing and inspection of IBCs.</w:t>
      </w:r>
    </w:p>
    <w:p w:rsidR="00435205" w:rsidRPr="000A7FD4" w:rsidP="00F428F3" w14:paraId="6847A5CA" w14:textId="23433F88">
      <w:pPr>
        <w:ind w:firstLine="720"/>
        <w:rPr>
          <w:szCs w:val="24"/>
        </w:rPr>
      </w:pPr>
      <w:r w:rsidRPr="000A7FD4">
        <w:rPr>
          <w:szCs w:val="24"/>
        </w:rPr>
        <w:t xml:space="preserve">(5) </w:t>
      </w:r>
      <w:r w:rsidRPr="000A7FD4">
        <w:rPr>
          <w:i/>
          <w:iCs/>
          <w:szCs w:val="24"/>
        </w:rPr>
        <w:t>Recordkeeping for IBC Testing</w:t>
      </w:r>
      <w:r w:rsidRPr="000A7FD4">
        <w:rPr>
          <w:szCs w:val="24"/>
        </w:rPr>
        <w:t xml:space="preserve">.  </w:t>
      </w:r>
      <w:r w:rsidRPr="000A7FD4" w:rsidR="4E0AE762">
        <w:rPr>
          <w:szCs w:val="24"/>
        </w:rPr>
        <w:t xml:space="preserve">This information collection consists of the recordkeeping requirements associated with IBC testing in §§ 178.801 and 180.352. </w:t>
      </w:r>
      <w:r w:rsidRPr="000A7FD4" w:rsidR="000B1CBD">
        <w:rPr>
          <w:szCs w:val="24"/>
        </w:rPr>
        <w:t xml:space="preserve"> </w:t>
      </w:r>
      <w:r w:rsidRPr="000A7FD4" w:rsidR="4E0AE762">
        <w:rPr>
          <w:szCs w:val="24"/>
        </w:rPr>
        <w:t xml:space="preserve">The IBC owner or lessee must keep records of periodic retests, initial and periodic inspections, and test performance on the IBC if it has been repaired. </w:t>
      </w:r>
      <w:r w:rsidRPr="000A7FD4" w:rsidR="000B1CBD">
        <w:rPr>
          <w:szCs w:val="24"/>
        </w:rPr>
        <w:t xml:space="preserve"> </w:t>
      </w:r>
      <w:r w:rsidRPr="000A7FD4" w:rsidR="4E0AE762">
        <w:rPr>
          <w:szCs w:val="24"/>
        </w:rPr>
        <w:t xml:space="preserve">Records must be kept for each packaging at each location where periodic tests are conducted and must be available for inspection by a DOT representative </w:t>
      </w:r>
      <w:r w:rsidRPr="000A7FD4" w:rsidR="7673FD4B">
        <w:rPr>
          <w:szCs w:val="24"/>
        </w:rPr>
        <w:t>u</w:t>
      </w:r>
      <w:r w:rsidRPr="000A7FD4" w:rsidR="20D75B6F">
        <w:rPr>
          <w:szCs w:val="24"/>
        </w:rPr>
        <w:t>p</w:t>
      </w:r>
      <w:r w:rsidRPr="000A7FD4" w:rsidR="4E0AE762">
        <w:rPr>
          <w:szCs w:val="24"/>
        </w:rPr>
        <w:t>on request.</w:t>
      </w:r>
    </w:p>
    <w:p w:rsidR="0025344B" w:rsidRPr="000A7FD4" w:rsidP="00DB4887" w14:paraId="401A9398" w14:textId="40561B81">
      <w:pPr>
        <w:ind w:firstLine="720"/>
        <w:rPr>
          <w:szCs w:val="24"/>
        </w:rPr>
      </w:pPr>
      <w:r w:rsidRPr="000A7FD4">
        <w:rPr>
          <w:szCs w:val="24"/>
        </w:rPr>
        <w:t xml:space="preserve">(6) </w:t>
      </w:r>
      <w:r w:rsidRPr="000A7FD4">
        <w:rPr>
          <w:i/>
          <w:iCs/>
          <w:szCs w:val="24"/>
        </w:rPr>
        <w:t>Manufacturers Data Report (ASME) for Portable Tanks</w:t>
      </w:r>
      <w:r w:rsidRPr="000A7FD4" w:rsidR="5BA8D222">
        <w:rPr>
          <w:szCs w:val="24"/>
        </w:rPr>
        <w:t>:</w:t>
      </w:r>
      <w:r w:rsidRPr="000A7FD4" w:rsidR="0BD9A7F6">
        <w:rPr>
          <w:szCs w:val="24"/>
        </w:rPr>
        <w:t xml:space="preserve"> </w:t>
      </w:r>
      <w:r w:rsidRPr="000A7FD4" w:rsidR="1316FB19">
        <w:rPr>
          <w:szCs w:val="24"/>
        </w:rPr>
        <w:t xml:space="preserve">This information collection consists of the requirements for tanks designed and constructed in accordance with, and that fulfill all the requirements of, the </w:t>
      </w:r>
      <w:r w:rsidRPr="000A7FD4" w:rsidR="004D59D0">
        <w:rPr>
          <w:szCs w:val="24"/>
        </w:rPr>
        <w:t>American Society of Mechanical Engineers (</w:t>
      </w:r>
      <w:r w:rsidRPr="000A7FD4" w:rsidR="1316FB19">
        <w:rPr>
          <w:szCs w:val="24"/>
        </w:rPr>
        <w:t>ASME</w:t>
      </w:r>
      <w:r w:rsidRPr="00BD0DF8" w:rsidR="004D59D0">
        <w:rPr>
          <w:szCs w:val="24"/>
        </w:rPr>
        <w:t>)</w:t>
      </w:r>
      <w:r w:rsidRPr="0087281B" w:rsidR="1316FB19">
        <w:rPr>
          <w:szCs w:val="24"/>
        </w:rPr>
        <w:t xml:space="preserve"> Code. </w:t>
      </w:r>
      <w:r w:rsidRPr="000A7FD4" w:rsidR="000B1CBD">
        <w:rPr>
          <w:szCs w:val="24"/>
        </w:rPr>
        <w:t xml:space="preserve"> </w:t>
      </w:r>
      <w:r w:rsidRPr="000A7FD4" w:rsidR="1316FB19">
        <w:rPr>
          <w:szCs w:val="24"/>
        </w:rPr>
        <w:t>In addition to the markings required by the ASME Code, every tank must bear permanent marks that include the information specified in</w:t>
      </w:r>
      <w:r w:rsidRPr="000A7FD4" w:rsidR="00D4080D">
        <w:rPr>
          <w:szCs w:val="24"/>
        </w:rPr>
        <w:t xml:space="preserve"> </w:t>
      </w:r>
      <w:r w:rsidRPr="000A7FD4" w:rsidR="1316FB19">
        <w:rPr>
          <w:szCs w:val="24"/>
        </w:rPr>
        <w:t>§</w:t>
      </w:r>
      <w:r w:rsidRPr="000A7FD4" w:rsidR="00D45588">
        <w:rPr>
          <w:szCs w:val="24"/>
        </w:rPr>
        <w:t> </w:t>
      </w:r>
      <w:r w:rsidRPr="000A7FD4" w:rsidR="1316FB19">
        <w:rPr>
          <w:szCs w:val="24"/>
        </w:rPr>
        <w:t>178.255-14, which must be stamped into the metal near the center of one of the tank heads or stamped into a plate permanently attached to the tank by means of brazing or welding or other suitable means.</w:t>
      </w:r>
    </w:p>
    <w:p w:rsidR="0025344B" w:rsidRPr="000A7FD4" w:rsidP="0025344B" w14:paraId="7EEF6FC8" w14:textId="4EB30703">
      <w:pPr>
        <w:ind w:firstLine="720"/>
        <w:rPr>
          <w:szCs w:val="24"/>
        </w:rPr>
      </w:pPr>
      <w:r w:rsidRPr="000A7FD4">
        <w:rPr>
          <w:szCs w:val="24"/>
        </w:rPr>
        <w:t xml:space="preserve">(7) </w:t>
      </w:r>
      <w:r w:rsidRPr="000A7FD4">
        <w:rPr>
          <w:i/>
          <w:szCs w:val="24"/>
        </w:rPr>
        <w:t>Approval Applications for Specification UN Portable Tank Design</w:t>
      </w:r>
      <w:r w:rsidRPr="000A7FD4">
        <w:rPr>
          <w:szCs w:val="24"/>
        </w:rPr>
        <w:t xml:space="preserve">: </w:t>
      </w:r>
      <w:r w:rsidRPr="000A7FD4" w:rsidR="0026154D">
        <w:rPr>
          <w:szCs w:val="24"/>
        </w:rPr>
        <w:t>This information collection requires an owner or manufacturer of a portable tank to apply for</w:t>
      </w:r>
      <w:r w:rsidRPr="000A7FD4" w:rsidR="00184A2A">
        <w:rPr>
          <w:szCs w:val="24"/>
        </w:rPr>
        <w:t xml:space="preserve"> </w:t>
      </w:r>
      <w:r w:rsidRPr="000A7FD4" w:rsidR="2BD5F922">
        <w:rPr>
          <w:szCs w:val="24"/>
        </w:rPr>
        <w:t>a</w:t>
      </w:r>
      <w:r w:rsidRPr="000A7FD4" w:rsidR="34FC2774">
        <w:rPr>
          <w:szCs w:val="24"/>
        </w:rPr>
        <w:t>n</w:t>
      </w:r>
      <w:r w:rsidRPr="000A7FD4" w:rsidR="0026154D">
        <w:rPr>
          <w:szCs w:val="24"/>
        </w:rPr>
        <w:t xml:space="preserve"> approval to a designated approval agency authorized to approve new portable tanks designs.  </w:t>
      </w:r>
      <w:r w:rsidRPr="000A7FD4">
        <w:rPr>
          <w:szCs w:val="24"/>
        </w:rPr>
        <w:t xml:space="preserve"> </w:t>
      </w:r>
    </w:p>
    <w:p w:rsidR="0026154D" w:rsidRPr="000A7FD4" w:rsidP="0025344B" w14:paraId="04EE17CC" w14:textId="4269F59C">
      <w:pPr>
        <w:ind w:firstLine="720"/>
        <w:rPr>
          <w:szCs w:val="24"/>
        </w:rPr>
      </w:pPr>
      <w:r w:rsidRPr="000A7FD4">
        <w:rPr>
          <w:szCs w:val="24"/>
        </w:rPr>
        <w:t>(8)</w:t>
      </w:r>
      <w:r w:rsidRPr="000A7FD4" w:rsidR="00887E15">
        <w:rPr>
          <w:szCs w:val="24"/>
        </w:rPr>
        <w:t xml:space="preserve"> </w:t>
      </w:r>
      <w:r w:rsidRPr="000A7FD4" w:rsidR="00F83F87">
        <w:rPr>
          <w:i/>
          <w:iCs/>
          <w:szCs w:val="24"/>
        </w:rPr>
        <w:t>Applications for Modifications to Portable Tank Designs</w:t>
      </w:r>
      <w:r w:rsidRPr="000A7FD4" w:rsidR="0025344B">
        <w:rPr>
          <w:szCs w:val="24"/>
        </w:rPr>
        <w:t>:</w:t>
      </w:r>
      <w:r w:rsidRPr="000A7FD4" w:rsidR="007F7C9C">
        <w:rPr>
          <w:szCs w:val="24"/>
        </w:rPr>
        <w:t xml:space="preserve"> </w:t>
      </w:r>
      <w:r w:rsidRPr="000A7FD4" w:rsidR="0099010A">
        <w:rPr>
          <w:szCs w:val="24"/>
        </w:rPr>
        <w:t xml:space="preserve"> </w:t>
      </w:r>
      <w:r w:rsidRPr="000A7FD4" w:rsidR="007F7C9C">
        <w:rPr>
          <w:szCs w:val="24"/>
        </w:rPr>
        <w:t>This information collection requires an owner or manufacturer of a portable tank to apply for</w:t>
      </w:r>
      <w:r w:rsidRPr="000A7FD4" w:rsidR="002D60C9">
        <w:rPr>
          <w:szCs w:val="24"/>
        </w:rPr>
        <w:t xml:space="preserve"> an</w:t>
      </w:r>
      <w:r w:rsidRPr="000A7FD4" w:rsidR="007F7C9C">
        <w:rPr>
          <w:szCs w:val="24"/>
        </w:rPr>
        <w:t xml:space="preserve"> approval to a designated approval agency authorized to approve the modifications to portable tanks designs.  </w:t>
      </w:r>
    </w:p>
    <w:p w:rsidR="00C761FF" w:rsidRPr="000A7FD4" w:rsidP="00C761FF" w14:paraId="20930C05" w14:textId="02BCB368">
      <w:pPr>
        <w:tabs>
          <w:tab w:val="left" w:pos="720"/>
        </w:tabs>
        <w:rPr>
          <w:szCs w:val="24"/>
        </w:rPr>
      </w:pPr>
      <w:r w:rsidRPr="000A7FD4">
        <w:rPr>
          <w:szCs w:val="24"/>
        </w:rPr>
        <w:tab/>
      </w:r>
      <w:r w:rsidRPr="000A7FD4">
        <w:rPr>
          <w:szCs w:val="24"/>
        </w:rPr>
        <w:t xml:space="preserve">(9) </w:t>
      </w:r>
      <w:r w:rsidRPr="000A7FD4" w:rsidR="00827378">
        <w:rPr>
          <w:i/>
          <w:iCs/>
          <w:szCs w:val="24"/>
        </w:rPr>
        <w:t>Portable Tanks</w:t>
      </w:r>
      <w:r w:rsidRPr="000A7FD4" w:rsidR="0025344B">
        <w:rPr>
          <w:i/>
          <w:iCs/>
          <w:szCs w:val="24"/>
        </w:rPr>
        <w:t xml:space="preserve"> -</w:t>
      </w:r>
      <w:r w:rsidRPr="000A7FD4" w:rsidR="00827378">
        <w:rPr>
          <w:i/>
          <w:iCs/>
          <w:szCs w:val="24"/>
        </w:rPr>
        <w:t xml:space="preserve"> Approval Agency Retention of Documents</w:t>
      </w:r>
      <w:r w:rsidRPr="000A7FD4" w:rsidR="0025344B">
        <w:rPr>
          <w:szCs w:val="24"/>
        </w:rPr>
        <w:t>:</w:t>
      </w:r>
      <w:r w:rsidRPr="000A7FD4" w:rsidR="00827378">
        <w:rPr>
          <w:szCs w:val="24"/>
        </w:rPr>
        <w:t xml:space="preserve">  </w:t>
      </w:r>
      <w:r w:rsidRPr="000A7FD4">
        <w:rPr>
          <w:szCs w:val="24"/>
        </w:rPr>
        <w:t xml:space="preserve">This information collection consists of the requirement for approval agencies to review all drawings and calculations to ensure that the design is compliant with the relevant specification. </w:t>
      </w:r>
      <w:r w:rsidRPr="000A7FD4" w:rsidR="00040ED5">
        <w:rPr>
          <w:szCs w:val="24"/>
        </w:rPr>
        <w:t xml:space="preserve"> </w:t>
      </w:r>
      <w:r w:rsidRPr="000A7FD4">
        <w:rPr>
          <w:szCs w:val="24"/>
        </w:rPr>
        <w:t>The approval agency must maintain the drawings and approval records for as long as the portable tank remains in service and provide this information to the DOT upon request.</w:t>
      </w:r>
    </w:p>
    <w:p w:rsidR="006C309C" w:rsidRPr="0087281B" w:rsidP="00060D64" w14:paraId="3274CAD3" w14:textId="02F1F704">
      <w:pPr>
        <w:tabs>
          <w:tab w:val="left" w:pos="720"/>
        </w:tabs>
        <w:rPr>
          <w:szCs w:val="24"/>
        </w:rPr>
      </w:pPr>
      <w:r w:rsidRPr="000A7FD4">
        <w:rPr>
          <w:szCs w:val="24"/>
        </w:rPr>
        <w:tab/>
      </w:r>
      <w:r w:rsidRPr="000A7FD4">
        <w:rPr>
          <w:szCs w:val="24"/>
        </w:rPr>
        <w:t>(10)</w:t>
      </w:r>
      <w:r w:rsidRPr="000A7FD4" w:rsidR="00A61CEB">
        <w:rPr>
          <w:szCs w:val="24"/>
        </w:rPr>
        <w:t xml:space="preserve"> </w:t>
      </w:r>
      <w:r w:rsidRPr="000A7FD4" w:rsidR="003045E6">
        <w:rPr>
          <w:i/>
          <w:iCs/>
          <w:szCs w:val="24"/>
        </w:rPr>
        <w:t>Portable Tanks - Manufacturers Retention of</w:t>
      </w:r>
      <w:r w:rsidRPr="000A7FD4" w:rsidR="00D46448">
        <w:rPr>
          <w:i/>
          <w:iCs/>
          <w:szCs w:val="24"/>
        </w:rPr>
        <w:t xml:space="preserve"> Documents</w:t>
      </w:r>
      <w:r w:rsidRPr="000A7FD4">
        <w:rPr>
          <w:szCs w:val="24"/>
        </w:rPr>
        <w:t>:</w:t>
      </w:r>
      <w:r w:rsidRPr="000A7FD4" w:rsidR="00D46448">
        <w:rPr>
          <w:szCs w:val="24"/>
        </w:rPr>
        <w:t xml:space="preserve"> </w:t>
      </w:r>
      <w:r w:rsidRPr="000A7FD4" w:rsidR="00554594">
        <w:rPr>
          <w:szCs w:val="24"/>
        </w:rPr>
        <w:t xml:space="preserve">This information collection requires that </w:t>
      </w:r>
      <w:r w:rsidRPr="000A7FD4" w:rsidR="027BD24C">
        <w:rPr>
          <w:szCs w:val="24"/>
        </w:rPr>
        <w:t>qualification records</w:t>
      </w:r>
      <w:r w:rsidRPr="00BD0DF8" w:rsidR="00554594">
        <w:rPr>
          <w:szCs w:val="24"/>
        </w:rPr>
        <w:t xml:space="preserve"> for specification portable tanks be retained for at least 5 years by the tank manufacturer and made available to duly identified representatives of the DOT or the owner of the tank.  </w:t>
      </w:r>
    </w:p>
    <w:p w:rsidR="00D301BB" w:rsidRPr="000A7FD4" w:rsidP="00D301BB" w14:paraId="0C0AAAAE" w14:textId="6EFF7B6E">
      <w:pPr>
        <w:rPr>
          <w:szCs w:val="24"/>
        </w:rPr>
      </w:pPr>
      <w:r w:rsidRPr="0087281B">
        <w:rPr>
          <w:szCs w:val="24"/>
        </w:rPr>
        <w:tab/>
      </w:r>
      <w:r w:rsidRPr="0087281B">
        <w:rPr>
          <w:szCs w:val="24"/>
        </w:rPr>
        <w:t>(11)</w:t>
      </w:r>
      <w:r w:rsidRPr="000A7FD4" w:rsidR="0090326B">
        <w:rPr>
          <w:szCs w:val="24"/>
        </w:rPr>
        <w:t xml:space="preserve">  </w:t>
      </w:r>
      <w:r w:rsidRPr="000A7FD4" w:rsidR="0090326B">
        <w:rPr>
          <w:i/>
          <w:iCs/>
          <w:szCs w:val="24"/>
        </w:rPr>
        <w:t>Recordkeeping for the Testing of Portable Tank</w:t>
      </w:r>
      <w:r w:rsidRPr="000A7FD4" w:rsidR="00654D05">
        <w:rPr>
          <w:szCs w:val="24"/>
        </w:rPr>
        <w:t>:</w:t>
      </w:r>
      <w:r w:rsidRPr="000A7FD4" w:rsidR="0090326B">
        <w:rPr>
          <w:szCs w:val="24"/>
        </w:rPr>
        <w:t xml:space="preserve"> </w:t>
      </w:r>
      <w:r w:rsidRPr="000A7FD4">
        <w:rPr>
          <w:szCs w:val="24"/>
        </w:rPr>
        <w:t xml:space="preserve">This information collection requires that the owner of the portable tank or his/her authorized agent will retain a written record indicating the date and results of all required tests, as well as the name and address of the tester, until the next retest has been satisfactorily completed and recorded. </w:t>
      </w:r>
      <w:r w:rsidRPr="000A7FD4" w:rsidR="00AD2C05">
        <w:rPr>
          <w:szCs w:val="24"/>
        </w:rPr>
        <w:t xml:space="preserve"> </w:t>
      </w:r>
      <w:r w:rsidRPr="000A7FD4">
        <w:rPr>
          <w:szCs w:val="24"/>
        </w:rPr>
        <w:t>This information must be provided to the DOT upon request.</w:t>
      </w:r>
    </w:p>
    <w:p w:rsidR="00191BFA" w:rsidRPr="00A0358E" w:rsidP="000723E1" w14:paraId="76E82A3B" w14:textId="50D3BB6C">
      <w:pPr>
        <w:ind w:firstLine="720"/>
        <w:rPr>
          <w:szCs w:val="24"/>
        </w:rPr>
      </w:pPr>
      <w:r w:rsidRPr="000A7FD4">
        <w:rPr>
          <w:szCs w:val="24"/>
        </w:rPr>
        <w:t>The following is a list of the information collections and burden estimates associated with this OMB Control Number:</w:t>
      </w:r>
    </w:p>
    <w:tbl>
      <w:tblPr>
        <w:tblStyle w:val="TableGrid"/>
        <w:tblW w:w="10080" w:type="dxa"/>
        <w:tblInd w:w="-545" w:type="dxa"/>
        <w:tblLook w:val="04A0"/>
      </w:tblPr>
      <w:tblGrid>
        <w:gridCol w:w="4500"/>
        <w:gridCol w:w="1620"/>
        <w:gridCol w:w="1350"/>
        <w:gridCol w:w="1350"/>
        <w:gridCol w:w="1260"/>
      </w:tblGrid>
      <w:tr w14:paraId="2150FFF2" w14:textId="77777777" w:rsidTr="000A7FD4">
        <w:tblPrEx>
          <w:tblW w:w="10080" w:type="dxa"/>
          <w:tblInd w:w="-545" w:type="dxa"/>
          <w:tblLook w:val="04A0"/>
        </w:tblPrEx>
        <w:trPr>
          <w:trHeight w:val="720"/>
        </w:trPr>
        <w:tc>
          <w:tcPr>
            <w:tcW w:w="4500" w:type="dxa"/>
            <w:vAlign w:val="center"/>
            <w:hideMark/>
          </w:tcPr>
          <w:p w:rsidR="00191BFA" w:rsidRPr="00005251" w:rsidP="00D80863" w14:paraId="43A906FB" w14:textId="77777777">
            <w:pPr>
              <w:widowControl w:val="0"/>
              <w:spacing w:line="240" w:lineRule="auto"/>
              <w:jc w:val="center"/>
              <w:rPr>
                <w:b/>
                <w:bCs/>
                <w:szCs w:val="24"/>
              </w:rPr>
            </w:pPr>
            <w:r w:rsidRPr="00005251">
              <w:rPr>
                <w:b/>
                <w:bCs/>
                <w:szCs w:val="24"/>
              </w:rPr>
              <w:t>Information Collection</w:t>
            </w:r>
          </w:p>
        </w:tc>
        <w:tc>
          <w:tcPr>
            <w:tcW w:w="1620" w:type="dxa"/>
            <w:noWrap/>
            <w:vAlign w:val="center"/>
            <w:hideMark/>
          </w:tcPr>
          <w:p w:rsidR="00191BFA" w:rsidRPr="00005251" w:rsidP="00D80863" w14:paraId="467D943D" w14:textId="77777777">
            <w:pPr>
              <w:widowControl w:val="0"/>
              <w:spacing w:line="240" w:lineRule="auto"/>
              <w:jc w:val="center"/>
              <w:rPr>
                <w:b/>
                <w:bCs/>
                <w:szCs w:val="24"/>
              </w:rPr>
            </w:pPr>
            <w:r w:rsidRPr="00005251">
              <w:rPr>
                <w:b/>
                <w:bCs/>
                <w:szCs w:val="24"/>
              </w:rPr>
              <w:t>Respondents</w:t>
            </w:r>
          </w:p>
        </w:tc>
        <w:tc>
          <w:tcPr>
            <w:tcW w:w="1350" w:type="dxa"/>
            <w:vAlign w:val="center"/>
            <w:hideMark/>
          </w:tcPr>
          <w:p w:rsidR="00191BFA" w:rsidRPr="00005251" w:rsidP="00D80863" w14:paraId="5AACC5D2" w14:textId="77777777">
            <w:pPr>
              <w:widowControl w:val="0"/>
              <w:spacing w:line="240" w:lineRule="auto"/>
              <w:jc w:val="center"/>
              <w:rPr>
                <w:b/>
                <w:bCs/>
                <w:szCs w:val="24"/>
              </w:rPr>
            </w:pPr>
            <w:r>
              <w:rPr>
                <w:b/>
                <w:bCs/>
                <w:szCs w:val="24"/>
              </w:rPr>
              <w:t xml:space="preserve">Total Annual </w:t>
            </w:r>
            <w:r w:rsidRPr="00005251">
              <w:rPr>
                <w:b/>
                <w:bCs/>
                <w:szCs w:val="24"/>
              </w:rPr>
              <w:t>Responses</w:t>
            </w:r>
          </w:p>
        </w:tc>
        <w:tc>
          <w:tcPr>
            <w:tcW w:w="1350" w:type="dxa"/>
            <w:vAlign w:val="center"/>
            <w:hideMark/>
          </w:tcPr>
          <w:p w:rsidR="00191BFA" w:rsidRPr="00005251" w:rsidP="00D80863" w14:paraId="312DE514" w14:textId="77777777">
            <w:pPr>
              <w:widowControl w:val="0"/>
              <w:spacing w:line="240" w:lineRule="auto"/>
              <w:jc w:val="center"/>
              <w:rPr>
                <w:b/>
                <w:bCs/>
                <w:szCs w:val="24"/>
              </w:rPr>
            </w:pPr>
            <w:r w:rsidRPr="00005251">
              <w:rPr>
                <w:b/>
                <w:bCs/>
                <w:szCs w:val="24"/>
              </w:rPr>
              <w:t>Hours per Response</w:t>
            </w:r>
          </w:p>
        </w:tc>
        <w:tc>
          <w:tcPr>
            <w:tcW w:w="1260" w:type="dxa"/>
            <w:vAlign w:val="center"/>
            <w:hideMark/>
          </w:tcPr>
          <w:p w:rsidR="00191BFA" w:rsidRPr="00005251" w:rsidP="00D80863" w14:paraId="48B9F74C" w14:textId="77777777">
            <w:pPr>
              <w:widowControl w:val="0"/>
              <w:spacing w:line="240" w:lineRule="auto"/>
              <w:jc w:val="center"/>
              <w:rPr>
                <w:b/>
                <w:bCs/>
                <w:szCs w:val="24"/>
              </w:rPr>
            </w:pPr>
            <w:r w:rsidRPr="00005251">
              <w:rPr>
                <w:b/>
                <w:bCs/>
                <w:szCs w:val="24"/>
              </w:rPr>
              <w:t xml:space="preserve">Total </w:t>
            </w:r>
            <w:r>
              <w:rPr>
                <w:b/>
                <w:bCs/>
                <w:szCs w:val="24"/>
              </w:rPr>
              <w:t xml:space="preserve">Annual Burden </w:t>
            </w:r>
            <w:r w:rsidRPr="00005251">
              <w:rPr>
                <w:b/>
                <w:bCs/>
                <w:szCs w:val="24"/>
              </w:rPr>
              <w:t>Hours</w:t>
            </w:r>
          </w:p>
        </w:tc>
      </w:tr>
      <w:tr w14:paraId="0272CAED" w14:textId="77777777" w:rsidTr="000A7FD4">
        <w:tblPrEx>
          <w:tblW w:w="10080" w:type="dxa"/>
          <w:tblInd w:w="-545" w:type="dxa"/>
          <w:tblLook w:val="04A0"/>
        </w:tblPrEx>
        <w:trPr>
          <w:trHeight w:val="576"/>
        </w:trPr>
        <w:tc>
          <w:tcPr>
            <w:tcW w:w="4500" w:type="dxa"/>
            <w:vAlign w:val="center"/>
            <w:hideMark/>
          </w:tcPr>
          <w:p w:rsidR="00191BFA" w:rsidRPr="00005251" w:rsidP="00D80863" w14:paraId="3B779884" w14:textId="77777777">
            <w:pPr>
              <w:widowControl w:val="0"/>
              <w:spacing w:line="240" w:lineRule="auto"/>
              <w:rPr>
                <w:szCs w:val="24"/>
              </w:rPr>
            </w:pPr>
            <w:r w:rsidRPr="006778C8">
              <w:rPr>
                <w:szCs w:val="24"/>
              </w:rPr>
              <w:t xml:space="preserve">Design </w:t>
            </w:r>
            <w:r>
              <w:rPr>
                <w:szCs w:val="24"/>
              </w:rPr>
              <w:t>Q</w:t>
            </w:r>
            <w:r w:rsidRPr="006778C8">
              <w:rPr>
                <w:szCs w:val="24"/>
              </w:rPr>
              <w:t xml:space="preserve">ualification </w:t>
            </w:r>
            <w:r>
              <w:rPr>
                <w:szCs w:val="24"/>
              </w:rPr>
              <w:t>T</w:t>
            </w:r>
            <w:r w:rsidRPr="006778C8">
              <w:rPr>
                <w:szCs w:val="24"/>
              </w:rPr>
              <w:t>esting for IBCs - Applications for the Certification Mark</w:t>
            </w:r>
          </w:p>
        </w:tc>
        <w:tc>
          <w:tcPr>
            <w:tcW w:w="1620" w:type="dxa"/>
            <w:noWrap/>
            <w:vAlign w:val="center"/>
            <w:hideMark/>
          </w:tcPr>
          <w:p w:rsidR="00191BFA" w:rsidRPr="00005251" w:rsidP="00D80863" w14:paraId="7622E33B" w14:textId="77777777">
            <w:pPr>
              <w:widowControl w:val="0"/>
              <w:spacing w:line="240" w:lineRule="auto"/>
              <w:jc w:val="center"/>
              <w:rPr>
                <w:szCs w:val="24"/>
              </w:rPr>
            </w:pPr>
            <w:r>
              <w:rPr>
                <w:szCs w:val="24"/>
              </w:rPr>
              <w:t>13</w:t>
            </w:r>
          </w:p>
        </w:tc>
        <w:tc>
          <w:tcPr>
            <w:tcW w:w="1350" w:type="dxa"/>
            <w:noWrap/>
            <w:vAlign w:val="center"/>
            <w:hideMark/>
          </w:tcPr>
          <w:p w:rsidR="00191BFA" w:rsidRPr="00005251" w:rsidP="00D80863" w14:paraId="33744220" w14:textId="77777777">
            <w:pPr>
              <w:widowControl w:val="0"/>
              <w:spacing w:line="240" w:lineRule="auto"/>
              <w:jc w:val="center"/>
              <w:rPr>
                <w:szCs w:val="24"/>
              </w:rPr>
            </w:pPr>
            <w:r>
              <w:rPr>
                <w:szCs w:val="24"/>
              </w:rPr>
              <w:t>494</w:t>
            </w:r>
          </w:p>
        </w:tc>
        <w:tc>
          <w:tcPr>
            <w:tcW w:w="1350" w:type="dxa"/>
            <w:vAlign w:val="center"/>
            <w:hideMark/>
          </w:tcPr>
          <w:p w:rsidR="00191BFA" w:rsidRPr="00005251" w:rsidP="00D80863" w14:paraId="0E198A7D" w14:textId="77777777">
            <w:pPr>
              <w:widowControl w:val="0"/>
              <w:spacing w:line="240" w:lineRule="auto"/>
              <w:jc w:val="center"/>
              <w:rPr>
                <w:szCs w:val="24"/>
              </w:rPr>
            </w:pPr>
            <w:r>
              <w:rPr>
                <w:szCs w:val="24"/>
              </w:rPr>
              <w:t>3</w:t>
            </w:r>
          </w:p>
        </w:tc>
        <w:tc>
          <w:tcPr>
            <w:tcW w:w="1260" w:type="dxa"/>
            <w:noWrap/>
            <w:vAlign w:val="center"/>
            <w:hideMark/>
          </w:tcPr>
          <w:p w:rsidR="00191BFA" w:rsidRPr="00005251" w:rsidP="00D80863" w14:paraId="04E28E1E" w14:textId="77777777">
            <w:pPr>
              <w:widowControl w:val="0"/>
              <w:spacing w:line="240" w:lineRule="auto"/>
              <w:jc w:val="center"/>
              <w:rPr>
                <w:szCs w:val="24"/>
              </w:rPr>
            </w:pPr>
            <w:r>
              <w:rPr>
                <w:szCs w:val="24"/>
              </w:rPr>
              <w:t>1,482</w:t>
            </w:r>
          </w:p>
        </w:tc>
      </w:tr>
      <w:tr w14:paraId="42931F3B" w14:textId="77777777" w:rsidTr="000A7FD4">
        <w:tblPrEx>
          <w:tblW w:w="10080" w:type="dxa"/>
          <w:tblInd w:w="-545" w:type="dxa"/>
          <w:tblLook w:val="04A0"/>
        </w:tblPrEx>
        <w:trPr>
          <w:trHeight w:val="720"/>
        </w:trPr>
        <w:tc>
          <w:tcPr>
            <w:tcW w:w="4500" w:type="dxa"/>
            <w:vAlign w:val="center"/>
            <w:hideMark/>
          </w:tcPr>
          <w:p w:rsidR="00191BFA" w:rsidRPr="00005251" w:rsidP="00D80863" w14:paraId="08DF9827" w14:textId="77777777">
            <w:pPr>
              <w:widowControl w:val="0"/>
              <w:spacing w:line="240" w:lineRule="auto"/>
              <w:rPr>
                <w:szCs w:val="24"/>
              </w:rPr>
            </w:pPr>
            <w:r w:rsidRPr="006778C8">
              <w:rPr>
                <w:szCs w:val="24"/>
              </w:rPr>
              <w:t xml:space="preserve">Periodic </w:t>
            </w:r>
            <w:r>
              <w:rPr>
                <w:szCs w:val="24"/>
              </w:rPr>
              <w:t>D</w:t>
            </w:r>
            <w:r w:rsidRPr="006778C8">
              <w:rPr>
                <w:szCs w:val="24"/>
              </w:rPr>
              <w:t xml:space="preserve">esign </w:t>
            </w:r>
            <w:r>
              <w:rPr>
                <w:szCs w:val="24"/>
              </w:rPr>
              <w:t>R</w:t>
            </w:r>
            <w:r w:rsidRPr="006778C8">
              <w:rPr>
                <w:szCs w:val="24"/>
              </w:rPr>
              <w:t xml:space="preserve">equalification </w:t>
            </w:r>
            <w:r>
              <w:rPr>
                <w:szCs w:val="24"/>
              </w:rPr>
              <w:t>T</w:t>
            </w:r>
            <w:r w:rsidRPr="006778C8">
              <w:rPr>
                <w:szCs w:val="24"/>
              </w:rPr>
              <w:t xml:space="preserve">esting of IBCs - Submission of Changes to </w:t>
            </w:r>
            <w:r>
              <w:rPr>
                <w:szCs w:val="24"/>
              </w:rPr>
              <w:t>T</w:t>
            </w:r>
            <w:r w:rsidRPr="006778C8">
              <w:rPr>
                <w:szCs w:val="24"/>
              </w:rPr>
              <w:t xml:space="preserve">est </w:t>
            </w:r>
            <w:r>
              <w:rPr>
                <w:szCs w:val="24"/>
              </w:rPr>
              <w:t>F</w:t>
            </w:r>
            <w:r w:rsidRPr="006778C8">
              <w:rPr>
                <w:szCs w:val="24"/>
              </w:rPr>
              <w:t>requency to the Associate Administrator</w:t>
            </w:r>
          </w:p>
        </w:tc>
        <w:tc>
          <w:tcPr>
            <w:tcW w:w="1620" w:type="dxa"/>
            <w:noWrap/>
            <w:vAlign w:val="center"/>
            <w:hideMark/>
          </w:tcPr>
          <w:p w:rsidR="00191BFA" w:rsidRPr="00005251" w:rsidP="00D80863" w14:paraId="04DCD08A" w14:textId="77777777">
            <w:pPr>
              <w:widowControl w:val="0"/>
              <w:spacing w:line="240" w:lineRule="auto"/>
              <w:jc w:val="center"/>
              <w:rPr>
                <w:szCs w:val="24"/>
              </w:rPr>
            </w:pPr>
            <w:r>
              <w:rPr>
                <w:szCs w:val="24"/>
              </w:rPr>
              <w:t>13</w:t>
            </w:r>
          </w:p>
        </w:tc>
        <w:tc>
          <w:tcPr>
            <w:tcW w:w="1350" w:type="dxa"/>
            <w:noWrap/>
            <w:vAlign w:val="center"/>
            <w:hideMark/>
          </w:tcPr>
          <w:p w:rsidR="00191BFA" w:rsidRPr="00005251" w:rsidP="00D80863" w14:paraId="2638E35D" w14:textId="77777777">
            <w:pPr>
              <w:widowControl w:val="0"/>
              <w:spacing w:line="240" w:lineRule="auto"/>
              <w:jc w:val="center"/>
              <w:rPr>
                <w:szCs w:val="24"/>
              </w:rPr>
            </w:pPr>
            <w:r>
              <w:rPr>
                <w:szCs w:val="24"/>
              </w:rPr>
              <w:t>494</w:t>
            </w:r>
          </w:p>
        </w:tc>
        <w:tc>
          <w:tcPr>
            <w:tcW w:w="1350" w:type="dxa"/>
            <w:vAlign w:val="center"/>
            <w:hideMark/>
          </w:tcPr>
          <w:p w:rsidR="00191BFA" w:rsidRPr="00005251" w:rsidP="00D80863" w14:paraId="6F773BEE" w14:textId="77777777">
            <w:pPr>
              <w:widowControl w:val="0"/>
              <w:spacing w:line="240" w:lineRule="auto"/>
              <w:jc w:val="center"/>
              <w:rPr>
                <w:szCs w:val="24"/>
              </w:rPr>
            </w:pPr>
            <w:r>
              <w:rPr>
                <w:szCs w:val="24"/>
              </w:rPr>
              <w:t>3</w:t>
            </w:r>
          </w:p>
        </w:tc>
        <w:tc>
          <w:tcPr>
            <w:tcW w:w="1260" w:type="dxa"/>
            <w:noWrap/>
            <w:vAlign w:val="center"/>
            <w:hideMark/>
          </w:tcPr>
          <w:p w:rsidR="00191BFA" w:rsidRPr="00005251" w:rsidP="00D80863" w14:paraId="4C4307E8" w14:textId="77777777">
            <w:pPr>
              <w:widowControl w:val="0"/>
              <w:spacing w:line="240" w:lineRule="auto"/>
              <w:jc w:val="center"/>
              <w:rPr>
                <w:szCs w:val="24"/>
              </w:rPr>
            </w:pPr>
            <w:r>
              <w:rPr>
                <w:szCs w:val="24"/>
              </w:rPr>
              <w:t>1,482</w:t>
            </w:r>
          </w:p>
        </w:tc>
      </w:tr>
      <w:tr w14:paraId="580327E2" w14:textId="77777777" w:rsidTr="000A7FD4">
        <w:tblPrEx>
          <w:tblW w:w="10080" w:type="dxa"/>
          <w:tblInd w:w="-545" w:type="dxa"/>
          <w:tblLook w:val="04A0"/>
        </w:tblPrEx>
        <w:trPr>
          <w:trHeight w:val="576"/>
        </w:trPr>
        <w:tc>
          <w:tcPr>
            <w:tcW w:w="4500" w:type="dxa"/>
            <w:vAlign w:val="center"/>
            <w:hideMark/>
          </w:tcPr>
          <w:p w:rsidR="00191BFA" w:rsidRPr="00005251" w:rsidP="00D80863" w14:paraId="2121ED02" w14:textId="197AD8A9">
            <w:pPr>
              <w:widowControl w:val="0"/>
              <w:spacing w:line="240" w:lineRule="auto"/>
              <w:rPr>
                <w:szCs w:val="24"/>
              </w:rPr>
            </w:pPr>
            <w:r w:rsidRPr="006778C8">
              <w:rPr>
                <w:szCs w:val="24"/>
              </w:rPr>
              <w:t>Applications for Approval of Equivalent Packaging</w:t>
            </w:r>
            <w:r>
              <w:rPr>
                <w:szCs w:val="24"/>
              </w:rPr>
              <w:t xml:space="preserve"> </w:t>
            </w:r>
            <w:r w:rsidR="001512E1">
              <w:rPr>
                <w:szCs w:val="24"/>
              </w:rPr>
              <w:t>–</w:t>
            </w:r>
            <w:r>
              <w:rPr>
                <w:szCs w:val="24"/>
              </w:rPr>
              <w:t xml:space="preserve"> IBCs</w:t>
            </w:r>
          </w:p>
        </w:tc>
        <w:tc>
          <w:tcPr>
            <w:tcW w:w="1620" w:type="dxa"/>
            <w:noWrap/>
            <w:vAlign w:val="center"/>
            <w:hideMark/>
          </w:tcPr>
          <w:p w:rsidR="00191BFA" w:rsidRPr="00005251" w:rsidP="00D80863" w14:paraId="2D8E1FA6" w14:textId="77777777">
            <w:pPr>
              <w:widowControl w:val="0"/>
              <w:spacing w:line="240" w:lineRule="auto"/>
              <w:jc w:val="center"/>
              <w:rPr>
                <w:szCs w:val="24"/>
              </w:rPr>
            </w:pPr>
            <w:r>
              <w:rPr>
                <w:szCs w:val="24"/>
              </w:rPr>
              <w:t>5</w:t>
            </w:r>
          </w:p>
        </w:tc>
        <w:tc>
          <w:tcPr>
            <w:tcW w:w="1350" w:type="dxa"/>
            <w:noWrap/>
            <w:vAlign w:val="center"/>
            <w:hideMark/>
          </w:tcPr>
          <w:p w:rsidR="00191BFA" w:rsidRPr="00005251" w:rsidP="00D80863" w14:paraId="4060E671" w14:textId="77777777">
            <w:pPr>
              <w:widowControl w:val="0"/>
              <w:spacing w:line="240" w:lineRule="auto"/>
              <w:jc w:val="center"/>
              <w:rPr>
                <w:szCs w:val="24"/>
              </w:rPr>
            </w:pPr>
            <w:r>
              <w:rPr>
                <w:szCs w:val="24"/>
              </w:rPr>
              <w:t>5</w:t>
            </w:r>
          </w:p>
        </w:tc>
        <w:tc>
          <w:tcPr>
            <w:tcW w:w="1350" w:type="dxa"/>
            <w:vAlign w:val="center"/>
            <w:hideMark/>
          </w:tcPr>
          <w:p w:rsidR="00191BFA" w:rsidRPr="00005251" w:rsidP="00D80863" w14:paraId="60754D4C" w14:textId="77777777">
            <w:pPr>
              <w:widowControl w:val="0"/>
              <w:spacing w:line="240" w:lineRule="auto"/>
              <w:jc w:val="center"/>
              <w:rPr>
                <w:szCs w:val="24"/>
              </w:rPr>
            </w:pPr>
            <w:r>
              <w:rPr>
                <w:szCs w:val="24"/>
              </w:rPr>
              <w:t>3</w:t>
            </w:r>
          </w:p>
        </w:tc>
        <w:tc>
          <w:tcPr>
            <w:tcW w:w="1260" w:type="dxa"/>
            <w:noWrap/>
            <w:vAlign w:val="center"/>
            <w:hideMark/>
          </w:tcPr>
          <w:p w:rsidR="00191BFA" w:rsidRPr="00005251" w:rsidP="00D80863" w14:paraId="0F234B0F" w14:textId="77777777">
            <w:pPr>
              <w:widowControl w:val="0"/>
              <w:spacing w:line="240" w:lineRule="auto"/>
              <w:jc w:val="center"/>
              <w:rPr>
                <w:szCs w:val="24"/>
              </w:rPr>
            </w:pPr>
            <w:r>
              <w:rPr>
                <w:szCs w:val="24"/>
              </w:rPr>
              <w:t>15</w:t>
            </w:r>
          </w:p>
        </w:tc>
      </w:tr>
      <w:tr w14:paraId="1884B77A" w14:textId="77777777" w:rsidTr="000A7FD4">
        <w:tblPrEx>
          <w:tblW w:w="10080" w:type="dxa"/>
          <w:tblInd w:w="-545" w:type="dxa"/>
          <w:tblLook w:val="04A0"/>
        </w:tblPrEx>
        <w:trPr>
          <w:trHeight w:val="576"/>
        </w:trPr>
        <w:tc>
          <w:tcPr>
            <w:tcW w:w="4500" w:type="dxa"/>
            <w:vAlign w:val="center"/>
            <w:hideMark/>
          </w:tcPr>
          <w:p w:rsidR="00191BFA" w:rsidRPr="00005251" w:rsidP="00D80863" w14:paraId="0C1DF41A" w14:textId="77777777">
            <w:pPr>
              <w:widowControl w:val="0"/>
              <w:spacing w:line="240" w:lineRule="auto"/>
              <w:rPr>
                <w:szCs w:val="24"/>
              </w:rPr>
            </w:pPr>
            <w:r w:rsidRPr="006778C8">
              <w:rPr>
                <w:szCs w:val="24"/>
              </w:rPr>
              <w:t xml:space="preserve">Reporting Requirements for </w:t>
            </w:r>
            <w:r>
              <w:rPr>
                <w:szCs w:val="24"/>
              </w:rPr>
              <w:t>R</w:t>
            </w:r>
            <w:r w:rsidRPr="006778C8">
              <w:rPr>
                <w:szCs w:val="24"/>
              </w:rPr>
              <w:t xml:space="preserve">etest and </w:t>
            </w:r>
            <w:r>
              <w:rPr>
                <w:szCs w:val="24"/>
              </w:rPr>
              <w:t>I</w:t>
            </w:r>
            <w:r w:rsidRPr="006778C8">
              <w:rPr>
                <w:szCs w:val="24"/>
              </w:rPr>
              <w:t>nspection of IBCs</w:t>
            </w:r>
          </w:p>
        </w:tc>
        <w:tc>
          <w:tcPr>
            <w:tcW w:w="1620" w:type="dxa"/>
            <w:noWrap/>
            <w:vAlign w:val="center"/>
            <w:hideMark/>
          </w:tcPr>
          <w:p w:rsidR="00191BFA" w:rsidRPr="00005251" w:rsidP="00D80863" w14:paraId="742A4B9B" w14:textId="77777777">
            <w:pPr>
              <w:widowControl w:val="0"/>
              <w:spacing w:line="240" w:lineRule="auto"/>
              <w:jc w:val="center"/>
              <w:rPr>
                <w:szCs w:val="24"/>
              </w:rPr>
            </w:pPr>
            <w:r>
              <w:rPr>
                <w:szCs w:val="24"/>
              </w:rPr>
              <w:t>1000</w:t>
            </w:r>
          </w:p>
        </w:tc>
        <w:tc>
          <w:tcPr>
            <w:tcW w:w="1350" w:type="dxa"/>
            <w:noWrap/>
            <w:vAlign w:val="center"/>
            <w:hideMark/>
          </w:tcPr>
          <w:p w:rsidR="00191BFA" w:rsidRPr="00005251" w:rsidP="00D80863" w14:paraId="15A36210" w14:textId="77777777">
            <w:pPr>
              <w:widowControl w:val="0"/>
              <w:spacing w:line="240" w:lineRule="auto"/>
              <w:jc w:val="center"/>
              <w:rPr>
                <w:szCs w:val="24"/>
              </w:rPr>
            </w:pPr>
            <w:r>
              <w:rPr>
                <w:szCs w:val="24"/>
              </w:rPr>
              <w:t>100,000</w:t>
            </w:r>
          </w:p>
        </w:tc>
        <w:tc>
          <w:tcPr>
            <w:tcW w:w="1350" w:type="dxa"/>
            <w:vAlign w:val="center"/>
            <w:hideMark/>
          </w:tcPr>
          <w:p w:rsidR="00191BFA" w:rsidRPr="00005251" w:rsidP="00D80863" w14:paraId="37F5B0E4" w14:textId="77777777">
            <w:pPr>
              <w:widowControl w:val="0"/>
              <w:spacing w:line="240" w:lineRule="auto"/>
              <w:jc w:val="center"/>
              <w:rPr>
                <w:szCs w:val="24"/>
              </w:rPr>
            </w:pPr>
            <w:r>
              <w:rPr>
                <w:szCs w:val="24"/>
              </w:rPr>
              <w:t>0.25</w:t>
            </w:r>
          </w:p>
        </w:tc>
        <w:tc>
          <w:tcPr>
            <w:tcW w:w="1260" w:type="dxa"/>
            <w:noWrap/>
            <w:vAlign w:val="center"/>
            <w:hideMark/>
          </w:tcPr>
          <w:p w:rsidR="00191BFA" w:rsidRPr="00005251" w:rsidP="00D80863" w14:paraId="678FF3B1" w14:textId="77777777">
            <w:pPr>
              <w:widowControl w:val="0"/>
              <w:spacing w:line="240" w:lineRule="auto"/>
              <w:jc w:val="center"/>
              <w:rPr>
                <w:szCs w:val="24"/>
              </w:rPr>
            </w:pPr>
            <w:r>
              <w:rPr>
                <w:szCs w:val="24"/>
              </w:rPr>
              <w:t>25,000</w:t>
            </w:r>
          </w:p>
        </w:tc>
      </w:tr>
      <w:tr w14:paraId="2DF43C6F" w14:textId="77777777" w:rsidTr="000A7FD4">
        <w:tblPrEx>
          <w:tblW w:w="10080" w:type="dxa"/>
          <w:tblInd w:w="-545" w:type="dxa"/>
          <w:tblLook w:val="04A0"/>
        </w:tblPrEx>
        <w:trPr>
          <w:trHeight w:val="395"/>
        </w:trPr>
        <w:tc>
          <w:tcPr>
            <w:tcW w:w="4500" w:type="dxa"/>
            <w:vAlign w:val="center"/>
            <w:hideMark/>
          </w:tcPr>
          <w:p w:rsidR="00191BFA" w:rsidRPr="00005251" w:rsidP="00D80863" w14:paraId="367F858F" w14:textId="77777777">
            <w:pPr>
              <w:widowControl w:val="0"/>
              <w:spacing w:line="240" w:lineRule="auto"/>
              <w:rPr>
                <w:szCs w:val="24"/>
              </w:rPr>
            </w:pPr>
            <w:r w:rsidRPr="006778C8">
              <w:rPr>
                <w:szCs w:val="24"/>
              </w:rPr>
              <w:t>Recordkeeping for IBC Testing</w:t>
            </w:r>
          </w:p>
        </w:tc>
        <w:tc>
          <w:tcPr>
            <w:tcW w:w="1620" w:type="dxa"/>
            <w:noWrap/>
            <w:vAlign w:val="center"/>
            <w:hideMark/>
          </w:tcPr>
          <w:p w:rsidR="00191BFA" w:rsidRPr="00005251" w:rsidP="00D80863" w14:paraId="5533884E" w14:textId="77777777">
            <w:pPr>
              <w:widowControl w:val="0"/>
              <w:spacing w:line="240" w:lineRule="auto"/>
              <w:jc w:val="center"/>
              <w:rPr>
                <w:szCs w:val="24"/>
              </w:rPr>
            </w:pPr>
            <w:r>
              <w:rPr>
                <w:szCs w:val="24"/>
              </w:rPr>
              <w:t>150</w:t>
            </w:r>
          </w:p>
        </w:tc>
        <w:tc>
          <w:tcPr>
            <w:tcW w:w="1350" w:type="dxa"/>
            <w:noWrap/>
            <w:vAlign w:val="center"/>
            <w:hideMark/>
          </w:tcPr>
          <w:p w:rsidR="00191BFA" w:rsidRPr="00005251" w:rsidP="00D80863" w14:paraId="3500EB82" w14:textId="77777777">
            <w:pPr>
              <w:widowControl w:val="0"/>
              <w:spacing w:line="240" w:lineRule="auto"/>
              <w:jc w:val="center"/>
              <w:rPr>
                <w:szCs w:val="24"/>
              </w:rPr>
            </w:pPr>
            <w:r>
              <w:rPr>
                <w:szCs w:val="24"/>
              </w:rPr>
              <w:t>150</w:t>
            </w:r>
          </w:p>
        </w:tc>
        <w:tc>
          <w:tcPr>
            <w:tcW w:w="1350" w:type="dxa"/>
            <w:vAlign w:val="center"/>
            <w:hideMark/>
          </w:tcPr>
          <w:p w:rsidR="00191BFA" w:rsidRPr="00005251" w:rsidP="00D80863" w14:paraId="7F57A587" w14:textId="77777777">
            <w:pPr>
              <w:widowControl w:val="0"/>
              <w:spacing w:line="240" w:lineRule="auto"/>
              <w:jc w:val="center"/>
              <w:rPr>
                <w:szCs w:val="24"/>
              </w:rPr>
            </w:pPr>
            <w:r>
              <w:rPr>
                <w:szCs w:val="24"/>
              </w:rPr>
              <w:t>0.25</w:t>
            </w:r>
          </w:p>
        </w:tc>
        <w:tc>
          <w:tcPr>
            <w:tcW w:w="1260" w:type="dxa"/>
            <w:noWrap/>
            <w:vAlign w:val="center"/>
            <w:hideMark/>
          </w:tcPr>
          <w:p w:rsidR="00191BFA" w:rsidRPr="00005251" w:rsidP="00D80863" w14:paraId="60761AEF" w14:textId="77777777">
            <w:pPr>
              <w:widowControl w:val="0"/>
              <w:spacing w:line="240" w:lineRule="auto"/>
              <w:jc w:val="center"/>
              <w:rPr>
                <w:szCs w:val="24"/>
              </w:rPr>
            </w:pPr>
            <w:r>
              <w:rPr>
                <w:szCs w:val="24"/>
              </w:rPr>
              <w:t>38</w:t>
            </w:r>
          </w:p>
        </w:tc>
      </w:tr>
      <w:tr w14:paraId="36A441D7" w14:textId="77777777" w:rsidTr="000A7FD4">
        <w:tblPrEx>
          <w:tblW w:w="10080" w:type="dxa"/>
          <w:tblInd w:w="-545" w:type="dxa"/>
          <w:tblLook w:val="04A0"/>
        </w:tblPrEx>
        <w:trPr>
          <w:trHeight w:val="576"/>
        </w:trPr>
        <w:tc>
          <w:tcPr>
            <w:tcW w:w="4500" w:type="dxa"/>
            <w:vAlign w:val="center"/>
            <w:hideMark/>
          </w:tcPr>
          <w:p w:rsidR="00191BFA" w:rsidRPr="00005251" w:rsidP="00D80863" w14:paraId="0DBF4099" w14:textId="77777777">
            <w:pPr>
              <w:widowControl w:val="0"/>
              <w:spacing w:line="240" w:lineRule="auto"/>
              <w:rPr>
                <w:szCs w:val="24"/>
              </w:rPr>
            </w:pPr>
            <w:r w:rsidRPr="006778C8">
              <w:rPr>
                <w:szCs w:val="24"/>
              </w:rPr>
              <w:t>Manufacturers Data Report (ASME) for Portable Tanks</w:t>
            </w:r>
          </w:p>
        </w:tc>
        <w:tc>
          <w:tcPr>
            <w:tcW w:w="1620" w:type="dxa"/>
            <w:noWrap/>
            <w:vAlign w:val="center"/>
            <w:hideMark/>
          </w:tcPr>
          <w:p w:rsidR="00191BFA" w:rsidRPr="00005251" w:rsidP="00D80863" w14:paraId="7D1DF1FD" w14:textId="77777777">
            <w:pPr>
              <w:widowControl w:val="0"/>
              <w:spacing w:line="240" w:lineRule="auto"/>
              <w:jc w:val="center"/>
              <w:rPr>
                <w:szCs w:val="24"/>
              </w:rPr>
            </w:pPr>
            <w:r>
              <w:rPr>
                <w:szCs w:val="24"/>
              </w:rPr>
              <w:t>50</w:t>
            </w:r>
          </w:p>
        </w:tc>
        <w:tc>
          <w:tcPr>
            <w:tcW w:w="1350" w:type="dxa"/>
            <w:noWrap/>
            <w:vAlign w:val="center"/>
            <w:hideMark/>
          </w:tcPr>
          <w:p w:rsidR="00191BFA" w:rsidRPr="00005251" w:rsidP="00D80863" w14:paraId="00D970E6" w14:textId="77777777">
            <w:pPr>
              <w:widowControl w:val="0"/>
              <w:spacing w:line="240" w:lineRule="auto"/>
              <w:jc w:val="center"/>
              <w:rPr>
                <w:szCs w:val="24"/>
              </w:rPr>
            </w:pPr>
            <w:r>
              <w:rPr>
                <w:szCs w:val="24"/>
              </w:rPr>
              <w:t>50,000</w:t>
            </w:r>
          </w:p>
        </w:tc>
        <w:tc>
          <w:tcPr>
            <w:tcW w:w="1350" w:type="dxa"/>
            <w:vAlign w:val="center"/>
            <w:hideMark/>
          </w:tcPr>
          <w:p w:rsidR="00191BFA" w:rsidRPr="00005251" w:rsidP="00D80863" w14:paraId="30CCCFF1" w14:textId="77777777">
            <w:pPr>
              <w:widowControl w:val="0"/>
              <w:spacing w:line="240" w:lineRule="auto"/>
              <w:jc w:val="center"/>
              <w:rPr>
                <w:szCs w:val="24"/>
              </w:rPr>
            </w:pPr>
            <w:r>
              <w:rPr>
                <w:szCs w:val="24"/>
              </w:rPr>
              <w:t>0.25</w:t>
            </w:r>
          </w:p>
        </w:tc>
        <w:tc>
          <w:tcPr>
            <w:tcW w:w="1260" w:type="dxa"/>
            <w:noWrap/>
            <w:vAlign w:val="center"/>
            <w:hideMark/>
          </w:tcPr>
          <w:p w:rsidR="00191BFA" w:rsidRPr="00005251" w:rsidP="00D80863" w14:paraId="3C5226B8" w14:textId="77777777">
            <w:pPr>
              <w:widowControl w:val="0"/>
              <w:spacing w:line="240" w:lineRule="auto"/>
              <w:jc w:val="center"/>
              <w:rPr>
                <w:szCs w:val="24"/>
              </w:rPr>
            </w:pPr>
            <w:r>
              <w:rPr>
                <w:szCs w:val="24"/>
              </w:rPr>
              <w:t>12,500</w:t>
            </w:r>
          </w:p>
        </w:tc>
      </w:tr>
      <w:tr w14:paraId="70E9A368" w14:textId="77777777" w:rsidTr="000A7FD4">
        <w:tblPrEx>
          <w:tblW w:w="10080" w:type="dxa"/>
          <w:tblInd w:w="-545" w:type="dxa"/>
          <w:tblLook w:val="04A0"/>
        </w:tblPrEx>
        <w:trPr>
          <w:trHeight w:val="576"/>
        </w:trPr>
        <w:tc>
          <w:tcPr>
            <w:tcW w:w="4500" w:type="dxa"/>
            <w:vAlign w:val="center"/>
          </w:tcPr>
          <w:p w:rsidR="00191BFA" w:rsidRPr="00005251" w:rsidP="00D80863" w14:paraId="567EA0EF" w14:textId="77777777">
            <w:pPr>
              <w:widowControl w:val="0"/>
              <w:spacing w:line="240" w:lineRule="auto"/>
              <w:rPr>
                <w:szCs w:val="24"/>
              </w:rPr>
            </w:pPr>
            <w:r w:rsidRPr="006778C8">
              <w:rPr>
                <w:szCs w:val="24"/>
              </w:rPr>
              <w:t xml:space="preserve">Approval Applications for Specification UN </w:t>
            </w:r>
            <w:r>
              <w:rPr>
                <w:szCs w:val="24"/>
              </w:rPr>
              <w:t>P</w:t>
            </w:r>
            <w:r w:rsidRPr="006778C8">
              <w:rPr>
                <w:szCs w:val="24"/>
              </w:rPr>
              <w:t xml:space="preserve">ortable </w:t>
            </w:r>
            <w:r>
              <w:rPr>
                <w:szCs w:val="24"/>
              </w:rPr>
              <w:t>T</w:t>
            </w:r>
            <w:r w:rsidRPr="006778C8">
              <w:rPr>
                <w:szCs w:val="24"/>
              </w:rPr>
              <w:t>ank Design</w:t>
            </w:r>
          </w:p>
        </w:tc>
        <w:tc>
          <w:tcPr>
            <w:tcW w:w="1620" w:type="dxa"/>
            <w:noWrap/>
            <w:vAlign w:val="center"/>
          </w:tcPr>
          <w:p w:rsidR="00191BFA" w:rsidRPr="00005251" w:rsidP="00D80863" w14:paraId="52F0C3C5" w14:textId="77777777">
            <w:pPr>
              <w:widowControl w:val="0"/>
              <w:spacing w:line="240" w:lineRule="auto"/>
              <w:jc w:val="center"/>
              <w:rPr>
                <w:szCs w:val="24"/>
              </w:rPr>
            </w:pPr>
            <w:r>
              <w:rPr>
                <w:szCs w:val="24"/>
              </w:rPr>
              <w:t>13</w:t>
            </w:r>
          </w:p>
        </w:tc>
        <w:tc>
          <w:tcPr>
            <w:tcW w:w="1350" w:type="dxa"/>
            <w:noWrap/>
            <w:vAlign w:val="center"/>
          </w:tcPr>
          <w:p w:rsidR="00191BFA" w:rsidRPr="00005251" w:rsidP="00D80863" w14:paraId="79933953" w14:textId="77777777">
            <w:pPr>
              <w:widowControl w:val="0"/>
              <w:spacing w:line="240" w:lineRule="auto"/>
              <w:jc w:val="center"/>
              <w:rPr>
                <w:szCs w:val="24"/>
              </w:rPr>
            </w:pPr>
            <w:r>
              <w:rPr>
                <w:szCs w:val="24"/>
              </w:rPr>
              <w:t>494</w:t>
            </w:r>
          </w:p>
        </w:tc>
        <w:tc>
          <w:tcPr>
            <w:tcW w:w="1350" w:type="dxa"/>
            <w:vAlign w:val="center"/>
          </w:tcPr>
          <w:p w:rsidR="00191BFA" w:rsidRPr="00005251" w:rsidP="00D80863" w14:paraId="200B2069" w14:textId="77777777">
            <w:pPr>
              <w:widowControl w:val="0"/>
              <w:spacing w:line="240" w:lineRule="auto"/>
              <w:jc w:val="center"/>
              <w:rPr>
                <w:szCs w:val="24"/>
              </w:rPr>
            </w:pPr>
            <w:r>
              <w:rPr>
                <w:szCs w:val="24"/>
              </w:rPr>
              <w:t>3</w:t>
            </w:r>
          </w:p>
        </w:tc>
        <w:tc>
          <w:tcPr>
            <w:tcW w:w="1260" w:type="dxa"/>
            <w:noWrap/>
            <w:vAlign w:val="center"/>
          </w:tcPr>
          <w:p w:rsidR="00191BFA" w:rsidRPr="00005251" w:rsidP="00D80863" w14:paraId="65E72E57" w14:textId="77777777">
            <w:pPr>
              <w:widowControl w:val="0"/>
              <w:spacing w:line="240" w:lineRule="auto"/>
              <w:jc w:val="center"/>
              <w:rPr>
                <w:szCs w:val="24"/>
              </w:rPr>
            </w:pPr>
            <w:r>
              <w:rPr>
                <w:szCs w:val="24"/>
              </w:rPr>
              <w:t>1,482</w:t>
            </w:r>
          </w:p>
        </w:tc>
      </w:tr>
      <w:tr w14:paraId="647F2412" w14:textId="77777777" w:rsidTr="000A7FD4">
        <w:tblPrEx>
          <w:tblW w:w="10080" w:type="dxa"/>
          <w:tblInd w:w="-545" w:type="dxa"/>
          <w:tblLook w:val="04A0"/>
        </w:tblPrEx>
        <w:trPr>
          <w:trHeight w:val="576"/>
        </w:trPr>
        <w:tc>
          <w:tcPr>
            <w:tcW w:w="4500" w:type="dxa"/>
            <w:vAlign w:val="center"/>
            <w:hideMark/>
          </w:tcPr>
          <w:p w:rsidR="00191BFA" w:rsidRPr="00005251" w:rsidP="00D80863" w14:paraId="4E2ECAE3" w14:textId="77777777">
            <w:pPr>
              <w:widowControl w:val="0"/>
              <w:spacing w:line="240" w:lineRule="auto"/>
              <w:rPr>
                <w:szCs w:val="24"/>
              </w:rPr>
            </w:pPr>
            <w:r w:rsidRPr="00BF5A4F">
              <w:rPr>
                <w:szCs w:val="24"/>
              </w:rPr>
              <w:t>Applications for Modifications to Portable Tank Designs</w:t>
            </w:r>
          </w:p>
        </w:tc>
        <w:tc>
          <w:tcPr>
            <w:tcW w:w="1620" w:type="dxa"/>
            <w:noWrap/>
            <w:vAlign w:val="center"/>
            <w:hideMark/>
          </w:tcPr>
          <w:p w:rsidR="00191BFA" w:rsidRPr="00005251" w:rsidP="00D80863" w14:paraId="742A34E9" w14:textId="77777777">
            <w:pPr>
              <w:widowControl w:val="0"/>
              <w:spacing w:line="240" w:lineRule="auto"/>
              <w:jc w:val="center"/>
              <w:rPr>
                <w:szCs w:val="24"/>
              </w:rPr>
            </w:pPr>
            <w:r>
              <w:rPr>
                <w:szCs w:val="24"/>
              </w:rPr>
              <w:t>13</w:t>
            </w:r>
          </w:p>
        </w:tc>
        <w:tc>
          <w:tcPr>
            <w:tcW w:w="1350" w:type="dxa"/>
            <w:noWrap/>
            <w:vAlign w:val="center"/>
            <w:hideMark/>
          </w:tcPr>
          <w:p w:rsidR="00191BFA" w:rsidRPr="00005251" w:rsidP="00D80863" w14:paraId="123CD5AB" w14:textId="77777777">
            <w:pPr>
              <w:widowControl w:val="0"/>
              <w:spacing w:line="240" w:lineRule="auto"/>
              <w:jc w:val="center"/>
              <w:rPr>
                <w:szCs w:val="24"/>
              </w:rPr>
            </w:pPr>
            <w:r>
              <w:rPr>
                <w:szCs w:val="24"/>
              </w:rPr>
              <w:t>494</w:t>
            </w:r>
          </w:p>
        </w:tc>
        <w:tc>
          <w:tcPr>
            <w:tcW w:w="1350" w:type="dxa"/>
            <w:vAlign w:val="center"/>
            <w:hideMark/>
          </w:tcPr>
          <w:p w:rsidR="00191BFA" w:rsidRPr="00005251" w:rsidP="00D80863" w14:paraId="42DDC0E3" w14:textId="77777777">
            <w:pPr>
              <w:widowControl w:val="0"/>
              <w:spacing w:line="240" w:lineRule="auto"/>
              <w:jc w:val="center"/>
              <w:rPr>
                <w:szCs w:val="24"/>
              </w:rPr>
            </w:pPr>
            <w:r>
              <w:rPr>
                <w:szCs w:val="24"/>
              </w:rPr>
              <w:t>3</w:t>
            </w:r>
          </w:p>
        </w:tc>
        <w:tc>
          <w:tcPr>
            <w:tcW w:w="1260" w:type="dxa"/>
            <w:noWrap/>
            <w:vAlign w:val="center"/>
            <w:hideMark/>
          </w:tcPr>
          <w:p w:rsidR="00191BFA" w:rsidRPr="00005251" w:rsidP="00D80863" w14:paraId="503D8E0B" w14:textId="77777777">
            <w:pPr>
              <w:widowControl w:val="0"/>
              <w:spacing w:line="240" w:lineRule="auto"/>
              <w:jc w:val="center"/>
              <w:rPr>
                <w:szCs w:val="24"/>
              </w:rPr>
            </w:pPr>
            <w:r>
              <w:rPr>
                <w:szCs w:val="24"/>
              </w:rPr>
              <w:t>1,482</w:t>
            </w:r>
          </w:p>
        </w:tc>
      </w:tr>
      <w:tr w14:paraId="7ADAF7C4" w14:textId="77777777" w:rsidTr="000A7FD4">
        <w:tblPrEx>
          <w:tblW w:w="10080" w:type="dxa"/>
          <w:tblInd w:w="-545" w:type="dxa"/>
          <w:tblLook w:val="04A0"/>
        </w:tblPrEx>
        <w:trPr>
          <w:trHeight w:val="576"/>
        </w:trPr>
        <w:tc>
          <w:tcPr>
            <w:tcW w:w="4500" w:type="dxa"/>
            <w:vAlign w:val="center"/>
          </w:tcPr>
          <w:p w:rsidR="00191BFA" w:rsidRPr="00005251" w:rsidP="00D80863" w14:paraId="7C97ABD7" w14:textId="77777777">
            <w:pPr>
              <w:widowControl w:val="0"/>
              <w:spacing w:line="240" w:lineRule="auto"/>
              <w:rPr>
                <w:szCs w:val="24"/>
              </w:rPr>
            </w:pPr>
            <w:r w:rsidRPr="006102BA">
              <w:rPr>
                <w:szCs w:val="24"/>
              </w:rPr>
              <w:t>Portable Tanks - Approval Agency Retention of Documents</w:t>
            </w:r>
          </w:p>
        </w:tc>
        <w:tc>
          <w:tcPr>
            <w:tcW w:w="1620" w:type="dxa"/>
            <w:noWrap/>
            <w:vAlign w:val="center"/>
          </w:tcPr>
          <w:p w:rsidR="00191BFA" w:rsidRPr="00005251" w:rsidP="00D80863" w14:paraId="61A8471F" w14:textId="77777777">
            <w:pPr>
              <w:widowControl w:val="0"/>
              <w:spacing w:line="240" w:lineRule="auto"/>
              <w:jc w:val="center"/>
              <w:rPr>
                <w:szCs w:val="24"/>
              </w:rPr>
            </w:pPr>
            <w:r>
              <w:rPr>
                <w:szCs w:val="24"/>
              </w:rPr>
              <w:t>13</w:t>
            </w:r>
          </w:p>
        </w:tc>
        <w:tc>
          <w:tcPr>
            <w:tcW w:w="1350" w:type="dxa"/>
            <w:noWrap/>
            <w:vAlign w:val="center"/>
          </w:tcPr>
          <w:p w:rsidR="00191BFA" w:rsidRPr="00005251" w:rsidP="00D80863" w14:paraId="0FBD5F62" w14:textId="77777777">
            <w:pPr>
              <w:widowControl w:val="0"/>
              <w:spacing w:line="240" w:lineRule="auto"/>
              <w:jc w:val="center"/>
              <w:rPr>
                <w:szCs w:val="24"/>
              </w:rPr>
            </w:pPr>
            <w:r>
              <w:rPr>
                <w:szCs w:val="24"/>
              </w:rPr>
              <w:t>494</w:t>
            </w:r>
          </w:p>
        </w:tc>
        <w:tc>
          <w:tcPr>
            <w:tcW w:w="1350" w:type="dxa"/>
            <w:vAlign w:val="center"/>
          </w:tcPr>
          <w:p w:rsidR="00191BFA" w:rsidRPr="00005251" w:rsidP="00D80863" w14:paraId="6F00F463" w14:textId="77777777">
            <w:pPr>
              <w:widowControl w:val="0"/>
              <w:spacing w:line="240" w:lineRule="auto"/>
              <w:jc w:val="center"/>
              <w:rPr>
                <w:szCs w:val="24"/>
              </w:rPr>
            </w:pPr>
            <w:r>
              <w:rPr>
                <w:szCs w:val="24"/>
              </w:rPr>
              <w:t>0.25</w:t>
            </w:r>
          </w:p>
        </w:tc>
        <w:tc>
          <w:tcPr>
            <w:tcW w:w="1260" w:type="dxa"/>
            <w:noWrap/>
            <w:vAlign w:val="center"/>
          </w:tcPr>
          <w:p w:rsidR="00191BFA" w:rsidRPr="00005251" w:rsidP="00D80863" w14:paraId="12AC663D" w14:textId="77777777">
            <w:pPr>
              <w:widowControl w:val="0"/>
              <w:spacing w:line="240" w:lineRule="auto"/>
              <w:jc w:val="center"/>
              <w:rPr>
                <w:szCs w:val="24"/>
              </w:rPr>
            </w:pPr>
            <w:r>
              <w:rPr>
                <w:szCs w:val="24"/>
              </w:rPr>
              <w:t>124</w:t>
            </w:r>
          </w:p>
        </w:tc>
      </w:tr>
      <w:tr w14:paraId="11148A8C" w14:textId="77777777" w:rsidTr="000A7FD4">
        <w:tblPrEx>
          <w:tblW w:w="10080" w:type="dxa"/>
          <w:tblInd w:w="-545" w:type="dxa"/>
          <w:tblLook w:val="04A0"/>
        </w:tblPrEx>
        <w:trPr>
          <w:trHeight w:val="576"/>
        </w:trPr>
        <w:tc>
          <w:tcPr>
            <w:tcW w:w="4500" w:type="dxa"/>
            <w:vAlign w:val="center"/>
          </w:tcPr>
          <w:p w:rsidR="00191BFA" w:rsidRPr="00005251" w:rsidP="00D80863" w14:paraId="3D601097" w14:textId="77777777">
            <w:pPr>
              <w:widowControl w:val="0"/>
              <w:spacing w:line="240" w:lineRule="auto"/>
              <w:rPr>
                <w:szCs w:val="24"/>
              </w:rPr>
            </w:pPr>
            <w:r w:rsidRPr="006102BA">
              <w:rPr>
                <w:szCs w:val="24"/>
              </w:rPr>
              <w:t>Portable Tanks - Manufacturers Retention of Documents</w:t>
            </w:r>
          </w:p>
        </w:tc>
        <w:tc>
          <w:tcPr>
            <w:tcW w:w="1620" w:type="dxa"/>
            <w:noWrap/>
            <w:vAlign w:val="center"/>
          </w:tcPr>
          <w:p w:rsidR="00191BFA" w:rsidRPr="00005251" w:rsidP="00D80863" w14:paraId="29694A65" w14:textId="77777777">
            <w:pPr>
              <w:widowControl w:val="0"/>
              <w:spacing w:line="240" w:lineRule="auto"/>
              <w:jc w:val="center"/>
              <w:rPr>
                <w:szCs w:val="24"/>
              </w:rPr>
            </w:pPr>
            <w:r>
              <w:rPr>
                <w:szCs w:val="24"/>
              </w:rPr>
              <w:t>50</w:t>
            </w:r>
          </w:p>
        </w:tc>
        <w:tc>
          <w:tcPr>
            <w:tcW w:w="1350" w:type="dxa"/>
            <w:noWrap/>
            <w:vAlign w:val="center"/>
          </w:tcPr>
          <w:p w:rsidR="00191BFA" w:rsidRPr="00005251" w:rsidP="00D80863" w14:paraId="4757E0DA" w14:textId="77777777">
            <w:pPr>
              <w:widowControl w:val="0"/>
              <w:spacing w:line="240" w:lineRule="auto"/>
              <w:jc w:val="center"/>
              <w:rPr>
                <w:szCs w:val="24"/>
              </w:rPr>
            </w:pPr>
            <w:r>
              <w:rPr>
                <w:szCs w:val="24"/>
              </w:rPr>
              <w:t>50,000</w:t>
            </w:r>
          </w:p>
        </w:tc>
        <w:tc>
          <w:tcPr>
            <w:tcW w:w="1350" w:type="dxa"/>
            <w:vAlign w:val="center"/>
          </w:tcPr>
          <w:p w:rsidR="00191BFA" w:rsidRPr="00005251" w:rsidP="00D80863" w14:paraId="1159F512" w14:textId="77777777">
            <w:pPr>
              <w:widowControl w:val="0"/>
              <w:spacing w:line="240" w:lineRule="auto"/>
              <w:jc w:val="center"/>
              <w:rPr>
                <w:szCs w:val="24"/>
              </w:rPr>
            </w:pPr>
            <w:r>
              <w:rPr>
                <w:szCs w:val="24"/>
              </w:rPr>
              <w:t>0.25</w:t>
            </w:r>
          </w:p>
        </w:tc>
        <w:tc>
          <w:tcPr>
            <w:tcW w:w="1260" w:type="dxa"/>
            <w:noWrap/>
            <w:vAlign w:val="center"/>
          </w:tcPr>
          <w:p w:rsidR="00191BFA" w:rsidRPr="00005251" w:rsidP="00D80863" w14:paraId="431B8044" w14:textId="77777777">
            <w:pPr>
              <w:widowControl w:val="0"/>
              <w:spacing w:line="240" w:lineRule="auto"/>
              <w:jc w:val="center"/>
              <w:rPr>
                <w:szCs w:val="24"/>
              </w:rPr>
            </w:pPr>
            <w:r>
              <w:rPr>
                <w:szCs w:val="24"/>
              </w:rPr>
              <w:t>12,500</w:t>
            </w:r>
          </w:p>
        </w:tc>
      </w:tr>
      <w:tr w14:paraId="459F5FC4" w14:textId="77777777" w:rsidTr="000A7FD4">
        <w:tblPrEx>
          <w:tblW w:w="10080" w:type="dxa"/>
          <w:tblInd w:w="-545" w:type="dxa"/>
          <w:tblLook w:val="04A0"/>
        </w:tblPrEx>
        <w:trPr>
          <w:trHeight w:val="576"/>
        </w:trPr>
        <w:tc>
          <w:tcPr>
            <w:tcW w:w="4500" w:type="dxa"/>
            <w:vAlign w:val="center"/>
            <w:hideMark/>
          </w:tcPr>
          <w:p w:rsidR="00191BFA" w:rsidRPr="00005251" w:rsidP="00D80863" w14:paraId="5C13C82B" w14:textId="77777777">
            <w:pPr>
              <w:widowControl w:val="0"/>
              <w:spacing w:line="240" w:lineRule="auto"/>
              <w:rPr>
                <w:szCs w:val="24"/>
              </w:rPr>
            </w:pPr>
            <w:r w:rsidRPr="006102BA">
              <w:rPr>
                <w:szCs w:val="24"/>
              </w:rPr>
              <w:t>Recordkeeping for the Testing of Portable Tanks</w:t>
            </w:r>
          </w:p>
        </w:tc>
        <w:tc>
          <w:tcPr>
            <w:tcW w:w="1620" w:type="dxa"/>
            <w:noWrap/>
            <w:vAlign w:val="center"/>
            <w:hideMark/>
          </w:tcPr>
          <w:p w:rsidR="00191BFA" w:rsidRPr="00005251" w:rsidP="00D80863" w14:paraId="7DF2F302" w14:textId="77777777">
            <w:pPr>
              <w:widowControl w:val="0"/>
              <w:spacing w:line="240" w:lineRule="auto"/>
              <w:jc w:val="center"/>
              <w:rPr>
                <w:szCs w:val="24"/>
              </w:rPr>
            </w:pPr>
            <w:r>
              <w:rPr>
                <w:szCs w:val="24"/>
              </w:rPr>
              <w:t>150</w:t>
            </w:r>
          </w:p>
        </w:tc>
        <w:tc>
          <w:tcPr>
            <w:tcW w:w="1350" w:type="dxa"/>
            <w:noWrap/>
            <w:vAlign w:val="center"/>
            <w:hideMark/>
          </w:tcPr>
          <w:p w:rsidR="00191BFA" w:rsidRPr="00005251" w:rsidP="00D80863" w14:paraId="6C618850" w14:textId="77777777">
            <w:pPr>
              <w:widowControl w:val="0"/>
              <w:spacing w:line="240" w:lineRule="auto"/>
              <w:jc w:val="center"/>
              <w:rPr>
                <w:szCs w:val="24"/>
              </w:rPr>
            </w:pPr>
            <w:r>
              <w:rPr>
                <w:szCs w:val="24"/>
              </w:rPr>
              <w:t>150</w:t>
            </w:r>
          </w:p>
        </w:tc>
        <w:tc>
          <w:tcPr>
            <w:tcW w:w="1350" w:type="dxa"/>
            <w:vAlign w:val="center"/>
            <w:hideMark/>
          </w:tcPr>
          <w:p w:rsidR="00191BFA" w:rsidRPr="00005251" w:rsidP="00D80863" w14:paraId="74B7572D" w14:textId="77777777">
            <w:pPr>
              <w:widowControl w:val="0"/>
              <w:spacing w:line="240" w:lineRule="auto"/>
              <w:jc w:val="center"/>
              <w:rPr>
                <w:szCs w:val="24"/>
              </w:rPr>
            </w:pPr>
            <w:r>
              <w:rPr>
                <w:szCs w:val="24"/>
              </w:rPr>
              <w:t>0.25</w:t>
            </w:r>
          </w:p>
        </w:tc>
        <w:tc>
          <w:tcPr>
            <w:tcW w:w="1260" w:type="dxa"/>
            <w:noWrap/>
            <w:vAlign w:val="center"/>
            <w:hideMark/>
          </w:tcPr>
          <w:p w:rsidR="00191BFA" w:rsidRPr="00005251" w:rsidP="00D80863" w14:paraId="38984BC4" w14:textId="77777777">
            <w:pPr>
              <w:widowControl w:val="0"/>
              <w:spacing w:line="240" w:lineRule="auto"/>
              <w:jc w:val="center"/>
              <w:rPr>
                <w:szCs w:val="24"/>
              </w:rPr>
            </w:pPr>
            <w:r>
              <w:rPr>
                <w:szCs w:val="24"/>
              </w:rPr>
              <w:t>38</w:t>
            </w:r>
          </w:p>
        </w:tc>
      </w:tr>
    </w:tbl>
    <w:p w:rsidR="00191BFA" w:rsidRPr="00BD0DF8" w:rsidP="00191BFA" w14:paraId="0E29B993" w14:textId="77777777">
      <w:pPr>
        <w:widowControl w:val="0"/>
        <w:rPr>
          <w:szCs w:val="24"/>
        </w:rPr>
      </w:pPr>
    </w:p>
    <w:p w:rsidR="00191BFA" w:rsidRPr="000A7FD4" w:rsidP="000A7FD4" w14:paraId="71C0E7EF" w14:textId="77777777">
      <w:pPr>
        <w:widowControl w:val="0"/>
        <w:ind w:firstLine="720"/>
        <w:rPr>
          <w:bCs/>
          <w:szCs w:val="24"/>
        </w:rPr>
      </w:pPr>
      <w:r w:rsidRPr="000A7FD4">
        <w:rPr>
          <w:bCs/>
          <w:szCs w:val="24"/>
          <w:u w:val="single"/>
        </w:rPr>
        <w:t>Affected Public</w:t>
      </w:r>
      <w:r w:rsidRPr="000A7FD4">
        <w:rPr>
          <w:bCs/>
          <w:szCs w:val="24"/>
        </w:rPr>
        <w:t>:  Manufacturers and owners of portable tanks and intermediate bulk containers.</w:t>
      </w:r>
    </w:p>
    <w:p w:rsidR="00191BFA" w:rsidRPr="000A7FD4" w:rsidP="000A7FD4" w14:paraId="108EAA1F" w14:textId="77777777">
      <w:pPr>
        <w:widowControl w:val="0"/>
        <w:ind w:firstLine="720"/>
        <w:rPr>
          <w:bCs/>
          <w:szCs w:val="24"/>
        </w:rPr>
      </w:pPr>
      <w:r w:rsidRPr="000A7FD4">
        <w:rPr>
          <w:bCs/>
          <w:szCs w:val="24"/>
          <w:u w:val="single"/>
        </w:rPr>
        <w:t>Annual Reporting and Recordkeeping Burden</w:t>
      </w:r>
      <w:r w:rsidRPr="000A7FD4">
        <w:rPr>
          <w:bCs/>
          <w:szCs w:val="24"/>
        </w:rPr>
        <w:t>:</w:t>
      </w:r>
    </w:p>
    <w:p w:rsidR="00191BFA" w:rsidRPr="000A7FD4" w:rsidP="000A7FD4" w14:paraId="4C212920" w14:textId="77777777">
      <w:pPr>
        <w:widowControl w:val="0"/>
        <w:ind w:left="3600" w:hanging="2160"/>
        <w:rPr>
          <w:szCs w:val="24"/>
        </w:rPr>
      </w:pPr>
      <w:r w:rsidRPr="000A7FD4">
        <w:rPr>
          <w:szCs w:val="24"/>
        </w:rPr>
        <w:t>Number of Respondents:</w:t>
      </w:r>
      <w:r w:rsidRPr="000A7FD4">
        <w:rPr>
          <w:szCs w:val="24"/>
        </w:rPr>
        <w:tab/>
      </w:r>
      <w:r w:rsidRPr="000A7FD4">
        <w:rPr>
          <w:szCs w:val="24"/>
        </w:rPr>
        <w:t xml:space="preserve">1,470 </w:t>
      </w:r>
    </w:p>
    <w:p w:rsidR="00191BFA" w:rsidRPr="000A7FD4" w:rsidP="000A7FD4" w14:paraId="2F337D81" w14:textId="77777777">
      <w:pPr>
        <w:widowControl w:val="0"/>
        <w:ind w:left="3600" w:hanging="2160"/>
        <w:rPr>
          <w:szCs w:val="24"/>
        </w:rPr>
      </w:pPr>
      <w:r w:rsidRPr="000A7FD4">
        <w:rPr>
          <w:szCs w:val="24"/>
        </w:rPr>
        <w:t>Total Annual Responses:</w:t>
      </w:r>
      <w:r w:rsidRPr="000A7FD4">
        <w:rPr>
          <w:szCs w:val="24"/>
        </w:rPr>
        <w:tab/>
      </w:r>
      <w:r w:rsidRPr="000A7FD4">
        <w:rPr>
          <w:szCs w:val="24"/>
        </w:rPr>
        <w:t>202,775</w:t>
      </w:r>
    </w:p>
    <w:p w:rsidR="00191BFA" w:rsidRPr="000A7FD4" w:rsidP="000A7FD4" w14:paraId="65627F46" w14:textId="18D69234">
      <w:pPr>
        <w:widowControl w:val="0"/>
        <w:ind w:left="3600" w:hanging="2160"/>
        <w:rPr>
          <w:szCs w:val="24"/>
        </w:rPr>
      </w:pPr>
      <w:r w:rsidRPr="000A7FD4">
        <w:rPr>
          <w:szCs w:val="24"/>
        </w:rPr>
        <w:t>Total Annual Burden Hours:</w:t>
      </w:r>
      <w:r w:rsidRPr="000A7FD4">
        <w:rPr>
          <w:szCs w:val="24"/>
        </w:rPr>
        <w:tab/>
      </w:r>
      <w:r w:rsidRPr="000A7FD4">
        <w:rPr>
          <w:szCs w:val="24"/>
        </w:rPr>
        <w:t>56,14</w:t>
      </w:r>
      <w:r w:rsidRPr="000A7FD4" w:rsidR="003A71D3">
        <w:rPr>
          <w:szCs w:val="24"/>
        </w:rPr>
        <w:t>3</w:t>
      </w:r>
    </w:p>
    <w:p w:rsidR="00191BFA" w:rsidRPr="000A7FD4" w:rsidP="000A7FD4" w14:paraId="0EB9903A" w14:textId="7AB3A150">
      <w:pPr>
        <w:ind w:left="720" w:firstLine="720"/>
        <w:rPr>
          <w:szCs w:val="24"/>
        </w:rPr>
      </w:pPr>
      <w:r w:rsidRPr="000A7FD4">
        <w:rPr>
          <w:szCs w:val="24"/>
        </w:rPr>
        <w:t>Frequency of Collection:</w:t>
      </w:r>
      <w:r w:rsidRPr="000A7FD4">
        <w:rPr>
          <w:szCs w:val="24"/>
        </w:rPr>
        <w:tab/>
      </w:r>
      <w:r w:rsidRPr="000A7FD4">
        <w:rPr>
          <w:szCs w:val="24"/>
        </w:rPr>
        <w:t>On occasion</w:t>
      </w:r>
    </w:p>
    <w:p w:rsidR="005631D1" w:rsidRPr="000A7FD4" w:rsidP="00191BFA" w14:paraId="06BB3665" w14:textId="77777777">
      <w:pPr>
        <w:rPr>
          <w:szCs w:val="24"/>
        </w:rPr>
      </w:pPr>
    </w:p>
    <w:p w:rsidR="007318AC" w:rsidRPr="000A7FD4" w:rsidP="00807768" w14:paraId="78422C6B" w14:textId="175E6C78">
      <w:pPr>
        <w:ind w:firstLine="720"/>
        <w:rPr>
          <w:szCs w:val="24"/>
        </w:rPr>
      </w:pPr>
      <w:r w:rsidRPr="000A7FD4">
        <w:rPr>
          <w:szCs w:val="24"/>
          <w:u w:val="single"/>
        </w:rPr>
        <w:t>Title</w:t>
      </w:r>
      <w:r w:rsidRPr="000A7FD4">
        <w:rPr>
          <w:szCs w:val="24"/>
        </w:rPr>
        <w:t xml:space="preserve">: </w:t>
      </w:r>
      <w:r w:rsidRPr="000A7FD4" w:rsidR="003D47B8">
        <w:rPr>
          <w:szCs w:val="24"/>
        </w:rPr>
        <w:t>Hazardous Materials Shipping Papers &amp; Emergency Response Information</w:t>
      </w:r>
    </w:p>
    <w:p w:rsidR="005631D1" w:rsidRPr="000A7FD4" w:rsidP="00807768" w14:paraId="56EF6EA5" w14:textId="3E31C258">
      <w:pPr>
        <w:ind w:firstLine="720"/>
        <w:rPr>
          <w:szCs w:val="24"/>
        </w:rPr>
      </w:pPr>
      <w:r w:rsidRPr="000A7FD4">
        <w:rPr>
          <w:szCs w:val="24"/>
          <w:u w:val="single"/>
        </w:rPr>
        <w:t>OMB Control Number</w:t>
      </w:r>
      <w:r w:rsidRPr="000A7FD4">
        <w:rPr>
          <w:szCs w:val="24"/>
        </w:rPr>
        <w:t>:</w:t>
      </w:r>
      <w:r w:rsidRPr="000A7FD4" w:rsidR="00B96A02">
        <w:rPr>
          <w:szCs w:val="24"/>
        </w:rPr>
        <w:t xml:space="preserve"> </w:t>
      </w:r>
      <w:r w:rsidRPr="000A7FD4">
        <w:rPr>
          <w:szCs w:val="24"/>
        </w:rPr>
        <w:t>2137-0034</w:t>
      </w:r>
    </w:p>
    <w:p w:rsidR="005631D1" w:rsidRPr="000A7FD4" w:rsidP="00B229F1" w14:paraId="3A748D61" w14:textId="79BADFF3">
      <w:pPr>
        <w:ind w:firstLine="720"/>
        <w:rPr>
          <w:szCs w:val="24"/>
        </w:rPr>
      </w:pPr>
      <w:r w:rsidRPr="000A7FD4">
        <w:rPr>
          <w:szCs w:val="24"/>
          <w:u w:val="single"/>
        </w:rPr>
        <w:t>Summary</w:t>
      </w:r>
      <w:r w:rsidRPr="000A7FD4">
        <w:rPr>
          <w:szCs w:val="24"/>
        </w:rPr>
        <w:t>:</w:t>
      </w:r>
      <w:r w:rsidRPr="000A7FD4" w:rsidR="004D7A8F">
        <w:rPr>
          <w:szCs w:val="24"/>
        </w:rPr>
        <w:t xml:space="preserve"> </w:t>
      </w:r>
      <w:r w:rsidRPr="000A7FD4" w:rsidR="00B229F1">
        <w:rPr>
          <w:szCs w:val="24"/>
        </w:rPr>
        <w:t xml:space="preserve">This OMB control number describes the information collections in parts </w:t>
      </w:r>
      <w:r w:rsidRPr="000A7FD4" w:rsidR="00286A34">
        <w:rPr>
          <w:szCs w:val="24"/>
        </w:rPr>
        <w:t xml:space="preserve">172, </w:t>
      </w:r>
      <w:r w:rsidRPr="000A7FD4" w:rsidR="00B229F1">
        <w:rPr>
          <w:szCs w:val="24"/>
        </w:rPr>
        <w:t>173, 17</w:t>
      </w:r>
      <w:r w:rsidRPr="000A7FD4" w:rsidR="00286A34">
        <w:rPr>
          <w:szCs w:val="24"/>
        </w:rPr>
        <w:t>4</w:t>
      </w:r>
      <w:r w:rsidRPr="000A7FD4" w:rsidR="00B229F1">
        <w:rPr>
          <w:szCs w:val="24"/>
        </w:rPr>
        <w:t>,</w:t>
      </w:r>
      <w:r w:rsidRPr="000A7FD4" w:rsidR="00286A34">
        <w:rPr>
          <w:szCs w:val="24"/>
        </w:rPr>
        <w:t xml:space="preserve"> 175, 176</w:t>
      </w:r>
      <w:r w:rsidRPr="000A7FD4" w:rsidR="00B229F1">
        <w:rPr>
          <w:szCs w:val="24"/>
        </w:rPr>
        <w:t xml:space="preserve"> and 1</w:t>
      </w:r>
      <w:r w:rsidRPr="000A7FD4" w:rsidR="00286A34">
        <w:rPr>
          <w:szCs w:val="24"/>
        </w:rPr>
        <w:t>77</w:t>
      </w:r>
      <w:r w:rsidRPr="000A7FD4" w:rsidR="00B229F1">
        <w:rPr>
          <w:szCs w:val="24"/>
        </w:rPr>
        <w:t xml:space="preserve"> </w:t>
      </w:r>
      <w:r w:rsidRPr="00BE6E70" w:rsidR="00B229F1">
        <w:rPr>
          <w:szCs w:val="24"/>
        </w:rPr>
        <w:t xml:space="preserve">of the HMR </w:t>
      </w:r>
      <w:r w:rsidRPr="00BE6E70" w:rsidR="55D331CA">
        <w:rPr>
          <w:szCs w:val="24"/>
        </w:rPr>
        <w:t xml:space="preserve">pertaining to </w:t>
      </w:r>
      <w:r w:rsidRPr="000A7FD4">
        <w:rPr>
          <w:szCs w:val="24"/>
        </w:rPr>
        <w:t>the requirement to provide a shipping paper and emergency response information with shipments of hazardous materials.</w:t>
      </w:r>
      <w:r w:rsidRPr="000A7FD4" w:rsidR="006F4274">
        <w:rPr>
          <w:szCs w:val="24"/>
        </w:rPr>
        <w:t xml:space="preserve"> </w:t>
      </w:r>
      <w:r w:rsidRPr="000A7FD4">
        <w:rPr>
          <w:szCs w:val="24"/>
        </w:rPr>
        <w:t xml:space="preserve"> Shipping papers are considered to be a basic communication tool relative to the transportation of hazardous materials.  The definition of a shipping paper in 49 CFR 171.8 includes a shipping order, bill of lading, manifest, or other shipping document serving a similar purpose and containing the information required by §§ 172.202, 172.203, and 172.204 of the HMR.  A shipping paper with emergency response information must accompany most hazardous materials shipments and be readily available at all times during transportation. </w:t>
      </w:r>
    </w:p>
    <w:p w:rsidR="005631D1" w:rsidRPr="000A7FD4" w:rsidP="003370BB" w14:paraId="2460891F" w14:textId="6F6AF8EF">
      <w:pPr>
        <w:ind w:firstLine="720"/>
        <w:rPr>
          <w:szCs w:val="24"/>
        </w:rPr>
      </w:pPr>
      <w:r w:rsidRPr="000A7FD4">
        <w:rPr>
          <w:szCs w:val="24"/>
        </w:rPr>
        <w:t>Shipping papers serve as the principal source of information regarding the presence of hazardous materials, identification, quantity, and emergency response procedures.  They also serve as the source of information for compliance with other requirements, such as the placement of rail cars containing different hazardous materials in trains; prevent the loading of poisons with foodstuffs; maintain the separation of incompatible hazardous materials; and limit the amount of radioactive materials that may be transported in a vehicle or aircraft.  Shipping papers and emergency response information also serve as a means of notifying transport workers that hazardous materials are present.  Most importantly, shipping papers serve as a principal means of identifying hazardous materials during transportation emergencies.  Firefighters, police, and other emergency response personnel are trained to obtain the DOT shipping papers and emergency response information when responding to hazardous materials transportation emergencies.  The availability of accurate information concerning hazardous materials being transported significantly improves response efforts in these types of emergencies. </w:t>
      </w:r>
      <w:r w:rsidRPr="000A7FD4" w:rsidR="00F333AF">
        <w:rPr>
          <w:szCs w:val="24"/>
        </w:rPr>
        <w:t xml:space="preserve"> </w:t>
      </w:r>
      <w:r w:rsidRPr="000A7FD4" w:rsidR="00666D62">
        <w:rPr>
          <w:szCs w:val="24"/>
        </w:rPr>
        <w:t xml:space="preserve">In addition to the shipping paper and emergency response information, this OMB control number also </w:t>
      </w:r>
      <w:r w:rsidRPr="000A7FD4" w:rsidR="00BF12EC">
        <w:rPr>
          <w:szCs w:val="24"/>
        </w:rPr>
        <w:t>includes the following information collections</w:t>
      </w:r>
      <w:r w:rsidRPr="000A7FD4" w:rsidR="00666D62">
        <w:rPr>
          <w:szCs w:val="24"/>
        </w:rPr>
        <w:t>:</w:t>
      </w:r>
    </w:p>
    <w:p w:rsidR="00890B9E" w:rsidRPr="000A7FD4" w:rsidP="00973697" w14:paraId="1E247B8E" w14:textId="75DCEAD2">
      <w:pPr>
        <w:ind w:firstLine="720"/>
        <w:rPr>
          <w:szCs w:val="24"/>
        </w:rPr>
      </w:pPr>
      <w:r w:rsidRPr="000A7FD4">
        <w:rPr>
          <w:szCs w:val="24"/>
        </w:rPr>
        <w:t xml:space="preserve">(1) </w:t>
      </w:r>
      <w:r w:rsidRPr="000A7FD4" w:rsidR="00666D62">
        <w:rPr>
          <w:i/>
          <w:iCs/>
          <w:szCs w:val="24"/>
        </w:rPr>
        <w:t>Notice of Pilot in Command</w:t>
      </w:r>
      <w:r w:rsidRPr="000A7FD4" w:rsidR="00BF12EC">
        <w:rPr>
          <w:szCs w:val="24"/>
        </w:rPr>
        <w:t>:</w:t>
      </w:r>
      <w:r w:rsidRPr="000A7FD4">
        <w:rPr>
          <w:szCs w:val="24"/>
        </w:rPr>
        <w:t xml:space="preserve"> </w:t>
      </w:r>
      <w:r w:rsidRPr="000A7FD4" w:rsidR="00973697">
        <w:rPr>
          <w:szCs w:val="24"/>
        </w:rPr>
        <w:t xml:space="preserve">This information collection consists of the additional time required for the pilot-in-command to complete the confirmation process for the loading of hazardous materials on aircraft. </w:t>
      </w:r>
      <w:r w:rsidRPr="000A7FD4" w:rsidR="00F333AF">
        <w:rPr>
          <w:szCs w:val="24"/>
        </w:rPr>
        <w:t xml:space="preserve"> </w:t>
      </w:r>
      <w:r w:rsidRPr="000A7FD4" w:rsidR="00973697">
        <w:rPr>
          <w:szCs w:val="24"/>
        </w:rPr>
        <w:t>The confirmation process includes obtaining a signature or other appropriate indication from the person responsible for loading the aircraft and from the pilot-in-command.</w:t>
      </w:r>
    </w:p>
    <w:p w:rsidR="00666D62" w:rsidRPr="00A0358E" w:rsidP="00206E8D" w14:paraId="73D7E9D5" w14:textId="58D2F9BE">
      <w:pPr>
        <w:ind w:firstLine="720"/>
        <w:rPr>
          <w:szCs w:val="24"/>
        </w:rPr>
      </w:pPr>
      <w:r w:rsidRPr="00A0358E">
        <w:rPr>
          <w:bCs/>
          <w:color w:val="000000"/>
          <w:szCs w:val="24"/>
        </w:rPr>
        <w:t xml:space="preserve">(2) </w:t>
      </w:r>
      <w:r w:rsidRPr="00A0358E">
        <w:rPr>
          <w:bCs/>
          <w:i/>
          <w:iCs/>
          <w:color w:val="000000"/>
          <w:szCs w:val="24"/>
        </w:rPr>
        <w:t>Lithium Battery Test Summary</w:t>
      </w:r>
      <w:r w:rsidRPr="00A0358E">
        <w:rPr>
          <w:bCs/>
          <w:i/>
          <w:iCs/>
          <w:color w:val="000000"/>
          <w:szCs w:val="24"/>
        </w:rPr>
        <w:t xml:space="preserve"> Document</w:t>
      </w:r>
      <w:r w:rsidRPr="00A0358E" w:rsidR="00973697">
        <w:rPr>
          <w:bCs/>
          <w:color w:val="000000"/>
          <w:szCs w:val="24"/>
        </w:rPr>
        <w:t xml:space="preserve">: </w:t>
      </w:r>
      <w:r w:rsidRPr="00A0358E" w:rsidR="00206E8D">
        <w:rPr>
          <w:bCs/>
          <w:color w:val="000000"/>
          <w:szCs w:val="24"/>
        </w:rPr>
        <w:t xml:space="preserve">This information collection requires </w:t>
      </w:r>
      <w:r w:rsidRPr="00A0358E" w:rsidR="00206E8D">
        <w:rPr>
          <w:szCs w:val="24"/>
        </w:rPr>
        <w:t>the creation of a lithium battery test summary document for lithium cells and batteries manufactured after January 1, 2008.</w:t>
      </w:r>
      <w:r w:rsidRPr="00A0358E" w:rsidR="00A61AF3">
        <w:rPr>
          <w:szCs w:val="24"/>
        </w:rPr>
        <w:t xml:space="preserve">  This information collection includes both a reporting and recordkeeping component.</w:t>
      </w:r>
    </w:p>
    <w:p w:rsidR="00E676DD" w:rsidRPr="00A0358E" w:rsidP="00AE6FE8" w14:paraId="5A3811F5" w14:textId="789480C6">
      <w:pPr>
        <w:ind w:firstLine="720"/>
        <w:rPr>
          <w:szCs w:val="24"/>
        </w:rPr>
      </w:pPr>
      <w:r w:rsidRPr="00A0358E">
        <w:rPr>
          <w:bCs/>
          <w:color w:val="000000"/>
          <w:szCs w:val="24"/>
        </w:rPr>
        <w:t xml:space="preserve">(3) </w:t>
      </w:r>
      <w:r w:rsidRPr="00A0358E" w:rsidR="00666D62">
        <w:rPr>
          <w:bCs/>
          <w:i/>
          <w:iCs/>
          <w:color w:val="000000"/>
          <w:szCs w:val="24"/>
        </w:rPr>
        <w:t>Air Transportation Discrepancy Reports</w:t>
      </w:r>
      <w:r w:rsidRPr="00A0358E" w:rsidR="00AE6FE8">
        <w:rPr>
          <w:bCs/>
          <w:color w:val="000000"/>
          <w:szCs w:val="24"/>
        </w:rPr>
        <w:t xml:space="preserve">: </w:t>
      </w:r>
      <w:r w:rsidRPr="00A0358E" w:rsidR="00AE6FE8">
        <w:rPr>
          <w:szCs w:val="24"/>
        </w:rPr>
        <w:t>This information collection requires that</w:t>
      </w:r>
      <w:r w:rsidRPr="00A0358E">
        <w:rPr>
          <w:szCs w:val="24"/>
        </w:rPr>
        <w:t xml:space="preserve"> each person who discovers an improperly described, certified, labeled, marked, or packaged hazardous material during air transportation, including passenger baggage (known as a passenger (PAX) discrepancy), must notify the nearest </w:t>
      </w:r>
      <w:r w:rsidRPr="00A0358E" w:rsidR="00AE6FE8">
        <w:rPr>
          <w:szCs w:val="24"/>
        </w:rPr>
        <w:t>Federal Aviation Administration (</w:t>
      </w:r>
      <w:r w:rsidRPr="00A0358E">
        <w:rPr>
          <w:szCs w:val="24"/>
        </w:rPr>
        <w:t>FAA</w:t>
      </w:r>
      <w:r w:rsidRPr="00A0358E" w:rsidR="00AE6FE8">
        <w:rPr>
          <w:szCs w:val="24"/>
        </w:rPr>
        <w:t>)</w:t>
      </w:r>
      <w:r w:rsidRPr="00A0358E">
        <w:rPr>
          <w:szCs w:val="24"/>
        </w:rPr>
        <w:t xml:space="preserve"> Regional Office by telephone or electronically. </w:t>
      </w:r>
      <w:r w:rsidRPr="00A0358E" w:rsidR="0016339E">
        <w:rPr>
          <w:szCs w:val="24"/>
        </w:rPr>
        <w:t xml:space="preserve"> </w:t>
      </w:r>
      <w:r w:rsidRPr="00A0358E">
        <w:rPr>
          <w:szCs w:val="24"/>
        </w:rPr>
        <w:t>Electronic notifications may be submitted by email or through the Safety Assurance System (SAS) External Portal.</w:t>
      </w:r>
      <w:r w:rsidRPr="00A0358E" w:rsidR="00AE6FE8">
        <w:rPr>
          <w:szCs w:val="24"/>
        </w:rPr>
        <w:t xml:space="preserve">  </w:t>
      </w:r>
    </w:p>
    <w:p w:rsidR="000723E1" w:rsidRPr="00A0358E" w:rsidP="000723E1" w14:paraId="620027DF" w14:textId="112E6CCF">
      <w:pPr>
        <w:ind w:firstLine="720"/>
        <w:rPr>
          <w:szCs w:val="24"/>
        </w:rPr>
      </w:pPr>
      <w:r w:rsidRPr="000A7FD4">
        <w:rPr>
          <w:szCs w:val="24"/>
        </w:rPr>
        <w:t>The following is a list of the information collections and burden estimates associated with this OMB Control Number:</w:t>
      </w:r>
    </w:p>
    <w:tbl>
      <w:tblPr>
        <w:tblW w:w="9790" w:type="dxa"/>
        <w:jc w:val="center"/>
        <w:tblLook w:val="04A0"/>
      </w:tblPr>
      <w:tblGrid>
        <w:gridCol w:w="3870"/>
        <w:gridCol w:w="1523"/>
        <w:gridCol w:w="1416"/>
        <w:gridCol w:w="1440"/>
        <w:gridCol w:w="1541"/>
      </w:tblGrid>
      <w:tr w14:paraId="785CD78B" w14:textId="77777777" w:rsidTr="003B2203">
        <w:tblPrEx>
          <w:tblW w:w="9790" w:type="dxa"/>
          <w:jc w:val="center"/>
          <w:tblLook w:val="04A0"/>
        </w:tblPrEx>
        <w:trPr>
          <w:trHeight w:val="290"/>
          <w:jc w:val="center"/>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8BA" w:rsidRPr="00D322CA" w:rsidP="000A7FD4" w14:paraId="3009C60C" w14:textId="0B9C742E">
            <w:pPr>
              <w:spacing w:line="240" w:lineRule="auto"/>
              <w:jc w:val="center"/>
              <w:rPr>
                <w:b/>
                <w:color w:val="000000"/>
                <w:szCs w:val="24"/>
              </w:rPr>
            </w:pPr>
            <w:r w:rsidRPr="0086494C">
              <w:rPr>
                <w:b/>
                <w:color w:val="000000"/>
                <w:szCs w:val="24"/>
              </w:rPr>
              <w:t>Information Collection</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AD28BA" w:rsidRPr="00D322CA" w:rsidP="007C52CF" w14:paraId="01FF8CDC" w14:textId="77777777">
            <w:pPr>
              <w:spacing w:line="240" w:lineRule="auto"/>
              <w:jc w:val="center"/>
              <w:rPr>
                <w:b/>
                <w:bCs/>
                <w:color w:val="000000"/>
                <w:szCs w:val="24"/>
              </w:rPr>
            </w:pPr>
            <w:r w:rsidRPr="00005251">
              <w:rPr>
                <w:b/>
                <w:bCs/>
                <w:szCs w:val="24"/>
              </w:rPr>
              <w:t>Respondents</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AD28BA" w:rsidRPr="00D322CA" w:rsidP="0087281B" w14:paraId="43CB86E0" w14:textId="77777777">
            <w:pPr>
              <w:spacing w:line="240" w:lineRule="auto"/>
              <w:jc w:val="center"/>
              <w:rPr>
                <w:b/>
                <w:bCs/>
                <w:color w:val="000000"/>
                <w:szCs w:val="24"/>
              </w:rPr>
            </w:pPr>
            <w:r>
              <w:rPr>
                <w:b/>
                <w:bCs/>
                <w:szCs w:val="24"/>
              </w:rPr>
              <w:t xml:space="preserve">Total Annual </w:t>
            </w:r>
            <w:r w:rsidRPr="00005251">
              <w:rPr>
                <w:b/>
                <w:bCs/>
                <w:szCs w:val="24"/>
              </w:rPr>
              <w:t>Responses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D28BA" w:rsidRPr="00D322CA" w14:paraId="720206A2" w14:textId="77777777">
            <w:pPr>
              <w:spacing w:line="240" w:lineRule="auto"/>
              <w:jc w:val="center"/>
              <w:rPr>
                <w:b/>
                <w:bCs/>
                <w:color w:val="000000"/>
                <w:szCs w:val="24"/>
              </w:rPr>
            </w:pPr>
            <w:r w:rsidRPr="00005251">
              <w:rPr>
                <w:b/>
                <w:bCs/>
                <w:szCs w:val="24"/>
              </w:rPr>
              <w:t>Hours per Response</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AD28BA" w:rsidRPr="00D322CA" w14:paraId="52C55BBA" w14:textId="77777777">
            <w:pPr>
              <w:spacing w:line="240" w:lineRule="auto"/>
              <w:jc w:val="center"/>
              <w:rPr>
                <w:b/>
                <w:bCs/>
                <w:color w:val="000000"/>
                <w:szCs w:val="24"/>
              </w:rPr>
            </w:pPr>
            <w:r w:rsidRPr="00005251">
              <w:rPr>
                <w:b/>
                <w:bCs/>
                <w:szCs w:val="24"/>
              </w:rPr>
              <w:t xml:space="preserve">Total </w:t>
            </w:r>
            <w:r>
              <w:rPr>
                <w:b/>
                <w:bCs/>
                <w:szCs w:val="24"/>
              </w:rPr>
              <w:t xml:space="preserve">Annual Burden </w:t>
            </w:r>
            <w:r w:rsidRPr="00005251">
              <w:rPr>
                <w:b/>
                <w:bCs/>
                <w:szCs w:val="24"/>
              </w:rPr>
              <w:t>Hours</w:t>
            </w:r>
          </w:p>
        </w:tc>
      </w:tr>
      <w:tr w14:paraId="15315D7C" w14:textId="77777777" w:rsidTr="000625A8">
        <w:tblPrEx>
          <w:tblW w:w="9790" w:type="dxa"/>
          <w:jc w:val="center"/>
          <w:tblLook w:val="04A0"/>
        </w:tblPrEx>
        <w:trPr>
          <w:trHeight w:val="143"/>
          <w:jc w:val="center"/>
        </w:trPr>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D28BA" w:rsidRPr="00D322CA" w:rsidP="00D80863" w14:paraId="1CC5DBB2" w14:textId="0A3C0108">
            <w:pPr>
              <w:spacing w:line="240" w:lineRule="auto"/>
              <w:rPr>
                <w:bCs/>
                <w:color w:val="000000"/>
                <w:szCs w:val="24"/>
              </w:rPr>
            </w:pPr>
            <w:r w:rsidRPr="00DC5670">
              <w:rPr>
                <w:bCs/>
                <w:color w:val="000000"/>
                <w:szCs w:val="24"/>
              </w:rPr>
              <w:t>Hazardous Materials Shipping Papers &amp; Emergency Response Information</w:t>
            </w:r>
          </w:p>
        </w:tc>
        <w:tc>
          <w:tcPr>
            <w:tcW w:w="15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D28BA" w:rsidRPr="00585979" w:rsidP="00585979" w14:paraId="6D89FA3A" w14:textId="5DAB48E9">
            <w:pPr>
              <w:spacing w:line="240" w:lineRule="auto"/>
              <w:jc w:val="center"/>
              <w:rPr>
                <w:szCs w:val="24"/>
              </w:rPr>
            </w:pPr>
            <w:r w:rsidRPr="00585979">
              <w:rPr>
                <w:szCs w:val="24"/>
              </w:rPr>
              <w:t>260,000</w:t>
            </w:r>
          </w:p>
        </w:tc>
        <w:tc>
          <w:tcPr>
            <w:tcW w:w="1416" w:type="dxa"/>
            <w:tcBorders>
              <w:top w:val="single" w:sz="4" w:space="0" w:color="auto"/>
              <w:left w:val="nil"/>
              <w:bottom w:val="single" w:sz="4" w:space="0" w:color="auto"/>
              <w:right w:val="single" w:sz="4" w:space="0" w:color="auto"/>
            </w:tcBorders>
            <w:shd w:val="clear" w:color="auto" w:fill="FFFFFF" w:themeFill="background1"/>
            <w:vAlign w:val="center"/>
            <w:hideMark/>
          </w:tcPr>
          <w:p w:rsidR="00AD28BA" w:rsidRPr="00585979" w:rsidP="00585979" w14:paraId="6151769C" w14:textId="2EDFE12B">
            <w:pPr>
              <w:spacing w:line="240" w:lineRule="auto"/>
              <w:jc w:val="center"/>
              <w:rPr>
                <w:szCs w:val="24"/>
              </w:rPr>
            </w:pPr>
            <w:r w:rsidRPr="00585979">
              <w:rPr>
                <w:szCs w:val="24"/>
              </w:rPr>
              <w:t>175,262,735</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D28BA" w:rsidRPr="00585979" w:rsidP="00585979" w14:paraId="0D401C1C" w14:textId="0A68ECE2">
            <w:pPr>
              <w:spacing w:line="240" w:lineRule="auto"/>
              <w:jc w:val="center"/>
              <w:rPr>
                <w:szCs w:val="24"/>
              </w:rPr>
            </w:pPr>
            <w:r w:rsidRPr="00585979">
              <w:rPr>
                <w:szCs w:val="24"/>
              </w:rPr>
              <w:t>.03</w:t>
            </w:r>
          </w:p>
        </w:tc>
        <w:tc>
          <w:tcPr>
            <w:tcW w:w="154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D28BA" w:rsidRPr="00585979" w:rsidP="00585979" w14:paraId="6F83250D" w14:textId="3D10FAAB">
            <w:pPr>
              <w:spacing w:line="240" w:lineRule="auto"/>
              <w:jc w:val="center"/>
              <w:rPr>
                <w:szCs w:val="24"/>
              </w:rPr>
            </w:pPr>
            <w:r w:rsidRPr="00585979">
              <w:rPr>
                <w:szCs w:val="24"/>
              </w:rPr>
              <w:t>4</w:t>
            </w:r>
            <w:r w:rsidRPr="00585979" w:rsidR="003718F6">
              <w:rPr>
                <w:szCs w:val="24"/>
              </w:rPr>
              <w:t>,</w:t>
            </w:r>
            <w:r w:rsidR="006913F0">
              <w:rPr>
                <w:szCs w:val="24"/>
              </w:rPr>
              <w:t>599</w:t>
            </w:r>
            <w:r w:rsidRPr="00585979" w:rsidR="003718F6">
              <w:rPr>
                <w:szCs w:val="24"/>
              </w:rPr>
              <w:t>,</w:t>
            </w:r>
            <w:r w:rsidRPr="00585979">
              <w:rPr>
                <w:szCs w:val="24"/>
              </w:rPr>
              <w:t>426</w:t>
            </w:r>
          </w:p>
        </w:tc>
      </w:tr>
      <w:tr w14:paraId="2BE09703" w14:textId="77777777" w:rsidTr="000625A8">
        <w:tblPrEx>
          <w:tblW w:w="9790" w:type="dxa"/>
          <w:jc w:val="center"/>
          <w:tblLook w:val="04A0"/>
        </w:tblPrEx>
        <w:trPr>
          <w:trHeight w:val="143"/>
          <w:jc w:val="center"/>
        </w:trPr>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D28BA" w:rsidRPr="00D322CA" w:rsidP="00D80863" w14:paraId="7D6DCD53" w14:textId="435BFD0F">
            <w:pPr>
              <w:spacing w:line="240" w:lineRule="auto"/>
              <w:rPr>
                <w:bCs/>
                <w:color w:val="000000"/>
                <w:szCs w:val="24"/>
              </w:rPr>
            </w:pPr>
            <w:r w:rsidRPr="009E7DAA">
              <w:rPr>
                <w:bCs/>
                <w:color w:val="000000"/>
                <w:szCs w:val="24"/>
              </w:rPr>
              <w:t>Notice of Pilot in Command</w:t>
            </w:r>
          </w:p>
        </w:tc>
        <w:tc>
          <w:tcPr>
            <w:tcW w:w="1523" w:type="dxa"/>
            <w:tcBorders>
              <w:top w:val="single" w:sz="4" w:space="0" w:color="auto"/>
              <w:left w:val="nil"/>
              <w:bottom w:val="single" w:sz="4" w:space="0" w:color="auto"/>
              <w:right w:val="single" w:sz="4" w:space="0" w:color="auto"/>
            </w:tcBorders>
            <w:shd w:val="clear" w:color="auto" w:fill="FFFFFF" w:themeFill="background1"/>
            <w:noWrap/>
            <w:vAlign w:val="center"/>
          </w:tcPr>
          <w:p w:rsidR="00AD28BA" w:rsidRPr="00585979" w:rsidP="00D80863" w14:paraId="786AED66" w14:textId="6E9764BA">
            <w:pPr>
              <w:spacing w:line="240" w:lineRule="auto"/>
              <w:jc w:val="center"/>
              <w:rPr>
                <w:szCs w:val="24"/>
              </w:rPr>
            </w:pPr>
            <w:r w:rsidRPr="00585979">
              <w:rPr>
                <w:szCs w:val="24"/>
              </w:rPr>
              <w:t>150</w:t>
            </w:r>
          </w:p>
        </w:tc>
        <w:tc>
          <w:tcPr>
            <w:tcW w:w="1416" w:type="dxa"/>
            <w:tcBorders>
              <w:top w:val="single" w:sz="4" w:space="0" w:color="auto"/>
              <w:left w:val="nil"/>
              <w:bottom w:val="single" w:sz="4" w:space="0" w:color="auto"/>
              <w:right w:val="single" w:sz="4" w:space="0" w:color="auto"/>
            </w:tcBorders>
            <w:shd w:val="clear" w:color="auto" w:fill="FFFFFF" w:themeFill="background1"/>
            <w:vAlign w:val="center"/>
          </w:tcPr>
          <w:p w:rsidR="00AD28BA" w:rsidRPr="00585979" w:rsidP="00D80863" w14:paraId="392252D3" w14:textId="65895BF0">
            <w:pPr>
              <w:spacing w:line="240" w:lineRule="auto"/>
              <w:jc w:val="center"/>
              <w:rPr>
                <w:szCs w:val="24"/>
              </w:rPr>
            </w:pPr>
            <w:r w:rsidRPr="00585979">
              <w:rPr>
                <w:szCs w:val="24"/>
              </w:rPr>
              <w:t>2,004,717</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tcPr>
          <w:p w:rsidR="00AD28BA" w:rsidRPr="00585979" w:rsidP="00D80863" w14:paraId="74D02A5D" w14:textId="2CAE7AB7">
            <w:pPr>
              <w:spacing w:line="240" w:lineRule="auto"/>
              <w:jc w:val="center"/>
              <w:rPr>
                <w:szCs w:val="24"/>
              </w:rPr>
            </w:pPr>
            <w:r w:rsidRPr="00585979">
              <w:rPr>
                <w:szCs w:val="24"/>
              </w:rPr>
              <w:t>.003</w:t>
            </w:r>
          </w:p>
        </w:tc>
        <w:tc>
          <w:tcPr>
            <w:tcW w:w="1541" w:type="dxa"/>
            <w:tcBorders>
              <w:top w:val="single" w:sz="4" w:space="0" w:color="auto"/>
              <w:left w:val="nil"/>
              <w:bottom w:val="single" w:sz="4" w:space="0" w:color="auto"/>
              <w:right w:val="single" w:sz="4" w:space="0" w:color="auto"/>
            </w:tcBorders>
            <w:shd w:val="clear" w:color="auto" w:fill="FFFFFF" w:themeFill="background1"/>
            <w:noWrap/>
            <w:vAlign w:val="center"/>
          </w:tcPr>
          <w:p w:rsidR="00AD28BA" w:rsidRPr="00585979" w:rsidP="00D80863" w14:paraId="70F61716" w14:textId="63B3C3D5">
            <w:pPr>
              <w:spacing w:line="240" w:lineRule="auto"/>
              <w:jc w:val="center"/>
              <w:rPr>
                <w:szCs w:val="24"/>
              </w:rPr>
            </w:pPr>
            <w:r w:rsidRPr="00585979">
              <w:rPr>
                <w:szCs w:val="24"/>
              </w:rPr>
              <w:t>5,961</w:t>
            </w:r>
          </w:p>
        </w:tc>
      </w:tr>
      <w:tr w14:paraId="0705C100" w14:textId="77777777" w:rsidTr="000625A8">
        <w:tblPrEx>
          <w:tblW w:w="9790" w:type="dxa"/>
          <w:jc w:val="center"/>
          <w:tblLook w:val="04A0"/>
        </w:tblPrEx>
        <w:trPr>
          <w:trHeight w:val="143"/>
          <w:jc w:val="center"/>
        </w:trPr>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D28BA" w:rsidRPr="00D322CA" w:rsidP="00D80863" w14:paraId="207A2C23" w14:textId="4F6D582C">
            <w:pPr>
              <w:spacing w:line="240" w:lineRule="auto"/>
              <w:rPr>
                <w:bCs/>
                <w:color w:val="000000"/>
                <w:szCs w:val="24"/>
              </w:rPr>
            </w:pPr>
            <w:r w:rsidRPr="00177019">
              <w:rPr>
                <w:bCs/>
                <w:color w:val="000000"/>
                <w:szCs w:val="24"/>
              </w:rPr>
              <w:t xml:space="preserve">Lithium Battery Test Summary </w:t>
            </w:r>
            <w:r w:rsidR="0081401B">
              <w:rPr>
                <w:bCs/>
                <w:color w:val="000000"/>
                <w:szCs w:val="24"/>
              </w:rPr>
              <w:t>–</w:t>
            </w:r>
            <w:r w:rsidRPr="00177019">
              <w:rPr>
                <w:bCs/>
                <w:color w:val="000000"/>
                <w:szCs w:val="24"/>
              </w:rPr>
              <w:t xml:space="preserve"> Reporting</w:t>
            </w:r>
          </w:p>
        </w:tc>
        <w:tc>
          <w:tcPr>
            <w:tcW w:w="1523" w:type="dxa"/>
            <w:tcBorders>
              <w:top w:val="single" w:sz="4" w:space="0" w:color="auto"/>
              <w:left w:val="nil"/>
              <w:bottom w:val="single" w:sz="4" w:space="0" w:color="auto"/>
              <w:right w:val="single" w:sz="4" w:space="0" w:color="auto"/>
            </w:tcBorders>
            <w:shd w:val="clear" w:color="auto" w:fill="FFFFFF" w:themeFill="background1"/>
            <w:noWrap/>
            <w:vAlign w:val="center"/>
          </w:tcPr>
          <w:p w:rsidR="00AD28BA" w:rsidRPr="00585979" w:rsidP="00D80863" w14:paraId="09FBF251" w14:textId="2124034B">
            <w:pPr>
              <w:spacing w:line="240" w:lineRule="auto"/>
              <w:jc w:val="center"/>
              <w:rPr>
                <w:szCs w:val="24"/>
              </w:rPr>
            </w:pPr>
            <w:r w:rsidRPr="00585979">
              <w:rPr>
                <w:szCs w:val="24"/>
              </w:rPr>
              <w:t>73</w:t>
            </w:r>
          </w:p>
        </w:tc>
        <w:tc>
          <w:tcPr>
            <w:tcW w:w="1416" w:type="dxa"/>
            <w:tcBorders>
              <w:top w:val="single" w:sz="4" w:space="0" w:color="auto"/>
              <w:left w:val="nil"/>
              <w:bottom w:val="single" w:sz="4" w:space="0" w:color="auto"/>
              <w:right w:val="single" w:sz="4" w:space="0" w:color="auto"/>
            </w:tcBorders>
            <w:shd w:val="clear" w:color="auto" w:fill="FFFFFF" w:themeFill="background1"/>
            <w:vAlign w:val="center"/>
          </w:tcPr>
          <w:p w:rsidR="00AD28BA" w:rsidRPr="00585979" w:rsidP="00D80863" w14:paraId="218BB85D" w14:textId="56059157">
            <w:pPr>
              <w:spacing w:line="240" w:lineRule="auto"/>
              <w:jc w:val="center"/>
              <w:rPr>
                <w:szCs w:val="24"/>
              </w:rPr>
            </w:pPr>
            <w:r w:rsidRPr="00585979">
              <w:rPr>
                <w:szCs w:val="24"/>
              </w:rPr>
              <w:t>2,336</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tcPr>
          <w:p w:rsidR="00AD28BA" w:rsidRPr="00585979" w:rsidP="00D80863" w14:paraId="082C7E56" w14:textId="73D61EFD">
            <w:pPr>
              <w:spacing w:line="240" w:lineRule="auto"/>
              <w:jc w:val="center"/>
              <w:rPr>
                <w:szCs w:val="24"/>
              </w:rPr>
            </w:pPr>
            <w:r w:rsidRPr="00585979">
              <w:rPr>
                <w:szCs w:val="24"/>
              </w:rPr>
              <w:t>0.5</w:t>
            </w:r>
          </w:p>
        </w:tc>
        <w:tc>
          <w:tcPr>
            <w:tcW w:w="1541" w:type="dxa"/>
            <w:tcBorders>
              <w:top w:val="single" w:sz="4" w:space="0" w:color="auto"/>
              <w:left w:val="nil"/>
              <w:bottom w:val="single" w:sz="4" w:space="0" w:color="auto"/>
              <w:right w:val="single" w:sz="4" w:space="0" w:color="auto"/>
            </w:tcBorders>
            <w:shd w:val="clear" w:color="auto" w:fill="FFFFFF" w:themeFill="background1"/>
            <w:noWrap/>
            <w:vAlign w:val="center"/>
          </w:tcPr>
          <w:p w:rsidR="00AD28BA" w:rsidRPr="00585979" w:rsidP="00D80863" w14:paraId="2DF765B6" w14:textId="1A25E33B">
            <w:pPr>
              <w:spacing w:line="240" w:lineRule="auto"/>
              <w:jc w:val="center"/>
              <w:rPr>
                <w:szCs w:val="24"/>
              </w:rPr>
            </w:pPr>
            <w:r w:rsidRPr="00585979">
              <w:rPr>
                <w:szCs w:val="24"/>
              </w:rPr>
              <w:t>1,168</w:t>
            </w:r>
          </w:p>
        </w:tc>
      </w:tr>
      <w:tr w14:paraId="2AA75B39" w14:textId="77777777" w:rsidTr="000625A8">
        <w:tblPrEx>
          <w:tblW w:w="9790" w:type="dxa"/>
          <w:jc w:val="center"/>
          <w:tblLook w:val="04A0"/>
        </w:tblPrEx>
        <w:trPr>
          <w:trHeight w:val="143"/>
          <w:jc w:val="center"/>
        </w:trPr>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C5670" w:rsidRPr="00D322CA" w:rsidP="00D80863" w14:paraId="6D6C1085" w14:textId="30DC78F6">
            <w:pPr>
              <w:spacing w:line="240" w:lineRule="auto"/>
              <w:rPr>
                <w:bCs/>
                <w:color w:val="000000"/>
                <w:szCs w:val="24"/>
              </w:rPr>
            </w:pPr>
            <w:r w:rsidRPr="00177019">
              <w:rPr>
                <w:bCs/>
                <w:color w:val="000000"/>
                <w:szCs w:val="24"/>
              </w:rPr>
              <w:t xml:space="preserve">Lithium Battery Test Summary </w:t>
            </w:r>
            <w:r w:rsidR="0081401B">
              <w:rPr>
                <w:bCs/>
                <w:color w:val="000000"/>
                <w:szCs w:val="24"/>
              </w:rPr>
              <w:t>–</w:t>
            </w:r>
            <w:r w:rsidRPr="00177019">
              <w:rPr>
                <w:bCs/>
                <w:color w:val="000000"/>
                <w:szCs w:val="24"/>
              </w:rPr>
              <w:t xml:space="preserve"> Recordkeeping</w:t>
            </w:r>
          </w:p>
        </w:tc>
        <w:tc>
          <w:tcPr>
            <w:tcW w:w="1523" w:type="dxa"/>
            <w:tcBorders>
              <w:top w:val="single" w:sz="4" w:space="0" w:color="auto"/>
              <w:left w:val="nil"/>
              <w:bottom w:val="single" w:sz="4" w:space="0" w:color="auto"/>
              <w:right w:val="single" w:sz="4" w:space="0" w:color="auto"/>
            </w:tcBorders>
            <w:shd w:val="clear" w:color="auto" w:fill="FFFFFF" w:themeFill="background1"/>
            <w:noWrap/>
            <w:vAlign w:val="center"/>
          </w:tcPr>
          <w:p w:rsidR="00DC5670" w:rsidRPr="00585979" w:rsidP="00D80863" w14:paraId="65C2BEAB" w14:textId="4B872C36">
            <w:pPr>
              <w:spacing w:line="240" w:lineRule="auto"/>
              <w:jc w:val="center"/>
              <w:rPr>
                <w:szCs w:val="24"/>
              </w:rPr>
            </w:pPr>
            <w:r w:rsidRPr="00585979">
              <w:rPr>
                <w:szCs w:val="24"/>
              </w:rPr>
              <w:t>5,790</w:t>
            </w:r>
          </w:p>
        </w:tc>
        <w:tc>
          <w:tcPr>
            <w:tcW w:w="1416" w:type="dxa"/>
            <w:tcBorders>
              <w:top w:val="single" w:sz="4" w:space="0" w:color="auto"/>
              <w:left w:val="nil"/>
              <w:bottom w:val="single" w:sz="4" w:space="0" w:color="auto"/>
              <w:right w:val="single" w:sz="4" w:space="0" w:color="auto"/>
            </w:tcBorders>
            <w:shd w:val="clear" w:color="auto" w:fill="FFFFFF" w:themeFill="background1"/>
            <w:vAlign w:val="center"/>
          </w:tcPr>
          <w:p w:rsidR="00DC5670" w:rsidRPr="00585979" w:rsidP="00D80863" w14:paraId="7B1985CD" w14:textId="6CD98958">
            <w:pPr>
              <w:spacing w:line="240" w:lineRule="auto"/>
              <w:jc w:val="center"/>
              <w:rPr>
                <w:szCs w:val="24"/>
              </w:rPr>
            </w:pPr>
            <w:r w:rsidRPr="00585979">
              <w:rPr>
                <w:szCs w:val="24"/>
              </w:rPr>
              <w:t>19,596</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tcPr>
          <w:p w:rsidR="00DC5670" w:rsidRPr="00585979" w:rsidP="00D80863" w14:paraId="1D2F07F4" w14:textId="4093404F">
            <w:pPr>
              <w:spacing w:line="240" w:lineRule="auto"/>
              <w:jc w:val="center"/>
              <w:rPr>
                <w:szCs w:val="24"/>
              </w:rPr>
            </w:pPr>
            <w:r w:rsidRPr="00585979">
              <w:rPr>
                <w:szCs w:val="24"/>
              </w:rPr>
              <w:t>0.116</w:t>
            </w:r>
          </w:p>
        </w:tc>
        <w:tc>
          <w:tcPr>
            <w:tcW w:w="1541" w:type="dxa"/>
            <w:tcBorders>
              <w:top w:val="single" w:sz="4" w:space="0" w:color="auto"/>
              <w:left w:val="nil"/>
              <w:bottom w:val="single" w:sz="4" w:space="0" w:color="auto"/>
              <w:right w:val="single" w:sz="4" w:space="0" w:color="auto"/>
            </w:tcBorders>
            <w:shd w:val="clear" w:color="auto" w:fill="FFFFFF" w:themeFill="background1"/>
            <w:noWrap/>
            <w:vAlign w:val="center"/>
          </w:tcPr>
          <w:p w:rsidR="00DC5670" w:rsidRPr="00585979" w:rsidP="00D80863" w14:paraId="3050E67F" w14:textId="15193B34">
            <w:pPr>
              <w:spacing w:line="240" w:lineRule="auto"/>
              <w:jc w:val="center"/>
              <w:rPr>
                <w:szCs w:val="24"/>
              </w:rPr>
            </w:pPr>
            <w:r w:rsidRPr="00585979">
              <w:rPr>
                <w:szCs w:val="24"/>
              </w:rPr>
              <w:t>2,2</w:t>
            </w:r>
            <w:r w:rsidR="00500167">
              <w:rPr>
                <w:szCs w:val="24"/>
              </w:rPr>
              <w:t>8</w:t>
            </w:r>
            <w:r w:rsidRPr="00585979">
              <w:rPr>
                <w:szCs w:val="24"/>
              </w:rPr>
              <w:t>6</w:t>
            </w:r>
          </w:p>
        </w:tc>
      </w:tr>
      <w:tr w14:paraId="641EFD5A" w14:textId="77777777" w:rsidTr="000625A8">
        <w:tblPrEx>
          <w:tblW w:w="9790" w:type="dxa"/>
          <w:jc w:val="center"/>
          <w:tblLook w:val="04A0"/>
        </w:tblPrEx>
        <w:trPr>
          <w:trHeight w:val="143"/>
          <w:jc w:val="center"/>
        </w:trPr>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C5670" w:rsidRPr="00D322CA" w:rsidP="00D80863" w14:paraId="5225A703" w14:textId="1C27E7E3">
            <w:pPr>
              <w:spacing w:line="240" w:lineRule="auto"/>
              <w:rPr>
                <w:bCs/>
                <w:color w:val="000000"/>
                <w:szCs w:val="24"/>
              </w:rPr>
            </w:pPr>
            <w:r>
              <w:rPr>
                <w:bCs/>
                <w:color w:val="000000"/>
                <w:szCs w:val="24"/>
              </w:rPr>
              <w:t>Air Transportation Discrepancy Reports</w:t>
            </w:r>
          </w:p>
        </w:tc>
        <w:tc>
          <w:tcPr>
            <w:tcW w:w="1523" w:type="dxa"/>
            <w:tcBorders>
              <w:top w:val="single" w:sz="4" w:space="0" w:color="auto"/>
              <w:left w:val="nil"/>
              <w:bottom w:val="single" w:sz="4" w:space="0" w:color="auto"/>
              <w:right w:val="single" w:sz="4" w:space="0" w:color="auto"/>
            </w:tcBorders>
            <w:shd w:val="clear" w:color="auto" w:fill="FFFFFF" w:themeFill="background1"/>
            <w:noWrap/>
            <w:vAlign w:val="center"/>
          </w:tcPr>
          <w:p w:rsidR="00DC5670" w:rsidRPr="00585979" w:rsidP="00D80863" w14:paraId="0985112F" w14:textId="642D4A7E">
            <w:pPr>
              <w:spacing w:line="240" w:lineRule="auto"/>
              <w:jc w:val="center"/>
              <w:rPr>
                <w:szCs w:val="24"/>
              </w:rPr>
            </w:pPr>
            <w:r w:rsidRPr="00585979">
              <w:rPr>
                <w:szCs w:val="24"/>
              </w:rPr>
              <w:t>58</w:t>
            </w:r>
          </w:p>
        </w:tc>
        <w:tc>
          <w:tcPr>
            <w:tcW w:w="1416" w:type="dxa"/>
            <w:tcBorders>
              <w:top w:val="single" w:sz="4" w:space="0" w:color="auto"/>
              <w:left w:val="nil"/>
              <w:bottom w:val="single" w:sz="4" w:space="0" w:color="auto"/>
              <w:right w:val="single" w:sz="4" w:space="0" w:color="auto"/>
            </w:tcBorders>
            <w:shd w:val="clear" w:color="auto" w:fill="FFFFFF" w:themeFill="background1"/>
            <w:vAlign w:val="center"/>
          </w:tcPr>
          <w:p w:rsidR="00DC5670" w:rsidRPr="00585979" w:rsidP="00D80863" w14:paraId="50F0EB8D" w14:textId="0400F876">
            <w:pPr>
              <w:spacing w:line="240" w:lineRule="auto"/>
              <w:jc w:val="center"/>
              <w:rPr>
                <w:szCs w:val="24"/>
              </w:rPr>
            </w:pPr>
            <w:r w:rsidRPr="00585979">
              <w:rPr>
                <w:szCs w:val="24"/>
              </w:rPr>
              <w:t>15</w:t>
            </w:r>
            <w:r w:rsidR="009714BE">
              <w:rPr>
                <w:szCs w:val="24"/>
              </w:rPr>
              <w:t>,5</w:t>
            </w:r>
            <w:r w:rsidRPr="00585979">
              <w:rPr>
                <w:szCs w:val="24"/>
              </w:rPr>
              <w:t>29</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tcPr>
          <w:p w:rsidR="00DC5670" w:rsidRPr="00585979" w:rsidP="00D80863" w14:paraId="458951E5" w14:textId="0B97E561">
            <w:pPr>
              <w:spacing w:line="240" w:lineRule="auto"/>
              <w:jc w:val="center"/>
              <w:rPr>
                <w:szCs w:val="24"/>
              </w:rPr>
            </w:pPr>
            <w:r w:rsidRPr="00585979">
              <w:rPr>
                <w:szCs w:val="24"/>
              </w:rPr>
              <w:t>.0833</w:t>
            </w:r>
          </w:p>
        </w:tc>
        <w:tc>
          <w:tcPr>
            <w:tcW w:w="1541" w:type="dxa"/>
            <w:tcBorders>
              <w:top w:val="single" w:sz="4" w:space="0" w:color="auto"/>
              <w:left w:val="nil"/>
              <w:bottom w:val="single" w:sz="4" w:space="0" w:color="auto"/>
              <w:right w:val="single" w:sz="4" w:space="0" w:color="auto"/>
            </w:tcBorders>
            <w:shd w:val="clear" w:color="auto" w:fill="FFFFFF" w:themeFill="background1"/>
            <w:noWrap/>
            <w:vAlign w:val="center"/>
          </w:tcPr>
          <w:p w:rsidR="00DC5670" w:rsidRPr="00585979" w:rsidP="00D80863" w14:paraId="40179795" w14:textId="169C1D45">
            <w:pPr>
              <w:spacing w:line="240" w:lineRule="auto"/>
              <w:jc w:val="center"/>
              <w:rPr>
                <w:szCs w:val="24"/>
              </w:rPr>
            </w:pPr>
            <w:r>
              <w:rPr>
                <w:szCs w:val="24"/>
              </w:rPr>
              <w:t>1,294</w:t>
            </w:r>
          </w:p>
        </w:tc>
      </w:tr>
    </w:tbl>
    <w:p w:rsidR="00AD28BA" w:rsidRPr="00BD0DF8" w:rsidP="005631D1" w14:paraId="3A5A29FE" w14:textId="77777777">
      <w:pPr>
        <w:rPr>
          <w:szCs w:val="24"/>
        </w:rPr>
      </w:pPr>
    </w:p>
    <w:p w:rsidR="005631D1" w:rsidRPr="001F4676" w:rsidP="000A7FD4" w14:paraId="143F363E" w14:textId="59A4897F">
      <w:pPr>
        <w:ind w:firstLine="720"/>
        <w:rPr>
          <w:szCs w:val="24"/>
        </w:rPr>
      </w:pPr>
      <w:r w:rsidRPr="000A7FD4">
        <w:rPr>
          <w:szCs w:val="24"/>
          <w:u w:val="single"/>
        </w:rPr>
        <w:t>Affected Public</w:t>
      </w:r>
      <w:r w:rsidRPr="000A7FD4">
        <w:rPr>
          <w:szCs w:val="24"/>
        </w:rPr>
        <w:t>:</w:t>
      </w:r>
      <w:r w:rsidRPr="001F4676">
        <w:rPr>
          <w:szCs w:val="24"/>
        </w:rPr>
        <w:t> Shippers and carriers of hazardous materials in commerce.</w:t>
      </w:r>
    </w:p>
    <w:p w:rsidR="005631D1" w:rsidRPr="000A7FD4" w:rsidP="000A7FD4" w14:paraId="5810A4B1" w14:textId="183BAC73">
      <w:pPr>
        <w:ind w:firstLine="720"/>
        <w:rPr>
          <w:szCs w:val="24"/>
        </w:rPr>
      </w:pPr>
      <w:r w:rsidRPr="000A7FD4">
        <w:rPr>
          <w:szCs w:val="24"/>
          <w:u w:val="single"/>
        </w:rPr>
        <w:t>Annual Reporting and Recordkeeping Burden</w:t>
      </w:r>
      <w:r w:rsidRPr="000A7FD4">
        <w:rPr>
          <w:szCs w:val="24"/>
        </w:rPr>
        <w:t>:</w:t>
      </w:r>
    </w:p>
    <w:p w:rsidR="005631D1" w:rsidRPr="000A7FD4" w:rsidP="000A7FD4" w14:paraId="118AEEAC" w14:textId="4F8B6B2E">
      <w:pPr>
        <w:ind w:left="720" w:firstLine="720"/>
        <w:rPr>
          <w:szCs w:val="24"/>
        </w:rPr>
      </w:pPr>
      <w:r w:rsidRPr="00BD0DF8">
        <w:rPr>
          <w:szCs w:val="24"/>
        </w:rPr>
        <w:t xml:space="preserve">Total </w:t>
      </w:r>
      <w:r w:rsidRPr="0087281B">
        <w:rPr>
          <w:szCs w:val="24"/>
        </w:rPr>
        <w:t>Number of Respondents:</w:t>
      </w:r>
      <w:r w:rsidRPr="0087281B">
        <w:rPr>
          <w:szCs w:val="24"/>
        </w:rPr>
        <w:tab/>
      </w:r>
      <w:r w:rsidRPr="000A7FD4" w:rsidR="00284C4F">
        <w:rPr>
          <w:szCs w:val="24"/>
        </w:rPr>
        <w:t>26</w:t>
      </w:r>
      <w:r w:rsidRPr="000A7FD4" w:rsidR="002F606B">
        <w:rPr>
          <w:szCs w:val="24"/>
        </w:rPr>
        <w:t>6,071</w:t>
      </w:r>
    </w:p>
    <w:p w:rsidR="005631D1" w:rsidRPr="000A7FD4" w:rsidP="000A7FD4" w14:paraId="19F30432" w14:textId="1953A0BD">
      <w:pPr>
        <w:ind w:left="720" w:firstLine="720"/>
        <w:rPr>
          <w:szCs w:val="24"/>
        </w:rPr>
      </w:pPr>
      <w:r w:rsidRPr="000A7FD4">
        <w:rPr>
          <w:szCs w:val="24"/>
        </w:rPr>
        <w:t>Total Annual Responses:</w:t>
      </w:r>
      <w:r w:rsidRPr="000A7FD4">
        <w:rPr>
          <w:szCs w:val="24"/>
        </w:rPr>
        <w:tab/>
      </w:r>
      <w:r w:rsidRPr="000A7FD4">
        <w:rPr>
          <w:szCs w:val="24"/>
        </w:rPr>
        <w:tab/>
      </w:r>
      <w:r w:rsidRPr="000A7FD4" w:rsidR="002F606B">
        <w:rPr>
          <w:szCs w:val="24"/>
        </w:rPr>
        <w:t>177,304,913</w:t>
      </w:r>
    </w:p>
    <w:p w:rsidR="005631D1" w:rsidRPr="000A7FD4" w:rsidP="000A7FD4" w14:paraId="1AF49F20" w14:textId="121E41F0">
      <w:pPr>
        <w:ind w:left="720" w:firstLine="720"/>
        <w:rPr>
          <w:szCs w:val="24"/>
        </w:rPr>
      </w:pPr>
      <w:r w:rsidRPr="000A7FD4">
        <w:rPr>
          <w:szCs w:val="24"/>
        </w:rPr>
        <w:t>Total Annual Burden Hours:</w:t>
      </w:r>
      <w:r w:rsidRPr="000A7FD4">
        <w:rPr>
          <w:szCs w:val="24"/>
        </w:rPr>
        <w:tab/>
      </w:r>
      <w:r w:rsidRPr="000A7FD4">
        <w:rPr>
          <w:szCs w:val="24"/>
        </w:rPr>
        <w:tab/>
      </w:r>
      <w:r w:rsidRPr="000A7FD4">
        <w:rPr>
          <w:szCs w:val="24"/>
        </w:rPr>
        <w:t>4,</w:t>
      </w:r>
      <w:r w:rsidRPr="000A7FD4" w:rsidR="002F606B">
        <w:rPr>
          <w:szCs w:val="24"/>
        </w:rPr>
        <w:t>610</w:t>
      </w:r>
      <w:r w:rsidRPr="000A7FD4">
        <w:rPr>
          <w:szCs w:val="24"/>
        </w:rPr>
        <w:t>,</w:t>
      </w:r>
      <w:r w:rsidRPr="000A7FD4" w:rsidR="002F606B">
        <w:rPr>
          <w:szCs w:val="24"/>
        </w:rPr>
        <w:t>135</w:t>
      </w:r>
    </w:p>
    <w:p w:rsidR="005631D1" w:rsidRPr="000A7FD4" w:rsidP="000A7FD4" w14:paraId="35894181" w14:textId="45D93EE4">
      <w:pPr>
        <w:ind w:left="720" w:firstLine="720"/>
        <w:rPr>
          <w:szCs w:val="24"/>
        </w:rPr>
      </w:pPr>
      <w:r w:rsidRPr="000A7FD4">
        <w:rPr>
          <w:szCs w:val="24"/>
        </w:rPr>
        <w:t>Frequency of Collection:</w:t>
      </w:r>
      <w:r w:rsidRPr="000A7FD4">
        <w:rPr>
          <w:szCs w:val="24"/>
        </w:rPr>
        <w:tab/>
      </w:r>
      <w:r w:rsidRPr="000A7FD4">
        <w:rPr>
          <w:szCs w:val="24"/>
        </w:rPr>
        <w:tab/>
      </w:r>
      <w:r w:rsidRPr="000A7FD4">
        <w:rPr>
          <w:szCs w:val="24"/>
        </w:rPr>
        <w:t>On occasion</w:t>
      </w:r>
    </w:p>
    <w:p w:rsidR="00E843B2" w:rsidRPr="000A7FD4" w:rsidP="00E843B2" w14:paraId="5600438C" w14:textId="77777777">
      <w:pPr>
        <w:rPr>
          <w:szCs w:val="24"/>
          <w:u w:val="single"/>
        </w:rPr>
      </w:pPr>
    </w:p>
    <w:p w:rsidR="00E843B2" w:rsidRPr="000A7FD4" w:rsidP="00807768" w14:paraId="217EA22D" w14:textId="3A4E9B74">
      <w:pPr>
        <w:ind w:firstLine="720"/>
        <w:rPr>
          <w:szCs w:val="24"/>
        </w:rPr>
      </w:pPr>
      <w:r w:rsidRPr="000A7FD4">
        <w:rPr>
          <w:szCs w:val="24"/>
          <w:u w:val="single"/>
        </w:rPr>
        <w:t>Title</w:t>
      </w:r>
      <w:r w:rsidRPr="000A7FD4">
        <w:rPr>
          <w:szCs w:val="24"/>
        </w:rPr>
        <w:t>:  Approval for Hazardous Materials</w:t>
      </w:r>
    </w:p>
    <w:p w:rsidR="00E843B2" w:rsidRPr="000A7FD4" w:rsidP="00807768" w14:paraId="122049F4" w14:textId="74AE76D2">
      <w:pPr>
        <w:ind w:firstLine="720"/>
        <w:rPr>
          <w:szCs w:val="24"/>
        </w:rPr>
      </w:pPr>
      <w:r w:rsidRPr="000A7FD4">
        <w:rPr>
          <w:szCs w:val="24"/>
          <w:u w:val="single"/>
        </w:rPr>
        <w:t>OMB Control Number</w:t>
      </w:r>
      <w:r w:rsidRPr="000A7FD4">
        <w:rPr>
          <w:szCs w:val="24"/>
        </w:rPr>
        <w:t>:  2137-0557</w:t>
      </w:r>
    </w:p>
    <w:p w:rsidR="00E843B2" w:rsidRPr="000A7FD4" w:rsidP="00286A34" w14:paraId="7BC1D28E" w14:textId="78E2DE3E">
      <w:pPr>
        <w:ind w:firstLine="720"/>
        <w:rPr>
          <w:szCs w:val="24"/>
        </w:rPr>
      </w:pPr>
      <w:r w:rsidRPr="000A7FD4">
        <w:rPr>
          <w:szCs w:val="24"/>
          <w:u w:val="single"/>
        </w:rPr>
        <w:t>Summary</w:t>
      </w:r>
      <w:r w:rsidRPr="000A7FD4">
        <w:rPr>
          <w:szCs w:val="24"/>
        </w:rPr>
        <w:t xml:space="preserve">:  </w:t>
      </w:r>
      <w:r w:rsidRPr="000A7FD4" w:rsidR="00286A34">
        <w:rPr>
          <w:szCs w:val="24"/>
        </w:rPr>
        <w:t xml:space="preserve">This OMB control number describes the information collections in parts </w:t>
      </w:r>
      <w:r w:rsidRPr="000A7FD4" w:rsidR="00A33E45">
        <w:rPr>
          <w:szCs w:val="24"/>
        </w:rPr>
        <w:t xml:space="preserve">107, </w:t>
      </w:r>
      <w:r w:rsidRPr="000A7FD4" w:rsidR="00286A34">
        <w:rPr>
          <w:szCs w:val="24"/>
        </w:rPr>
        <w:t xml:space="preserve">173, </w:t>
      </w:r>
      <w:r w:rsidRPr="000A7FD4" w:rsidR="00E61699">
        <w:rPr>
          <w:szCs w:val="24"/>
        </w:rPr>
        <w:t xml:space="preserve">175, </w:t>
      </w:r>
      <w:r w:rsidRPr="000A7FD4" w:rsidR="00286A34">
        <w:rPr>
          <w:szCs w:val="24"/>
        </w:rPr>
        <w:t>17</w:t>
      </w:r>
      <w:r w:rsidRPr="000A7FD4" w:rsidR="00E61699">
        <w:rPr>
          <w:szCs w:val="24"/>
        </w:rPr>
        <w:t>6</w:t>
      </w:r>
      <w:r w:rsidRPr="000A7FD4" w:rsidR="00286A34">
        <w:rPr>
          <w:szCs w:val="24"/>
        </w:rPr>
        <w:t xml:space="preserve">, </w:t>
      </w:r>
      <w:r w:rsidRPr="000A7FD4" w:rsidR="00E61699">
        <w:rPr>
          <w:szCs w:val="24"/>
        </w:rPr>
        <w:t xml:space="preserve">178, and 180 </w:t>
      </w:r>
      <w:r w:rsidRPr="00BD0DF8" w:rsidR="00286A34">
        <w:rPr>
          <w:szCs w:val="24"/>
        </w:rPr>
        <w:t>of the HMR</w:t>
      </w:r>
      <w:r w:rsidRPr="0087281B" w:rsidR="74DE6E36">
        <w:rPr>
          <w:szCs w:val="24"/>
        </w:rPr>
        <w:t xml:space="preserve"> </w:t>
      </w:r>
      <w:r w:rsidRPr="000A7FD4" w:rsidR="5E665206">
        <w:rPr>
          <w:szCs w:val="24"/>
        </w:rPr>
        <w:t>pertaining to</w:t>
      </w:r>
      <w:r w:rsidRPr="000A7FD4" w:rsidR="00286A34">
        <w:rPr>
          <w:szCs w:val="24"/>
        </w:rPr>
        <w:t xml:space="preserve"> </w:t>
      </w:r>
      <w:r w:rsidRPr="000A7FD4" w:rsidR="005505F6">
        <w:rPr>
          <w:szCs w:val="24"/>
        </w:rPr>
        <w:t xml:space="preserve">approvals issued by the Office of Hazardous Materials Safety (OHMS) within PHMSA.  </w:t>
      </w:r>
      <w:r w:rsidRPr="000A7FD4">
        <w:rPr>
          <w:szCs w:val="24"/>
        </w:rPr>
        <w:t>Without these requirements there is no means to: (1) Determine whether applicants who apply to become designated approval agencies are qualified to evaluate package design, test packages, classify hazardous materials, etc.; (2) verify that various containers and special loading requirements for vessels meet the requirements of the HMR; and (3) assure that regulated hazardous materials pose no danger to life and property during transportation.</w:t>
      </w:r>
    </w:p>
    <w:p w:rsidR="00E843B2" w:rsidRPr="000A7FD4" w:rsidP="00807768" w14:paraId="55B78546" w14:textId="4CD4F89F">
      <w:pPr>
        <w:ind w:firstLine="720"/>
        <w:rPr>
          <w:szCs w:val="24"/>
        </w:rPr>
      </w:pPr>
      <w:r w:rsidRPr="000A7FD4">
        <w:rPr>
          <w:szCs w:val="24"/>
        </w:rPr>
        <w:t>There are several approval provisions contained in the HMR and associated procedural regulations.  Responses to these collections of information are required to obtain benefits, such as becoming an approval or certification agency, or to obtain a variance from packaging or handling requirements based on information provided by the respondent.  These benefits and variances involve areas, for example, such as UN third-party certification; authorization to examine and test lighters; authorization to examine and test explosives; and authorization to re-qualify DOT cylinders</w:t>
      </w:r>
      <w:r w:rsidRPr="000A7FD4" w:rsidR="00DF51A7">
        <w:rPr>
          <w:szCs w:val="24"/>
        </w:rPr>
        <w:t>.  Specifically</w:t>
      </w:r>
      <w:r w:rsidRPr="000A7FD4" w:rsidR="7A62EFE6">
        <w:rPr>
          <w:szCs w:val="24"/>
        </w:rPr>
        <w:t>,</w:t>
      </w:r>
      <w:r w:rsidRPr="000A7FD4" w:rsidR="00DF51A7">
        <w:rPr>
          <w:szCs w:val="24"/>
        </w:rPr>
        <w:t xml:space="preserve"> the information collection</w:t>
      </w:r>
      <w:r w:rsidRPr="000A7FD4" w:rsidR="00FA7DCE">
        <w:rPr>
          <w:szCs w:val="24"/>
        </w:rPr>
        <w:t>s</w:t>
      </w:r>
      <w:r w:rsidRPr="000A7FD4" w:rsidR="00DF51A7">
        <w:rPr>
          <w:szCs w:val="24"/>
        </w:rPr>
        <w:t xml:space="preserve"> under this OMB control number include:</w:t>
      </w:r>
    </w:p>
    <w:p w:rsidR="00907B32" w:rsidRPr="00A0358E" w:rsidP="00907B32" w14:paraId="4314C244" w14:textId="7D1B3381">
      <w:pPr>
        <w:ind w:firstLine="720"/>
        <w:rPr>
          <w:szCs w:val="24"/>
        </w:rPr>
      </w:pPr>
      <w:r w:rsidRPr="00A0358E">
        <w:rPr>
          <w:bCs/>
          <w:color w:val="000000"/>
          <w:szCs w:val="24"/>
        </w:rPr>
        <w:t xml:space="preserve">(1) </w:t>
      </w:r>
      <w:r w:rsidRPr="00A0358E" w:rsidR="00DF51A7">
        <w:rPr>
          <w:bCs/>
          <w:i/>
          <w:iCs/>
          <w:color w:val="000000"/>
          <w:szCs w:val="24"/>
        </w:rPr>
        <w:t>Designated approval agencies, independent cylinder testing agencies, and prospective foreign manufacturers of cylinders</w:t>
      </w:r>
      <w:r w:rsidRPr="00A0358E" w:rsidR="00067D4D">
        <w:rPr>
          <w:bCs/>
          <w:color w:val="000000"/>
          <w:szCs w:val="24"/>
        </w:rPr>
        <w:t>:</w:t>
      </w:r>
      <w:r w:rsidRPr="00A0358E">
        <w:rPr>
          <w:bCs/>
          <w:color w:val="000000"/>
          <w:szCs w:val="24"/>
        </w:rPr>
        <w:t xml:space="preserve"> </w:t>
      </w:r>
      <w:r w:rsidRPr="00A0358E">
        <w:rPr>
          <w:szCs w:val="24"/>
        </w:rPr>
        <w:t xml:space="preserve">This information collection consists of the requirement for parties to obtain approval from the Associate Administrator in order to become designated approval agencies, independent cylinder testing agencies, </w:t>
      </w:r>
      <w:r w:rsidRPr="00A0358E" w:rsidR="004A302F">
        <w:rPr>
          <w:szCs w:val="24"/>
        </w:rPr>
        <w:t>or</w:t>
      </w:r>
      <w:r w:rsidRPr="00A0358E">
        <w:rPr>
          <w:szCs w:val="24"/>
        </w:rPr>
        <w:t xml:space="preserve"> prospective foreign manufacturers of cylinders. </w:t>
      </w:r>
      <w:r w:rsidRPr="00A0358E" w:rsidR="00A01D10">
        <w:rPr>
          <w:szCs w:val="24"/>
        </w:rPr>
        <w:t xml:space="preserve"> </w:t>
      </w:r>
      <w:r w:rsidRPr="00A0358E">
        <w:rPr>
          <w:szCs w:val="24"/>
        </w:rPr>
        <w:t>These designated approval agencies evaluate the design of packagings used for the shipments of hazardous materials.</w:t>
      </w:r>
    </w:p>
    <w:p w:rsidR="00DF51A7" w:rsidRPr="00A0358E" w:rsidP="006A19D0" w14:paraId="4C7F96F3" w14:textId="6A5940E3">
      <w:pPr>
        <w:ind w:firstLine="720"/>
        <w:rPr>
          <w:szCs w:val="24"/>
        </w:rPr>
      </w:pPr>
      <w:r w:rsidRPr="00A0358E">
        <w:rPr>
          <w:bCs/>
          <w:color w:val="000000"/>
          <w:szCs w:val="24"/>
        </w:rPr>
        <w:t xml:space="preserve">(2)  </w:t>
      </w:r>
      <w:r w:rsidRPr="00A0358E">
        <w:rPr>
          <w:bCs/>
          <w:i/>
          <w:iCs/>
          <w:color w:val="000000"/>
          <w:szCs w:val="24"/>
        </w:rPr>
        <w:t xml:space="preserve">Approval of Cylinder and Pressure Receptacle </w:t>
      </w:r>
      <w:r w:rsidRPr="00A0358E">
        <w:rPr>
          <w:bCs/>
          <w:i/>
          <w:iCs/>
          <w:color w:val="000000"/>
          <w:szCs w:val="24"/>
        </w:rPr>
        <w:t>Requalifiers</w:t>
      </w:r>
      <w:r w:rsidRPr="00A0358E" w:rsidR="00907B32">
        <w:rPr>
          <w:bCs/>
          <w:color w:val="000000"/>
          <w:szCs w:val="24"/>
        </w:rPr>
        <w:t>:</w:t>
      </w:r>
      <w:r w:rsidRPr="00A0358E">
        <w:rPr>
          <w:bCs/>
          <w:color w:val="000000"/>
          <w:szCs w:val="24"/>
        </w:rPr>
        <w:t xml:space="preserve"> </w:t>
      </w:r>
      <w:r w:rsidRPr="00A0358E" w:rsidR="006A19D0">
        <w:rPr>
          <w:szCs w:val="24"/>
        </w:rPr>
        <w:t xml:space="preserve">This information collection concerns the requirement for approval by the Associate Administrator to inspect, test, certify, repair, or rebuild a DOT specification cylinder or a UN pressure receptacle under certain circumstances. </w:t>
      </w:r>
      <w:r w:rsidRPr="00A0358E" w:rsidR="00A01D10">
        <w:rPr>
          <w:szCs w:val="24"/>
        </w:rPr>
        <w:t xml:space="preserve"> </w:t>
      </w:r>
      <w:r w:rsidRPr="00A0358E" w:rsidR="006A19D0">
        <w:rPr>
          <w:szCs w:val="24"/>
        </w:rPr>
        <w:t xml:space="preserve">These circumstances include a special permit issued under this part or a cylinder manufactured in accordance with Transport Canada's </w:t>
      </w:r>
      <w:r w:rsidRPr="00A0358E" w:rsidR="003472C6">
        <w:rPr>
          <w:szCs w:val="24"/>
        </w:rPr>
        <w:t>Transportation of Dangerous Good (</w:t>
      </w:r>
      <w:r w:rsidRPr="00A0358E" w:rsidR="006A19D0">
        <w:rPr>
          <w:szCs w:val="24"/>
        </w:rPr>
        <w:t>TDG</w:t>
      </w:r>
      <w:r w:rsidRPr="00A0358E" w:rsidR="003472C6">
        <w:rPr>
          <w:szCs w:val="24"/>
        </w:rPr>
        <w:t>)</w:t>
      </w:r>
      <w:r w:rsidRPr="00A0358E" w:rsidR="006A19D0">
        <w:rPr>
          <w:szCs w:val="24"/>
        </w:rPr>
        <w:t xml:space="preserve"> Regulations.</w:t>
      </w:r>
    </w:p>
    <w:p w:rsidR="00DF51A7" w:rsidRPr="00A0358E" w:rsidP="00807768" w14:paraId="17928DD1" w14:textId="6F6F0BE7">
      <w:pPr>
        <w:ind w:firstLine="720"/>
        <w:rPr>
          <w:bCs/>
          <w:color w:val="000000"/>
          <w:szCs w:val="24"/>
        </w:rPr>
      </w:pPr>
      <w:r w:rsidRPr="00A0358E">
        <w:rPr>
          <w:bCs/>
          <w:color w:val="000000"/>
          <w:szCs w:val="24"/>
        </w:rPr>
        <w:t xml:space="preserve">(3)  </w:t>
      </w:r>
      <w:r w:rsidRPr="00A0358E">
        <w:rPr>
          <w:bCs/>
          <w:i/>
          <w:iCs/>
          <w:color w:val="000000"/>
          <w:szCs w:val="24"/>
        </w:rPr>
        <w:t>M</w:t>
      </w:r>
      <w:r w:rsidRPr="00A0358E" w:rsidR="003472C6">
        <w:rPr>
          <w:bCs/>
          <w:i/>
          <w:iCs/>
          <w:color w:val="000000"/>
          <w:szCs w:val="24"/>
        </w:rPr>
        <w:t>-</w:t>
      </w:r>
      <w:r w:rsidRPr="00A0358E">
        <w:rPr>
          <w:bCs/>
          <w:i/>
          <w:iCs/>
          <w:color w:val="000000"/>
          <w:szCs w:val="24"/>
        </w:rPr>
        <w:t>Numbers</w:t>
      </w:r>
      <w:r w:rsidRPr="00A0358E" w:rsidR="00FE6355">
        <w:rPr>
          <w:bCs/>
          <w:color w:val="000000"/>
          <w:szCs w:val="24"/>
        </w:rPr>
        <w:t xml:space="preserve">: </w:t>
      </w:r>
      <w:r w:rsidRPr="00A0358E" w:rsidR="009D0245">
        <w:rPr>
          <w:bCs/>
          <w:color w:val="000000"/>
          <w:szCs w:val="24"/>
        </w:rPr>
        <w:t xml:space="preserve">This information collection consists of assigning M-numbers to companies involved in </w:t>
      </w:r>
      <w:r w:rsidRPr="00A0358E" w:rsidR="0067772A">
        <w:rPr>
          <w:bCs/>
          <w:color w:val="000000"/>
          <w:szCs w:val="24"/>
        </w:rPr>
        <w:t xml:space="preserve">the </w:t>
      </w:r>
      <w:r w:rsidRPr="00A0358E" w:rsidR="009D0245">
        <w:rPr>
          <w:bCs/>
          <w:color w:val="000000"/>
          <w:szCs w:val="24"/>
        </w:rPr>
        <w:t>manufacturing, reconditioning, repairing, or testing</w:t>
      </w:r>
      <w:r w:rsidRPr="00A0358E" w:rsidR="0067772A">
        <w:rPr>
          <w:bCs/>
          <w:color w:val="000000"/>
          <w:szCs w:val="24"/>
        </w:rPr>
        <w:t xml:space="preserve"> of</w:t>
      </w:r>
      <w:r w:rsidRPr="00A0358E" w:rsidR="009D0245">
        <w:rPr>
          <w:bCs/>
          <w:color w:val="000000"/>
          <w:szCs w:val="24"/>
        </w:rPr>
        <w:t xml:space="preserve"> DOT specification containers or cylinders used for transporting hazardous materials.</w:t>
      </w:r>
    </w:p>
    <w:p w:rsidR="006F74C6" w:rsidRPr="00A0358E" w:rsidP="006F74C6" w14:paraId="3AC60974" w14:textId="431FA538">
      <w:pPr>
        <w:ind w:firstLine="720"/>
        <w:rPr>
          <w:szCs w:val="24"/>
        </w:rPr>
      </w:pPr>
      <w:r w:rsidRPr="00A0358E">
        <w:rPr>
          <w:bCs/>
          <w:color w:val="000000"/>
          <w:szCs w:val="24"/>
        </w:rPr>
        <w:t xml:space="preserve">(4)  </w:t>
      </w:r>
      <w:r w:rsidRPr="00A0358E" w:rsidR="00DF51A7">
        <w:rPr>
          <w:bCs/>
          <w:i/>
          <w:iCs/>
          <w:color w:val="000000"/>
          <w:szCs w:val="24"/>
        </w:rPr>
        <w:t>RIN Approval for Cylinders (International Shipments)</w:t>
      </w:r>
      <w:r w:rsidRPr="00A0358E" w:rsidR="00FE6355">
        <w:rPr>
          <w:bCs/>
          <w:color w:val="000000"/>
          <w:szCs w:val="24"/>
        </w:rPr>
        <w:t>:</w:t>
      </w:r>
      <w:r w:rsidRPr="00A0358E" w:rsidR="00984A3E">
        <w:rPr>
          <w:bCs/>
          <w:color w:val="000000"/>
          <w:szCs w:val="24"/>
        </w:rPr>
        <w:t xml:space="preserve"> </w:t>
      </w:r>
      <w:r w:rsidRPr="00A0358E">
        <w:rPr>
          <w:szCs w:val="24"/>
        </w:rPr>
        <w:t xml:space="preserve">This information collection consists of an application that RIN holders can submit under §107.805(f)(2), which includes required information and certifications related to the inspection and requalification of certain cylinder specifications. </w:t>
      </w:r>
    </w:p>
    <w:p w:rsidR="00F47BF4" w:rsidRPr="00A0358E" w:rsidP="00F47BF4" w14:paraId="0156441B" w14:textId="26D8E86C">
      <w:pPr>
        <w:ind w:firstLine="720"/>
        <w:rPr>
          <w:bCs/>
          <w:szCs w:val="24"/>
        </w:rPr>
      </w:pPr>
      <w:r w:rsidRPr="00A0358E">
        <w:rPr>
          <w:bCs/>
          <w:color w:val="000000"/>
          <w:szCs w:val="24"/>
        </w:rPr>
        <w:t xml:space="preserve">(5)  </w:t>
      </w:r>
      <w:r w:rsidRPr="00A0358E" w:rsidR="00DF51A7">
        <w:rPr>
          <w:bCs/>
          <w:i/>
          <w:iCs/>
          <w:color w:val="000000"/>
          <w:szCs w:val="24"/>
        </w:rPr>
        <w:t>Competent Authority Approvals</w:t>
      </w:r>
      <w:r w:rsidRPr="00A0358E" w:rsidR="006F74C6">
        <w:rPr>
          <w:bCs/>
          <w:color w:val="000000"/>
          <w:szCs w:val="24"/>
        </w:rPr>
        <w:t>:</w:t>
      </w:r>
      <w:r w:rsidRPr="00A0358E" w:rsidR="00B644E2">
        <w:rPr>
          <w:bCs/>
          <w:szCs w:val="24"/>
        </w:rPr>
        <w:t xml:space="preserve"> </w:t>
      </w:r>
      <w:r w:rsidRPr="00A0358E">
        <w:rPr>
          <w:bCs/>
          <w:szCs w:val="24"/>
        </w:rPr>
        <w:t xml:space="preserve">This information collection consists of additional approval and classification requirements for transporting certain hazardous materials, such as tear gas devices and certain organic peroxides. </w:t>
      </w:r>
      <w:r w:rsidRPr="00A0358E" w:rsidR="00A01D10">
        <w:rPr>
          <w:bCs/>
          <w:szCs w:val="24"/>
        </w:rPr>
        <w:t xml:space="preserve"> </w:t>
      </w:r>
      <w:r w:rsidRPr="00A0358E">
        <w:rPr>
          <w:bCs/>
          <w:szCs w:val="24"/>
        </w:rPr>
        <w:t>Tear gas devices require extra approval for transport in closed environments, while certain organic peroxides require special refrigeration and PHMSA approval to prevent self-accelerated decomposition.</w:t>
      </w:r>
    </w:p>
    <w:p w:rsidR="00922E51" w:rsidRPr="000A7FD4" w:rsidP="00F47BF4" w14:paraId="48E450A5" w14:textId="3274F5BF">
      <w:pPr>
        <w:ind w:firstLine="720"/>
        <w:rPr>
          <w:szCs w:val="24"/>
        </w:rPr>
      </w:pPr>
      <w:r w:rsidRPr="000A7FD4">
        <w:rPr>
          <w:color w:val="000000" w:themeColor="text1"/>
          <w:szCs w:val="24"/>
        </w:rPr>
        <w:t xml:space="preserve">(6)  </w:t>
      </w:r>
      <w:r w:rsidRPr="000A7FD4" w:rsidR="00DF51A7">
        <w:rPr>
          <w:i/>
          <w:color w:val="000000" w:themeColor="text1"/>
          <w:szCs w:val="24"/>
        </w:rPr>
        <w:t>Lithium Battery State of Charge Approval</w:t>
      </w:r>
      <w:r w:rsidRPr="000A7FD4" w:rsidR="00F47BF4">
        <w:rPr>
          <w:color w:val="000000" w:themeColor="text1"/>
          <w:szCs w:val="24"/>
        </w:rPr>
        <w:t xml:space="preserve">: </w:t>
      </w:r>
      <w:r w:rsidRPr="000A7FD4" w:rsidR="00F72C9F">
        <w:rPr>
          <w:szCs w:val="24"/>
        </w:rPr>
        <w:t>This information collection consists of an approval process that allows for the transportation of lithium</w:t>
      </w:r>
      <w:r w:rsidRPr="000A7FD4" w:rsidR="1B36CED7">
        <w:rPr>
          <w:szCs w:val="24"/>
        </w:rPr>
        <w:t>-</w:t>
      </w:r>
      <w:r w:rsidRPr="000A7FD4" w:rsidR="00F72C9F">
        <w:rPr>
          <w:szCs w:val="24"/>
        </w:rPr>
        <w:t xml:space="preserve">ion cells and batteries on cargo aircraft with a state of charge exceeding 30 percent of their rated capacity. </w:t>
      </w:r>
      <w:r w:rsidRPr="000A7FD4" w:rsidR="00A01D10">
        <w:rPr>
          <w:szCs w:val="24"/>
        </w:rPr>
        <w:t xml:space="preserve"> </w:t>
      </w:r>
      <w:r w:rsidRPr="000A7FD4" w:rsidR="00F72C9F">
        <w:rPr>
          <w:szCs w:val="24"/>
        </w:rPr>
        <w:t>This is in contrast to the general requirement that such transportation must occur with a state of charge not exceeding 30 percent of their rated capacity.</w:t>
      </w:r>
    </w:p>
    <w:p w:rsidR="00922E51" w:rsidRPr="000A7FD4" w:rsidP="00D17091" w14:paraId="0FB7297F" w14:textId="1FF3A000">
      <w:pPr>
        <w:ind w:firstLine="720"/>
        <w:rPr>
          <w:color w:val="000000"/>
          <w:szCs w:val="24"/>
        </w:rPr>
      </w:pPr>
      <w:r w:rsidRPr="000A7FD4">
        <w:rPr>
          <w:color w:val="000000"/>
          <w:szCs w:val="24"/>
        </w:rPr>
        <w:t xml:space="preserve">(7)  </w:t>
      </w:r>
      <w:r w:rsidRPr="000A7FD4">
        <w:rPr>
          <w:i/>
          <w:iCs/>
          <w:color w:val="000000"/>
          <w:szCs w:val="24"/>
        </w:rPr>
        <w:t>Alternative Packagings or Test Methods</w:t>
      </w:r>
      <w:r w:rsidRPr="000A7FD4" w:rsidR="00D17091">
        <w:rPr>
          <w:color w:val="000000"/>
          <w:szCs w:val="24"/>
        </w:rPr>
        <w:t xml:space="preserve">: This information collection consists of an approval process that allows a person to offer a hazardous material in transportation with alternative packaging or test methods, which are not currently authorized in the HMR. </w:t>
      </w:r>
      <w:r w:rsidRPr="000A7FD4" w:rsidR="00A01D10">
        <w:rPr>
          <w:color w:val="000000"/>
          <w:szCs w:val="24"/>
        </w:rPr>
        <w:t xml:space="preserve"> </w:t>
      </w:r>
      <w:r w:rsidRPr="000A7FD4" w:rsidR="00D17091">
        <w:rPr>
          <w:color w:val="000000"/>
          <w:szCs w:val="24"/>
        </w:rPr>
        <w:t>The approvals provide flexibility to the industry by allowing packagings that are not constructed as per the HMR and permitting specific testing, test methods, and intervals.</w:t>
      </w:r>
    </w:p>
    <w:p w:rsidR="001A3AE2" w:rsidRPr="00A0358E" w:rsidP="001A3AE2" w14:paraId="50E601AD" w14:textId="389266DB">
      <w:pPr>
        <w:ind w:firstLine="720"/>
        <w:rPr>
          <w:szCs w:val="24"/>
        </w:rPr>
      </w:pPr>
      <w:r w:rsidRPr="000A7FD4">
        <w:rPr>
          <w:color w:val="000000"/>
          <w:szCs w:val="24"/>
        </w:rPr>
        <w:t xml:space="preserve">(8)  </w:t>
      </w:r>
      <w:r w:rsidRPr="000A7FD4" w:rsidR="00922E51">
        <w:rPr>
          <w:i/>
          <w:iCs/>
          <w:color w:val="000000"/>
          <w:szCs w:val="24"/>
        </w:rPr>
        <w:t>Infectious Substances</w:t>
      </w:r>
      <w:r w:rsidRPr="000A7FD4" w:rsidR="00D17091">
        <w:rPr>
          <w:color w:val="000000"/>
          <w:szCs w:val="24"/>
        </w:rPr>
        <w:t>:</w:t>
      </w:r>
      <w:r w:rsidRPr="000A7FD4" w:rsidR="000865B8">
        <w:rPr>
          <w:color w:val="000000"/>
          <w:szCs w:val="24"/>
        </w:rPr>
        <w:t xml:space="preserve"> </w:t>
      </w:r>
      <w:r w:rsidRPr="00A0358E">
        <w:rPr>
          <w:szCs w:val="24"/>
        </w:rPr>
        <w:t>This information collection consists of a requirement to obtain approval for the transportation of live animals containing or contaminated with genetically modified micro-organisms, including those that also meet the Division 6.2 material definition, to comply with approved terms and conditions set by the Associate Administrator for Hazardous Materials Safety.</w:t>
      </w:r>
    </w:p>
    <w:p w:rsidR="00855C06" w:rsidRPr="000A7FD4" w:rsidP="00E76C68" w14:paraId="2D551C45" w14:textId="74B037DB">
      <w:pPr>
        <w:ind w:firstLine="720"/>
        <w:rPr>
          <w:color w:val="000000"/>
          <w:szCs w:val="24"/>
        </w:rPr>
      </w:pPr>
      <w:r w:rsidRPr="000A7FD4">
        <w:rPr>
          <w:color w:val="000000"/>
          <w:szCs w:val="24"/>
        </w:rPr>
        <w:t xml:space="preserve">(9)  </w:t>
      </w:r>
      <w:r w:rsidRPr="000A7FD4">
        <w:rPr>
          <w:i/>
          <w:iCs/>
          <w:color w:val="000000"/>
          <w:szCs w:val="24"/>
        </w:rPr>
        <w:t>Testing and Assignment of the Classification of Explosive Materials</w:t>
      </w:r>
      <w:r w:rsidRPr="000A7FD4" w:rsidR="001A3AE2">
        <w:rPr>
          <w:color w:val="000000"/>
          <w:szCs w:val="24"/>
        </w:rPr>
        <w:t>:</w:t>
      </w:r>
      <w:r w:rsidRPr="000A7FD4" w:rsidR="00A35E82">
        <w:rPr>
          <w:color w:val="000000"/>
          <w:szCs w:val="24"/>
        </w:rPr>
        <w:t xml:space="preserve"> </w:t>
      </w:r>
      <w:r w:rsidRPr="000A7FD4" w:rsidR="00E76C68">
        <w:rPr>
          <w:color w:val="000000"/>
          <w:szCs w:val="24"/>
        </w:rPr>
        <w:t xml:space="preserve">This information collection consists of an approval process for the testing and assignment of hazard classifications for the transportation of explosives and explosive devices, including fireworks, which pose significant technical difficulties and hazards. </w:t>
      </w:r>
      <w:r w:rsidRPr="000A7FD4" w:rsidR="00C6042B">
        <w:rPr>
          <w:color w:val="000000"/>
          <w:szCs w:val="24"/>
        </w:rPr>
        <w:t xml:space="preserve"> </w:t>
      </w:r>
      <w:r w:rsidRPr="000A7FD4" w:rsidR="00E76C68">
        <w:rPr>
          <w:color w:val="000000"/>
          <w:szCs w:val="24"/>
        </w:rPr>
        <w:t>Proper hazard classification is crucial for the safe packaging and handling of these materials during transportation via all modes, as an incorrect classification could result in improper packaging or handling and cause damage to property, loss of life, or both.</w:t>
      </w:r>
    </w:p>
    <w:p w:rsidR="00DF51A7" w:rsidRPr="000A7FD4" w:rsidP="005D188E" w14:paraId="53708061" w14:textId="7587C57D">
      <w:pPr>
        <w:ind w:firstLine="720"/>
        <w:rPr>
          <w:color w:val="000000"/>
          <w:szCs w:val="24"/>
        </w:rPr>
      </w:pPr>
      <w:r w:rsidRPr="000A7FD4">
        <w:rPr>
          <w:color w:val="000000"/>
          <w:szCs w:val="24"/>
        </w:rPr>
        <w:t xml:space="preserve">(10) </w:t>
      </w:r>
      <w:r w:rsidRPr="000A7FD4" w:rsidR="00855C06">
        <w:rPr>
          <w:i/>
          <w:iCs/>
          <w:color w:val="000000"/>
          <w:szCs w:val="24"/>
        </w:rPr>
        <w:t>Packaging Exception/Exceptions for Division 1.4G Consumer Fireworks</w:t>
      </w:r>
      <w:r w:rsidRPr="000A7FD4" w:rsidR="00384D99">
        <w:rPr>
          <w:color w:val="000000"/>
          <w:szCs w:val="24"/>
        </w:rPr>
        <w:t xml:space="preserve">: </w:t>
      </w:r>
      <w:r w:rsidRPr="000A7FD4" w:rsidR="005D188E">
        <w:rPr>
          <w:color w:val="000000"/>
          <w:szCs w:val="24"/>
        </w:rPr>
        <w:t xml:space="preserve">This information collection consists of an application process for manufacturers of consumer fireworks to obtain approval and classification of their products. </w:t>
      </w:r>
      <w:r w:rsidRPr="000A7FD4" w:rsidR="00C6042B">
        <w:rPr>
          <w:color w:val="000000"/>
          <w:szCs w:val="24"/>
        </w:rPr>
        <w:t xml:space="preserve"> </w:t>
      </w:r>
      <w:r w:rsidRPr="000A7FD4" w:rsidR="005D188E">
        <w:rPr>
          <w:color w:val="000000"/>
          <w:szCs w:val="24"/>
        </w:rPr>
        <w:t>The process requires the submission of a complete application containing all relevant information, test results, and certifications.</w:t>
      </w:r>
    </w:p>
    <w:p w:rsidR="000E58AB" w:rsidRPr="00A0358E" w:rsidP="000E58AB" w14:paraId="583A4AF5" w14:textId="37044ACF">
      <w:pPr>
        <w:ind w:firstLine="720"/>
        <w:rPr>
          <w:szCs w:val="24"/>
        </w:rPr>
      </w:pPr>
      <w:r w:rsidRPr="000A7FD4">
        <w:rPr>
          <w:szCs w:val="24"/>
        </w:rPr>
        <w:t>The following is a list of the information collections and burden estimates associated with this OMB Control Number:</w:t>
      </w:r>
    </w:p>
    <w:tbl>
      <w:tblPr>
        <w:tblW w:w="9821" w:type="dxa"/>
        <w:jc w:val="center"/>
        <w:tblLook w:val="04A0"/>
      </w:tblPr>
      <w:tblGrid>
        <w:gridCol w:w="4140"/>
        <w:gridCol w:w="1530"/>
        <w:gridCol w:w="1440"/>
        <w:gridCol w:w="1350"/>
        <w:gridCol w:w="1361"/>
      </w:tblGrid>
      <w:tr w14:paraId="7707FFBB" w14:textId="77777777" w:rsidTr="000A7FD4">
        <w:tblPrEx>
          <w:tblW w:w="9821" w:type="dxa"/>
          <w:jc w:val="center"/>
          <w:tblLook w:val="04A0"/>
        </w:tblPrEx>
        <w:trPr>
          <w:trHeight w:val="290"/>
          <w:jc w:val="center"/>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39D9" w:rsidRPr="00D322CA" w:rsidP="000A7FD4" w14:paraId="76A0746D" w14:textId="4E8F60CA">
            <w:pPr>
              <w:spacing w:line="240" w:lineRule="auto"/>
              <w:jc w:val="center"/>
              <w:rPr>
                <w:b/>
                <w:color w:val="000000"/>
                <w:szCs w:val="24"/>
              </w:rPr>
            </w:pPr>
            <w:r w:rsidRPr="0086494C">
              <w:rPr>
                <w:b/>
                <w:color w:val="000000"/>
                <w:szCs w:val="24"/>
              </w:rPr>
              <w:t>Information Collection</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9339D9" w:rsidRPr="00D322CA" w:rsidP="007C52CF" w14:paraId="049F6439" w14:textId="77777777">
            <w:pPr>
              <w:spacing w:line="240" w:lineRule="auto"/>
              <w:jc w:val="center"/>
              <w:rPr>
                <w:b/>
                <w:bCs/>
                <w:color w:val="000000"/>
                <w:szCs w:val="24"/>
              </w:rPr>
            </w:pPr>
            <w:r w:rsidRPr="00005251">
              <w:rPr>
                <w:b/>
                <w:bCs/>
                <w:szCs w:val="24"/>
              </w:rPr>
              <w:t>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339D9" w:rsidRPr="00D322CA" w:rsidP="007C52CF" w14:paraId="71D4A476" w14:textId="77777777">
            <w:pPr>
              <w:spacing w:line="240" w:lineRule="auto"/>
              <w:jc w:val="center"/>
              <w:rPr>
                <w:b/>
                <w:bCs/>
                <w:color w:val="000000"/>
                <w:szCs w:val="24"/>
              </w:rPr>
            </w:pPr>
            <w:r>
              <w:rPr>
                <w:b/>
                <w:bCs/>
                <w:szCs w:val="24"/>
              </w:rPr>
              <w:t xml:space="preserve">Total Annual </w:t>
            </w:r>
            <w:r w:rsidRPr="00005251">
              <w:rPr>
                <w:b/>
                <w:bCs/>
                <w:szCs w:val="24"/>
              </w:rPr>
              <w:t>Responses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339D9" w:rsidRPr="00D322CA" w:rsidP="007C52CF" w14:paraId="05B64732" w14:textId="77777777">
            <w:pPr>
              <w:spacing w:line="240" w:lineRule="auto"/>
              <w:jc w:val="center"/>
              <w:rPr>
                <w:b/>
                <w:bCs/>
                <w:color w:val="000000"/>
                <w:szCs w:val="24"/>
              </w:rPr>
            </w:pPr>
            <w:r w:rsidRPr="00005251">
              <w:rPr>
                <w:b/>
                <w:bCs/>
                <w:szCs w:val="24"/>
              </w:rPr>
              <w:t>Hours per Response</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9339D9" w:rsidRPr="00D322CA" w:rsidP="007C52CF" w14:paraId="3CD5F440" w14:textId="77777777">
            <w:pPr>
              <w:spacing w:line="240" w:lineRule="auto"/>
              <w:jc w:val="center"/>
              <w:rPr>
                <w:b/>
                <w:bCs/>
                <w:color w:val="000000"/>
                <w:szCs w:val="24"/>
              </w:rPr>
            </w:pPr>
            <w:r w:rsidRPr="00005251">
              <w:rPr>
                <w:b/>
                <w:bCs/>
                <w:szCs w:val="24"/>
              </w:rPr>
              <w:t xml:space="preserve">Total </w:t>
            </w:r>
            <w:r>
              <w:rPr>
                <w:b/>
                <w:bCs/>
                <w:szCs w:val="24"/>
              </w:rPr>
              <w:t xml:space="preserve">Annual Burden </w:t>
            </w:r>
            <w:r w:rsidRPr="00005251">
              <w:rPr>
                <w:b/>
                <w:bCs/>
                <w:szCs w:val="24"/>
              </w:rPr>
              <w:t>Hours</w:t>
            </w:r>
          </w:p>
        </w:tc>
      </w:tr>
      <w:tr w14:paraId="2639B2FE"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339D9" w:rsidRPr="00D322CA" w:rsidP="00D80863" w14:paraId="08EAA9E4" w14:textId="335ABD31">
            <w:pPr>
              <w:spacing w:line="240" w:lineRule="auto"/>
              <w:rPr>
                <w:bCs/>
                <w:color w:val="000000"/>
                <w:szCs w:val="24"/>
              </w:rPr>
            </w:pPr>
            <w:r w:rsidRPr="000621A0">
              <w:rPr>
                <w:bCs/>
                <w:color w:val="000000"/>
                <w:szCs w:val="24"/>
              </w:rPr>
              <w:t>Designated approval agencies, independent cylinder testing agencies, and prospective foreign manufacturers of cylinders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2D84342B" w14:textId="42C5200B">
            <w:pPr>
              <w:spacing w:line="240" w:lineRule="auto"/>
              <w:jc w:val="center"/>
              <w:rPr>
                <w:color w:val="000000"/>
                <w:szCs w:val="24"/>
              </w:rPr>
            </w:pPr>
            <w:r>
              <w:rPr>
                <w:color w:val="000000"/>
                <w:szCs w:val="24"/>
              </w:rPr>
              <w:t>15</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9339D9" w:rsidRPr="00D322CA" w:rsidP="00D80863" w14:paraId="43D23322" w14:textId="47E3DCF5">
            <w:pPr>
              <w:spacing w:line="240" w:lineRule="auto"/>
              <w:jc w:val="center"/>
              <w:rPr>
                <w:color w:val="000000"/>
                <w:szCs w:val="24"/>
              </w:rPr>
            </w:pPr>
            <w:r>
              <w:rPr>
                <w:color w:val="000000"/>
                <w:szCs w:val="24"/>
              </w:rPr>
              <w:t>15</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72006D33" w14:textId="73E5E676">
            <w:pPr>
              <w:spacing w:line="240" w:lineRule="auto"/>
              <w:jc w:val="center"/>
              <w:rPr>
                <w:color w:val="000000"/>
                <w:szCs w:val="24"/>
              </w:rPr>
            </w:pPr>
            <w:r>
              <w:rPr>
                <w:color w:val="000000"/>
                <w:szCs w:val="24"/>
              </w:rPr>
              <w:t>4.75</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156A332B" w14:textId="3A2A302B">
            <w:pPr>
              <w:spacing w:line="240" w:lineRule="auto"/>
              <w:jc w:val="center"/>
              <w:rPr>
                <w:color w:val="000000"/>
                <w:szCs w:val="24"/>
              </w:rPr>
            </w:pPr>
            <w:r>
              <w:rPr>
                <w:color w:val="000000"/>
                <w:szCs w:val="24"/>
              </w:rPr>
              <w:t>71</w:t>
            </w:r>
          </w:p>
        </w:tc>
      </w:tr>
      <w:tr w14:paraId="01AD0500"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339D9" w:rsidRPr="00D322CA" w:rsidP="00D80863" w14:paraId="476DA63B" w14:textId="17DF3D37">
            <w:pPr>
              <w:spacing w:line="240" w:lineRule="auto"/>
              <w:rPr>
                <w:bCs/>
                <w:color w:val="000000"/>
                <w:szCs w:val="24"/>
              </w:rPr>
            </w:pPr>
            <w:r w:rsidRPr="000621A0">
              <w:rPr>
                <w:bCs/>
                <w:color w:val="000000"/>
                <w:szCs w:val="24"/>
              </w:rPr>
              <w:t xml:space="preserve">Approval of Cylinder and Pressure Receptacle </w:t>
            </w:r>
            <w:r w:rsidRPr="000621A0">
              <w:rPr>
                <w:bCs/>
                <w:color w:val="000000"/>
                <w:szCs w:val="24"/>
              </w:rPr>
              <w:t>Requalifiers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548EF72E" w14:textId="499964DC">
            <w:pPr>
              <w:spacing w:line="240" w:lineRule="auto"/>
              <w:jc w:val="center"/>
              <w:rPr>
                <w:color w:val="000000"/>
                <w:szCs w:val="24"/>
              </w:rPr>
            </w:pPr>
            <w:r>
              <w:rPr>
                <w:color w:val="000000"/>
                <w:szCs w:val="24"/>
              </w:rPr>
              <w:t>3,000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9339D9" w:rsidRPr="00D322CA" w:rsidP="00D80863" w14:paraId="0BAD8012" w14:textId="355FE66A">
            <w:pPr>
              <w:spacing w:line="240" w:lineRule="auto"/>
              <w:jc w:val="center"/>
              <w:rPr>
                <w:color w:val="000000"/>
                <w:szCs w:val="24"/>
              </w:rPr>
            </w:pPr>
            <w:r>
              <w:rPr>
                <w:color w:val="000000"/>
                <w:szCs w:val="24"/>
              </w:rPr>
              <w:t>3,000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1A16FCA5" w14:textId="3F7CD4BB">
            <w:pPr>
              <w:spacing w:line="240" w:lineRule="auto"/>
              <w:jc w:val="center"/>
              <w:rPr>
                <w:color w:val="000000"/>
                <w:szCs w:val="24"/>
              </w:rPr>
            </w:pPr>
            <w:r>
              <w:rPr>
                <w:color w:val="000000"/>
                <w:szCs w:val="24"/>
              </w:rPr>
              <w:t>1.105</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7EE71211" w14:textId="64622FF7">
            <w:pPr>
              <w:spacing w:line="240" w:lineRule="auto"/>
              <w:jc w:val="center"/>
              <w:rPr>
                <w:color w:val="000000"/>
                <w:szCs w:val="24"/>
              </w:rPr>
            </w:pPr>
            <w:r>
              <w:rPr>
                <w:color w:val="000000"/>
                <w:szCs w:val="24"/>
              </w:rPr>
              <w:t>3,315</w:t>
            </w:r>
          </w:p>
        </w:tc>
      </w:tr>
      <w:tr w14:paraId="080F072E"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339D9" w:rsidRPr="00D322CA" w:rsidP="00D80863" w14:paraId="20D5213C" w14:textId="1F92EB0C">
            <w:pPr>
              <w:spacing w:line="240" w:lineRule="auto"/>
              <w:rPr>
                <w:bCs/>
                <w:color w:val="000000"/>
                <w:szCs w:val="24"/>
              </w:rPr>
            </w:pPr>
            <w:r w:rsidRPr="00267AF8">
              <w:rPr>
                <w:bCs/>
                <w:color w:val="000000"/>
                <w:szCs w:val="24"/>
              </w:rPr>
              <w:t>M Numbers (New Application)</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2B68CAD2" w14:textId="64BF7FD4">
            <w:pPr>
              <w:spacing w:line="240" w:lineRule="auto"/>
              <w:jc w:val="center"/>
              <w:rPr>
                <w:color w:val="000000"/>
                <w:szCs w:val="24"/>
              </w:rPr>
            </w:pPr>
            <w:r>
              <w:rPr>
                <w:color w:val="000000"/>
                <w:szCs w:val="24"/>
              </w:rPr>
              <w:t>30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9339D9" w:rsidRPr="00D322CA" w:rsidP="00D80863" w14:paraId="6E39B3D3" w14:textId="4FBC31F9">
            <w:pPr>
              <w:spacing w:line="240" w:lineRule="auto"/>
              <w:jc w:val="center"/>
              <w:rPr>
                <w:color w:val="000000"/>
                <w:szCs w:val="24"/>
              </w:rPr>
            </w:pPr>
            <w:r>
              <w:rPr>
                <w:color w:val="000000"/>
                <w:szCs w:val="24"/>
              </w:rPr>
              <w:t>30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36B4A82E" w14:textId="1E35B69B">
            <w:pPr>
              <w:spacing w:line="240" w:lineRule="auto"/>
              <w:jc w:val="center"/>
              <w:rPr>
                <w:color w:val="000000"/>
                <w:szCs w:val="24"/>
              </w:rPr>
            </w:pPr>
            <w:r>
              <w:rPr>
                <w:color w:val="000000"/>
                <w:szCs w:val="24"/>
              </w:rPr>
              <w:t>4.75</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4BA4B05F" w14:textId="29E21ED8">
            <w:pPr>
              <w:spacing w:line="240" w:lineRule="auto"/>
              <w:jc w:val="center"/>
              <w:rPr>
                <w:color w:val="000000"/>
                <w:szCs w:val="24"/>
              </w:rPr>
            </w:pPr>
            <w:r>
              <w:rPr>
                <w:color w:val="000000"/>
                <w:szCs w:val="24"/>
              </w:rPr>
              <w:t>143</w:t>
            </w:r>
          </w:p>
        </w:tc>
      </w:tr>
      <w:tr w14:paraId="54A69418"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339D9" w:rsidRPr="00D322CA" w:rsidP="00D80863" w14:paraId="1BCB3294" w14:textId="0CDBFB75">
            <w:pPr>
              <w:spacing w:line="240" w:lineRule="auto"/>
              <w:rPr>
                <w:bCs/>
                <w:color w:val="000000"/>
                <w:szCs w:val="24"/>
              </w:rPr>
            </w:pPr>
            <w:r w:rsidRPr="00E32EFF">
              <w:rPr>
                <w:bCs/>
                <w:color w:val="000000"/>
                <w:szCs w:val="24"/>
              </w:rPr>
              <w:t>M Numbers (Modifications/Renewals)</w:t>
            </w:r>
            <w:r>
              <w:t xml:space="preserve"> </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5D601F78" w14:textId="3E95A754">
            <w:pPr>
              <w:spacing w:line="240" w:lineRule="auto"/>
              <w:jc w:val="center"/>
              <w:rPr>
                <w:color w:val="000000"/>
                <w:szCs w:val="24"/>
              </w:rPr>
            </w:pPr>
            <w:r>
              <w:rPr>
                <w:color w:val="000000"/>
                <w:szCs w:val="24"/>
              </w:rPr>
              <w:t>150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9339D9" w:rsidRPr="00D322CA" w:rsidP="00D80863" w14:paraId="4BA43847" w14:textId="5A0F199A">
            <w:pPr>
              <w:spacing w:line="240" w:lineRule="auto"/>
              <w:jc w:val="center"/>
              <w:rPr>
                <w:color w:val="000000"/>
                <w:szCs w:val="24"/>
              </w:rPr>
            </w:pPr>
            <w:r>
              <w:rPr>
                <w:color w:val="000000"/>
                <w:szCs w:val="24"/>
              </w:rPr>
              <w:t>150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760FD508" w14:textId="701442A3">
            <w:pPr>
              <w:spacing w:line="240" w:lineRule="auto"/>
              <w:jc w:val="center"/>
              <w:rPr>
                <w:color w:val="000000"/>
                <w:szCs w:val="24"/>
              </w:rPr>
            </w:pPr>
            <w:r>
              <w:rPr>
                <w:color w:val="000000"/>
                <w:szCs w:val="24"/>
              </w:rPr>
              <w:t>1</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586C7A8F" w14:textId="6639EF8A">
            <w:pPr>
              <w:spacing w:line="240" w:lineRule="auto"/>
              <w:jc w:val="center"/>
              <w:rPr>
                <w:color w:val="000000"/>
                <w:szCs w:val="24"/>
              </w:rPr>
            </w:pPr>
            <w:r>
              <w:rPr>
                <w:color w:val="000000"/>
                <w:szCs w:val="24"/>
              </w:rPr>
              <w:t>150</w:t>
            </w:r>
          </w:p>
        </w:tc>
      </w:tr>
      <w:tr w14:paraId="30036DB4"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339D9" w:rsidRPr="00D322CA" w:rsidP="00D80863" w14:paraId="166A550B" w14:textId="58D79662">
            <w:pPr>
              <w:spacing w:line="240" w:lineRule="auto"/>
              <w:rPr>
                <w:bCs/>
                <w:color w:val="000000"/>
                <w:szCs w:val="24"/>
              </w:rPr>
            </w:pPr>
            <w:r w:rsidRPr="00E32EFF">
              <w:rPr>
                <w:bCs/>
                <w:color w:val="000000"/>
                <w:szCs w:val="24"/>
              </w:rPr>
              <w:t>RIN Approval for Cylinders (International Shipments)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084D42A5" w14:textId="7C0A736D">
            <w:pPr>
              <w:spacing w:line="240" w:lineRule="auto"/>
              <w:jc w:val="center"/>
              <w:rPr>
                <w:color w:val="000000"/>
                <w:szCs w:val="24"/>
              </w:rPr>
            </w:pPr>
            <w:r>
              <w:rPr>
                <w:color w:val="000000"/>
                <w:szCs w:val="24"/>
              </w:rPr>
              <w:t>3,500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9339D9" w:rsidRPr="00D322CA" w:rsidP="00D80863" w14:paraId="17025789" w14:textId="4097D871">
            <w:pPr>
              <w:spacing w:line="240" w:lineRule="auto"/>
              <w:jc w:val="center"/>
              <w:rPr>
                <w:color w:val="000000"/>
                <w:szCs w:val="24"/>
              </w:rPr>
            </w:pPr>
            <w:r>
              <w:rPr>
                <w:color w:val="000000"/>
                <w:szCs w:val="24"/>
              </w:rPr>
              <w:t>3,500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4FE4E0F6" w14:textId="7AC61E41">
            <w:pPr>
              <w:spacing w:line="240" w:lineRule="auto"/>
              <w:jc w:val="center"/>
              <w:rPr>
                <w:color w:val="000000"/>
                <w:szCs w:val="24"/>
              </w:rPr>
            </w:pPr>
            <w:r>
              <w:rPr>
                <w:color w:val="000000"/>
                <w:szCs w:val="24"/>
              </w:rPr>
              <w:t>0.852</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1A970E11" w14:textId="6B8158D8">
            <w:pPr>
              <w:spacing w:line="240" w:lineRule="auto"/>
              <w:jc w:val="center"/>
              <w:rPr>
                <w:color w:val="000000"/>
                <w:szCs w:val="24"/>
              </w:rPr>
            </w:pPr>
            <w:r>
              <w:rPr>
                <w:color w:val="000000"/>
                <w:szCs w:val="24"/>
              </w:rPr>
              <w:t>2,982</w:t>
            </w:r>
          </w:p>
        </w:tc>
      </w:tr>
      <w:tr w14:paraId="64F5A779"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339D9" w:rsidRPr="00D322CA" w:rsidP="00D80863" w14:paraId="676072C6" w14:textId="4C0478BA">
            <w:pPr>
              <w:spacing w:line="240" w:lineRule="auto"/>
              <w:rPr>
                <w:color w:val="000000"/>
              </w:rPr>
            </w:pPr>
            <w:r w:rsidRPr="404A6C37">
              <w:rPr>
                <w:color w:val="000000" w:themeColor="text1"/>
              </w:rPr>
              <w:t>Competent</w:t>
            </w:r>
            <w:r w:rsidRPr="404A6C37" w:rsidR="00E32EFF">
              <w:rPr>
                <w:color w:val="000000" w:themeColor="text1"/>
              </w:rPr>
              <w:t xml:space="preserve"> Authority Approvals - Safety Determinations as to the Adequacy of the Packagings for Materials with Special Hazards (New Applications)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7A1FF6E2" w14:textId="52CBA6B7">
            <w:pPr>
              <w:spacing w:line="240" w:lineRule="auto"/>
              <w:jc w:val="center"/>
              <w:rPr>
                <w:color w:val="000000"/>
                <w:szCs w:val="24"/>
              </w:rPr>
            </w:pPr>
            <w:r>
              <w:rPr>
                <w:color w:val="000000"/>
                <w:szCs w:val="24"/>
              </w:rPr>
              <w:t>50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9339D9" w:rsidRPr="00D322CA" w:rsidP="00D80863" w14:paraId="374F3DF4" w14:textId="73A75D93">
            <w:pPr>
              <w:spacing w:line="240" w:lineRule="auto"/>
              <w:jc w:val="center"/>
              <w:rPr>
                <w:color w:val="000000"/>
                <w:szCs w:val="24"/>
              </w:rPr>
            </w:pPr>
            <w:r>
              <w:rPr>
                <w:color w:val="000000"/>
                <w:szCs w:val="24"/>
              </w:rPr>
              <w:t>250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76088B3C" w14:textId="0E1D6CAE">
            <w:pPr>
              <w:spacing w:line="240" w:lineRule="auto"/>
              <w:jc w:val="center"/>
              <w:rPr>
                <w:color w:val="000000"/>
                <w:szCs w:val="24"/>
              </w:rPr>
            </w:pPr>
            <w:r>
              <w:rPr>
                <w:color w:val="000000"/>
                <w:szCs w:val="24"/>
              </w:rPr>
              <w:t>4.75</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C7338" w14:paraId="40D27595" w14:textId="62985754">
            <w:pPr>
              <w:spacing w:line="240" w:lineRule="auto"/>
              <w:jc w:val="center"/>
              <w:rPr>
                <w:color w:val="000000"/>
                <w:szCs w:val="24"/>
              </w:rPr>
            </w:pPr>
            <w:r>
              <w:rPr>
                <w:color w:val="000000"/>
                <w:szCs w:val="24"/>
              </w:rPr>
              <w:t>1,1</w:t>
            </w:r>
            <w:r w:rsidR="00764FA1">
              <w:rPr>
                <w:color w:val="000000"/>
                <w:szCs w:val="24"/>
              </w:rPr>
              <w:t>8</w:t>
            </w:r>
            <w:r>
              <w:rPr>
                <w:color w:val="000000"/>
                <w:szCs w:val="24"/>
              </w:rPr>
              <w:t>8</w:t>
            </w:r>
          </w:p>
        </w:tc>
      </w:tr>
      <w:tr w14:paraId="2699A157"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339D9" w:rsidRPr="00D322CA" w:rsidP="00D80863" w14:paraId="68CF50E5" w14:textId="095B109A">
            <w:pPr>
              <w:spacing w:line="240" w:lineRule="auto"/>
              <w:rPr>
                <w:color w:val="000000"/>
              </w:rPr>
            </w:pPr>
            <w:r w:rsidRPr="49613A7C">
              <w:rPr>
                <w:color w:val="000000" w:themeColor="text1"/>
              </w:rPr>
              <w:t>Competent</w:t>
            </w:r>
            <w:r w:rsidRPr="49613A7C" w:rsidR="004F285F">
              <w:rPr>
                <w:color w:val="000000" w:themeColor="text1"/>
              </w:rPr>
              <w:t xml:space="preserve"> Authority Approvals - Safety Determinations as to the Adequacy of the Packagings for Materials with Special Hazards - (Renewals/Modifications/Corrections)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745F4B83" w14:textId="73F40A1B">
            <w:pPr>
              <w:spacing w:line="240" w:lineRule="auto"/>
              <w:jc w:val="center"/>
              <w:rPr>
                <w:color w:val="000000"/>
                <w:szCs w:val="24"/>
              </w:rPr>
            </w:pPr>
            <w:r>
              <w:rPr>
                <w:color w:val="000000"/>
                <w:szCs w:val="24"/>
              </w:rPr>
              <w:t>120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9339D9" w:rsidRPr="00D322CA" w:rsidP="00D80863" w14:paraId="06E0D721" w14:textId="2E31DDDA">
            <w:pPr>
              <w:spacing w:line="240" w:lineRule="auto"/>
              <w:jc w:val="center"/>
              <w:rPr>
                <w:color w:val="000000"/>
                <w:szCs w:val="24"/>
              </w:rPr>
            </w:pPr>
            <w:r>
              <w:rPr>
                <w:color w:val="000000"/>
                <w:szCs w:val="24"/>
              </w:rPr>
              <w:t>480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7AA9CE3F" w14:textId="4A18C4F8">
            <w:pPr>
              <w:spacing w:line="240" w:lineRule="auto"/>
              <w:jc w:val="center"/>
              <w:rPr>
                <w:color w:val="000000"/>
                <w:szCs w:val="24"/>
              </w:rPr>
            </w:pPr>
            <w:r>
              <w:rPr>
                <w:color w:val="000000"/>
                <w:szCs w:val="24"/>
              </w:rPr>
              <w:t>1</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9339D9" w:rsidRPr="00D322CA" w:rsidP="00D80863" w14:paraId="5F5A4F1B" w14:textId="05CFA18D">
            <w:pPr>
              <w:spacing w:line="240" w:lineRule="auto"/>
              <w:jc w:val="center"/>
              <w:rPr>
                <w:color w:val="000000"/>
                <w:szCs w:val="24"/>
              </w:rPr>
            </w:pPr>
            <w:r>
              <w:rPr>
                <w:color w:val="000000"/>
                <w:szCs w:val="24"/>
              </w:rPr>
              <w:t>480</w:t>
            </w:r>
          </w:p>
        </w:tc>
      </w:tr>
      <w:tr w14:paraId="518FA43A"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32EFF" w:rsidRPr="0078600F" w:rsidP="00D80863" w14:paraId="0A540A1E" w14:textId="1B661CD2">
            <w:pPr>
              <w:spacing w:line="240" w:lineRule="auto"/>
              <w:rPr>
                <w:color w:val="000000"/>
              </w:rPr>
            </w:pPr>
            <w:r>
              <w:rPr>
                <w:color w:val="000000"/>
              </w:rPr>
              <w:t>Lithium Battery State of Charge Approval</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5514D3E3" w14:textId="7FF89C10">
            <w:pPr>
              <w:spacing w:line="240" w:lineRule="auto"/>
              <w:jc w:val="center"/>
              <w:rPr>
                <w:color w:val="000000"/>
                <w:szCs w:val="24"/>
              </w:rPr>
            </w:pPr>
            <w:r>
              <w:rPr>
                <w:color w:val="000000"/>
                <w:szCs w:val="24"/>
              </w:rPr>
              <w:t>10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E32EFF" w:rsidRPr="00D322CA" w:rsidP="00D80863" w14:paraId="1B118964" w14:textId="0B4E8C33">
            <w:pPr>
              <w:spacing w:line="240" w:lineRule="auto"/>
              <w:jc w:val="center"/>
              <w:rPr>
                <w:color w:val="000000"/>
                <w:szCs w:val="24"/>
              </w:rPr>
            </w:pPr>
            <w:r>
              <w:rPr>
                <w:color w:val="000000"/>
                <w:szCs w:val="24"/>
              </w:rPr>
              <w:t>10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0AD07BED" w14:textId="1B0F3DEB">
            <w:pPr>
              <w:spacing w:line="240" w:lineRule="auto"/>
              <w:jc w:val="center"/>
              <w:rPr>
                <w:color w:val="000000"/>
                <w:szCs w:val="24"/>
              </w:rPr>
            </w:pPr>
            <w:r>
              <w:rPr>
                <w:color w:val="000000"/>
                <w:szCs w:val="24"/>
              </w:rPr>
              <w:t>40</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7B2EE838" w14:textId="2D114274">
            <w:pPr>
              <w:spacing w:line="240" w:lineRule="auto"/>
              <w:jc w:val="center"/>
              <w:rPr>
                <w:color w:val="000000"/>
                <w:szCs w:val="24"/>
              </w:rPr>
            </w:pPr>
            <w:r>
              <w:rPr>
                <w:color w:val="000000"/>
                <w:szCs w:val="24"/>
              </w:rPr>
              <w:t>400</w:t>
            </w:r>
          </w:p>
        </w:tc>
      </w:tr>
      <w:tr w14:paraId="758A655E"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32EFF" w:rsidRPr="0078600F" w:rsidP="00D80863" w14:paraId="35C950C6" w14:textId="0A54EDE5">
            <w:pPr>
              <w:spacing w:line="240" w:lineRule="auto"/>
              <w:rPr>
                <w:color w:val="000000"/>
              </w:rPr>
            </w:pPr>
            <w:r>
              <w:rPr>
                <w:color w:val="000000"/>
              </w:rPr>
              <w:t>Alternative Packagings or Test Methods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072C8E6E" w14:textId="22ADA3E6">
            <w:pPr>
              <w:spacing w:line="240" w:lineRule="auto"/>
              <w:jc w:val="center"/>
              <w:rPr>
                <w:color w:val="000000"/>
                <w:szCs w:val="24"/>
              </w:rPr>
            </w:pPr>
            <w:r>
              <w:rPr>
                <w:color w:val="000000"/>
                <w:szCs w:val="24"/>
              </w:rPr>
              <w:t>24</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E32EFF" w:rsidRPr="00D322CA" w:rsidP="00D80863" w14:paraId="5360C4E9" w14:textId="6E608257">
            <w:pPr>
              <w:spacing w:line="240" w:lineRule="auto"/>
              <w:jc w:val="center"/>
              <w:rPr>
                <w:color w:val="000000"/>
                <w:szCs w:val="24"/>
              </w:rPr>
            </w:pPr>
            <w:r>
              <w:rPr>
                <w:color w:val="000000"/>
                <w:szCs w:val="24"/>
              </w:rPr>
              <w:t>24</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426F0C44" w14:textId="54E55C99">
            <w:pPr>
              <w:spacing w:line="240" w:lineRule="auto"/>
              <w:jc w:val="center"/>
              <w:rPr>
                <w:color w:val="000000"/>
                <w:szCs w:val="24"/>
              </w:rPr>
            </w:pPr>
            <w:r>
              <w:rPr>
                <w:color w:val="000000"/>
                <w:szCs w:val="24"/>
              </w:rPr>
              <w:t>4.75</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39365C94" w14:textId="717E7593">
            <w:pPr>
              <w:spacing w:line="240" w:lineRule="auto"/>
              <w:jc w:val="center"/>
              <w:rPr>
                <w:color w:val="000000"/>
                <w:szCs w:val="24"/>
              </w:rPr>
            </w:pPr>
            <w:r>
              <w:rPr>
                <w:color w:val="000000"/>
                <w:szCs w:val="24"/>
              </w:rPr>
              <w:t>114</w:t>
            </w:r>
          </w:p>
        </w:tc>
      </w:tr>
      <w:tr w14:paraId="1011BA31"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32EFF" w:rsidRPr="0078600F" w:rsidP="00D80863" w14:paraId="66F6C495" w14:textId="44D30039">
            <w:pPr>
              <w:spacing w:line="240" w:lineRule="auto"/>
              <w:rPr>
                <w:color w:val="000000"/>
              </w:rPr>
            </w:pPr>
            <w:r>
              <w:rPr>
                <w:color w:val="000000"/>
              </w:rPr>
              <w:t>Infectious Substances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23E075E7" w14:textId="1B718024">
            <w:pPr>
              <w:spacing w:line="240" w:lineRule="auto"/>
              <w:jc w:val="center"/>
              <w:rPr>
                <w:color w:val="000000"/>
                <w:szCs w:val="24"/>
              </w:rPr>
            </w:pPr>
            <w:r>
              <w:rPr>
                <w:color w:val="000000"/>
                <w:szCs w:val="24"/>
              </w:rPr>
              <w:t>5</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E32EFF" w:rsidRPr="00D322CA" w:rsidP="00D80863" w14:paraId="7517D65D" w14:textId="6C4DA2BE">
            <w:pPr>
              <w:spacing w:line="240" w:lineRule="auto"/>
              <w:jc w:val="center"/>
              <w:rPr>
                <w:color w:val="000000"/>
                <w:szCs w:val="24"/>
              </w:rPr>
            </w:pPr>
            <w:r>
              <w:rPr>
                <w:color w:val="000000"/>
                <w:szCs w:val="24"/>
              </w:rPr>
              <w:t>5</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2E879783" w14:textId="4ED11A76">
            <w:pPr>
              <w:spacing w:line="240" w:lineRule="auto"/>
              <w:jc w:val="center"/>
              <w:rPr>
                <w:color w:val="000000"/>
                <w:szCs w:val="24"/>
              </w:rPr>
            </w:pPr>
            <w:r>
              <w:rPr>
                <w:color w:val="000000"/>
                <w:szCs w:val="24"/>
              </w:rPr>
              <w:t>4.75</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22CC3B75" w14:textId="28B46210">
            <w:pPr>
              <w:spacing w:line="240" w:lineRule="auto"/>
              <w:jc w:val="center"/>
              <w:rPr>
                <w:color w:val="000000"/>
                <w:szCs w:val="24"/>
              </w:rPr>
            </w:pPr>
            <w:r>
              <w:rPr>
                <w:color w:val="000000"/>
                <w:szCs w:val="24"/>
              </w:rPr>
              <w:t>24</w:t>
            </w:r>
          </w:p>
        </w:tc>
      </w:tr>
      <w:tr w14:paraId="03765292"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32EFF" w:rsidRPr="002C04E5" w:rsidP="00D80863" w14:paraId="2BC0BDBC" w14:textId="01490B50">
            <w:pPr>
              <w:spacing w:line="240" w:lineRule="auto"/>
              <w:rPr>
                <w:color w:val="000000"/>
              </w:rPr>
            </w:pPr>
            <w:r>
              <w:rPr>
                <w:color w:val="000000"/>
              </w:rPr>
              <w:t>Testing and Assignment of the Classification of Explosive Materials - New Applications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1C3BA53F" w14:textId="01B6B8A0">
            <w:pPr>
              <w:spacing w:line="240" w:lineRule="auto"/>
              <w:jc w:val="center"/>
              <w:rPr>
                <w:color w:val="000000"/>
                <w:szCs w:val="24"/>
              </w:rPr>
            </w:pPr>
            <w:r>
              <w:rPr>
                <w:color w:val="000000"/>
                <w:szCs w:val="24"/>
              </w:rPr>
              <w:t>330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E32EFF" w:rsidRPr="00D322CA" w:rsidP="00D80863" w14:paraId="373F3475" w14:textId="0F0C8401">
            <w:pPr>
              <w:spacing w:line="240" w:lineRule="auto"/>
              <w:jc w:val="center"/>
              <w:rPr>
                <w:color w:val="000000"/>
                <w:szCs w:val="24"/>
              </w:rPr>
            </w:pPr>
            <w:r>
              <w:rPr>
                <w:color w:val="000000"/>
                <w:szCs w:val="24"/>
              </w:rPr>
              <w:t>330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0ECC4CCA" w14:textId="7DD332DC">
            <w:pPr>
              <w:spacing w:line="240" w:lineRule="auto"/>
              <w:jc w:val="center"/>
              <w:rPr>
                <w:color w:val="000000"/>
                <w:szCs w:val="24"/>
              </w:rPr>
            </w:pPr>
            <w:r>
              <w:rPr>
                <w:color w:val="000000"/>
                <w:szCs w:val="24"/>
              </w:rPr>
              <w:t>4.75</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E32EFF" w:rsidRPr="00D322CA" w:rsidP="00D80863" w14:paraId="4EAAA485" w14:textId="50754EE3">
            <w:pPr>
              <w:spacing w:line="240" w:lineRule="auto"/>
              <w:jc w:val="center"/>
              <w:rPr>
                <w:color w:val="000000"/>
                <w:szCs w:val="24"/>
              </w:rPr>
            </w:pPr>
            <w:r>
              <w:rPr>
                <w:color w:val="000000"/>
                <w:szCs w:val="24"/>
              </w:rPr>
              <w:t>1,568</w:t>
            </w:r>
          </w:p>
        </w:tc>
      </w:tr>
      <w:tr w14:paraId="51EEB59C"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600F" w:rsidRPr="002C04E5" w:rsidP="00D80863" w14:paraId="2A82DCCF" w14:textId="0598AAAE">
            <w:pPr>
              <w:spacing w:line="240" w:lineRule="auto"/>
              <w:rPr>
                <w:color w:val="000000"/>
              </w:rPr>
            </w:pPr>
            <w:r w:rsidRPr="5BF5E899">
              <w:rPr>
                <w:color w:val="000000" w:themeColor="text1"/>
              </w:rPr>
              <w:t>Testing and Assignment of the Classification of Explosive Materials - Modifications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78600F" w:rsidRPr="00D322CA" w:rsidP="00D80863" w14:paraId="795DB887" w14:textId="664CDCD9">
            <w:pPr>
              <w:spacing w:line="240" w:lineRule="auto"/>
              <w:jc w:val="center"/>
              <w:rPr>
                <w:color w:val="000000"/>
                <w:szCs w:val="24"/>
              </w:rPr>
            </w:pPr>
            <w:r>
              <w:rPr>
                <w:color w:val="000000"/>
                <w:szCs w:val="24"/>
              </w:rPr>
              <w:t>700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78600F" w:rsidRPr="00D322CA" w:rsidP="00D80863" w14:paraId="1B7D1040" w14:textId="78DD208D">
            <w:pPr>
              <w:spacing w:line="240" w:lineRule="auto"/>
              <w:jc w:val="center"/>
              <w:rPr>
                <w:color w:val="000000"/>
                <w:szCs w:val="24"/>
              </w:rPr>
            </w:pPr>
            <w:r>
              <w:rPr>
                <w:color w:val="000000"/>
                <w:szCs w:val="24"/>
              </w:rPr>
              <w:t>700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78600F" w:rsidRPr="00D322CA" w:rsidP="00D80863" w14:paraId="27E52ECF" w14:textId="5636C013">
            <w:pPr>
              <w:spacing w:line="240" w:lineRule="auto"/>
              <w:jc w:val="center"/>
              <w:rPr>
                <w:color w:val="000000"/>
                <w:szCs w:val="24"/>
              </w:rPr>
            </w:pPr>
            <w:r>
              <w:rPr>
                <w:color w:val="000000"/>
                <w:szCs w:val="24"/>
              </w:rPr>
              <w:t>1</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78600F" w:rsidRPr="00D322CA" w:rsidP="00D80863" w14:paraId="1E418096" w14:textId="081BF0F9">
            <w:pPr>
              <w:spacing w:line="240" w:lineRule="auto"/>
              <w:jc w:val="center"/>
              <w:rPr>
                <w:color w:val="000000"/>
                <w:szCs w:val="24"/>
              </w:rPr>
            </w:pPr>
            <w:r>
              <w:rPr>
                <w:color w:val="000000"/>
                <w:szCs w:val="24"/>
              </w:rPr>
              <w:t>700</w:t>
            </w:r>
          </w:p>
        </w:tc>
      </w:tr>
      <w:tr w14:paraId="72B349F2" w14:textId="77777777" w:rsidTr="000A7FD4">
        <w:tblPrEx>
          <w:tblW w:w="9821" w:type="dxa"/>
          <w:jc w:val="center"/>
          <w:tblLook w:val="04A0"/>
        </w:tblPrEx>
        <w:trPr>
          <w:trHeight w:val="143"/>
          <w:jc w:val="center"/>
        </w:trPr>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600F" w:rsidRPr="002C04E5" w:rsidP="00D80863" w14:paraId="6FC1006B" w14:textId="6E98F705">
            <w:pPr>
              <w:spacing w:line="240" w:lineRule="auto"/>
              <w:rPr>
                <w:color w:val="000000"/>
              </w:rPr>
            </w:pPr>
            <w:r>
              <w:rPr>
                <w:color w:val="000000"/>
              </w:rPr>
              <w:t>Packaging Exception/Exceptions for Division 1.4G Consumer Fireworks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rsidR="0078600F" w:rsidRPr="00D322CA" w:rsidP="00D80863" w14:paraId="5A39FD02" w14:textId="601AE689">
            <w:pPr>
              <w:spacing w:line="240" w:lineRule="auto"/>
              <w:jc w:val="center"/>
              <w:rPr>
                <w:color w:val="000000"/>
                <w:szCs w:val="24"/>
              </w:rPr>
            </w:pPr>
            <w:r>
              <w:rPr>
                <w:color w:val="000000"/>
                <w:szCs w:val="24"/>
              </w:rPr>
              <w:t>3,200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78600F" w:rsidRPr="00D322CA" w:rsidP="00D80863" w14:paraId="7DAC248B" w14:textId="7FC2AC75">
            <w:pPr>
              <w:spacing w:line="240" w:lineRule="auto"/>
              <w:jc w:val="center"/>
              <w:rPr>
                <w:color w:val="000000"/>
                <w:szCs w:val="24"/>
              </w:rPr>
            </w:pPr>
            <w:r>
              <w:rPr>
                <w:color w:val="000000"/>
                <w:szCs w:val="24"/>
              </w:rPr>
              <w:t>6,400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78600F" w:rsidRPr="00D322CA" w:rsidP="00D80863" w14:paraId="5002DB23" w14:textId="17A9B04F">
            <w:pPr>
              <w:spacing w:line="240" w:lineRule="auto"/>
              <w:jc w:val="center"/>
              <w:rPr>
                <w:color w:val="000000"/>
                <w:szCs w:val="24"/>
              </w:rPr>
            </w:pPr>
            <w:r>
              <w:rPr>
                <w:color w:val="000000"/>
                <w:szCs w:val="24"/>
              </w:rPr>
              <w:t>4.75</w:t>
            </w:r>
          </w:p>
        </w:tc>
        <w:tc>
          <w:tcPr>
            <w:tcW w:w="1361" w:type="dxa"/>
            <w:tcBorders>
              <w:top w:val="single" w:sz="4" w:space="0" w:color="auto"/>
              <w:left w:val="nil"/>
              <w:bottom w:val="single" w:sz="4" w:space="0" w:color="auto"/>
              <w:right w:val="single" w:sz="4" w:space="0" w:color="auto"/>
            </w:tcBorders>
            <w:shd w:val="clear" w:color="auto" w:fill="FFFFFF" w:themeFill="background1"/>
            <w:noWrap/>
            <w:vAlign w:val="center"/>
          </w:tcPr>
          <w:p w:rsidR="0078600F" w:rsidRPr="00D322CA" w:rsidP="00D80863" w14:paraId="189DA442" w14:textId="6F2BDD72">
            <w:pPr>
              <w:spacing w:line="240" w:lineRule="auto"/>
              <w:jc w:val="center"/>
              <w:rPr>
                <w:color w:val="000000"/>
                <w:szCs w:val="24"/>
              </w:rPr>
            </w:pPr>
            <w:r>
              <w:rPr>
                <w:color w:val="000000"/>
                <w:szCs w:val="24"/>
              </w:rPr>
              <w:t>30,400</w:t>
            </w:r>
          </w:p>
        </w:tc>
      </w:tr>
    </w:tbl>
    <w:p w:rsidR="009339D9" w:rsidRPr="00BD0DF8" w:rsidP="00807768" w14:paraId="4E1AD66A" w14:textId="77777777">
      <w:pPr>
        <w:ind w:firstLine="720"/>
        <w:rPr>
          <w:szCs w:val="24"/>
        </w:rPr>
      </w:pPr>
    </w:p>
    <w:p w:rsidR="00E843B2" w:rsidRPr="000A7FD4" w:rsidP="000A7FD4" w14:paraId="7C80B9A6" w14:textId="4CD89AAB">
      <w:pPr>
        <w:ind w:firstLine="720"/>
        <w:rPr>
          <w:bCs/>
          <w:szCs w:val="24"/>
        </w:rPr>
      </w:pPr>
      <w:r w:rsidRPr="000A7FD4">
        <w:rPr>
          <w:bCs/>
          <w:szCs w:val="24"/>
          <w:u w:val="single"/>
        </w:rPr>
        <w:t>Affected Public</w:t>
      </w:r>
      <w:r w:rsidRPr="000A7FD4">
        <w:rPr>
          <w:bCs/>
          <w:szCs w:val="24"/>
        </w:rPr>
        <w:t>:  Business and other entities who must meet the approval requirements in the HMR.</w:t>
      </w:r>
    </w:p>
    <w:p w:rsidR="00E843B2" w:rsidRPr="000A7FD4" w:rsidP="00141A42" w14:paraId="715F12BB" w14:textId="561514D2">
      <w:pPr>
        <w:ind w:firstLine="720"/>
        <w:rPr>
          <w:szCs w:val="24"/>
        </w:rPr>
      </w:pPr>
      <w:r w:rsidRPr="000A7FD4">
        <w:rPr>
          <w:szCs w:val="24"/>
          <w:u w:val="single"/>
        </w:rPr>
        <w:t>Annual Reporting and Recordkeeping Burden</w:t>
      </w:r>
      <w:r w:rsidRPr="000A7FD4">
        <w:rPr>
          <w:szCs w:val="24"/>
        </w:rPr>
        <w:t>:</w:t>
      </w:r>
    </w:p>
    <w:p w:rsidR="00E843B2" w:rsidRPr="000A7FD4" w:rsidP="000A7FD4" w14:paraId="675E92D5" w14:textId="01CC97B5">
      <w:pPr>
        <w:ind w:left="720" w:firstLine="720"/>
        <w:rPr>
          <w:szCs w:val="24"/>
        </w:rPr>
      </w:pPr>
      <w:r w:rsidRPr="000A7FD4">
        <w:rPr>
          <w:szCs w:val="24"/>
        </w:rPr>
        <w:t xml:space="preserve">Total </w:t>
      </w:r>
      <w:r w:rsidRPr="000A7FD4">
        <w:rPr>
          <w:szCs w:val="24"/>
        </w:rPr>
        <w:t>Number of Respondents:</w:t>
      </w:r>
      <w:r w:rsidRPr="000A7FD4">
        <w:rPr>
          <w:szCs w:val="24"/>
        </w:rPr>
        <w:tab/>
      </w:r>
      <w:r w:rsidRPr="000A7FD4" w:rsidR="008B366A">
        <w:rPr>
          <w:szCs w:val="24"/>
        </w:rPr>
        <w:t>11</w:t>
      </w:r>
      <w:r w:rsidRPr="000A7FD4">
        <w:rPr>
          <w:szCs w:val="24"/>
        </w:rPr>
        <w:t>,</w:t>
      </w:r>
      <w:r w:rsidRPr="000A7FD4" w:rsidR="008B366A">
        <w:rPr>
          <w:szCs w:val="24"/>
        </w:rPr>
        <w:t>134</w:t>
      </w:r>
    </w:p>
    <w:p w:rsidR="00E843B2" w:rsidRPr="000A7FD4" w:rsidP="000A7FD4" w14:paraId="3233DBCF" w14:textId="7DB2797D">
      <w:pPr>
        <w:ind w:left="720" w:firstLine="720"/>
        <w:rPr>
          <w:szCs w:val="24"/>
        </w:rPr>
      </w:pPr>
      <w:r w:rsidRPr="000A7FD4">
        <w:rPr>
          <w:szCs w:val="24"/>
        </w:rPr>
        <w:t>Total Annual Responses:</w:t>
      </w:r>
      <w:r w:rsidRPr="000A7FD4">
        <w:rPr>
          <w:szCs w:val="24"/>
        </w:rPr>
        <w:tab/>
      </w:r>
      <w:r w:rsidRPr="000A7FD4">
        <w:rPr>
          <w:szCs w:val="24"/>
        </w:rPr>
        <w:tab/>
      </w:r>
      <w:r w:rsidRPr="000A7FD4" w:rsidR="008B366A">
        <w:rPr>
          <w:szCs w:val="24"/>
        </w:rPr>
        <w:t>14</w:t>
      </w:r>
      <w:r w:rsidRPr="000A7FD4">
        <w:rPr>
          <w:szCs w:val="24"/>
        </w:rPr>
        <w:t>,</w:t>
      </w:r>
      <w:r w:rsidRPr="000A7FD4" w:rsidR="17AE51F9">
        <w:rPr>
          <w:szCs w:val="24"/>
        </w:rPr>
        <w:t>89</w:t>
      </w:r>
      <w:r w:rsidRPr="000A7FD4" w:rsidR="6187DCB9">
        <w:rPr>
          <w:szCs w:val="24"/>
        </w:rPr>
        <w:t>4</w:t>
      </w:r>
    </w:p>
    <w:p w:rsidR="00E843B2" w:rsidRPr="000A7FD4" w:rsidP="000A7FD4" w14:paraId="0A84534B" w14:textId="6045A706">
      <w:pPr>
        <w:ind w:left="720" w:firstLine="720"/>
        <w:rPr>
          <w:szCs w:val="24"/>
        </w:rPr>
      </w:pPr>
      <w:r w:rsidRPr="000A7FD4">
        <w:rPr>
          <w:szCs w:val="24"/>
        </w:rPr>
        <w:t>Total Annual Burden Hours:</w:t>
      </w:r>
      <w:r w:rsidRPr="000A7FD4">
        <w:rPr>
          <w:szCs w:val="24"/>
        </w:rPr>
        <w:tab/>
      </w:r>
      <w:r w:rsidRPr="000A7FD4">
        <w:rPr>
          <w:szCs w:val="24"/>
        </w:rPr>
        <w:tab/>
      </w:r>
      <w:r w:rsidRPr="000A7FD4" w:rsidR="11C7A6BC">
        <w:rPr>
          <w:szCs w:val="24"/>
        </w:rPr>
        <w:t>4</w:t>
      </w:r>
      <w:r w:rsidRPr="000A7FD4" w:rsidR="008B366A">
        <w:rPr>
          <w:szCs w:val="24"/>
        </w:rPr>
        <w:t>1,53</w:t>
      </w:r>
      <w:r w:rsidRPr="000A7FD4" w:rsidR="00B705ED">
        <w:rPr>
          <w:szCs w:val="24"/>
        </w:rPr>
        <w:t>5</w:t>
      </w:r>
    </w:p>
    <w:p w:rsidR="00E843B2" w:rsidRPr="000A7FD4" w:rsidP="000A7FD4" w14:paraId="117C157A" w14:textId="6B2572F5">
      <w:pPr>
        <w:ind w:left="720" w:firstLine="720"/>
        <w:rPr>
          <w:szCs w:val="24"/>
        </w:rPr>
      </w:pPr>
      <w:r w:rsidRPr="000A7FD4">
        <w:rPr>
          <w:szCs w:val="24"/>
        </w:rPr>
        <w:t>Frequency of Collection:</w:t>
      </w:r>
      <w:r w:rsidRPr="000A7FD4">
        <w:rPr>
          <w:szCs w:val="24"/>
        </w:rPr>
        <w:tab/>
      </w:r>
      <w:r w:rsidRPr="000A7FD4">
        <w:rPr>
          <w:szCs w:val="24"/>
        </w:rPr>
        <w:tab/>
      </w:r>
      <w:r w:rsidRPr="000A7FD4">
        <w:rPr>
          <w:szCs w:val="24"/>
        </w:rPr>
        <w:t>On occasion</w:t>
      </w:r>
    </w:p>
    <w:p w:rsidR="005631D1" w:rsidRPr="000A7FD4" w:rsidP="00191BFA" w14:paraId="5F5C6C77" w14:textId="77777777">
      <w:pPr>
        <w:rPr>
          <w:szCs w:val="24"/>
        </w:rPr>
      </w:pPr>
    </w:p>
    <w:p w:rsidR="007F266F" w:rsidRPr="000A7FD4" w:rsidP="00337988" w14:paraId="1380C62F" w14:textId="210CA517">
      <w:pPr>
        <w:ind w:firstLine="720"/>
        <w:rPr>
          <w:szCs w:val="24"/>
        </w:rPr>
      </w:pPr>
      <w:r w:rsidRPr="000A7FD4">
        <w:rPr>
          <w:szCs w:val="24"/>
          <w:u w:val="single"/>
        </w:rPr>
        <w:t>Title</w:t>
      </w:r>
      <w:r w:rsidRPr="000A7FD4">
        <w:rPr>
          <w:szCs w:val="24"/>
        </w:rPr>
        <w:t>: Rail Carrier and Tank Car Tanks Requirements, Rail Tank Car Tanks</w:t>
      </w:r>
      <w:r w:rsidRPr="000A7FD4" w:rsidR="008F7634">
        <w:rPr>
          <w:szCs w:val="24"/>
        </w:rPr>
        <w:t xml:space="preserve"> </w:t>
      </w:r>
      <w:r w:rsidRPr="000A7FD4">
        <w:rPr>
          <w:szCs w:val="24"/>
        </w:rPr>
        <w:t>-Transportation of Hazardous Materials by Rail.</w:t>
      </w:r>
    </w:p>
    <w:p w:rsidR="007F266F" w:rsidRPr="000A7FD4" w:rsidP="00D06875" w14:paraId="4E3FC4C0" w14:textId="7CEA8E7C">
      <w:pPr>
        <w:ind w:firstLine="720"/>
        <w:rPr>
          <w:szCs w:val="24"/>
        </w:rPr>
      </w:pPr>
      <w:r w:rsidRPr="000A7FD4">
        <w:rPr>
          <w:szCs w:val="24"/>
          <w:u w:val="single"/>
        </w:rPr>
        <w:t>OMB Control Number</w:t>
      </w:r>
      <w:r w:rsidRPr="000A7FD4">
        <w:rPr>
          <w:szCs w:val="24"/>
        </w:rPr>
        <w:t>: 2137-0559</w:t>
      </w:r>
    </w:p>
    <w:p w:rsidR="00735A66" w:rsidRPr="000A7FD4" w:rsidP="000A7FD4" w14:paraId="4C61F084" w14:textId="024C838F">
      <w:pPr>
        <w:ind w:firstLine="720"/>
        <w:rPr>
          <w:szCs w:val="24"/>
        </w:rPr>
      </w:pPr>
      <w:r w:rsidRPr="000A7FD4">
        <w:rPr>
          <w:szCs w:val="24"/>
          <w:u w:val="single"/>
        </w:rPr>
        <w:t>Summary</w:t>
      </w:r>
      <w:r w:rsidRPr="000A7FD4">
        <w:rPr>
          <w:szCs w:val="24"/>
        </w:rPr>
        <w:t xml:space="preserve">: This information collection consolidates and describes the information provisions in parts 172, 173, 174, 179, and 180 </w:t>
      </w:r>
      <w:r w:rsidRPr="00BD0DF8">
        <w:rPr>
          <w:szCs w:val="24"/>
        </w:rPr>
        <w:t xml:space="preserve">of the HMR </w:t>
      </w:r>
      <w:r w:rsidRPr="0087281B" w:rsidR="39F46366">
        <w:rPr>
          <w:szCs w:val="24"/>
        </w:rPr>
        <w:t>pertaining</w:t>
      </w:r>
      <w:r w:rsidRPr="000A7FD4" w:rsidR="39F46366">
        <w:rPr>
          <w:szCs w:val="24"/>
        </w:rPr>
        <w:t xml:space="preserve"> to </w:t>
      </w:r>
      <w:r w:rsidRPr="000A7FD4">
        <w:rPr>
          <w:szCs w:val="24"/>
        </w:rPr>
        <w:t xml:space="preserve">the transportation of hazardous materials by rail and the manufacture, qualification, maintenance, and use of tank cars. </w:t>
      </w:r>
      <w:r w:rsidRPr="000A7FD4" w:rsidR="00C6042B">
        <w:rPr>
          <w:szCs w:val="24"/>
        </w:rPr>
        <w:t xml:space="preserve"> </w:t>
      </w:r>
      <w:r w:rsidRPr="000A7FD4">
        <w:rPr>
          <w:szCs w:val="24"/>
        </w:rPr>
        <w:t>The types of information collected include:</w:t>
      </w:r>
      <w:r w:rsidRPr="000A7FD4" w:rsidR="00D06875">
        <w:rPr>
          <w:szCs w:val="24"/>
        </w:rPr>
        <w:t xml:space="preserve"> </w:t>
      </w:r>
    </w:p>
    <w:p w:rsidR="000E0482" w:rsidRPr="00A0358E" w:rsidP="00735A66" w14:paraId="53E607DF" w14:textId="6BC2C24A">
      <w:pPr>
        <w:ind w:firstLine="720"/>
        <w:rPr>
          <w:szCs w:val="24"/>
        </w:rPr>
      </w:pPr>
      <w:r w:rsidRPr="000A7FD4">
        <w:rPr>
          <w:szCs w:val="24"/>
        </w:rPr>
        <w:t xml:space="preserve">(1)  </w:t>
      </w:r>
      <w:r w:rsidRPr="000A7FD4">
        <w:rPr>
          <w:i/>
          <w:iCs/>
          <w:szCs w:val="24"/>
        </w:rPr>
        <w:t>Tank Car Approvals</w:t>
      </w:r>
      <w:r w:rsidRPr="000A7FD4">
        <w:rPr>
          <w:szCs w:val="24"/>
        </w:rPr>
        <w:t xml:space="preserve">: </w:t>
      </w:r>
      <w:r w:rsidRPr="00A0358E">
        <w:rPr>
          <w:szCs w:val="24"/>
        </w:rPr>
        <w:t xml:space="preserve">This information collection consists of special provisions that mandate the approval of the Associate Administrator or the </w:t>
      </w:r>
      <w:r w:rsidRPr="00A0358E" w:rsidR="00237037">
        <w:rPr>
          <w:szCs w:val="24"/>
        </w:rPr>
        <w:t>Association of American Railroads (</w:t>
      </w:r>
      <w:r w:rsidRPr="00A0358E">
        <w:rPr>
          <w:szCs w:val="24"/>
        </w:rPr>
        <w:t>AAR</w:t>
      </w:r>
      <w:r w:rsidRPr="00A0358E" w:rsidR="00237037">
        <w:rPr>
          <w:szCs w:val="24"/>
        </w:rPr>
        <w:t>)</w:t>
      </w:r>
      <w:r w:rsidRPr="00A0358E">
        <w:rPr>
          <w:szCs w:val="24"/>
        </w:rPr>
        <w:t xml:space="preserve"> Committee on Tank Cars before certain hazardous material packaging or packaging components can be used for transportation of hazardous materials by rail. </w:t>
      </w:r>
    </w:p>
    <w:p w:rsidR="00735A66" w:rsidRPr="000A7FD4" w:rsidP="009733AD" w14:paraId="25B64246" w14:textId="26820055">
      <w:pPr>
        <w:ind w:firstLine="720"/>
        <w:rPr>
          <w:szCs w:val="24"/>
        </w:rPr>
      </w:pPr>
      <w:r w:rsidRPr="000A7FD4">
        <w:rPr>
          <w:szCs w:val="24"/>
        </w:rPr>
        <w:t>(</w:t>
      </w:r>
      <w:r w:rsidRPr="000A7FD4" w:rsidR="000E0482">
        <w:rPr>
          <w:szCs w:val="24"/>
        </w:rPr>
        <w:t>2</w:t>
      </w:r>
      <w:r w:rsidRPr="000A7FD4">
        <w:rPr>
          <w:szCs w:val="24"/>
        </w:rPr>
        <w:t xml:space="preserve">) </w:t>
      </w:r>
      <w:r w:rsidRPr="000A7FD4" w:rsidR="000E0482">
        <w:rPr>
          <w:i/>
          <w:iCs/>
          <w:szCs w:val="24"/>
        </w:rPr>
        <w:t>AAR approval required when a tank car is proposed for commodity service other than specified on a certificate of construction</w:t>
      </w:r>
      <w:r w:rsidRPr="000A7FD4">
        <w:rPr>
          <w:szCs w:val="24"/>
        </w:rPr>
        <w:t xml:space="preserve">: </w:t>
      </w:r>
      <w:r w:rsidRPr="000A7FD4" w:rsidR="009733AD">
        <w:rPr>
          <w:szCs w:val="24"/>
        </w:rPr>
        <w:t>This information collection consists of requirements for obtaining AAR Tank Car Committee approval for the use of a tank car for commodities other than those specified in part 173</w:t>
      </w:r>
      <w:r w:rsidRPr="00BD0DF8" w:rsidR="009733AD">
        <w:rPr>
          <w:szCs w:val="24"/>
        </w:rPr>
        <w:t xml:space="preserve"> and the certificate of construction. </w:t>
      </w:r>
      <w:r w:rsidRPr="0087281B" w:rsidR="00C6042B">
        <w:rPr>
          <w:szCs w:val="24"/>
        </w:rPr>
        <w:t xml:space="preserve"> </w:t>
      </w:r>
      <w:r w:rsidRPr="000A7FD4" w:rsidR="009733AD">
        <w:rPr>
          <w:szCs w:val="24"/>
        </w:rPr>
        <w:t xml:space="preserve">It also includes requirements for AAR approval of tank car design, materials, construction, conversion, alteration, or construction to a new specification. </w:t>
      </w:r>
      <w:r w:rsidRPr="000A7FD4" w:rsidR="00C6042B">
        <w:rPr>
          <w:szCs w:val="24"/>
        </w:rPr>
        <w:t xml:space="preserve"> </w:t>
      </w:r>
      <w:r w:rsidRPr="000A7FD4" w:rsidR="009733AD">
        <w:rPr>
          <w:szCs w:val="24"/>
        </w:rPr>
        <w:t>This information is used to ensure that tank cars are suitable for transporting specific commodities and that tank car design, construction, and modification comply with the relevant regulations.</w:t>
      </w:r>
    </w:p>
    <w:p w:rsidR="00735A66" w:rsidRPr="000A7FD4" w:rsidP="006C46D6" w14:paraId="4DD4A957" w14:textId="4C5FC157">
      <w:pPr>
        <w:ind w:firstLine="720"/>
        <w:rPr>
          <w:szCs w:val="24"/>
        </w:rPr>
      </w:pPr>
      <w:r w:rsidRPr="000A7FD4">
        <w:rPr>
          <w:szCs w:val="24"/>
        </w:rPr>
        <w:t>(</w:t>
      </w:r>
      <w:r w:rsidRPr="000A7FD4" w:rsidR="009733AD">
        <w:rPr>
          <w:szCs w:val="24"/>
        </w:rPr>
        <w:t>3</w:t>
      </w:r>
      <w:r w:rsidRPr="000A7FD4">
        <w:rPr>
          <w:szCs w:val="24"/>
        </w:rPr>
        <w:t xml:space="preserve">) </w:t>
      </w:r>
      <w:r w:rsidRPr="00A0358E" w:rsidR="009733AD">
        <w:rPr>
          <w:bCs/>
          <w:i/>
          <w:iCs/>
          <w:color w:val="000000"/>
          <w:szCs w:val="24"/>
        </w:rPr>
        <w:t>Annual tank car owner progress report to FRA</w:t>
      </w:r>
      <w:r w:rsidRPr="000A7FD4">
        <w:rPr>
          <w:szCs w:val="24"/>
        </w:rPr>
        <w:t xml:space="preserve">: </w:t>
      </w:r>
      <w:r w:rsidRPr="000A7FD4" w:rsidR="009733AD">
        <w:rPr>
          <w:szCs w:val="24"/>
        </w:rPr>
        <w:t xml:space="preserve"> </w:t>
      </w:r>
      <w:r w:rsidRPr="000A7FD4" w:rsidR="00BF4758">
        <w:rPr>
          <w:szCs w:val="24"/>
        </w:rPr>
        <w:t xml:space="preserve">This information collection consists of the requirement for tank car owners to submit progress reports to the Federal Railroad Administration (FRA) if their tank cars need to be modified to meet the requirements specified in </w:t>
      </w:r>
      <w:r w:rsidRPr="000A7FD4" w:rsidR="00E06D8A">
        <w:rPr>
          <w:szCs w:val="24"/>
        </w:rPr>
        <w:t>§ </w:t>
      </w:r>
      <w:r w:rsidRPr="000A7FD4" w:rsidR="00BF4758">
        <w:rPr>
          <w:szCs w:val="24"/>
        </w:rPr>
        <w:t xml:space="preserve">173.31. </w:t>
      </w:r>
      <w:r w:rsidRPr="000A7FD4" w:rsidR="00C6042B">
        <w:rPr>
          <w:szCs w:val="24"/>
        </w:rPr>
        <w:t xml:space="preserve"> </w:t>
      </w:r>
      <w:r w:rsidRPr="000A7FD4" w:rsidR="00BF4758">
        <w:rPr>
          <w:szCs w:val="24"/>
        </w:rPr>
        <w:t>The FRA uses this information to track progress and ensure that all affected tank cars are modified before the regulatory compliance date.</w:t>
      </w:r>
    </w:p>
    <w:p w:rsidR="00CA606A" w:rsidRPr="00A0358E" w:rsidP="00735A66" w14:paraId="72824055" w14:textId="38725011">
      <w:pPr>
        <w:ind w:firstLine="720"/>
        <w:rPr>
          <w:szCs w:val="24"/>
        </w:rPr>
      </w:pPr>
      <w:r w:rsidRPr="000A7FD4">
        <w:rPr>
          <w:szCs w:val="24"/>
        </w:rPr>
        <w:t xml:space="preserve">(4) </w:t>
      </w:r>
      <w:r w:rsidRPr="00A0358E">
        <w:rPr>
          <w:bCs/>
          <w:i/>
          <w:iCs/>
          <w:color w:val="000000"/>
          <w:szCs w:val="24"/>
        </w:rPr>
        <w:t>Compressed Gases and Cryogenic Liquids in Tank Cars and Multi Unit Tank Cars Reporting</w:t>
      </w:r>
      <w:r w:rsidRPr="000A7FD4" w:rsidR="00F308F2">
        <w:rPr>
          <w:szCs w:val="24"/>
        </w:rPr>
        <w:t xml:space="preserve">: </w:t>
      </w:r>
      <w:r w:rsidRPr="00A0358E" w:rsidR="00F308F2">
        <w:rPr>
          <w:szCs w:val="24"/>
        </w:rPr>
        <w:t xml:space="preserve">This information </w:t>
      </w:r>
      <w:r w:rsidRPr="00A0358E" w:rsidR="00A141D0">
        <w:rPr>
          <w:szCs w:val="24"/>
        </w:rPr>
        <w:t>collection</w:t>
      </w:r>
      <w:r w:rsidRPr="00A0358E" w:rsidR="00F308F2">
        <w:rPr>
          <w:szCs w:val="24"/>
        </w:rPr>
        <w:t xml:space="preserve"> requires the shipper to notify the FRA whenever a tank car transporting hydrogen chloride, refrigerated liquids, or vinyl fluoride, stabilized is not received by the consignee within 20 days from the date of shipment.  </w:t>
      </w:r>
    </w:p>
    <w:p w:rsidR="00F308F2" w:rsidRPr="00A0358E" w:rsidP="00735A66" w14:paraId="2404EBFD" w14:textId="6FBC1E3C">
      <w:pPr>
        <w:ind w:firstLine="720"/>
        <w:rPr>
          <w:szCs w:val="24"/>
        </w:rPr>
      </w:pPr>
      <w:r w:rsidRPr="00A0358E">
        <w:rPr>
          <w:szCs w:val="24"/>
        </w:rPr>
        <w:t xml:space="preserve">(5) </w:t>
      </w:r>
      <w:r w:rsidRPr="00A0358E">
        <w:rPr>
          <w:i/>
          <w:iCs/>
          <w:szCs w:val="24"/>
        </w:rPr>
        <w:t>Reporting to the Bureau of Explosives regarding any restrictions over any portion of its lines</w:t>
      </w:r>
      <w:r w:rsidRPr="00A0358E">
        <w:rPr>
          <w:szCs w:val="24"/>
        </w:rPr>
        <w:t xml:space="preserve">: </w:t>
      </w:r>
      <w:r w:rsidRPr="00A0358E" w:rsidR="00D832A4">
        <w:rPr>
          <w:szCs w:val="24"/>
        </w:rPr>
        <w:t>This information collection requires each rail carrier to report to the Bureau of Explosives</w:t>
      </w:r>
      <w:r w:rsidRPr="00A0358E" w:rsidR="00504F3D">
        <w:rPr>
          <w:szCs w:val="24"/>
        </w:rPr>
        <w:t xml:space="preserve"> (BOE)</w:t>
      </w:r>
      <w:r w:rsidRPr="00A0358E" w:rsidR="00D832A4">
        <w:rPr>
          <w:szCs w:val="24"/>
        </w:rPr>
        <w:t>, for publication, all information as to any restrictions which it imposes against the acceptance, delivery, or transportation of any hazardous materials, over any portion of its lines.</w:t>
      </w:r>
    </w:p>
    <w:p w:rsidR="00D832A4" w:rsidRPr="00A0358E" w:rsidP="00735A66" w14:paraId="0D11F35A" w14:textId="0C66B3C3">
      <w:pPr>
        <w:ind w:firstLine="720"/>
        <w:rPr>
          <w:szCs w:val="24"/>
        </w:rPr>
      </w:pPr>
      <w:r w:rsidRPr="00A0358E">
        <w:rPr>
          <w:szCs w:val="24"/>
        </w:rPr>
        <w:t xml:space="preserve">(6)  </w:t>
      </w:r>
      <w:r w:rsidRPr="00A0358E">
        <w:rPr>
          <w:i/>
          <w:iCs/>
          <w:szCs w:val="24"/>
        </w:rPr>
        <w:t>Nonconforming bulk packages must be repaired or approved from movement by the FRA</w:t>
      </w:r>
      <w:r w:rsidRPr="00A0358E" w:rsidR="00AA58E5">
        <w:rPr>
          <w:szCs w:val="24"/>
        </w:rPr>
        <w:t xml:space="preserve">: This information collection requires that a bulk packaging, such as a tank car tank, that no longer conforms to applicable HMR requirements may not be forwarded by rail unless repaired or approved for movement by the Associate Administrator for Safety, FRA.  Notification and approval must be furnished in writing or through telephonic or electronic means, with subsequent written confirmation provided within two weeks.  </w:t>
      </w:r>
    </w:p>
    <w:p w:rsidR="00192368" w:rsidRPr="00A0358E" w:rsidP="00735A66" w14:paraId="07BE1161" w14:textId="70421CAB">
      <w:pPr>
        <w:ind w:firstLine="720"/>
        <w:rPr>
          <w:szCs w:val="24"/>
        </w:rPr>
      </w:pPr>
      <w:r w:rsidRPr="00A0358E">
        <w:rPr>
          <w:szCs w:val="24"/>
        </w:rPr>
        <w:t xml:space="preserve">(7) </w:t>
      </w:r>
      <w:r w:rsidRPr="00A0358E">
        <w:rPr>
          <w:bCs/>
          <w:i/>
          <w:iCs/>
          <w:color w:val="000000"/>
          <w:szCs w:val="24"/>
        </w:rPr>
        <w:t>FRA Approval for transportation of bulk packages containing a hazardous material in COFC or TOFC service</w:t>
      </w:r>
      <w:r w:rsidRPr="00A0358E">
        <w:rPr>
          <w:bCs/>
          <w:color w:val="000000"/>
          <w:szCs w:val="24"/>
        </w:rPr>
        <w:t>:</w:t>
      </w:r>
      <w:r w:rsidRPr="00A0358E" w:rsidR="001034BD">
        <w:rPr>
          <w:bCs/>
          <w:color w:val="000000"/>
          <w:szCs w:val="24"/>
        </w:rPr>
        <w:t xml:space="preserve">  </w:t>
      </w:r>
      <w:r w:rsidRPr="00A0358E" w:rsidR="001034BD">
        <w:rPr>
          <w:szCs w:val="24"/>
        </w:rPr>
        <w:t xml:space="preserve">This information collection requires that the Associate Administrator for Safety, FRA approve the transportation of bulk packages, such as portable tanks and cargo tanks, containing a hazardous material in container-on-flatcar (COFC) or trailer-on-flatcar (TOFC) service if not otherwise authorized for transportation.  </w:t>
      </w:r>
    </w:p>
    <w:p w:rsidR="001034BD" w:rsidRPr="00A0358E" w:rsidP="00735A66" w14:paraId="0872D4FA" w14:textId="66A1CE4D">
      <w:pPr>
        <w:ind w:firstLine="720"/>
        <w:rPr>
          <w:szCs w:val="24"/>
        </w:rPr>
      </w:pPr>
      <w:r w:rsidRPr="00A0358E">
        <w:rPr>
          <w:szCs w:val="24"/>
        </w:rPr>
        <w:t>(8)</w:t>
      </w:r>
      <w:r w:rsidRPr="00A0358E" w:rsidR="00DB3F0C">
        <w:rPr>
          <w:szCs w:val="24"/>
        </w:rPr>
        <w:t xml:space="preserve"> </w:t>
      </w:r>
      <w:r w:rsidRPr="00A0358E" w:rsidR="00DB3F0C">
        <w:rPr>
          <w:i/>
          <w:iCs/>
          <w:szCs w:val="24"/>
        </w:rPr>
        <w:t>Division 1.1 or 1.2 explosive material inspection and Car Certificate requirements</w:t>
      </w:r>
      <w:r w:rsidRPr="00A0358E" w:rsidR="00DB3F0C">
        <w:rPr>
          <w:szCs w:val="24"/>
        </w:rPr>
        <w:t xml:space="preserve">: </w:t>
      </w:r>
      <w:r w:rsidRPr="00A0358E" w:rsidR="005D4011">
        <w:rPr>
          <w:szCs w:val="24"/>
        </w:rPr>
        <w:t xml:space="preserve">This information collection requires that before a Division 1.1 or 1.2 explosive materials may be loaded into a rail car, the car must have been inspected and certified to be in compliance with the requirements of § 174.104(b) by a qualified person designated under 49 CFR 215.11.  </w:t>
      </w:r>
    </w:p>
    <w:p w:rsidR="005D4011" w:rsidRPr="000A7FD4" w:rsidP="00735A66" w14:paraId="522D6071" w14:textId="1187030A">
      <w:pPr>
        <w:ind w:firstLine="720"/>
        <w:rPr>
          <w:szCs w:val="24"/>
        </w:rPr>
      </w:pPr>
      <w:r w:rsidRPr="00A0358E">
        <w:rPr>
          <w:szCs w:val="24"/>
        </w:rPr>
        <w:t xml:space="preserve">(9) </w:t>
      </w:r>
      <w:r w:rsidRPr="00A0358E" w:rsidR="00685FA2">
        <w:rPr>
          <w:i/>
          <w:iCs/>
          <w:szCs w:val="24"/>
        </w:rPr>
        <w:t>Initial marking, requalification marking, and requalification reporting requirements</w:t>
      </w:r>
      <w:r w:rsidRPr="00A0358E" w:rsidR="00685FA2">
        <w:rPr>
          <w:szCs w:val="24"/>
        </w:rPr>
        <w:t xml:space="preserve">: </w:t>
      </w:r>
      <w:r w:rsidRPr="00A0358E" w:rsidR="00BB5A5B">
        <w:rPr>
          <w:szCs w:val="24"/>
        </w:rPr>
        <w:t xml:space="preserve">This information collection consist of the requirements for the detail marking </w:t>
      </w:r>
      <w:r w:rsidRPr="00A0358E" w:rsidR="00A730F1">
        <w:rPr>
          <w:szCs w:val="24"/>
        </w:rPr>
        <w:t>of</w:t>
      </w:r>
      <w:r w:rsidRPr="00A0358E" w:rsidR="00BB5A5B">
        <w:rPr>
          <w:szCs w:val="24"/>
        </w:rPr>
        <w:t xml:space="preserve"> a newly manufactured tank car, requalification tank car marking requirements, and reporting of details for a requalified tank car.  </w:t>
      </w:r>
    </w:p>
    <w:p w:rsidR="009F7DA6" w:rsidRPr="000A7FD4" w:rsidP="000D510E" w14:paraId="6A782BBC" w14:textId="0C76E7AC">
      <w:pPr>
        <w:ind w:firstLine="720"/>
        <w:rPr>
          <w:szCs w:val="24"/>
        </w:rPr>
      </w:pPr>
      <w:r w:rsidRPr="000A7FD4">
        <w:rPr>
          <w:szCs w:val="24"/>
        </w:rPr>
        <w:t>(</w:t>
      </w:r>
      <w:r w:rsidRPr="000A7FD4" w:rsidR="000D510E">
        <w:rPr>
          <w:szCs w:val="24"/>
        </w:rPr>
        <w:t>10</w:t>
      </w:r>
      <w:r w:rsidRPr="000A7FD4">
        <w:rPr>
          <w:szCs w:val="24"/>
        </w:rPr>
        <w:t xml:space="preserve">) </w:t>
      </w:r>
      <w:r w:rsidRPr="000A7FD4">
        <w:rPr>
          <w:i/>
          <w:iCs/>
          <w:szCs w:val="24"/>
        </w:rPr>
        <w:t>Quality Assurance Program</w:t>
      </w:r>
      <w:r w:rsidRPr="000A7FD4">
        <w:rPr>
          <w:szCs w:val="24"/>
        </w:rPr>
        <w:t xml:space="preserve">: </w:t>
      </w:r>
      <w:r w:rsidRPr="000A7FD4" w:rsidR="000D510E">
        <w:rPr>
          <w:szCs w:val="24"/>
        </w:rPr>
        <w:t>This information collection requires f</w:t>
      </w:r>
      <w:r w:rsidRPr="000A7FD4">
        <w:rPr>
          <w:szCs w:val="24"/>
        </w:rPr>
        <w:t xml:space="preserve">acilities that build, repair, and ensure the structural integrity of tank cars are required to develop and implement a quality assurance program. </w:t>
      </w:r>
      <w:r w:rsidRPr="000A7FD4" w:rsidR="00C6042B">
        <w:rPr>
          <w:szCs w:val="24"/>
        </w:rPr>
        <w:t xml:space="preserve"> </w:t>
      </w:r>
      <w:r w:rsidRPr="000A7FD4">
        <w:rPr>
          <w:szCs w:val="24"/>
        </w:rPr>
        <w:t>This information is used by the facility and DOT compliance personnel to ensure that each tank car is constructed or repaired in accordance with the applicable requirements.</w:t>
      </w:r>
    </w:p>
    <w:p w:rsidR="00132DD2" w:rsidRPr="00A0358E" w:rsidP="00132DD2" w14:paraId="58A025F7" w14:textId="6C12A496">
      <w:pPr>
        <w:ind w:firstLine="720"/>
        <w:rPr>
          <w:szCs w:val="24"/>
        </w:rPr>
      </w:pPr>
      <w:r w:rsidRPr="000A7FD4">
        <w:rPr>
          <w:szCs w:val="24"/>
        </w:rPr>
        <w:t>The following is a list of the information collections and burden estimates associated with this OMB Control Number:</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0"/>
        <w:gridCol w:w="1710"/>
        <w:gridCol w:w="1440"/>
        <w:gridCol w:w="1350"/>
        <w:gridCol w:w="1451"/>
      </w:tblGrid>
      <w:tr w14:paraId="400E57C1" w14:textId="77777777" w:rsidTr="000A7FD4">
        <w:tblPrEx>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jc w:val="center"/>
        </w:trPr>
        <w:tc>
          <w:tcPr>
            <w:tcW w:w="3870" w:type="dxa"/>
            <w:shd w:val="clear" w:color="auto" w:fill="auto"/>
            <w:noWrap/>
            <w:vAlign w:val="center"/>
            <w:hideMark/>
          </w:tcPr>
          <w:p w:rsidR="002D71EE" w:rsidRPr="00D322CA" w:rsidP="000A7FD4" w14:paraId="22FAEAAD" w14:textId="144D7D9D">
            <w:pPr>
              <w:spacing w:line="240" w:lineRule="auto"/>
              <w:jc w:val="center"/>
              <w:rPr>
                <w:b/>
                <w:color w:val="000000"/>
                <w:szCs w:val="24"/>
              </w:rPr>
            </w:pPr>
            <w:r w:rsidRPr="0086494C">
              <w:rPr>
                <w:b/>
                <w:color w:val="000000"/>
                <w:szCs w:val="24"/>
              </w:rPr>
              <w:t>Information Collection</w:t>
            </w:r>
          </w:p>
        </w:tc>
        <w:tc>
          <w:tcPr>
            <w:tcW w:w="1710" w:type="dxa"/>
            <w:shd w:val="clear" w:color="auto" w:fill="auto"/>
            <w:noWrap/>
            <w:vAlign w:val="center"/>
            <w:hideMark/>
          </w:tcPr>
          <w:p w:rsidR="002D71EE" w:rsidRPr="00D322CA" w:rsidP="009F69B0" w14:paraId="0F09C2D8" w14:textId="77777777">
            <w:pPr>
              <w:spacing w:line="240" w:lineRule="auto"/>
              <w:jc w:val="center"/>
              <w:rPr>
                <w:b/>
                <w:bCs/>
                <w:color w:val="000000"/>
                <w:szCs w:val="24"/>
              </w:rPr>
            </w:pPr>
            <w:r w:rsidRPr="00005251">
              <w:rPr>
                <w:b/>
                <w:bCs/>
                <w:szCs w:val="24"/>
              </w:rPr>
              <w:t>Respondents</w:t>
            </w:r>
          </w:p>
        </w:tc>
        <w:tc>
          <w:tcPr>
            <w:tcW w:w="1440" w:type="dxa"/>
            <w:shd w:val="clear" w:color="auto" w:fill="auto"/>
            <w:vAlign w:val="center"/>
            <w:hideMark/>
          </w:tcPr>
          <w:p w:rsidR="002D71EE" w:rsidRPr="00D322CA" w:rsidP="0087281B" w14:paraId="0484A3B3" w14:textId="77777777">
            <w:pPr>
              <w:spacing w:line="240" w:lineRule="auto"/>
              <w:jc w:val="center"/>
              <w:rPr>
                <w:b/>
                <w:bCs/>
                <w:color w:val="000000"/>
                <w:szCs w:val="24"/>
              </w:rPr>
            </w:pPr>
            <w:r>
              <w:rPr>
                <w:b/>
                <w:bCs/>
                <w:szCs w:val="24"/>
              </w:rPr>
              <w:t xml:space="preserve">Total Annual </w:t>
            </w:r>
            <w:r w:rsidRPr="00005251">
              <w:rPr>
                <w:b/>
                <w:bCs/>
                <w:szCs w:val="24"/>
              </w:rPr>
              <w:t>Responses</w:t>
            </w:r>
          </w:p>
        </w:tc>
        <w:tc>
          <w:tcPr>
            <w:tcW w:w="1350" w:type="dxa"/>
            <w:shd w:val="clear" w:color="auto" w:fill="auto"/>
            <w:noWrap/>
            <w:vAlign w:val="center"/>
            <w:hideMark/>
          </w:tcPr>
          <w:p w:rsidR="002D71EE" w:rsidRPr="00D322CA" w14:paraId="6F88CB96" w14:textId="77777777">
            <w:pPr>
              <w:spacing w:line="240" w:lineRule="auto"/>
              <w:jc w:val="center"/>
              <w:rPr>
                <w:b/>
                <w:bCs/>
                <w:color w:val="000000"/>
                <w:szCs w:val="24"/>
              </w:rPr>
            </w:pPr>
            <w:r w:rsidRPr="00005251">
              <w:rPr>
                <w:b/>
                <w:bCs/>
                <w:szCs w:val="24"/>
              </w:rPr>
              <w:t>Hours per Response</w:t>
            </w:r>
          </w:p>
        </w:tc>
        <w:tc>
          <w:tcPr>
            <w:tcW w:w="1451" w:type="dxa"/>
            <w:shd w:val="clear" w:color="auto" w:fill="auto"/>
            <w:noWrap/>
            <w:vAlign w:val="center"/>
            <w:hideMark/>
          </w:tcPr>
          <w:p w:rsidR="002D71EE" w:rsidRPr="00D322CA" w14:paraId="6DF73738" w14:textId="77777777">
            <w:pPr>
              <w:spacing w:line="240" w:lineRule="auto"/>
              <w:jc w:val="center"/>
              <w:rPr>
                <w:b/>
                <w:bCs/>
                <w:color w:val="000000"/>
                <w:szCs w:val="24"/>
              </w:rPr>
            </w:pPr>
            <w:r w:rsidRPr="00005251">
              <w:rPr>
                <w:b/>
                <w:bCs/>
                <w:szCs w:val="24"/>
              </w:rPr>
              <w:t xml:space="preserve">Total </w:t>
            </w:r>
            <w:r>
              <w:rPr>
                <w:b/>
                <w:bCs/>
                <w:szCs w:val="24"/>
              </w:rPr>
              <w:t xml:space="preserve">Annual Burden </w:t>
            </w:r>
            <w:r w:rsidRPr="00005251">
              <w:rPr>
                <w:b/>
                <w:bCs/>
                <w:szCs w:val="24"/>
              </w:rPr>
              <w:t>Hours</w:t>
            </w:r>
          </w:p>
        </w:tc>
      </w:tr>
      <w:tr w14:paraId="5B326CD0" w14:textId="77777777" w:rsidTr="000A7FD4">
        <w:tblPrEx>
          <w:tblW w:w="9821" w:type="dxa"/>
          <w:jc w:val="center"/>
          <w:tblLook w:val="04A0"/>
        </w:tblPrEx>
        <w:trPr>
          <w:trHeight w:val="143"/>
          <w:jc w:val="center"/>
        </w:trPr>
        <w:tc>
          <w:tcPr>
            <w:tcW w:w="3870" w:type="dxa"/>
            <w:shd w:val="clear" w:color="auto" w:fill="FFFFFF" w:themeFill="background1"/>
            <w:noWrap/>
            <w:vAlign w:val="bottom"/>
            <w:hideMark/>
          </w:tcPr>
          <w:p w:rsidR="002D71EE" w:rsidRPr="00D322CA" w:rsidP="00D80863" w14:paraId="01495D0F" w14:textId="49E67299">
            <w:pPr>
              <w:spacing w:line="240" w:lineRule="auto"/>
              <w:rPr>
                <w:bCs/>
                <w:color w:val="000000"/>
                <w:szCs w:val="24"/>
              </w:rPr>
            </w:pPr>
            <w:r w:rsidRPr="0013628F">
              <w:rPr>
                <w:bCs/>
                <w:color w:val="000000"/>
                <w:szCs w:val="24"/>
              </w:rPr>
              <w:t>Tank Car Approvals</w:t>
            </w:r>
          </w:p>
        </w:tc>
        <w:tc>
          <w:tcPr>
            <w:tcW w:w="1710" w:type="dxa"/>
            <w:shd w:val="clear" w:color="auto" w:fill="FFFFFF" w:themeFill="background1"/>
            <w:noWrap/>
            <w:vAlign w:val="center"/>
            <w:hideMark/>
          </w:tcPr>
          <w:p w:rsidR="002D71EE" w:rsidRPr="00D322CA" w:rsidP="00D80863" w14:paraId="7683C909" w14:textId="5F04BAA3">
            <w:pPr>
              <w:spacing w:line="240" w:lineRule="auto"/>
              <w:jc w:val="center"/>
              <w:rPr>
                <w:color w:val="000000"/>
                <w:szCs w:val="24"/>
              </w:rPr>
            </w:pPr>
            <w:r>
              <w:rPr>
                <w:color w:val="000000"/>
                <w:szCs w:val="24"/>
              </w:rPr>
              <w:t>2</w:t>
            </w:r>
          </w:p>
        </w:tc>
        <w:tc>
          <w:tcPr>
            <w:tcW w:w="1440" w:type="dxa"/>
            <w:shd w:val="clear" w:color="auto" w:fill="FFFFFF" w:themeFill="background1"/>
            <w:vAlign w:val="center"/>
            <w:hideMark/>
          </w:tcPr>
          <w:p w:rsidR="002D71EE" w:rsidRPr="00D322CA" w:rsidP="00D80863" w14:paraId="38C44E24" w14:textId="5378F5FA">
            <w:pPr>
              <w:spacing w:line="240" w:lineRule="auto"/>
              <w:jc w:val="center"/>
              <w:rPr>
                <w:color w:val="000000"/>
                <w:szCs w:val="24"/>
              </w:rPr>
            </w:pPr>
            <w:r>
              <w:rPr>
                <w:color w:val="000000"/>
                <w:szCs w:val="24"/>
              </w:rPr>
              <w:t>2</w:t>
            </w:r>
          </w:p>
        </w:tc>
        <w:tc>
          <w:tcPr>
            <w:tcW w:w="1350" w:type="dxa"/>
            <w:shd w:val="clear" w:color="auto" w:fill="FFFFFF" w:themeFill="background1"/>
            <w:noWrap/>
            <w:vAlign w:val="center"/>
          </w:tcPr>
          <w:p w:rsidR="002D71EE" w:rsidRPr="00D322CA" w:rsidP="00D80863" w14:paraId="5DF6816F" w14:textId="67331062">
            <w:pPr>
              <w:spacing w:line="240" w:lineRule="auto"/>
              <w:jc w:val="center"/>
              <w:rPr>
                <w:color w:val="000000"/>
                <w:szCs w:val="24"/>
              </w:rPr>
            </w:pPr>
            <w:r>
              <w:rPr>
                <w:color w:val="000000"/>
                <w:szCs w:val="24"/>
              </w:rPr>
              <w:t>6.5</w:t>
            </w:r>
          </w:p>
        </w:tc>
        <w:tc>
          <w:tcPr>
            <w:tcW w:w="1451" w:type="dxa"/>
            <w:shd w:val="clear" w:color="auto" w:fill="FFFFFF" w:themeFill="background1"/>
            <w:noWrap/>
            <w:vAlign w:val="center"/>
          </w:tcPr>
          <w:p w:rsidR="002D71EE" w:rsidRPr="00D322CA" w:rsidP="00D80863" w14:paraId="54D06EAB" w14:textId="39B4582A">
            <w:pPr>
              <w:spacing w:line="240" w:lineRule="auto"/>
              <w:jc w:val="center"/>
              <w:rPr>
                <w:color w:val="000000"/>
                <w:szCs w:val="24"/>
              </w:rPr>
            </w:pPr>
            <w:r>
              <w:rPr>
                <w:color w:val="000000"/>
                <w:szCs w:val="24"/>
              </w:rPr>
              <w:t>13</w:t>
            </w:r>
          </w:p>
        </w:tc>
      </w:tr>
      <w:tr w14:paraId="6919DBE1"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9F7DA6" w:rsidRPr="00D322CA" w:rsidP="00D80863" w14:paraId="572869AD" w14:textId="3A70ED49">
            <w:pPr>
              <w:spacing w:line="240" w:lineRule="auto"/>
              <w:rPr>
                <w:bCs/>
                <w:color w:val="000000"/>
                <w:szCs w:val="24"/>
              </w:rPr>
            </w:pPr>
            <w:r w:rsidRPr="00E673D3">
              <w:rPr>
                <w:bCs/>
                <w:color w:val="000000"/>
                <w:szCs w:val="24"/>
              </w:rPr>
              <w:t>AAR approval required when a tank car is proposed for commodity service other than specified on a certificate of construction</w:t>
            </w:r>
            <w:r>
              <w:rPr>
                <w:bCs/>
                <w:color w:val="000000"/>
                <w:szCs w:val="24"/>
              </w:rPr>
              <w:t>`</w:t>
            </w:r>
          </w:p>
        </w:tc>
        <w:tc>
          <w:tcPr>
            <w:tcW w:w="1710" w:type="dxa"/>
            <w:shd w:val="clear" w:color="auto" w:fill="FFFFFF" w:themeFill="background1"/>
            <w:noWrap/>
            <w:vAlign w:val="center"/>
          </w:tcPr>
          <w:p w:rsidR="009F7DA6" w:rsidRPr="00D322CA" w:rsidP="00D80863" w14:paraId="446B0324" w14:textId="0F751110">
            <w:pPr>
              <w:spacing w:line="240" w:lineRule="auto"/>
              <w:jc w:val="center"/>
              <w:rPr>
                <w:color w:val="000000"/>
                <w:szCs w:val="24"/>
              </w:rPr>
            </w:pPr>
            <w:r>
              <w:rPr>
                <w:color w:val="000000"/>
                <w:szCs w:val="24"/>
              </w:rPr>
              <w:t>25</w:t>
            </w:r>
          </w:p>
        </w:tc>
        <w:tc>
          <w:tcPr>
            <w:tcW w:w="1440" w:type="dxa"/>
            <w:shd w:val="clear" w:color="auto" w:fill="FFFFFF" w:themeFill="background1"/>
            <w:vAlign w:val="center"/>
          </w:tcPr>
          <w:p w:rsidR="009F7DA6" w:rsidRPr="00D322CA" w:rsidP="00D80863" w14:paraId="58644821" w14:textId="2B4F1881">
            <w:pPr>
              <w:spacing w:line="240" w:lineRule="auto"/>
              <w:jc w:val="center"/>
              <w:rPr>
                <w:color w:val="000000"/>
                <w:szCs w:val="24"/>
              </w:rPr>
            </w:pPr>
            <w:r>
              <w:rPr>
                <w:color w:val="000000"/>
                <w:szCs w:val="24"/>
              </w:rPr>
              <w:t>1200</w:t>
            </w:r>
          </w:p>
        </w:tc>
        <w:tc>
          <w:tcPr>
            <w:tcW w:w="1350" w:type="dxa"/>
            <w:shd w:val="clear" w:color="auto" w:fill="FFFFFF" w:themeFill="background1"/>
            <w:noWrap/>
            <w:vAlign w:val="center"/>
          </w:tcPr>
          <w:p w:rsidR="009F7DA6" w:rsidRPr="00D322CA" w:rsidP="00D80863" w14:paraId="1A3001D7" w14:textId="5F5BEC52">
            <w:pPr>
              <w:spacing w:line="240" w:lineRule="auto"/>
              <w:jc w:val="center"/>
              <w:rPr>
                <w:color w:val="000000"/>
                <w:szCs w:val="24"/>
              </w:rPr>
            </w:pPr>
            <w:r>
              <w:rPr>
                <w:color w:val="000000"/>
                <w:szCs w:val="24"/>
              </w:rPr>
              <w:t>0.16</w:t>
            </w:r>
            <w:r w:rsidR="00A44FD2">
              <w:rPr>
                <w:color w:val="000000"/>
                <w:szCs w:val="24"/>
              </w:rPr>
              <w:t>7</w:t>
            </w:r>
          </w:p>
        </w:tc>
        <w:tc>
          <w:tcPr>
            <w:tcW w:w="1451" w:type="dxa"/>
            <w:shd w:val="clear" w:color="auto" w:fill="FFFFFF" w:themeFill="background1"/>
            <w:noWrap/>
            <w:vAlign w:val="center"/>
          </w:tcPr>
          <w:p w:rsidR="009F7DA6" w:rsidRPr="00D322CA" w:rsidP="00D80863" w14:paraId="3EC36581" w14:textId="1F9A0B02">
            <w:pPr>
              <w:spacing w:line="240" w:lineRule="auto"/>
              <w:jc w:val="center"/>
              <w:rPr>
                <w:color w:val="000000"/>
                <w:szCs w:val="24"/>
              </w:rPr>
            </w:pPr>
            <w:r>
              <w:rPr>
                <w:color w:val="000000"/>
                <w:szCs w:val="24"/>
              </w:rPr>
              <w:t>200</w:t>
            </w:r>
          </w:p>
        </w:tc>
      </w:tr>
      <w:tr w14:paraId="4E1CFFEC"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9F7DA6" w:rsidRPr="00D322CA" w:rsidP="00D80863" w14:paraId="187DD8F3" w14:textId="55BBD9FA">
            <w:pPr>
              <w:spacing w:line="240" w:lineRule="auto"/>
              <w:rPr>
                <w:bCs/>
                <w:color w:val="000000"/>
                <w:szCs w:val="24"/>
              </w:rPr>
            </w:pPr>
            <w:r w:rsidRPr="00605772">
              <w:rPr>
                <w:bCs/>
                <w:color w:val="000000"/>
                <w:szCs w:val="24"/>
              </w:rPr>
              <w:t>Annual tank car owner progress report to FRA</w:t>
            </w:r>
          </w:p>
        </w:tc>
        <w:tc>
          <w:tcPr>
            <w:tcW w:w="1710" w:type="dxa"/>
            <w:shd w:val="clear" w:color="auto" w:fill="FFFFFF" w:themeFill="background1"/>
            <w:noWrap/>
            <w:vAlign w:val="center"/>
          </w:tcPr>
          <w:p w:rsidR="009F7DA6" w:rsidRPr="00D322CA" w:rsidP="00D80863" w14:paraId="2EF8A03F" w14:textId="0D6C471A">
            <w:pPr>
              <w:spacing w:line="240" w:lineRule="auto"/>
              <w:jc w:val="center"/>
              <w:rPr>
                <w:color w:val="000000"/>
                <w:szCs w:val="24"/>
              </w:rPr>
            </w:pPr>
            <w:r>
              <w:rPr>
                <w:color w:val="000000"/>
                <w:szCs w:val="24"/>
              </w:rPr>
              <w:t>100</w:t>
            </w:r>
          </w:p>
        </w:tc>
        <w:tc>
          <w:tcPr>
            <w:tcW w:w="1440" w:type="dxa"/>
            <w:shd w:val="clear" w:color="auto" w:fill="FFFFFF" w:themeFill="background1"/>
            <w:vAlign w:val="center"/>
          </w:tcPr>
          <w:p w:rsidR="009F7DA6" w:rsidRPr="00D322CA" w:rsidP="00D80863" w14:paraId="13284CAF" w14:textId="50B9BF7C">
            <w:pPr>
              <w:spacing w:line="240" w:lineRule="auto"/>
              <w:jc w:val="center"/>
              <w:rPr>
                <w:color w:val="000000"/>
                <w:szCs w:val="24"/>
              </w:rPr>
            </w:pPr>
            <w:r>
              <w:rPr>
                <w:color w:val="000000"/>
                <w:szCs w:val="24"/>
              </w:rPr>
              <w:t>100</w:t>
            </w:r>
          </w:p>
        </w:tc>
        <w:tc>
          <w:tcPr>
            <w:tcW w:w="1350" w:type="dxa"/>
            <w:shd w:val="clear" w:color="auto" w:fill="FFFFFF" w:themeFill="background1"/>
            <w:noWrap/>
            <w:vAlign w:val="center"/>
          </w:tcPr>
          <w:p w:rsidR="009F7DA6" w:rsidRPr="00D322CA" w:rsidP="00D80863" w14:paraId="0C12871B" w14:textId="00F3D9C2">
            <w:pPr>
              <w:spacing w:line="240" w:lineRule="auto"/>
              <w:jc w:val="center"/>
              <w:rPr>
                <w:color w:val="000000"/>
                <w:szCs w:val="24"/>
              </w:rPr>
            </w:pPr>
            <w:r>
              <w:rPr>
                <w:color w:val="000000"/>
                <w:szCs w:val="24"/>
              </w:rPr>
              <w:t>1</w:t>
            </w:r>
          </w:p>
        </w:tc>
        <w:tc>
          <w:tcPr>
            <w:tcW w:w="1451" w:type="dxa"/>
            <w:shd w:val="clear" w:color="auto" w:fill="FFFFFF" w:themeFill="background1"/>
            <w:noWrap/>
            <w:vAlign w:val="center"/>
          </w:tcPr>
          <w:p w:rsidR="009F7DA6" w:rsidRPr="00D322CA" w:rsidP="00D80863" w14:paraId="3DD5CCC2" w14:textId="534F9DD3">
            <w:pPr>
              <w:spacing w:line="240" w:lineRule="auto"/>
              <w:jc w:val="center"/>
              <w:rPr>
                <w:color w:val="000000"/>
                <w:szCs w:val="24"/>
              </w:rPr>
            </w:pPr>
            <w:r>
              <w:rPr>
                <w:color w:val="000000"/>
                <w:szCs w:val="24"/>
              </w:rPr>
              <w:t>100</w:t>
            </w:r>
          </w:p>
        </w:tc>
      </w:tr>
      <w:tr w14:paraId="43BB8129"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1F4BFF" w:rsidRPr="00D322CA" w:rsidP="00D80863" w14:paraId="51CB02E8" w14:textId="1256665B">
            <w:pPr>
              <w:spacing w:line="240" w:lineRule="auto"/>
              <w:rPr>
                <w:bCs/>
                <w:color w:val="000000"/>
                <w:szCs w:val="24"/>
              </w:rPr>
            </w:pPr>
            <w:r w:rsidRPr="00350540">
              <w:rPr>
                <w:bCs/>
                <w:color w:val="000000"/>
                <w:szCs w:val="24"/>
              </w:rPr>
              <w:t>Compressed Gases and Cryogenic Liquids in Tank Cars and Multi Unit Tank Cars Reporting</w:t>
            </w:r>
          </w:p>
        </w:tc>
        <w:tc>
          <w:tcPr>
            <w:tcW w:w="1710" w:type="dxa"/>
            <w:shd w:val="clear" w:color="auto" w:fill="FFFFFF" w:themeFill="background1"/>
            <w:noWrap/>
            <w:vAlign w:val="center"/>
          </w:tcPr>
          <w:p w:rsidR="001F4BFF" w:rsidRPr="00D322CA" w:rsidP="00D80863" w14:paraId="743B6C0C" w14:textId="17A1649D">
            <w:pPr>
              <w:spacing w:line="240" w:lineRule="auto"/>
              <w:jc w:val="center"/>
              <w:rPr>
                <w:color w:val="000000"/>
                <w:szCs w:val="24"/>
              </w:rPr>
            </w:pPr>
            <w:r>
              <w:rPr>
                <w:color w:val="000000"/>
                <w:szCs w:val="24"/>
              </w:rPr>
              <w:t>6</w:t>
            </w:r>
          </w:p>
        </w:tc>
        <w:tc>
          <w:tcPr>
            <w:tcW w:w="1440" w:type="dxa"/>
            <w:shd w:val="clear" w:color="auto" w:fill="FFFFFF" w:themeFill="background1"/>
            <w:vAlign w:val="center"/>
          </w:tcPr>
          <w:p w:rsidR="001F4BFF" w:rsidRPr="00D322CA" w:rsidP="00D80863" w14:paraId="26AD0C89" w14:textId="2F168A7B">
            <w:pPr>
              <w:spacing w:line="240" w:lineRule="auto"/>
              <w:jc w:val="center"/>
              <w:rPr>
                <w:color w:val="000000"/>
                <w:szCs w:val="24"/>
              </w:rPr>
            </w:pPr>
            <w:r>
              <w:rPr>
                <w:color w:val="000000"/>
                <w:szCs w:val="24"/>
              </w:rPr>
              <w:t>141</w:t>
            </w:r>
          </w:p>
        </w:tc>
        <w:tc>
          <w:tcPr>
            <w:tcW w:w="1350" w:type="dxa"/>
            <w:shd w:val="clear" w:color="auto" w:fill="FFFFFF" w:themeFill="background1"/>
            <w:noWrap/>
            <w:vAlign w:val="center"/>
          </w:tcPr>
          <w:p w:rsidR="001F4BFF" w:rsidRPr="00D322CA" w:rsidP="00D80863" w14:paraId="57C6A721" w14:textId="18C36092">
            <w:pPr>
              <w:spacing w:line="240" w:lineRule="auto"/>
              <w:jc w:val="center"/>
              <w:rPr>
                <w:color w:val="000000"/>
                <w:szCs w:val="24"/>
              </w:rPr>
            </w:pPr>
            <w:r>
              <w:rPr>
                <w:color w:val="000000"/>
                <w:szCs w:val="24"/>
              </w:rPr>
              <w:t>0.25</w:t>
            </w:r>
          </w:p>
        </w:tc>
        <w:tc>
          <w:tcPr>
            <w:tcW w:w="1451" w:type="dxa"/>
            <w:shd w:val="clear" w:color="auto" w:fill="FFFFFF" w:themeFill="background1"/>
            <w:noWrap/>
            <w:vAlign w:val="center"/>
          </w:tcPr>
          <w:p w:rsidR="001F4BFF" w:rsidRPr="00D322CA" w:rsidP="00D80863" w14:paraId="7B068223" w14:textId="5FAE7FA1">
            <w:pPr>
              <w:spacing w:line="240" w:lineRule="auto"/>
              <w:jc w:val="center"/>
              <w:rPr>
                <w:color w:val="000000"/>
                <w:szCs w:val="24"/>
              </w:rPr>
            </w:pPr>
            <w:r>
              <w:rPr>
                <w:color w:val="000000"/>
                <w:szCs w:val="24"/>
              </w:rPr>
              <w:t>35</w:t>
            </w:r>
          </w:p>
        </w:tc>
      </w:tr>
      <w:tr w14:paraId="63B6EC93"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1F4BFF" w:rsidRPr="00D322CA" w:rsidP="00D80863" w14:paraId="560DADF4" w14:textId="00637BD7">
            <w:pPr>
              <w:spacing w:line="240" w:lineRule="auto"/>
              <w:rPr>
                <w:bCs/>
                <w:color w:val="000000"/>
                <w:szCs w:val="24"/>
              </w:rPr>
            </w:pPr>
            <w:r w:rsidRPr="007251D7">
              <w:rPr>
                <w:bCs/>
                <w:color w:val="000000"/>
                <w:szCs w:val="24"/>
              </w:rPr>
              <w:t>Reporting to the Bureau of Explosives regarding any restrictions over any portion of its lines</w:t>
            </w:r>
          </w:p>
        </w:tc>
        <w:tc>
          <w:tcPr>
            <w:tcW w:w="1710" w:type="dxa"/>
            <w:shd w:val="clear" w:color="auto" w:fill="FFFFFF" w:themeFill="background1"/>
            <w:noWrap/>
            <w:vAlign w:val="center"/>
          </w:tcPr>
          <w:p w:rsidR="001F4BFF" w:rsidRPr="00D322CA" w:rsidP="00D80863" w14:paraId="65D75CF4" w14:textId="24E0AA2E">
            <w:pPr>
              <w:spacing w:line="240" w:lineRule="auto"/>
              <w:jc w:val="center"/>
              <w:rPr>
                <w:color w:val="000000"/>
                <w:szCs w:val="24"/>
              </w:rPr>
            </w:pPr>
            <w:r>
              <w:rPr>
                <w:color w:val="000000"/>
                <w:szCs w:val="24"/>
              </w:rPr>
              <w:t>34</w:t>
            </w:r>
          </w:p>
        </w:tc>
        <w:tc>
          <w:tcPr>
            <w:tcW w:w="1440" w:type="dxa"/>
            <w:shd w:val="clear" w:color="auto" w:fill="FFFFFF" w:themeFill="background1"/>
            <w:vAlign w:val="center"/>
          </w:tcPr>
          <w:p w:rsidR="001F4BFF" w:rsidRPr="00D322CA" w:rsidP="00D80863" w14:paraId="1215EB63" w14:textId="428ABECD">
            <w:pPr>
              <w:spacing w:line="240" w:lineRule="auto"/>
              <w:jc w:val="center"/>
              <w:rPr>
                <w:color w:val="000000"/>
                <w:szCs w:val="24"/>
              </w:rPr>
            </w:pPr>
            <w:r>
              <w:rPr>
                <w:color w:val="000000"/>
                <w:szCs w:val="24"/>
              </w:rPr>
              <w:t>51</w:t>
            </w:r>
          </w:p>
        </w:tc>
        <w:tc>
          <w:tcPr>
            <w:tcW w:w="1350" w:type="dxa"/>
            <w:shd w:val="clear" w:color="auto" w:fill="FFFFFF" w:themeFill="background1"/>
            <w:noWrap/>
            <w:vAlign w:val="center"/>
          </w:tcPr>
          <w:p w:rsidR="001F4BFF" w:rsidRPr="00D322CA" w:rsidP="00D80863" w14:paraId="6DF3FA45" w14:textId="5E35E82A">
            <w:pPr>
              <w:spacing w:line="240" w:lineRule="auto"/>
              <w:jc w:val="center"/>
              <w:rPr>
                <w:color w:val="000000"/>
                <w:szCs w:val="24"/>
              </w:rPr>
            </w:pPr>
            <w:r>
              <w:rPr>
                <w:color w:val="000000"/>
                <w:szCs w:val="24"/>
              </w:rPr>
              <w:t>0.333</w:t>
            </w:r>
          </w:p>
        </w:tc>
        <w:tc>
          <w:tcPr>
            <w:tcW w:w="1451" w:type="dxa"/>
            <w:shd w:val="clear" w:color="auto" w:fill="FFFFFF" w:themeFill="background1"/>
            <w:noWrap/>
            <w:vAlign w:val="center"/>
          </w:tcPr>
          <w:p w:rsidR="001F4BFF" w:rsidRPr="00D322CA" w:rsidP="00D80863" w14:paraId="43D529F1" w14:textId="2690F913">
            <w:pPr>
              <w:spacing w:line="240" w:lineRule="auto"/>
              <w:jc w:val="center"/>
              <w:rPr>
                <w:color w:val="000000"/>
                <w:szCs w:val="24"/>
              </w:rPr>
            </w:pPr>
            <w:r>
              <w:rPr>
                <w:color w:val="000000"/>
                <w:szCs w:val="24"/>
              </w:rPr>
              <w:t>17</w:t>
            </w:r>
          </w:p>
        </w:tc>
      </w:tr>
      <w:tr w14:paraId="16583C01"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1F4BFF" w:rsidRPr="00D322CA" w:rsidP="00D80863" w14:paraId="08823F95" w14:textId="6ACE3AE6">
            <w:pPr>
              <w:spacing w:line="240" w:lineRule="auto"/>
              <w:rPr>
                <w:bCs/>
                <w:color w:val="000000"/>
                <w:szCs w:val="24"/>
              </w:rPr>
            </w:pPr>
            <w:r w:rsidRPr="00196FC3">
              <w:rPr>
                <w:bCs/>
                <w:color w:val="000000"/>
                <w:szCs w:val="24"/>
              </w:rPr>
              <w:t>Nonconforming bulk packages must be repaired or approved from movement by the FRA</w:t>
            </w:r>
          </w:p>
        </w:tc>
        <w:tc>
          <w:tcPr>
            <w:tcW w:w="1710" w:type="dxa"/>
            <w:shd w:val="clear" w:color="auto" w:fill="FFFFFF" w:themeFill="background1"/>
            <w:noWrap/>
            <w:vAlign w:val="center"/>
          </w:tcPr>
          <w:p w:rsidR="001F4BFF" w:rsidRPr="00D322CA" w:rsidP="00D80863" w14:paraId="07CDDC5F" w14:textId="76E3DE1C">
            <w:pPr>
              <w:spacing w:line="240" w:lineRule="auto"/>
              <w:jc w:val="center"/>
              <w:rPr>
                <w:color w:val="000000"/>
                <w:szCs w:val="24"/>
              </w:rPr>
            </w:pPr>
            <w:r>
              <w:rPr>
                <w:color w:val="000000"/>
                <w:szCs w:val="24"/>
              </w:rPr>
              <w:t>388</w:t>
            </w:r>
          </w:p>
        </w:tc>
        <w:tc>
          <w:tcPr>
            <w:tcW w:w="1440" w:type="dxa"/>
            <w:shd w:val="clear" w:color="auto" w:fill="FFFFFF" w:themeFill="background1"/>
            <w:vAlign w:val="center"/>
          </w:tcPr>
          <w:p w:rsidR="001F4BFF" w:rsidRPr="00D322CA" w:rsidP="00D80863" w14:paraId="7F8BE68C" w14:textId="797E576F">
            <w:pPr>
              <w:spacing w:line="240" w:lineRule="auto"/>
              <w:jc w:val="center"/>
              <w:rPr>
                <w:color w:val="000000"/>
                <w:szCs w:val="24"/>
              </w:rPr>
            </w:pPr>
            <w:r>
              <w:rPr>
                <w:color w:val="000000"/>
                <w:szCs w:val="24"/>
              </w:rPr>
              <w:t>4,308</w:t>
            </w:r>
          </w:p>
        </w:tc>
        <w:tc>
          <w:tcPr>
            <w:tcW w:w="1350" w:type="dxa"/>
            <w:shd w:val="clear" w:color="auto" w:fill="FFFFFF" w:themeFill="background1"/>
            <w:noWrap/>
            <w:vAlign w:val="center"/>
          </w:tcPr>
          <w:p w:rsidR="001F4BFF" w:rsidRPr="00D322CA" w:rsidP="00D80863" w14:paraId="35189859" w14:textId="48CA2622">
            <w:pPr>
              <w:spacing w:line="240" w:lineRule="auto"/>
              <w:jc w:val="center"/>
              <w:rPr>
                <w:color w:val="000000"/>
                <w:szCs w:val="24"/>
              </w:rPr>
            </w:pPr>
            <w:r>
              <w:rPr>
                <w:color w:val="000000"/>
                <w:szCs w:val="24"/>
              </w:rPr>
              <w:t>0.4</w:t>
            </w:r>
          </w:p>
        </w:tc>
        <w:tc>
          <w:tcPr>
            <w:tcW w:w="1451" w:type="dxa"/>
            <w:shd w:val="clear" w:color="auto" w:fill="FFFFFF" w:themeFill="background1"/>
            <w:noWrap/>
            <w:vAlign w:val="center"/>
          </w:tcPr>
          <w:p w:rsidR="001F4BFF" w:rsidRPr="00D322CA" w:rsidP="00D80863" w14:paraId="0B99622E" w14:textId="6E56B423">
            <w:pPr>
              <w:spacing w:line="240" w:lineRule="auto"/>
              <w:jc w:val="center"/>
              <w:rPr>
                <w:color w:val="000000"/>
                <w:szCs w:val="24"/>
              </w:rPr>
            </w:pPr>
            <w:r>
              <w:rPr>
                <w:color w:val="000000"/>
                <w:szCs w:val="24"/>
              </w:rPr>
              <w:t>1,695</w:t>
            </w:r>
          </w:p>
        </w:tc>
      </w:tr>
      <w:tr w14:paraId="3FCEB818"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1F4BFF" w:rsidRPr="00D322CA" w:rsidP="00D80863" w14:paraId="5CC89B17" w14:textId="6E5A6506">
            <w:pPr>
              <w:spacing w:line="240" w:lineRule="auto"/>
              <w:rPr>
                <w:bCs/>
                <w:color w:val="000000"/>
                <w:szCs w:val="24"/>
              </w:rPr>
            </w:pPr>
            <w:r w:rsidRPr="00832BBD">
              <w:rPr>
                <w:bCs/>
                <w:color w:val="000000"/>
                <w:szCs w:val="24"/>
              </w:rPr>
              <w:t>FRA Approval for transportation of bulk packages containing a hazardous material in COFC or TOFC service</w:t>
            </w:r>
          </w:p>
        </w:tc>
        <w:tc>
          <w:tcPr>
            <w:tcW w:w="1710" w:type="dxa"/>
            <w:shd w:val="clear" w:color="auto" w:fill="FFFFFF" w:themeFill="background1"/>
            <w:noWrap/>
            <w:vAlign w:val="center"/>
          </w:tcPr>
          <w:p w:rsidR="001F4BFF" w:rsidRPr="00D322CA" w:rsidP="00D80863" w14:paraId="16F2AB62" w14:textId="1CE29AAE">
            <w:pPr>
              <w:spacing w:line="240" w:lineRule="auto"/>
              <w:jc w:val="center"/>
              <w:rPr>
                <w:color w:val="000000"/>
                <w:szCs w:val="24"/>
              </w:rPr>
            </w:pPr>
            <w:r>
              <w:rPr>
                <w:color w:val="000000"/>
                <w:szCs w:val="24"/>
              </w:rPr>
              <w:t>6</w:t>
            </w:r>
          </w:p>
        </w:tc>
        <w:tc>
          <w:tcPr>
            <w:tcW w:w="1440" w:type="dxa"/>
            <w:shd w:val="clear" w:color="auto" w:fill="FFFFFF" w:themeFill="background1"/>
            <w:vAlign w:val="center"/>
          </w:tcPr>
          <w:p w:rsidR="001F4BFF" w:rsidRPr="00D322CA" w:rsidP="00D80863" w14:paraId="76A582E6" w14:textId="4A08F354">
            <w:pPr>
              <w:spacing w:line="240" w:lineRule="auto"/>
              <w:jc w:val="center"/>
              <w:rPr>
                <w:color w:val="000000"/>
                <w:szCs w:val="24"/>
              </w:rPr>
            </w:pPr>
            <w:r>
              <w:rPr>
                <w:color w:val="000000"/>
                <w:szCs w:val="24"/>
              </w:rPr>
              <w:t>6</w:t>
            </w:r>
          </w:p>
        </w:tc>
        <w:tc>
          <w:tcPr>
            <w:tcW w:w="1350" w:type="dxa"/>
            <w:shd w:val="clear" w:color="auto" w:fill="FFFFFF" w:themeFill="background1"/>
            <w:noWrap/>
            <w:vAlign w:val="center"/>
          </w:tcPr>
          <w:p w:rsidR="001F4BFF" w:rsidRPr="00D322CA" w:rsidP="00D80863" w14:paraId="469BA984" w14:textId="46D4BA85">
            <w:pPr>
              <w:spacing w:line="240" w:lineRule="auto"/>
              <w:jc w:val="center"/>
              <w:rPr>
                <w:color w:val="000000"/>
                <w:szCs w:val="24"/>
              </w:rPr>
            </w:pPr>
            <w:r>
              <w:rPr>
                <w:color w:val="000000"/>
                <w:szCs w:val="24"/>
              </w:rPr>
              <w:t>0.5</w:t>
            </w:r>
          </w:p>
        </w:tc>
        <w:tc>
          <w:tcPr>
            <w:tcW w:w="1451" w:type="dxa"/>
            <w:shd w:val="clear" w:color="auto" w:fill="FFFFFF" w:themeFill="background1"/>
            <w:noWrap/>
            <w:vAlign w:val="center"/>
          </w:tcPr>
          <w:p w:rsidR="001F4BFF" w:rsidRPr="00D322CA" w:rsidP="00D80863" w14:paraId="5CC2FF73" w14:textId="6EB9F49C">
            <w:pPr>
              <w:spacing w:line="240" w:lineRule="auto"/>
              <w:jc w:val="center"/>
              <w:rPr>
                <w:color w:val="000000"/>
                <w:szCs w:val="24"/>
              </w:rPr>
            </w:pPr>
            <w:r>
              <w:rPr>
                <w:color w:val="000000"/>
                <w:szCs w:val="24"/>
              </w:rPr>
              <w:t>3</w:t>
            </w:r>
          </w:p>
        </w:tc>
      </w:tr>
      <w:tr w14:paraId="078ABC81"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1F4BFF" w:rsidRPr="00D322CA" w:rsidP="00D80863" w14:paraId="75EBD1BD" w14:textId="01E28E2F">
            <w:pPr>
              <w:spacing w:line="240" w:lineRule="auto"/>
              <w:rPr>
                <w:bCs/>
                <w:color w:val="000000"/>
                <w:szCs w:val="24"/>
              </w:rPr>
            </w:pPr>
            <w:r w:rsidRPr="00C21381">
              <w:rPr>
                <w:bCs/>
                <w:color w:val="000000"/>
                <w:szCs w:val="24"/>
              </w:rPr>
              <w:t>Division 1.1 or 1.2 explosive material inspection and Car Certificate requirements</w:t>
            </w:r>
          </w:p>
        </w:tc>
        <w:tc>
          <w:tcPr>
            <w:tcW w:w="1710" w:type="dxa"/>
            <w:shd w:val="clear" w:color="auto" w:fill="FFFFFF" w:themeFill="background1"/>
            <w:noWrap/>
            <w:vAlign w:val="center"/>
          </w:tcPr>
          <w:p w:rsidR="001F4BFF" w:rsidRPr="00D322CA" w:rsidP="00D80863" w14:paraId="72DA2689" w14:textId="0D8D2A2B">
            <w:pPr>
              <w:spacing w:line="240" w:lineRule="auto"/>
              <w:jc w:val="center"/>
              <w:rPr>
                <w:color w:val="000000"/>
                <w:szCs w:val="24"/>
              </w:rPr>
            </w:pPr>
            <w:r>
              <w:rPr>
                <w:color w:val="000000"/>
                <w:szCs w:val="24"/>
              </w:rPr>
              <w:t>25</w:t>
            </w:r>
          </w:p>
        </w:tc>
        <w:tc>
          <w:tcPr>
            <w:tcW w:w="1440" w:type="dxa"/>
            <w:shd w:val="clear" w:color="auto" w:fill="FFFFFF" w:themeFill="background1"/>
            <w:vAlign w:val="center"/>
          </w:tcPr>
          <w:p w:rsidR="001F4BFF" w:rsidRPr="00D322CA" w:rsidP="00D80863" w14:paraId="36053EBF" w14:textId="0316B36B">
            <w:pPr>
              <w:spacing w:line="240" w:lineRule="auto"/>
              <w:jc w:val="center"/>
              <w:rPr>
                <w:color w:val="000000"/>
                <w:szCs w:val="24"/>
              </w:rPr>
            </w:pPr>
            <w:r>
              <w:rPr>
                <w:color w:val="000000"/>
                <w:szCs w:val="24"/>
              </w:rPr>
              <w:t>600</w:t>
            </w:r>
          </w:p>
        </w:tc>
        <w:tc>
          <w:tcPr>
            <w:tcW w:w="1350" w:type="dxa"/>
            <w:shd w:val="clear" w:color="auto" w:fill="FFFFFF" w:themeFill="background1"/>
            <w:noWrap/>
            <w:vAlign w:val="center"/>
          </w:tcPr>
          <w:p w:rsidR="001F4BFF" w:rsidRPr="00D322CA" w:rsidP="00D80863" w14:paraId="0244EB4D" w14:textId="70415DCA">
            <w:pPr>
              <w:spacing w:line="240" w:lineRule="auto"/>
              <w:jc w:val="center"/>
              <w:rPr>
                <w:color w:val="000000"/>
                <w:szCs w:val="24"/>
              </w:rPr>
            </w:pPr>
            <w:r>
              <w:rPr>
                <w:color w:val="000000"/>
                <w:szCs w:val="24"/>
              </w:rPr>
              <w:t>0.333</w:t>
            </w:r>
          </w:p>
        </w:tc>
        <w:tc>
          <w:tcPr>
            <w:tcW w:w="1451" w:type="dxa"/>
            <w:shd w:val="clear" w:color="auto" w:fill="FFFFFF" w:themeFill="background1"/>
            <w:noWrap/>
            <w:vAlign w:val="center"/>
          </w:tcPr>
          <w:p w:rsidR="001F4BFF" w:rsidRPr="00D322CA" w:rsidP="00D80863" w14:paraId="29038825" w14:textId="23E715EA">
            <w:pPr>
              <w:spacing w:line="240" w:lineRule="auto"/>
              <w:jc w:val="center"/>
              <w:rPr>
                <w:color w:val="000000"/>
                <w:szCs w:val="24"/>
              </w:rPr>
            </w:pPr>
            <w:r>
              <w:rPr>
                <w:color w:val="000000"/>
                <w:szCs w:val="24"/>
              </w:rPr>
              <w:t>200</w:t>
            </w:r>
          </w:p>
        </w:tc>
      </w:tr>
      <w:tr w14:paraId="7E1C57A7"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1F4BFF" w:rsidRPr="00D322CA" w:rsidP="00D80863" w14:paraId="58655D12" w14:textId="1D6A80FC">
            <w:pPr>
              <w:spacing w:line="240" w:lineRule="auto"/>
              <w:rPr>
                <w:bCs/>
                <w:color w:val="000000"/>
                <w:szCs w:val="24"/>
              </w:rPr>
            </w:pPr>
            <w:r w:rsidRPr="00405400">
              <w:rPr>
                <w:bCs/>
                <w:color w:val="000000"/>
                <w:szCs w:val="24"/>
              </w:rPr>
              <w:t>Record when a car seal is changed when the car is placarded with Division 1.1 or 1.2 explosive materials</w:t>
            </w:r>
          </w:p>
        </w:tc>
        <w:tc>
          <w:tcPr>
            <w:tcW w:w="1710" w:type="dxa"/>
            <w:shd w:val="clear" w:color="auto" w:fill="FFFFFF" w:themeFill="background1"/>
            <w:noWrap/>
            <w:vAlign w:val="center"/>
          </w:tcPr>
          <w:p w:rsidR="001F4BFF" w:rsidRPr="00D322CA" w:rsidP="00D80863" w14:paraId="43B06018" w14:textId="10F82676">
            <w:pPr>
              <w:spacing w:line="240" w:lineRule="auto"/>
              <w:jc w:val="center"/>
              <w:rPr>
                <w:color w:val="000000"/>
                <w:szCs w:val="24"/>
              </w:rPr>
            </w:pPr>
            <w:r>
              <w:rPr>
                <w:color w:val="000000"/>
                <w:szCs w:val="24"/>
              </w:rPr>
              <w:t>34</w:t>
            </w:r>
          </w:p>
        </w:tc>
        <w:tc>
          <w:tcPr>
            <w:tcW w:w="1440" w:type="dxa"/>
            <w:shd w:val="clear" w:color="auto" w:fill="FFFFFF" w:themeFill="background1"/>
            <w:vAlign w:val="center"/>
          </w:tcPr>
          <w:p w:rsidR="001F4BFF" w:rsidRPr="00D322CA" w:rsidP="00D80863" w14:paraId="6063496A" w14:textId="75B3261A">
            <w:pPr>
              <w:spacing w:line="240" w:lineRule="auto"/>
              <w:jc w:val="center"/>
              <w:rPr>
                <w:color w:val="000000"/>
                <w:szCs w:val="24"/>
              </w:rPr>
            </w:pPr>
            <w:r>
              <w:rPr>
                <w:color w:val="000000"/>
                <w:szCs w:val="24"/>
              </w:rPr>
              <w:t>170</w:t>
            </w:r>
          </w:p>
        </w:tc>
        <w:tc>
          <w:tcPr>
            <w:tcW w:w="1350" w:type="dxa"/>
            <w:shd w:val="clear" w:color="auto" w:fill="FFFFFF" w:themeFill="background1"/>
            <w:noWrap/>
            <w:vAlign w:val="center"/>
          </w:tcPr>
          <w:p w:rsidR="001F4BFF" w:rsidRPr="00D322CA" w:rsidP="00D80863" w14:paraId="5C045966" w14:textId="11F42FE2">
            <w:pPr>
              <w:spacing w:line="240" w:lineRule="auto"/>
              <w:jc w:val="center"/>
              <w:rPr>
                <w:color w:val="000000"/>
                <w:szCs w:val="24"/>
              </w:rPr>
            </w:pPr>
            <w:r>
              <w:rPr>
                <w:color w:val="000000"/>
                <w:szCs w:val="24"/>
              </w:rPr>
              <w:t>0.166</w:t>
            </w:r>
          </w:p>
        </w:tc>
        <w:tc>
          <w:tcPr>
            <w:tcW w:w="1451" w:type="dxa"/>
            <w:shd w:val="clear" w:color="auto" w:fill="FFFFFF" w:themeFill="background1"/>
            <w:noWrap/>
            <w:vAlign w:val="center"/>
          </w:tcPr>
          <w:p w:rsidR="001F4BFF" w:rsidRPr="00D322CA" w:rsidP="00D80863" w14:paraId="2DE67B7E" w14:textId="2655361B">
            <w:pPr>
              <w:spacing w:line="240" w:lineRule="auto"/>
              <w:jc w:val="center"/>
              <w:rPr>
                <w:color w:val="000000"/>
                <w:szCs w:val="24"/>
              </w:rPr>
            </w:pPr>
            <w:r>
              <w:rPr>
                <w:color w:val="000000"/>
                <w:szCs w:val="24"/>
              </w:rPr>
              <w:t>28</w:t>
            </w:r>
          </w:p>
        </w:tc>
      </w:tr>
      <w:tr w14:paraId="76AF33A7"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065D0A" w:rsidRPr="00D322CA" w:rsidP="00D80863" w14:paraId="2152F1B5" w14:textId="72CDB07B">
            <w:pPr>
              <w:spacing w:line="240" w:lineRule="auto"/>
              <w:rPr>
                <w:bCs/>
                <w:color w:val="000000"/>
                <w:szCs w:val="24"/>
              </w:rPr>
            </w:pPr>
            <w:r w:rsidRPr="00BE4D22">
              <w:rPr>
                <w:bCs/>
                <w:color w:val="000000"/>
                <w:szCs w:val="24"/>
              </w:rPr>
              <w:t>Initial marking, requalification marking, and requalification reporting requirements</w:t>
            </w:r>
          </w:p>
        </w:tc>
        <w:tc>
          <w:tcPr>
            <w:tcW w:w="1710" w:type="dxa"/>
            <w:shd w:val="clear" w:color="auto" w:fill="FFFFFF" w:themeFill="background1"/>
            <w:noWrap/>
            <w:vAlign w:val="center"/>
          </w:tcPr>
          <w:p w:rsidR="00065D0A" w:rsidRPr="00D322CA" w:rsidP="00D80863" w14:paraId="060F7BCF" w14:textId="55EBCCBB">
            <w:pPr>
              <w:spacing w:line="240" w:lineRule="auto"/>
              <w:jc w:val="center"/>
              <w:rPr>
                <w:color w:val="000000"/>
                <w:szCs w:val="24"/>
              </w:rPr>
            </w:pPr>
            <w:r>
              <w:rPr>
                <w:color w:val="000000"/>
                <w:szCs w:val="24"/>
              </w:rPr>
              <w:t>100</w:t>
            </w:r>
          </w:p>
        </w:tc>
        <w:tc>
          <w:tcPr>
            <w:tcW w:w="1440" w:type="dxa"/>
            <w:shd w:val="clear" w:color="auto" w:fill="FFFFFF" w:themeFill="background1"/>
            <w:vAlign w:val="center"/>
          </w:tcPr>
          <w:p w:rsidR="00065D0A" w:rsidRPr="00D322CA" w:rsidP="00D80863" w14:paraId="1B0D5984" w14:textId="5582E9B7">
            <w:pPr>
              <w:spacing w:line="240" w:lineRule="auto"/>
              <w:jc w:val="center"/>
              <w:rPr>
                <w:color w:val="000000"/>
                <w:szCs w:val="24"/>
              </w:rPr>
            </w:pPr>
            <w:r>
              <w:rPr>
                <w:color w:val="000000"/>
                <w:szCs w:val="24"/>
              </w:rPr>
              <w:t>15,000</w:t>
            </w:r>
          </w:p>
        </w:tc>
        <w:tc>
          <w:tcPr>
            <w:tcW w:w="1350" w:type="dxa"/>
            <w:shd w:val="clear" w:color="auto" w:fill="FFFFFF" w:themeFill="background1"/>
            <w:noWrap/>
            <w:vAlign w:val="center"/>
          </w:tcPr>
          <w:p w:rsidR="00065D0A" w:rsidRPr="00D322CA" w:rsidP="00D80863" w14:paraId="6A2FE1F6" w14:textId="0357FB54">
            <w:pPr>
              <w:spacing w:line="240" w:lineRule="auto"/>
              <w:jc w:val="center"/>
              <w:rPr>
                <w:color w:val="000000"/>
                <w:szCs w:val="24"/>
              </w:rPr>
            </w:pPr>
            <w:r>
              <w:rPr>
                <w:color w:val="000000"/>
                <w:szCs w:val="24"/>
              </w:rPr>
              <w:t>0.116</w:t>
            </w:r>
          </w:p>
        </w:tc>
        <w:tc>
          <w:tcPr>
            <w:tcW w:w="1451" w:type="dxa"/>
            <w:shd w:val="clear" w:color="auto" w:fill="FFFFFF" w:themeFill="background1"/>
            <w:noWrap/>
            <w:vAlign w:val="center"/>
          </w:tcPr>
          <w:p w:rsidR="00065D0A" w:rsidRPr="00D322CA" w:rsidP="00D80863" w14:paraId="49FC7F5F" w14:textId="57D4CD2F">
            <w:pPr>
              <w:spacing w:line="240" w:lineRule="auto"/>
              <w:jc w:val="center"/>
              <w:rPr>
                <w:color w:val="000000"/>
                <w:szCs w:val="24"/>
              </w:rPr>
            </w:pPr>
            <w:r>
              <w:rPr>
                <w:color w:val="000000"/>
                <w:szCs w:val="24"/>
              </w:rPr>
              <w:t>1,768</w:t>
            </w:r>
          </w:p>
        </w:tc>
      </w:tr>
      <w:tr w14:paraId="6F696347" w14:textId="77777777" w:rsidTr="000A7FD4">
        <w:tblPrEx>
          <w:tblW w:w="9821" w:type="dxa"/>
          <w:jc w:val="center"/>
          <w:tblLook w:val="04A0"/>
        </w:tblPrEx>
        <w:trPr>
          <w:trHeight w:val="143"/>
          <w:jc w:val="center"/>
        </w:trPr>
        <w:tc>
          <w:tcPr>
            <w:tcW w:w="3870" w:type="dxa"/>
            <w:shd w:val="clear" w:color="auto" w:fill="FFFFFF" w:themeFill="background1"/>
            <w:noWrap/>
            <w:vAlign w:val="bottom"/>
          </w:tcPr>
          <w:p w:rsidR="001F4BFF" w:rsidRPr="00D322CA" w:rsidP="00D80863" w14:paraId="63C34013" w14:textId="2566F797">
            <w:pPr>
              <w:spacing w:line="240" w:lineRule="auto"/>
              <w:rPr>
                <w:bCs/>
                <w:color w:val="000000"/>
                <w:szCs w:val="24"/>
              </w:rPr>
            </w:pPr>
            <w:r w:rsidRPr="00207EDE">
              <w:rPr>
                <w:bCs/>
                <w:color w:val="000000"/>
                <w:szCs w:val="24"/>
              </w:rPr>
              <w:t>Quality assurance program</w:t>
            </w:r>
          </w:p>
        </w:tc>
        <w:tc>
          <w:tcPr>
            <w:tcW w:w="1710" w:type="dxa"/>
            <w:shd w:val="clear" w:color="auto" w:fill="FFFFFF" w:themeFill="background1"/>
            <w:noWrap/>
            <w:vAlign w:val="center"/>
          </w:tcPr>
          <w:p w:rsidR="001F4BFF" w:rsidRPr="00D322CA" w:rsidP="00D80863" w14:paraId="547E05EC" w14:textId="2A29DFCF">
            <w:pPr>
              <w:spacing w:line="240" w:lineRule="auto"/>
              <w:jc w:val="center"/>
              <w:rPr>
                <w:color w:val="000000"/>
                <w:szCs w:val="24"/>
              </w:rPr>
            </w:pPr>
            <w:r>
              <w:rPr>
                <w:color w:val="000000"/>
                <w:szCs w:val="24"/>
              </w:rPr>
              <w:t>75</w:t>
            </w:r>
          </w:p>
        </w:tc>
        <w:tc>
          <w:tcPr>
            <w:tcW w:w="1440" w:type="dxa"/>
            <w:shd w:val="clear" w:color="auto" w:fill="FFFFFF" w:themeFill="background1"/>
            <w:vAlign w:val="center"/>
          </w:tcPr>
          <w:p w:rsidR="001F4BFF" w:rsidRPr="00D322CA" w:rsidP="00D80863" w14:paraId="01B61398" w14:textId="494C9E40">
            <w:pPr>
              <w:spacing w:line="240" w:lineRule="auto"/>
              <w:jc w:val="center"/>
              <w:rPr>
                <w:color w:val="000000"/>
                <w:szCs w:val="24"/>
              </w:rPr>
            </w:pPr>
            <w:r>
              <w:rPr>
                <w:color w:val="000000"/>
                <w:szCs w:val="24"/>
              </w:rPr>
              <w:t>75</w:t>
            </w:r>
          </w:p>
        </w:tc>
        <w:tc>
          <w:tcPr>
            <w:tcW w:w="1350" w:type="dxa"/>
            <w:shd w:val="clear" w:color="auto" w:fill="FFFFFF" w:themeFill="background1"/>
            <w:noWrap/>
            <w:vAlign w:val="center"/>
          </w:tcPr>
          <w:p w:rsidR="001F4BFF" w:rsidRPr="00D322CA" w:rsidP="00D80863" w14:paraId="411A4E10" w14:textId="440BDF5B">
            <w:pPr>
              <w:spacing w:line="240" w:lineRule="auto"/>
              <w:jc w:val="center"/>
              <w:rPr>
                <w:color w:val="000000"/>
                <w:szCs w:val="24"/>
              </w:rPr>
            </w:pPr>
            <w:r>
              <w:rPr>
                <w:color w:val="000000"/>
                <w:szCs w:val="24"/>
              </w:rPr>
              <w:t>5.5</w:t>
            </w:r>
          </w:p>
        </w:tc>
        <w:tc>
          <w:tcPr>
            <w:tcW w:w="1451" w:type="dxa"/>
            <w:shd w:val="clear" w:color="auto" w:fill="FFFFFF" w:themeFill="background1"/>
            <w:noWrap/>
            <w:vAlign w:val="center"/>
          </w:tcPr>
          <w:p w:rsidR="001F4BFF" w:rsidRPr="00D322CA" w:rsidP="00D80863" w14:paraId="29319D39" w14:textId="23829DC1">
            <w:pPr>
              <w:spacing w:line="240" w:lineRule="auto"/>
              <w:jc w:val="center"/>
              <w:rPr>
                <w:color w:val="000000"/>
                <w:szCs w:val="24"/>
              </w:rPr>
            </w:pPr>
            <w:r>
              <w:rPr>
                <w:color w:val="000000"/>
                <w:szCs w:val="24"/>
              </w:rPr>
              <w:t>413</w:t>
            </w:r>
          </w:p>
        </w:tc>
      </w:tr>
    </w:tbl>
    <w:p w:rsidR="002D71EE" w:rsidRPr="007F266F" w:rsidP="005640EA" w14:paraId="3A5C5F7E" w14:textId="77777777"/>
    <w:p w:rsidR="007F266F" w:rsidRPr="00DA5E0C" w:rsidP="005640EA" w14:paraId="4B269F6F" w14:textId="3642BD66">
      <w:pPr>
        <w:ind w:firstLine="720"/>
      </w:pPr>
      <w:r w:rsidRPr="000A7FD4">
        <w:rPr>
          <w:u w:val="single"/>
        </w:rPr>
        <w:t>Affected Public</w:t>
      </w:r>
      <w:r w:rsidRPr="000A7FD4">
        <w:t>:</w:t>
      </w:r>
      <w:r w:rsidRPr="00DA5E0C">
        <w:t xml:space="preserve"> Manufacturers, owners, and rail carriers of tank.</w:t>
      </w:r>
    </w:p>
    <w:p w:rsidR="007F266F" w:rsidRPr="000A7FD4" w:rsidP="00132DD2" w14:paraId="7A5A2643" w14:textId="34AC1452">
      <w:pPr>
        <w:ind w:firstLine="720"/>
      </w:pPr>
      <w:r w:rsidRPr="000A7FD4">
        <w:rPr>
          <w:u w:val="single"/>
        </w:rPr>
        <w:t>Annual Reporting and Recordkeeping Burden</w:t>
      </w:r>
      <w:r w:rsidRPr="000A7FD4">
        <w:t>:</w:t>
      </w:r>
    </w:p>
    <w:p w:rsidR="007F266F" w:rsidRPr="007F266F" w:rsidP="000A7FD4" w14:paraId="6F7AE235" w14:textId="374F2A84">
      <w:pPr>
        <w:ind w:left="720" w:firstLine="720"/>
      </w:pPr>
      <w:r>
        <w:t xml:space="preserve">Total </w:t>
      </w:r>
      <w:r w:rsidRPr="007F266F">
        <w:t xml:space="preserve">Number of Respondents: </w:t>
      </w:r>
      <w:r w:rsidR="002707FD">
        <w:tab/>
      </w:r>
      <w:r w:rsidR="007B03D8">
        <w:t>795</w:t>
      </w:r>
    </w:p>
    <w:p w:rsidR="007F266F" w:rsidRPr="007F266F" w:rsidP="000A7FD4" w14:paraId="5844ED7C" w14:textId="0288DAC2">
      <w:pPr>
        <w:ind w:left="720" w:firstLine="720"/>
      </w:pPr>
      <w:r w:rsidRPr="007F266F">
        <w:t xml:space="preserve">Total Annual Responses: </w:t>
      </w:r>
      <w:r w:rsidR="002707FD">
        <w:tab/>
      </w:r>
      <w:r w:rsidR="002707FD">
        <w:tab/>
      </w:r>
      <w:r w:rsidR="008F02FC">
        <w:t>21,653</w:t>
      </w:r>
    </w:p>
    <w:p w:rsidR="007F266F" w:rsidRPr="007F266F" w:rsidP="000A7FD4" w14:paraId="67578CFB" w14:textId="5A76CC80">
      <w:pPr>
        <w:ind w:left="720" w:firstLine="720"/>
      </w:pPr>
      <w:r w:rsidRPr="007F266F">
        <w:t xml:space="preserve">Total Annual Burden Hours: </w:t>
      </w:r>
      <w:r w:rsidR="002707FD">
        <w:tab/>
      </w:r>
      <w:r w:rsidR="002707FD">
        <w:tab/>
      </w:r>
      <w:r w:rsidR="0052469C">
        <w:t>4,472</w:t>
      </w:r>
    </w:p>
    <w:p w:rsidR="007F266F" w:rsidP="000A7FD4" w14:paraId="24C85858" w14:textId="2A63E606">
      <w:pPr>
        <w:ind w:left="720" w:firstLine="720"/>
      </w:pPr>
      <w:r w:rsidRPr="007F266F">
        <w:t xml:space="preserve">Frequency of Collection: </w:t>
      </w:r>
      <w:r w:rsidR="002707FD">
        <w:tab/>
      </w:r>
      <w:r w:rsidR="002707FD">
        <w:tab/>
      </w:r>
      <w:r w:rsidRPr="007F266F">
        <w:t>Annually</w:t>
      </w:r>
    </w:p>
    <w:p w:rsidR="00132DD2" w:rsidRPr="007F266F" w:rsidP="007F266F" w14:paraId="6F910EDE" w14:textId="77777777">
      <w:pPr>
        <w:ind w:firstLine="720"/>
      </w:pPr>
    </w:p>
    <w:p w:rsidR="00756846" w:rsidRPr="00BF4C80" w:rsidP="005640EA" w14:paraId="338DCC75" w14:textId="10890FE3">
      <w:pPr>
        <w:ind w:firstLine="720"/>
      </w:pPr>
      <w:r w:rsidRPr="000A7FD4">
        <w:rPr>
          <w:u w:val="single"/>
        </w:rPr>
        <w:t>Title</w:t>
      </w:r>
      <w:r w:rsidRPr="000A7FD4">
        <w:t>:</w:t>
      </w:r>
      <w:r w:rsidRPr="00BF4C80">
        <w:t>  Testing Requirements for Non-Bulk Packaging</w:t>
      </w:r>
    </w:p>
    <w:p w:rsidR="00756846" w:rsidRPr="00BF4C80" w:rsidP="005640EA" w14:paraId="61E978CC" w14:textId="75332372">
      <w:pPr>
        <w:ind w:firstLine="720"/>
      </w:pPr>
      <w:r w:rsidRPr="000A7FD4">
        <w:rPr>
          <w:u w:val="single"/>
        </w:rPr>
        <w:t>OMB Control Number</w:t>
      </w:r>
      <w:r w:rsidRPr="000A7FD4">
        <w:t>:</w:t>
      </w:r>
      <w:r w:rsidRPr="00BF4C80">
        <w:t>  2137-0572</w:t>
      </w:r>
    </w:p>
    <w:p w:rsidR="00756846" w:rsidP="00756846" w14:paraId="54CC1136" w14:textId="19BA0756">
      <w:pPr>
        <w:ind w:firstLine="720"/>
      </w:pPr>
      <w:r w:rsidRPr="000A7FD4">
        <w:rPr>
          <w:u w:val="single"/>
        </w:rPr>
        <w:t>Summary</w:t>
      </w:r>
      <w:r w:rsidRPr="000A7FD4">
        <w:t>:</w:t>
      </w:r>
      <w:r w:rsidRPr="00BF4C80">
        <w:t xml:space="preserve">  </w:t>
      </w:r>
      <w:r w:rsidRPr="00BF4C80" w:rsidR="00C94B17">
        <w:t>These</w:t>
      </w:r>
      <w:r w:rsidRPr="00BF4C80">
        <w:t xml:space="preserve"> </w:t>
      </w:r>
      <w:r w:rsidRPr="00BF4C80" w:rsidR="00E61699">
        <w:t>OMB control number</w:t>
      </w:r>
      <w:r w:rsidRPr="00BF4C80">
        <w:t xml:space="preserve"> describe</w:t>
      </w:r>
      <w:r w:rsidRPr="00BF4C80" w:rsidR="00E61699">
        <w:t>s</w:t>
      </w:r>
      <w:r w:rsidRPr="00BF4C80">
        <w:t xml:space="preserve"> the </w:t>
      </w:r>
      <w:r w:rsidRPr="00BF4C80" w:rsidR="00E61699">
        <w:t xml:space="preserve">information collections </w:t>
      </w:r>
      <w:r w:rsidRPr="00BF4C80">
        <w:t>in parts</w:t>
      </w:r>
      <w:r w:rsidRPr="00756846">
        <w:t xml:space="preserve"> 173 and 180 of the HMR </w:t>
      </w:r>
      <w:r w:rsidR="72F2AD00">
        <w:t xml:space="preserve">pertaining to </w:t>
      </w:r>
      <w:r w:rsidRPr="00756846">
        <w:t xml:space="preserve">the testing requirements for non-bulk packagings.  This OMB control number covers performance-oriented packaging standards and allows packaging manufacturers and shippers more flexibility in selecting more economical packagings for their products.  </w:t>
      </w:r>
      <w:r w:rsidR="00C94B17">
        <w:t>These</w:t>
      </w:r>
      <w:r w:rsidRPr="00756846">
        <w:t xml:space="preserve"> information collection</w:t>
      </w:r>
      <w:r w:rsidR="00C94B17">
        <w:t>s</w:t>
      </w:r>
      <w:r w:rsidRPr="00756846">
        <w:t xml:space="preserve"> also allow</w:t>
      </w:r>
      <w:r w:rsidR="00C94B17">
        <w:t xml:space="preserve"> </w:t>
      </w:r>
      <w:r w:rsidRPr="00756846">
        <w:t>customizing the design of packagings to better suit the transportation environment that they will encounter and encourages technological innovations, decreases packaging costs, and significantly reduces the need for special permits. </w:t>
      </w:r>
      <w:r w:rsidR="00260D17">
        <w:t xml:space="preserve"> </w:t>
      </w:r>
      <w:r w:rsidRPr="007F266F" w:rsidR="00C94B17">
        <w:t>The</w:t>
      </w:r>
      <w:r w:rsidR="00B70240">
        <w:t>se</w:t>
      </w:r>
      <w:r w:rsidRPr="007F266F" w:rsidR="00C94B17">
        <w:t xml:space="preserve"> information </w:t>
      </w:r>
      <w:r w:rsidR="00B70240">
        <w:t>collections</w:t>
      </w:r>
      <w:r w:rsidRPr="007F266F" w:rsidR="00C94B17">
        <w:t xml:space="preserve"> </w:t>
      </w:r>
      <w:r w:rsidR="00C94B17">
        <w:t xml:space="preserve">specifically </w:t>
      </w:r>
      <w:r w:rsidRPr="007F266F" w:rsidR="00C94B17">
        <w:t>include:</w:t>
      </w:r>
    </w:p>
    <w:p w:rsidR="008055CB" w:rsidP="00F22B4C" w14:paraId="6C5577D3" w14:textId="2576A817">
      <w:pPr>
        <w:ind w:firstLine="720"/>
      </w:pPr>
      <w:r>
        <w:t>(1)</w:t>
      </w:r>
      <w:r>
        <w:rPr>
          <w:bCs/>
          <w:color w:val="000000"/>
          <w:szCs w:val="24"/>
        </w:rPr>
        <w:t xml:space="preserve"> </w:t>
      </w:r>
      <w:r w:rsidRPr="00F22B4C">
        <w:rPr>
          <w:bCs/>
          <w:i/>
          <w:iCs/>
          <w:color w:val="000000"/>
          <w:szCs w:val="24"/>
        </w:rPr>
        <w:t>Testing Requirements for Non-Bulk Packaging (Reporting)</w:t>
      </w:r>
      <w:r>
        <w:rPr>
          <w:bCs/>
          <w:color w:val="000000"/>
          <w:szCs w:val="24"/>
        </w:rPr>
        <w:t>:</w:t>
      </w:r>
      <w:r w:rsidR="00BD13F7">
        <w:rPr>
          <w:bCs/>
          <w:color w:val="000000"/>
          <w:szCs w:val="24"/>
        </w:rPr>
        <w:t xml:space="preserve"> </w:t>
      </w:r>
      <w:r>
        <w:t xml:space="preserve">This information collection consists of various testing requirements that must be met by non-bulk packaging, depending on the type of material it will contain. </w:t>
      </w:r>
      <w:r w:rsidR="006A5FD9">
        <w:t xml:space="preserve"> </w:t>
      </w:r>
      <w:r>
        <w:t xml:space="preserve">These include thermal resistance tests for packaging transporting oxygen cylinders, </w:t>
      </w:r>
      <w:r>
        <w:t>leakproofness</w:t>
      </w:r>
      <w:r>
        <w:t xml:space="preserve"> tests for liquid hazardous materials, hydrostatic pressure tests for metal, plastic, and composite containers, cooperage tests for bung-type wooden barrels, and additional testing for packaging intended to contain infectious substances. </w:t>
      </w:r>
      <w:r w:rsidR="006A5FD9">
        <w:t xml:space="preserve"> </w:t>
      </w:r>
      <w:r>
        <w:t>The specific tests required may vary based on the outer and inner packaging material used.</w:t>
      </w:r>
    </w:p>
    <w:p w:rsidR="008D1C29" w:rsidP="00F22B4C" w14:paraId="36674A67" w14:textId="45040F6C">
      <w:pPr>
        <w:ind w:firstLine="720"/>
      </w:pPr>
      <w:r>
        <w:t xml:space="preserve">(2)  </w:t>
      </w:r>
      <w:r w:rsidRPr="00F22B4C" w:rsidR="002F6168">
        <w:rPr>
          <w:bCs/>
          <w:i/>
          <w:iCs/>
          <w:color w:val="000000"/>
          <w:szCs w:val="24"/>
        </w:rPr>
        <w:t>Additional Test Reports (Reporting)</w:t>
      </w:r>
      <w:r w:rsidR="002F6168">
        <w:rPr>
          <w:bCs/>
          <w:color w:val="000000"/>
          <w:szCs w:val="24"/>
        </w:rPr>
        <w:t xml:space="preserve">: </w:t>
      </w:r>
      <w:r w:rsidR="00F941BB">
        <w:t>This information collection consists of the requirement to prepare and maintain a test report after each design qualification test or periodic retest of a packaging.</w:t>
      </w:r>
      <w:r w:rsidR="006A5FD9">
        <w:t xml:space="preserve"> </w:t>
      </w:r>
      <w:r w:rsidR="00F941BB">
        <w:t xml:space="preserve"> The test report must be available to the user of the packaging or a representative of the DOT upon request and includes details such as the date, name, and address of the testing facility, packaging design type, maximum capacity, characteristics of test contents, and test descriptions and results.</w:t>
      </w:r>
    </w:p>
    <w:p w:rsidR="002F6168" w:rsidP="00F22B4C" w14:paraId="0C833513" w14:textId="5118905E">
      <w:pPr>
        <w:ind w:firstLine="720"/>
      </w:pPr>
      <w:r>
        <w:t xml:space="preserve">(3) </w:t>
      </w:r>
      <w:r w:rsidRPr="00F22B4C">
        <w:rPr>
          <w:i/>
          <w:iCs/>
        </w:rPr>
        <w:t>Test Reports (Recordkeeping)</w:t>
      </w:r>
      <w:r>
        <w:t xml:space="preserve">: This information collection requires that test report must be made available to a user of a packaging or a representative of the DOT, upon request.  The test report includes information such as: the </w:t>
      </w:r>
      <w:r w:rsidRPr="002C4467">
        <w:t>date, name, and address of the testing facility; a description of the packaging design type; the maximum capacity; characteristics of test contents; and test descriptions and results.</w:t>
      </w:r>
      <w:r w:rsidRPr="00AE2DF2">
        <w:t xml:space="preserve"> </w:t>
      </w:r>
    </w:p>
    <w:p w:rsidR="006839BE" w:rsidP="00F22B4C" w14:paraId="3D3D2F62" w14:textId="10B82FE2">
      <w:pPr>
        <w:ind w:firstLine="720"/>
      </w:pPr>
      <w:r>
        <w:t xml:space="preserve">(4) </w:t>
      </w:r>
      <w:r w:rsidRPr="00F22B4C">
        <w:rPr>
          <w:i/>
          <w:iCs/>
        </w:rPr>
        <w:t>Closure Instructions (Reporting)</w:t>
      </w:r>
      <w:r>
        <w:t xml:space="preserve">: </w:t>
      </w:r>
      <w:r w:rsidR="00563E7C">
        <w:t xml:space="preserve">This information collection consists of the requirement for the manufacturer or certifier of non-bulk packaging to create closure instructions, in accordance with § 178.2(c). </w:t>
      </w:r>
      <w:r w:rsidR="006A5FD9">
        <w:t xml:space="preserve"> </w:t>
      </w:r>
      <w:r w:rsidR="00563E7C">
        <w:t>These instructions indicate the means of closure with which the package was tested and ensure that any subsequent shipper maintains the same level of safety when the package is closed for transportation of hazardous materials.</w:t>
      </w:r>
    </w:p>
    <w:p w:rsidR="00E0566A" w:rsidP="00563E7C" w14:paraId="601049C4" w14:textId="5CBB2C65">
      <w:pPr>
        <w:ind w:firstLine="720"/>
      </w:pPr>
      <w:r>
        <w:t xml:space="preserve">(5) </w:t>
      </w:r>
      <w:r w:rsidRPr="00F22B4C">
        <w:rPr>
          <w:bCs/>
          <w:i/>
          <w:iCs/>
          <w:color w:val="000000"/>
          <w:szCs w:val="24"/>
        </w:rPr>
        <w:t>Closure Instructions (Recordkeeping)</w:t>
      </w:r>
      <w:r>
        <w:rPr>
          <w:bCs/>
          <w:color w:val="000000"/>
          <w:szCs w:val="24"/>
        </w:rPr>
        <w:t xml:space="preserve">: </w:t>
      </w:r>
      <w:r w:rsidR="00563E7C">
        <w:t>This information collection requires that the</w:t>
      </w:r>
      <w:r>
        <w:t xml:space="preserve"> manufacturer or other person certifying compliance, along each subsequent distributor of the packaging, provide closure instructions to each person to whom the packaging is transferred, as well as any representative of the DOT, for inspection.</w:t>
      </w:r>
    </w:p>
    <w:p w:rsidR="00563E7C" w:rsidP="00563E7C" w14:paraId="6E02CCA1" w14:textId="76C99D07">
      <w:pPr>
        <w:widowControl w:val="0"/>
        <w:ind w:firstLine="720"/>
      </w:pPr>
      <w:r w:rsidRPr="001E4D0A">
        <w:t>The f</w:t>
      </w:r>
      <w:r>
        <w:t>ollowing is a list of the information collections and burden estimates</w:t>
      </w:r>
      <w:r w:rsidRPr="001E4D0A">
        <w:t xml:space="preserve"> associated with this OMB Control Number:</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0"/>
        <w:gridCol w:w="1710"/>
        <w:gridCol w:w="1350"/>
        <w:gridCol w:w="1440"/>
        <w:gridCol w:w="1361"/>
      </w:tblGrid>
      <w:tr w14:paraId="0BD27CD6" w14:textId="77777777" w:rsidTr="000A7FD4">
        <w:tblPrEx>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jc w:val="center"/>
        </w:trPr>
        <w:tc>
          <w:tcPr>
            <w:tcW w:w="3870" w:type="dxa"/>
            <w:shd w:val="clear" w:color="auto" w:fill="auto"/>
            <w:noWrap/>
            <w:vAlign w:val="center"/>
            <w:hideMark/>
          </w:tcPr>
          <w:p w:rsidR="00E0566A" w:rsidRPr="00D322CA" w:rsidP="000A7FD4" w14:paraId="217B3783" w14:textId="45CB5E75">
            <w:pPr>
              <w:spacing w:line="240" w:lineRule="auto"/>
              <w:jc w:val="center"/>
              <w:rPr>
                <w:b/>
                <w:color w:val="000000"/>
                <w:szCs w:val="24"/>
              </w:rPr>
            </w:pPr>
            <w:r w:rsidRPr="0086494C">
              <w:rPr>
                <w:b/>
                <w:color w:val="000000"/>
                <w:szCs w:val="24"/>
              </w:rPr>
              <w:t>Information Collection</w:t>
            </w:r>
          </w:p>
        </w:tc>
        <w:tc>
          <w:tcPr>
            <w:tcW w:w="1710" w:type="dxa"/>
            <w:shd w:val="clear" w:color="auto" w:fill="auto"/>
            <w:noWrap/>
            <w:vAlign w:val="center"/>
            <w:hideMark/>
          </w:tcPr>
          <w:p w:rsidR="00E0566A" w:rsidRPr="00D322CA" w:rsidP="009F69B0" w14:paraId="0F0D6A85" w14:textId="77777777">
            <w:pPr>
              <w:spacing w:line="240" w:lineRule="auto"/>
              <w:jc w:val="center"/>
              <w:rPr>
                <w:b/>
                <w:bCs/>
                <w:color w:val="000000"/>
                <w:szCs w:val="24"/>
              </w:rPr>
            </w:pPr>
            <w:r w:rsidRPr="00005251">
              <w:rPr>
                <w:b/>
                <w:bCs/>
                <w:szCs w:val="24"/>
              </w:rPr>
              <w:t>Respondents</w:t>
            </w:r>
          </w:p>
        </w:tc>
        <w:tc>
          <w:tcPr>
            <w:tcW w:w="1350" w:type="dxa"/>
            <w:shd w:val="clear" w:color="auto" w:fill="auto"/>
            <w:vAlign w:val="center"/>
            <w:hideMark/>
          </w:tcPr>
          <w:p w:rsidR="00E0566A" w:rsidRPr="00D322CA" w:rsidP="009F69B0" w14:paraId="10BC2033" w14:textId="77777777">
            <w:pPr>
              <w:spacing w:line="240" w:lineRule="auto"/>
              <w:jc w:val="center"/>
              <w:rPr>
                <w:b/>
                <w:bCs/>
                <w:color w:val="000000"/>
                <w:szCs w:val="24"/>
              </w:rPr>
            </w:pPr>
            <w:r>
              <w:rPr>
                <w:b/>
                <w:bCs/>
                <w:szCs w:val="24"/>
              </w:rPr>
              <w:t xml:space="preserve">Total Annual </w:t>
            </w:r>
            <w:r w:rsidRPr="00005251">
              <w:rPr>
                <w:b/>
                <w:bCs/>
                <w:szCs w:val="24"/>
              </w:rPr>
              <w:t>Responses</w:t>
            </w:r>
          </w:p>
        </w:tc>
        <w:tc>
          <w:tcPr>
            <w:tcW w:w="1440" w:type="dxa"/>
            <w:shd w:val="clear" w:color="auto" w:fill="auto"/>
            <w:noWrap/>
            <w:vAlign w:val="center"/>
            <w:hideMark/>
          </w:tcPr>
          <w:p w:rsidR="00E0566A" w:rsidRPr="00D322CA" w:rsidP="0087281B" w14:paraId="1C2BFAA1" w14:textId="77777777">
            <w:pPr>
              <w:spacing w:line="240" w:lineRule="auto"/>
              <w:jc w:val="center"/>
              <w:rPr>
                <w:b/>
                <w:bCs/>
                <w:color w:val="000000"/>
                <w:szCs w:val="24"/>
              </w:rPr>
            </w:pPr>
            <w:r w:rsidRPr="00005251">
              <w:rPr>
                <w:b/>
                <w:bCs/>
                <w:szCs w:val="24"/>
              </w:rPr>
              <w:t>Hours per Response</w:t>
            </w:r>
          </w:p>
        </w:tc>
        <w:tc>
          <w:tcPr>
            <w:tcW w:w="1361" w:type="dxa"/>
            <w:shd w:val="clear" w:color="auto" w:fill="auto"/>
            <w:noWrap/>
            <w:vAlign w:val="center"/>
            <w:hideMark/>
          </w:tcPr>
          <w:p w:rsidR="00E0566A" w:rsidRPr="00D322CA" w14:paraId="5E3AAB82" w14:textId="77777777">
            <w:pPr>
              <w:spacing w:line="240" w:lineRule="auto"/>
              <w:jc w:val="center"/>
              <w:rPr>
                <w:b/>
                <w:bCs/>
                <w:color w:val="000000"/>
                <w:szCs w:val="24"/>
              </w:rPr>
            </w:pPr>
            <w:r w:rsidRPr="00005251">
              <w:rPr>
                <w:b/>
                <w:bCs/>
                <w:szCs w:val="24"/>
              </w:rPr>
              <w:t xml:space="preserve">Total </w:t>
            </w:r>
            <w:r>
              <w:rPr>
                <w:b/>
                <w:bCs/>
                <w:szCs w:val="24"/>
              </w:rPr>
              <w:t xml:space="preserve">Annual Burden </w:t>
            </w:r>
            <w:r w:rsidRPr="00005251">
              <w:rPr>
                <w:b/>
                <w:bCs/>
                <w:szCs w:val="24"/>
              </w:rPr>
              <w:t>Hours</w:t>
            </w:r>
          </w:p>
        </w:tc>
      </w:tr>
      <w:tr w14:paraId="6AFEFFFA" w14:textId="77777777" w:rsidTr="00387B8D">
        <w:tblPrEx>
          <w:tblW w:w="9731" w:type="dxa"/>
          <w:jc w:val="center"/>
          <w:tblLook w:val="04A0"/>
        </w:tblPrEx>
        <w:trPr>
          <w:trHeight w:val="143"/>
          <w:jc w:val="center"/>
        </w:trPr>
        <w:tc>
          <w:tcPr>
            <w:tcW w:w="3870" w:type="dxa"/>
            <w:shd w:val="clear" w:color="auto" w:fill="FFFFFF" w:themeFill="background1"/>
            <w:noWrap/>
            <w:vAlign w:val="bottom"/>
            <w:hideMark/>
          </w:tcPr>
          <w:p w:rsidR="00E0566A" w:rsidRPr="00D322CA" w:rsidP="00D80863" w14:paraId="250BD2B8" w14:textId="0511B494">
            <w:pPr>
              <w:spacing w:line="240" w:lineRule="auto"/>
              <w:rPr>
                <w:color w:val="000000"/>
              </w:rPr>
            </w:pPr>
            <w:r w:rsidRPr="022492B4">
              <w:rPr>
                <w:color w:val="000000" w:themeColor="text1"/>
              </w:rPr>
              <w:t>Testing Requirements for Non-Bulk Packaging - Reporting</w:t>
            </w:r>
          </w:p>
        </w:tc>
        <w:tc>
          <w:tcPr>
            <w:tcW w:w="1710" w:type="dxa"/>
            <w:shd w:val="clear" w:color="auto" w:fill="FFFFFF" w:themeFill="background1"/>
            <w:noWrap/>
            <w:vAlign w:val="center"/>
            <w:hideMark/>
          </w:tcPr>
          <w:p w:rsidR="00E0566A" w:rsidRPr="00D322CA" w:rsidP="00D80863" w14:paraId="519FA06E" w14:textId="0940BBDC">
            <w:pPr>
              <w:spacing w:line="240" w:lineRule="auto"/>
              <w:jc w:val="center"/>
              <w:rPr>
                <w:color w:val="000000"/>
              </w:rPr>
            </w:pPr>
            <w:r w:rsidRPr="022492B4">
              <w:rPr>
                <w:color w:val="000000" w:themeColor="text1"/>
              </w:rPr>
              <w:t>500</w:t>
            </w:r>
            <w:r w:rsidRPr="022492B4" w:rsidR="3D8D9F50">
              <w:rPr>
                <w:color w:val="000000" w:themeColor="text1"/>
              </w:rPr>
              <w:t>0</w:t>
            </w:r>
          </w:p>
        </w:tc>
        <w:tc>
          <w:tcPr>
            <w:tcW w:w="1350" w:type="dxa"/>
            <w:shd w:val="clear" w:color="auto" w:fill="FFFFFF" w:themeFill="background1"/>
            <w:vAlign w:val="center"/>
            <w:hideMark/>
          </w:tcPr>
          <w:p w:rsidR="00E0566A" w:rsidRPr="00D322CA" w:rsidP="00D80863" w14:paraId="73DA6FA7" w14:textId="101D2B9C">
            <w:pPr>
              <w:spacing w:line="240" w:lineRule="auto"/>
              <w:jc w:val="center"/>
              <w:rPr>
                <w:color w:val="000000"/>
                <w:szCs w:val="24"/>
              </w:rPr>
            </w:pPr>
            <w:r>
              <w:rPr>
                <w:color w:val="000000"/>
                <w:szCs w:val="24"/>
              </w:rPr>
              <w:t>15000</w:t>
            </w:r>
          </w:p>
        </w:tc>
        <w:tc>
          <w:tcPr>
            <w:tcW w:w="1440" w:type="dxa"/>
            <w:shd w:val="clear" w:color="auto" w:fill="FFFFFF" w:themeFill="background1"/>
            <w:noWrap/>
            <w:vAlign w:val="center"/>
          </w:tcPr>
          <w:p w:rsidR="00E0566A" w:rsidRPr="00D322CA" w:rsidP="00D80863" w14:paraId="1DFA55C0" w14:textId="660F442D">
            <w:pPr>
              <w:spacing w:line="240" w:lineRule="auto"/>
              <w:jc w:val="center"/>
              <w:rPr>
                <w:color w:val="000000"/>
                <w:szCs w:val="24"/>
              </w:rPr>
            </w:pPr>
            <w:r>
              <w:rPr>
                <w:color w:val="000000"/>
                <w:szCs w:val="24"/>
              </w:rPr>
              <w:t>2.016</w:t>
            </w:r>
          </w:p>
        </w:tc>
        <w:tc>
          <w:tcPr>
            <w:tcW w:w="1361" w:type="dxa"/>
            <w:shd w:val="clear" w:color="auto" w:fill="FFFFFF" w:themeFill="background1"/>
            <w:noWrap/>
            <w:vAlign w:val="center"/>
          </w:tcPr>
          <w:p w:rsidR="00E0566A" w:rsidRPr="00D322CA" w:rsidP="00D80863" w14:paraId="27B878CC" w14:textId="6B2E16DA">
            <w:pPr>
              <w:spacing w:line="240" w:lineRule="auto"/>
              <w:jc w:val="center"/>
              <w:rPr>
                <w:color w:val="000000"/>
                <w:szCs w:val="24"/>
              </w:rPr>
            </w:pPr>
            <w:r>
              <w:rPr>
                <w:color w:val="000000"/>
                <w:szCs w:val="24"/>
              </w:rPr>
              <w:t>30,250</w:t>
            </w:r>
          </w:p>
        </w:tc>
      </w:tr>
      <w:tr w14:paraId="0E83EA2A" w14:textId="77777777" w:rsidTr="000A7FD4">
        <w:tblPrEx>
          <w:tblW w:w="9731" w:type="dxa"/>
          <w:jc w:val="center"/>
          <w:tblLook w:val="04A0"/>
        </w:tblPrEx>
        <w:trPr>
          <w:trHeight w:val="143"/>
          <w:jc w:val="center"/>
        </w:trPr>
        <w:tc>
          <w:tcPr>
            <w:tcW w:w="3870" w:type="dxa"/>
            <w:shd w:val="clear" w:color="auto" w:fill="FFFFFF" w:themeFill="background1"/>
            <w:noWrap/>
            <w:vAlign w:val="bottom"/>
          </w:tcPr>
          <w:p w:rsidR="00E0566A" w:rsidRPr="00D322CA" w:rsidP="00D80863" w14:paraId="53AEF9CD" w14:textId="53EF034C">
            <w:pPr>
              <w:spacing w:line="240" w:lineRule="auto"/>
              <w:rPr>
                <w:bCs/>
                <w:color w:val="000000"/>
                <w:szCs w:val="24"/>
              </w:rPr>
            </w:pPr>
            <w:r w:rsidRPr="00574AF4">
              <w:rPr>
                <w:bCs/>
                <w:color w:val="000000"/>
                <w:szCs w:val="24"/>
              </w:rPr>
              <w:t>Additional Test Reports - Reporting</w:t>
            </w:r>
          </w:p>
        </w:tc>
        <w:tc>
          <w:tcPr>
            <w:tcW w:w="1710" w:type="dxa"/>
            <w:shd w:val="clear" w:color="auto" w:fill="FFFFFF" w:themeFill="background1"/>
            <w:noWrap/>
            <w:vAlign w:val="center"/>
          </w:tcPr>
          <w:p w:rsidR="00E0566A" w:rsidRPr="00D322CA" w:rsidP="00D80863" w14:paraId="7AB22189" w14:textId="5308B2B4">
            <w:pPr>
              <w:spacing w:line="240" w:lineRule="auto"/>
              <w:jc w:val="center"/>
              <w:rPr>
                <w:color w:val="000000"/>
                <w:szCs w:val="24"/>
              </w:rPr>
            </w:pPr>
            <w:r>
              <w:rPr>
                <w:color w:val="000000"/>
                <w:szCs w:val="24"/>
              </w:rPr>
              <w:t>10</w:t>
            </w:r>
          </w:p>
        </w:tc>
        <w:tc>
          <w:tcPr>
            <w:tcW w:w="1350" w:type="dxa"/>
            <w:shd w:val="clear" w:color="auto" w:fill="FFFFFF" w:themeFill="background1"/>
            <w:vAlign w:val="center"/>
          </w:tcPr>
          <w:p w:rsidR="00E0566A" w:rsidRPr="00D322CA" w:rsidP="00D80863" w14:paraId="1EBD6C79" w14:textId="578FF7F0">
            <w:pPr>
              <w:spacing w:line="240" w:lineRule="auto"/>
              <w:jc w:val="center"/>
              <w:rPr>
                <w:color w:val="000000"/>
                <w:szCs w:val="24"/>
              </w:rPr>
            </w:pPr>
            <w:r>
              <w:rPr>
                <w:color w:val="000000"/>
                <w:szCs w:val="24"/>
              </w:rPr>
              <w:t>30</w:t>
            </w:r>
          </w:p>
        </w:tc>
        <w:tc>
          <w:tcPr>
            <w:tcW w:w="1440" w:type="dxa"/>
            <w:shd w:val="clear" w:color="auto" w:fill="FFFFFF" w:themeFill="background1"/>
            <w:noWrap/>
            <w:vAlign w:val="center"/>
          </w:tcPr>
          <w:p w:rsidR="00E0566A" w:rsidRPr="00D322CA" w:rsidP="00D80863" w14:paraId="63F7206B" w14:textId="1013991C">
            <w:pPr>
              <w:spacing w:line="240" w:lineRule="auto"/>
              <w:jc w:val="center"/>
              <w:rPr>
                <w:color w:val="000000"/>
                <w:szCs w:val="24"/>
              </w:rPr>
            </w:pPr>
            <w:r>
              <w:rPr>
                <w:color w:val="000000"/>
                <w:szCs w:val="24"/>
              </w:rPr>
              <w:t>2</w:t>
            </w:r>
          </w:p>
        </w:tc>
        <w:tc>
          <w:tcPr>
            <w:tcW w:w="1361" w:type="dxa"/>
            <w:shd w:val="clear" w:color="auto" w:fill="FFFFFF" w:themeFill="background1"/>
            <w:noWrap/>
            <w:vAlign w:val="center"/>
          </w:tcPr>
          <w:p w:rsidR="00E0566A" w:rsidRPr="00D322CA" w:rsidP="00D80863" w14:paraId="1AA38722" w14:textId="102BCFE1">
            <w:pPr>
              <w:spacing w:line="240" w:lineRule="auto"/>
              <w:jc w:val="center"/>
              <w:rPr>
                <w:color w:val="000000"/>
                <w:szCs w:val="24"/>
              </w:rPr>
            </w:pPr>
            <w:r>
              <w:rPr>
                <w:color w:val="000000"/>
                <w:szCs w:val="24"/>
              </w:rPr>
              <w:t>60</w:t>
            </w:r>
          </w:p>
        </w:tc>
      </w:tr>
      <w:tr w14:paraId="4F9EFABE" w14:textId="77777777" w:rsidTr="000A7FD4">
        <w:tblPrEx>
          <w:tblW w:w="9731" w:type="dxa"/>
          <w:jc w:val="center"/>
          <w:tblLook w:val="04A0"/>
        </w:tblPrEx>
        <w:trPr>
          <w:trHeight w:val="143"/>
          <w:jc w:val="center"/>
        </w:trPr>
        <w:tc>
          <w:tcPr>
            <w:tcW w:w="3870" w:type="dxa"/>
            <w:shd w:val="clear" w:color="auto" w:fill="FFFFFF" w:themeFill="background1"/>
            <w:noWrap/>
            <w:vAlign w:val="bottom"/>
          </w:tcPr>
          <w:p w:rsidR="00E0566A" w:rsidRPr="00D322CA" w:rsidP="00D80863" w14:paraId="75BAF352" w14:textId="135E53A1">
            <w:pPr>
              <w:spacing w:line="240" w:lineRule="auto"/>
              <w:rPr>
                <w:bCs/>
                <w:color w:val="000000"/>
                <w:szCs w:val="24"/>
              </w:rPr>
            </w:pPr>
            <w:r w:rsidRPr="00C749E3">
              <w:rPr>
                <w:bCs/>
                <w:color w:val="000000"/>
                <w:szCs w:val="24"/>
              </w:rPr>
              <w:t>Test Reports - Recordkeeping</w:t>
            </w:r>
          </w:p>
        </w:tc>
        <w:tc>
          <w:tcPr>
            <w:tcW w:w="1710" w:type="dxa"/>
            <w:shd w:val="clear" w:color="auto" w:fill="FFFFFF" w:themeFill="background1"/>
            <w:noWrap/>
            <w:vAlign w:val="center"/>
          </w:tcPr>
          <w:p w:rsidR="00E0566A" w:rsidRPr="00D322CA" w:rsidP="00D80863" w14:paraId="2015751F" w14:textId="77777777">
            <w:pPr>
              <w:spacing w:line="240" w:lineRule="auto"/>
              <w:jc w:val="center"/>
              <w:rPr>
                <w:color w:val="000000"/>
                <w:szCs w:val="24"/>
              </w:rPr>
            </w:pPr>
            <w:r>
              <w:rPr>
                <w:color w:val="000000"/>
                <w:szCs w:val="24"/>
              </w:rPr>
              <w:t>100</w:t>
            </w:r>
          </w:p>
        </w:tc>
        <w:tc>
          <w:tcPr>
            <w:tcW w:w="1350" w:type="dxa"/>
            <w:shd w:val="clear" w:color="auto" w:fill="FFFFFF" w:themeFill="background1"/>
            <w:vAlign w:val="center"/>
          </w:tcPr>
          <w:p w:rsidR="00E0566A" w:rsidRPr="00D322CA" w:rsidP="00D80863" w14:paraId="723AE220" w14:textId="24BB09E0">
            <w:pPr>
              <w:spacing w:line="240" w:lineRule="auto"/>
              <w:jc w:val="center"/>
              <w:rPr>
                <w:color w:val="000000"/>
                <w:szCs w:val="24"/>
              </w:rPr>
            </w:pPr>
            <w:r>
              <w:rPr>
                <w:color w:val="000000"/>
                <w:szCs w:val="24"/>
              </w:rPr>
              <w:t>100</w:t>
            </w:r>
            <w:r w:rsidR="00C749E3">
              <w:rPr>
                <w:color w:val="000000"/>
                <w:szCs w:val="24"/>
              </w:rPr>
              <w:t>0</w:t>
            </w:r>
          </w:p>
        </w:tc>
        <w:tc>
          <w:tcPr>
            <w:tcW w:w="1440" w:type="dxa"/>
            <w:shd w:val="clear" w:color="auto" w:fill="FFFFFF" w:themeFill="background1"/>
            <w:noWrap/>
            <w:vAlign w:val="center"/>
          </w:tcPr>
          <w:p w:rsidR="00E0566A" w:rsidRPr="00D322CA" w:rsidP="00D80863" w14:paraId="5801EAD9" w14:textId="4839A16A">
            <w:pPr>
              <w:spacing w:line="240" w:lineRule="auto"/>
              <w:jc w:val="center"/>
              <w:rPr>
                <w:color w:val="000000"/>
                <w:szCs w:val="24"/>
              </w:rPr>
            </w:pPr>
            <w:r>
              <w:rPr>
                <w:color w:val="000000"/>
                <w:szCs w:val="24"/>
              </w:rPr>
              <w:t>0.</w:t>
            </w:r>
            <w:r>
              <w:rPr>
                <w:color w:val="000000"/>
                <w:szCs w:val="24"/>
              </w:rPr>
              <w:t>1</w:t>
            </w:r>
          </w:p>
        </w:tc>
        <w:tc>
          <w:tcPr>
            <w:tcW w:w="1361" w:type="dxa"/>
            <w:shd w:val="clear" w:color="auto" w:fill="FFFFFF" w:themeFill="background1"/>
            <w:noWrap/>
            <w:vAlign w:val="center"/>
          </w:tcPr>
          <w:p w:rsidR="00E0566A" w:rsidRPr="00D322CA" w:rsidP="00D80863" w14:paraId="5C9B5F2C" w14:textId="77777777">
            <w:pPr>
              <w:spacing w:line="240" w:lineRule="auto"/>
              <w:jc w:val="center"/>
              <w:rPr>
                <w:color w:val="000000"/>
                <w:szCs w:val="24"/>
              </w:rPr>
            </w:pPr>
            <w:r>
              <w:rPr>
                <w:color w:val="000000"/>
                <w:szCs w:val="24"/>
              </w:rPr>
              <w:t>100</w:t>
            </w:r>
          </w:p>
        </w:tc>
      </w:tr>
      <w:tr w14:paraId="6A4AAD20" w14:textId="77777777" w:rsidTr="000A7FD4">
        <w:tblPrEx>
          <w:tblW w:w="9731" w:type="dxa"/>
          <w:jc w:val="center"/>
          <w:tblLook w:val="04A0"/>
        </w:tblPrEx>
        <w:trPr>
          <w:trHeight w:val="143"/>
          <w:jc w:val="center"/>
        </w:trPr>
        <w:tc>
          <w:tcPr>
            <w:tcW w:w="3870" w:type="dxa"/>
            <w:shd w:val="clear" w:color="auto" w:fill="FFFFFF" w:themeFill="background1"/>
            <w:noWrap/>
            <w:vAlign w:val="bottom"/>
          </w:tcPr>
          <w:p w:rsidR="00E0566A" w:rsidRPr="00D322CA" w:rsidP="00D80863" w14:paraId="21062A1C" w14:textId="134947D4">
            <w:pPr>
              <w:spacing w:line="240" w:lineRule="auto"/>
              <w:rPr>
                <w:color w:val="000000"/>
              </w:rPr>
            </w:pPr>
            <w:r w:rsidRPr="022492B4">
              <w:rPr>
                <w:color w:val="000000" w:themeColor="text1"/>
              </w:rPr>
              <w:t>Closure Instructions - Reporting</w:t>
            </w:r>
          </w:p>
        </w:tc>
        <w:tc>
          <w:tcPr>
            <w:tcW w:w="1710" w:type="dxa"/>
            <w:shd w:val="clear" w:color="auto" w:fill="FFFFFF" w:themeFill="background1"/>
            <w:noWrap/>
            <w:vAlign w:val="center"/>
          </w:tcPr>
          <w:p w:rsidR="00E0566A" w:rsidRPr="00D322CA" w:rsidP="00D80863" w14:paraId="048A3AE8" w14:textId="412A4E97">
            <w:pPr>
              <w:spacing w:line="240" w:lineRule="auto"/>
              <w:jc w:val="center"/>
              <w:rPr>
                <w:color w:val="000000"/>
                <w:szCs w:val="24"/>
              </w:rPr>
            </w:pPr>
            <w:r>
              <w:rPr>
                <w:color w:val="000000"/>
                <w:szCs w:val="24"/>
              </w:rPr>
              <w:t>500</w:t>
            </w:r>
          </w:p>
        </w:tc>
        <w:tc>
          <w:tcPr>
            <w:tcW w:w="1350" w:type="dxa"/>
            <w:shd w:val="clear" w:color="auto" w:fill="FFFFFF" w:themeFill="background1"/>
            <w:vAlign w:val="center"/>
          </w:tcPr>
          <w:p w:rsidR="00E0566A" w:rsidRPr="00D322CA" w:rsidP="00D80863" w14:paraId="46029BBD" w14:textId="18A460AA">
            <w:pPr>
              <w:spacing w:line="240" w:lineRule="auto"/>
              <w:jc w:val="center"/>
              <w:rPr>
                <w:color w:val="000000"/>
                <w:szCs w:val="24"/>
              </w:rPr>
            </w:pPr>
            <w:r>
              <w:rPr>
                <w:color w:val="000000"/>
                <w:szCs w:val="24"/>
              </w:rPr>
              <w:t>500</w:t>
            </w:r>
          </w:p>
        </w:tc>
        <w:tc>
          <w:tcPr>
            <w:tcW w:w="1440" w:type="dxa"/>
            <w:shd w:val="clear" w:color="auto" w:fill="FFFFFF" w:themeFill="background1"/>
            <w:noWrap/>
            <w:vAlign w:val="center"/>
          </w:tcPr>
          <w:p w:rsidR="00E0566A" w:rsidRPr="00D322CA" w:rsidP="00D80863" w14:paraId="6D1D8A1C" w14:textId="78E1ADD3">
            <w:pPr>
              <w:spacing w:line="240" w:lineRule="auto"/>
              <w:jc w:val="center"/>
              <w:rPr>
                <w:color w:val="000000"/>
                <w:szCs w:val="24"/>
              </w:rPr>
            </w:pPr>
            <w:r>
              <w:rPr>
                <w:color w:val="000000"/>
                <w:szCs w:val="24"/>
              </w:rPr>
              <w:t>2</w:t>
            </w:r>
          </w:p>
        </w:tc>
        <w:tc>
          <w:tcPr>
            <w:tcW w:w="1361" w:type="dxa"/>
            <w:shd w:val="clear" w:color="auto" w:fill="FFFFFF" w:themeFill="background1"/>
            <w:noWrap/>
            <w:vAlign w:val="center"/>
          </w:tcPr>
          <w:p w:rsidR="00E0566A" w:rsidRPr="00D322CA" w:rsidP="00D80863" w14:paraId="214835F5" w14:textId="4DB394EF">
            <w:pPr>
              <w:spacing w:line="240" w:lineRule="auto"/>
              <w:jc w:val="center"/>
              <w:rPr>
                <w:color w:val="000000"/>
                <w:szCs w:val="24"/>
              </w:rPr>
            </w:pPr>
            <w:r>
              <w:rPr>
                <w:color w:val="000000"/>
                <w:szCs w:val="24"/>
              </w:rPr>
              <w:t>1,000</w:t>
            </w:r>
          </w:p>
        </w:tc>
      </w:tr>
      <w:tr w14:paraId="67213AA7" w14:textId="77777777" w:rsidTr="000A7FD4">
        <w:tblPrEx>
          <w:tblW w:w="9731" w:type="dxa"/>
          <w:jc w:val="center"/>
          <w:tblLook w:val="04A0"/>
        </w:tblPrEx>
        <w:trPr>
          <w:trHeight w:val="143"/>
          <w:jc w:val="center"/>
        </w:trPr>
        <w:tc>
          <w:tcPr>
            <w:tcW w:w="3870" w:type="dxa"/>
            <w:shd w:val="clear" w:color="auto" w:fill="FFFFFF" w:themeFill="background1"/>
            <w:noWrap/>
            <w:vAlign w:val="bottom"/>
          </w:tcPr>
          <w:p w:rsidR="00E0566A" w:rsidRPr="00D322CA" w:rsidP="00D80863" w14:paraId="4DE09C82" w14:textId="7D5558BB">
            <w:pPr>
              <w:spacing w:line="240" w:lineRule="auto"/>
              <w:rPr>
                <w:color w:val="000000"/>
              </w:rPr>
            </w:pPr>
            <w:bookmarkStart w:id="2" w:name="_Hlk130384212"/>
            <w:r w:rsidRPr="022492B4">
              <w:rPr>
                <w:color w:val="000000" w:themeColor="text1"/>
              </w:rPr>
              <w:t>Closure Instructions - Recordkeeping</w:t>
            </w:r>
          </w:p>
        </w:tc>
        <w:tc>
          <w:tcPr>
            <w:tcW w:w="1710" w:type="dxa"/>
            <w:shd w:val="clear" w:color="auto" w:fill="FFFFFF" w:themeFill="background1"/>
            <w:noWrap/>
            <w:vAlign w:val="center"/>
          </w:tcPr>
          <w:p w:rsidR="00E0566A" w:rsidRPr="00D322CA" w:rsidP="00D80863" w14:paraId="3CE1190B" w14:textId="7B5F11A0">
            <w:pPr>
              <w:spacing w:line="240" w:lineRule="auto"/>
              <w:jc w:val="center"/>
              <w:rPr>
                <w:color w:val="000000"/>
                <w:szCs w:val="24"/>
              </w:rPr>
            </w:pPr>
            <w:r>
              <w:rPr>
                <w:color w:val="000000"/>
                <w:szCs w:val="24"/>
              </w:rPr>
              <w:t>16,080</w:t>
            </w:r>
          </w:p>
        </w:tc>
        <w:tc>
          <w:tcPr>
            <w:tcW w:w="1350" w:type="dxa"/>
            <w:shd w:val="clear" w:color="auto" w:fill="FFFFFF" w:themeFill="background1"/>
            <w:vAlign w:val="center"/>
          </w:tcPr>
          <w:p w:rsidR="00E0566A" w:rsidRPr="00D322CA" w:rsidP="00D80863" w14:paraId="228A9177" w14:textId="6C3ACB08">
            <w:pPr>
              <w:spacing w:line="240" w:lineRule="auto"/>
              <w:jc w:val="center"/>
              <w:rPr>
                <w:color w:val="000000"/>
                <w:szCs w:val="24"/>
              </w:rPr>
            </w:pPr>
            <w:r>
              <w:rPr>
                <w:color w:val="000000"/>
                <w:szCs w:val="24"/>
              </w:rPr>
              <w:t>16,080</w:t>
            </w:r>
          </w:p>
        </w:tc>
        <w:tc>
          <w:tcPr>
            <w:tcW w:w="1440" w:type="dxa"/>
            <w:shd w:val="clear" w:color="auto" w:fill="FFFFFF" w:themeFill="background1"/>
            <w:noWrap/>
            <w:vAlign w:val="center"/>
          </w:tcPr>
          <w:p w:rsidR="00E0566A" w:rsidRPr="00D322CA" w:rsidP="00D80863" w14:paraId="38FB4D3C" w14:textId="0ED6C18A">
            <w:pPr>
              <w:spacing w:line="240" w:lineRule="auto"/>
              <w:jc w:val="center"/>
              <w:rPr>
                <w:color w:val="000000"/>
                <w:szCs w:val="24"/>
              </w:rPr>
            </w:pPr>
            <w:r>
              <w:rPr>
                <w:color w:val="000000"/>
                <w:szCs w:val="24"/>
              </w:rPr>
              <w:t>0.083</w:t>
            </w:r>
          </w:p>
        </w:tc>
        <w:tc>
          <w:tcPr>
            <w:tcW w:w="1361" w:type="dxa"/>
            <w:shd w:val="clear" w:color="auto" w:fill="FFFFFF" w:themeFill="background1"/>
            <w:noWrap/>
            <w:vAlign w:val="center"/>
          </w:tcPr>
          <w:p w:rsidR="00E0566A" w:rsidRPr="00D322CA" w:rsidP="00D80863" w14:paraId="1BCEC9D2" w14:textId="24504603">
            <w:pPr>
              <w:spacing w:line="240" w:lineRule="auto"/>
              <w:jc w:val="center"/>
              <w:rPr>
                <w:color w:val="000000"/>
                <w:szCs w:val="24"/>
              </w:rPr>
            </w:pPr>
            <w:r>
              <w:rPr>
                <w:color w:val="000000"/>
                <w:szCs w:val="24"/>
              </w:rPr>
              <w:t>1,340</w:t>
            </w:r>
          </w:p>
        </w:tc>
      </w:tr>
      <w:bookmarkEnd w:id="2"/>
    </w:tbl>
    <w:p w:rsidR="00E0566A" w:rsidRPr="00BD0DF8" w:rsidP="00756846" w14:paraId="287812F0" w14:textId="77777777">
      <w:pPr>
        <w:ind w:firstLine="720"/>
        <w:rPr>
          <w:szCs w:val="24"/>
        </w:rPr>
      </w:pPr>
    </w:p>
    <w:p w:rsidR="00756846" w:rsidRPr="000A7FD4" w:rsidP="00756846" w14:paraId="33BD1C0F" w14:textId="77777777">
      <w:pPr>
        <w:ind w:firstLine="720"/>
        <w:rPr>
          <w:bCs/>
          <w:szCs w:val="24"/>
        </w:rPr>
      </w:pPr>
      <w:r w:rsidRPr="000A7FD4">
        <w:rPr>
          <w:bCs/>
          <w:szCs w:val="24"/>
          <w:u w:val="single"/>
        </w:rPr>
        <w:t>Affected Public</w:t>
      </w:r>
      <w:r w:rsidRPr="000A7FD4">
        <w:rPr>
          <w:bCs/>
          <w:szCs w:val="24"/>
        </w:rPr>
        <w:t>:  Each non-bulk packaging manufacturer that tests packagings to ensure compliance with the HMR. </w:t>
      </w:r>
    </w:p>
    <w:p w:rsidR="00756846" w:rsidRPr="000A7FD4" w:rsidP="00756846" w14:paraId="78EA4450" w14:textId="4E39F5C8">
      <w:pPr>
        <w:ind w:firstLine="720"/>
        <w:rPr>
          <w:bCs/>
          <w:szCs w:val="24"/>
        </w:rPr>
      </w:pPr>
      <w:r w:rsidRPr="000A7FD4">
        <w:rPr>
          <w:bCs/>
          <w:szCs w:val="24"/>
          <w:u w:val="single"/>
        </w:rPr>
        <w:t>Annual Reporting and Recordkeeping Burden</w:t>
      </w:r>
      <w:r w:rsidRPr="000A7FD4">
        <w:rPr>
          <w:bCs/>
          <w:szCs w:val="24"/>
        </w:rPr>
        <w:t>:</w:t>
      </w:r>
    </w:p>
    <w:p w:rsidR="00756846" w:rsidRPr="000A7FD4" w:rsidP="000A7FD4" w14:paraId="4E4B9B3C" w14:textId="2096D4D9">
      <w:pPr>
        <w:ind w:left="720" w:firstLine="720"/>
        <w:rPr>
          <w:szCs w:val="24"/>
        </w:rPr>
      </w:pPr>
      <w:r w:rsidRPr="000A7FD4">
        <w:rPr>
          <w:szCs w:val="24"/>
        </w:rPr>
        <w:t xml:space="preserve">Total </w:t>
      </w:r>
      <w:r w:rsidRPr="000A7FD4">
        <w:rPr>
          <w:szCs w:val="24"/>
        </w:rPr>
        <w:t>Number of Respondents:</w:t>
      </w:r>
      <w:r w:rsidRPr="000A7FD4">
        <w:rPr>
          <w:szCs w:val="24"/>
        </w:rPr>
        <w:tab/>
      </w:r>
      <w:r w:rsidRPr="000A7FD4" w:rsidR="00433F15">
        <w:rPr>
          <w:szCs w:val="24"/>
        </w:rPr>
        <w:t>21,690</w:t>
      </w:r>
    </w:p>
    <w:p w:rsidR="00756846" w:rsidRPr="000A7FD4" w:rsidP="000A7FD4" w14:paraId="458F3579" w14:textId="55703E7B">
      <w:pPr>
        <w:ind w:left="720" w:firstLine="720"/>
        <w:rPr>
          <w:szCs w:val="24"/>
        </w:rPr>
      </w:pPr>
      <w:r w:rsidRPr="000A7FD4">
        <w:rPr>
          <w:szCs w:val="24"/>
        </w:rPr>
        <w:t>Total Annual Responses:</w:t>
      </w:r>
      <w:r w:rsidRPr="000A7FD4">
        <w:rPr>
          <w:szCs w:val="24"/>
        </w:rPr>
        <w:tab/>
      </w:r>
      <w:r w:rsidRPr="000A7FD4">
        <w:rPr>
          <w:szCs w:val="24"/>
        </w:rPr>
        <w:tab/>
      </w:r>
      <w:r w:rsidRPr="000A7FD4" w:rsidR="00433F15">
        <w:rPr>
          <w:szCs w:val="24"/>
        </w:rPr>
        <w:t>32,610</w:t>
      </w:r>
    </w:p>
    <w:p w:rsidR="00756846" w:rsidRPr="000A7FD4" w:rsidP="000A7FD4" w14:paraId="22033348" w14:textId="4E19D09F">
      <w:pPr>
        <w:ind w:left="720" w:firstLine="720"/>
        <w:rPr>
          <w:szCs w:val="24"/>
        </w:rPr>
      </w:pPr>
      <w:r w:rsidRPr="000A7FD4">
        <w:rPr>
          <w:szCs w:val="24"/>
        </w:rPr>
        <w:t>Total Annual Burden Hours:</w:t>
      </w:r>
      <w:r w:rsidRPr="000A7FD4">
        <w:rPr>
          <w:szCs w:val="24"/>
        </w:rPr>
        <w:tab/>
      </w:r>
      <w:r w:rsidRPr="000A7FD4">
        <w:rPr>
          <w:szCs w:val="24"/>
        </w:rPr>
        <w:tab/>
      </w:r>
      <w:r w:rsidRPr="000A7FD4" w:rsidR="00433F15">
        <w:rPr>
          <w:szCs w:val="24"/>
        </w:rPr>
        <w:t>32,750</w:t>
      </w:r>
    </w:p>
    <w:p w:rsidR="00191BFA" w:rsidRPr="000A7FD4" w:rsidP="000A7FD4" w14:paraId="56533CD1" w14:textId="4F6538BB">
      <w:pPr>
        <w:ind w:left="720" w:firstLine="720"/>
        <w:rPr>
          <w:szCs w:val="24"/>
        </w:rPr>
      </w:pPr>
      <w:r w:rsidRPr="000A7FD4">
        <w:rPr>
          <w:szCs w:val="24"/>
        </w:rPr>
        <w:t>Frequency of Collection:</w:t>
      </w:r>
      <w:r w:rsidRPr="000A7FD4">
        <w:rPr>
          <w:szCs w:val="24"/>
        </w:rPr>
        <w:tab/>
      </w:r>
      <w:r w:rsidRPr="000A7FD4">
        <w:rPr>
          <w:szCs w:val="24"/>
        </w:rPr>
        <w:tab/>
      </w:r>
      <w:r w:rsidRPr="000A7FD4">
        <w:rPr>
          <w:szCs w:val="24"/>
        </w:rPr>
        <w:t>On occasion</w:t>
      </w:r>
    </w:p>
    <w:p w:rsidR="00745E7E" w:rsidRPr="000A7FD4" w:rsidP="00745E7E" w14:paraId="76E862E0" w14:textId="77777777">
      <w:pPr>
        <w:ind w:firstLine="720"/>
        <w:rPr>
          <w:szCs w:val="24"/>
        </w:rPr>
      </w:pPr>
    </w:p>
    <w:p w:rsidR="0028111C" w:rsidRPr="000A7FD4" w:rsidP="000A7FD4" w14:paraId="158E303F" w14:textId="77777777">
      <w:pPr>
        <w:widowControl w:val="0"/>
        <w:ind w:firstLine="720"/>
        <w:rPr>
          <w:szCs w:val="24"/>
        </w:rPr>
      </w:pPr>
      <w:r w:rsidRPr="000A7FD4">
        <w:rPr>
          <w:szCs w:val="24"/>
          <w:u w:val="single"/>
        </w:rPr>
        <w:t>Title</w:t>
      </w:r>
      <w:r w:rsidRPr="000A7FD4">
        <w:rPr>
          <w:szCs w:val="24"/>
        </w:rPr>
        <w:t>:  Hazardous Materials Public Sector Training and Planning Grants</w:t>
      </w:r>
    </w:p>
    <w:p w:rsidR="0028111C" w:rsidRPr="000A7FD4" w:rsidP="000A7FD4" w14:paraId="0ADDA1B4" w14:textId="77777777">
      <w:pPr>
        <w:widowControl w:val="0"/>
        <w:ind w:firstLine="720"/>
        <w:rPr>
          <w:szCs w:val="24"/>
        </w:rPr>
      </w:pPr>
      <w:r w:rsidRPr="000A7FD4">
        <w:rPr>
          <w:szCs w:val="24"/>
          <w:u w:val="single"/>
        </w:rPr>
        <w:t>OMB Control Number</w:t>
      </w:r>
      <w:r w:rsidRPr="000A7FD4">
        <w:rPr>
          <w:szCs w:val="24"/>
        </w:rPr>
        <w:t>:  2137-0586</w:t>
      </w:r>
    </w:p>
    <w:p w:rsidR="00563E7C" w:rsidRPr="000A7FD4" w:rsidP="000A7FD4" w14:paraId="533026A8" w14:textId="6F2DE070">
      <w:pPr>
        <w:ind w:firstLine="720"/>
        <w:rPr>
          <w:szCs w:val="24"/>
        </w:rPr>
      </w:pPr>
      <w:r w:rsidRPr="000A7FD4">
        <w:rPr>
          <w:szCs w:val="24"/>
          <w:u w:val="single"/>
        </w:rPr>
        <w:t>Summary</w:t>
      </w:r>
      <w:r w:rsidRPr="000A7FD4">
        <w:rPr>
          <w:szCs w:val="24"/>
        </w:rPr>
        <w:t xml:space="preserve">:  </w:t>
      </w:r>
      <w:r w:rsidRPr="000A7FD4" w:rsidR="00E61699">
        <w:rPr>
          <w:szCs w:val="24"/>
        </w:rPr>
        <w:t xml:space="preserve">This OMB control number describes the information collections in parts 110 </w:t>
      </w:r>
      <w:r w:rsidRPr="00996259" w:rsidR="00E61699">
        <w:rPr>
          <w:szCs w:val="24"/>
        </w:rPr>
        <w:t xml:space="preserve">of the HMR </w:t>
      </w:r>
      <w:r w:rsidRPr="00996259" w:rsidR="7121570C">
        <w:rPr>
          <w:szCs w:val="24"/>
        </w:rPr>
        <w:t xml:space="preserve">pertaining </w:t>
      </w:r>
      <w:r w:rsidRPr="000A7FD4" w:rsidR="7121570C">
        <w:rPr>
          <w:szCs w:val="24"/>
        </w:rPr>
        <w:t>to</w:t>
      </w:r>
      <w:r w:rsidRPr="000A7FD4">
        <w:rPr>
          <w:szCs w:val="24"/>
        </w:rPr>
        <w:t xml:space="preserve"> the procedures for reimbursable grants for public sector planning and training in support of the emergency planning and training efforts of States, Indian tribes, and local communities to manage hazardous materials emergencies, particularly those involving transportation.  Sections in this part address information collection and recordkeeping with regard to applying for grants, monitoring expenditures, and reporting and requesting modifications. </w:t>
      </w:r>
    </w:p>
    <w:p w:rsidR="0028111C" w:rsidRPr="000A7FD4" w:rsidP="00563E7C" w14:paraId="73912E6F" w14:textId="5231950E">
      <w:pPr>
        <w:widowControl w:val="0"/>
        <w:ind w:firstLine="720"/>
        <w:rPr>
          <w:szCs w:val="24"/>
        </w:rPr>
      </w:pPr>
      <w:r w:rsidRPr="000A7FD4">
        <w:rPr>
          <w:szCs w:val="24"/>
        </w:rPr>
        <w:t xml:space="preserve">The following </w:t>
      </w:r>
      <w:r w:rsidRPr="000A7FD4" w:rsidR="0091055A">
        <w:rPr>
          <w:szCs w:val="24"/>
        </w:rPr>
        <w:t xml:space="preserve">is a list of the </w:t>
      </w:r>
      <w:r w:rsidRPr="000A7FD4">
        <w:rPr>
          <w:szCs w:val="24"/>
        </w:rPr>
        <w:t>information collection</w:t>
      </w:r>
      <w:r w:rsidRPr="000A7FD4" w:rsidR="0091055A">
        <w:rPr>
          <w:szCs w:val="24"/>
        </w:rPr>
        <w:t>s</w:t>
      </w:r>
      <w:r w:rsidRPr="000A7FD4">
        <w:rPr>
          <w:szCs w:val="24"/>
        </w:rPr>
        <w:t xml:space="preserve"> and burden</w:t>
      </w:r>
      <w:r w:rsidRPr="000A7FD4" w:rsidR="0091055A">
        <w:rPr>
          <w:szCs w:val="24"/>
        </w:rPr>
        <w:t xml:space="preserve"> estimates</w:t>
      </w:r>
      <w:r w:rsidRPr="000A7FD4">
        <w:rPr>
          <w:szCs w:val="24"/>
        </w:rPr>
        <w:t xml:space="preserve"> associated with this OMB Control Number:</w:t>
      </w:r>
    </w:p>
    <w:tbl>
      <w:tblPr>
        <w:tblW w:w="9281" w:type="dxa"/>
        <w:jc w:val="center"/>
        <w:tblLook w:val="04A0"/>
      </w:tblPr>
      <w:tblGrid>
        <w:gridCol w:w="3780"/>
        <w:gridCol w:w="1530"/>
        <w:gridCol w:w="1350"/>
        <w:gridCol w:w="1260"/>
        <w:gridCol w:w="1361"/>
      </w:tblGrid>
      <w:tr w14:paraId="69ED1FB7" w14:textId="77777777" w:rsidTr="000A7FD4">
        <w:tblPrEx>
          <w:tblW w:w="9281" w:type="dxa"/>
          <w:jc w:val="center"/>
          <w:tblLook w:val="04A0"/>
        </w:tblPrEx>
        <w:trPr>
          <w:trHeight w:val="290"/>
          <w:jc w:val="center"/>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11C" w:rsidRPr="00D322CA" w:rsidP="000A7FD4" w14:paraId="23AF536F" w14:textId="0E0377FD">
            <w:pPr>
              <w:spacing w:line="240" w:lineRule="auto"/>
              <w:jc w:val="center"/>
              <w:rPr>
                <w:b/>
                <w:color w:val="000000"/>
                <w:szCs w:val="24"/>
              </w:rPr>
            </w:pPr>
            <w:bookmarkStart w:id="3" w:name="_Hlk129950598"/>
            <w:r w:rsidRPr="0086494C">
              <w:rPr>
                <w:b/>
                <w:color w:val="000000"/>
                <w:szCs w:val="24"/>
              </w:rPr>
              <w:t>Information Collection</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28111C" w:rsidRPr="00D322CA" w:rsidP="003476B7" w14:paraId="18208D96" w14:textId="77777777">
            <w:pPr>
              <w:spacing w:line="240" w:lineRule="auto"/>
              <w:jc w:val="center"/>
              <w:rPr>
                <w:b/>
                <w:bCs/>
                <w:color w:val="000000"/>
                <w:szCs w:val="24"/>
              </w:rPr>
            </w:pPr>
            <w:r w:rsidRPr="00005251">
              <w:rPr>
                <w:b/>
                <w:bCs/>
                <w:szCs w:val="24"/>
              </w:rPr>
              <w:t>Respondents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8111C" w:rsidRPr="00D322CA" w:rsidP="003476B7" w14:paraId="33E4792D" w14:textId="77777777">
            <w:pPr>
              <w:spacing w:line="240" w:lineRule="auto"/>
              <w:jc w:val="center"/>
              <w:rPr>
                <w:b/>
                <w:bCs/>
                <w:color w:val="000000"/>
                <w:szCs w:val="24"/>
              </w:rPr>
            </w:pPr>
            <w:r>
              <w:rPr>
                <w:b/>
                <w:bCs/>
                <w:szCs w:val="24"/>
              </w:rPr>
              <w:t xml:space="preserve">Total Annual </w:t>
            </w:r>
            <w:r w:rsidRPr="00005251">
              <w:rPr>
                <w:b/>
                <w:bCs/>
                <w:szCs w:val="24"/>
              </w:rPr>
              <w:t>Responses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8111C" w:rsidRPr="00D322CA" w:rsidP="003476B7" w14:paraId="5F098A56" w14:textId="77777777">
            <w:pPr>
              <w:spacing w:line="240" w:lineRule="auto"/>
              <w:jc w:val="center"/>
              <w:rPr>
                <w:b/>
                <w:bCs/>
                <w:color w:val="000000"/>
                <w:szCs w:val="24"/>
              </w:rPr>
            </w:pPr>
            <w:r w:rsidRPr="00005251">
              <w:rPr>
                <w:b/>
                <w:bCs/>
                <w:szCs w:val="24"/>
              </w:rPr>
              <w:t>Hours per Response</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28111C" w:rsidRPr="00D322CA" w:rsidP="003476B7" w14:paraId="0C0D0107" w14:textId="77777777">
            <w:pPr>
              <w:spacing w:line="240" w:lineRule="auto"/>
              <w:jc w:val="center"/>
              <w:rPr>
                <w:b/>
                <w:bCs/>
                <w:color w:val="000000"/>
                <w:szCs w:val="24"/>
              </w:rPr>
            </w:pPr>
            <w:r w:rsidRPr="00005251">
              <w:rPr>
                <w:b/>
                <w:bCs/>
                <w:szCs w:val="24"/>
              </w:rPr>
              <w:t xml:space="preserve">Total </w:t>
            </w:r>
            <w:r>
              <w:rPr>
                <w:b/>
                <w:bCs/>
                <w:szCs w:val="24"/>
              </w:rPr>
              <w:t xml:space="preserve">Annual Burden </w:t>
            </w:r>
            <w:r w:rsidRPr="00005251">
              <w:rPr>
                <w:b/>
                <w:bCs/>
                <w:szCs w:val="24"/>
              </w:rPr>
              <w:t>Hours</w:t>
            </w:r>
          </w:p>
        </w:tc>
      </w:tr>
      <w:tr w14:paraId="0A12F34C" w14:textId="77777777" w:rsidTr="000A7FD4">
        <w:tblPrEx>
          <w:tblW w:w="9281" w:type="dxa"/>
          <w:jc w:val="center"/>
          <w:tblLook w:val="04A0"/>
        </w:tblPrEx>
        <w:trPr>
          <w:trHeight w:val="143"/>
          <w:jc w:val="center"/>
        </w:trPr>
        <w:tc>
          <w:tcPr>
            <w:tcW w:w="37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8111C" w:rsidRPr="00D322CA" w:rsidP="00D80863" w14:paraId="48E695D5" w14:textId="77777777">
            <w:pPr>
              <w:spacing w:line="240" w:lineRule="auto"/>
              <w:rPr>
                <w:bCs/>
                <w:color w:val="000000"/>
                <w:szCs w:val="24"/>
              </w:rPr>
            </w:pPr>
            <w:r w:rsidRPr="0086494C">
              <w:rPr>
                <w:bCs/>
                <w:color w:val="000000"/>
                <w:szCs w:val="24"/>
              </w:rPr>
              <w:t>Hazardous Materials Grants Applications</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8111C" w:rsidRPr="00D322CA" w:rsidP="00BD0DF8" w14:paraId="510EEADD" w14:textId="77777777">
            <w:pPr>
              <w:spacing w:line="240" w:lineRule="auto"/>
              <w:jc w:val="center"/>
              <w:rPr>
                <w:color w:val="000000"/>
                <w:szCs w:val="24"/>
              </w:rPr>
            </w:pPr>
            <w:r w:rsidRPr="0086494C">
              <w:rPr>
                <w:color w:val="000000"/>
                <w:szCs w:val="24"/>
              </w:rPr>
              <w:t>62</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28111C" w:rsidRPr="00D322CA" w:rsidP="0087281B" w14:paraId="4454FBFF" w14:textId="77777777">
            <w:pPr>
              <w:spacing w:line="240" w:lineRule="auto"/>
              <w:jc w:val="center"/>
              <w:rPr>
                <w:color w:val="000000"/>
                <w:szCs w:val="24"/>
              </w:rPr>
            </w:pPr>
            <w:r w:rsidRPr="0086494C">
              <w:rPr>
                <w:color w:val="000000"/>
                <w:szCs w:val="24"/>
              </w:rPr>
              <w:t>62</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28111C" w:rsidRPr="00D322CA" w14:paraId="0B544C11" w14:textId="77777777">
            <w:pPr>
              <w:spacing w:line="240" w:lineRule="auto"/>
              <w:jc w:val="center"/>
              <w:rPr>
                <w:color w:val="000000"/>
                <w:szCs w:val="24"/>
              </w:rPr>
            </w:pPr>
            <w:r>
              <w:rPr>
                <w:color w:val="000000"/>
                <w:szCs w:val="24"/>
              </w:rPr>
              <w:t>83.23</w:t>
            </w:r>
          </w:p>
        </w:tc>
        <w:tc>
          <w:tcPr>
            <w:tcW w:w="1361" w:type="dxa"/>
            <w:tcBorders>
              <w:top w:val="nil"/>
              <w:left w:val="nil"/>
              <w:bottom w:val="single" w:sz="4" w:space="0" w:color="auto"/>
              <w:right w:val="single" w:sz="4" w:space="0" w:color="auto"/>
            </w:tcBorders>
            <w:shd w:val="clear" w:color="auto" w:fill="FFFFFF" w:themeFill="background1"/>
            <w:noWrap/>
            <w:vAlign w:val="center"/>
            <w:hideMark/>
          </w:tcPr>
          <w:p w:rsidR="0028111C" w:rsidRPr="00D322CA" w14:paraId="3BF6E744" w14:textId="4E0817A8">
            <w:pPr>
              <w:spacing w:line="240" w:lineRule="auto"/>
              <w:jc w:val="center"/>
              <w:rPr>
                <w:color w:val="000000"/>
              </w:rPr>
            </w:pPr>
            <w:r w:rsidRPr="022492B4">
              <w:rPr>
                <w:color w:val="000000" w:themeColor="text1"/>
              </w:rPr>
              <w:t>5,</w:t>
            </w:r>
            <w:r w:rsidRPr="022492B4" w:rsidR="0EFB831B">
              <w:rPr>
                <w:color w:val="000000" w:themeColor="text1"/>
              </w:rPr>
              <w:t>16</w:t>
            </w:r>
            <w:r w:rsidRPr="022492B4" w:rsidR="6120004B">
              <w:rPr>
                <w:color w:val="000000" w:themeColor="text1"/>
              </w:rPr>
              <w:t>2</w:t>
            </w:r>
          </w:p>
        </w:tc>
      </w:tr>
      <w:bookmarkEnd w:id="3"/>
    </w:tbl>
    <w:p w:rsidR="0028111C" w:rsidRPr="00B66593" w:rsidP="00BD0DF8" w14:paraId="140C6B0D" w14:textId="77777777">
      <w:pPr>
        <w:widowControl w:val="0"/>
      </w:pPr>
    </w:p>
    <w:p w:rsidR="0028111C" w:rsidRPr="001340D6" w:rsidP="0087281B" w14:paraId="3B738D4B" w14:textId="77777777">
      <w:pPr>
        <w:widowControl w:val="0"/>
        <w:ind w:firstLine="720"/>
      </w:pPr>
      <w:r w:rsidRPr="000A7FD4">
        <w:rPr>
          <w:u w:val="single"/>
        </w:rPr>
        <w:t>Affected Public</w:t>
      </w:r>
      <w:r w:rsidRPr="000A7FD4">
        <w:t>:</w:t>
      </w:r>
      <w:r w:rsidRPr="001340D6">
        <w:t xml:space="preserve">  State and local governments, Indian tribes.</w:t>
      </w:r>
    </w:p>
    <w:p w:rsidR="0028111C" w:rsidRPr="000A7FD4" w14:paraId="5B00393B" w14:textId="77777777">
      <w:pPr>
        <w:widowControl w:val="0"/>
        <w:ind w:firstLine="720"/>
      </w:pPr>
      <w:r w:rsidRPr="000A7FD4">
        <w:rPr>
          <w:u w:val="single"/>
        </w:rPr>
        <w:t>Annual Reporting and Recordkeeping Burden</w:t>
      </w:r>
      <w:r w:rsidRPr="000A7FD4">
        <w:t>:</w:t>
      </w:r>
    </w:p>
    <w:p w:rsidR="0028111C" w:rsidRPr="00B66593" w:rsidP="000A7FD4" w14:paraId="32A0751C" w14:textId="7CDB031D">
      <w:pPr>
        <w:widowControl w:val="0"/>
        <w:ind w:left="720" w:firstLine="720"/>
      </w:pPr>
      <w:r>
        <w:t xml:space="preserve">Total </w:t>
      </w:r>
      <w:r w:rsidRPr="00B66593">
        <w:t>Annual Respondents:</w:t>
      </w:r>
      <w:r w:rsidRPr="00B66593">
        <w:tab/>
      </w:r>
      <w:r w:rsidRPr="00B66593">
        <w:tab/>
      </w:r>
      <w:r>
        <w:t>62</w:t>
      </w:r>
    </w:p>
    <w:p w:rsidR="0028111C" w:rsidRPr="00B66593" w:rsidP="000A7FD4" w14:paraId="50B9837F" w14:textId="77777777">
      <w:pPr>
        <w:widowControl w:val="0"/>
        <w:ind w:left="720" w:firstLine="720"/>
      </w:pPr>
      <w:r w:rsidRPr="00B66593">
        <w:t>Annual Responses:</w:t>
      </w:r>
      <w:r w:rsidRPr="00B66593">
        <w:tab/>
      </w:r>
      <w:r w:rsidRPr="00B66593">
        <w:tab/>
      </w:r>
      <w:r>
        <w:tab/>
      </w:r>
      <w:r>
        <w:t>62</w:t>
      </w:r>
    </w:p>
    <w:p w:rsidR="0028111C" w:rsidRPr="00B66593" w:rsidP="000A7FD4" w14:paraId="77F66E2F" w14:textId="27806252">
      <w:pPr>
        <w:widowControl w:val="0"/>
        <w:ind w:left="720" w:firstLine="720"/>
      </w:pPr>
      <w:r w:rsidRPr="00B66593">
        <w:t>Annual Burden Hours:</w:t>
      </w:r>
      <w:r w:rsidRPr="00B66593">
        <w:tab/>
      </w:r>
      <w:r>
        <w:tab/>
      </w:r>
      <w:r>
        <w:t>5,</w:t>
      </w:r>
      <w:r w:rsidR="0EFB831B">
        <w:t>16</w:t>
      </w:r>
      <w:r w:rsidR="7DEE403F">
        <w:t>2</w:t>
      </w:r>
    </w:p>
    <w:p w:rsidR="0028111C" w:rsidRPr="00B66593" w:rsidP="000A7FD4" w14:paraId="43EDF31D" w14:textId="77777777">
      <w:pPr>
        <w:widowControl w:val="0"/>
        <w:ind w:left="720" w:firstLine="720"/>
      </w:pPr>
      <w:r w:rsidRPr="00B66593">
        <w:t>Frequency of collection:</w:t>
      </w:r>
      <w:r w:rsidRPr="00B66593">
        <w:tab/>
      </w:r>
      <w:r>
        <w:tab/>
      </w:r>
      <w:r w:rsidRPr="00B66593">
        <w:t>On occasion</w:t>
      </w:r>
    </w:p>
    <w:p w:rsidR="007569DA" w:rsidP="00A0358E" w14:paraId="1F262FE6" w14:textId="30054D1A"/>
    <w:p w:rsidR="00930A5C" w:rsidP="000A7FD4" w14:paraId="78FC1A83" w14:textId="1ABC3E2D">
      <w:pPr>
        <w:ind w:firstLine="720"/>
      </w:pPr>
      <w:r>
        <w:t xml:space="preserve">Issued in Washington, DC, on </w:t>
      </w:r>
      <w:r w:rsidR="005B2FEA">
        <w:t>May</w:t>
      </w:r>
      <w:r w:rsidR="00A21538">
        <w:t xml:space="preserve"> </w:t>
      </w:r>
      <w:r w:rsidR="005B2FEA">
        <w:t>16</w:t>
      </w:r>
      <w:r>
        <w:t>, 2023.</w:t>
      </w:r>
    </w:p>
    <w:p w:rsidR="00930A5C" w:rsidP="00930A5C" w14:paraId="7A920D6C" w14:textId="77777777"/>
    <w:p w:rsidR="00930A5C" w14:paraId="5019CF8F" w14:textId="08721921">
      <w:pPr>
        <w:spacing w:line="240" w:lineRule="auto"/>
      </w:pPr>
      <w:r w:rsidR="1A59E6F7">
        <w:t>T Glenn Foster</w:t>
      </w:r>
    </w:p>
    <w:p w:rsidR="007F55CC" w:rsidP="000A7FD4" w14:paraId="3DCD384A" w14:textId="6BAC285A">
      <w:pPr>
        <w:spacing w:line="240" w:lineRule="auto"/>
      </w:pPr>
      <w:r>
        <w:t>Chief, Regulatory Review and Reinvention Branch</w:t>
      </w:r>
    </w:p>
    <w:p w:rsidR="006E13F1" w:rsidP="000A7FD4" w14:paraId="6FEBD1CC" w14:textId="67BC950A">
      <w:pPr>
        <w:spacing w:line="240" w:lineRule="auto"/>
      </w:pPr>
      <w:r>
        <w:t>Office of Hazardous Materials Safety</w:t>
      </w:r>
    </w:p>
    <w:p w:rsidR="00930A5C" w:rsidP="0087281B" w14:paraId="50702CD1" w14:textId="1A0ED4B4">
      <w:pPr>
        <w:spacing w:line="240" w:lineRule="auto"/>
      </w:pPr>
      <w:r>
        <w:t>Pipeline and Hazardous Materials Safety Administration</w:t>
      </w:r>
    </w:p>
    <w:sectPr w:rsidSect="000A7FD4">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orient="portrait"/>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6D4" w:rsidP="002B04BF" w14:paraId="159F4B85"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A66D4" w:rsidP="002B04BF" w14:paraId="1B20E5F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491036"/>
      <w:docPartObj>
        <w:docPartGallery w:val="Page Numbers (Bottom of Page)"/>
        <w:docPartUnique/>
      </w:docPartObj>
    </w:sdtPr>
    <w:sdtEndPr>
      <w:rPr>
        <w:noProof/>
      </w:rPr>
    </w:sdtEndPr>
    <w:sdtContent>
      <w:p w:rsidR="00837ED9" w14:paraId="500A75B7" w14:textId="225A4F20">
        <w:pPr>
          <w:pStyle w:val="Footer"/>
          <w:jc w:val="center"/>
        </w:pPr>
        <w:r>
          <w:fldChar w:fldCharType="begin"/>
        </w:r>
        <w:r>
          <w:instrText xml:space="preserve"> PAGE   \* MERGEFORMAT </w:instrText>
        </w:r>
        <w:r>
          <w:fldChar w:fldCharType="separate"/>
        </w:r>
        <w:r w:rsidR="000A52C5">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92E" w14:paraId="29C83C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92E" w14:paraId="628F6C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92E" w14:paraId="18F70D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92E" w14:paraId="2144CE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C74D57"/>
    <w:multiLevelType w:val="hybridMultilevel"/>
    <w:tmpl w:val="94D06F76"/>
    <w:lvl w:ilvl="0">
      <w:start w:val="1"/>
      <w:numFmt w:val="decimal"/>
      <w:lvlText w:val="(%1)"/>
      <w:lvlJc w:val="left"/>
      <w:pPr>
        <w:tabs>
          <w:tab w:val="num" w:pos="945"/>
        </w:tabs>
        <w:ind w:left="94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88C1760"/>
    <w:multiLevelType w:val="hybridMultilevel"/>
    <w:tmpl w:val="C310F24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56F6C00"/>
    <w:multiLevelType w:val="hybridMultilevel"/>
    <w:tmpl w:val="321E050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A9756E"/>
    <w:multiLevelType w:val="multilevel"/>
    <w:tmpl w:val="9E5EEE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A62A8F"/>
    <w:multiLevelType w:val="hybridMultilevel"/>
    <w:tmpl w:val="7906517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63CC5189"/>
    <w:multiLevelType w:val="hybridMultilevel"/>
    <w:tmpl w:val="681A1E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9C0125"/>
    <w:multiLevelType w:val="multilevel"/>
    <w:tmpl w:val="2E0E2A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3D68A4"/>
    <w:multiLevelType w:val="hybridMultilevel"/>
    <w:tmpl w:val="2D6C0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2634E2"/>
    <w:multiLevelType w:val="hybridMultilevel"/>
    <w:tmpl w:val="FF2AB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9830577">
    <w:abstractNumId w:val="0"/>
  </w:num>
  <w:num w:numId="2" w16cid:durableId="1953587948">
    <w:abstractNumId w:val="4"/>
  </w:num>
  <w:num w:numId="3" w16cid:durableId="1227957941">
    <w:abstractNumId w:val="1"/>
  </w:num>
  <w:num w:numId="4" w16cid:durableId="367802821">
    <w:abstractNumId w:val="2"/>
  </w:num>
  <w:num w:numId="5" w16cid:durableId="1778478696">
    <w:abstractNumId w:val="5"/>
  </w:num>
  <w:num w:numId="6" w16cid:durableId="1751267431">
    <w:abstractNumId w:val="3"/>
  </w:num>
  <w:num w:numId="7" w16cid:durableId="2126462138">
    <w:abstractNumId w:val="6"/>
  </w:num>
  <w:num w:numId="8" w16cid:durableId="2018341229">
    <w:abstractNumId w:val="8"/>
  </w:num>
  <w:num w:numId="9" w16cid:durableId="955910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C7"/>
    <w:rsid w:val="00000416"/>
    <w:rsid w:val="00005251"/>
    <w:rsid w:val="00016503"/>
    <w:rsid w:val="000201CF"/>
    <w:rsid w:val="0002030C"/>
    <w:rsid w:val="000220FB"/>
    <w:rsid w:val="00022F44"/>
    <w:rsid w:val="00024691"/>
    <w:rsid w:val="00025889"/>
    <w:rsid w:val="00031DC8"/>
    <w:rsid w:val="00033B65"/>
    <w:rsid w:val="0003734F"/>
    <w:rsid w:val="00037499"/>
    <w:rsid w:val="000375EC"/>
    <w:rsid w:val="00040A47"/>
    <w:rsid w:val="00040ED5"/>
    <w:rsid w:val="00045611"/>
    <w:rsid w:val="00051874"/>
    <w:rsid w:val="0005195B"/>
    <w:rsid w:val="00051A81"/>
    <w:rsid w:val="00052D95"/>
    <w:rsid w:val="0005441C"/>
    <w:rsid w:val="0005521F"/>
    <w:rsid w:val="000609A4"/>
    <w:rsid w:val="00060D64"/>
    <w:rsid w:val="00061438"/>
    <w:rsid w:val="000621A0"/>
    <w:rsid w:val="000625A8"/>
    <w:rsid w:val="000631C0"/>
    <w:rsid w:val="00065D0A"/>
    <w:rsid w:val="0006732F"/>
    <w:rsid w:val="00067D4D"/>
    <w:rsid w:val="00070FA7"/>
    <w:rsid w:val="000723E1"/>
    <w:rsid w:val="000750A7"/>
    <w:rsid w:val="00077C0C"/>
    <w:rsid w:val="0008042F"/>
    <w:rsid w:val="000865B8"/>
    <w:rsid w:val="00087B58"/>
    <w:rsid w:val="000924A7"/>
    <w:rsid w:val="00092F77"/>
    <w:rsid w:val="00093279"/>
    <w:rsid w:val="000933CB"/>
    <w:rsid w:val="00093B74"/>
    <w:rsid w:val="000975CE"/>
    <w:rsid w:val="000A1877"/>
    <w:rsid w:val="000A2F7D"/>
    <w:rsid w:val="000A52C5"/>
    <w:rsid w:val="000A6A87"/>
    <w:rsid w:val="000A7088"/>
    <w:rsid w:val="000A7FD4"/>
    <w:rsid w:val="000B1CBD"/>
    <w:rsid w:val="000B2DAA"/>
    <w:rsid w:val="000B7D0D"/>
    <w:rsid w:val="000C215D"/>
    <w:rsid w:val="000C3E9B"/>
    <w:rsid w:val="000C5201"/>
    <w:rsid w:val="000C662E"/>
    <w:rsid w:val="000D3118"/>
    <w:rsid w:val="000D4341"/>
    <w:rsid w:val="000D510E"/>
    <w:rsid w:val="000D6019"/>
    <w:rsid w:val="000E0482"/>
    <w:rsid w:val="000E1FD8"/>
    <w:rsid w:val="000E58AB"/>
    <w:rsid w:val="000F0513"/>
    <w:rsid w:val="000F08CC"/>
    <w:rsid w:val="000F4567"/>
    <w:rsid w:val="001001C3"/>
    <w:rsid w:val="0010165F"/>
    <w:rsid w:val="001017EE"/>
    <w:rsid w:val="00102CF5"/>
    <w:rsid w:val="001034BD"/>
    <w:rsid w:val="001036E1"/>
    <w:rsid w:val="00106682"/>
    <w:rsid w:val="00106965"/>
    <w:rsid w:val="00107951"/>
    <w:rsid w:val="001106C7"/>
    <w:rsid w:val="001145CF"/>
    <w:rsid w:val="00114C19"/>
    <w:rsid w:val="001162A1"/>
    <w:rsid w:val="001164AA"/>
    <w:rsid w:val="00117323"/>
    <w:rsid w:val="001211DB"/>
    <w:rsid w:val="00124E72"/>
    <w:rsid w:val="00130B99"/>
    <w:rsid w:val="001319EE"/>
    <w:rsid w:val="00131BC9"/>
    <w:rsid w:val="00132DD2"/>
    <w:rsid w:val="001340D6"/>
    <w:rsid w:val="001340ED"/>
    <w:rsid w:val="00134D20"/>
    <w:rsid w:val="001354E6"/>
    <w:rsid w:val="0013628F"/>
    <w:rsid w:val="00141A42"/>
    <w:rsid w:val="00144ED7"/>
    <w:rsid w:val="0014692E"/>
    <w:rsid w:val="00147A8C"/>
    <w:rsid w:val="001503AD"/>
    <w:rsid w:val="00150CE5"/>
    <w:rsid w:val="001512E1"/>
    <w:rsid w:val="0015131E"/>
    <w:rsid w:val="00157368"/>
    <w:rsid w:val="00161A9B"/>
    <w:rsid w:val="00162748"/>
    <w:rsid w:val="0016339E"/>
    <w:rsid w:val="00163776"/>
    <w:rsid w:val="0016448A"/>
    <w:rsid w:val="00170F24"/>
    <w:rsid w:val="00173BFE"/>
    <w:rsid w:val="00174729"/>
    <w:rsid w:val="001758D8"/>
    <w:rsid w:val="00176680"/>
    <w:rsid w:val="00177019"/>
    <w:rsid w:val="0017773A"/>
    <w:rsid w:val="00177EB1"/>
    <w:rsid w:val="0018310D"/>
    <w:rsid w:val="00184A2A"/>
    <w:rsid w:val="00185E49"/>
    <w:rsid w:val="00186DF2"/>
    <w:rsid w:val="00191BFA"/>
    <w:rsid w:val="00192368"/>
    <w:rsid w:val="00194508"/>
    <w:rsid w:val="00194DE9"/>
    <w:rsid w:val="001961F5"/>
    <w:rsid w:val="00196FC3"/>
    <w:rsid w:val="001A06E2"/>
    <w:rsid w:val="001A3093"/>
    <w:rsid w:val="001A3AE2"/>
    <w:rsid w:val="001A3FEE"/>
    <w:rsid w:val="001A58DC"/>
    <w:rsid w:val="001A591F"/>
    <w:rsid w:val="001A5D7A"/>
    <w:rsid w:val="001A6988"/>
    <w:rsid w:val="001A6F2C"/>
    <w:rsid w:val="001A77E4"/>
    <w:rsid w:val="001B0D74"/>
    <w:rsid w:val="001B1508"/>
    <w:rsid w:val="001B631C"/>
    <w:rsid w:val="001B6A93"/>
    <w:rsid w:val="001B7D8D"/>
    <w:rsid w:val="001C1952"/>
    <w:rsid w:val="001C1A3C"/>
    <w:rsid w:val="001C222E"/>
    <w:rsid w:val="001C40AF"/>
    <w:rsid w:val="001C5F39"/>
    <w:rsid w:val="001C71D6"/>
    <w:rsid w:val="001D5B06"/>
    <w:rsid w:val="001E4D0A"/>
    <w:rsid w:val="001F0669"/>
    <w:rsid w:val="001F0749"/>
    <w:rsid w:val="001F4676"/>
    <w:rsid w:val="001F4BFF"/>
    <w:rsid w:val="001F6B19"/>
    <w:rsid w:val="002010C8"/>
    <w:rsid w:val="0020291D"/>
    <w:rsid w:val="00203A65"/>
    <w:rsid w:val="00203EFF"/>
    <w:rsid w:val="00206E8D"/>
    <w:rsid w:val="00207A47"/>
    <w:rsid w:val="00207EDE"/>
    <w:rsid w:val="00210D83"/>
    <w:rsid w:val="00210FEA"/>
    <w:rsid w:val="00214780"/>
    <w:rsid w:val="00214930"/>
    <w:rsid w:val="002152D0"/>
    <w:rsid w:val="00222A64"/>
    <w:rsid w:val="0022610E"/>
    <w:rsid w:val="002264E1"/>
    <w:rsid w:val="00230839"/>
    <w:rsid w:val="0023099E"/>
    <w:rsid w:val="002322C6"/>
    <w:rsid w:val="002332FD"/>
    <w:rsid w:val="00234592"/>
    <w:rsid w:val="00237037"/>
    <w:rsid w:val="002403E7"/>
    <w:rsid w:val="00241D05"/>
    <w:rsid w:val="002445FE"/>
    <w:rsid w:val="0024737A"/>
    <w:rsid w:val="0025344B"/>
    <w:rsid w:val="0025390A"/>
    <w:rsid w:val="00253EAE"/>
    <w:rsid w:val="002550ED"/>
    <w:rsid w:val="00256F47"/>
    <w:rsid w:val="00260D17"/>
    <w:rsid w:val="0026154D"/>
    <w:rsid w:val="00262B6A"/>
    <w:rsid w:val="00267AF8"/>
    <w:rsid w:val="002707FD"/>
    <w:rsid w:val="0027283A"/>
    <w:rsid w:val="0027511F"/>
    <w:rsid w:val="002754D6"/>
    <w:rsid w:val="00276DD2"/>
    <w:rsid w:val="0028111C"/>
    <w:rsid w:val="0028316A"/>
    <w:rsid w:val="0028367D"/>
    <w:rsid w:val="0028457F"/>
    <w:rsid w:val="002849DD"/>
    <w:rsid w:val="00284C4F"/>
    <w:rsid w:val="00284E41"/>
    <w:rsid w:val="00286A34"/>
    <w:rsid w:val="00286DA0"/>
    <w:rsid w:val="002872AD"/>
    <w:rsid w:val="00296842"/>
    <w:rsid w:val="002973B2"/>
    <w:rsid w:val="002A483B"/>
    <w:rsid w:val="002A5743"/>
    <w:rsid w:val="002A5BCE"/>
    <w:rsid w:val="002A5F7F"/>
    <w:rsid w:val="002A6E14"/>
    <w:rsid w:val="002B0146"/>
    <w:rsid w:val="002B04BF"/>
    <w:rsid w:val="002B6628"/>
    <w:rsid w:val="002B6A4E"/>
    <w:rsid w:val="002C04E5"/>
    <w:rsid w:val="002C23C0"/>
    <w:rsid w:val="002C38F1"/>
    <w:rsid w:val="002C4467"/>
    <w:rsid w:val="002C689C"/>
    <w:rsid w:val="002C6A9A"/>
    <w:rsid w:val="002C75C5"/>
    <w:rsid w:val="002D2E32"/>
    <w:rsid w:val="002D3EF5"/>
    <w:rsid w:val="002D4482"/>
    <w:rsid w:val="002D54DA"/>
    <w:rsid w:val="002D60C9"/>
    <w:rsid w:val="002D71EE"/>
    <w:rsid w:val="002D789E"/>
    <w:rsid w:val="002E0656"/>
    <w:rsid w:val="002E0E23"/>
    <w:rsid w:val="002E5845"/>
    <w:rsid w:val="002E5AAA"/>
    <w:rsid w:val="002F4AAD"/>
    <w:rsid w:val="002F606B"/>
    <w:rsid w:val="002F6098"/>
    <w:rsid w:val="002F6168"/>
    <w:rsid w:val="00300BF6"/>
    <w:rsid w:val="00300D45"/>
    <w:rsid w:val="00301A2E"/>
    <w:rsid w:val="003045B9"/>
    <w:rsid w:val="003045E6"/>
    <w:rsid w:val="00304770"/>
    <w:rsid w:val="003061C2"/>
    <w:rsid w:val="00306D5E"/>
    <w:rsid w:val="00307F59"/>
    <w:rsid w:val="0032519E"/>
    <w:rsid w:val="00326C09"/>
    <w:rsid w:val="00327410"/>
    <w:rsid w:val="003340F7"/>
    <w:rsid w:val="003341A9"/>
    <w:rsid w:val="003370BB"/>
    <w:rsid w:val="00337988"/>
    <w:rsid w:val="003472C6"/>
    <w:rsid w:val="003476B7"/>
    <w:rsid w:val="003477B8"/>
    <w:rsid w:val="00350540"/>
    <w:rsid w:val="0035539C"/>
    <w:rsid w:val="00361193"/>
    <w:rsid w:val="00362FEB"/>
    <w:rsid w:val="00365A80"/>
    <w:rsid w:val="00366271"/>
    <w:rsid w:val="003718F6"/>
    <w:rsid w:val="00373902"/>
    <w:rsid w:val="00373CB7"/>
    <w:rsid w:val="003743CA"/>
    <w:rsid w:val="00374E91"/>
    <w:rsid w:val="0037501C"/>
    <w:rsid w:val="00384D8D"/>
    <w:rsid w:val="00384D99"/>
    <w:rsid w:val="003877C2"/>
    <w:rsid w:val="00387B8D"/>
    <w:rsid w:val="00391DE8"/>
    <w:rsid w:val="00392250"/>
    <w:rsid w:val="003930D4"/>
    <w:rsid w:val="0039428C"/>
    <w:rsid w:val="003946FF"/>
    <w:rsid w:val="0039717F"/>
    <w:rsid w:val="00397FDF"/>
    <w:rsid w:val="003A4CAF"/>
    <w:rsid w:val="003A56DD"/>
    <w:rsid w:val="003A67EB"/>
    <w:rsid w:val="003A71D3"/>
    <w:rsid w:val="003B2203"/>
    <w:rsid w:val="003B2995"/>
    <w:rsid w:val="003C101C"/>
    <w:rsid w:val="003C2429"/>
    <w:rsid w:val="003C34B3"/>
    <w:rsid w:val="003C3734"/>
    <w:rsid w:val="003C479F"/>
    <w:rsid w:val="003C50BD"/>
    <w:rsid w:val="003D0D42"/>
    <w:rsid w:val="003D1F18"/>
    <w:rsid w:val="003D47B8"/>
    <w:rsid w:val="003E2CDB"/>
    <w:rsid w:val="003E643E"/>
    <w:rsid w:val="003E6FEA"/>
    <w:rsid w:val="003F5A9B"/>
    <w:rsid w:val="003F78DD"/>
    <w:rsid w:val="003F7B39"/>
    <w:rsid w:val="00400DBF"/>
    <w:rsid w:val="0040435A"/>
    <w:rsid w:val="004051A3"/>
    <w:rsid w:val="00405400"/>
    <w:rsid w:val="004068AB"/>
    <w:rsid w:val="00406A55"/>
    <w:rsid w:val="00407B78"/>
    <w:rsid w:val="004124E4"/>
    <w:rsid w:val="0041446C"/>
    <w:rsid w:val="004154BB"/>
    <w:rsid w:val="00417C14"/>
    <w:rsid w:val="00420DB5"/>
    <w:rsid w:val="00420EB1"/>
    <w:rsid w:val="00421AB4"/>
    <w:rsid w:val="00422B49"/>
    <w:rsid w:val="00424B83"/>
    <w:rsid w:val="00425157"/>
    <w:rsid w:val="004254DA"/>
    <w:rsid w:val="00427564"/>
    <w:rsid w:val="00431FD2"/>
    <w:rsid w:val="0043373D"/>
    <w:rsid w:val="00433F15"/>
    <w:rsid w:val="00435205"/>
    <w:rsid w:val="00437FD1"/>
    <w:rsid w:val="00440A2F"/>
    <w:rsid w:val="004416FB"/>
    <w:rsid w:val="00442304"/>
    <w:rsid w:val="00443B05"/>
    <w:rsid w:val="004440D3"/>
    <w:rsid w:val="0044490E"/>
    <w:rsid w:val="00447AE3"/>
    <w:rsid w:val="00450691"/>
    <w:rsid w:val="0045397C"/>
    <w:rsid w:val="004546E2"/>
    <w:rsid w:val="00455348"/>
    <w:rsid w:val="004575BC"/>
    <w:rsid w:val="00457868"/>
    <w:rsid w:val="0046156B"/>
    <w:rsid w:val="004640BF"/>
    <w:rsid w:val="004731D9"/>
    <w:rsid w:val="004750D1"/>
    <w:rsid w:val="00475847"/>
    <w:rsid w:val="0047708F"/>
    <w:rsid w:val="004776A3"/>
    <w:rsid w:val="00481138"/>
    <w:rsid w:val="00485155"/>
    <w:rsid w:val="0048587E"/>
    <w:rsid w:val="00490262"/>
    <w:rsid w:val="004919FD"/>
    <w:rsid w:val="00493024"/>
    <w:rsid w:val="00493EA9"/>
    <w:rsid w:val="00495E4C"/>
    <w:rsid w:val="00496BAB"/>
    <w:rsid w:val="004A0DD5"/>
    <w:rsid w:val="004A1A3E"/>
    <w:rsid w:val="004A219F"/>
    <w:rsid w:val="004A21FD"/>
    <w:rsid w:val="004A302F"/>
    <w:rsid w:val="004A3C37"/>
    <w:rsid w:val="004A4D09"/>
    <w:rsid w:val="004A5B83"/>
    <w:rsid w:val="004A7580"/>
    <w:rsid w:val="004B05BA"/>
    <w:rsid w:val="004B40AA"/>
    <w:rsid w:val="004B452A"/>
    <w:rsid w:val="004B4D99"/>
    <w:rsid w:val="004B7662"/>
    <w:rsid w:val="004C1D53"/>
    <w:rsid w:val="004C2794"/>
    <w:rsid w:val="004C5D68"/>
    <w:rsid w:val="004C695E"/>
    <w:rsid w:val="004C78BF"/>
    <w:rsid w:val="004D2964"/>
    <w:rsid w:val="004D5425"/>
    <w:rsid w:val="004D59D0"/>
    <w:rsid w:val="004D6FCC"/>
    <w:rsid w:val="004D7A8F"/>
    <w:rsid w:val="004E4852"/>
    <w:rsid w:val="004E6433"/>
    <w:rsid w:val="004E7353"/>
    <w:rsid w:val="004F091F"/>
    <w:rsid w:val="004F285F"/>
    <w:rsid w:val="004F42D6"/>
    <w:rsid w:val="004F4460"/>
    <w:rsid w:val="00500167"/>
    <w:rsid w:val="00500458"/>
    <w:rsid w:val="00502AA8"/>
    <w:rsid w:val="00504F3D"/>
    <w:rsid w:val="00507935"/>
    <w:rsid w:val="00510E5D"/>
    <w:rsid w:val="005122A3"/>
    <w:rsid w:val="00512C32"/>
    <w:rsid w:val="0051430F"/>
    <w:rsid w:val="0051671A"/>
    <w:rsid w:val="00516A3B"/>
    <w:rsid w:val="00517A04"/>
    <w:rsid w:val="00520C83"/>
    <w:rsid w:val="00521578"/>
    <w:rsid w:val="00521DCC"/>
    <w:rsid w:val="0052469C"/>
    <w:rsid w:val="00525CB4"/>
    <w:rsid w:val="00531485"/>
    <w:rsid w:val="0053355F"/>
    <w:rsid w:val="0053360E"/>
    <w:rsid w:val="00540607"/>
    <w:rsid w:val="00544417"/>
    <w:rsid w:val="005505F6"/>
    <w:rsid w:val="005517DC"/>
    <w:rsid w:val="00554594"/>
    <w:rsid w:val="0055557E"/>
    <w:rsid w:val="00555F34"/>
    <w:rsid w:val="005631D1"/>
    <w:rsid w:val="00563E7C"/>
    <w:rsid w:val="005640EA"/>
    <w:rsid w:val="005645B3"/>
    <w:rsid w:val="005651B7"/>
    <w:rsid w:val="0057002D"/>
    <w:rsid w:val="00570527"/>
    <w:rsid w:val="005711BF"/>
    <w:rsid w:val="00571279"/>
    <w:rsid w:val="0057306B"/>
    <w:rsid w:val="005731C8"/>
    <w:rsid w:val="005743B5"/>
    <w:rsid w:val="00574AF4"/>
    <w:rsid w:val="00575F6F"/>
    <w:rsid w:val="00576D8A"/>
    <w:rsid w:val="00580D04"/>
    <w:rsid w:val="0058173A"/>
    <w:rsid w:val="00584238"/>
    <w:rsid w:val="00585979"/>
    <w:rsid w:val="00585FBD"/>
    <w:rsid w:val="0058706B"/>
    <w:rsid w:val="00587C7F"/>
    <w:rsid w:val="005918ED"/>
    <w:rsid w:val="005978FF"/>
    <w:rsid w:val="00597FDD"/>
    <w:rsid w:val="005A29A3"/>
    <w:rsid w:val="005A34F5"/>
    <w:rsid w:val="005A4F8D"/>
    <w:rsid w:val="005A6435"/>
    <w:rsid w:val="005B0417"/>
    <w:rsid w:val="005B0F83"/>
    <w:rsid w:val="005B10E5"/>
    <w:rsid w:val="005B2C08"/>
    <w:rsid w:val="005B2C31"/>
    <w:rsid w:val="005B2FEA"/>
    <w:rsid w:val="005B3944"/>
    <w:rsid w:val="005B3FC2"/>
    <w:rsid w:val="005B40B6"/>
    <w:rsid w:val="005B4A56"/>
    <w:rsid w:val="005B5E46"/>
    <w:rsid w:val="005B5FD6"/>
    <w:rsid w:val="005C091A"/>
    <w:rsid w:val="005C438C"/>
    <w:rsid w:val="005C4931"/>
    <w:rsid w:val="005C51F8"/>
    <w:rsid w:val="005C66FB"/>
    <w:rsid w:val="005C69E2"/>
    <w:rsid w:val="005D188E"/>
    <w:rsid w:val="005D1A5B"/>
    <w:rsid w:val="005D359A"/>
    <w:rsid w:val="005D383C"/>
    <w:rsid w:val="005D3980"/>
    <w:rsid w:val="005D4011"/>
    <w:rsid w:val="005D47D9"/>
    <w:rsid w:val="005D78B3"/>
    <w:rsid w:val="005D792C"/>
    <w:rsid w:val="005D7DDD"/>
    <w:rsid w:val="005E386C"/>
    <w:rsid w:val="005E627F"/>
    <w:rsid w:val="005E66F2"/>
    <w:rsid w:val="005F1607"/>
    <w:rsid w:val="005F172F"/>
    <w:rsid w:val="005F5320"/>
    <w:rsid w:val="005F6A90"/>
    <w:rsid w:val="00600C37"/>
    <w:rsid w:val="00601E1D"/>
    <w:rsid w:val="00605631"/>
    <w:rsid w:val="00605772"/>
    <w:rsid w:val="006064A6"/>
    <w:rsid w:val="006102BA"/>
    <w:rsid w:val="00610B38"/>
    <w:rsid w:val="006122DE"/>
    <w:rsid w:val="006127C4"/>
    <w:rsid w:val="00614E93"/>
    <w:rsid w:val="0061617E"/>
    <w:rsid w:val="00621637"/>
    <w:rsid w:val="006221A7"/>
    <w:rsid w:val="00622283"/>
    <w:rsid w:val="006249AF"/>
    <w:rsid w:val="00625A35"/>
    <w:rsid w:val="006274B5"/>
    <w:rsid w:val="00634A16"/>
    <w:rsid w:val="0064462A"/>
    <w:rsid w:val="00647812"/>
    <w:rsid w:val="00647A57"/>
    <w:rsid w:val="00650423"/>
    <w:rsid w:val="00651805"/>
    <w:rsid w:val="00652481"/>
    <w:rsid w:val="0065311B"/>
    <w:rsid w:val="00654D05"/>
    <w:rsid w:val="00655118"/>
    <w:rsid w:val="00656E44"/>
    <w:rsid w:val="00664580"/>
    <w:rsid w:val="00665ABA"/>
    <w:rsid w:val="00666D62"/>
    <w:rsid w:val="00671BC2"/>
    <w:rsid w:val="00674084"/>
    <w:rsid w:val="0067772A"/>
    <w:rsid w:val="006778C8"/>
    <w:rsid w:val="006839BE"/>
    <w:rsid w:val="00683E4B"/>
    <w:rsid w:val="00685FA2"/>
    <w:rsid w:val="0068605F"/>
    <w:rsid w:val="006913F0"/>
    <w:rsid w:val="0069177D"/>
    <w:rsid w:val="006919A2"/>
    <w:rsid w:val="00692B16"/>
    <w:rsid w:val="006A0EA4"/>
    <w:rsid w:val="006A19D0"/>
    <w:rsid w:val="006A3521"/>
    <w:rsid w:val="006A412D"/>
    <w:rsid w:val="006A5298"/>
    <w:rsid w:val="006A5FD9"/>
    <w:rsid w:val="006B255B"/>
    <w:rsid w:val="006B412C"/>
    <w:rsid w:val="006B4941"/>
    <w:rsid w:val="006B4F7F"/>
    <w:rsid w:val="006B5523"/>
    <w:rsid w:val="006B7234"/>
    <w:rsid w:val="006C309C"/>
    <w:rsid w:val="006C46D6"/>
    <w:rsid w:val="006C6AB2"/>
    <w:rsid w:val="006C7FA0"/>
    <w:rsid w:val="006D086C"/>
    <w:rsid w:val="006D3352"/>
    <w:rsid w:val="006D386A"/>
    <w:rsid w:val="006D4081"/>
    <w:rsid w:val="006D435B"/>
    <w:rsid w:val="006E0D9B"/>
    <w:rsid w:val="006E13F1"/>
    <w:rsid w:val="006E2A76"/>
    <w:rsid w:val="006E6BD9"/>
    <w:rsid w:val="006F0906"/>
    <w:rsid w:val="006F1692"/>
    <w:rsid w:val="006F4274"/>
    <w:rsid w:val="006F6E3C"/>
    <w:rsid w:val="006F74C6"/>
    <w:rsid w:val="006F76EA"/>
    <w:rsid w:val="00701AFA"/>
    <w:rsid w:val="00705289"/>
    <w:rsid w:val="00706556"/>
    <w:rsid w:val="007100F2"/>
    <w:rsid w:val="007103EA"/>
    <w:rsid w:val="00711495"/>
    <w:rsid w:val="007128B8"/>
    <w:rsid w:val="007143B0"/>
    <w:rsid w:val="00714709"/>
    <w:rsid w:val="007154AC"/>
    <w:rsid w:val="007209B3"/>
    <w:rsid w:val="007242DE"/>
    <w:rsid w:val="007251D7"/>
    <w:rsid w:val="00726024"/>
    <w:rsid w:val="007272BF"/>
    <w:rsid w:val="007317BE"/>
    <w:rsid w:val="007318AC"/>
    <w:rsid w:val="00733107"/>
    <w:rsid w:val="00733791"/>
    <w:rsid w:val="00734055"/>
    <w:rsid w:val="00735A66"/>
    <w:rsid w:val="00736CD7"/>
    <w:rsid w:val="00741237"/>
    <w:rsid w:val="00744765"/>
    <w:rsid w:val="00745E74"/>
    <w:rsid w:val="00745E7E"/>
    <w:rsid w:val="0075002A"/>
    <w:rsid w:val="0075219A"/>
    <w:rsid w:val="00755DEA"/>
    <w:rsid w:val="00756846"/>
    <w:rsid w:val="007569DA"/>
    <w:rsid w:val="007605DF"/>
    <w:rsid w:val="00760BBF"/>
    <w:rsid w:val="00761899"/>
    <w:rsid w:val="00762EAE"/>
    <w:rsid w:val="00763129"/>
    <w:rsid w:val="0076424D"/>
    <w:rsid w:val="00764FA1"/>
    <w:rsid w:val="007655DD"/>
    <w:rsid w:val="00767BCF"/>
    <w:rsid w:val="0078023B"/>
    <w:rsid w:val="007803A0"/>
    <w:rsid w:val="00782345"/>
    <w:rsid w:val="0078600F"/>
    <w:rsid w:val="00792A02"/>
    <w:rsid w:val="0079325A"/>
    <w:rsid w:val="00793E82"/>
    <w:rsid w:val="007A36CF"/>
    <w:rsid w:val="007B0190"/>
    <w:rsid w:val="007B03D8"/>
    <w:rsid w:val="007B193E"/>
    <w:rsid w:val="007B3588"/>
    <w:rsid w:val="007B53A0"/>
    <w:rsid w:val="007B5932"/>
    <w:rsid w:val="007C3EC7"/>
    <w:rsid w:val="007C4462"/>
    <w:rsid w:val="007C52CF"/>
    <w:rsid w:val="007D6182"/>
    <w:rsid w:val="007D73EC"/>
    <w:rsid w:val="007E2B81"/>
    <w:rsid w:val="007E2EB7"/>
    <w:rsid w:val="007E4E4E"/>
    <w:rsid w:val="007E6D25"/>
    <w:rsid w:val="007F0B42"/>
    <w:rsid w:val="007F1F6A"/>
    <w:rsid w:val="007F266F"/>
    <w:rsid w:val="007F359C"/>
    <w:rsid w:val="007F55CC"/>
    <w:rsid w:val="007F777A"/>
    <w:rsid w:val="007F7B1B"/>
    <w:rsid w:val="007F7C9C"/>
    <w:rsid w:val="008000A9"/>
    <w:rsid w:val="008018EC"/>
    <w:rsid w:val="0080413D"/>
    <w:rsid w:val="0080481B"/>
    <w:rsid w:val="008055CB"/>
    <w:rsid w:val="00805CF5"/>
    <w:rsid w:val="00805EF8"/>
    <w:rsid w:val="00807705"/>
    <w:rsid w:val="00807768"/>
    <w:rsid w:val="00807953"/>
    <w:rsid w:val="00807A3B"/>
    <w:rsid w:val="0081401B"/>
    <w:rsid w:val="008154C6"/>
    <w:rsid w:val="0081649E"/>
    <w:rsid w:val="0082247D"/>
    <w:rsid w:val="00826D93"/>
    <w:rsid w:val="00827378"/>
    <w:rsid w:val="00832BBD"/>
    <w:rsid w:val="00836994"/>
    <w:rsid w:val="00837ED9"/>
    <w:rsid w:val="008402C6"/>
    <w:rsid w:val="008433ED"/>
    <w:rsid w:val="00845359"/>
    <w:rsid w:val="008458AA"/>
    <w:rsid w:val="00846830"/>
    <w:rsid w:val="00855C06"/>
    <w:rsid w:val="0086282F"/>
    <w:rsid w:val="00862F71"/>
    <w:rsid w:val="008639B4"/>
    <w:rsid w:val="0086494C"/>
    <w:rsid w:val="00864B03"/>
    <w:rsid w:val="00865514"/>
    <w:rsid w:val="008676AE"/>
    <w:rsid w:val="00871FB9"/>
    <w:rsid w:val="0087281B"/>
    <w:rsid w:val="008847F2"/>
    <w:rsid w:val="00887A16"/>
    <w:rsid w:val="00887E15"/>
    <w:rsid w:val="0089002F"/>
    <w:rsid w:val="00890B9E"/>
    <w:rsid w:val="00892107"/>
    <w:rsid w:val="008932F7"/>
    <w:rsid w:val="00897719"/>
    <w:rsid w:val="008A089C"/>
    <w:rsid w:val="008A4C1D"/>
    <w:rsid w:val="008A609F"/>
    <w:rsid w:val="008A7DA5"/>
    <w:rsid w:val="008B19AA"/>
    <w:rsid w:val="008B1FD9"/>
    <w:rsid w:val="008B26F4"/>
    <w:rsid w:val="008B366A"/>
    <w:rsid w:val="008B4C00"/>
    <w:rsid w:val="008B65FE"/>
    <w:rsid w:val="008C0FA9"/>
    <w:rsid w:val="008C1522"/>
    <w:rsid w:val="008C1B88"/>
    <w:rsid w:val="008C5F8E"/>
    <w:rsid w:val="008D1C29"/>
    <w:rsid w:val="008D6101"/>
    <w:rsid w:val="008D7613"/>
    <w:rsid w:val="008E1F64"/>
    <w:rsid w:val="008E24E3"/>
    <w:rsid w:val="008F02FC"/>
    <w:rsid w:val="008F0F83"/>
    <w:rsid w:val="008F2711"/>
    <w:rsid w:val="008F4073"/>
    <w:rsid w:val="008F506D"/>
    <w:rsid w:val="008F57C2"/>
    <w:rsid w:val="008F70A1"/>
    <w:rsid w:val="008F7634"/>
    <w:rsid w:val="009028D8"/>
    <w:rsid w:val="00902E5A"/>
    <w:rsid w:val="0090326B"/>
    <w:rsid w:val="00904133"/>
    <w:rsid w:val="00907B32"/>
    <w:rsid w:val="0091055A"/>
    <w:rsid w:val="00911A6B"/>
    <w:rsid w:val="00912317"/>
    <w:rsid w:val="009125EE"/>
    <w:rsid w:val="00914D7D"/>
    <w:rsid w:val="009154C2"/>
    <w:rsid w:val="0091598A"/>
    <w:rsid w:val="0091620E"/>
    <w:rsid w:val="0091766C"/>
    <w:rsid w:val="00917A88"/>
    <w:rsid w:val="00922E51"/>
    <w:rsid w:val="00926020"/>
    <w:rsid w:val="00930A5C"/>
    <w:rsid w:val="00933201"/>
    <w:rsid w:val="009339D9"/>
    <w:rsid w:val="00941B8C"/>
    <w:rsid w:val="0094670E"/>
    <w:rsid w:val="00950DD8"/>
    <w:rsid w:val="00957171"/>
    <w:rsid w:val="0096038F"/>
    <w:rsid w:val="0096063E"/>
    <w:rsid w:val="00966840"/>
    <w:rsid w:val="00967A5D"/>
    <w:rsid w:val="009712D4"/>
    <w:rsid w:val="009714BE"/>
    <w:rsid w:val="00972C20"/>
    <w:rsid w:val="00973205"/>
    <w:rsid w:val="009733AD"/>
    <w:rsid w:val="00973697"/>
    <w:rsid w:val="009738C9"/>
    <w:rsid w:val="009738F2"/>
    <w:rsid w:val="00974572"/>
    <w:rsid w:val="00974F9E"/>
    <w:rsid w:val="0097510D"/>
    <w:rsid w:val="00976E42"/>
    <w:rsid w:val="009807AC"/>
    <w:rsid w:val="00982850"/>
    <w:rsid w:val="00984A3E"/>
    <w:rsid w:val="0099010A"/>
    <w:rsid w:val="0099268E"/>
    <w:rsid w:val="00992AEA"/>
    <w:rsid w:val="00995359"/>
    <w:rsid w:val="009955C1"/>
    <w:rsid w:val="00995F5B"/>
    <w:rsid w:val="009960A9"/>
    <w:rsid w:val="00996259"/>
    <w:rsid w:val="00996821"/>
    <w:rsid w:val="009B37AF"/>
    <w:rsid w:val="009B605E"/>
    <w:rsid w:val="009B7AAE"/>
    <w:rsid w:val="009C0A7D"/>
    <w:rsid w:val="009C1550"/>
    <w:rsid w:val="009C166F"/>
    <w:rsid w:val="009C1B47"/>
    <w:rsid w:val="009C441B"/>
    <w:rsid w:val="009C482F"/>
    <w:rsid w:val="009C5216"/>
    <w:rsid w:val="009C528F"/>
    <w:rsid w:val="009C5C7B"/>
    <w:rsid w:val="009D022F"/>
    <w:rsid w:val="009D0245"/>
    <w:rsid w:val="009D1C08"/>
    <w:rsid w:val="009D1F53"/>
    <w:rsid w:val="009D25DB"/>
    <w:rsid w:val="009D52DA"/>
    <w:rsid w:val="009E1332"/>
    <w:rsid w:val="009E2981"/>
    <w:rsid w:val="009E3DB8"/>
    <w:rsid w:val="009E7DAA"/>
    <w:rsid w:val="009F3ECB"/>
    <w:rsid w:val="009F4222"/>
    <w:rsid w:val="009F46C6"/>
    <w:rsid w:val="009F69B0"/>
    <w:rsid w:val="009F7DA6"/>
    <w:rsid w:val="00A00FDB"/>
    <w:rsid w:val="00A01B8E"/>
    <w:rsid w:val="00A01D10"/>
    <w:rsid w:val="00A025E1"/>
    <w:rsid w:val="00A0358E"/>
    <w:rsid w:val="00A06400"/>
    <w:rsid w:val="00A067C0"/>
    <w:rsid w:val="00A11EB5"/>
    <w:rsid w:val="00A138BE"/>
    <w:rsid w:val="00A141D0"/>
    <w:rsid w:val="00A15684"/>
    <w:rsid w:val="00A159C3"/>
    <w:rsid w:val="00A15DCE"/>
    <w:rsid w:val="00A21538"/>
    <w:rsid w:val="00A21F9A"/>
    <w:rsid w:val="00A22A30"/>
    <w:rsid w:val="00A249F0"/>
    <w:rsid w:val="00A25675"/>
    <w:rsid w:val="00A27309"/>
    <w:rsid w:val="00A3065A"/>
    <w:rsid w:val="00A33E45"/>
    <w:rsid w:val="00A34685"/>
    <w:rsid w:val="00A35E82"/>
    <w:rsid w:val="00A431D2"/>
    <w:rsid w:val="00A44FD2"/>
    <w:rsid w:val="00A46F93"/>
    <w:rsid w:val="00A47830"/>
    <w:rsid w:val="00A51FE7"/>
    <w:rsid w:val="00A524AF"/>
    <w:rsid w:val="00A5666F"/>
    <w:rsid w:val="00A61AF3"/>
    <w:rsid w:val="00A61CEB"/>
    <w:rsid w:val="00A633AC"/>
    <w:rsid w:val="00A730F1"/>
    <w:rsid w:val="00A82A41"/>
    <w:rsid w:val="00A85B8D"/>
    <w:rsid w:val="00A9115C"/>
    <w:rsid w:val="00A922A4"/>
    <w:rsid w:val="00A92A56"/>
    <w:rsid w:val="00A9519D"/>
    <w:rsid w:val="00A953DD"/>
    <w:rsid w:val="00AA2021"/>
    <w:rsid w:val="00AA2CEF"/>
    <w:rsid w:val="00AA3075"/>
    <w:rsid w:val="00AA44BF"/>
    <w:rsid w:val="00AA58E5"/>
    <w:rsid w:val="00AA5FE1"/>
    <w:rsid w:val="00AA6126"/>
    <w:rsid w:val="00AA789D"/>
    <w:rsid w:val="00AB0A06"/>
    <w:rsid w:val="00AB0E52"/>
    <w:rsid w:val="00AB0FA5"/>
    <w:rsid w:val="00AB4E27"/>
    <w:rsid w:val="00AC148B"/>
    <w:rsid w:val="00AC1862"/>
    <w:rsid w:val="00AC3418"/>
    <w:rsid w:val="00AC5EF2"/>
    <w:rsid w:val="00AD28BA"/>
    <w:rsid w:val="00AD2C05"/>
    <w:rsid w:val="00AD2C8F"/>
    <w:rsid w:val="00AD42D2"/>
    <w:rsid w:val="00AD74E6"/>
    <w:rsid w:val="00AE14E3"/>
    <w:rsid w:val="00AE2DF2"/>
    <w:rsid w:val="00AE3FF5"/>
    <w:rsid w:val="00AE4831"/>
    <w:rsid w:val="00AE64FC"/>
    <w:rsid w:val="00AE6FE8"/>
    <w:rsid w:val="00AE70BC"/>
    <w:rsid w:val="00AF33A0"/>
    <w:rsid w:val="00AF40BB"/>
    <w:rsid w:val="00AF42D4"/>
    <w:rsid w:val="00AF43E1"/>
    <w:rsid w:val="00AF4BFE"/>
    <w:rsid w:val="00AF5332"/>
    <w:rsid w:val="00AF64CF"/>
    <w:rsid w:val="00B008CF"/>
    <w:rsid w:val="00B1306B"/>
    <w:rsid w:val="00B175A4"/>
    <w:rsid w:val="00B221A4"/>
    <w:rsid w:val="00B229F1"/>
    <w:rsid w:val="00B22C83"/>
    <w:rsid w:val="00B254F1"/>
    <w:rsid w:val="00B26CB0"/>
    <w:rsid w:val="00B336F7"/>
    <w:rsid w:val="00B357F4"/>
    <w:rsid w:val="00B35D79"/>
    <w:rsid w:val="00B37A47"/>
    <w:rsid w:val="00B40EB3"/>
    <w:rsid w:val="00B43568"/>
    <w:rsid w:val="00B478B5"/>
    <w:rsid w:val="00B50257"/>
    <w:rsid w:val="00B52025"/>
    <w:rsid w:val="00B55728"/>
    <w:rsid w:val="00B57A4F"/>
    <w:rsid w:val="00B57EBE"/>
    <w:rsid w:val="00B61FA1"/>
    <w:rsid w:val="00B635EF"/>
    <w:rsid w:val="00B644E2"/>
    <w:rsid w:val="00B65170"/>
    <w:rsid w:val="00B66593"/>
    <w:rsid w:val="00B70240"/>
    <w:rsid w:val="00B705ED"/>
    <w:rsid w:val="00B70BAD"/>
    <w:rsid w:val="00B80B58"/>
    <w:rsid w:val="00B81F75"/>
    <w:rsid w:val="00B8456A"/>
    <w:rsid w:val="00B87C2F"/>
    <w:rsid w:val="00B9057E"/>
    <w:rsid w:val="00B907B7"/>
    <w:rsid w:val="00B94F99"/>
    <w:rsid w:val="00B95C00"/>
    <w:rsid w:val="00B96A02"/>
    <w:rsid w:val="00BA0550"/>
    <w:rsid w:val="00BA1207"/>
    <w:rsid w:val="00BA1F8E"/>
    <w:rsid w:val="00BA3617"/>
    <w:rsid w:val="00BA3BED"/>
    <w:rsid w:val="00BA3C73"/>
    <w:rsid w:val="00BA5B23"/>
    <w:rsid w:val="00BA5D8C"/>
    <w:rsid w:val="00BA6430"/>
    <w:rsid w:val="00BA6AB4"/>
    <w:rsid w:val="00BB30B3"/>
    <w:rsid w:val="00BB4D5E"/>
    <w:rsid w:val="00BB5A5B"/>
    <w:rsid w:val="00BB67EE"/>
    <w:rsid w:val="00BC1248"/>
    <w:rsid w:val="00BC3A6D"/>
    <w:rsid w:val="00BC3EBE"/>
    <w:rsid w:val="00BC5D65"/>
    <w:rsid w:val="00BC7205"/>
    <w:rsid w:val="00BD041E"/>
    <w:rsid w:val="00BD04C0"/>
    <w:rsid w:val="00BD0DF8"/>
    <w:rsid w:val="00BD13F7"/>
    <w:rsid w:val="00BD7552"/>
    <w:rsid w:val="00BE0A1E"/>
    <w:rsid w:val="00BE2278"/>
    <w:rsid w:val="00BE24C3"/>
    <w:rsid w:val="00BE4D22"/>
    <w:rsid w:val="00BE6E70"/>
    <w:rsid w:val="00BE6F6F"/>
    <w:rsid w:val="00BF12EC"/>
    <w:rsid w:val="00BF1800"/>
    <w:rsid w:val="00BF3077"/>
    <w:rsid w:val="00BF4758"/>
    <w:rsid w:val="00BF4C80"/>
    <w:rsid w:val="00BF5A4F"/>
    <w:rsid w:val="00C01D15"/>
    <w:rsid w:val="00C01E30"/>
    <w:rsid w:val="00C022D9"/>
    <w:rsid w:val="00C050A0"/>
    <w:rsid w:val="00C066F3"/>
    <w:rsid w:val="00C1150A"/>
    <w:rsid w:val="00C13C58"/>
    <w:rsid w:val="00C15CE6"/>
    <w:rsid w:val="00C15E29"/>
    <w:rsid w:val="00C21381"/>
    <w:rsid w:val="00C229D1"/>
    <w:rsid w:val="00C23D60"/>
    <w:rsid w:val="00C2601E"/>
    <w:rsid w:val="00C263F6"/>
    <w:rsid w:val="00C316D0"/>
    <w:rsid w:val="00C33636"/>
    <w:rsid w:val="00C339A7"/>
    <w:rsid w:val="00C36471"/>
    <w:rsid w:val="00C36533"/>
    <w:rsid w:val="00C45C16"/>
    <w:rsid w:val="00C51BC5"/>
    <w:rsid w:val="00C52525"/>
    <w:rsid w:val="00C6042B"/>
    <w:rsid w:val="00C63A0A"/>
    <w:rsid w:val="00C64007"/>
    <w:rsid w:val="00C658FC"/>
    <w:rsid w:val="00C670FE"/>
    <w:rsid w:val="00C67E9A"/>
    <w:rsid w:val="00C745A8"/>
    <w:rsid w:val="00C749E3"/>
    <w:rsid w:val="00C761FF"/>
    <w:rsid w:val="00C76A58"/>
    <w:rsid w:val="00C77198"/>
    <w:rsid w:val="00C8309A"/>
    <w:rsid w:val="00C84FB5"/>
    <w:rsid w:val="00C869B2"/>
    <w:rsid w:val="00C91A5D"/>
    <w:rsid w:val="00C94B17"/>
    <w:rsid w:val="00C97F2E"/>
    <w:rsid w:val="00CA1FFB"/>
    <w:rsid w:val="00CA50D2"/>
    <w:rsid w:val="00CA5D6D"/>
    <w:rsid w:val="00CA5EAA"/>
    <w:rsid w:val="00CA606A"/>
    <w:rsid w:val="00CA6941"/>
    <w:rsid w:val="00CA7D9C"/>
    <w:rsid w:val="00CB00C2"/>
    <w:rsid w:val="00CB0FFB"/>
    <w:rsid w:val="00CB1F20"/>
    <w:rsid w:val="00CB7D1F"/>
    <w:rsid w:val="00CC05E9"/>
    <w:rsid w:val="00CC4CAF"/>
    <w:rsid w:val="00CC5304"/>
    <w:rsid w:val="00CC6304"/>
    <w:rsid w:val="00CD2608"/>
    <w:rsid w:val="00CD4E2C"/>
    <w:rsid w:val="00CD4E41"/>
    <w:rsid w:val="00CE5FBD"/>
    <w:rsid w:val="00CE6E54"/>
    <w:rsid w:val="00CF3608"/>
    <w:rsid w:val="00CF537B"/>
    <w:rsid w:val="00D035E8"/>
    <w:rsid w:val="00D043EF"/>
    <w:rsid w:val="00D06875"/>
    <w:rsid w:val="00D0793A"/>
    <w:rsid w:val="00D10161"/>
    <w:rsid w:val="00D136A0"/>
    <w:rsid w:val="00D13D1D"/>
    <w:rsid w:val="00D15BBF"/>
    <w:rsid w:val="00D17091"/>
    <w:rsid w:val="00D1745B"/>
    <w:rsid w:val="00D20AA9"/>
    <w:rsid w:val="00D22E8E"/>
    <w:rsid w:val="00D231EF"/>
    <w:rsid w:val="00D2473D"/>
    <w:rsid w:val="00D301BB"/>
    <w:rsid w:val="00D322CA"/>
    <w:rsid w:val="00D337F7"/>
    <w:rsid w:val="00D35558"/>
    <w:rsid w:val="00D4080D"/>
    <w:rsid w:val="00D40AEE"/>
    <w:rsid w:val="00D44EB4"/>
    <w:rsid w:val="00D45588"/>
    <w:rsid w:val="00D46448"/>
    <w:rsid w:val="00D51D57"/>
    <w:rsid w:val="00D53E1A"/>
    <w:rsid w:val="00D65FA9"/>
    <w:rsid w:val="00D662ED"/>
    <w:rsid w:val="00D71FB2"/>
    <w:rsid w:val="00D80863"/>
    <w:rsid w:val="00D80EF3"/>
    <w:rsid w:val="00D81A2E"/>
    <w:rsid w:val="00D8203C"/>
    <w:rsid w:val="00D827DE"/>
    <w:rsid w:val="00D832A4"/>
    <w:rsid w:val="00D83369"/>
    <w:rsid w:val="00D846BF"/>
    <w:rsid w:val="00D85405"/>
    <w:rsid w:val="00D86A4E"/>
    <w:rsid w:val="00D87C58"/>
    <w:rsid w:val="00D92A5B"/>
    <w:rsid w:val="00DA0277"/>
    <w:rsid w:val="00DA06E7"/>
    <w:rsid w:val="00DA0F98"/>
    <w:rsid w:val="00DA23A5"/>
    <w:rsid w:val="00DA43FA"/>
    <w:rsid w:val="00DA57B0"/>
    <w:rsid w:val="00DA5E0C"/>
    <w:rsid w:val="00DA7609"/>
    <w:rsid w:val="00DB158E"/>
    <w:rsid w:val="00DB2D13"/>
    <w:rsid w:val="00DB3EBE"/>
    <w:rsid w:val="00DB3F0C"/>
    <w:rsid w:val="00DB4887"/>
    <w:rsid w:val="00DB5F8F"/>
    <w:rsid w:val="00DB655D"/>
    <w:rsid w:val="00DC5670"/>
    <w:rsid w:val="00DC6EA3"/>
    <w:rsid w:val="00DC7338"/>
    <w:rsid w:val="00DD091F"/>
    <w:rsid w:val="00DD5228"/>
    <w:rsid w:val="00DD6AD0"/>
    <w:rsid w:val="00DD6E6B"/>
    <w:rsid w:val="00DE1CFE"/>
    <w:rsid w:val="00DE2059"/>
    <w:rsid w:val="00DE57E7"/>
    <w:rsid w:val="00DF2933"/>
    <w:rsid w:val="00DF51A7"/>
    <w:rsid w:val="00DF5EF1"/>
    <w:rsid w:val="00E019FF"/>
    <w:rsid w:val="00E02BF8"/>
    <w:rsid w:val="00E03C75"/>
    <w:rsid w:val="00E0566A"/>
    <w:rsid w:val="00E067E4"/>
    <w:rsid w:val="00E06D8A"/>
    <w:rsid w:val="00E1678B"/>
    <w:rsid w:val="00E17F7F"/>
    <w:rsid w:val="00E20D4E"/>
    <w:rsid w:val="00E229E4"/>
    <w:rsid w:val="00E24C47"/>
    <w:rsid w:val="00E252E3"/>
    <w:rsid w:val="00E30692"/>
    <w:rsid w:val="00E30B98"/>
    <w:rsid w:val="00E32339"/>
    <w:rsid w:val="00E32EFF"/>
    <w:rsid w:val="00E351C2"/>
    <w:rsid w:val="00E36886"/>
    <w:rsid w:val="00E375E4"/>
    <w:rsid w:val="00E401AD"/>
    <w:rsid w:val="00E4172B"/>
    <w:rsid w:val="00E440AE"/>
    <w:rsid w:val="00E44112"/>
    <w:rsid w:val="00E465E1"/>
    <w:rsid w:val="00E46866"/>
    <w:rsid w:val="00E500B2"/>
    <w:rsid w:val="00E527F3"/>
    <w:rsid w:val="00E52A34"/>
    <w:rsid w:val="00E56012"/>
    <w:rsid w:val="00E57971"/>
    <w:rsid w:val="00E61699"/>
    <w:rsid w:val="00E63CF1"/>
    <w:rsid w:val="00E661A3"/>
    <w:rsid w:val="00E673D3"/>
    <w:rsid w:val="00E676DD"/>
    <w:rsid w:val="00E7093E"/>
    <w:rsid w:val="00E71AFE"/>
    <w:rsid w:val="00E753D9"/>
    <w:rsid w:val="00E76AE9"/>
    <w:rsid w:val="00E76C68"/>
    <w:rsid w:val="00E82F88"/>
    <w:rsid w:val="00E843B2"/>
    <w:rsid w:val="00E84B91"/>
    <w:rsid w:val="00E90639"/>
    <w:rsid w:val="00E93370"/>
    <w:rsid w:val="00E9419D"/>
    <w:rsid w:val="00E94725"/>
    <w:rsid w:val="00EA06F2"/>
    <w:rsid w:val="00EA1F35"/>
    <w:rsid w:val="00EB1CE1"/>
    <w:rsid w:val="00EB7F6B"/>
    <w:rsid w:val="00EC47DB"/>
    <w:rsid w:val="00EC5E8B"/>
    <w:rsid w:val="00EC6222"/>
    <w:rsid w:val="00ED13DD"/>
    <w:rsid w:val="00ED2297"/>
    <w:rsid w:val="00ED29A0"/>
    <w:rsid w:val="00ED4EF2"/>
    <w:rsid w:val="00ED77FF"/>
    <w:rsid w:val="00EE2834"/>
    <w:rsid w:val="00EE484B"/>
    <w:rsid w:val="00EE7AE8"/>
    <w:rsid w:val="00EF0302"/>
    <w:rsid w:val="00EF1508"/>
    <w:rsid w:val="00EF25CC"/>
    <w:rsid w:val="00EF28CE"/>
    <w:rsid w:val="00EF2CCC"/>
    <w:rsid w:val="00EF5AD5"/>
    <w:rsid w:val="00EF6084"/>
    <w:rsid w:val="00EF6761"/>
    <w:rsid w:val="00EF74EB"/>
    <w:rsid w:val="00F0073A"/>
    <w:rsid w:val="00F01896"/>
    <w:rsid w:val="00F0454D"/>
    <w:rsid w:val="00F178E2"/>
    <w:rsid w:val="00F207DA"/>
    <w:rsid w:val="00F20D7B"/>
    <w:rsid w:val="00F222E3"/>
    <w:rsid w:val="00F22B4C"/>
    <w:rsid w:val="00F27D11"/>
    <w:rsid w:val="00F308F2"/>
    <w:rsid w:val="00F318C7"/>
    <w:rsid w:val="00F320FF"/>
    <w:rsid w:val="00F333AF"/>
    <w:rsid w:val="00F345D4"/>
    <w:rsid w:val="00F354C1"/>
    <w:rsid w:val="00F37633"/>
    <w:rsid w:val="00F4087D"/>
    <w:rsid w:val="00F418AB"/>
    <w:rsid w:val="00F428F3"/>
    <w:rsid w:val="00F47BF4"/>
    <w:rsid w:val="00F5053E"/>
    <w:rsid w:val="00F53E94"/>
    <w:rsid w:val="00F55EC6"/>
    <w:rsid w:val="00F61485"/>
    <w:rsid w:val="00F627B6"/>
    <w:rsid w:val="00F664D1"/>
    <w:rsid w:val="00F670B7"/>
    <w:rsid w:val="00F7126C"/>
    <w:rsid w:val="00F71616"/>
    <w:rsid w:val="00F72C9F"/>
    <w:rsid w:val="00F7603F"/>
    <w:rsid w:val="00F770EA"/>
    <w:rsid w:val="00F77151"/>
    <w:rsid w:val="00F77D44"/>
    <w:rsid w:val="00F77E10"/>
    <w:rsid w:val="00F82A4A"/>
    <w:rsid w:val="00F83F87"/>
    <w:rsid w:val="00F867A0"/>
    <w:rsid w:val="00F9212B"/>
    <w:rsid w:val="00F93E21"/>
    <w:rsid w:val="00F941BB"/>
    <w:rsid w:val="00F94270"/>
    <w:rsid w:val="00F971EF"/>
    <w:rsid w:val="00F97757"/>
    <w:rsid w:val="00F97AA2"/>
    <w:rsid w:val="00FA082F"/>
    <w:rsid w:val="00FA1D4F"/>
    <w:rsid w:val="00FA2A08"/>
    <w:rsid w:val="00FA2C4F"/>
    <w:rsid w:val="00FA3917"/>
    <w:rsid w:val="00FA66D4"/>
    <w:rsid w:val="00FA7DCE"/>
    <w:rsid w:val="00FB0E2C"/>
    <w:rsid w:val="00FB141C"/>
    <w:rsid w:val="00FB28F7"/>
    <w:rsid w:val="00FB2B93"/>
    <w:rsid w:val="00FB36C2"/>
    <w:rsid w:val="00FC28FA"/>
    <w:rsid w:val="00FC3C09"/>
    <w:rsid w:val="00FC4B4E"/>
    <w:rsid w:val="00FC67BD"/>
    <w:rsid w:val="00FC762C"/>
    <w:rsid w:val="00FD0900"/>
    <w:rsid w:val="00FD2C9C"/>
    <w:rsid w:val="00FD5D34"/>
    <w:rsid w:val="00FD757F"/>
    <w:rsid w:val="00FD7A11"/>
    <w:rsid w:val="00FE047E"/>
    <w:rsid w:val="00FE236E"/>
    <w:rsid w:val="00FE6355"/>
    <w:rsid w:val="00FE6B15"/>
    <w:rsid w:val="00FE7914"/>
    <w:rsid w:val="00FF40B7"/>
    <w:rsid w:val="00FF5B4A"/>
    <w:rsid w:val="00FF5E47"/>
    <w:rsid w:val="00FF75F7"/>
    <w:rsid w:val="00FF7750"/>
    <w:rsid w:val="022492B4"/>
    <w:rsid w:val="0277DFC8"/>
    <w:rsid w:val="027BD24C"/>
    <w:rsid w:val="0634D5CE"/>
    <w:rsid w:val="0675B369"/>
    <w:rsid w:val="080774D4"/>
    <w:rsid w:val="0831CF64"/>
    <w:rsid w:val="08A294A2"/>
    <w:rsid w:val="0A055291"/>
    <w:rsid w:val="0A758352"/>
    <w:rsid w:val="0ACC3DF5"/>
    <w:rsid w:val="0AEAA8A9"/>
    <w:rsid w:val="0B9B93B1"/>
    <w:rsid w:val="0BB6A700"/>
    <w:rsid w:val="0BD9A7F6"/>
    <w:rsid w:val="0C7ACCE4"/>
    <w:rsid w:val="0CA18D35"/>
    <w:rsid w:val="0E86AF63"/>
    <w:rsid w:val="0EB7C837"/>
    <w:rsid w:val="0EEEE121"/>
    <w:rsid w:val="0EFB831B"/>
    <w:rsid w:val="0F2A54A0"/>
    <w:rsid w:val="0F5CC4B1"/>
    <w:rsid w:val="0FF4ADDF"/>
    <w:rsid w:val="10F33531"/>
    <w:rsid w:val="11B9C7D1"/>
    <w:rsid w:val="11C7A6BC"/>
    <w:rsid w:val="11E34D47"/>
    <w:rsid w:val="1207CF47"/>
    <w:rsid w:val="124EF2C3"/>
    <w:rsid w:val="1316FB19"/>
    <w:rsid w:val="15CE0635"/>
    <w:rsid w:val="166D395C"/>
    <w:rsid w:val="16776189"/>
    <w:rsid w:val="17AE51F9"/>
    <w:rsid w:val="184B8BCE"/>
    <w:rsid w:val="188EBD96"/>
    <w:rsid w:val="19CF608F"/>
    <w:rsid w:val="19F13FC0"/>
    <w:rsid w:val="1A59E6F7"/>
    <w:rsid w:val="1A730705"/>
    <w:rsid w:val="1B36CED7"/>
    <w:rsid w:val="1C340C8E"/>
    <w:rsid w:val="1CBA81F2"/>
    <w:rsid w:val="1D095F31"/>
    <w:rsid w:val="1ED7E0BC"/>
    <w:rsid w:val="1FDEC6D1"/>
    <w:rsid w:val="20C8B580"/>
    <w:rsid w:val="20D75B6F"/>
    <w:rsid w:val="2101A422"/>
    <w:rsid w:val="22ECFB9D"/>
    <w:rsid w:val="23725EB3"/>
    <w:rsid w:val="255EA035"/>
    <w:rsid w:val="2612C4CF"/>
    <w:rsid w:val="2656566E"/>
    <w:rsid w:val="26A406AA"/>
    <w:rsid w:val="26CF6E16"/>
    <w:rsid w:val="270A016B"/>
    <w:rsid w:val="289EB7C9"/>
    <w:rsid w:val="28F34CFB"/>
    <w:rsid w:val="292BB19A"/>
    <w:rsid w:val="298B50FE"/>
    <w:rsid w:val="298BA585"/>
    <w:rsid w:val="2A5F2B3A"/>
    <w:rsid w:val="2A7CD3DD"/>
    <w:rsid w:val="2B0EAF41"/>
    <w:rsid w:val="2BD5F922"/>
    <w:rsid w:val="2C1AB802"/>
    <w:rsid w:val="2C503987"/>
    <w:rsid w:val="2D636DD8"/>
    <w:rsid w:val="2D757D90"/>
    <w:rsid w:val="2E384A4C"/>
    <w:rsid w:val="2F842FA9"/>
    <w:rsid w:val="2F9D887F"/>
    <w:rsid w:val="303B1E14"/>
    <w:rsid w:val="30B7AA86"/>
    <w:rsid w:val="3118344E"/>
    <w:rsid w:val="317970DB"/>
    <w:rsid w:val="3254622D"/>
    <w:rsid w:val="325F2CEF"/>
    <w:rsid w:val="32E1AA7D"/>
    <w:rsid w:val="33F15F27"/>
    <w:rsid w:val="34FC2774"/>
    <w:rsid w:val="359C0361"/>
    <w:rsid w:val="35C90FA5"/>
    <w:rsid w:val="36455336"/>
    <w:rsid w:val="36F266A4"/>
    <w:rsid w:val="39467795"/>
    <w:rsid w:val="39F46366"/>
    <w:rsid w:val="3A1AF79E"/>
    <w:rsid w:val="3D03BBA6"/>
    <w:rsid w:val="3D4355C7"/>
    <w:rsid w:val="3D8D9F50"/>
    <w:rsid w:val="3E381CC1"/>
    <w:rsid w:val="3E40AEC0"/>
    <w:rsid w:val="3E630A2B"/>
    <w:rsid w:val="3EB94BE3"/>
    <w:rsid w:val="404A6C37"/>
    <w:rsid w:val="41BD2CDF"/>
    <w:rsid w:val="4377122A"/>
    <w:rsid w:val="46197EEB"/>
    <w:rsid w:val="46793AAB"/>
    <w:rsid w:val="46A75119"/>
    <w:rsid w:val="46EC0EE6"/>
    <w:rsid w:val="4721C4DE"/>
    <w:rsid w:val="47FF7483"/>
    <w:rsid w:val="48DDC2D7"/>
    <w:rsid w:val="49613A7C"/>
    <w:rsid w:val="49B7392E"/>
    <w:rsid w:val="4AE0A5DF"/>
    <w:rsid w:val="4B3CDC7A"/>
    <w:rsid w:val="4C238CB3"/>
    <w:rsid w:val="4C2ECBD8"/>
    <w:rsid w:val="4C557DFC"/>
    <w:rsid w:val="4C733A35"/>
    <w:rsid w:val="4CC4AE55"/>
    <w:rsid w:val="4E0AE762"/>
    <w:rsid w:val="4F78E883"/>
    <w:rsid w:val="4FA24F8E"/>
    <w:rsid w:val="4FB2299F"/>
    <w:rsid w:val="4FDFBE99"/>
    <w:rsid w:val="510F6D3C"/>
    <w:rsid w:val="539F4A4E"/>
    <w:rsid w:val="546C8AAB"/>
    <w:rsid w:val="55D331CA"/>
    <w:rsid w:val="57AA6222"/>
    <w:rsid w:val="58E86062"/>
    <w:rsid w:val="5A6BB8B1"/>
    <w:rsid w:val="5A9F0AD1"/>
    <w:rsid w:val="5B82F7C6"/>
    <w:rsid w:val="5BA8D222"/>
    <w:rsid w:val="5BABB624"/>
    <w:rsid w:val="5BC0ACB6"/>
    <w:rsid w:val="5BF5E899"/>
    <w:rsid w:val="5D5F9CCF"/>
    <w:rsid w:val="5E665206"/>
    <w:rsid w:val="5EAAC1B7"/>
    <w:rsid w:val="5F88DC69"/>
    <w:rsid w:val="5FC94048"/>
    <w:rsid w:val="602E2047"/>
    <w:rsid w:val="6120004B"/>
    <w:rsid w:val="6142A2EF"/>
    <w:rsid w:val="6187DCB9"/>
    <w:rsid w:val="619D71C8"/>
    <w:rsid w:val="61DE9E14"/>
    <w:rsid w:val="61F2D62C"/>
    <w:rsid w:val="625490EB"/>
    <w:rsid w:val="6290E770"/>
    <w:rsid w:val="62E17114"/>
    <w:rsid w:val="62EF18E7"/>
    <w:rsid w:val="631A2FE9"/>
    <w:rsid w:val="638388F1"/>
    <w:rsid w:val="63901DD5"/>
    <w:rsid w:val="63F8247C"/>
    <w:rsid w:val="664FB677"/>
    <w:rsid w:val="668371E8"/>
    <w:rsid w:val="6B1E4CDA"/>
    <w:rsid w:val="6BAFB59E"/>
    <w:rsid w:val="6CB73624"/>
    <w:rsid w:val="6D9E344F"/>
    <w:rsid w:val="6DFD1463"/>
    <w:rsid w:val="6E131EE4"/>
    <w:rsid w:val="6E67B1C9"/>
    <w:rsid w:val="6E68D0F0"/>
    <w:rsid w:val="6EF6C7B0"/>
    <w:rsid w:val="7033CBA0"/>
    <w:rsid w:val="706157D0"/>
    <w:rsid w:val="70C359E0"/>
    <w:rsid w:val="7121570C"/>
    <w:rsid w:val="71BF3C16"/>
    <w:rsid w:val="7252E2A0"/>
    <w:rsid w:val="72E4BE55"/>
    <w:rsid w:val="72F2AD00"/>
    <w:rsid w:val="7309DBDD"/>
    <w:rsid w:val="74DE6E36"/>
    <w:rsid w:val="75427CC5"/>
    <w:rsid w:val="75DFA824"/>
    <w:rsid w:val="75E61BD5"/>
    <w:rsid w:val="76140B9E"/>
    <w:rsid w:val="7673FD4B"/>
    <w:rsid w:val="767D4A87"/>
    <w:rsid w:val="76E2D1AC"/>
    <w:rsid w:val="777D8BE9"/>
    <w:rsid w:val="77D552E9"/>
    <w:rsid w:val="77FA3552"/>
    <w:rsid w:val="781B25A9"/>
    <w:rsid w:val="7925BCF9"/>
    <w:rsid w:val="79347E45"/>
    <w:rsid w:val="7A62EFE6"/>
    <w:rsid w:val="7AE71C82"/>
    <w:rsid w:val="7B07322F"/>
    <w:rsid w:val="7C4BE372"/>
    <w:rsid w:val="7C847B6D"/>
    <w:rsid w:val="7DBDCEB8"/>
    <w:rsid w:val="7DEE403F"/>
    <w:rsid w:val="7E38B68E"/>
    <w:rsid w:val="7F9D6718"/>
    <w:rsid w:val="7FBAAA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D689061"/>
  <w15:docId w15:val="{BA5A21D0-0750-4836-960E-34647BDC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1699"/>
    <w:pPr>
      <w:spacing w:line="480" w:lineRule="auto"/>
    </w:pPr>
    <w:rPr>
      <w:sz w:val="24"/>
    </w:rPr>
  </w:style>
  <w:style w:type="paragraph" w:styleId="Heading1">
    <w:name w:val="heading 1"/>
    <w:basedOn w:val="Normal"/>
    <w:next w:val="Normal"/>
    <w:link w:val="Heading1Char1"/>
    <w:qFormat/>
    <w:rsid w:val="00897719"/>
    <w:pPr>
      <w:keepNext/>
      <w:keepLines/>
      <w:outlineLvl w:val="0"/>
    </w:pPr>
    <w:rPr>
      <w:rFonts w:eastAsiaTheme="maj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7C0C"/>
    <w:pPr>
      <w:tabs>
        <w:tab w:val="center" w:pos="4320"/>
        <w:tab w:val="right" w:pos="8640"/>
      </w:tabs>
    </w:pPr>
  </w:style>
  <w:style w:type="character" w:styleId="PageNumber">
    <w:name w:val="page number"/>
    <w:basedOn w:val="DefaultParagraphFont"/>
    <w:rsid w:val="00077C0C"/>
  </w:style>
  <w:style w:type="paragraph" w:styleId="BalloonText">
    <w:name w:val="Balloon Text"/>
    <w:basedOn w:val="Normal"/>
    <w:semiHidden/>
    <w:rsid w:val="004A21FD"/>
    <w:rPr>
      <w:rFonts w:ascii="Tahoma" w:hAnsi="Tahoma" w:cs="Tahoma"/>
      <w:sz w:val="16"/>
      <w:szCs w:val="16"/>
    </w:rPr>
  </w:style>
  <w:style w:type="character" w:styleId="Hyperlink">
    <w:name w:val="Hyperlink"/>
    <w:basedOn w:val="DefaultParagraphFont"/>
    <w:rsid w:val="00106682"/>
    <w:rPr>
      <w:color w:val="0000FF"/>
      <w:u w:val="single"/>
    </w:rPr>
  </w:style>
  <w:style w:type="character" w:customStyle="1" w:styleId="Hypertext">
    <w:name w:val="Hypertext"/>
    <w:rsid w:val="00EC6222"/>
    <w:rPr>
      <w:color w:val="0000FF"/>
      <w:u w:val="single"/>
    </w:rPr>
  </w:style>
  <w:style w:type="character" w:styleId="CommentReference">
    <w:name w:val="annotation reference"/>
    <w:basedOn w:val="DefaultParagraphFont"/>
    <w:rsid w:val="003F78DD"/>
    <w:rPr>
      <w:sz w:val="16"/>
      <w:szCs w:val="16"/>
    </w:rPr>
  </w:style>
  <w:style w:type="paragraph" w:styleId="CommentText">
    <w:name w:val="annotation text"/>
    <w:basedOn w:val="Normal"/>
    <w:link w:val="CommentTextChar"/>
    <w:rsid w:val="003F78DD"/>
    <w:rPr>
      <w:sz w:val="20"/>
    </w:rPr>
  </w:style>
  <w:style w:type="character" w:customStyle="1" w:styleId="CommentTextChar">
    <w:name w:val="Comment Text Char"/>
    <w:basedOn w:val="DefaultParagraphFont"/>
    <w:link w:val="CommentText"/>
    <w:rsid w:val="003F78DD"/>
  </w:style>
  <w:style w:type="paragraph" w:styleId="CommentSubject">
    <w:name w:val="annotation subject"/>
    <w:basedOn w:val="CommentText"/>
    <w:next w:val="CommentText"/>
    <w:link w:val="CommentSubjectChar"/>
    <w:rsid w:val="003F78DD"/>
    <w:rPr>
      <w:b/>
      <w:bCs/>
    </w:rPr>
  </w:style>
  <w:style w:type="character" w:customStyle="1" w:styleId="CommentSubjectChar">
    <w:name w:val="Comment Subject Char"/>
    <w:basedOn w:val="CommentTextChar"/>
    <w:link w:val="CommentSubject"/>
    <w:rsid w:val="003F78DD"/>
    <w:rPr>
      <w:b/>
      <w:bCs/>
    </w:rPr>
  </w:style>
  <w:style w:type="character" w:customStyle="1" w:styleId="Heading1Char">
    <w:name w:val="Heading 1 Char"/>
    <w:basedOn w:val="DefaultParagraphFont"/>
    <w:rsid w:val="00D53E1A"/>
    <w:rPr>
      <w:rFonts w:asciiTheme="majorHAnsi" w:eastAsiaTheme="majorEastAsia" w:hAnsiTheme="majorHAnsi" w:cstheme="majorBidi"/>
      <w:color w:val="365F91" w:themeColor="accent1" w:themeShade="BF"/>
      <w:sz w:val="32"/>
      <w:szCs w:val="32"/>
    </w:rPr>
  </w:style>
  <w:style w:type="character" w:customStyle="1" w:styleId="Heading1Char1">
    <w:name w:val="Heading 1 Char1"/>
    <w:basedOn w:val="DefaultParagraphFont"/>
    <w:link w:val="Heading1"/>
    <w:rsid w:val="00897719"/>
    <w:rPr>
      <w:rFonts w:eastAsiaTheme="majorEastAsia"/>
      <w:b/>
      <w:bCs/>
      <w:sz w:val="24"/>
      <w:szCs w:val="24"/>
    </w:rPr>
  </w:style>
  <w:style w:type="character" w:styleId="Emphasis">
    <w:name w:val="Emphasis"/>
    <w:basedOn w:val="DefaultParagraphFont"/>
    <w:qFormat/>
    <w:rsid w:val="00D53E1A"/>
    <w:rPr>
      <w:i/>
      <w:iCs/>
    </w:rPr>
  </w:style>
  <w:style w:type="paragraph" w:styleId="ListParagraph">
    <w:name w:val="List Paragraph"/>
    <w:basedOn w:val="Normal"/>
    <w:uiPriority w:val="34"/>
    <w:qFormat/>
    <w:rsid w:val="00897719"/>
    <w:pPr>
      <w:ind w:left="720"/>
      <w:contextualSpacing/>
    </w:pPr>
  </w:style>
  <w:style w:type="paragraph" w:styleId="Header">
    <w:name w:val="header"/>
    <w:basedOn w:val="Normal"/>
    <w:link w:val="HeaderChar"/>
    <w:unhideWhenUsed/>
    <w:rsid w:val="00897719"/>
    <w:pPr>
      <w:tabs>
        <w:tab w:val="center" w:pos="4680"/>
        <w:tab w:val="right" w:pos="9360"/>
      </w:tabs>
      <w:spacing w:line="240" w:lineRule="auto"/>
    </w:pPr>
  </w:style>
  <w:style w:type="character" w:customStyle="1" w:styleId="HeaderChar">
    <w:name w:val="Header Char"/>
    <w:basedOn w:val="DefaultParagraphFont"/>
    <w:link w:val="Header"/>
    <w:rsid w:val="00897719"/>
    <w:rPr>
      <w:sz w:val="24"/>
    </w:rPr>
  </w:style>
  <w:style w:type="paragraph" w:styleId="Revision">
    <w:name w:val="Revision"/>
    <w:hidden/>
    <w:uiPriority w:val="99"/>
    <w:semiHidden/>
    <w:rsid w:val="000933CB"/>
    <w:rPr>
      <w:sz w:val="24"/>
    </w:rPr>
  </w:style>
  <w:style w:type="character" w:customStyle="1" w:styleId="FooterChar">
    <w:name w:val="Footer Char"/>
    <w:basedOn w:val="DefaultParagraphFont"/>
    <w:link w:val="Footer"/>
    <w:uiPriority w:val="99"/>
    <w:rsid w:val="00207A47"/>
    <w:rPr>
      <w:sz w:val="24"/>
    </w:rPr>
  </w:style>
  <w:style w:type="table" w:styleId="TableGrid">
    <w:name w:val="Table Grid"/>
    <w:basedOn w:val="TableNormal"/>
    <w:rsid w:val="00005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974F9E"/>
    <w:rPr>
      <w:color w:val="2B579A"/>
      <w:shd w:val="clear" w:color="auto" w:fill="E6E6E6"/>
    </w:rPr>
  </w:style>
  <w:style w:type="character" w:styleId="UnresolvedMention">
    <w:name w:val="Unresolved Mention"/>
    <w:basedOn w:val="DefaultParagraphFont"/>
    <w:uiPriority w:val="99"/>
    <w:unhideWhenUsed/>
    <w:rsid w:val="00A21538"/>
    <w:rPr>
      <w:color w:val="605E5C"/>
      <w:shd w:val="clear" w:color="auto" w:fill="E1DFDD"/>
    </w:rPr>
  </w:style>
  <w:style w:type="character" w:styleId="Mention">
    <w:name w:val="Mention"/>
    <w:basedOn w:val="DefaultParagraphFont"/>
    <w:uiPriority w:val="99"/>
    <w:unhideWhenUsed/>
    <w:rsid w:val="00A215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ulations.gov" TargetMode="External" /><Relationship Id="rId9" Type="http://schemas.openxmlformats.org/officeDocument/2006/relationships/hyperlink" Target="http://www.dot.gov/priva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9" ma:contentTypeDescription="Create a new document." ma:contentTypeScope="" ma:versionID="3cc3cf1dbabb3c3a6b39e31d423faf90">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6fd6b04209ab51b14e5101e048638c21"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DD477E-65EF-4810-8E2D-FCFC3783E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128A6-C493-47D1-92E8-5BBF90E14683}">
  <ds:schemaRefs>
    <ds:schemaRef ds:uri="http://schemas.openxmlformats.org/officeDocument/2006/bibliography"/>
  </ds:schemaRefs>
</ds:datastoreItem>
</file>

<file path=customXml/itemProps3.xml><?xml version="1.0" encoding="utf-8"?>
<ds:datastoreItem xmlns:ds="http://schemas.openxmlformats.org/officeDocument/2006/customXml" ds:itemID="{4E4403B7-0369-41D3-A7DA-9035C9CAE346}">
  <ds:schemaRefs>
    <ds:schemaRef ds:uri="http://schemas.microsoft.com/sharepoint/v3/contenttype/forms"/>
  </ds:schemaRefs>
</ds:datastoreItem>
</file>

<file path=customXml/itemProps4.xml><?xml version="1.0" encoding="utf-8"?>
<ds:datastoreItem xmlns:ds="http://schemas.openxmlformats.org/officeDocument/2006/customXml" ds:itemID="{3909FAE9-428D-458D-9F34-DE4C6B53C1D6}">
  <ds:schemaRefs>
    <ds:schemaRef ds:uri="http://purl.org/dc/terms/"/>
    <ds:schemaRef ds:uri="http://schemas.microsoft.com/office/2006/metadata/properties"/>
    <ds:schemaRef ds:uri="http://schemas.microsoft.com/office/2006/documentManagement/types"/>
    <ds:schemaRef ds:uri="http://purl.org/dc/elements/1.1/"/>
    <ds:schemaRef ds:uri="63ed583d-7590-47b9-98bc-2af72f9646ac"/>
    <ds:schemaRef ds:uri="http://schemas.microsoft.com/office/infopath/2007/PartnerControls"/>
    <ds:schemaRef ds:uri="http://schemas.openxmlformats.org/package/2006/metadata/core-properties"/>
    <ds:schemaRef ds:uri="b3ce6949-99fe-4549-b75a-2322037c47c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DOT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4910-60-P</dc:title>
  <dc:creator>fosterg</dc:creator>
  <cp:lastModifiedBy>Foster, Glenn (PHMSA)</cp:lastModifiedBy>
  <cp:revision>453</cp:revision>
  <cp:lastPrinted>2014-11-18T21:24:00Z</cp:lastPrinted>
  <dcterms:created xsi:type="dcterms:W3CDTF">2020-01-13T22:50:00Z</dcterms:created>
  <dcterms:modified xsi:type="dcterms:W3CDTF">2023-05-16T16:37:11Z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