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314" w:rsidRPr="00683F93" w:rsidP="00383C21" w14:paraId="472DBC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683F93">
        <w:rPr>
          <w:rFonts w:ascii="Helvetica" w:hAnsi="Helvetica"/>
          <w:b/>
          <w:color w:val="000000" w:themeColor="text1"/>
          <w:sz w:val="28"/>
        </w:rPr>
        <w:t>Supporting Statement for Paperwork Reduction Act Submissions</w:t>
      </w:r>
    </w:p>
    <w:p w:rsidR="00F42314" w:rsidRPr="00683F93" w14:paraId="40B13AA0" w14:textId="77777777">
      <w:pPr>
        <w:pStyle w:val="Heading6"/>
        <w:jc w:val="center"/>
        <w:rPr>
          <w:color w:val="000000" w:themeColor="text1"/>
          <w:sz w:val="28"/>
          <w:szCs w:val="28"/>
        </w:rPr>
      </w:pPr>
      <w:r w:rsidRPr="00683F93">
        <w:rPr>
          <w:color w:val="000000" w:themeColor="text1"/>
          <w:sz w:val="28"/>
          <w:szCs w:val="28"/>
        </w:rPr>
        <w:t>Mortgagor's Certification of Actual Cost</w:t>
      </w:r>
    </w:p>
    <w:p w:rsidR="00383C21" w:rsidRPr="00683F93" w14:paraId="6A22D567" w14:textId="7B341C53">
      <w:pPr>
        <w:jc w:val="center"/>
        <w:rPr>
          <w:b/>
          <w:bCs/>
          <w:color w:val="000000" w:themeColor="text1"/>
          <w:sz w:val="28"/>
          <w:szCs w:val="28"/>
        </w:rPr>
      </w:pPr>
      <w:r w:rsidRPr="00683F93">
        <w:rPr>
          <w:b/>
          <w:bCs/>
          <w:color w:val="000000" w:themeColor="text1"/>
          <w:sz w:val="28"/>
          <w:szCs w:val="28"/>
        </w:rPr>
        <w:t xml:space="preserve">OMB </w:t>
      </w:r>
      <w:r w:rsidRPr="00683F93" w:rsidR="004E3A3B">
        <w:rPr>
          <w:b/>
          <w:bCs/>
          <w:color w:val="000000" w:themeColor="text1"/>
          <w:sz w:val="28"/>
          <w:szCs w:val="28"/>
        </w:rPr>
        <w:t>Control</w:t>
      </w:r>
      <w:r w:rsidRPr="00683F93">
        <w:rPr>
          <w:b/>
          <w:bCs/>
          <w:color w:val="000000" w:themeColor="text1"/>
          <w:sz w:val="28"/>
          <w:szCs w:val="28"/>
        </w:rPr>
        <w:t xml:space="preserve"> Number:  2502-0112</w:t>
      </w:r>
    </w:p>
    <w:p w:rsidR="00F42314" w:rsidRPr="00683F93" w14:paraId="5561C2FB" w14:textId="77777777">
      <w:pPr>
        <w:jc w:val="center"/>
        <w:rPr>
          <w:b/>
          <w:bCs/>
          <w:color w:val="000000" w:themeColor="text1"/>
          <w:sz w:val="28"/>
          <w:szCs w:val="28"/>
        </w:rPr>
      </w:pPr>
      <w:r w:rsidRPr="00683F93">
        <w:rPr>
          <w:b/>
          <w:bCs/>
          <w:color w:val="000000" w:themeColor="text1"/>
          <w:sz w:val="28"/>
          <w:szCs w:val="28"/>
        </w:rPr>
        <w:t>Form HUD-92330</w:t>
      </w:r>
    </w:p>
    <w:p w:rsidR="00F42314" w:rsidRPr="00683F93" w14:paraId="22820CF9" w14:textId="77777777">
      <w:pPr>
        <w:rPr>
          <w:color w:val="000000" w:themeColor="text1"/>
          <w:sz w:val="24"/>
        </w:rPr>
      </w:pPr>
    </w:p>
    <w:p w:rsidR="00F42314" w:rsidRPr="00683F93" w14:paraId="7238749C" w14:textId="77777777">
      <w:pPr>
        <w:pStyle w:val="Heading4"/>
        <w:rPr>
          <w:color w:val="000000" w:themeColor="text1"/>
        </w:rPr>
      </w:pPr>
      <w:r w:rsidRPr="00683F93">
        <w:rPr>
          <w:color w:val="000000" w:themeColor="text1"/>
        </w:rPr>
        <w:t>JUSTIFICATION</w:t>
      </w:r>
    </w:p>
    <w:p w:rsidR="007F4D1B" w:rsidRPr="00683F93" w:rsidP="007F4D1B" w14:paraId="7ADE81CD"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(Example:  The </w:t>
      </w:r>
      <w:r w:rsidRPr="00683F93">
        <w:rPr>
          <w:b/>
          <w:color w:val="000000" w:themeColor="text1"/>
          <w:sz w:val="24"/>
          <w:szCs w:val="24"/>
        </w:rPr>
        <w:t>changes</w:t>
      </w:r>
      <w:r w:rsidRPr="00683F93">
        <w:rPr>
          <w:b/>
          <w:color w:val="000000" w:themeColor="text1"/>
          <w:sz w:val="24"/>
          <w:szCs w:val="24"/>
        </w:rPr>
        <w:t xml:space="preserve"> for this submittal </w:t>
      </w:r>
      <w:r w:rsidRPr="00683F93">
        <w:rPr>
          <w:b/>
          <w:color w:val="000000" w:themeColor="text1"/>
          <w:sz w:val="24"/>
          <w:szCs w:val="24"/>
        </w:rPr>
        <w:t>is</w:t>
      </w:r>
      <w:r w:rsidRPr="00683F93">
        <w:rPr>
          <w:b/>
          <w:color w:val="000000" w:themeColor="text1"/>
          <w:sz w:val="24"/>
          <w:szCs w:val="24"/>
        </w:rPr>
        <w:t xml:space="preserve"> as follows or the difference between this submission and the last is as follows....)</w:t>
      </w:r>
    </w:p>
    <w:p w:rsidR="00F42314" w:rsidRPr="00683F93" w14:paraId="45267C80" w14:textId="77777777">
      <w:pPr>
        <w:rPr>
          <w:color w:val="000000" w:themeColor="text1"/>
          <w:sz w:val="24"/>
          <w:u w:val="single"/>
        </w:rPr>
      </w:pPr>
    </w:p>
    <w:p w:rsidR="00F42314" w:rsidRPr="00683F93" w:rsidP="007F4D1B" w14:paraId="70830B0C" w14:textId="77777777">
      <w:pPr>
        <w:overflowPunct/>
        <w:spacing w:line="240" w:lineRule="atLeast"/>
        <w:ind w:left="360"/>
        <w:textAlignment w:val="auto"/>
        <w:rPr>
          <w:color w:val="000000" w:themeColor="text1"/>
          <w:sz w:val="24"/>
        </w:rPr>
      </w:pPr>
      <w:r w:rsidRPr="00683F93">
        <w:rPr>
          <w:color w:val="000000" w:themeColor="text1"/>
          <w:sz w:val="24"/>
        </w:rPr>
        <w:t xml:space="preserve">The Office of Housing seeks to extend the OMB Clearance approval 2502-0112.  Section 227 of the National Housing Act (P.L. 479, 48 Stat. 12 USC, 1701 et. seq), along with sections 200.95 and 891.545, applicable portions of which are attached for reference, requires the certification of costs upon completion of improvements and prior to final endorsement of a mortgage.  Section 814 of the Housing Act of 1954 (P.L. 560, 68 Stat., 590, 647, 12 USC, 1701 et. seq) requires the mortgagor to create and maintain records for auditing project costs.  </w:t>
      </w:r>
    </w:p>
    <w:p w:rsidR="00683F93" w:rsidRPr="00683F93" w:rsidP="007F4D1B" w14:paraId="554C6AF6" w14:textId="77777777">
      <w:pPr>
        <w:overflowPunct/>
        <w:spacing w:line="240" w:lineRule="atLeast"/>
        <w:ind w:left="360"/>
        <w:textAlignment w:val="auto"/>
        <w:rPr>
          <w:color w:val="000000" w:themeColor="text1"/>
          <w:sz w:val="24"/>
        </w:rPr>
      </w:pPr>
    </w:p>
    <w:p w:rsidR="007F4D1B" w:rsidRPr="00683F93" w:rsidP="007F4D1B" w14:paraId="6E4BAF50"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2. Indicate how, by whom, and for what purpose the information is to be used. </w:t>
      </w:r>
      <w:r w:rsidRPr="00683F93">
        <w:rPr>
          <w:b/>
          <w:i/>
          <w:color w:val="000000" w:themeColor="text1"/>
          <w:sz w:val="24"/>
          <w:szCs w:val="24"/>
        </w:rPr>
        <w:t>Except for a new collection</w:t>
      </w:r>
      <w:r w:rsidRPr="00683F93">
        <w:rPr>
          <w:b/>
          <w:color w:val="000000" w:themeColor="text1"/>
          <w:sz w:val="24"/>
          <w:szCs w:val="24"/>
        </w:rPr>
        <w:t xml:space="preserve">, indicate the actual use the agency has made of the information received from the current collection. </w:t>
      </w:r>
    </w:p>
    <w:p w:rsidR="007F4D1B" w:rsidRPr="00683F93" w:rsidP="007F4D1B" w14:paraId="689175E3" w14:textId="77777777">
      <w:pPr>
        <w:overflowPunct/>
        <w:spacing w:line="240" w:lineRule="atLeast"/>
        <w:ind w:left="450"/>
        <w:textAlignment w:val="auto"/>
        <w:rPr>
          <w:color w:val="000000" w:themeColor="text1"/>
          <w:sz w:val="24"/>
        </w:rPr>
      </w:pPr>
    </w:p>
    <w:p w:rsidR="00F42314" w:rsidRPr="00683F93" w:rsidP="00683F93" w14:paraId="3D8E4C9F" w14:textId="32C33B53">
      <w:pPr>
        <w:rPr>
          <w:color w:val="000000" w:themeColor="text1"/>
          <w:sz w:val="24"/>
        </w:rPr>
      </w:pPr>
      <w:r w:rsidRPr="00683F93">
        <w:rPr>
          <w:color w:val="000000" w:themeColor="text1"/>
          <w:sz w:val="24"/>
        </w:rPr>
        <w:t xml:space="preserve">      </w:t>
      </w:r>
      <w:r w:rsidRPr="00683F93">
        <w:rPr>
          <w:color w:val="000000" w:themeColor="text1"/>
          <w:sz w:val="24"/>
        </w:rPr>
        <w:t>Form</w:t>
      </w:r>
      <w:r w:rsidRPr="00683F93">
        <w:rPr>
          <w:color w:val="000000" w:themeColor="text1"/>
          <w:sz w:val="24"/>
        </w:rPr>
        <w:t xml:space="preserve"> HUD-92330 is </w:t>
      </w:r>
      <w:r w:rsidRPr="00683F93" w:rsidR="00683F93">
        <w:rPr>
          <w:color w:val="000000" w:themeColor="text1"/>
          <w:sz w:val="24"/>
        </w:rPr>
        <w:t>being moved to OMB 2502-0029.</w:t>
      </w:r>
    </w:p>
    <w:p w:rsidR="007F4D1B" w:rsidRPr="00683F93" w:rsidP="007F4D1B" w14:paraId="171E4F73" w14:textId="77777777">
      <w:pPr>
        <w:rPr>
          <w:color w:val="000000" w:themeColor="text1"/>
          <w:sz w:val="24"/>
        </w:rPr>
      </w:pPr>
    </w:p>
    <w:p w:rsidR="007F4D1B" w:rsidRPr="00683F93" w:rsidP="007F4D1B" w14:paraId="00DAA089"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F4D1B" w:rsidRPr="00683F93" w:rsidP="007F4D1B" w14:paraId="5E4D4C42" w14:textId="77777777">
      <w:pPr>
        <w:overflowPunct/>
        <w:autoSpaceDE/>
        <w:autoSpaceDN/>
        <w:adjustRightInd/>
        <w:textAlignment w:val="auto"/>
        <w:rPr>
          <w:color w:val="000000" w:themeColor="text1"/>
          <w:sz w:val="24"/>
          <w:szCs w:val="24"/>
        </w:rPr>
      </w:pPr>
    </w:p>
    <w:p w:rsidR="007F4D1B" w:rsidRPr="00683F93" w:rsidP="007F4D1B" w14:paraId="56736B6D" w14:textId="06C7A716">
      <w:pPr>
        <w:rPr>
          <w:color w:val="000000" w:themeColor="text1"/>
          <w:sz w:val="24"/>
        </w:rPr>
      </w:pPr>
      <w:r w:rsidRPr="00683F93">
        <w:rPr>
          <w:color w:val="000000" w:themeColor="text1"/>
          <w:sz w:val="24"/>
          <w:szCs w:val="24"/>
        </w:rPr>
        <w:t xml:space="preserve">Multifamily Housing is currently developing a new system to replace the Development Application Processing (DAP).  The Application Underwriting Support System (AUSS) will provide an online portal for the submission of electronic documents to HUD, including the submission of applications for FHA multifamily mortgage insurance.  AUSS will be implemented in fiscal year 2020, at which point these forms will be submitted to HUD via the AUSS online portal.  Until then, these forms will continue to be submitted to HUD via mailed USB drives.  </w:t>
      </w:r>
    </w:p>
    <w:p w:rsidR="007F4D1B" w:rsidRPr="00683F93" w:rsidP="007F4D1B" w14:paraId="24ED05AC" w14:textId="77777777">
      <w:pPr>
        <w:rPr>
          <w:color w:val="000000" w:themeColor="text1"/>
          <w:sz w:val="24"/>
        </w:rPr>
      </w:pPr>
    </w:p>
    <w:p w:rsidR="007F4D1B" w:rsidRPr="00683F93" w:rsidP="007F4D1B" w14:paraId="33FF5F7E" w14:textId="77777777">
      <w:pPr>
        <w:rPr>
          <w:color w:val="000000" w:themeColor="text1"/>
          <w:sz w:val="24"/>
        </w:rPr>
      </w:pPr>
    </w:p>
    <w:p w:rsidR="007F4D1B" w:rsidRPr="00683F93" w:rsidP="007F4D1B" w14:paraId="66FF2D9A" w14:textId="77777777">
      <w:pPr>
        <w:rPr>
          <w:color w:val="000000" w:themeColor="text1"/>
          <w:sz w:val="24"/>
        </w:rPr>
      </w:pPr>
      <w:r w:rsidRPr="00683F93">
        <w:rPr>
          <w:b/>
          <w:color w:val="000000" w:themeColor="text1"/>
          <w:sz w:val="24"/>
          <w:szCs w:val="24"/>
        </w:rPr>
        <w:t>4. Describe efforts to identify duplication. Show specifically why any similar information already available cannot be used or modified for use for the purposes described in Item 2 above</w:t>
      </w:r>
    </w:p>
    <w:p w:rsidR="00F42314" w:rsidRPr="00683F93" w14:paraId="66855C10" w14:textId="77777777">
      <w:pPr>
        <w:rPr>
          <w:color w:val="000000" w:themeColor="text1"/>
          <w:sz w:val="24"/>
        </w:rPr>
      </w:pPr>
    </w:p>
    <w:p w:rsidR="00F42314" w:rsidRPr="00683F93" w:rsidP="007F4D1B" w14:paraId="2529B9F7" w14:textId="77777777">
      <w:pPr>
        <w:rPr>
          <w:color w:val="000000" w:themeColor="text1"/>
          <w:sz w:val="24"/>
        </w:rPr>
      </w:pPr>
      <w:r w:rsidRPr="00683F93">
        <w:rPr>
          <w:color w:val="000000" w:themeColor="text1"/>
          <w:sz w:val="24"/>
        </w:rPr>
        <w:t>Form HUD-92330 does not result in the duplication of information.  This form is required to be submitted only once and the Department has no other form that requires this type of information.</w:t>
      </w:r>
    </w:p>
    <w:p w:rsidR="002C15B4" w:rsidRPr="00683F93" w:rsidP="007F4D1B" w14:paraId="4CCFFEA3" w14:textId="77777777">
      <w:pPr>
        <w:rPr>
          <w:color w:val="000000" w:themeColor="text1"/>
          <w:sz w:val="24"/>
        </w:rPr>
      </w:pPr>
    </w:p>
    <w:p w:rsidR="002C15B4" w:rsidRPr="00683F93" w:rsidP="002C15B4" w14:paraId="62689F1C"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5. If the collection of information impacts small businesses or other small entities (Item 5 of OMB Form 83-I), describe any methods used to minimize burden. </w:t>
      </w:r>
    </w:p>
    <w:p w:rsidR="002C15B4" w:rsidRPr="00683F93" w:rsidP="002C15B4" w14:paraId="62ACE497" w14:textId="77777777">
      <w:pPr>
        <w:rPr>
          <w:color w:val="000000" w:themeColor="text1"/>
          <w:sz w:val="24"/>
        </w:rPr>
      </w:pPr>
    </w:p>
    <w:p w:rsidR="00F42314" w:rsidRPr="00683F93" w:rsidP="002C15B4" w14:paraId="1DCA5285" w14:textId="77777777">
      <w:pPr>
        <w:rPr>
          <w:color w:val="000000" w:themeColor="text1"/>
          <w:sz w:val="24"/>
        </w:rPr>
      </w:pPr>
      <w:r w:rsidRPr="00683F93">
        <w:rPr>
          <w:color w:val="000000" w:themeColor="text1"/>
          <w:sz w:val="24"/>
        </w:rPr>
        <w:t>By requiring this information only once upon completion of the project, the Department minimizes the burden on small businesses.</w:t>
      </w:r>
    </w:p>
    <w:p w:rsidR="00F42314" w:rsidRPr="00683F93" w14:paraId="75CC6DBD" w14:textId="77777777">
      <w:pPr>
        <w:rPr>
          <w:color w:val="000000" w:themeColor="text1"/>
          <w:sz w:val="24"/>
        </w:rPr>
      </w:pPr>
    </w:p>
    <w:p w:rsidR="002C15B4" w:rsidRPr="00683F93" w:rsidP="002C15B4" w14:paraId="3E9AD90E"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2C15B4" w:rsidRPr="00683F93" w14:paraId="5585CF6B" w14:textId="77777777">
      <w:pPr>
        <w:rPr>
          <w:color w:val="000000" w:themeColor="text1"/>
          <w:sz w:val="24"/>
        </w:rPr>
      </w:pPr>
    </w:p>
    <w:p w:rsidR="00F42314" w:rsidRPr="00683F93" w:rsidP="002C15B4" w14:paraId="097313D7" w14:textId="77777777">
      <w:pPr>
        <w:rPr>
          <w:color w:val="000000" w:themeColor="text1"/>
          <w:sz w:val="24"/>
        </w:rPr>
      </w:pPr>
      <w:r w:rsidRPr="00683F93">
        <w:rPr>
          <w:color w:val="000000" w:themeColor="text1"/>
          <w:sz w:val="24"/>
        </w:rPr>
        <w:t xml:space="preserve">The data is used to verify the mortgagor’s percentage of approved costs.  Failure to review the cost certification data would result in over insurance of the mortgage in violation of the law and possible claims against the FHA Insurance Fund.  </w:t>
      </w:r>
    </w:p>
    <w:p w:rsidR="002C15B4" w:rsidRPr="00683F93" w:rsidP="002C15B4" w14:paraId="1ECCDC06" w14:textId="77777777">
      <w:pPr>
        <w:rPr>
          <w:color w:val="000000" w:themeColor="text1"/>
          <w:sz w:val="24"/>
        </w:rPr>
      </w:pPr>
    </w:p>
    <w:p w:rsidR="002C15B4" w:rsidRPr="00683F93" w:rsidP="002C15B4" w14:paraId="34219F82"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7. Explain any special circumstances that would cause an information collection to be conducted in a manner: </w:t>
      </w:r>
    </w:p>
    <w:p w:rsidR="002C15B4" w:rsidRPr="00683F93" w:rsidP="002C15B4" w14:paraId="08F10317" w14:textId="77777777">
      <w:pPr>
        <w:keepNext/>
        <w:tabs>
          <w:tab w:val="left" w:pos="360"/>
        </w:tabs>
        <w:ind w:left="1224"/>
        <w:textAlignment w:val="auto"/>
        <w:rPr>
          <w:bCs/>
          <w:color w:val="000000" w:themeColor="text1"/>
          <w:sz w:val="22"/>
        </w:rPr>
      </w:pPr>
    </w:p>
    <w:p w:rsidR="00447AC9" w:rsidRPr="00683F93" w:rsidP="002C15B4" w14:paraId="21103A10" w14:textId="77777777">
      <w:pPr>
        <w:keepNext/>
        <w:numPr>
          <w:ilvl w:val="0"/>
          <w:numId w:val="26"/>
        </w:numPr>
        <w:tabs>
          <w:tab w:val="left" w:pos="360"/>
        </w:tabs>
        <w:textAlignment w:val="auto"/>
        <w:rPr>
          <w:bCs/>
          <w:color w:val="000000" w:themeColor="text1"/>
          <w:sz w:val="22"/>
        </w:rPr>
      </w:pPr>
      <w:r w:rsidRPr="00683F93">
        <w:rPr>
          <w:bCs/>
          <w:color w:val="000000" w:themeColor="text1"/>
          <w:sz w:val="22"/>
        </w:rPr>
        <w:t>r</w:t>
      </w:r>
      <w:r w:rsidRPr="00683F93">
        <w:rPr>
          <w:bCs/>
          <w:color w:val="000000" w:themeColor="text1"/>
          <w:sz w:val="22"/>
        </w:rPr>
        <w:t xml:space="preserve">equiring respondents to report information to the agency more than </w:t>
      </w:r>
      <w:r w:rsidRPr="00683F93" w:rsidR="00442596">
        <w:rPr>
          <w:bCs/>
          <w:color w:val="000000" w:themeColor="text1"/>
          <w:sz w:val="22"/>
        </w:rPr>
        <w:t>quarterly.</w:t>
      </w:r>
      <w:r w:rsidRPr="00683F93">
        <w:rPr>
          <w:bCs/>
          <w:color w:val="000000" w:themeColor="text1"/>
          <w:sz w:val="22"/>
        </w:rPr>
        <w:t xml:space="preserve"> </w:t>
      </w:r>
    </w:p>
    <w:p w:rsidR="00447AC9" w:rsidRPr="00683F93" w:rsidP="00447AC9" w14:paraId="06902DD7" w14:textId="77777777">
      <w:pPr>
        <w:keepNext/>
        <w:tabs>
          <w:tab w:val="left" w:pos="360"/>
        </w:tabs>
        <w:ind w:left="504"/>
        <w:rPr>
          <w:b/>
          <w:bCs/>
          <w:color w:val="000000" w:themeColor="text1"/>
          <w:sz w:val="22"/>
        </w:rPr>
      </w:pPr>
      <w:r w:rsidRPr="00683F93">
        <w:rPr>
          <w:b/>
          <w:bCs/>
          <w:color w:val="000000" w:themeColor="text1"/>
          <w:sz w:val="22"/>
        </w:rPr>
        <w:t>There are no requirements for respondents to report information to the agency more than quarterly</w:t>
      </w:r>
      <w:r w:rsidRPr="00683F93" w:rsidR="00442596">
        <w:rPr>
          <w:b/>
          <w:bCs/>
          <w:color w:val="000000" w:themeColor="text1"/>
          <w:sz w:val="22"/>
        </w:rPr>
        <w:t xml:space="preserve">, it is submitted once. </w:t>
      </w:r>
    </w:p>
    <w:p w:rsidR="00447AC9" w:rsidRPr="00683F93" w:rsidP="00447AC9" w14:paraId="643B4328" w14:textId="77777777">
      <w:pPr>
        <w:keepNext/>
        <w:numPr>
          <w:ilvl w:val="0"/>
          <w:numId w:val="8"/>
        </w:numPr>
        <w:tabs>
          <w:tab w:val="left" w:pos="360"/>
        </w:tabs>
        <w:textAlignment w:val="auto"/>
        <w:rPr>
          <w:bCs/>
          <w:color w:val="000000" w:themeColor="text1"/>
          <w:sz w:val="22"/>
        </w:rPr>
      </w:pPr>
      <w:r w:rsidRPr="00683F93">
        <w:rPr>
          <w:bCs/>
          <w:color w:val="000000" w:themeColor="text1"/>
          <w:sz w:val="22"/>
        </w:rPr>
        <w:t xml:space="preserve">requiring respondents to prepare a written response to a collection of information in fewer than 30 days after receipt of </w:t>
      </w:r>
      <w:r w:rsidRPr="00683F93" w:rsidR="00442596">
        <w:rPr>
          <w:bCs/>
          <w:color w:val="000000" w:themeColor="text1"/>
          <w:sz w:val="22"/>
        </w:rPr>
        <w:t>it.</w:t>
      </w:r>
      <w:r w:rsidRPr="00683F93">
        <w:rPr>
          <w:bCs/>
          <w:color w:val="000000" w:themeColor="text1"/>
          <w:sz w:val="22"/>
        </w:rPr>
        <w:t xml:space="preserve"> </w:t>
      </w:r>
    </w:p>
    <w:p w:rsidR="00442596" w:rsidRPr="00683F93" w:rsidP="00442596" w14:paraId="508C3C42" w14:textId="77777777">
      <w:pPr>
        <w:keepNext/>
        <w:tabs>
          <w:tab w:val="left" w:pos="360"/>
        </w:tabs>
        <w:ind w:left="504"/>
        <w:rPr>
          <w:b/>
          <w:bCs/>
          <w:color w:val="000000" w:themeColor="text1"/>
          <w:sz w:val="22"/>
        </w:rPr>
      </w:pPr>
      <w:r w:rsidRPr="00683F93">
        <w:rPr>
          <w:b/>
          <w:bCs/>
          <w:color w:val="000000" w:themeColor="text1"/>
          <w:sz w:val="22"/>
        </w:rPr>
        <w:t xml:space="preserve">Respondents are not required to prepare a written response to collection in fewer than 30 days. </w:t>
      </w:r>
    </w:p>
    <w:p w:rsidR="00447AC9" w:rsidRPr="00683F93" w:rsidP="00442596" w14:paraId="2EF08AF1" w14:textId="77777777">
      <w:pPr>
        <w:keepNext/>
        <w:tabs>
          <w:tab w:val="left" w:pos="360"/>
        </w:tabs>
        <w:ind w:left="504"/>
        <w:rPr>
          <w:bCs/>
          <w:color w:val="000000" w:themeColor="text1"/>
          <w:sz w:val="22"/>
        </w:rPr>
      </w:pPr>
      <w:r w:rsidRPr="00683F93">
        <w:rPr>
          <w:bCs/>
          <w:color w:val="000000" w:themeColor="text1"/>
          <w:sz w:val="22"/>
        </w:rPr>
        <w:t xml:space="preserve">requiring respondents to submit more than an original and two copies of any </w:t>
      </w:r>
      <w:r w:rsidRPr="00683F93" w:rsidR="00442596">
        <w:rPr>
          <w:bCs/>
          <w:color w:val="000000" w:themeColor="text1"/>
          <w:sz w:val="22"/>
        </w:rPr>
        <w:t>document.</w:t>
      </w:r>
      <w:r w:rsidRPr="00683F93">
        <w:rPr>
          <w:bCs/>
          <w:color w:val="000000" w:themeColor="text1"/>
          <w:sz w:val="22"/>
        </w:rPr>
        <w:t xml:space="preserve"> </w:t>
      </w:r>
    </w:p>
    <w:p w:rsidR="00447AC9" w:rsidRPr="00683F93" w:rsidP="00447AC9" w14:paraId="5D0F06A8" w14:textId="77777777">
      <w:pPr>
        <w:keepNext/>
        <w:tabs>
          <w:tab w:val="left" w:pos="360"/>
        </w:tabs>
        <w:ind w:left="504"/>
        <w:rPr>
          <w:b/>
          <w:bCs/>
          <w:color w:val="000000" w:themeColor="text1"/>
          <w:sz w:val="22"/>
        </w:rPr>
      </w:pPr>
      <w:r w:rsidRPr="00683F93">
        <w:rPr>
          <w:b/>
          <w:bCs/>
          <w:color w:val="000000" w:themeColor="text1"/>
          <w:sz w:val="22"/>
        </w:rPr>
        <w:t xml:space="preserve">There is no requirement for respondents to submit more than an original and two copies of any document. </w:t>
      </w:r>
    </w:p>
    <w:p w:rsidR="00447AC9" w:rsidRPr="00683F93" w:rsidP="00447AC9" w14:paraId="247F4355" w14:textId="77777777">
      <w:pPr>
        <w:keepNext/>
        <w:numPr>
          <w:ilvl w:val="0"/>
          <w:numId w:val="8"/>
        </w:numPr>
        <w:tabs>
          <w:tab w:val="left" w:pos="360"/>
        </w:tabs>
        <w:textAlignment w:val="auto"/>
        <w:rPr>
          <w:bCs/>
          <w:color w:val="000000" w:themeColor="text1"/>
          <w:sz w:val="22"/>
        </w:rPr>
      </w:pPr>
      <w:r w:rsidRPr="00683F93">
        <w:rPr>
          <w:bCs/>
          <w:color w:val="000000" w:themeColor="text1"/>
          <w:sz w:val="22"/>
        </w:rPr>
        <w:t xml:space="preserve">requiring respondents to retain records other than health, medical, government contract, grant-in-aid, or tax records for more than three </w:t>
      </w:r>
      <w:r w:rsidRPr="00683F93" w:rsidR="00F829BE">
        <w:rPr>
          <w:bCs/>
          <w:color w:val="000000" w:themeColor="text1"/>
          <w:sz w:val="22"/>
        </w:rPr>
        <w:t>years.</w:t>
      </w:r>
      <w:r w:rsidRPr="00683F93">
        <w:rPr>
          <w:bCs/>
          <w:color w:val="000000" w:themeColor="text1"/>
          <w:sz w:val="22"/>
        </w:rPr>
        <w:t xml:space="preserve"> </w:t>
      </w:r>
    </w:p>
    <w:p w:rsidR="00447AC9" w:rsidRPr="00683F93" w:rsidP="00447AC9" w14:paraId="4146E7B9" w14:textId="77777777">
      <w:pPr>
        <w:keepNext/>
        <w:tabs>
          <w:tab w:val="left" w:pos="360"/>
        </w:tabs>
        <w:ind w:left="504"/>
        <w:rPr>
          <w:b/>
          <w:bCs/>
          <w:color w:val="000000" w:themeColor="text1"/>
          <w:sz w:val="22"/>
        </w:rPr>
      </w:pPr>
      <w:r w:rsidRPr="00683F93">
        <w:rPr>
          <w:b/>
          <w:bCs/>
          <w:color w:val="000000" w:themeColor="text1"/>
          <w:sz w:val="22"/>
        </w:rPr>
        <w:t>HUD requires two originals of the form HUD-9</w:t>
      </w:r>
      <w:r w:rsidRPr="00683F93" w:rsidR="002D42AE">
        <w:rPr>
          <w:b/>
          <w:bCs/>
          <w:color w:val="000000" w:themeColor="text1"/>
          <w:sz w:val="22"/>
        </w:rPr>
        <w:t>2330, “Mortgagor’s Certificate of Actual Cost”.  The lender submits form to HUD on behalf of the borrower.</w:t>
      </w:r>
    </w:p>
    <w:p w:rsidR="00447AC9" w:rsidRPr="00683F93" w:rsidP="00447AC9" w14:paraId="583487DC" w14:textId="77777777">
      <w:pPr>
        <w:keepNext/>
        <w:numPr>
          <w:ilvl w:val="0"/>
          <w:numId w:val="8"/>
        </w:numPr>
        <w:tabs>
          <w:tab w:val="left" w:pos="360"/>
        </w:tabs>
        <w:textAlignment w:val="auto"/>
        <w:rPr>
          <w:bCs/>
          <w:color w:val="000000" w:themeColor="text1"/>
          <w:sz w:val="22"/>
        </w:rPr>
      </w:pPr>
      <w:r w:rsidRPr="00683F93">
        <w:rPr>
          <w:bCs/>
          <w:color w:val="000000" w:themeColor="text1"/>
          <w:sz w:val="22"/>
        </w:rPr>
        <w:t>I</w:t>
      </w:r>
      <w:r w:rsidRPr="00683F93">
        <w:rPr>
          <w:bCs/>
          <w:color w:val="000000" w:themeColor="text1"/>
          <w:sz w:val="22"/>
        </w:rPr>
        <w:t xml:space="preserve">n connection with a statistical survey, that is not designed to produce valid and reliable results than can be generalized to the universe of </w:t>
      </w:r>
      <w:r w:rsidRPr="00683F93" w:rsidR="00F829BE">
        <w:rPr>
          <w:bCs/>
          <w:color w:val="000000" w:themeColor="text1"/>
          <w:sz w:val="22"/>
        </w:rPr>
        <w:t>study.</w:t>
      </w:r>
      <w:r w:rsidRPr="00683F93">
        <w:rPr>
          <w:bCs/>
          <w:color w:val="000000" w:themeColor="text1"/>
          <w:sz w:val="22"/>
        </w:rPr>
        <w:t xml:space="preserve"> </w:t>
      </w:r>
    </w:p>
    <w:p w:rsidR="00447AC9" w:rsidRPr="00683F93" w:rsidP="00447AC9" w14:paraId="724CF316" w14:textId="77777777">
      <w:pPr>
        <w:keepNext/>
        <w:tabs>
          <w:tab w:val="left" w:pos="360"/>
        </w:tabs>
        <w:ind w:left="504"/>
        <w:rPr>
          <w:b/>
          <w:bCs/>
          <w:color w:val="000000" w:themeColor="text1"/>
          <w:sz w:val="22"/>
        </w:rPr>
      </w:pPr>
      <w:r w:rsidRPr="00683F93">
        <w:rPr>
          <w:b/>
          <w:bCs/>
          <w:color w:val="000000" w:themeColor="text1"/>
          <w:sz w:val="22"/>
        </w:rPr>
        <w:t xml:space="preserve">This collection is not designed or used in connection with a statistical survey. </w:t>
      </w:r>
    </w:p>
    <w:p w:rsidR="00447AC9" w:rsidRPr="00683F93" w:rsidP="00447AC9" w14:paraId="0D168FFA" w14:textId="77777777">
      <w:pPr>
        <w:keepNext/>
        <w:numPr>
          <w:ilvl w:val="0"/>
          <w:numId w:val="8"/>
        </w:numPr>
        <w:tabs>
          <w:tab w:val="left" w:pos="360"/>
        </w:tabs>
        <w:textAlignment w:val="auto"/>
        <w:rPr>
          <w:bCs/>
          <w:color w:val="000000" w:themeColor="text1"/>
          <w:sz w:val="22"/>
        </w:rPr>
      </w:pPr>
      <w:r w:rsidRPr="00683F93">
        <w:rPr>
          <w:bCs/>
          <w:color w:val="000000" w:themeColor="text1"/>
          <w:sz w:val="22"/>
        </w:rPr>
        <w:t xml:space="preserve">requiring the use of a statistical data classification that has not been reviewed and approved by </w:t>
      </w:r>
      <w:r w:rsidRPr="00683F93">
        <w:rPr>
          <w:bCs/>
          <w:color w:val="000000" w:themeColor="text1"/>
          <w:sz w:val="22"/>
        </w:rPr>
        <w:t>OMB;</w:t>
      </w:r>
      <w:r w:rsidRPr="00683F93">
        <w:rPr>
          <w:bCs/>
          <w:color w:val="000000" w:themeColor="text1"/>
          <w:sz w:val="22"/>
        </w:rPr>
        <w:t xml:space="preserve"> </w:t>
      </w:r>
    </w:p>
    <w:p w:rsidR="00447AC9" w:rsidRPr="00683F93" w:rsidP="002D42AE" w14:paraId="359E1C66" w14:textId="77777777">
      <w:pPr>
        <w:keepNext/>
        <w:tabs>
          <w:tab w:val="left" w:pos="360"/>
        </w:tabs>
        <w:ind w:left="504"/>
        <w:textAlignment w:val="auto"/>
        <w:rPr>
          <w:b/>
          <w:bCs/>
          <w:color w:val="000000" w:themeColor="text1"/>
          <w:sz w:val="22"/>
        </w:rPr>
      </w:pPr>
      <w:r w:rsidRPr="00683F93">
        <w:rPr>
          <w:b/>
          <w:bCs/>
          <w:color w:val="000000" w:themeColor="text1"/>
          <w:sz w:val="22"/>
        </w:rPr>
        <w:t>This collection does not make use of a statistical data classification.</w:t>
      </w:r>
    </w:p>
    <w:p w:rsidR="00447AC9" w:rsidRPr="00683F93" w:rsidP="00447AC9" w14:paraId="0DB43FD6" w14:textId="77777777">
      <w:pPr>
        <w:keepNext/>
        <w:tabs>
          <w:tab w:val="left" w:pos="360"/>
        </w:tabs>
        <w:ind w:left="504"/>
        <w:rPr>
          <w:bCs/>
          <w:color w:val="000000" w:themeColor="text1"/>
          <w:sz w:val="22"/>
        </w:rPr>
      </w:pPr>
      <w:r w:rsidRPr="00683F93">
        <w:rPr>
          <w:bCs/>
          <w:color w:val="000000" w:themeColor="text1"/>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47AC9" w:rsidRPr="00683F93" w:rsidP="00447AC9" w14:paraId="5701B2DB" w14:textId="77777777">
      <w:pPr>
        <w:keepNext/>
        <w:tabs>
          <w:tab w:val="left" w:pos="360"/>
        </w:tabs>
        <w:ind w:left="504"/>
        <w:rPr>
          <w:b/>
          <w:bCs/>
          <w:color w:val="000000" w:themeColor="text1"/>
          <w:sz w:val="22"/>
        </w:rPr>
      </w:pPr>
      <w:r w:rsidRPr="00683F93">
        <w:rPr>
          <w:b/>
          <w:bCs/>
          <w:color w:val="000000" w:themeColor="text1"/>
          <w:sz w:val="22"/>
        </w:rPr>
        <w:t xml:space="preserve">There is no requirement </w:t>
      </w:r>
      <w:r w:rsidRPr="00683F93" w:rsidR="00040BF0">
        <w:rPr>
          <w:b/>
          <w:bCs/>
          <w:color w:val="000000" w:themeColor="text1"/>
          <w:sz w:val="22"/>
        </w:rPr>
        <w:t>for a pledge</w:t>
      </w:r>
      <w:r w:rsidRPr="00683F93">
        <w:rPr>
          <w:b/>
          <w:bCs/>
          <w:color w:val="000000" w:themeColor="text1"/>
          <w:sz w:val="22"/>
        </w:rPr>
        <w:t xml:space="preserve"> of confidentiality that is not supported by authority established in HU</w:t>
      </w:r>
      <w:r w:rsidRPr="00683F93" w:rsidR="00040BF0">
        <w:rPr>
          <w:b/>
          <w:bCs/>
          <w:color w:val="000000" w:themeColor="text1"/>
          <w:sz w:val="22"/>
        </w:rPr>
        <w:t xml:space="preserve">D’s statue and regulation </w:t>
      </w:r>
    </w:p>
    <w:p w:rsidR="00447AC9" w:rsidRPr="00683F93" w:rsidP="00447AC9" w14:paraId="77376BA6" w14:textId="77777777">
      <w:pPr>
        <w:keepNext/>
        <w:numPr>
          <w:ilvl w:val="0"/>
          <w:numId w:val="8"/>
        </w:numPr>
        <w:tabs>
          <w:tab w:val="left" w:pos="360"/>
        </w:tabs>
        <w:textAlignment w:val="auto"/>
        <w:rPr>
          <w:bCs/>
          <w:color w:val="000000" w:themeColor="text1"/>
          <w:sz w:val="22"/>
        </w:rPr>
      </w:pPr>
      <w:r w:rsidRPr="00683F93">
        <w:rPr>
          <w:bCs/>
          <w:color w:val="000000" w:themeColor="text1"/>
          <w:sz w:val="22"/>
        </w:rPr>
        <w:t>requiring respondents to submit proprietary trade secret, or other confidential information unless the agency can demonstrate that it has instituted procedures to protect the information's confidentiality to the extent permitted by law.</w:t>
      </w:r>
    </w:p>
    <w:p w:rsidR="00447AC9" w:rsidRPr="00683F93" w:rsidP="00040BF0" w14:paraId="2429B552" w14:textId="77777777">
      <w:pPr>
        <w:keepNext/>
        <w:tabs>
          <w:tab w:val="left" w:pos="360"/>
        </w:tabs>
        <w:ind w:left="504"/>
        <w:textAlignment w:val="auto"/>
        <w:rPr>
          <w:b/>
          <w:bCs/>
          <w:color w:val="000000" w:themeColor="text1"/>
          <w:sz w:val="22"/>
        </w:rPr>
      </w:pPr>
      <w:r w:rsidRPr="00683F93">
        <w:rPr>
          <w:b/>
          <w:bCs/>
          <w:color w:val="000000" w:themeColor="text1"/>
          <w:sz w:val="22"/>
        </w:rPr>
        <w:t>There are no requirements by the respondents to submit proprietary trade secrets, or other confidential information unless the agency can demonstrate that it has instituted procedures to protect the information’s confidential to the extent permitted by law.</w:t>
      </w:r>
    </w:p>
    <w:p w:rsidR="00447AC9" w:rsidRPr="00683F93" w:rsidP="00447AC9" w14:paraId="6F1DC18F" w14:textId="77777777">
      <w:pPr>
        <w:tabs>
          <w:tab w:val="left" w:pos="360"/>
        </w:tabs>
        <w:ind w:left="504"/>
        <w:rPr>
          <w:color w:val="000000" w:themeColor="text1"/>
          <w:sz w:val="22"/>
        </w:rPr>
      </w:pPr>
    </w:p>
    <w:p w:rsidR="00447AC9" w:rsidRPr="00683F93" w:rsidP="00447AC9" w14:paraId="639782AF" w14:textId="77777777">
      <w:pPr>
        <w:tabs>
          <w:tab w:val="left" w:pos="360"/>
        </w:tabs>
        <w:ind w:left="360" w:hanging="360"/>
        <w:rPr>
          <w:color w:val="000000" w:themeColor="text1"/>
          <w:sz w:val="22"/>
        </w:rPr>
      </w:pPr>
      <w:r w:rsidRPr="00683F93">
        <w:rPr>
          <w:color w:val="000000" w:themeColor="text1"/>
          <w:sz w:val="22"/>
        </w:rPr>
        <w:tab/>
        <w:t>There are no special circumstances that require the collection of information to be inconsistent with the guidelines</w:t>
      </w:r>
      <w:r w:rsidRPr="00683F93" w:rsidR="008C3C99">
        <w:rPr>
          <w:color w:val="000000" w:themeColor="text1"/>
          <w:sz w:val="22"/>
        </w:rPr>
        <w:t>.</w:t>
      </w:r>
    </w:p>
    <w:p w:rsidR="00264EE2" w:rsidRPr="00683F93" w:rsidP="00447AC9" w14:paraId="467D579A" w14:textId="77777777">
      <w:pPr>
        <w:tabs>
          <w:tab w:val="left" w:pos="360"/>
        </w:tabs>
        <w:ind w:left="360" w:hanging="360"/>
        <w:rPr>
          <w:color w:val="000000" w:themeColor="text1"/>
          <w:sz w:val="22"/>
        </w:rPr>
      </w:pPr>
    </w:p>
    <w:p w:rsidR="00040BF0" w:rsidRPr="00683F93" w:rsidP="00447AC9" w14:paraId="51969B97" w14:textId="77777777">
      <w:pPr>
        <w:tabs>
          <w:tab w:val="left" w:pos="360"/>
        </w:tabs>
        <w:ind w:left="360" w:hanging="360"/>
        <w:rPr>
          <w:color w:val="000000" w:themeColor="text1"/>
          <w:sz w:val="22"/>
        </w:rPr>
      </w:pPr>
    </w:p>
    <w:p w:rsidR="00040BF0" w:rsidRPr="00683F93" w:rsidP="00447AC9" w14:paraId="19DBD83C" w14:textId="77777777">
      <w:pPr>
        <w:tabs>
          <w:tab w:val="left" w:pos="360"/>
        </w:tabs>
        <w:ind w:left="360" w:hanging="360"/>
        <w:rPr>
          <w:color w:val="000000" w:themeColor="text1"/>
          <w:sz w:val="22"/>
        </w:rPr>
      </w:pPr>
    </w:p>
    <w:p w:rsidR="00040BF0" w:rsidRPr="00683F93" w:rsidP="00040BF0" w14:paraId="22032A40" w14:textId="77777777">
      <w:pPr>
        <w:rPr>
          <w:b/>
          <w:color w:val="000000" w:themeColor="text1"/>
          <w:sz w:val="24"/>
          <w:szCs w:val="24"/>
        </w:rPr>
      </w:pPr>
      <w:r w:rsidRPr="00683F93">
        <w:rPr>
          <w:b/>
          <w:color w:val="000000" w:themeColor="text1"/>
          <w:sz w:val="24"/>
          <w:szCs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40BF0" w:rsidRPr="00683F93" w:rsidP="00040BF0" w14:paraId="6E78926B" w14:textId="77777777">
      <w:pPr>
        <w:rPr>
          <w:color w:val="000000" w:themeColor="text1"/>
        </w:rPr>
      </w:pPr>
    </w:p>
    <w:p w:rsidR="00683F93" w:rsidRPr="00683F93" w:rsidP="00683F93" w14:paraId="1A78E588" w14:textId="77777777">
      <w:pPr>
        <w:overflowPunct/>
        <w:autoSpaceDE/>
        <w:autoSpaceDN/>
        <w:adjustRightInd/>
        <w:textAlignment w:val="auto"/>
        <w:rPr>
          <w:color w:val="000000" w:themeColor="text1"/>
          <w:sz w:val="24"/>
          <w:szCs w:val="24"/>
        </w:rPr>
      </w:pPr>
      <w:bookmarkStart w:id="0" w:name="_Hlk508795324"/>
      <w:r w:rsidRPr="00683F93">
        <w:rPr>
          <w:color w:val="000000" w:themeColor="text1"/>
          <w:sz w:val="24"/>
          <w:szCs w:val="24"/>
        </w:rPr>
        <w:t xml:space="preserve">In accordance with 5CFR 1320.8(d), this information collection soliciting public comments was announced in the </w:t>
      </w:r>
      <w:r w:rsidRPr="00683F93">
        <w:rPr>
          <w:i/>
          <w:color w:val="000000" w:themeColor="text1"/>
          <w:sz w:val="24"/>
          <w:szCs w:val="24"/>
        </w:rPr>
        <w:t>Federal Register</w:t>
      </w:r>
      <w:r w:rsidRPr="00683F93">
        <w:rPr>
          <w:color w:val="000000" w:themeColor="text1"/>
          <w:sz w:val="24"/>
          <w:szCs w:val="24"/>
        </w:rPr>
        <w:t xml:space="preserve"> on </w:t>
      </w:r>
      <w:r w:rsidRPr="00683F93">
        <w:rPr>
          <w:b/>
          <w:color w:val="000000" w:themeColor="text1"/>
          <w:sz w:val="24"/>
          <w:szCs w:val="24"/>
        </w:rPr>
        <w:t>October 7, 2022</w:t>
      </w:r>
      <w:r w:rsidRPr="00683F93">
        <w:rPr>
          <w:color w:val="000000" w:themeColor="text1"/>
          <w:sz w:val="24"/>
          <w:szCs w:val="24"/>
        </w:rPr>
        <w:t xml:space="preserve">, Volume </w:t>
      </w:r>
      <w:r w:rsidRPr="00683F93">
        <w:rPr>
          <w:b/>
          <w:color w:val="000000" w:themeColor="text1"/>
          <w:sz w:val="24"/>
          <w:szCs w:val="24"/>
        </w:rPr>
        <w:t>87</w:t>
      </w:r>
      <w:r w:rsidRPr="00683F93">
        <w:rPr>
          <w:color w:val="000000" w:themeColor="text1"/>
          <w:sz w:val="24"/>
          <w:szCs w:val="24"/>
        </w:rPr>
        <w:t xml:space="preserve">, No. </w:t>
      </w:r>
      <w:r w:rsidRPr="00683F93">
        <w:rPr>
          <w:b/>
          <w:color w:val="000000" w:themeColor="text1"/>
          <w:sz w:val="24"/>
          <w:szCs w:val="24"/>
        </w:rPr>
        <w:t>194</w:t>
      </w:r>
      <w:r w:rsidRPr="00683F93">
        <w:rPr>
          <w:color w:val="000000" w:themeColor="text1"/>
          <w:sz w:val="24"/>
          <w:szCs w:val="24"/>
        </w:rPr>
        <w:t xml:space="preserve">, Pages </w:t>
      </w:r>
      <w:r w:rsidRPr="00683F93">
        <w:rPr>
          <w:b/>
          <w:color w:val="000000" w:themeColor="text1"/>
          <w:sz w:val="24"/>
          <w:szCs w:val="24"/>
        </w:rPr>
        <w:t>61095</w:t>
      </w:r>
      <w:r w:rsidRPr="00683F93">
        <w:rPr>
          <w:color w:val="000000" w:themeColor="text1"/>
          <w:sz w:val="24"/>
          <w:szCs w:val="24"/>
        </w:rPr>
        <w:t>.  (0) Comments received.</w:t>
      </w:r>
    </w:p>
    <w:bookmarkEnd w:id="0"/>
    <w:p w:rsidR="00040BF0" w:rsidRPr="00683F93" w:rsidP="00447AC9" w14:paraId="09EACC87" w14:textId="77777777">
      <w:pPr>
        <w:tabs>
          <w:tab w:val="left" w:pos="360"/>
        </w:tabs>
        <w:ind w:left="360" w:hanging="360"/>
        <w:rPr>
          <w:color w:val="000000" w:themeColor="text1"/>
          <w:sz w:val="22"/>
        </w:rPr>
      </w:pPr>
    </w:p>
    <w:p w:rsidR="00040BF0" w:rsidRPr="00683F93" w:rsidP="00447AC9" w14:paraId="0FB5123D" w14:textId="77777777">
      <w:pPr>
        <w:tabs>
          <w:tab w:val="left" w:pos="360"/>
        </w:tabs>
        <w:ind w:left="360" w:hanging="360"/>
        <w:rPr>
          <w:color w:val="000000" w:themeColor="text1"/>
          <w:sz w:val="22"/>
        </w:rPr>
      </w:pPr>
    </w:p>
    <w:p w:rsidR="00264EE2" w:rsidRPr="00683F93" w:rsidP="00040BF0" w14:paraId="308974AB" w14:textId="77777777">
      <w:pPr>
        <w:tabs>
          <w:tab w:val="left" w:pos="360"/>
        </w:tabs>
        <w:rPr>
          <w:color w:val="000000" w:themeColor="text1"/>
          <w:sz w:val="24"/>
          <w:szCs w:val="24"/>
        </w:rPr>
      </w:pPr>
      <w:r w:rsidRPr="00683F93">
        <w:rPr>
          <w:color w:val="000000" w:themeColor="text1"/>
          <w:sz w:val="22"/>
        </w:rPr>
        <w:t xml:space="preserve"> </w:t>
      </w:r>
      <w:r w:rsidRPr="00683F93" w:rsidR="00F6374F">
        <w:rPr>
          <w:bCs/>
          <w:color w:val="000000" w:themeColor="text1"/>
          <w:sz w:val="24"/>
          <w:szCs w:val="24"/>
        </w:rPr>
        <w:t>HUD</w:t>
      </w:r>
      <w:r w:rsidRPr="00683F93" w:rsidR="00F42314">
        <w:rPr>
          <w:color w:val="000000" w:themeColor="text1"/>
          <w:sz w:val="24"/>
          <w:szCs w:val="24"/>
        </w:rPr>
        <w:t xml:space="preserve"> is in constant contact with lenders regarding all phases of project applications.  Ad hoc comments are taken into consideration in developing processing requirements.  Input regarding public burden was received from HUD field staff.</w:t>
      </w:r>
    </w:p>
    <w:p w:rsidR="00264EE2" w:rsidRPr="00683F93" w:rsidP="00040BF0" w14:paraId="244D9B0A" w14:textId="77777777">
      <w:pPr>
        <w:pStyle w:val="HTMLPreformatted"/>
        <w:rPr>
          <w:rFonts w:ascii="Times New Roman" w:hAnsi="Times New Roman" w:cs="Times New Roman"/>
          <w:color w:val="000000" w:themeColor="text1"/>
          <w:sz w:val="24"/>
          <w:szCs w:val="24"/>
        </w:rPr>
      </w:pPr>
    </w:p>
    <w:p w:rsidR="00040BF0" w:rsidRPr="00683F93" w:rsidP="00040BF0" w14:paraId="50419D15" w14:textId="77777777">
      <w:pPr>
        <w:rPr>
          <w:b/>
          <w:color w:val="000000" w:themeColor="text1"/>
          <w:sz w:val="24"/>
          <w:szCs w:val="24"/>
        </w:rPr>
      </w:pPr>
      <w:r w:rsidRPr="00683F93">
        <w:rPr>
          <w:b/>
          <w:color w:val="000000" w:themeColor="text1"/>
          <w:sz w:val="24"/>
          <w:szCs w:val="24"/>
        </w:rPr>
        <w:t xml:space="preserve">9. Explain any decision to provide any payment or gift to respondents, other than renumeration of contractors or grantees. </w:t>
      </w:r>
    </w:p>
    <w:p w:rsidR="00040BF0" w:rsidRPr="00683F93" w:rsidP="00040BF0" w14:paraId="00340F4A" w14:textId="77777777">
      <w:pPr>
        <w:pStyle w:val="HTMLPreformatted"/>
        <w:rPr>
          <w:rFonts w:ascii="Times New Roman" w:hAnsi="Times New Roman" w:cs="Times New Roman"/>
          <w:color w:val="000000" w:themeColor="text1"/>
          <w:sz w:val="24"/>
          <w:szCs w:val="24"/>
        </w:rPr>
      </w:pPr>
      <w:r w:rsidRPr="00683F93">
        <w:rPr>
          <w:rFonts w:ascii="Times New Roman" w:hAnsi="Times New Roman"/>
          <w:color w:val="000000" w:themeColor="text1"/>
          <w:sz w:val="24"/>
          <w:szCs w:val="24"/>
        </w:rPr>
        <w:t>No payments or gifts of any kind are provided to respondents.</w:t>
      </w:r>
    </w:p>
    <w:p w:rsidR="00040BF0" w:rsidRPr="00683F93" w:rsidP="00040BF0" w14:paraId="683B497F" w14:textId="77777777">
      <w:pPr>
        <w:pStyle w:val="HTMLPreformatted"/>
        <w:rPr>
          <w:rFonts w:ascii="Times New Roman" w:hAnsi="Times New Roman" w:cs="Times New Roman"/>
          <w:color w:val="000000" w:themeColor="text1"/>
          <w:sz w:val="24"/>
          <w:szCs w:val="24"/>
        </w:rPr>
      </w:pPr>
    </w:p>
    <w:p w:rsidR="00745CA6" w:rsidRPr="00683F93" w:rsidP="00745CA6" w14:paraId="457F6F25"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10. Describe any assurance of confidentiality provided to respondents and the basis for the assurance in statute, regulation, or agency policy. </w:t>
      </w:r>
    </w:p>
    <w:p w:rsidR="00745CA6" w:rsidRPr="00683F93" w:rsidP="00745CA6" w14:paraId="44D7B6C8" w14:textId="77777777">
      <w:pPr>
        <w:ind w:left="360"/>
        <w:rPr>
          <w:color w:val="000000" w:themeColor="text1"/>
          <w:sz w:val="24"/>
          <w:szCs w:val="24"/>
        </w:rPr>
      </w:pPr>
    </w:p>
    <w:p w:rsidR="00F42314" w:rsidRPr="00683F93" w:rsidP="00745CA6" w14:paraId="228BF66B" w14:textId="77777777">
      <w:pPr>
        <w:ind w:left="360"/>
        <w:rPr>
          <w:color w:val="000000" w:themeColor="text1"/>
          <w:u w:val="single"/>
        </w:rPr>
      </w:pPr>
      <w:r w:rsidRPr="00683F93">
        <w:rPr>
          <w:color w:val="000000" w:themeColor="text1"/>
          <w:sz w:val="24"/>
          <w:szCs w:val="24"/>
        </w:rPr>
        <w:t>No assurances of confidentiality have been provided beyond those provisions of the Privacy Act and Freedom of Information Act</w:t>
      </w:r>
      <w:r w:rsidRPr="00683F93">
        <w:rPr>
          <w:b/>
          <w:bCs/>
          <w:color w:val="000000" w:themeColor="text1"/>
          <w:sz w:val="24"/>
          <w:szCs w:val="24"/>
        </w:rPr>
        <w:t>.</w:t>
      </w:r>
      <w:r w:rsidRPr="00683F93" w:rsidR="00745CA6">
        <w:rPr>
          <w:b/>
          <w:bCs/>
          <w:color w:val="000000" w:themeColor="text1"/>
          <w:sz w:val="24"/>
          <w:szCs w:val="24"/>
        </w:rPr>
        <w:t xml:space="preserve">  </w:t>
      </w:r>
      <w:r w:rsidRPr="00683F93" w:rsidR="00745CA6">
        <w:rPr>
          <w:color w:val="000000" w:themeColor="text1"/>
          <w:sz w:val="24"/>
          <w:szCs w:val="24"/>
        </w:rPr>
        <w:t>The collection does not contain information of sensitive nature.</w:t>
      </w:r>
    </w:p>
    <w:p w:rsidR="00F42314" w:rsidRPr="00683F93" w14:paraId="6E791F97" w14:textId="77777777">
      <w:pPr>
        <w:rPr>
          <w:color w:val="000000" w:themeColor="text1"/>
          <w:u w:val="single"/>
        </w:rPr>
      </w:pPr>
    </w:p>
    <w:p w:rsidR="00F42314" w:rsidRPr="00683F93" w:rsidP="00745CA6" w14:paraId="37BDD0F4" w14:textId="77777777">
      <w:pPr>
        <w:ind w:left="360"/>
        <w:rPr>
          <w:color w:val="000000" w:themeColor="text1"/>
          <w:u w:val="single"/>
        </w:rPr>
      </w:pPr>
      <w:r w:rsidRPr="00683F93">
        <w:rPr>
          <w:color w:val="000000" w:themeColor="text1"/>
          <w:sz w:val="24"/>
        </w:rPr>
        <w:t xml:space="preserve"> </w:t>
      </w:r>
    </w:p>
    <w:p w:rsidR="00745CA6" w:rsidRPr="00683F93" w:rsidP="00745CA6" w14:paraId="0805E61A"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45CA6" w:rsidRPr="00683F93" w:rsidP="00745CA6" w14:paraId="65593588" w14:textId="77777777">
      <w:pPr>
        <w:overflowPunct/>
        <w:autoSpaceDE/>
        <w:autoSpaceDN/>
        <w:adjustRightInd/>
        <w:textAlignment w:val="auto"/>
        <w:rPr>
          <w:bCs/>
          <w:color w:val="000000" w:themeColor="text1"/>
          <w:sz w:val="24"/>
          <w:szCs w:val="24"/>
        </w:rPr>
      </w:pPr>
      <w:r w:rsidRPr="00683F93">
        <w:rPr>
          <w:bCs/>
          <w:color w:val="000000" w:themeColor="text1"/>
          <w:sz w:val="24"/>
          <w:szCs w:val="24"/>
        </w:rPr>
        <w:t xml:space="preserve">The respondents are not asked questions of a sensitive nature, such as sexual behavior and attitudes, religious beliefs, and other matters that are commonly considered private.  </w:t>
      </w:r>
    </w:p>
    <w:p w:rsidR="00745CA6" w:rsidRPr="00683F93" w14:paraId="2A678430" w14:textId="77777777">
      <w:pPr>
        <w:rPr>
          <w:color w:val="000000" w:themeColor="text1"/>
          <w:u w:val="single"/>
        </w:rPr>
      </w:pPr>
    </w:p>
    <w:p w:rsidR="00745CA6" w:rsidRPr="00683F93" w14:paraId="604700D9" w14:textId="77777777">
      <w:pPr>
        <w:rPr>
          <w:color w:val="000000" w:themeColor="text1"/>
          <w:u w:val="single"/>
        </w:rPr>
      </w:pPr>
    </w:p>
    <w:tbl>
      <w:tblPr>
        <w:tblW w:w="0" w:type="auto"/>
        <w:tblInd w:w="108" w:type="dxa"/>
        <w:tblLook w:val="04A0"/>
      </w:tblPr>
      <w:tblGrid>
        <w:gridCol w:w="9360"/>
      </w:tblGrid>
      <w:tr w14:paraId="05AFE855" w14:textId="77777777" w:rsidTr="00D20868">
        <w:tblPrEx>
          <w:tblW w:w="0" w:type="auto"/>
          <w:tblInd w:w="108" w:type="dxa"/>
          <w:tblLook w:val="04A0"/>
        </w:tblPrEx>
        <w:tc>
          <w:tcPr>
            <w:tcW w:w="9360" w:type="dxa"/>
            <w:shd w:val="clear" w:color="auto" w:fill="auto"/>
          </w:tcPr>
          <w:p w:rsidR="00745CA6" w:rsidRPr="00683F93" w:rsidP="00745CA6" w14:paraId="1EF875C0"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12. Provide estimates of the hour burden of the collection of information. The statement should: </w:t>
            </w:r>
          </w:p>
          <w:p w:rsidR="00745CA6" w:rsidRPr="00683F93" w:rsidP="00745CA6" w14:paraId="3CCA1653" w14:textId="77777777">
            <w:pPr>
              <w:overflowPunct/>
              <w:autoSpaceDE/>
              <w:autoSpaceDN/>
              <w:adjustRightInd/>
              <w:textAlignment w:val="auto"/>
              <w:rPr>
                <w:b/>
                <w:color w:val="000000" w:themeColor="text1"/>
                <w:sz w:val="24"/>
                <w:szCs w:val="24"/>
              </w:rPr>
            </w:pPr>
          </w:p>
          <w:p w:rsidR="00745CA6" w:rsidRPr="00683F93" w:rsidP="00745CA6" w14:paraId="2FC7443F"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45CA6" w:rsidRPr="00683F93" w:rsidP="00745CA6" w14:paraId="0A91F36A" w14:textId="77777777">
            <w:pPr>
              <w:overflowPunct/>
              <w:autoSpaceDE/>
              <w:autoSpaceDN/>
              <w:adjustRightInd/>
              <w:textAlignment w:val="auto"/>
              <w:rPr>
                <w:color w:val="000000" w:themeColor="text1"/>
                <w:sz w:val="24"/>
                <w:szCs w:val="24"/>
              </w:rPr>
            </w:pPr>
          </w:p>
          <w:p w:rsidR="00745CA6" w:rsidRPr="00683F93" w:rsidP="00745CA6" w14:paraId="1C33EAC6"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If this request for approval covers more than one form, provide separate hour burden estimates for each </w:t>
            </w:r>
            <w:r w:rsidRPr="00683F93">
              <w:rPr>
                <w:color w:val="000000" w:themeColor="text1"/>
                <w:sz w:val="24"/>
                <w:szCs w:val="24"/>
              </w:rPr>
              <w:t>form</w:t>
            </w:r>
            <w:r w:rsidRPr="00683F93">
              <w:rPr>
                <w:color w:val="000000" w:themeColor="text1"/>
                <w:sz w:val="24"/>
                <w:szCs w:val="24"/>
              </w:rPr>
              <w:t xml:space="preserve"> and aggregate the hour burdens in Item 13 of OMB Form 83-I. </w:t>
            </w:r>
          </w:p>
          <w:p w:rsidR="00745CA6" w:rsidRPr="00683F93" w:rsidP="00745CA6" w14:paraId="0EC2696D" w14:textId="77777777">
            <w:pPr>
              <w:overflowPunct/>
              <w:autoSpaceDE/>
              <w:autoSpaceDN/>
              <w:adjustRightInd/>
              <w:textAlignment w:val="auto"/>
              <w:rPr>
                <w:color w:val="000000" w:themeColor="text1"/>
                <w:sz w:val="24"/>
                <w:szCs w:val="24"/>
              </w:rPr>
            </w:pPr>
          </w:p>
          <w:p w:rsidR="00745CA6" w:rsidRPr="00683F93" w:rsidP="00745CA6" w14:paraId="5353369D"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745CA6" w:rsidRPr="00683F93" w:rsidP="00745CA6" w14:paraId="3A6311D5" w14:textId="77777777">
            <w:pPr>
              <w:overflowPunct/>
              <w:autoSpaceDE/>
              <w:autoSpaceDN/>
              <w:adjustRightInd/>
              <w:textAlignment w:val="auto"/>
              <w:rPr>
                <w:b/>
                <w:color w:val="000000" w:themeColor="text1"/>
                <w:sz w:val="24"/>
                <w:szCs w:val="24"/>
              </w:rPr>
            </w:pPr>
          </w:p>
        </w:tc>
      </w:tr>
    </w:tbl>
    <w:p w:rsidR="00745CA6" w:rsidRPr="00683F93" w:rsidP="00745CA6" w14:paraId="4870B116" w14:textId="77777777">
      <w:pPr>
        <w:keepNext/>
        <w:rPr>
          <w:color w:val="000000" w:themeColor="text1"/>
          <w:sz w:val="24"/>
          <w:szCs w:val="24"/>
        </w:rPr>
      </w:pPr>
      <w:r w:rsidRPr="00683F93">
        <w:rPr>
          <w:color w:val="000000" w:themeColor="text1"/>
          <w:sz w:val="24"/>
          <w:szCs w:val="24"/>
        </w:rPr>
        <w:t xml:space="preserve"> Estimated burden hours and costs to the respondents:</w:t>
      </w:r>
    </w:p>
    <w:p w:rsidR="00745CA6" w:rsidRPr="00683F93" w:rsidP="00745CA6" w14:paraId="26467947" w14:textId="77777777">
      <w:pPr>
        <w:keepNext/>
        <w:ind w:left="360"/>
        <w:rPr>
          <w:color w:val="000000" w:themeColor="text1"/>
          <w:sz w:val="24"/>
          <w:szCs w:val="24"/>
        </w:rPr>
      </w:pPr>
    </w:p>
    <w:p w:rsidR="00F42314" w:rsidRPr="00683F93" w14:paraId="78A75BED" w14:textId="77777777">
      <w:pPr>
        <w:rPr>
          <w:color w:val="000000" w:themeColor="text1"/>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9"/>
        <w:gridCol w:w="1395"/>
        <w:gridCol w:w="1309"/>
        <w:gridCol w:w="1217"/>
        <w:gridCol w:w="1188"/>
        <w:gridCol w:w="1137"/>
        <w:gridCol w:w="848"/>
        <w:gridCol w:w="1329"/>
      </w:tblGrid>
      <w:tr w14:paraId="56503227" w14:textId="77777777" w:rsidTr="009C540A">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037" w:type="dxa"/>
          </w:tcPr>
          <w:p w:rsidR="00F42314" w:rsidRPr="00683F93" w14:paraId="477E89B6"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Information Collection</w:t>
            </w:r>
          </w:p>
        </w:tc>
        <w:tc>
          <w:tcPr>
            <w:tcW w:w="1395" w:type="dxa"/>
            <w:vAlign w:val="center"/>
          </w:tcPr>
          <w:p w:rsidR="00F42314" w:rsidRPr="00683F93" w14:paraId="5C75D346"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Number of Respondents</w:t>
            </w:r>
          </w:p>
        </w:tc>
        <w:tc>
          <w:tcPr>
            <w:tcW w:w="1328" w:type="dxa"/>
            <w:vAlign w:val="center"/>
          </w:tcPr>
          <w:p w:rsidR="00F42314" w:rsidRPr="00683F93" w14:paraId="2F36FB33"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Frequency of Responses </w:t>
            </w:r>
          </w:p>
        </w:tc>
        <w:tc>
          <w:tcPr>
            <w:tcW w:w="1212" w:type="dxa"/>
            <w:vAlign w:val="center"/>
          </w:tcPr>
          <w:p w:rsidR="00F42314" w:rsidRPr="00683F93" w14:paraId="6B4F940A"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Responses</w:t>
            </w:r>
            <w:r w:rsidRPr="00683F93" w:rsidR="00DB248F">
              <w:rPr>
                <w:rFonts w:ascii="Arial" w:hAnsi="Arial" w:cs="Arial"/>
                <w:color w:val="000000" w:themeColor="text1"/>
              </w:rPr>
              <w:t xml:space="preserve"> per Annum </w:t>
            </w:r>
          </w:p>
        </w:tc>
        <w:tc>
          <w:tcPr>
            <w:tcW w:w="1202" w:type="dxa"/>
            <w:vAlign w:val="center"/>
          </w:tcPr>
          <w:p w:rsidR="00F42314" w:rsidRPr="00683F93" w14:paraId="66EF2C88"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Burden </w:t>
            </w:r>
            <w:r w:rsidRPr="00683F93">
              <w:rPr>
                <w:rFonts w:ascii="Arial" w:hAnsi="Arial" w:cs="Arial"/>
                <w:color w:val="000000" w:themeColor="text1"/>
              </w:rPr>
              <w:t>Hours per Response</w:t>
            </w:r>
          </w:p>
        </w:tc>
        <w:tc>
          <w:tcPr>
            <w:tcW w:w="1193" w:type="dxa"/>
            <w:vAlign w:val="center"/>
          </w:tcPr>
          <w:p w:rsidR="00F42314" w:rsidRPr="00683F93" w14:paraId="008C42A3"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 </w:t>
            </w:r>
            <w:r w:rsidRPr="00683F93" w:rsidR="009C540A">
              <w:rPr>
                <w:rFonts w:ascii="Arial" w:hAnsi="Arial" w:cs="Arial"/>
                <w:color w:val="000000" w:themeColor="text1"/>
              </w:rPr>
              <w:t>A</w:t>
            </w:r>
            <w:r w:rsidRPr="00683F93">
              <w:rPr>
                <w:rFonts w:ascii="Arial" w:hAnsi="Arial" w:cs="Arial"/>
                <w:color w:val="000000" w:themeColor="text1"/>
              </w:rPr>
              <w:t>nnual Burden</w:t>
            </w:r>
            <w:r w:rsidRPr="00683F93" w:rsidR="00DB248F">
              <w:rPr>
                <w:rFonts w:ascii="Arial" w:hAnsi="Arial" w:cs="Arial"/>
                <w:color w:val="000000" w:themeColor="text1"/>
              </w:rPr>
              <w:t xml:space="preserve"> Hours </w:t>
            </w:r>
          </w:p>
        </w:tc>
        <w:tc>
          <w:tcPr>
            <w:tcW w:w="852" w:type="dxa"/>
            <w:vAlign w:val="center"/>
          </w:tcPr>
          <w:p w:rsidR="00F42314" w:rsidRPr="00683F93" w14:paraId="1FE529E7"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Hourly Cost </w:t>
            </w:r>
          </w:p>
        </w:tc>
        <w:tc>
          <w:tcPr>
            <w:tcW w:w="1329" w:type="dxa"/>
            <w:vAlign w:val="center"/>
          </w:tcPr>
          <w:p w:rsidR="00F42314" w:rsidRPr="00683F93" w14:paraId="35854FB9"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Total Annual Cost</w:t>
            </w:r>
          </w:p>
        </w:tc>
      </w:tr>
      <w:tr w14:paraId="37C8A56A" w14:textId="77777777" w:rsidTr="009C540A">
        <w:tblPrEx>
          <w:tblW w:w="0" w:type="auto"/>
          <w:tblInd w:w="468" w:type="dxa"/>
          <w:tblLook w:val="0000"/>
        </w:tblPrEx>
        <w:tc>
          <w:tcPr>
            <w:tcW w:w="2037" w:type="dxa"/>
          </w:tcPr>
          <w:p w:rsidR="00F42314" w:rsidRPr="00683F93" w14:paraId="5DA0DE54" w14:textId="77777777">
            <w:pPr>
              <w:pStyle w:val="Header"/>
              <w:tabs>
                <w:tab w:val="clear" w:pos="4320"/>
                <w:tab w:val="clear" w:pos="8640"/>
              </w:tabs>
              <w:rPr>
                <w:rFonts w:ascii="Arial" w:hAnsi="Arial" w:cs="Arial"/>
                <w:color w:val="000000" w:themeColor="text1"/>
              </w:rPr>
            </w:pPr>
            <w:r w:rsidRPr="00683F93">
              <w:rPr>
                <w:rFonts w:ascii="Arial" w:hAnsi="Arial" w:cs="Arial"/>
                <w:color w:val="000000" w:themeColor="text1"/>
              </w:rPr>
              <w:t>Form HUD 92330, including audited balance sheet</w:t>
            </w:r>
          </w:p>
        </w:tc>
        <w:tc>
          <w:tcPr>
            <w:tcW w:w="1395" w:type="dxa"/>
            <w:vAlign w:val="center"/>
          </w:tcPr>
          <w:p w:rsidR="00F42314" w:rsidRPr="00683F93" w:rsidP="007315C7" w14:paraId="7F7E2663" w14:textId="77777777">
            <w:pPr>
              <w:jc w:val="center"/>
              <w:rPr>
                <w:rFonts w:ascii="Arial" w:hAnsi="Arial" w:cs="Arial"/>
                <w:color w:val="000000" w:themeColor="text1"/>
              </w:rPr>
            </w:pPr>
            <w:r w:rsidRPr="00683F93">
              <w:rPr>
                <w:rFonts w:ascii="Arial" w:hAnsi="Arial" w:cs="Arial"/>
                <w:color w:val="000000" w:themeColor="text1"/>
              </w:rPr>
              <w:t>1,168</w:t>
            </w:r>
          </w:p>
        </w:tc>
        <w:tc>
          <w:tcPr>
            <w:tcW w:w="1328" w:type="dxa"/>
            <w:vAlign w:val="center"/>
          </w:tcPr>
          <w:p w:rsidR="00F42314" w:rsidRPr="00683F93" w14:paraId="2593970E" w14:textId="77777777">
            <w:pPr>
              <w:jc w:val="center"/>
              <w:rPr>
                <w:rFonts w:ascii="Arial" w:hAnsi="Arial" w:cs="Arial"/>
                <w:color w:val="000000" w:themeColor="text1"/>
              </w:rPr>
            </w:pPr>
            <w:r w:rsidRPr="00683F93">
              <w:rPr>
                <w:rFonts w:ascii="Arial" w:hAnsi="Arial" w:cs="Arial"/>
                <w:color w:val="000000" w:themeColor="text1"/>
              </w:rPr>
              <w:t>1</w:t>
            </w:r>
          </w:p>
        </w:tc>
        <w:tc>
          <w:tcPr>
            <w:tcW w:w="1212" w:type="dxa"/>
            <w:vAlign w:val="center"/>
          </w:tcPr>
          <w:p w:rsidR="00F42314" w:rsidRPr="00683F93" w:rsidP="00E1600A" w14:paraId="2A16CDED" w14:textId="77777777">
            <w:pPr>
              <w:rPr>
                <w:rFonts w:ascii="Arial" w:hAnsi="Arial" w:cs="Arial"/>
                <w:color w:val="000000" w:themeColor="text1"/>
              </w:rPr>
            </w:pPr>
            <w:r w:rsidRPr="00683F93">
              <w:rPr>
                <w:rFonts w:ascii="Arial" w:hAnsi="Arial" w:cs="Arial"/>
                <w:color w:val="000000" w:themeColor="text1"/>
              </w:rPr>
              <w:t xml:space="preserve">   </w:t>
            </w:r>
            <w:r w:rsidRPr="00683F93" w:rsidR="009C540A">
              <w:rPr>
                <w:rFonts w:ascii="Arial" w:hAnsi="Arial" w:cs="Arial"/>
                <w:color w:val="000000" w:themeColor="text1"/>
              </w:rPr>
              <w:t>1,168</w:t>
            </w:r>
            <w:r w:rsidRPr="00683F93">
              <w:rPr>
                <w:rFonts w:ascii="Arial" w:hAnsi="Arial" w:cs="Arial"/>
                <w:color w:val="000000" w:themeColor="text1"/>
              </w:rPr>
              <w:t xml:space="preserve">  </w:t>
            </w:r>
          </w:p>
        </w:tc>
        <w:tc>
          <w:tcPr>
            <w:tcW w:w="1202" w:type="dxa"/>
            <w:vAlign w:val="center"/>
          </w:tcPr>
          <w:p w:rsidR="00F42314" w:rsidRPr="00683F93" w:rsidP="00E1600A" w14:paraId="47E6CEC5" w14:textId="77777777">
            <w:pPr>
              <w:rPr>
                <w:rFonts w:ascii="Arial" w:hAnsi="Arial" w:cs="Arial"/>
                <w:color w:val="000000" w:themeColor="text1"/>
              </w:rPr>
            </w:pPr>
            <w:r w:rsidRPr="00683F93">
              <w:rPr>
                <w:rFonts w:ascii="Arial" w:hAnsi="Arial" w:cs="Arial"/>
                <w:color w:val="000000" w:themeColor="text1"/>
              </w:rPr>
              <w:t xml:space="preserve">    8</w:t>
            </w:r>
          </w:p>
        </w:tc>
        <w:tc>
          <w:tcPr>
            <w:tcW w:w="1193" w:type="dxa"/>
            <w:vAlign w:val="center"/>
          </w:tcPr>
          <w:p w:rsidR="00F42314" w:rsidRPr="00683F93" w:rsidP="00B32C9D" w14:paraId="7C9734F4" w14:textId="77777777">
            <w:pPr>
              <w:jc w:val="center"/>
              <w:rPr>
                <w:rFonts w:ascii="Arial" w:hAnsi="Arial" w:cs="Arial"/>
                <w:color w:val="000000" w:themeColor="text1"/>
              </w:rPr>
            </w:pPr>
            <w:r w:rsidRPr="00683F93">
              <w:rPr>
                <w:rFonts w:ascii="Arial" w:hAnsi="Arial" w:cs="Arial"/>
                <w:color w:val="000000" w:themeColor="text1"/>
              </w:rPr>
              <w:t>9,344</w:t>
            </w:r>
          </w:p>
        </w:tc>
        <w:tc>
          <w:tcPr>
            <w:tcW w:w="852" w:type="dxa"/>
            <w:vAlign w:val="center"/>
          </w:tcPr>
          <w:p w:rsidR="00F42314" w:rsidRPr="00683F93" w:rsidP="00380BF6" w14:paraId="4FD7693A" w14:textId="77777777">
            <w:pPr>
              <w:jc w:val="center"/>
              <w:rPr>
                <w:rFonts w:ascii="Arial" w:hAnsi="Arial" w:cs="Arial"/>
                <w:color w:val="000000" w:themeColor="text1"/>
              </w:rPr>
            </w:pPr>
            <w:r w:rsidRPr="00683F93">
              <w:rPr>
                <w:rFonts w:ascii="Arial" w:hAnsi="Arial" w:cs="Arial"/>
                <w:color w:val="000000" w:themeColor="text1"/>
              </w:rPr>
              <w:t>$</w:t>
            </w:r>
            <w:r w:rsidRPr="00683F93" w:rsidR="008C3C99">
              <w:rPr>
                <w:rFonts w:ascii="Arial" w:hAnsi="Arial" w:cs="Arial"/>
                <w:color w:val="000000" w:themeColor="text1"/>
              </w:rPr>
              <w:t>3</w:t>
            </w:r>
            <w:r w:rsidRPr="00683F93" w:rsidR="009A672F">
              <w:rPr>
                <w:rFonts w:ascii="Arial" w:hAnsi="Arial" w:cs="Arial"/>
                <w:color w:val="000000" w:themeColor="text1"/>
              </w:rPr>
              <w:t>9.79</w:t>
            </w:r>
          </w:p>
        </w:tc>
        <w:tc>
          <w:tcPr>
            <w:tcW w:w="1329" w:type="dxa"/>
            <w:vAlign w:val="center"/>
          </w:tcPr>
          <w:p w:rsidR="00F42314" w:rsidRPr="00683F93" w:rsidP="00380BF6" w14:paraId="15ECC830" w14:textId="77777777">
            <w:pPr>
              <w:jc w:val="center"/>
              <w:rPr>
                <w:rFonts w:ascii="Arial" w:hAnsi="Arial" w:cs="Arial"/>
                <w:color w:val="000000" w:themeColor="text1"/>
              </w:rPr>
            </w:pPr>
            <w:r w:rsidRPr="00683F93">
              <w:rPr>
                <w:rFonts w:ascii="Arial" w:hAnsi="Arial" w:cs="Arial"/>
                <w:color w:val="000000" w:themeColor="text1"/>
              </w:rPr>
              <w:t>$</w:t>
            </w:r>
            <w:r w:rsidRPr="00683F93" w:rsidR="009A672F">
              <w:rPr>
                <w:rFonts w:ascii="Arial" w:hAnsi="Arial" w:cs="Arial"/>
                <w:color w:val="000000" w:themeColor="text1"/>
              </w:rPr>
              <w:t>371,797.76</w:t>
            </w:r>
          </w:p>
        </w:tc>
      </w:tr>
    </w:tbl>
    <w:p w:rsidR="00F42314" w:rsidRPr="00683F93" w:rsidP="009C540A" w14:paraId="277EB464" w14:textId="77777777">
      <w:pPr>
        <w:pStyle w:val="BodyTextIndent"/>
        <w:rPr>
          <w:color w:val="000000" w:themeColor="text1"/>
        </w:rPr>
      </w:pPr>
      <w:r w:rsidRPr="00683F93">
        <w:rPr>
          <w:color w:val="000000" w:themeColor="text1"/>
        </w:rPr>
        <w:t xml:space="preserve">The </w:t>
      </w:r>
      <w:r w:rsidRPr="00683F93" w:rsidR="008C3C99">
        <w:rPr>
          <w:color w:val="000000" w:themeColor="text1"/>
        </w:rPr>
        <w:t xml:space="preserve">Estimated </w:t>
      </w:r>
      <w:r w:rsidRPr="00683F93">
        <w:rPr>
          <w:color w:val="000000" w:themeColor="text1"/>
        </w:rPr>
        <w:t>hourly</w:t>
      </w:r>
      <w:r w:rsidRPr="00683F93" w:rsidR="008C3C99">
        <w:rPr>
          <w:color w:val="000000" w:themeColor="text1"/>
        </w:rPr>
        <w:t xml:space="preserve"> </w:t>
      </w:r>
      <w:r w:rsidRPr="00683F93">
        <w:rPr>
          <w:color w:val="000000" w:themeColor="text1"/>
        </w:rPr>
        <w:t xml:space="preserve">rate is </w:t>
      </w:r>
      <w:r w:rsidRPr="00683F93">
        <w:rPr>
          <w:color w:val="000000" w:themeColor="text1"/>
        </w:rPr>
        <w:t xml:space="preserve">based on an </w:t>
      </w:r>
      <w:r w:rsidRPr="00683F93">
        <w:rPr>
          <w:color w:val="000000" w:themeColor="text1"/>
        </w:rPr>
        <w:t>Accountant from the Bureau of Labor Statistics, May 20</w:t>
      </w:r>
      <w:r w:rsidRPr="00683F93" w:rsidR="009A672F">
        <w:rPr>
          <w:color w:val="000000" w:themeColor="text1"/>
        </w:rPr>
        <w:t>20</w:t>
      </w:r>
      <w:r w:rsidRPr="00683F93">
        <w:rPr>
          <w:color w:val="000000" w:themeColor="text1"/>
        </w:rPr>
        <w:t xml:space="preserve">. </w:t>
      </w:r>
    </w:p>
    <w:p w:rsidR="009C540A" w:rsidRPr="00683F93" w:rsidP="009C540A" w14:paraId="42DB34D9" w14:textId="77777777">
      <w:pPr>
        <w:pStyle w:val="BodyTextIndent"/>
        <w:rPr>
          <w:color w:val="000000" w:themeColor="text1"/>
          <w:u w:val="single"/>
        </w:rPr>
      </w:pPr>
    </w:p>
    <w:p w:rsidR="00F42314" w:rsidRPr="00683F93" w:rsidP="00745CA6" w14:paraId="6E873E79" w14:textId="77777777">
      <w:pPr>
        <w:rPr>
          <w:color w:val="000000" w:themeColor="text1"/>
          <w:sz w:val="24"/>
        </w:rPr>
      </w:pPr>
      <w:r w:rsidRPr="00683F93">
        <w:rPr>
          <w:color w:val="000000" w:themeColor="text1"/>
          <w:sz w:val="24"/>
        </w:rPr>
        <w:t>There is no annual cost burden to respondents resulting from the collection of information.</w:t>
      </w:r>
    </w:p>
    <w:p w:rsidR="00F42314" w:rsidRPr="00683F93" w14:paraId="55749966" w14:textId="77777777">
      <w:pPr>
        <w:rPr>
          <w:color w:val="000000" w:themeColor="text1"/>
          <w:sz w:val="24"/>
        </w:rPr>
      </w:pPr>
    </w:p>
    <w:p w:rsidR="00466635" w:rsidRPr="00683F93" w:rsidP="00466635" w14:paraId="752DB831" w14:textId="77777777">
      <w:pPr>
        <w:overflowPunct/>
        <w:autoSpaceDE/>
        <w:autoSpaceDN/>
        <w:adjustRightInd/>
        <w:textAlignment w:val="auto"/>
        <w:rPr>
          <w:b/>
          <w:color w:val="000000" w:themeColor="text1"/>
          <w:sz w:val="24"/>
          <w:szCs w:val="24"/>
        </w:rPr>
      </w:pPr>
      <w:r w:rsidRPr="00683F93">
        <w:rPr>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466635" w:rsidRPr="00683F93" w:rsidP="00466635" w14:paraId="76001D58" w14:textId="77777777">
      <w:pPr>
        <w:overflowPunct/>
        <w:autoSpaceDE/>
        <w:autoSpaceDN/>
        <w:adjustRightInd/>
        <w:textAlignment w:val="auto"/>
        <w:rPr>
          <w:b/>
          <w:color w:val="000000" w:themeColor="text1"/>
          <w:sz w:val="24"/>
          <w:szCs w:val="24"/>
        </w:rPr>
      </w:pPr>
    </w:p>
    <w:p w:rsidR="00466635" w:rsidRPr="00683F93" w:rsidP="00466635" w14:paraId="7D72A862"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683F93">
        <w:rPr>
          <w:color w:val="000000" w:themeColor="text1"/>
          <w:sz w:val="24"/>
          <w:szCs w:val="24"/>
        </w:rPr>
        <w:t>take into account</w:t>
      </w:r>
      <w:r w:rsidRPr="00683F93">
        <w:rPr>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83F93">
        <w:rPr>
          <w:color w:val="000000" w:themeColor="text1"/>
          <w:sz w:val="24"/>
          <w:szCs w:val="24"/>
        </w:rPr>
        <w:t>time period</w:t>
      </w:r>
      <w:r w:rsidRPr="00683F93">
        <w:rPr>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r w:rsidRPr="00683F93">
        <w:rPr>
          <w:color w:val="000000" w:themeColor="text1"/>
          <w:sz w:val="24"/>
          <w:szCs w:val="24"/>
        </w:rPr>
        <w:t>drilling</w:t>
      </w:r>
      <w:r w:rsidRPr="00683F93">
        <w:rPr>
          <w:color w:val="000000" w:themeColor="text1"/>
          <w:sz w:val="24"/>
          <w:szCs w:val="24"/>
        </w:rPr>
        <w:t xml:space="preserve"> and testing equipment; and record storage facilities. </w:t>
      </w:r>
    </w:p>
    <w:p w:rsidR="00466635" w:rsidRPr="00683F93" w:rsidP="00466635" w14:paraId="32B2BBB4" w14:textId="77777777">
      <w:pPr>
        <w:overflowPunct/>
        <w:autoSpaceDE/>
        <w:autoSpaceDN/>
        <w:adjustRightInd/>
        <w:textAlignment w:val="auto"/>
        <w:rPr>
          <w:color w:val="000000" w:themeColor="text1"/>
          <w:sz w:val="24"/>
          <w:szCs w:val="24"/>
        </w:rPr>
      </w:pPr>
    </w:p>
    <w:p w:rsidR="00466635" w:rsidRPr="00683F93" w:rsidP="00466635" w14:paraId="0DD7A4DC"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683F93">
        <w:rPr>
          <w:color w:val="000000" w:themeColor="text1"/>
          <w:sz w:val="24"/>
          <w:szCs w:val="24"/>
        </w:rPr>
        <w:t>process</w:t>
      </w:r>
      <w:r w:rsidRPr="00683F93">
        <w:rPr>
          <w:color w:val="000000" w:themeColor="text1"/>
          <w:sz w:val="24"/>
          <w:szCs w:val="24"/>
        </w:rPr>
        <w:t xml:space="preserve"> and use existing economic or regulatory impact analysis associated with the rulemaking containing the information collection, as appropriate. </w:t>
      </w:r>
    </w:p>
    <w:p w:rsidR="00466635" w:rsidRPr="00683F93" w:rsidP="00466635" w14:paraId="24DC55CE" w14:textId="77777777">
      <w:pPr>
        <w:overflowPunct/>
        <w:autoSpaceDE/>
        <w:autoSpaceDN/>
        <w:adjustRightInd/>
        <w:textAlignment w:val="auto"/>
        <w:rPr>
          <w:color w:val="000000" w:themeColor="text1"/>
          <w:sz w:val="24"/>
          <w:szCs w:val="24"/>
        </w:rPr>
      </w:pPr>
    </w:p>
    <w:p w:rsidR="00466635" w:rsidRPr="00683F93" w:rsidP="00466635" w14:paraId="33D4770F"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45CA6" w:rsidRPr="00683F93" w:rsidP="00745CA6" w14:paraId="78E84F44" w14:textId="77777777">
      <w:pPr>
        <w:rPr>
          <w:color w:val="000000" w:themeColor="text1"/>
          <w:sz w:val="24"/>
        </w:rPr>
      </w:pPr>
    </w:p>
    <w:p w:rsidR="00745CA6" w:rsidRPr="00683F93" w:rsidP="00745CA6" w14:paraId="0335D539" w14:textId="77777777">
      <w:pPr>
        <w:rPr>
          <w:color w:val="000000" w:themeColor="text1"/>
          <w:sz w:val="24"/>
        </w:rPr>
      </w:pPr>
    </w:p>
    <w:p w:rsidR="00745CA6" w:rsidRPr="00683F93" w:rsidP="00745CA6" w14:paraId="4341A660" w14:textId="77777777">
      <w:pPr>
        <w:rPr>
          <w:color w:val="000000" w:themeColor="text1"/>
          <w:sz w:val="24"/>
        </w:rPr>
      </w:pPr>
    </w:p>
    <w:p w:rsidR="00745CA6" w:rsidRPr="00683F93" w:rsidP="00745CA6" w14:paraId="48989355" w14:textId="77777777">
      <w:pPr>
        <w:rPr>
          <w:color w:val="000000" w:themeColor="text1"/>
          <w:sz w:val="24"/>
        </w:rPr>
      </w:pPr>
    </w:p>
    <w:p w:rsidR="00745CA6" w:rsidRPr="00683F93" w:rsidP="00745CA6" w14:paraId="20590849" w14:textId="77777777">
      <w:pPr>
        <w:rPr>
          <w:color w:val="000000" w:themeColor="text1"/>
          <w:sz w:val="24"/>
        </w:rPr>
      </w:pPr>
    </w:p>
    <w:p w:rsidR="00745CA6" w:rsidRPr="00683F93" w:rsidP="00745CA6" w14:paraId="129F9B49" w14:textId="77777777">
      <w:pPr>
        <w:rPr>
          <w:color w:val="000000" w:themeColor="text1"/>
          <w:sz w:val="24"/>
        </w:rPr>
      </w:pPr>
    </w:p>
    <w:p w:rsidR="00745CA6" w:rsidRPr="00683F93" w:rsidP="00466635" w14:paraId="1014ECEE" w14:textId="77777777">
      <w:pPr>
        <w:ind w:left="720"/>
        <w:rPr>
          <w:color w:val="000000" w:themeColor="text1"/>
          <w:sz w:val="24"/>
        </w:rPr>
      </w:pPr>
    </w:p>
    <w:p w:rsidR="00466635" w:rsidRPr="00683F93" w:rsidP="004E3A3B" w14:paraId="0DD21CCA" w14:textId="77777777">
      <w:pPr>
        <w:ind w:left="180"/>
        <w:rPr>
          <w:b/>
          <w:color w:val="000000" w:themeColor="text1"/>
          <w:sz w:val="24"/>
          <w:szCs w:val="24"/>
        </w:rPr>
      </w:pPr>
      <w:r w:rsidRPr="00683F93">
        <w:rPr>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45CA6" w:rsidRPr="00683F93" w:rsidP="004E3A3B" w14:paraId="50A718F2" w14:textId="77777777">
      <w:pPr>
        <w:ind w:left="180"/>
        <w:rPr>
          <w:color w:val="000000" w:themeColor="text1"/>
          <w:sz w:val="24"/>
        </w:rPr>
      </w:pPr>
    </w:p>
    <w:p w:rsidR="00745CA6" w:rsidRPr="00683F93" w:rsidP="004E3A3B" w14:paraId="3574D228" w14:textId="77777777">
      <w:pPr>
        <w:ind w:left="180"/>
        <w:rPr>
          <w:color w:val="000000" w:themeColor="text1"/>
          <w:sz w:val="24"/>
        </w:rPr>
      </w:pPr>
    </w:p>
    <w:p w:rsidR="00F42314" w:rsidRPr="00683F93" w:rsidP="004E3A3B" w14:paraId="5DAF24FE" w14:textId="77777777">
      <w:pPr>
        <w:ind w:left="180"/>
        <w:rPr>
          <w:color w:val="000000" w:themeColor="text1"/>
          <w:sz w:val="24"/>
        </w:rPr>
      </w:pPr>
      <w:r w:rsidRPr="00683F93">
        <w:rPr>
          <w:color w:val="000000" w:themeColor="text1"/>
          <w:sz w:val="24"/>
        </w:rPr>
        <w:t>Projected Annual Costs to the Federal Government</w:t>
      </w:r>
    </w:p>
    <w:p w:rsidR="00F42314" w:rsidRPr="00683F93" w14:paraId="232B03A9" w14:textId="77777777">
      <w:pPr>
        <w:rPr>
          <w:color w:val="000000" w:themeColor="text1"/>
        </w:rPr>
      </w:pPr>
      <w:r w:rsidRPr="00683F93">
        <w:rPr>
          <w:color w:val="000000" w:themeColor="text1"/>
          <w:sz w:val="24"/>
        </w:rPr>
        <w:t xml:space="preserve">  </w:t>
      </w:r>
    </w:p>
    <w:tbl>
      <w:tblPr>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gridCol w:w="1395"/>
        <w:gridCol w:w="1319"/>
        <w:gridCol w:w="1297"/>
        <w:gridCol w:w="1117"/>
        <w:gridCol w:w="1195"/>
        <w:gridCol w:w="852"/>
        <w:gridCol w:w="1581"/>
      </w:tblGrid>
      <w:tr w14:paraId="0A62E33D" w14:textId="77777777" w:rsidTr="009A672F">
        <w:tblPrEx>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044" w:type="dxa"/>
          </w:tcPr>
          <w:p w:rsidR="00F42314" w:rsidRPr="00683F93" w14:paraId="443826A3"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Information Collection </w:t>
            </w:r>
          </w:p>
        </w:tc>
        <w:tc>
          <w:tcPr>
            <w:tcW w:w="1395" w:type="dxa"/>
            <w:vAlign w:val="center"/>
          </w:tcPr>
          <w:p w:rsidR="00F42314" w:rsidRPr="00683F93" w14:paraId="392F168E"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Number of Respondents</w:t>
            </w:r>
          </w:p>
        </w:tc>
        <w:tc>
          <w:tcPr>
            <w:tcW w:w="1319" w:type="dxa"/>
            <w:vAlign w:val="center"/>
          </w:tcPr>
          <w:p w:rsidR="00F42314" w:rsidRPr="00683F93" w14:paraId="5E81092B"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Frequency of Response</w:t>
            </w:r>
          </w:p>
        </w:tc>
        <w:tc>
          <w:tcPr>
            <w:tcW w:w="1297" w:type="dxa"/>
            <w:vAlign w:val="center"/>
          </w:tcPr>
          <w:p w:rsidR="009A672F" w:rsidRPr="00683F93" w14:paraId="1749B0AF"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Responses</w:t>
            </w:r>
          </w:p>
          <w:p w:rsidR="00F42314" w:rsidRPr="00683F93" w14:paraId="010BD8EF"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per </w:t>
            </w:r>
            <w:r w:rsidRPr="00683F93">
              <w:rPr>
                <w:rFonts w:ascii="Arial" w:hAnsi="Arial" w:cs="Arial"/>
                <w:color w:val="000000" w:themeColor="text1"/>
              </w:rPr>
              <w:t>Responses</w:t>
            </w:r>
          </w:p>
        </w:tc>
        <w:tc>
          <w:tcPr>
            <w:tcW w:w="1117" w:type="dxa"/>
            <w:vAlign w:val="center"/>
          </w:tcPr>
          <w:p w:rsidR="00F42314" w:rsidRPr="00683F93" w14:paraId="3E8DF482"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Burden </w:t>
            </w:r>
            <w:r w:rsidRPr="00683F93">
              <w:rPr>
                <w:rFonts w:ascii="Arial" w:hAnsi="Arial" w:cs="Arial"/>
                <w:color w:val="000000" w:themeColor="text1"/>
              </w:rPr>
              <w:t>Hours per Response</w:t>
            </w:r>
          </w:p>
        </w:tc>
        <w:tc>
          <w:tcPr>
            <w:tcW w:w="1195" w:type="dxa"/>
            <w:vAlign w:val="center"/>
          </w:tcPr>
          <w:p w:rsidR="009A672F" w:rsidRPr="00683F93" w14:paraId="66E9F518"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 Annual Burden</w:t>
            </w:r>
          </w:p>
          <w:p w:rsidR="00F42314" w:rsidRPr="00683F93" w14:paraId="386C852B"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Hours</w:t>
            </w:r>
          </w:p>
        </w:tc>
        <w:tc>
          <w:tcPr>
            <w:tcW w:w="852" w:type="dxa"/>
            <w:vAlign w:val="center"/>
          </w:tcPr>
          <w:p w:rsidR="00F42314" w:rsidRPr="00683F93" w14:paraId="363D883B"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Hourly </w:t>
            </w:r>
          </w:p>
          <w:p w:rsidR="009A672F" w:rsidRPr="00683F93" w14:paraId="71A00F74"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 xml:space="preserve">Cost </w:t>
            </w:r>
          </w:p>
        </w:tc>
        <w:tc>
          <w:tcPr>
            <w:tcW w:w="1581" w:type="dxa"/>
            <w:vAlign w:val="center"/>
          </w:tcPr>
          <w:p w:rsidR="00F42314" w:rsidRPr="00683F93" w:rsidP="009A672F" w14:paraId="247DD50C" w14:textId="77777777">
            <w:pPr>
              <w:pStyle w:val="Header"/>
              <w:tabs>
                <w:tab w:val="clear" w:pos="4320"/>
                <w:tab w:val="clear" w:pos="8640"/>
              </w:tabs>
              <w:jc w:val="center"/>
              <w:rPr>
                <w:rFonts w:ascii="Arial" w:hAnsi="Arial" w:cs="Arial"/>
                <w:color w:val="000000" w:themeColor="text1"/>
              </w:rPr>
            </w:pPr>
            <w:r w:rsidRPr="00683F93">
              <w:rPr>
                <w:rFonts w:ascii="Arial" w:hAnsi="Arial" w:cs="Arial"/>
                <w:color w:val="000000" w:themeColor="text1"/>
              </w:rPr>
              <w:t>Total Annua</w:t>
            </w:r>
            <w:r w:rsidRPr="00683F93" w:rsidR="009A672F">
              <w:rPr>
                <w:rFonts w:ascii="Arial" w:hAnsi="Arial" w:cs="Arial"/>
                <w:color w:val="000000" w:themeColor="text1"/>
              </w:rPr>
              <w:t xml:space="preserve">l </w:t>
            </w:r>
            <w:r w:rsidRPr="00683F93">
              <w:rPr>
                <w:rFonts w:ascii="Arial" w:hAnsi="Arial" w:cs="Arial"/>
                <w:color w:val="000000" w:themeColor="text1"/>
              </w:rPr>
              <w:t>Cost</w:t>
            </w:r>
          </w:p>
        </w:tc>
      </w:tr>
      <w:tr w14:paraId="6110BC61" w14:textId="77777777" w:rsidTr="009A672F">
        <w:tblPrEx>
          <w:tblW w:w="10800" w:type="dxa"/>
          <w:tblInd w:w="468" w:type="dxa"/>
          <w:tblLook w:val="0000"/>
        </w:tblPrEx>
        <w:tc>
          <w:tcPr>
            <w:tcW w:w="2044" w:type="dxa"/>
          </w:tcPr>
          <w:p w:rsidR="00F42314" w:rsidRPr="00683F93" w14:paraId="0EB43F47" w14:textId="77777777">
            <w:pPr>
              <w:pStyle w:val="Header"/>
              <w:tabs>
                <w:tab w:val="clear" w:pos="4320"/>
                <w:tab w:val="clear" w:pos="8640"/>
              </w:tabs>
              <w:rPr>
                <w:rFonts w:ascii="Arial" w:hAnsi="Arial" w:cs="Arial"/>
                <w:color w:val="000000" w:themeColor="text1"/>
              </w:rPr>
            </w:pPr>
            <w:r w:rsidRPr="00683F93">
              <w:rPr>
                <w:rFonts w:ascii="Arial" w:hAnsi="Arial" w:cs="Arial"/>
                <w:color w:val="000000" w:themeColor="text1"/>
              </w:rPr>
              <w:t>Form HUD 92330, including audited balance sheet</w:t>
            </w:r>
          </w:p>
        </w:tc>
        <w:tc>
          <w:tcPr>
            <w:tcW w:w="1395" w:type="dxa"/>
            <w:vAlign w:val="center"/>
          </w:tcPr>
          <w:p w:rsidR="00F42314" w:rsidRPr="00683F93" w:rsidP="00380BF6" w14:paraId="33EC4F66" w14:textId="77777777">
            <w:pPr>
              <w:jc w:val="center"/>
              <w:rPr>
                <w:rFonts w:ascii="Arial" w:hAnsi="Arial" w:cs="Arial"/>
                <w:color w:val="000000" w:themeColor="text1"/>
              </w:rPr>
            </w:pPr>
            <w:r w:rsidRPr="00683F93">
              <w:rPr>
                <w:rFonts w:ascii="Arial" w:hAnsi="Arial" w:cs="Arial"/>
                <w:color w:val="000000" w:themeColor="text1"/>
              </w:rPr>
              <w:t>1,168</w:t>
            </w:r>
          </w:p>
        </w:tc>
        <w:tc>
          <w:tcPr>
            <w:tcW w:w="1319" w:type="dxa"/>
            <w:vAlign w:val="center"/>
          </w:tcPr>
          <w:p w:rsidR="00F42314" w:rsidRPr="00683F93" w14:paraId="0BAED646" w14:textId="77777777">
            <w:pPr>
              <w:jc w:val="center"/>
              <w:rPr>
                <w:rFonts w:ascii="Arial" w:hAnsi="Arial" w:cs="Arial"/>
                <w:color w:val="000000" w:themeColor="text1"/>
              </w:rPr>
            </w:pPr>
            <w:r w:rsidRPr="00683F93">
              <w:rPr>
                <w:rFonts w:ascii="Arial" w:hAnsi="Arial" w:cs="Arial"/>
                <w:color w:val="000000" w:themeColor="text1"/>
              </w:rPr>
              <w:t>1</w:t>
            </w:r>
          </w:p>
        </w:tc>
        <w:tc>
          <w:tcPr>
            <w:tcW w:w="1297" w:type="dxa"/>
            <w:vAlign w:val="center"/>
          </w:tcPr>
          <w:p w:rsidR="00F42314" w:rsidRPr="00683F93" w:rsidP="00380BF6" w14:paraId="4D5EE337" w14:textId="77777777">
            <w:pPr>
              <w:jc w:val="center"/>
              <w:rPr>
                <w:rFonts w:ascii="Arial" w:hAnsi="Arial" w:cs="Arial"/>
                <w:color w:val="000000" w:themeColor="text1"/>
              </w:rPr>
            </w:pPr>
            <w:r w:rsidRPr="00683F93">
              <w:rPr>
                <w:rFonts w:ascii="Arial" w:hAnsi="Arial" w:cs="Arial"/>
                <w:color w:val="000000" w:themeColor="text1"/>
              </w:rPr>
              <w:t>1</w:t>
            </w:r>
            <w:r w:rsidRPr="00683F93" w:rsidR="009A672F">
              <w:rPr>
                <w:rFonts w:ascii="Arial" w:hAnsi="Arial" w:cs="Arial"/>
                <w:color w:val="000000" w:themeColor="text1"/>
              </w:rPr>
              <w:t>,168</w:t>
            </w:r>
          </w:p>
        </w:tc>
        <w:tc>
          <w:tcPr>
            <w:tcW w:w="1117" w:type="dxa"/>
            <w:vAlign w:val="center"/>
          </w:tcPr>
          <w:p w:rsidR="00F42314" w:rsidRPr="00683F93" w14:paraId="4C3FA021" w14:textId="77777777">
            <w:pPr>
              <w:jc w:val="center"/>
              <w:rPr>
                <w:rFonts w:ascii="Arial" w:hAnsi="Arial" w:cs="Arial"/>
                <w:color w:val="000000" w:themeColor="text1"/>
              </w:rPr>
            </w:pPr>
            <w:r w:rsidRPr="00683F93">
              <w:rPr>
                <w:rFonts w:ascii="Arial" w:hAnsi="Arial" w:cs="Arial"/>
                <w:color w:val="000000" w:themeColor="text1"/>
              </w:rPr>
              <w:t>8</w:t>
            </w:r>
          </w:p>
        </w:tc>
        <w:tc>
          <w:tcPr>
            <w:tcW w:w="1195" w:type="dxa"/>
            <w:vAlign w:val="center"/>
          </w:tcPr>
          <w:p w:rsidR="00F42314" w:rsidRPr="00683F93" w:rsidP="00380BF6" w14:paraId="3FEEE216" w14:textId="77777777">
            <w:pPr>
              <w:jc w:val="center"/>
              <w:rPr>
                <w:rFonts w:ascii="Arial" w:hAnsi="Arial" w:cs="Arial"/>
                <w:color w:val="000000" w:themeColor="text1"/>
              </w:rPr>
            </w:pPr>
            <w:r w:rsidRPr="00683F93">
              <w:rPr>
                <w:rFonts w:ascii="Arial" w:hAnsi="Arial" w:cs="Arial"/>
                <w:color w:val="000000" w:themeColor="text1"/>
              </w:rPr>
              <w:t>9,</w:t>
            </w:r>
            <w:r w:rsidRPr="00683F93" w:rsidR="009A672F">
              <w:rPr>
                <w:rFonts w:ascii="Arial" w:hAnsi="Arial" w:cs="Arial"/>
                <w:color w:val="000000" w:themeColor="text1"/>
              </w:rPr>
              <w:t>344</w:t>
            </w:r>
          </w:p>
        </w:tc>
        <w:tc>
          <w:tcPr>
            <w:tcW w:w="852" w:type="dxa"/>
            <w:vAlign w:val="center"/>
          </w:tcPr>
          <w:p w:rsidR="00F42314" w:rsidRPr="00683F93" w:rsidP="00D75583" w14:paraId="4A644680" w14:textId="77777777">
            <w:pPr>
              <w:jc w:val="center"/>
              <w:rPr>
                <w:rFonts w:ascii="Arial" w:hAnsi="Arial" w:cs="Arial"/>
                <w:color w:val="000000" w:themeColor="text1"/>
              </w:rPr>
            </w:pPr>
            <w:r w:rsidRPr="00683F93">
              <w:rPr>
                <w:rFonts w:ascii="Arial" w:hAnsi="Arial" w:cs="Arial"/>
                <w:color w:val="000000" w:themeColor="text1"/>
              </w:rPr>
              <w:t>$</w:t>
            </w:r>
            <w:r w:rsidRPr="00683F93" w:rsidR="00066C35">
              <w:rPr>
                <w:rFonts w:ascii="Arial" w:hAnsi="Arial" w:cs="Arial"/>
                <w:color w:val="000000" w:themeColor="text1"/>
              </w:rPr>
              <w:t>47.35</w:t>
            </w:r>
          </w:p>
        </w:tc>
        <w:tc>
          <w:tcPr>
            <w:tcW w:w="1581" w:type="dxa"/>
            <w:vAlign w:val="center"/>
          </w:tcPr>
          <w:p w:rsidR="00F42314" w:rsidRPr="00683F93" w:rsidP="00380BF6" w14:paraId="03F1748B" w14:textId="77777777">
            <w:pPr>
              <w:jc w:val="center"/>
              <w:rPr>
                <w:rFonts w:ascii="Arial" w:hAnsi="Arial" w:cs="Arial"/>
                <w:color w:val="000000" w:themeColor="text1"/>
              </w:rPr>
            </w:pPr>
            <w:r w:rsidRPr="00683F93">
              <w:rPr>
                <w:rFonts w:ascii="Arial" w:hAnsi="Arial" w:cs="Arial"/>
                <w:color w:val="000000" w:themeColor="text1"/>
              </w:rPr>
              <w:t>$</w:t>
            </w:r>
            <w:r w:rsidRPr="00683F93" w:rsidR="00066C35">
              <w:rPr>
                <w:rFonts w:ascii="Arial" w:hAnsi="Arial" w:cs="Arial"/>
                <w:color w:val="000000" w:themeColor="text1"/>
              </w:rPr>
              <w:t>442,438.40</w:t>
            </w:r>
          </w:p>
        </w:tc>
      </w:tr>
    </w:tbl>
    <w:p w:rsidR="00F42314" w:rsidRPr="00683F93" w14:paraId="5A17C4CE" w14:textId="77777777">
      <w:pPr>
        <w:pStyle w:val="BodyTextIndent"/>
        <w:rPr>
          <w:color w:val="000000" w:themeColor="text1"/>
        </w:rPr>
      </w:pPr>
      <w:r w:rsidRPr="00683F93">
        <w:rPr>
          <w:color w:val="000000" w:themeColor="text1"/>
        </w:rPr>
        <w:t xml:space="preserve">The </w:t>
      </w:r>
      <w:r w:rsidRPr="00683F93" w:rsidR="00447AC9">
        <w:rPr>
          <w:color w:val="000000" w:themeColor="text1"/>
        </w:rPr>
        <w:t xml:space="preserve">hourly rate </w:t>
      </w:r>
      <w:r w:rsidRPr="00683F93">
        <w:rPr>
          <w:color w:val="000000" w:themeColor="text1"/>
        </w:rPr>
        <w:t xml:space="preserve">is based on the </w:t>
      </w:r>
      <w:r w:rsidRPr="00683F93" w:rsidR="00066C35">
        <w:rPr>
          <w:color w:val="000000" w:themeColor="text1"/>
        </w:rPr>
        <w:t xml:space="preserve">Federal Government burden </w:t>
      </w:r>
      <w:r w:rsidRPr="00683F93">
        <w:rPr>
          <w:color w:val="000000" w:themeColor="text1"/>
        </w:rPr>
        <w:t>pay for a GS-12</w:t>
      </w:r>
      <w:r w:rsidRPr="00683F93" w:rsidR="002325B9">
        <w:rPr>
          <w:color w:val="000000" w:themeColor="text1"/>
        </w:rPr>
        <w:t>/5</w:t>
      </w:r>
      <w:r w:rsidRPr="00683F93" w:rsidR="00447AC9">
        <w:rPr>
          <w:color w:val="000000" w:themeColor="text1"/>
        </w:rPr>
        <w:t xml:space="preserve">, </w:t>
      </w:r>
      <w:r w:rsidRPr="00683F93" w:rsidR="00447AC9">
        <w:rPr>
          <w:color w:val="000000" w:themeColor="text1"/>
        </w:rPr>
        <w:t>$</w:t>
      </w:r>
      <w:r w:rsidRPr="00683F93" w:rsidR="00066C35">
        <w:rPr>
          <w:color w:val="000000" w:themeColor="text1"/>
        </w:rPr>
        <w:t>47.35</w:t>
      </w:r>
    </w:p>
    <w:p w:rsidR="00F42314" w:rsidRPr="00683F93" w14:paraId="5CE5FE6E" w14:textId="77777777">
      <w:pPr>
        <w:rPr>
          <w:color w:val="000000" w:themeColor="text1"/>
        </w:rPr>
      </w:pPr>
    </w:p>
    <w:p w:rsidR="00466635" w:rsidRPr="00683F93" w:rsidP="00466635" w14:paraId="7E5EBBDE" w14:textId="77777777">
      <w:pPr>
        <w:rPr>
          <w:color w:val="000000" w:themeColor="text1"/>
          <w:sz w:val="24"/>
        </w:rPr>
      </w:pPr>
    </w:p>
    <w:tbl>
      <w:tblPr>
        <w:tblW w:w="0" w:type="auto"/>
        <w:tblInd w:w="108" w:type="dxa"/>
        <w:tblLook w:val="04A0"/>
      </w:tblPr>
      <w:tblGrid>
        <w:gridCol w:w="9360"/>
      </w:tblGrid>
      <w:tr w14:paraId="41514521" w14:textId="77777777" w:rsidTr="00D20868">
        <w:tblPrEx>
          <w:tblW w:w="0" w:type="auto"/>
          <w:tblInd w:w="108" w:type="dxa"/>
          <w:tblLook w:val="04A0"/>
        </w:tblPrEx>
        <w:tc>
          <w:tcPr>
            <w:tcW w:w="9360" w:type="dxa"/>
            <w:shd w:val="clear" w:color="auto" w:fill="auto"/>
          </w:tcPr>
          <w:p w:rsidR="00466635" w:rsidRPr="00683F93" w:rsidP="004E3A3B" w14:paraId="135A21CC" w14:textId="77777777">
            <w:pPr>
              <w:overflowPunct/>
              <w:autoSpaceDE/>
              <w:autoSpaceDN/>
              <w:adjustRightInd/>
              <w:ind w:left="69"/>
              <w:textAlignment w:val="auto"/>
              <w:rPr>
                <w:b/>
                <w:color w:val="000000" w:themeColor="text1"/>
                <w:sz w:val="24"/>
                <w:szCs w:val="24"/>
              </w:rPr>
            </w:pPr>
            <w:r w:rsidRPr="00683F93">
              <w:rPr>
                <w:b/>
                <w:color w:val="000000" w:themeColor="text1"/>
                <w:sz w:val="24"/>
                <w:szCs w:val="24"/>
              </w:rPr>
              <w:t xml:space="preserve">15. Explain the reasons for any program changes or adjustments reported in Items 13 or 14 of the OMB Form 83-I. </w:t>
            </w:r>
          </w:p>
          <w:p w:rsidR="00466635" w:rsidRPr="00683F93" w:rsidP="00466635" w14:paraId="03CF4330" w14:textId="77777777">
            <w:pPr>
              <w:overflowPunct/>
              <w:autoSpaceDE/>
              <w:autoSpaceDN/>
              <w:adjustRightInd/>
              <w:textAlignment w:val="auto"/>
              <w:rPr>
                <w:color w:val="000000" w:themeColor="text1"/>
                <w:sz w:val="24"/>
                <w:szCs w:val="24"/>
              </w:rPr>
            </w:pPr>
          </w:p>
        </w:tc>
      </w:tr>
      <w:tr w14:paraId="59433A27" w14:textId="77777777" w:rsidTr="00D20868">
        <w:tblPrEx>
          <w:tblW w:w="0" w:type="auto"/>
          <w:tblInd w:w="108" w:type="dxa"/>
          <w:tblLook w:val="04A0"/>
        </w:tblPrEx>
        <w:tc>
          <w:tcPr>
            <w:tcW w:w="9360" w:type="dxa"/>
            <w:shd w:val="clear" w:color="auto" w:fill="auto"/>
          </w:tcPr>
          <w:p w:rsidR="00466635" w:rsidRPr="00683F93" w:rsidP="00466635" w14:paraId="65D5E1C5" w14:textId="37D0851A">
            <w:pPr>
              <w:overflowPunct/>
              <w:autoSpaceDE/>
              <w:autoSpaceDN/>
              <w:adjustRightInd/>
              <w:textAlignment w:val="auto"/>
              <w:rPr>
                <w:b/>
                <w:color w:val="000000" w:themeColor="text1"/>
                <w:sz w:val="24"/>
                <w:szCs w:val="24"/>
              </w:rPr>
            </w:pPr>
          </w:p>
        </w:tc>
      </w:tr>
    </w:tbl>
    <w:p w:rsidR="005E12F1" w:rsidRPr="00683F93" w:rsidP="004E3A3B" w14:paraId="3448D920" w14:textId="0DDC7747">
      <w:pPr>
        <w:overflowPunct/>
        <w:autoSpaceDE/>
        <w:autoSpaceDN/>
        <w:adjustRightInd/>
        <w:ind w:left="180"/>
        <w:textAlignment w:val="auto"/>
        <w:rPr>
          <w:color w:val="000000" w:themeColor="text1"/>
          <w:sz w:val="24"/>
        </w:rPr>
      </w:pPr>
      <w:r w:rsidRPr="00683F93">
        <w:rPr>
          <w:color w:val="000000" w:themeColor="text1"/>
          <w:sz w:val="24"/>
          <w:szCs w:val="24"/>
        </w:rPr>
        <w:t xml:space="preserve">Reinstatement, with change, of previously approved collection for which approval has expired.  </w:t>
      </w:r>
      <w:r w:rsidRPr="00683F93" w:rsidR="00AE5C82">
        <w:rPr>
          <w:color w:val="000000" w:themeColor="text1"/>
          <w:sz w:val="24"/>
        </w:rPr>
        <w:t>Th</w:t>
      </w:r>
      <w:r w:rsidRPr="00683F93" w:rsidR="00683F93">
        <w:rPr>
          <w:color w:val="000000" w:themeColor="text1"/>
          <w:sz w:val="24"/>
        </w:rPr>
        <w:t xml:space="preserve">is collection is being reinstated to be discontinued. </w:t>
      </w:r>
    </w:p>
    <w:p w:rsidR="005B5DFE" w:rsidRPr="00683F93" w:rsidP="004E3A3B" w14:paraId="69BE6A21" w14:textId="77777777">
      <w:pPr>
        <w:ind w:left="180"/>
        <w:rPr>
          <w:color w:val="000000" w:themeColor="text1"/>
          <w:sz w:val="24"/>
        </w:rPr>
      </w:pPr>
    </w:p>
    <w:p w:rsidR="00466635" w:rsidRPr="00683F93" w:rsidP="004E3A3B" w14:paraId="48FA6C19" w14:textId="77777777">
      <w:pPr>
        <w:ind w:left="180"/>
        <w:rPr>
          <w:color w:val="000000" w:themeColor="text1"/>
          <w:sz w:val="24"/>
        </w:rPr>
      </w:pPr>
      <w:r w:rsidRPr="00683F93">
        <w:rPr>
          <w:b/>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6635" w:rsidRPr="00683F93" w:rsidP="00466635" w14:paraId="4A11DB71" w14:textId="77777777">
      <w:pPr>
        <w:ind w:left="360"/>
        <w:rPr>
          <w:color w:val="000000" w:themeColor="text1"/>
          <w:sz w:val="24"/>
        </w:rPr>
      </w:pPr>
    </w:p>
    <w:p w:rsidR="00F42314" w:rsidRPr="00683F93" w:rsidP="004E3A3B" w14:paraId="2A1C4828" w14:textId="77777777">
      <w:pPr>
        <w:ind w:left="180"/>
        <w:rPr>
          <w:color w:val="000000" w:themeColor="text1"/>
          <w:sz w:val="24"/>
        </w:rPr>
      </w:pPr>
      <w:r w:rsidRPr="00683F93">
        <w:rPr>
          <w:color w:val="000000" w:themeColor="text1"/>
          <w:sz w:val="24"/>
        </w:rPr>
        <w:t>T</w:t>
      </w:r>
      <w:r w:rsidRPr="00683F93">
        <w:rPr>
          <w:color w:val="000000" w:themeColor="text1"/>
          <w:sz w:val="24"/>
        </w:rPr>
        <w:t>he collection of information is not scheduled for publication.</w:t>
      </w:r>
    </w:p>
    <w:p w:rsidR="00466635" w:rsidRPr="00683F93" w:rsidP="00466635" w14:paraId="1A08F2A9" w14:textId="77777777">
      <w:pPr>
        <w:ind w:left="360"/>
        <w:rPr>
          <w:color w:val="000000" w:themeColor="text1"/>
          <w:sz w:val="24"/>
        </w:rPr>
      </w:pPr>
    </w:p>
    <w:p w:rsidR="00466635" w:rsidRPr="00683F93" w:rsidP="004E3A3B" w14:paraId="645205D9" w14:textId="6896BAD1">
      <w:pPr>
        <w:ind w:left="180"/>
        <w:rPr>
          <w:b/>
          <w:color w:val="000000" w:themeColor="text1"/>
          <w:sz w:val="24"/>
          <w:szCs w:val="24"/>
        </w:rPr>
      </w:pPr>
      <w:r w:rsidRPr="00683F93">
        <w:rPr>
          <w:b/>
          <w:color w:val="000000" w:themeColor="text1"/>
          <w:sz w:val="24"/>
          <w:szCs w:val="24"/>
        </w:rPr>
        <w:t xml:space="preserve">17. If seeking approval to not display the expiration date for OMB approval of the information collection, explain the reasons that display would be inappropriate. </w:t>
      </w:r>
    </w:p>
    <w:p w:rsidR="004E3A3B" w:rsidRPr="00683F93" w:rsidP="004E3A3B" w14:paraId="7989D2F7" w14:textId="77777777">
      <w:pPr>
        <w:ind w:left="180"/>
        <w:rPr>
          <w:b/>
          <w:color w:val="000000" w:themeColor="text1"/>
          <w:sz w:val="24"/>
          <w:szCs w:val="24"/>
        </w:rPr>
      </w:pPr>
    </w:p>
    <w:p w:rsidR="00466635" w:rsidRPr="00683F93" w:rsidP="004E3A3B" w14:paraId="39B74879" w14:textId="77777777">
      <w:pPr>
        <w:ind w:left="180"/>
        <w:rPr>
          <w:color w:val="000000" w:themeColor="text1"/>
          <w:sz w:val="24"/>
        </w:rPr>
      </w:pPr>
      <w:r w:rsidRPr="00683F93">
        <w:rPr>
          <w:color w:val="000000" w:themeColor="text1"/>
          <w:sz w:val="24"/>
        </w:rPr>
        <w:t>HUD will not seek approval to avoid displaying OMB expiration date.</w:t>
      </w:r>
    </w:p>
    <w:p w:rsidR="00466635" w:rsidRPr="00683F93" w:rsidP="004E3A3B" w14:paraId="47642059" w14:textId="77777777">
      <w:pPr>
        <w:ind w:left="180"/>
        <w:rPr>
          <w:color w:val="000000" w:themeColor="text1"/>
          <w:sz w:val="24"/>
        </w:rPr>
      </w:pPr>
    </w:p>
    <w:p w:rsidR="00466635" w:rsidRPr="00683F93" w:rsidP="004E3A3B" w14:paraId="6739E0BA" w14:textId="376F5547">
      <w:pPr>
        <w:ind w:left="180"/>
        <w:rPr>
          <w:b/>
          <w:color w:val="000000" w:themeColor="text1"/>
          <w:sz w:val="24"/>
          <w:szCs w:val="24"/>
        </w:rPr>
      </w:pPr>
      <w:r w:rsidRPr="00683F93">
        <w:rPr>
          <w:b/>
          <w:color w:val="000000" w:themeColor="text1"/>
          <w:sz w:val="24"/>
          <w:szCs w:val="24"/>
        </w:rPr>
        <w:t xml:space="preserve">18. Explain each exception to the certification statement identified in Item 19, "Certification for Paperwork Reduction Act Submissions," of OMB Form 83-I. </w:t>
      </w:r>
    </w:p>
    <w:p w:rsidR="004E3A3B" w:rsidRPr="00683F93" w:rsidP="004E3A3B" w14:paraId="45274EE6" w14:textId="77777777">
      <w:pPr>
        <w:ind w:left="180"/>
        <w:rPr>
          <w:b/>
          <w:color w:val="000000" w:themeColor="text1"/>
          <w:sz w:val="24"/>
          <w:szCs w:val="24"/>
        </w:rPr>
      </w:pPr>
    </w:p>
    <w:p w:rsidR="00466635" w:rsidRPr="00683F93" w:rsidP="004E3A3B" w14:paraId="326F3D14" w14:textId="77777777">
      <w:pPr>
        <w:ind w:left="180"/>
        <w:rPr>
          <w:color w:val="000000" w:themeColor="text1"/>
          <w:sz w:val="24"/>
        </w:rPr>
      </w:pPr>
      <w:r w:rsidRPr="00683F93">
        <w:rPr>
          <w:color w:val="000000" w:themeColor="text1"/>
          <w:sz w:val="24"/>
        </w:rPr>
        <w:t xml:space="preserve">There are no exceptions to the certification statement </w:t>
      </w:r>
    </w:p>
    <w:p w:rsidR="00A92C68" w:rsidRPr="00683F93" w:rsidP="00466635" w14:paraId="1E32E586" w14:textId="77777777">
      <w:pPr>
        <w:overflowPunct/>
        <w:autoSpaceDE/>
        <w:autoSpaceDN/>
        <w:adjustRightInd/>
        <w:textAlignment w:val="auto"/>
        <w:rPr>
          <w:b/>
          <w:bCs/>
          <w:color w:val="000000" w:themeColor="text1"/>
          <w:sz w:val="24"/>
          <w:szCs w:val="24"/>
        </w:rPr>
      </w:pPr>
    </w:p>
    <w:p w:rsidR="00466635" w:rsidRPr="00683F93" w:rsidP="00466635" w14:paraId="219C0539" w14:textId="77777777">
      <w:pPr>
        <w:overflowPunct/>
        <w:autoSpaceDE/>
        <w:autoSpaceDN/>
        <w:adjustRightInd/>
        <w:textAlignment w:val="auto"/>
        <w:rPr>
          <w:b/>
          <w:bCs/>
          <w:color w:val="000000" w:themeColor="text1"/>
          <w:sz w:val="24"/>
          <w:szCs w:val="24"/>
        </w:rPr>
      </w:pPr>
      <w:r w:rsidRPr="00683F93">
        <w:rPr>
          <w:b/>
          <w:bCs/>
          <w:color w:val="000000" w:themeColor="text1"/>
          <w:sz w:val="24"/>
          <w:szCs w:val="24"/>
        </w:rPr>
        <w:t xml:space="preserve">B. Collections of Information Employing Statistical Methods </w:t>
      </w:r>
    </w:p>
    <w:p w:rsidR="00466635" w:rsidRPr="00683F93" w:rsidP="00466635" w14:paraId="79811061" w14:textId="77777777">
      <w:pPr>
        <w:overflowPunct/>
        <w:autoSpaceDE/>
        <w:autoSpaceDN/>
        <w:adjustRightInd/>
        <w:textAlignment w:val="auto"/>
        <w:rPr>
          <w:color w:val="000000" w:themeColor="text1"/>
          <w:sz w:val="24"/>
          <w:szCs w:val="24"/>
        </w:rPr>
      </w:pPr>
    </w:p>
    <w:p w:rsidR="00466635" w:rsidRPr="00683F93" w:rsidP="00466635" w14:paraId="675E4DAD"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683F93">
        <w:rPr>
          <w:color w:val="000000" w:themeColor="text1"/>
          <w:sz w:val="24"/>
          <w:szCs w:val="24"/>
        </w:rPr>
        <w:t>extend</w:t>
      </w:r>
      <w:r w:rsidRPr="00683F93">
        <w:rPr>
          <w:color w:val="000000" w:themeColor="text1"/>
          <w:sz w:val="24"/>
          <w:szCs w:val="24"/>
        </w:rPr>
        <w:t xml:space="preserve"> that it applies to the methods proposed: </w:t>
      </w:r>
    </w:p>
    <w:p w:rsidR="00466635" w:rsidRPr="00683F93" w:rsidP="00466635" w14:paraId="27D6CA2E" w14:textId="77777777">
      <w:pPr>
        <w:overflowPunct/>
        <w:autoSpaceDE/>
        <w:autoSpaceDN/>
        <w:adjustRightInd/>
        <w:textAlignment w:val="auto"/>
        <w:rPr>
          <w:color w:val="000000" w:themeColor="text1"/>
          <w:sz w:val="24"/>
          <w:szCs w:val="24"/>
        </w:rPr>
      </w:pPr>
    </w:p>
    <w:p w:rsidR="00466635" w:rsidRPr="00683F93" w:rsidP="00466635" w14:paraId="76170280"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683F93">
        <w:rPr>
          <w:color w:val="000000" w:themeColor="text1"/>
          <w:sz w:val="24"/>
          <w:szCs w:val="24"/>
        </w:rPr>
        <w:t>collection as a whole</w:t>
      </w:r>
      <w:r w:rsidRPr="00683F93">
        <w:rPr>
          <w:color w:val="000000" w:themeColor="text1"/>
          <w:sz w:val="24"/>
          <w:szCs w:val="24"/>
        </w:rPr>
        <w:t xml:space="preserve">. If the collection had been conducted previously, include the actual response rate achieved during the last collection. </w:t>
      </w:r>
    </w:p>
    <w:p w:rsidR="00466635" w:rsidRPr="00683F93" w:rsidP="00466635" w14:paraId="6BC7E6C0" w14:textId="77777777">
      <w:pPr>
        <w:overflowPunct/>
        <w:autoSpaceDE/>
        <w:autoSpaceDN/>
        <w:adjustRightInd/>
        <w:textAlignment w:val="auto"/>
        <w:rPr>
          <w:color w:val="000000" w:themeColor="text1"/>
          <w:sz w:val="24"/>
          <w:szCs w:val="24"/>
        </w:rPr>
      </w:pPr>
    </w:p>
    <w:p w:rsidR="00466635" w:rsidRPr="00683F93" w:rsidP="00466635" w14:paraId="6EEC567F"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2. Describe the procedures for the collection of information including: </w:t>
      </w:r>
    </w:p>
    <w:p w:rsidR="00466635" w:rsidRPr="00683F93" w:rsidP="00466635" w14:paraId="7BBF44FD"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Statistical methodology for stratification and sample selection, </w:t>
      </w:r>
    </w:p>
    <w:p w:rsidR="00466635" w:rsidRPr="00683F93" w:rsidP="00466635" w14:paraId="73C68BAD"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Estimation procedure, </w:t>
      </w:r>
    </w:p>
    <w:p w:rsidR="00466635" w:rsidRPr="00683F93" w:rsidP="00466635" w14:paraId="22E97019"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Degree of accuracy needed for the purpose described in the justification, </w:t>
      </w:r>
    </w:p>
    <w:p w:rsidR="00466635" w:rsidRPr="00683F93" w:rsidP="00466635" w14:paraId="707E397C"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Unusual problems requiring specialized sampling procedures, and </w:t>
      </w:r>
    </w:p>
    <w:p w:rsidR="00466635" w:rsidRPr="00683F93" w:rsidP="00466635" w14:paraId="3570320C"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 Any use of periodic (less frequent than annual) data collection cycles to reduce burden. </w:t>
      </w:r>
    </w:p>
    <w:p w:rsidR="00466635" w:rsidRPr="00683F93" w:rsidP="00466635" w14:paraId="2C3CD4B2" w14:textId="77777777">
      <w:pPr>
        <w:overflowPunct/>
        <w:autoSpaceDE/>
        <w:autoSpaceDN/>
        <w:adjustRightInd/>
        <w:textAlignment w:val="auto"/>
        <w:rPr>
          <w:color w:val="000000" w:themeColor="text1"/>
          <w:sz w:val="24"/>
          <w:szCs w:val="24"/>
        </w:rPr>
      </w:pPr>
    </w:p>
    <w:p w:rsidR="00466635" w:rsidRPr="00683F93" w:rsidP="00466635" w14:paraId="34B87E71"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466635" w:rsidRPr="00683F93" w:rsidP="00466635" w14:paraId="24D77D5C" w14:textId="77777777">
      <w:pPr>
        <w:overflowPunct/>
        <w:autoSpaceDE/>
        <w:autoSpaceDN/>
        <w:adjustRightInd/>
        <w:textAlignment w:val="auto"/>
        <w:rPr>
          <w:color w:val="000000" w:themeColor="text1"/>
          <w:sz w:val="24"/>
          <w:szCs w:val="24"/>
        </w:rPr>
      </w:pPr>
    </w:p>
    <w:p w:rsidR="00466635" w:rsidRPr="00683F93" w:rsidP="00466635" w14:paraId="79F0F0C2"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683F93">
        <w:rPr>
          <w:color w:val="000000" w:themeColor="text1"/>
          <w:sz w:val="24"/>
          <w:szCs w:val="24"/>
        </w:rPr>
        <w:t>test</w:t>
      </w:r>
      <w:r w:rsidRPr="00683F93">
        <w:rPr>
          <w:color w:val="000000" w:themeColor="text1"/>
          <w:sz w:val="24"/>
          <w:szCs w:val="24"/>
        </w:rPr>
        <w:t xml:space="preserve"> may be submitted for approval separately or in combination with the main collection of information. </w:t>
      </w:r>
    </w:p>
    <w:p w:rsidR="00466635" w:rsidRPr="00683F93" w:rsidP="00466635" w14:paraId="2B51477A" w14:textId="77777777">
      <w:pPr>
        <w:overflowPunct/>
        <w:autoSpaceDE/>
        <w:autoSpaceDN/>
        <w:adjustRightInd/>
        <w:textAlignment w:val="auto"/>
        <w:rPr>
          <w:color w:val="000000" w:themeColor="text1"/>
          <w:sz w:val="24"/>
          <w:szCs w:val="24"/>
        </w:rPr>
      </w:pPr>
    </w:p>
    <w:p w:rsidR="00466635" w:rsidRPr="00683F93" w:rsidP="00466635" w14:paraId="682FD6AE" w14:textId="77777777">
      <w:pPr>
        <w:overflowPunct/>
        <w:autoSpaceDE/>
        <w:autoSpaceDN/>
        <w:adjustRightInd/>
        <w:textAlignment w:val="auto"/>
        <w:rPr>
          <w:color w:val="000000" w:themeColor="text1"/>
          <w:sz w:val="24"/>
          <w:szCs w:val="24"/>
        </w:rPr>
      </w:pPr>
      <w:r w:rsidRPr="00683F93">
        <w:rPr>
          <w:color w:val="000000" w:themeColor="text1"/>
          <w:sz w:val="24"/>
          <w:szCs w:val="24"/>
        </w:rPr>
        <w:t xml:space="preserve">5. Provide the name and telephone number of individuals consulted on statistical aspects of the design and the name of the agency unit, contractor(s), grantee(s), or other person(s) who will </w:t>
      </w:r>
      <w:r w:rsidRPr="00683F93">
        <w:rPr>
          <w:color w:val="000000" w:themeColor="text1"/>
          <w:sz w:val="24"/>
          <w:szCs w:val="24"/>
        </w:rPr>
        <w:t>actually collect</w:t>
      </w:r>
      <w:r w:rsidRPr="00683F93">
        <w:rPr>
          <w:color w:val="000000" w:themeColor="text1"/>
          <w:sz w:val="24"/>
          <w:szCs w:val="24"/>
        </w:rPr>
        <w:t xml:space="preserve"> and/or analyze the information for the agency. </w:t>
      </w:r>
    </w:p>
    <w:p w:rsidR="00466635" w:rsidRPr="00683F93" w:rsidP="00466635" w14:paraId="0E4BB65E" w14:textId="77777777">
      <w:pPr>
        <w:overflowPunct/>
        <w:autoSpaceDE/>
        <w:autoSpaceDN/>
        <w:adjustRightInd/>
        <w:textAlignment w:val="auto"/>
        <w:rPr>
          <w:color w:val="000000" w:themeColor="text1"/>
          <w:sz w:val="24"/>
          <w:szCs w:val="24"/>
        </w:rPr>
      </w:pPr>
    </w:p>
    <w:p w:rsidR="00F42314" w:rsidRPr="00683F93" w14:paraId="099FEFDF" w14:textId="77777777">
      <w:pPr>
        <w:ind w:left="360"/>
        <w:rPr>
          <w:color w:val="000000" w:themeColor="text1"/>
          <w:sz w:val="24"/>
        </w:rPr>
      </w:pPr>
      <w:r w:rsidRPr="00683F93">
        <w:rPr>
          <w:color w:val="000000" w:themeColor="text1"/>
          <w:sz w:val="24"/>
        </w:rPr>
        <w:t>This collection does not employ statistical methods.</w:t>
      </w:r>
    </w:p>
    <w:sectPr>
      <w:footerReference w:type="default" r:id="rId4"/>
      <w:pgSz w:w="12240" w:h="15840"/>
      <w:pgMar w:top="480" w:right="720" w:bottom="480" w:left="600" w:header="480" w:footer="480" w:gutter="0"/>
      <w:cols w:space="48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E5F" w14:paraId="070B4A1A" w14:textId="77777777">
    <w:pPr>
      <w:pStyle w:val="Footer"/>
      <w:jc w:val="center"/>
    </w:pPr>
    <w:r>
      <w:fldChar w:fldCharType="begin"/>
    </w:r>
    <w:r>
      <w:instrText xml:space="preserve"> PAGE   \* MERGEFORMAT </w:instrText>
    </w:r>
    <w:r>
      <w:fldChar w:fldCharType="separate"/>
    </w:r>
    <w:r w:rsidR="00E07D3E">
      <w:rPr>
        <w:noProof/>
      </w:rPr>
      <w:t>2</w:t>
    </w:r>
    <w:r>
      <w:rPr>
        <w:noProof/>
      </w:rPr>
      <w:fldChar w:fldCharType="end"/>
    </w:r>
  </w:p>
  <w:p w:rsidR="00E1600A" w14:paraId="57266A23" w14:textId="77777777">
    <w:pPr>
      <w:pStyle w:val="Footer"/>
      <w:tabs>
        <w:tab w:val="clear" w:pos="4320"/>
        <w:tab w:val="clear" w:pos="8640"/>
        <w:tab w:val="right" w:pos="10920"/>
      </w:tabs>
      <w:spacing w:line="120" w:lineRule="exact"/>
      <w:ind w:left="-120" w:right="-120"/>
      <w:rPr>
        <w:rFonts w:ascii="Helvetica" w:hAnsi="Helvetica"/>
        <w:b/>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43C48EE"/>
    <w:lvl w:ilvl="0">
      <w:start w:val="0"/>
      <w:numFmt w:val="decimal"/>
      <w:lvlText w:val="*"/>
      <w:lvlJc w:val="left"/>
    </w:lvl>
  </w:abstractNum>
  <w:abstractNum w:abstractNumId="1">
    <w:nsid w:val="02D317E3"/>
    <w:multiLevelType w:val="singleLevel"/>
    <w:tmpl w:val="15F2501E"/>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
    <w:nsid w:val="0DE95253"/>
    <w:multiLevelType w:val="singleLevel"/>
    <w:tmpl w:val="15F2501E"/>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779347E"/>
    <w:multiLevelType w:val="hybridMultilevel"/>
    <w:tmpl w:val="01882B94"/>
    <w:lvl w:ilvl="0">
      <w:start w:val="10"/>
      <w:numFmt w:val="decimal"/>
      <w:lvlText w:val="%1."/>
      <w:lvlJc w:val="left"/>
      <w:pPr>
        <w:tabs>
          <w:tab w:val="num" w:pos="360"/>
        </w:tabs>
        <w:ind w:left="36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1D3E38"/>
    <w:multiLevelType w:val="hybridMultilevel"/>
    <w:tmpl w:val="34260A08"/>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5">
    <w:nsid w:val="1A7A7706"/>
    <w:multiLevelType w:val="singleLevel"/>
    <w:tmpl w:val="FCA0211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1BE67780"/>
    <w:multiLevelType w:val="hybridMultilevel"/>
    <w:tmpl w:val="6688ED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EE744C1"/>
    <w:multiLevelType w:val="hybridMultilevel"/>
    <w:tmpl w:val="BA20097C"/>
    <w:lvl w:ilvl="0">
      <w:start w:val="10"/>
      <w:numFmt w:val="decimal"/>
      <w:lvlText w:val="%1."/>
      <w:lvlJc w:val="left"/>
      <w:pPr>
        <w:tabs>
          <w:tab w:val="num" w:pos="360"/>
        </w:tabs>
        <w:ind w:left="36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8F1C08"/>
    <w:multiLevelType w:val="singleLevel"/>
    <w:tmpl w:val="0F36E7D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23A0648A"/>
    <w:multiLevelType w:val="hybridMultilevel"/>
    <w:tmpl w:val="AAD06934"/>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F17C7D"/>
    <w:multiLevelType w:val="hybridMultilevel"/>
    <w:tmpl w:val="288E39E2"/>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11">
    <w:nsid w:val="29252005"/>
    <w:multiLevelType w:val="hybridMultilevel"/>
    <w:tmpl w:val="4D4007A8"/>
    <w:lvl w:ilvl="0">
      <w:start w:val="10"/>
      <w:numFmt w:val="decimal"/>
      <w:lvlText w:val="%1."/>
      <w:lvlJc w:val="left"/>
      <w:pPr>
        <w:tabs>
          <w:tab w:val="num" w:pos="360"/>
        </w:tabs>
        <w:ind w:left="36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C71FAF"/>
    <w:multiLevelType w:val="hybridMultilevel"/>
    <w:tmpl w:val="65FA98C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DA7305"/>
    <w:multiLevelType w:val="hybridMultilevel"/>
    <w:tmpl w:val="EB4C43BE"/>
    <w:lvl w:ilvl="0">
      <w:start w:val="9"/>
      <w:numFmt w:val="decimal"/>
      <w:lvlText w:val="%1."/>
      <w:lvlJc w:val="left"/>
      <w:pPr>
        <w:tabs>
          <w:tab w:val="num" w:pos="360"/>
        </w:tabs>
        <w:ind w:left="36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6A18F2"/>
    <w:multiLevelType w:val="singleLevel"/>
    <w:tmpl w:val="6636C39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47955450"/>
    <w:multiLevelType w:val="hybridMultilevel"/>
    <w:tmpl w:val="7F8CBB80"/>
    <w:lvl w:ilvl="0">
      <w:start w:val="1"/>
      <w:numFmt w:val="bullet"/>
      <w:lvlText w:val=""/>
      <w:lvlJc w:val="left"/>
      <w:pPr>
        <w:ind w:left="1110" w:hanging="360"/>
      </w:pPr>
      <w:rPr>
        <w:rFonts w:ascii="Symbol" w:hAnsi="Symbol" w:hint="default"/>
      </w:rPr>
    </w:lvl>
    <w:lvl w:ilvl="1" w:tentative="1">
      <w:start w:val="1"/>
      <w:numFmt w:val="bullet"/>
      <w:lvlText w:val="o"/>
      <w:lvlJc w:val="left"/>
      <w:pPr>
        <w:ind w:left="1830" w:hanging="360"/>
      </w:pPr>
      <w:rPr>
        <w:rFonts w:ascii="Courier New" w:hAnsi="Courier New" w:cs="Courier New" w:hint="default"/>
      </w:rPr>
    </w:lvl>
    <w:lvl w:ilvl="2" w:tentative="1">
      <w:start w:val="1"/>
      <w:numFmt w:val="bullet"/>
      <w:lvlText w:val=""/>
      <w:lvlJc w:val="left"/>
      <w:pPr>
        <w:ind w:left="2550" w:hanging="360"/>
      </w:pPr>
      <w:rPr>
        <w:rFonts w:ascii="Wingdings" w:hAnsi="Wingdings" w:hint="default"/>
      </w:rPr>
    </w:lvl>
    <w:lvl w:ilvl="3" w:tentative="1">
      <w:start w:val="1"/>
      <w:numFmt w:val="bullet"/>
      <w:lvlText w:val=""/>
      <w:lvlJc w:val="left"/>
      <w:pPr>
        <w:ind w:left="3270" w:hanging="360"/>
      </w:pPr>
      <w:rPr>
        <w:rFonts w:ascii="Symbol" w:hAnsi="Symbol" w:hint="default"/>
      </w:rPr>
    </w:lvl>
    <w:lvl w:ilvl="4" w:tentative="1">
      <w:start w:val="1"/>
      <w:numFmt w:val="bullet"/>
      <w:lvlText w:val="o"/>
      <w:lvlJc w:val="left"/>
      <w:pPr>
        <w:ind w:left="3990" w:hanging="360"/>
      </w:pPr>
      <w:rPr>
        <w:rFonts w:ascii="Courier New" w:hAnsi="Courier New" w:cs="Courier New" w:hint="default"/>
      </w:rPr>
    </w:lvl>
    <w:lvl w:ilvl="5" w:tentative="1">
      <w:start w:val="1"/>
      <w:numFmt w:val="bullet"/>
      <w:lvlText w:val=""/>
      <w:lvlJc w:val="left"/>
      <w:pPr>
        <w:ind w:left="4710" w:hanging="360"/>
      </w:pPr>
      <w:rPr>
        <w:rFonts w:ascii="Wingdings" w:hAnsi="Wingdings" w:hint="default"/>
      </w:rPr>
    </w:lvl>
    <w:lvl w:ilvl="6" w:tentative="1">
      <w:start w:val="1"/>
      <w:numFmt w:val="bullet"/>
      <w:lvlText w:val=""/>
      <w:lvlJc w:val="left"/>
      <w:pPr>
        <w:ind w:left="5430" w:hanging="360"/>
      </w:pPr>
      <w:rPr>
        <w:rFonts w:ascii="Symbol" w:hAnsi="Symbol" w:hint="default"/>
      </w:rPr>
    </w:lvl>
    <w:lvl w:ilvl="7" w:tentative="1">
      <w:start w:val="1"/>
      <w:numFmt w:val="bullet"/>
      <w:lvlText w:val="o"/>
      <w:lvlJc w:val="left"/>
      <w:pPr>
        <w:ind w:left="6150" w:hanging="360"/>
      </w:pPr>
      <w:rPr>
        <w:rFonts w:ascii="Courier New" w:hAnsi="Courier New" w:cs="Courier New" w:hint="default"/>
      </w:rPr>
    </w:lvl>
    <w:lvl w:ilvl="8" w:tentative="1">
      <w:start w:val="1"/>
      <w:numFmt w:val="bullet"/>
      <w:lvlText w:val=""/>
      <w:lvlJc w:val="left"/>
      <w:pPr>
        <w:ind w:left="6870" w:hanging="360"/>
      </w:pPr>
      <w:rPr>
        <w:rFonts w:ascii="Wingdings" w:hAnsi="Wingdings" w:hint="default"/>
      </w:rPr>
    </w:lvl>
  </w:abstractNum>
  <w:abstractNum w:abstractNumId="16">
    <w:nsid w:val="4B206095"/>
    <w:multiLevelType w:val="multilevel"/>
    <w:tmpl w:val="856628C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2930D40"/>
    <w:multiLevelType w:val="singleLevel"/>
    <w:tmpl w:val="2B38600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56582E93"/>
    <w:multiLevelType w:val="singleLevel"/>
    <w:tmpl w:val="F21CB628"/>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57B047EE"/>
    <w:multiLevelType w:val="singleLevel"/>
    <w:tmpl w:val="4D2C0BB6"/>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59350BA0"/>
    <w:multiLevelType w:val="singleLevel"/>
    <w:tmpl w:val="52B0A16A"/>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668E2E69"/>
    <w:multiLevelType w:val="multilevel"/>
    <w:tmpl w:val="3D4C086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AAA5595"/>
    <w:multiLevelType w:val="hybridMultilevel"/>
    <w:tmpl w:val="D6D44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C41A21"/>
    <w:multiLevelType w:val="hybridMultilevel"/>
    <w:tmpl w:val="8D60085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0B70F7"/>
    <w:multiLevelType w:val="hybridMultilevel"/>
    <w:tmpl w:val="D286FD5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left"/>
      <w:pPr>
        <w:tabs>
          <w:tab w:val="num" w:pos="3060"/>
        </w:tabs>
        <w:ind w:left="3060" w:hanging="72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3820776"/>
    <w:multiLevelType w:val="singleLevel"/>
    <w:tmpl w:val="B2EE0800"/>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58E21B7"/>
    <w:multiLevelType w:val="hybridMultilevel"/>
    <w:tmpl w:val="286E619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48222873">
    <w:abstractNumId w:val="2"/>
  </w:num>
  <w:num w:numId="2" w16cid:durableId="1328098886">
    <w:abstractNumId w:val="1"/>
  </w:num>
  <w:num w:numId="3" w16cid:durableId="1364596567">
    <w:abstractNumId w:val="17"/>
  </w:num>
  <w:num w:numId="4" w16cid:durableId="1449006650">
    <w:abstractNumId w:val="14"/>
  </w:num>
  <w:num w:numId="5" w16cid:durableId="737823919">
    <w:abstractNumId w:val="25"/>
  </w:num>
  <w:num w:numId="6" w16cid:durableId="401295855">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02794381">
    <w:abstractNumId w:val="8"/>
  </w:num>
  <w:num w:numId="8" w16cid:durableId="93725626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685716825">
    <w:abstractNumId w:val="5"/>
  </w:num>
  <w:num w:numId="10" w16cid:durableId="1689067039">
    <w:abstractNumId w:val="18"/>
  </w:num>
  <w:num w:numId="11" w16cid:durableId="1411386710">
    <w:abstractNumId w:val="19"/>
  </w:num>
  <w:num w:numId="12" w16cid:durableId="978144906">
    <w:abstractNumId w:val="20"/>
  </w:num>
  <w:num w:numId="13" w16cid:durableId="875000695">
    <w:abstractNumId w:val="21"/>
  </w:num>
  <w:num w:numId="14" w16cid:durableId="554580852">
    <w:abstractNumId w:val="24"/>
  </w:num>
  <w:num w:numId="15" w16cid:durableId="1927110716">
    <w:abstractNumId w:val="9"/>
  </w:num>
  <w:num w:numId="16" w16cid:durableId="672298763">
    <w:abstractNumId w:val="26"/>
  </w:num>
  <w:num w:numId="17" w16cid:durableId="868252351">
    <w:abstractNumId w:val="13"/>
  </w:num>
  <w:num w:numId="18" w16cid:durableId="1076780821">
    <w:abstractNumId w:val="7"/>
  </w:num>
  <w:num w:numId="19" w16cid:durableId="2134522032">
    <w:abstractNumId w:val="3"/>
  </w:num>
  <w:num w:numId="20" w16cid:durableId="795560427">
    <w:abstractNumId w:val="11"/>
  </w:num>
  <w:num w:numId="21" w16cid:durableId="1780952013">
    <w:abstractNumId w:val="16"/>
    <w:lvlOverride w:ilvl="0">
      <w:startOverride w:val="7"/>
    </w:lvlOverride>
  </w:num>
  <w:num w:numId="22" w16cid:durableId="347606709">
    <w:abstractNumId w:val="4"/>
  </w:num>
  <w:num w:numId="23" w16cid:durableId="1838572554">
    <w:abstractNumId w:val="6"/>
  </w:num>
  <w:num w:numId="24" w16cid:durableId="1649086957">
    <w:abstractNumId w:val="15"/>
  </w:num>
  <w:num w:numId="25" w16cid:durableId="1066564265">
    <w:abstractNumId w:val="10"/>
  </w:num>
  <w:num w:numId="26" w16cid:durableId="2141805495">
    <w:abstractNumId w:val="22"/>
  </w:num>
  <w:num w:numId="27" w16cid:durableId="490372509">
    <w:abstractNumId w:val="23"/>
  </w:num>
  <w:num w:numId="28" w16cid:durableId="139716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9E"/>
    <w:rsid w:val="00017F84"/>
    <w:rsid w:val="00040BF0"/>
    <w:rsid w:val="00066C35"/>
    <w:rsid w:val="000A57D1"/>
    <w:rsid w:val="000B2C69"/>
    <w:rsid w:val="000B3B94"/>
    <w:rsid w:val="000C58A2"/>
    <w:rsid w:val="000E0C1C"/>
    <w:rsid w:val="00194FB7"/>
    <w:rsid w:val="001B717B"/>
    <w:rsid w:val="00213316"/>
    <w:rsid w:val="00225E5F"/>
    <w:rsid w:val="002325B9"/>
    <w:rsid w:val="00260D0B"/>
    <w:rsid w:val="00260D41"/>
    <w:rsid w:val="00264EE2"/>
    <w:rsid w:val="002A6402"/>
    <w:rsid w:val="002B7BB9"/>
    <w:rsid w:val="002C15B4"/>
    <w:rsid w:val="002C4FD1"/>
    <w:rsid w:val="002D42AE"/>
    <w:rsid w:val="002D5A70"/>
    <w:rsid w:val="00347057"/>
    <w:rsid w:val="00380BF6"/>
    <w:rsid w:val="00383C21"/>
    <w:rsid w:val="00442596"/>
    <w:rsid w:val="00445ADA"/>
    <w:rsid w:val="00447AC9"/>
    <w:rsid w:val="00456431"/>
    <w:rsid w:val="00466635"/>
    <w:rsid w:val="004C7666"/>
    <w:rsid w:val="004E3A3B"/>
    <w:rsid w:val="005432DD"/>
    <w:rsid w:val="00564823"/>
    <w:rsid w:val="0057039E"/>
    <w:rsid w:val="005A42BF"/>
    <w:rsid w:val="005B5DFE"/>
    <w:rsid w:val="005E12F1"/>
    <w:rsid w:val="006123CD"/>
    <w:rsid w:val="00683F93"/>
    <w:rsid w:val="006A36B3"/>
    <w:rsid w:val="007315C7"/>
    <w:rsid w:val="00745CA6"/>
    <w:rsid w:val="00771982"/>
    <w:rsid w:val="007A7CD1"/>
    <w:rsid w:val="007D2146"/>
    <w:rsid w:val="007F4D1B"/>
    <w:rsid w:val="00801E69"/>
    <w:rsid w:val="00832FE8"/>
    <w:rsid w:val="008729C8"/>
    <w:rsid w:val="008C3C99"/>
    <w:rsid w:val="0091600C"/>
    <w:rsid w:val="00961738"/>
    <w:rsid w:val="009A672F"/>
    <w:rsid w:val="009C540A"/>
    <w:rsid w:val="009F33D3"/>
    <w:rsid w:val="00A76719"/>
    <w:rsid w:val="00A92C68"/>
    <w:rsid w:val="00AE5C82"/>
    <w:rsid w:val="00B32C9D"/>
    <w:rsid w:val="00B449C9"/>
    <w:rsid w:val="00B55BF6"/>
    <w:rsid w:val="00BB58D9"/>
    <w:rsid w:val="00D20868"/>
    <w:rsid w:val="00D33E34"/>
    <w:rsid w:val="00D46536"/>
    <w:rsid w:val="00D754AC"/>
    <w:rsid w:val="00D75583"/>
    <w:rsid w:val="00DA40F1"/>
    <w:rsid w:val="00DB248F"/>
    <w:rsid w:val="00DB5D48"/>
    <w:rsid w:val="00DF34D4"/>
    <w:rsid w:val="00E07D3E"/>
    <w:rsid w:val="00E1600A"/>
    <w:rsid w:val="00E90881"/>
    <w:rsid w:val="00EF667E"/>
    <w:rsid w:val="00F01ECE"/>
    <w:rsid w:val="00F42314"/>
    <w:rsid w:val="00F4533A"/>
    <w:rsid w:val="00F6374F"/>
    <w:rsid w:val="00F829BE"/>
    <w:rsid w:val="00FE6A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FA0A96"/>
  <w15:chartTrackingRefBased/>
  <w15:docId w15:val="{3C617A51-6384-4418-8F99-BE2B606F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360"/>
      <w:outlineLvl w:val="0"/>
    </w:pPr>
    <w:rPr>
      <w:b/>
      <w:bCs/>
      <w:sz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ind w:left="1440"/>
      <w:outlineLvl w:val="4"/>
    </w:pPr>
    <w:rPr>
      <w:b/>
      <w:bCs/>
      <w:sz w:val="32"/>
    </w:rPr>
  </w:style>
  <w:style w:type="paragraph" w:styleId="Heading6">
    <w:name w:val="heading 6"/>
    <w:basedOn w:val="Normal"/>
    <w:next w:val="Normal"/>
    <w:qFormat/>
    <w:pPr>
      <w:keepNex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4"/>
    </w:rPr>
  </w:style>
  <w:style w:type="paragraph" w:styleId="Title">
    <w:name w:val="Title"/>
    <w:basedOn w:val="Normal"/>
    <w:qFormat/>
    <w:pPr>
      <w:ind w:firstLine="720"/>
      <w:jc w:val="center"/>
    </w:pPr>
    <w:rPr>
      <w:rFonts w:ascii="Helvetica" w:hAnsi="Helvetica"/>
      <w:b/>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360"/>
    </w:pPr>
    <w:rPr>
      <w:sz w:val="24"/>
    </w:rPr>
  </w:style>
  <w:style w:type="paragraph" w:customStyle="1" w:styleId="Default">
    <w:name w:val="Default"/>
    <w:pPr>
      <w:autoSpaceDE w:val="0"/>
      <w:autoSpaceDN w:val="0"/>
      <w:adjustRightInd w:val="0"/>
    </w:pPr>
    <w:rPr>
      <w:color w:val="000000"/>
      <w:sz w:val="24"/>
      <w:szCs w:val="24"/>
    </w:rPr>
  </w:style>
  <w:style w:type="paragraph" w:styleId="Caption">
    <w:name w:val="caption"/>
    <w:aliases w:val="Figure,fig"/>
    <w:basedOn w:val="Default"/>
    <w:next w:val="Default"/>
    <w:qFormat/>
    <w:pPr>
      <w:spacing w:before="120" w:after="120"/>
    </w:pPr>
    <w:rPr>
      <w:color w:val="auto"/>
    </w:rPr>
  </w:style>
  <w:style w:type="paragraph" w:styleId="BalloonText">
    <w:name w:val="Balloon Text"/>
    <w:basedOn w:val="Normal"/>
    <w:link w:val="BalloonTextChar"/>
    <w:rsid w:val="000B3B94"/>
    <w:rPr>
      <w:rFonts w:ascii="Tahoma" w:hAnsi="Tahoma" w:cs="Tahoma"/>
      <w:sz w:val="16"/>
      <w:szCs w:val="16"/>
    </w:rPr>
  </w:style>
  <w:style w:type="character" w:customStyle="1" w:styleId="BalloonTextChar">
    <w:name w:val="Balloon Text Char"/>
    <w:link w:val="BalloonText"/>
    <w:rsid w:val="000B3B94"/>
    <w:rPr>
      <w:rFonts w:ascii="Tahoma" w:hAnsi="Tahoma" w:cs="Tahoma"/>
      <w:sz w:val="16"/>
      <w:szCs w:val="16"/>
    </w:rPr>
  </w:style>
  <w:style w:type="character" w:customStyle="1" w:styleId="FooterChar">
    <w:name w:val="Footer Char"/>
    <w:link w:val="Footer"/>
    <w:uiPriority w:val="99"/>
    <w:rsid w:val="00225E5F"/>
  </w:style>
  <w:style w:type="paragraph" w:styleId="ListParagraph">
    <w:name w:val="List Paragraph"/>
    <w:basedOn w:val="Normal"/>
    <w:uiPriority w:val="34"/>
    <w:qFormat/>
    <w:rsid w:val="00447AC9"/>
    <w:pPr>
      <w:ind w:left="720"/>
    </w:pPr>
  </w:style>
  <w:style w:type="character" w:styleId="Emphasis">
    <w:name w:val="Emphasis"/>
    <w:uiPriority w:val="20"/>
    <w:qFormat/>
    <w:rsid w:val="00194FB7"/>
    <w:rPr>
      <w:b/>
      <w:bCs/>
      <w:i w:val="0"/>
      <w:iCs w:val="0"/>
    </w:rPr>
  </w:style>
  <w:style w:type="character" w:customStyle="1" w:styleId="st1">
    <w:name w:val="st1"/>
    <w:rsid w:val="0019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c.notes.data\83-i-omb.dot%20for%202502-01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83-i-omb.dot for 2502-0112</Template>
  <TotalTime>4</TotalTime>
  <Pages>6</Pages>
  <Words>2587</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Ethelene Moore</dc:creator>
  <cp:lastModifiedBy>Vivian</cp:lastModifiedBy>
  <cp:revision>2</cp:revision>
  <cp:lastPrinted>2017-08-30T14:47:00Z</cp:lastPrinted>
  <dcterms:created xsi:type="dcterms:W3CDTF">2023-08-02T18:53:00Z</dcterms:created>
  <dcterms:modified xsi:type="dcterms:W3CDTF">2023-08-02T18:53:00Z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