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6A14" w:rsidP="000F6A14" w14:paraId="58B50DD3" w14:textId="1C433DAE">
      <w:pPr>
        <w:jc w:val="center"/>
        <w:rPr>
          <w:rFonts w:ascii="Arial" w:hAnsi="Arial" w:cs="Arial"/>
          <w:b/>
          <w:sz w:val="32"/>
          <w:szCs w:val="32"/>
        </w:rPr>
      </w:pPr>
      <w:r>
        <w:rPr>
          <w:rFonts w:ascii="Arial" w:hAnsi="Arial" w:cs="Arial"/>
          <w:b/>
          <w:sz w:val="32"/>
          <w:szCs w:val="32"/>
        </w:rPr>
        <w:t xml:space="preserve">2023 </w:t>
      </w:r>
      <w:r w:rsidRPr="00C55D3E">
        <w:rPr>
          <w:rFonts w:ascii="Arial" w:hAnsi="Arial" w:cs="Arial"/>
          <w:b/>
          <w:sz w:val="32"/>
          <w:szCs w:val="32"/>
        </w:rPr>
        <w:t xml:space="preserve">SUPPORTING STATEMENT </w:t>
      </w:r>
    </w:p>
    <w:p w:rsidR="000F6A14" w:rsidP="000F6A14" w14:paraId="34E02E1F" w14:textId="77777777">
      <w:pPr>
        <w:jc w:val="center"/>
        <w:rPr>
          <w:rFonts w:ascii="Arial" w:hAnsi="Arial" w:cs="Arial"/>
          <w:b/>
        </w:rPr>
      </w:pPr>
    </w:p>
    <w:p w:rsidR="000F6A14" w:rsidRPr="00E24C0A" w:rsidP="000F6A14" w14:paraId="17562645" w14:textId="77777777">
      <w:pPr>
        <w:jc w:val="center"/>
        <w:rPr>
          <w:rFonts w:ascii="Arial" w:hAnsi="Arial" w:cs="Arial"/>
          <w:b/>
          <w:sz w:val="28"/>
          <w:szCs w:val="28"/>
        </w:rPr>
      </w:pPr>
      <w:r w:rsidRPr="00E24C0A">
        <w:rPr>
          <w:rFonts w:ascii="Arial" w:hAnsi="Arial" w:cs="Arial"/>
          <w:b/>
          <w:sz w:val="28"/>
          <w:szCs w:val="28"/>
        </w:rPr>
        <w:t xml:space="preserve">CERTIFICATE OF DELIVERY OF ADVANCE PAYMENT AND ENROLLMENT </w:t>
      </w:r>
    </w:p>
    <w:p w:rsidR="000F6A14" w:rsidRPr="00E24C0A" w:rsidP="000F6A14" w14:paraId="5F06D1B9" w14:textId="77777777">
      <w:pPr>
        <w:jc w:val="center"/>
        <w:rPr>
          <w:rFonts w:ascii="Arial" w:hAnsi="Arial" w:cs="Arial"/>
          <w:b/>
          <w:sz w:val="28"/>
          <w:szCs w:val="28"/>
        </w:rPr>
      </w:pPr>
    </w:p>
    <w:p w:rsidR="000F6A14" w:rsidRPr="00E24C0A" w:rsidP="000F6A14" w14:paraId="23A889F0" w14:textId="77777777">
      <w:pPr>
        <w:jc w:val="center"/>
        <w:rPr>
          <w:rFonts w:ascii="Arial" w:hAnsi="Arial" w:cs="Arial"/>
          <w:b/>
          <w:sz w:val="28"/>
          <w:szCs w:val="28"/>
        </w:rPr>
      </w:pPr>
      <w:r w:rsidRPr="00E24C0A">
        <w:rPr>
          <w:rFonts w:ascii="Arial" w:hAnsi="Arial" w:cs="Arial"/>
          <w:b/>
          <w:sz w:val="28"/>
          <w:szCs w:val="28"/>
        </w:rPr>
        <w:t xml:space="preserve"> </w:t>
      </w:r>
      <w:r>
        <w:rPr>
          <w:rFonts w:ascii="Arial" w:hAnsi="Arial" w:cs="Arial"/>
          <w:b/>
          <w:sz w:val="28"/>
          <w:szCs w:val="28"/>
        </w:rPr>
        <w:t xml:space="preserve">VA Form # </w:t>
      </w:r>
      <w:r w:rsidRPr="00E24C0A">
        <w:rPr>
          <w:rFonts w:ascii="Arial" w:hAnsi="Arial" w:cs="Arial"/>
          <w:b/>
          <w:sz w:val="28"/>
          <w:szCs w:val="28"/>
        </w:rPr>
        <w:t>22-1999v - OMB Control Number 2900-0325</w:t>
      </w:r>
    </w:p>
    <w:p w:rsidR="000F6A14" w:rsidP="000F6A14" w14:paraId="13C08CF7" w14:textId="77777777">
      <w:pPr>
        <w:jc w:val="center"/>
        <w:rPr>
          <w:rFonts w:ascii="Arial" w:hAnsi="Arial" w:cs="Arial"/>
          <w:b/>
        </w:rPr>
      </w:pPr>
    </w:p>
    <w:p w:rsidR="000F6A14" w:rsidP="00264E1D" w14:paraId="35495A31" w14:textId="672CF9A6">
      <w:pPr>
        <w:rPr>
          <w:rFonts w:ascii="Arial" w:hAnsi="Arial" w:cs="Arial"/>
        </w:rPr>
      </w:pPr>
    </w:p>
    <w:p w:rsidR="00E34A2A" w:rsidP="007A0F26" w14:paraId="349F9F4A" w14:textId="77777777">
      <w:pPr>
        <w:rPr>
          <w:rFonts w:ascii="Arial" w:hAnsi="Arial" w:cs="Arial"/>
        </w:rPr>
      </w:pPr>
      <w:bookmarkStart w:id="0" w:name="_Hlk143600178"/>
      <w:r w:rsidRPr="00E73FAC">
        <w:rPr>
          <w:rFonts w:ascii="Arial" w:hAnsi="Arial" w:cs="Arial"/>
          <w:b/>
          <w:bCs/>
        </w:rPr>
        <w:t>Summary</w:t>
      </w:r>
      <w:r w:rsidR="00BD3780">
        <w:rPr>
          <w:rFonts w:ascii="Arial" w:hAnsi="Arial" w:cs="Arial"/>
          <w:b/>
          <w:bCs/>
        </w:rPr>
        <w:t xml:space="preserve"> of Changes from the Previously Approved Collection</w:t>
      </w:r>
      <w:r w:rsidRPr="00E73FAC">
        <w:rPr>
          <w:rFonts w:ascii="Arial" w:hAnsi="Arial" w:cs="Arial"/>
          <w:b/>
          <w:bCs/>
        </w:rPr>
        <w:t>:</w:t>
      </w:r>
      <w:r>
        <w:rPr>
          <w:rFonts w:ascii="Arial" w:hAnsi="Arial" w:cs="Arial"/>
        </w:rPr>
        <w:t xml:space="preserve">  </w:t>
      </w:r>
    </w:p>
    <w:p w:rsidR="00E34A2A" w:rsidP="007A0F26" w14:paraId="4B0393F3" w14:textId="77777777">
      <w:pPr>
        <w:rPr>
          <w:rFonts w:ascii="Arial" w:hAnsi="Arial" w:cs="Arial"/>
        </w:rPr>
      </w:pPr>
    </w:p>
    <w:p w:rsidR="00E34A2A" w:rsidP="00E34A2A" w14:paraId="74081360" w14:textId="77777777">
      <w:pPr>
        <w:rPr>
          <w:rFonts w:ascii="Arial" w:hAnsi="Arial" w:cs="Arial"/>
        </w:rPr>
      </w:pPr>
      <w:r w:rsidRPr="00E34A2A">
        <w:rPr>
          <w:rFonts w:ascii="Arial" w:hAnsi="Arial" w:cs="Arial"/>
        </w:rPr>
        <w:t xml:space="preserve">• This information collection request has been entered in ROCIS as a “Revision” due to </w:t>
      </w:r>
    </w:p>
    <w:p w:rsidR="00E34A2A" w:rsidP="00E34A2A" w14:paraId="2629B4F0" w14:textId="77777777">
      <w:pPr>
        <w:rPr>
          <w:rFonts w:ascii="Arial" w:hAnsi="Arial" w:cs="Arial"/>
        </w:rPr>
      </w:pPr>
      <w:r>
        <w:rPr>
          <w:rFonts w:ascii="Arial" w:hAnsi="Arial" w:cs="Arial"/>
        </w:rPr>
        <w:t xml:space="preserve">  </w:t>
      </w:r>
      <w:r w:rsidRPr="00E34A2A">
        <w:rPr>
          <w:rFonts w:ascii="Arial" w:hAnsi="Arial" w:cs="Arial"/>
        </w:rPr>
        <w:t xml:space="preserve">a decrease in the burden hours. The reduction in the burden hours is based on a </w:t>
      </w:r>
    </w:p>
    <w:p w:rsidR="00E34A2A" w:rsidP="00E34A2A" w14:paraId="2C25FF22" w14:textId="77777777">
      <w:pPr>
        <w:rPr>
          <w:rFonts w:ascii="Arial" w:hAnsi="Arial" w:cs="Arial"/>
        </w:rPr>
      </w:pPr>
      <w:r>
        <w:rPr>
          <w:rFonts w:ascii="Arial" w:hAnsi="Arial" w:cs="Arial"/>
        </w:rPr>
        <w:t xml:space="preserve">  </w:t>
      </w:r>
      <w:r w:rsidRPr="00E34A2A">
        <w:rPr>
          <w:rFonts w:ascii="Arial" w:hAnsi="Arial" w:cs="Arial"/>
        </w:rPr>
        <w:t xml:space="preserve">significant </w:t>
      </w:r>
      <w:r>
        <w:rPr>
          <w:rFonts w:ascii="Arial" w:hAnsi="Arial" w:cs="Arial"/>
        </w:rPr>
        <w:t>r</w:t>
      </w:r>
      <w:r w:rsidRPr="00E34A2A">
        <w:rPr>
          <w:rFonts w:ascii="Arial" w:hAnsi="Arial" w:cs="Arial"/>
        </w:rPr>
        <w:t xml:space="preserve">eduction in the number of average annual advance payments made over </w:t>
      </w:r>
    </w:p>
    <w:p w:rsidR="00E34A2A" w:rsidP="00E34A2A" w14:paraId="6AA6C412" w14:textId="153E5347">
      <w:pPr>
        <w:rPr>
          <w:rFonts w:ascii="Arial" w:hAnsi="Arial" w:cs="Arial"/>
        </w:rPr>
      </w:pPr>
      <w:r>
        <w:rPr>
          <w:rFonts w:ascii="Arial" w:hAnsi="Arial" w:cs="Arial"/>
        </w:rPr>
        <w:t xml:space="preserve">  </w:t>
      </w:r>
      <w:r w:rsidRPr="00E34A2A">
        <w:rPr>
          <w:rFonts w:ascii="Arial" w:hAnsi="Arial" w:cs="Arial"/>
        </w:rPr>
        <w:t>the periods, 2019, 2020, 2021 and 2022.</w:t>
      </w:r>
    </w:p>
    <w:p w:rsidR="002E4CAC" w:rsidP="002E4CAC" w14:paraId="61A14E80" w14:textId="17428036">
      <w:pPr>
        <w:jc w:val="both"/>
        <w:rPr>
          <w:rFonts w:ascii="Arial" w:hAnsi="Arial" w:cs="Arial"/>
          <w:sz w:val="20"/>
          <w:szCs w:val="20"/>
        </w:rPr>
      </w:pPr>
    </w:p>
    <w:p w:rsidR="00E34A2A" w:rsidP="00E34A2A" w14:paraId="6A3F836C" w14:textId="77777777">
      <w:pPr>
        <w:rPr>
          <w:rFonts w:ascii="Arial" w:hAnsi="Arial" w:cs="Arial"/>
        </w:rPr>
      </w:pPr>
      <w:r w:rsidRPr="00E34A2A">
        <w:rPr>
          <w:rFonts w:ascii="Arial" w:hAnsi="Arial" w:cs="Arial"/>
        </w:rPr>
        <w:t xml:space="preserve">•  Minor non-substantive edits have been made to the form that do not affect the burden </w:t>
      </w:r>
    </w:p>
    <w:p w:rsidR="00E34A2A" w:rsidP="00E34A2A" w14:paraId="1ABCDFDA" w14:textId="692AFBB1">
      <w:pPr>
        <w:rPr>
          <w:rFonts w:ascii="Arial" w:hAnsi="Arial" w:cs="Arial"/>
        </w:rPr>
      </w:pPr>
      <w:r>
        <w:rPr>
          <w:rFonts w:ascii="Arial" w:hAnsi="Arial" w:cs="Arial"/>
        </w:rPr>
        <w:t xml:space="preserve">   </w:t>
      </w:r>
      <w:r w:rsidRPr="00E34A2A">
        <w:rPr>
          <w:rFonts w:ascii="Arial" w:hAnsi="Arial" w:cs="Arial"/>
        </w:rPr>
        <w:t>hours.</w:t>
      </w:r>
    </w:p>
    <w:p w:rsidR="002E4CAC" w:rsidP="00E34A2A" w14:paraId="310694D6" w14:textId="1075F6B7">
      <w:pPr>
        <w:rPr>
          <w:rFonts w:ascii="Arial" w:hAnsi="Arial" w:cs="Arial"/>
        </w:rPr>
      </w:pPr>
    </w:p>
    <w:p w:rsidR="002E4CAC" w:rsidP="002E4CAC" w14:paraId="5F227F16" w14:textId="03341F7E">
      <w:pPr>
        <w:rPr>
          <w:rFonts w:ascii="Arial" w:hAnsi="Arial" w:cs="Arial"/>
        </w:rPr>
      </w:pPr>
      <w:r w:rsidRPr="00E34A2A">
        <w:rPr>
          <w:rFonts w:ascii="Arial" w:hAnsi="Arial" w:cs="Arial"/>
        </w:rPr>
        <w:t xml:space="preserve">•  </w:t>
      </w:r>
      <w:r>
        <w:rPr>
          <w:rFonts w:ascii="Arial" w:hAnsi="Arial" w:cs="Arial"/>
        </w:rPr>
        <w:t xml:space="preserve">No comments were received in response to the Federal Register Notices. </w:t>
      </w:r>
    </w:p>
    <w:p w:rsidR="002E4CAC" w:rsidP="00E34A2A" w14:paraId="18869723" w14:textId="77777777">
      <w:pPr>
        <w:rPr>
          <w:rFonts w:ascii="Arial" w:hAnsi="Arial" w:cs="Arial"/>
        </w:rPr>
      </w:pPr>
    </w:p>
    <w:bookmarkEnd w:id="0"/>
    <w:p w:rsidR="000F6A14" w:rsidP="000F6A14" w14:paraId="5A15C91D" w14:textId="77777777">
      <w:pPr>
        <w:jc w:val="center"/>
        <w:rPr>
          <w:rFonts w:ascii="Arial" w:hAnsi="Arial" w:cs="Arial"/>
        </w:rPr>
      </w:pPr>
    </w:p>
    <w:p w:rsidR="000F6A14" w:rsidP="000F6A14" w14:paraId="10D14A09" w14:textId="77777777">
      <w:pPr>
        <w:rPr>
          <w:rFonts w:ascii="Arial" w:hAnsi="Arial" w:cs="Arial"/>
          <w:b/>
          <w:sz w:val="28"/>
          <w:szCs w:val="28"/>
          <w:u w:val="single"/>
        </w:rPr>
      </w:pPr>
      <w:r w:rsidRPr="00C55D3E">
        <w:rPr>
          <w:rFonts w:ascii="Arial" w:hAnsi="Arial" w:cs="Arial"/>
          <w:b/>
          <w:sz w:val="28"/>
          <w:szCs w:val="28"/>
          <w:u w:val="single"/>
        </w:rPr>
        <w:t>A.  Justification.</w:t>
      </w:r>
    </w:p>
    <w:p w:rsidR="000F6A14" w:rsidRPr="00C55D3E" w:rsidP="000F6A14" w14:paraId="4811EF58" w14:textId="77777777">
      <w:pPr>
        <w:rPr>
          <w:rFonts w:ascii="Arial" w:hAnsi="Arial" w:cs="Arial"/>
          <w:b/>
          <w:sz w:val="28"/>
          <w:szCs w:val="28"/>
          <w:u w:val="single"/>
        </w:rPr>
      </w:pPr>
    </w:p>
    <w:p w:rsidR="000F6A14" w:rsidRPr="006041A3" w:rsidP="000F6A14" w14:paraId="7317E605" w14:textId="77777777">
      <w:pPr>
        <w:rPr>
          <w:rFonts w:ascii="Arial" w:hAnsi="Arial" w:cs="Arial"/>
          <w:b/>
        </w:rPr>
      </w:pPr>
      <w:r w:rsidRPr="006041A3">
        <w:rPr>
          <w:rFonts w:ascii="Arial" w:hAnsi="Arial" w:cs="Arial"/>
          <w:b/>
        </w:rPr>
        <w:t xml:space="preserve">1.  Explain the circumstances that make the collection of information necessary.  Identify legal or administrative requirements that necessitate the collection of information.  </w:t>
      </w:r>
    </w:p>
    <w:p w:rsidR="000F6A14" w:rsidP="000F6A14" w14:paraId="76E052F6" w14:textId="77777777">
      <w:pPr>
        <w:rPr>
          <w:rFonts w:ascii="Arial" w:hAnsi="Arial" w:cs="Arial"/>
        </w:rPr>
      </w:pPr>
    </w:p>
    <w:p w:rsidR="00AF4E69" w:rsidP="000F6A14" w14:paraId="11C8F679" w14:textId="77777777">
      <w:pPr>
        <w:pStyle w:val="BodyTextIndent2"/>
        <w:ind w:left="0"/>
      </w:pPr>
      <w:r>
        <w:t xml:space="preserve">The Department of Veterans Affairs (VA) is authorized to pay educational benefits for Veterans and to other eligible </w:t>
      </w:r>
      <w:r w:rsidR="0091106F">
        <w:t>beneficiaries p</w:t>
      </w:r>
      <w:r>
        <w:t xml:space="preserve">ursuing approved programs of education.  </w:t>
      </w:r>
    </w:p>
    <w:p w:rsidR="00AF4E69" w:rsidP="000F6A14" w14:paraId="6883CD6A" w14:textId="77777777">
      <w:pPr>
        <w:pStyle w:val="BodyTextIndent2"/>
        <w:ind w:left="0"/>
      </w:pPr>
    </w:p>
    <w:p w:rsidR="000F6A14" w:rsidP="000F6A14" w14:paraId="16DB9F08" w14:textId="48EE20DB">
      <w:pPr>
        <w:pStyle w:val="BodyTextIndent2"/>
        <w:ind w:left="0"/>
      </w:pPr>
      <w:r>
        <w:t xml:space="preserve">When certain requirements are met, VA is authorized to issue payments in advance of the beginning date of training under chapters 30, 32, 35 of title 38, U.S. Code, </w:t>
      </w:r>
      <w:r w:rsidR="000D0AE1">
        <w:t xml:space="preserve">and </w:t>
      </w:r>
      <w:r>
        <w:t xml:space="preserve">chapter 1606 of title 10, U.S. Code. The schools deliver advance payments to the individual and are required by law to certify to the VA that these deliveries were made. The schools are also required to report the following to VA:  the failure of a student to enroll; an interruption or termination of attendance; or a finding of unsatisfactory attendance, conduct or progress.  </w:t>
      </w:r>
    </w:p>
    <w:p w:rsidR="000F6A14" w:rsidP="000F6A14" w14:paraId="0270AC88" w14:textId="77777777">
      <w:pPr>
        <w:ind w:left="360"/>
        <w:contextualSpacing/>
        <w:rPr>
          <w:rFonts w:ascii="Arial" w:hAnsi="Arial" w:cs="Arial"/>
        </w:rPr>
      </w:pPr>
    </w:p>
    <w:p w:rsidR="000F6A14" w:rsidP="000F6A14" w14:paraId="3797A0D8" w14:textId="77777777">
      <w:pPr>
        <w:contextualSpacing/>
        <w:rPr>
          <w:rFonts w:ascii="Arial" w:hAnsi="Arial" w:cs="Arial"/>
        </w:rPr>
      </w:pPr>
      <w:r>
        <w:rPr>
          <w:rFonts w:ascii="Arial" w:hAnsi="Arial" w:cs="Arial"/>
        </w:rPr>
        <w:t>The following statutes and regulations require this information collection:</w:t>
      </w:r>
    </w:p>
    <w:p w:rsidR="000F6A14" w:rsidP="000F6A14" w14:paraId="4F02443B" w14:textId="77777777">
      <w:pPr>
        <w:ind w:left="360"/>
        <w:contextualSpacing/>
        <w:rPr>
          <w:rFonts w:ascii="Arial" w:hAnsi="Arial" w:cs="Arial"/>
        </w:rPr>
      </w:pPr>
      <w:r>
        <w:rPr>
          <w:rFonts w:ascii="Arial" w:hAnsi="Arial" w:cs="Arial"/>
        </w:rPr>
        <w:tab/>
      </w:r>
      <w:r>
        <w:rPr>
          <w:rFonts w:ascii="Arial" w:hAnsi="Arial" w:cs="Arial"/>
        </w:rPr>
        <w:tab/>
      </w:r>
    </w:p>
    <w:p w:rsidR="000F6A14" w:rsidP="00AF4E69" w14:paraId="7DE0B33B" w14:textId="1C4EB58F">
      <w:pPr>
        <w:contextualSpacing/>
        <w:rPr>
          <w:rFonts w:ascii="Arial" w:hAnsi="Arial" w:cs="Arial"/>
        </w:rPr>
      </w:pPr>
      <w:bookmarkStart w:id="1" w:name="_Hlk23432342"/>
      <w:bookmarkStart w:id="2" w:name="_Hlk23432317"/>
      <w:r>
        <w:rPr>
          <w:rFonts w:ascii="Arial" w:hAnsi="Arial" w:cs="Arial"/>
        </w:rPr>
        <w:t>38 U.S.C. 3034, 3241, 3531, 3680(d), 3684</w:t>
      </w:r>
      <w:bookmarkEnd w:id="1"/>
      <w:r w:rsidR="00AF4E69">
        <w:rPr>
          <w:rFonts w:ascii="Arial" w:hAnsi="Arial" w:cs="Arial"/>
        </w:rPr>
        <w:t>,</w:t>
      </w:r>
      <w:bookmarkStart w:id="3" w:name="_Hlk23432359"/>
      <w:r>
        <w:rPr>
          <w:rFonts w:ascii="Arial" w:hAnsi="Arial" w:cs="Arial"/>
        </w:rPr>
        <w:t>10 U.S.C. 16136(b)</w:t>
      </w:r>
      <w:bookmarkEnd w:id="3"/>
      <w:r w:rsidR="00AF4E69">
        <w:rPr>
          <w:rFonts w:ascii="Arial" w:hAnsi="Arial" w:cs="Arial"/>
        </w:rPr>
        <w:t xml:space="preserve">, </w:t>
      </w:r>
      <w:bookmarkStart w:id="4" w:name="_Hlk23432387"/>
      <w:r>
        <w:rPr>
          <w:rFonts w:ascii="Arial" w:hAnsi="Arial" w:cs="Arial"/>
        </w:rPr>
        <w:t>38 C.F.R. 21.4138a, 21.4203(a) and (d), 21.5135, 21.5200(d), 21.5292(e)(2), 21.7151(b), and 21.7640(d)</w:t>
      </w:r>
      <w:bookmarkEnd w:id="4"/>
      <w:r w:rsidR="00AF4E69">
        <w:rPr>
          <w:rFonts w:ascii="Arial" w:hAnsi="Arial" w:cs="Arial"/>
        </w:rPr>
        <w:t>.</w:t>
      </w:r>
    </w:p>
    <w:bookmarkEnd w:id="2"/>
    <w:p w:rsidR="000F6A14" w:rsidP="000F6A14" w14:paraId="3048E78E" w14:textId="77777777">
      <w:pPr>
        <w:rPr>
          <w:rFonts w:ascii="Arial" w:hAnsi="Arial" w:cs="Arial"/>
          <w:b/>
        </w:rPr>
      </w:pPr>
    </w:p>
    <w:p w:rsidR="000F6A14" w:rsidRPr="006041A3" w:rsidP="000F6A14" w14:paraId="77E7F5A5" w14:textId="77777777">
      <w:pPr>
        <w:rPr>
          <w:rFonts w:ascii="Arial" w:hAnsi="Arial" w:cs="Arial"/>
          <w:b/>
        </w:rPr>
      </w:pPr>
      <w:r w:rsidRPr="006041A3">
        <w:rPr>
          <w:rFonts w:ascii="Arial" w:hAnsi="Arial" w:cs="Arial"/>
          <w:b/>
        </w:rPr>
        <w:t>2. Indicate how, by whom, and for what purposes the information is to be used; indicate actual use the agency has made of the information received from current collection.</w:t>
      </w:r>
    </w:p>
    <w:p w:rsidR="000F6A14" w:rsidP="000F6A14" w14:paraId="18C7AA96" w14:textId="77777777">
      <w:pPr>
        <w:rPr>
          <w:rFonts w:ascii="Arial" w:hAnsi="Arial" w:cs="Arial"/>
        </w:rPr>
      </w:pPr>
    </w:p>
    <w:p w:rsidR="000F6A14" w:rsidRPr="00FE1C77" w:rsidP="000F6A14" w14:paraId="3EE808D8" w14:textId="0AD7C8CF">
      <w:pPr>
        <w:contextualSpacing/>
        <w:rPr>
          <w:rFonts w:ascii="Arial" w:hAnsi="Arial" w:cs="Arial"/>
        </w:rPr>
      </w:pPr>
      <w:bookmarkStart w:id="5" w:name="_Hlk23432488"/>
      <w:r w:rsidRPr="00FE1C77">
        <w:rPr>
          <w:rFonts w:ascii="Arial" w:hAnsi="Arial" w:cs="Arial"/>
        </w:rPr>
        <w:t>The VA uses information from the current collection at the beginning of the school term to ensure that advance payments have been delivered, and to determine whether the student has increased, reduced, or terminated training.</w:t>
      </w:r>
      <w:r w:rsidRPr="00FE1C77" w:rsidR="00FE1C77">
        <w:rPr>
          <w:rFonts w:ascii="Arial" w:hAnsi="Arial" w:cs="Arial"/>
        </w:rPr>
        <w:t xml:space="preserve"> </w:t>
      </w:r>
      <w:r w:rsidR="00FE1C77">
        <w:rPr>
          <w:rFonts w:ascii="Arial" w:hAnsi="Arial" w:cs="Arial"/>
        </w:rPr>
        <w:t>School Certifying Officials</w:t>
      </w:r>
      <w:r w:rsidR="00320E84">
        <w:rPr>
          <w:rFonts w:ascii="Arial" w:hAnsi="Arial" w:cs="Arial"/>
        </w:rPr>
        <w:t xml:space="preserve"> (SCOs) </w:t>
      </w:r>
      <w:r w:rsidRPr="00320E84" w:rsidR="00FE1C77">
        <w:rPr>
          <w:rFonts w:ascii="Arial" w:hAnsi="Arial" w:cs="Arial"/>
        </w:rPr>
        <w:t>completes this form and returns it to VA when delivery of the advance payment check</w:t>
      </w:r>
      <w:r w:rsidRPr="00320E84" w:rsidR="00FE1C77">
        <w:rPr>
          <w:rFonts w:ascii="Arial" w:hAnsi="Arial" w:cs="Arial"/>
          <w:spacing w:val="40"/>
        </w:rPr>
        <w:t xml:space="preserve"> </w:t>
      </w:r>
      <w:r w:rsidRPr="00320E84" w:rsidR="00FE1C77">
        <w:rPr>
          <w:rFonts w:ascii="Arial" w:hAnsi="Arial" w:cs="Arial"/>
        </w:rPr>
        <w:t>is made to students upon registration for their period of enrollment.</w:t>
      </w:r>
      <w:r w:rsidRPr="00320E84" w:rsidR="00320E84">
        <w:rPr>
          <w:rFonts w:ascii="Arial" w:hAnsi="Arial" w:cs="Arial"/>
        </w:rPr>
        <w:t xml:space="preserve"> If this student fails to register within 30 days after the commencement date of the enrollment period, the advance payment check must be returned to the Department of </w:t>
      </w:r>
      <w:r w:rsidR="00320E84">
        <w:rPr>
          <w:rFonts w:ascii="Arial" w:hAnsi="Arial" w:cs="Arial"/>
        </w:rPr>
        <w:t xml:space="preserve">the </w:t>
      </w:r>
      <w:r w:rsidRPr="00320E84" w:rsidR="00320E84">
        <w:rPr>
          <w:rFonts w:ascii="Arial" w:hAnsi="Arial" w:cs="Arial"/>
        </w:rPr>
        <w:t>Treasury</w:t>
      </w:r>
      <w:r w:rsidR="00320E84">
        <w:rPr>
          <w:rFonts w:ascii="Arial" w:hAnsi="Arial" w:cs="Arial"/>
        </w:rPr>
        <w:t>. Advance payments are not available under the Post-9/11 GI Bill (Chapter 33) benefit program.</w:t>
      </w:r>
    </w:p>
    <w:bookmarkEnd w:id="5"/>
    <w:p w:rsidR="000F6A14" w:rsidP="000F6A14" w14:paraId="66A823D4" w14:textId="77777777">
      <w:pPr>
        <w:ind w:left="360"/>
        <w:contextualSpacing/>
        <w:rPr>
          <w:rFonts w:ascii="Arial" w:hAnsi="Arial" w:cs="Arial"/>
        </w:rPr>
      </w:pPr>
    </w:p>
    <w:p w:rsidR="000F6A14" w:rsidRPr="006041A3" w:rsidP="000F6A14" w14:paraId="5B73624B" w14:textId="76339660">
      <w:pPr>
        <w:rPr>
          <w:rFonts w:ascii="Arial" w:hAnsi="Arial" w:cs="Arial"/>
          <w:b/>
        </w:rPr>
      </w:pPr>
      <w:r w:rsidRPr="006041A3">
        <w:rPr>
          <w:rFonts w:ascii="Arial" w:hAnsi="Arial" w:cs="Arial"/>
          <w:b/>
        </w:rPr>
        <w:t xml:space="preserve">3. Describe whether, and to what extent, the collection of information involves the use of automated, electronic, mechanical, or other technological collection techniques or other forms of information technology, </w:t>
      </w:r>
      <w:r w:rsidRPr="006041A3" w:rsidR="007B0A8B">
        <w:rPr>
          <w:rFonts w:ascii="Arial" w:hAnsi="Arial" w:cs="Arial"/>
          <w:b/>
        </w:rPr>
        <w:t>e.g.,</w:t>
      </w:r>
      <w:r w:rsidRPr="006041A3">
        <w:rPr>
          <w:rFonts w:ascii="Arial" w:hAnsi="Arial" w:cs="Arial"/>
          <w:b/>
        </w:rPr>
        <w:t xml:space="preserve"> permitting electronic submission of responses, and the basis for the decision for adopting this means of collection.  Also describe any consideration of using information technology to reduce burden.</w:t>
      </w:r>
    </w:p>
    <w:p w:rsidR="000F6A14" w:rsidP="000F6A14" w14:paraId="748EAEC2" w14:textId="77777777">
      <w:pPr>
        <w:rPr>
          <w:rFonts w:ascii="Arial" w:hAnsi="Arial" w:cs="Arial"/>
        </w:rPr>
      </w:pPr>
    </w:p>
    <w:p w:rsidR="000F6A14" w:rsidRPr="009B44D9" w:rsidP="000F6A14" w14:paraId="20D34EAD" w14:textId="391D474D">
      <w:pPr>
        <w:contextualSpacing/>
        <w:rPr>
          <w:rFonts w:ascii="Arial" w:hAnsi="Arial" w:cs="Arial"/>
          <w:color w:val="000000" w:themeColor="text1"/>
        </w:rPr>
      </w:pPr>
      <w:r>
        <w:rPr>
          <w:rFonts w:ascii="Arial" w:hAnsi="Arial" w:cs="Arial"/>
        </w:rPr>
        <w:t xml:space="preserve">The VA Form 22-1999v is </w:t>
      </w:r>
      <w:r w:rsidRPr="009B44D9">
        <w:rPr>
          <w:rFonts w:ascii="Arial" w:hAnsi="Arial" w:cs="Arial"/>
          <w:color w:val="000000" w:themeColor="text1"/>
        </w:rPr>
        <w:t xml:space="preserve">not available </w:t>
      </w:r>
      <w:r w:rsidR="00697077">
        <w:rPr>
          <w:rFonts w:ascii="Arial" w:hAnsi="Arial" w:cs="Arial"/>
          <w:color w:val="000000" w:themeColor="text1"/>
        </w:rPr>
        <w:t xml:space="preserve">electronically </w:t>
      </w:r>
      <w:r w:rsidRPr="009B44D9">
        <w:rPr>
          <w:rFonts w:ascii="Arial" w:hAnsi="Arial" w:cs="Arial"/>
          <w:color w:val="000000" w:themeColor="text1"/>
        </w:rPr>
        <w:t xml:space="preserve">on the VA </w:t>
      </w:r>
      <w:r>
        <w:rPr>
          <w:rFonts w:ascii="Arial" w:hAnsi="Arial" w:cs="Arial"/>
          <w:color w:val="000000" w:themeColor="text1"/>
        </w:rPr>
        <w:t xml:space="preserve">external </w:t>
      </w:r>
      <w:r w:rsidR="00320E84">
        <w:rPr>
          <w:rFonts w:ascii="Arial" w:hAnsi="Arial" w:cs="Arial"/>
          <w:color w:val="000000" w:themeColor="text1"/>
        </w:rPr>
        <w:t>I</w:t>
      </w:r>
      <w:r w:rsidRPr="009B44D9">
        <w:rPr>
          <w:rFonts w:ascii="Arial" w:hAnsi="Arial" w:cs="Arial"/>
          <w:color w:val="000000" w:themeColor="text1"/>
        </w:rPr>
        <w:t>nt</w:t>
      </w:r>
      <w:r>
        <w:rPr>
          <w:rFonts w:ascii="Arial" w:hAnsi="Arial" w:cs="Arial"/>
          <w:color w:val="000000" w:themeColor="text1"/>
        </w:rPr>
        <w:t xml:space="preserve">ernet </w:t>
      </w:r>
      <w:r w:rsidRPr="009B44D9">
        <w:rPr>
          <w:rFonts w:ascii="Arial" w:hAnsi="Arial" w:cs="Arial"/>
          <w:color w:val="000000" w:themeColor="text1"/>
        </w:rPr>
        <w:t xml:space="preserve">website </w:t>
      </w:r>
      <w:r w:rsidR="007B0A8B">
        <w:rPr>
          <w:rFonts w:ascii="Arial" w:hAnsi="Arial" w:cs="Arial"/>
          <w:color w:val="000000" w:themeColor="text1"/>
        </w:rPr>
        <w:t xml:space="preserve">(Find a Form), </w:t>
      </w:r>
      <w:r w:rsidRPr="009B44D9">
        <w:rPr>
          <w:rFonts w:ascii="Arial" w:hAnsi="Arial" w:cs="Arial"/>
          <w:color w:val="000000" w:themeColor="text1"/>
        </w:rPr>
        <w:t>as it is a controlled form</w:t>
      </w:r>
      <w:r w:rsidR="00697077">
        <w:rPr>
          <w:rFonts w:ascii="Arial" w:hAnsi="Arial" w:cs="Arial"/>
          <w:color w:val="000000" w:themeColor="text1"/>
        </w:rPr>
        <w:t>,</w:t>
      </w:r>
      <w:r w:rsidR="007B0A8B">
        <w:rPr>
          <w:rFonts w:ascii="Arial" w:hAnsi="Arial" w:cs="Arial"/>
          <w:color w:val="000000" w:themeColor="text1"/>
        </w:rPr>
        <w:t xml:space="preserve"> available internally </w:t>
      </w:r>
      <w:r w:rsidR="00697077">
        <w:rPr>
          <w:rFonts w:ascii="Arial" w:hAnsi="Arial" w:cs="Arial"/>
          <w:color w:val="000000" w:themeColor="text1"/>
        </w:rPr>
        <w:t xml:space="preserve">through VA systems, and is </w:t>
      </w:r>
      <w:r w:rsidR="00320E84">
        <w:rPr>
          <w:rFonts w:ascii="Arial" w:hAnsi="Arial" w:cs="Arial"/>
          <w:color w:val="000000" w:themeColor="text1"/>
        </w:rPr>
        <w:t xml:space="preserve">to </w:t>
      </w:r>
      <w:r w:rsidR="00697077">
        <w:rPr>
          <w:rFonts w:ascii="Arial" w:hAnsi="Arial" w:cs="Arial"/>
          <w:color w:val="000000" w:themeColor="text1"/>
        </w:rPr>
        <w:t xml:space="preserve">be completed </w:t>
      </w:r>
      <w:r w:rsidRPr="009B44D9">
        <w:rPr>
          <w:rFonts w:ascii="Arial" w:hAnsi="Arial" w:cs="Arial"/>
          <w:color w:val="000000" w:themeColor="text1"/>
        </w:rPr>
        <w:t xml:space="preserve">and submitted </w:t>
      </w:r>
      <w:r>
        <w:rPr>
          <w:rFonts w:ascii="Arial" w:hAnsi="Arial" w:cs="Arial"/>
          <w:color w:val="000000" w:themeColor="text1"/>
        </w:rPr>
        <w:t xml:space="preserve">only </w:t>
      </w:r>
      <w:r w:rsidRPr="009B44D9">
        <w:rPr>
          <w:rFonts w:ascii="Arial" w:hAnsi="Arial" w:cs="Arial"/>
          <w:color w:val="000000" w:themeColor="text1"/>
        </w:rPr>
        <w:t xml:space="preserve">by the </w:t>
      </w:r>
      <w:r w:rsidR="00FE1C77">
        <w:rPr>
          <w:rFonts w:ascii="Arial" w:hAnsi="Arial" w:cs="Arial"/>
          <w:color w:val="000000" w:themeColor="text1"/>
        </w:rPr>
        <w:t xml:space="preserve">authorized designated certifying official at </w:t>
      </w:r>
      <w:r w:rsidR="00697077">
        <w:rPr>
          <w:rFonts w:ascii="Arial" w:hAnsi="Arial" w:cs="Arial"/>
          <w:color w:val="000000" w:themeColor="text1"/>
        </w:rPr>
        <w:t xml:space="preserve">the </w:t>
      </w:r>
      <w:r w:rsidR="00320E84">
        <w:rPr>
          <w:rFonts w:ascii="Arial" w:hAnsi="Arial" w:cs="Arial"/>
          <w:color w:val="000000" w:themeColor="text1"/>
        </w:rPr>
        <w:t>I</w:t>
      </w:r>
      <w:r w:rsidRPr="009B44D9">
        <w:rPr>
          <w:rFonts w:ascii="Arial" w:hAnsi="Arial" w:cs="Arial"/>
          <w:color w:val="000000" w:themeColor="text1"/>
        </w:rPr>
        <w:t xml:space="preserve">nstitution of </w:t>
      </w:r>
      <w:r w:rsidR="00320E84">
        <w:rPr>
          <w:rFonts w:ascii="Arial" w:hAnsi="Arial" w:cs="Arial"/>
          <w:color w:val="000000" w:themeColor="text1"/>
        </w:rPr>
        <w:t>H</w:t>
      </w:r>
      <w:r w:rsidRPr="009B44D9">
        <w:rPr>
          <w:rFonts w:ascii="Arial" w:hAnsi="Arial" w:cs="Arial"/>
          <w:color w:val="000000" w:themeColor="text1"/>
        </w:rPr>
        <w:t>ighe</w:t>
      </w:r>
      <w:r w:rsidR="00320E84">
        <w:rPr>
          <w:rFonts w:ascii="Arial" w:hAnsi="Arial" w:cs="Arial"/>
          <w:color w:val="000000" w:themeColor="text1"/>
        </w:rPr>
        <w:t>r</w:t>
      </w:r>
      <w:r w:rsidRPr="009B44D9">
        <w:rPr>
          <w:rFonts w:ascii="Arial" w:hAnsi="Arial" w:cs="Arial"/>
          <w:color w:val="000000" w:themeColor="text1"/>
        </w:rPr>
        <w:t xml:space="preserve"> </w:t>
      </w:r>
      <w:r w:rsidR="00320E84">
        <w:rPr>
          <w:rFonts w:ascii="Arial" w:hAnsi="Arial" w:cs="Arial"/>
          <w:color w:val="000000" w:themeColor="text1"/>
        </w:rPr>
        <w:t>L</w:t>
      </w:r>
      <w:r w:rsidRPr="009B44D9">
        <w:rPr>
          <w:rFonts w:ascii="Arial" w:hAnsi="Arial" w:cs="Arial"/>
          <w:color w:val="000000" w:themeColor="text1"/>
        </w:rPr>
        <w:t>earning</w:t>
      </w:r>
      <w:r w:rsidR="00320E84">
        <w:rPr>
          <w:rFonts w:ascii="Arial" w:hAnsi="Arial" w:cs="Arial"/>
          <w:color w:val="000000" w:themeColor="text1"/>
        </w:rPr>
        <w:t xml:space="preserve"> (IHL)</w:t>
      </w:r>
      <w:r w:rsidRPr="009B44D9">
        <w:rPr>
          <w:rFonts w:ascii="Arial" w:hAnsi="Arial" w:cs="Arial"/>
          <w:color w:val="000000" w:themeColor="text1"/>
        </w:rPr>
        <w:t>.</w:t>
      </w:r>
      <w:r w:rsidRPr="00D42759">
        <w:rPr>
          <w:rFonts w:ascii="Arial" w:hAnsi="Arial" w:cs="Arial"/>
          <w:color w:val="000000" w:themeColor="text1"/>
        </w:rPr>
        <w:t xml:space="preserve"> </w:t>
      </w:r>
    </w:p>
    <w:p w:rsidR="000F6A14" w:rsidP="000F6A14" w14:paraId="657E029C" w14:textId="77777777">
      <w:pPr>
        <w:contextualSpacing/>
        <w:rPr>
          <w:rFonts w:ascii="Arial" w:hAnsi="Arial" w:cs="Arial"/>
        </w:rPr>
      </w:pPr>
    </w:p>
    <w:p w:rsidR="000F6A14" w:rsidRPr="006041A3" w:rsidP="000F6A14" w14:paraId="2E370A9E" w14:textId="77777777">
      <w:pPr>
        <w:rPr>
          <w:rFonts w:ascii="Arial" w:hAnsi="Arial" w:cs="Arial"/>
        </w:rPr>
      </w:pPr>
      <w:r w:rsidRPr="006041A3">
        <w:rPr>
          <w:rFonts w:ascii="Arial" w:hAnsi="Arial" w:cs="Arial"/>
          <w:b/>
        </w:rPr>
        <w:t>4. Describe efforts to identify duplication.  Show specifically why any similar information already available cannot be used or modified for use for the purposes described in Item 2 above</w:t>
      </w:r>
      <w:r w:rsidRPr="006041A3">
        <w:rPr>
          <w:rFonts w:ascii="Arial" w:hAnsi="Arial" w:cs="Arial"/>
        </w:rPr>
        <w:t>.</w:t>
      </w:r>
    </w:p>
    <w:p w:rsidR="000F6A14" w:rsidP="000F6A14" w14:paraId="109F111D" w14:textId="77777777">
      <w:pPr>
        <w:rPr>
          <w:rFonts w:ascii="Arial" w:hAnsi="Arial" w:cs="Arial"/>
        </w:rPr>
      </w:pPr>
    </w:p>
    <w:p w:rsidR="000F6A14" w:rsidP="000F6A14" w14:paraId="4160447A" w14:textId="127050A1">
      <w:pPr>
        <w:rPr>
          <w:rFonts w:ascii="Arial" w:hAnsi="Arial" w:cs="Arial"/>
        </w:rPr>
      </w:pPr>
      <w:r>
        <w:rPr>
          <w:rFonts w:ascii="Arial" w:hAnsi="Arial" w:cs="Arial"/>
        </w:rPr>
        <w:t xml:space="preserve">The information obtained through this collection is unique and is not already available for use or adaptation from another cleared source. </w:t>
      </w:r>
    </w:p>
    <w:p w:rsidR="000F6A14" w:rsidP="000F6A14" w14:paraId="252FC5FA" w14:textId="77777777">
      <w:pPr>
        <w:rPr>
          <w:rFonts w:ascii="Arial" w:hAnsi="Arial" w:cs="Arial"/>
          <w:b/>
        </w:rPr>
      </w:pPr>
    </w:p>
    <w:p w:rsidR="000F6A14" w:rsidRPr="00332397" w:rsidP="000F6A14" w14:paraId="34CAD080" w14:textId="77777777">
      <w:pPr>
        <w:rPr>
          <w:rFonts w:ascii="Arial" w:hAnsi="Arial" w:cs="Arial"/>
          <w:b/>
        </w:rPr>
      </w:pPr>
      <w:r w:rsidRPr="00332397">
        <w:rPr>
          <w:rFonts w:ascii="Arial" w:hAnsi="Arial" w:cs="Arial"/>
          <w:b/>
        </w:rPr>
        <w:t>5. If the collection of information impacts small businesses or other small entities, describe any methods used to minimize burden.</w:t>
      </w:r>
    </w:p>
    <w:p w:rsidR="000F6A14" w:rsidP="000F6A14" w14:paraId="63AD9FAE" w14:textId="77777777">
      <w:pPr>
        <w:pStyle w:val="BodyText"/>
      </w:pPr>
    </w:p>
    <w:p w:rsidR="003B1A27" w:rsidP="000F6A14" w14:paraId="32A707F4" w14:textId="77777777">
      <w:pPr>
        <w:pStyle w:val="BodyTextIndent2"/>
        <w:ind w:left="0"/>
      </w:pPr>
      <w:r>
        <w:t xml:space="preserve">This information collection does not impose a significant economic impact on a substantial number of small businesses or entities. </w:t>
      </w:r>
    </w:p>
    <w:p w:rsidR="003B1A27" w:rsidP="000F6A14" w14:paraId="212C80B4" w14:textId="77777777">
      <w:pPr>
        <w:pStyle w:val="BodyTextIndent2"/>
        <w:ind w:left="0"/>
      </w:pPr>
    </w:p>
    <w:p w:rsidR="000F6A14" w:rsidP="000F6A14" w14:paraId="16D3C69B" w14:textId="4CE8FC86">
      <w:pPr>
        <w:pStyle w:val="BodyTextIndent2"/>
        <w:ind w:left="0"/>
      </w:pPr>
      <w:r>
        <w:t xml:space="preserve">Each educational institution that accepts advance payments on behalf of students are required by statute, regardless of the size of the institution, to submit a certification of </w:t>
      </w:r>
      <w:r w:rsidR="007B0A8B">
        <w:t xml:space="preserve">advance pay </w:t>
      </w:r>
      <w:r>
        <w:t xml:space="preserve">delivery. The form must be submitted for any student that </w:t>
      </w:r>
      <w:r w:rsidR="007B0A8B">
        <w:t xml:space="preserve">requests and </w:t>
      </w:r>
      <w:r>
        <w:t>receives the advance payment. For that reason, the information collection cannot be reduced for small establishments.</w:t>
      </w:r>
    </w:p>
    <w:p w:rsidR="000F6A14" w:rsidP="000F6A14" w14:paraId="5576ED77" w14:textId="77777777">
      <w:pPr>
        <w:rPr>
          <w:rFonts w:ascii="Arial" w:hAnsi="Arial" w:cs="Arial"/>
          <w:b/>
        </w:rPr>
      </w:pPr>
    </w:p>
    <w:p w:rsidR="000F6A14" w:rsidP="000F6A14" w14:paraId="4E80E12B" w14:textId="77777777">
      <w:pPr>
        <w:rPr>
          <w:rFonts w:ascii="Arial" w:hAnsi="Arial" w:cs="Arial"/>
          <w:b/>
        </w:rPr>
      </w:pPr>
      <w:r w:rsidRPr="00332397">
        <w:rPr>
          <w:rFonts w:ascii="Arial" w:hAnsi="Arial" w:cs="Arial"/>
          <w:b/>
        </w:rPr>
        <w:t xml:space="preserve">6. Describe the consequences to Federal program or policy activities if the collection is not conducted or is conducted less frequently as well as any technical or legal obstacles to reducing burden.  </w:t>
      </w:r>
    </w:p>
    <w:p w:rsidR="000F6A14" w:rsidP="000F6A14" w14:paraId="414B20E3" w14:textId="77777777">
      <w:pPr>
        <w:rPr>
          <w:rFonts w:ascii="Arial" w:hAnsi="Arial" w:cs="Arial"/>
        </w:rPr>
      </w:pPr>
    </w:p>
    <w:p w:rsidR="000F6A14" w:rsidP="000F6A14" w14:paraId="7A397E60" w14:textId="59C91FC9">
      <w:pPr>
        <w:contextualSpacing/>
        <w:rPr>
          <w:rFonts w:ascii="Arial" w:hAnsi="Arial" w:cs="Arial"/>
        </w:rPr>
      </w:pPr>
      <w:r>
        <w:rPr>
          <w:rFonts w:ascii="Arial" w:hAnsi="Arial" w:cs="Arial"/>
        </w:rPr>
        <w:t>Collecting this information is done after the school delivers the advance payment to the student. Delivery of advance payment cannot be confirmed without a completed form.  The collection of information prevents an overpayment or underpayment of benefits. If the information was not collected or collected irregularly, VA would be unable to prevent erroneous payments.</w:t>
      </w:r>
    </w:p>
    <w:p w:rsidR="000F6A14" w:rsidP="000F6A14" w14:paraId="0AB227E2" w14:textId="77777777">
      <w:pPr>
        <w:rPr>
          <w:rFonts w:ascii="Arial" w:hAnsi="Arial" w:cs="Arial"/>
          <w:b/>
        </w:rPr>
      </w:pPr>
    </w:p>
    <w:p w:rsidR="000F6A14" w:rsidRPr="00332397" w:rsidP="000F6A14" w14:paraId="6FB0B814" w14:textId="77777777">
      <w:pPr>
        <w:rPr>
          <w:rFonts w:ascii="Arial" w:hAnsi="Arial" w:cs="Arial"/>
          <w:b/>
        </w:rPr>
      </w:pPr>
      <w:r w:rsidRPr="00332397">
        <w:rPr>
          <w:rFonts w:ascii="Arial" w:hAnsi="Arial" w:cs="Arial"/>
          <w:b/>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0F6A14" w:rsidP="000F6A14" w14:paraId="6992D332" w14:textId="77777777">
      <w:pPr>
        <w:pStyle w:val="BodyText"/>
      </w:pPr>
    </w:p>
    <w:p w:rsidR="000F6A14" w:rsidP="000F6A14" w14:paraId="40BD0FCA" w14:textId="5703D0C4">
      <w:pPr>
        <w:rPr>
          <w:rFonts w:ascii="Arial" w:hAnsi="Arial" w:cs="Arial"/>
          <w:bCs/>
          <w:color w:val="000000" w:themeColor="text1"/>
        </w:rPr>
      </w:pPr>
      <w:r>
        <w:rPr>
          <w:rFonts w:ascii="Arial" w:hAnsi="Arial" w:cs="Arial"/>
          <w:bCs/>
          <w:color w:val="000000" w:themeColor="text1"/>
        </w:rPr>
        <w:t>The collection of information does not require collection to be conducted in a manner inconsistent with the guidelines delineated in 5 CFR 1320.5(d)(2).</w:t>
      </w:r>
    </w:p>
    <w:p w:rsidR="000F6A14" w:rsidP="000F6A14" w14:paraId="30137E11" w14:textId="77777777">
      <w:pPr>
        <w:rPr>
          <w:spacing w:val="-13"/>
        </w:rPr>
      </w:pPr>
    </w:p>
    <w:p w:rsidR="000F6A14" w:rsidRPr="00332397" w:rsidP="000F6A14" w14:paraId="76D8292A" w14:textId="77777777">
      <w:pPr>
        <w:rPr>
          <w:rFonts w:ascii="Arial" w:hAnsi="Arial" w:cs="Arial"/>
          <w:b/>
        </w:rPr>
      </w:pPr>
      <w:r w:rsidRPr="00332397">
        <w:rPr>
          <w:rFonts w:ascii="Arial" w:hAnsi="Arial" w:cs="Arial"/>
          <w:b/>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0F6A14" w:rsidP="000F6A14" w14:paraId="5DB02C0A" w14:textId="77777777">
      <w:pPr>
        <w:rPr>
          <w:rFonts w:ascii="Arial" w:hAnsi="Arial" w:cs="Arial"/>
        </w:rPr>
      </w:pPr>
    </w:p>
    <w:p w:rsidR="005F24E8" w:rsidRPr="005F24E8" w:rsidP="005F24E8" w14:paraId="2805C522" w14:textId="622262AD">
      <w:pPr>
        <w:rPr>
          <w:rFonts w:ascii="Arial" w:hAnsi="Arial" w:cs="Arial"/>
        </w:rPr>
      </w:pPr>
      <w:r w:rsidRPr="005F24E8">
        <w:rPr>
          <w:rFonts w:ascii="Arial" w:hAnsi="Arial" w:cs="Arial"/>
        </w:rPr>
        <w:t xml:space="preserve">A 60-Day Federal Register Notice (FRN) for the collection published on </w:t>
      </w:r>
      <w:r w:rsidR="009C6E94">
        <w:rPr>
          <w:rFonts w:ascii="Arial" w:hAnsi="Arial" w:cs="Arial"/>
        </w:rPr>
        <w:t xml:space="preserve">Monday, </w:t>
      </w:r>
      <w:r>
        <w:rPr>
          <w:rFonts w:ascii="Arial" w:hAnsi="Arial" w:cs="Arial"/>
        </w:rPr>
        <w:t xml:space="preserve"> </w:t>
      </w:r>
      <w:r w:rsidR="009C6E94">
        <w:rPr>
          <w:rFonts w:ascii="Arial" w:hAnsi="Arial" w:cs="Arial"/>
        </w:rPr>
        <w:t>Augus</w:t>
      </w:r>
      <w:r w:rsidR="00105350">
        <w:rPr>
          <w:rFonts w:ascii="Arial" w:hAnsi="Arial" w:cs="Arial"/>
        </w:rPr>
        <w:t>t</w:t>
      </w:r>
      <w:r w:rsidR="009C6E94">
        <w:rPr>
          <w:rFonts w:ascii="Arial" w:hAnsi="Arial" w:cs="Arial"/>
        </w:rPr>
        <w:t xml:space="preserve"> 28, 2023</w:t>
      </w:r>
      <w:r>
        <w:rPr>
          <w:rFonts w:ascii="Arial" w:hAnsi="Arial" w:cs="Arial"/>
        </w:rPr>
        <w:t>.</w:t>
      </w:r>
      <w:r w:rsidRPr="005F24E8">
        <w:rPr>
          <w:rFonts w:ascii="Arial" w:hAnsi="Arial" w:cs="Arial"/>
        </w:rPr>
        <w:t xml:space="preserve"> </w:t>
      </w:r>
      <w:r w:rsidRPr="005F24E8">
        <w:rPr>
          <w:rFonts w:ascii="Arial" w:hAnsi="Arial" w:cs="Arial"/>
          <w:spacing w:val="-3"/>
        </w:rPr>
        <w:t>The 60-Day FRN citation is V</w:t>
      </w:r>
      <w:r w:rsidRPr="005F24E8">
        <w:rPr>
          <w:rFonts w:ascii="Arial" w:hAnsi="Arial" w:cs="Arial"/>
        </w:rPr>
        <w:t xml:space="preserve">olume Number </w:t>
      </w:r>
      <w:r w:rsidR="009C6E94">
        <w:rPr>
          <w:rFonts w:ascii="Arial" w:hAnsi="Arial" w:cs="Arial"/>
        </w:rPr>
        <w:t>88</w:t>
      </w:r>
      <w:r w:rsidRPr="005F24E8">
        <w:rPr>
          <w:rFonts w:ascii="Arial" w:hAnsi="Arial" w:cs="Arial"/>
        </w:rPr>
        <w:t xml:space="preserve">, FRN </w:t>
      </w:r>
      <w:r w:rsidR="009C6E94">
        <w:rPr>
          <w:rFonts w:ascii="Arial" w:hAnsi="Arial" w:cs="Arial"/>
        </w:rPr>
        <w:t>165</w:t>
      </w:r>
      <w:r w:rsidRPr="005F24E8">
        <w:rPr>
          <w:rFonts w:ascii="Arial" w:hAnsi="Arial" w:cs="Arial"/>
        </w:rPr>
        <w:t>, Page</w:t>
      </w:r>
      <w:r>
        <w:rPr>
          <w:rFonts w:ascii="Arial" w:hAnsi="Arial" w:cs="Arial"/>
        </w:rPr>
        <w:t xml:space="preserve">(s) </w:t>
      </w:r>
      <w:r w:rsidR="009C6E94">
        <w:rPr>
          <w:rFonts w:ascii="Arial" w:hAnsi="Arial" w:cs="Arial"/>
        </w:rPr>
        <w:t>58636-58637</w:t>
      </w:r>
      <w:r w:rsidRPr="005F24E8">
        <w:rPr>
          <w:rFonts w:ascii="Arial" w:hAnsi="Arial" w:cs="Arial"/>
        </w:rPr>
        <w:t>. No comments were received during the 60-Day Comment Period.</w:t>
      </w:r>
    </w:p>
    <w:p w:rsidR="005F24E8" w:rsidRPr="005F24E8" w:rsidP="005F24E8" w14:paraId="0068685F" w14:textId="77777777">
      <w:pPr>
        <w:rPr>
          <w:rFonts w:ascii="Arial" w:hAnsi="Arial" w:cs="Arial"/>
        </w:rPr>
      </w:pPr>
    </w:p>
    <w:p w:rsidR="005F24E8" w:rsidP="005F24E8" w14:paraId="4078AEC6" w14:textId="3E999DEF">
      <w:pPr>
        <w:rPr>
          <w:rFonts w:ascii="Arial" w:hAnsi="Arial" w:cs="Arial"/>
        </w:rPr>
      </w:pPr>
      <w:r w:rsidRPr="005F24E8">
        <w:rPr>
          <w:rFonts w:ascii="Arial" w:hAnsi="Arial" w:cs="Arial"/>
        </w:rPr>
        <w:t xml:space="preserve">A 30-Day Federal Register Notice (FRN) for the collection published on </w:t>
      </w:r>
      <w:r w:rsidR="00105350">
        <w:rPr>
          <w:rFonts w:ascii="Arial" w:hAnsi="Arial" w:cs="Arial"/>
        </w:rPr>
        <w:t>Wednesday</w:t>
      </w:r>
      <w:r>
        <w:rPr>
          <w:rFonts w:ascii="Arial" w:hAnsi="Arial" w:cs="Arial"/>
        </w:rPr>
        <w:t xml:space="preserve">, </w:t>
      </w:r>
      <w:r w:rsidR="00105350">
        <w:rPr>
          <w:rFonts w:ascii="Arial" w:hAnsi="Arial" w:cs="Arial"/>
        </w:rPr>
        <w:t>November 1, 2023.</w:t>
      </w:r>
      <w:r w:rsidRPr="005F24E8">
        <w:rPr>
          <w:rFonts w:ascii="Arial" w:hAnsi="Arial" w:cs="Arial"/>
        </w:rPr>
        <w:t xml:space="preserve"> The 30-Day FRN citation is volume number </w:t>
      </w:r>
      <w:r w:rsidR="00105350">
        <w:rPr>
          <w:rFonts w:ascii="Arial" w:hAnsi="Arial" w:cs="Arial"/>
        </w:rPr>
        <w:t>88</w:t>
      </w:r>
      <w:r w:rsidRPr="005F24E8">
        <w:rPr>
          <w:rFonts w:ascii="Arial" w:hAnsi="Arial" w:cs="Arial"/>
        </w:rPr>
        <w:t xml:space="preserve">, FRN </w:t>
      </w:r>
      <w:r w:rsidR="00105350">
        <w:rPr>
          <w:rFonts w:ascii="Arial" w:hAnsi="Arial" w:cs="Arial"/>
        </w:rPr>
        <w:t>210</w:t>
      </w:r>
      <w:r>
        <w:rPr>
          <w:rFonts w:ascii="Arial" w:hAnsi="Arial" w:cs="Arial"/>
        </w:rPr>
        <w:t xml:space="preserve">, </w:t>
      </w:r>
      <w:r w:rsidRPr="005F24E8">
        <w:rPr>
          <w:rFonts w:ascii="Arial" w:hAnsi="Arial" w:cs="Arial"/>
        </w:rPr>
        <w:t xml:space="preserve">Page(s) </w:t>
      </w:r>
      <w:r w:rsidR="00105350">
        <w:rPr>
          <w:rFonts w:ascii="Arial" w:hAnsi="Arial" w:cs="Arial"/>
        </w:rPr>
        <w:t>75096-75097</w:t>
      </w:r>
      <w:r w:rsidRPr="005F24E8">
        <w:rPr>
          <w:rFonts w:ascii="Arial" w:hAnsi="Arial" w:cs="Arial"/>
        </w:rPr>
        <w:t>.</w:t>
      </w:r>
      <w:r w:rsidR="00105350">
        <w:rPr>
          <w:rFonts w:ascii="Arial" w:hAnsi="Arial" w:cs="Arial"/>
        </w:rPr>
        <w:t xml:space="preserve"> No comments were received during the 30-Day Comment Period.</w:t>
      </w:r>
    </w:p>
    <w:p w:rsidR="005F24E8" w:rsidP="005F24E8" w14:paraId="68C51D7A" w14:textId="6D08D2A5">
      <w:pPr>
        <w:rPr>
          <w:rFonts w:ascii="Arial" w:hAnsi="Arial" w:cs="Arial"/>
        </w:rPr>
      </w:pPr>
    </w:p>
    <w:p w:rsidR="005F24E8" w:rsidRPr="005F24E8" w:rsidP="005F24E8" w14:paraId="0685F16A" w14:textId="5105F328">
      <w:pPr>
        <w:rPr>
          <w:rFonts w:ascii="Arial" w:hAnsi="Arial" w:cs="Arial"/>
        </w:rPr>
      </w:pPr>
      <w:r>
        <w:rPr>
          <w:rFonts w:ascii="Arial" w:hAnsi="Arial" w:cs="Arial"/>
        </w:rPr>
        <w:t>No additional consultation apart from soliciting public comments through the Federal Register was conducted or this submission.</w:t>
      </w:r>
    </w:p>
    <w:p w:rsidR="000F6A14" w:rsidP="000F6A14" w14:paraId="04C14FFA" w14:textId="77777777">
      <w:pPr>
        <w:rPr>
          <w:rFonts w:ascii="Arial" w:hAnsi="Arial" w:cs="Arial"/>
          <w:b/>
        </w:rPr>
      </w:pPr>
    </w:p>
    <w:p w:rsidR="000F6A14" w:rsidRPr="00332397" w:rsidP="000F6A14" w14:paraId="0725E1F2" w14:textId="77777777">
      <w:pPr>
        <w:rPr>
          <w:rFonts w:ascii="Arial" w:hAnsi="Arial" w:cs="Arial"/>
          <w:b/>
        </w:rPr>
      </w:pPr>
      <w:r w:rsidRPr="00332397">
        <w:rPr>
          <w:rFonts w:ascii="Arial" w:hAnsi="Arial" w:cs="Arial"/>
          <w:b/>
        </w:rPr>
        <w:t>9. Explain any decision to provide any payment or gift to respondents, other than remuneration of contractors or grantees.</w:t>
      </w:r>
    </w:p>
    <w:p w:rsidR="000F6A14" w:rsidP="000F6A14" w14:paraId="5359B643" w14:textId="77777777">
      <w:pPr>
        <w:rPr>
          <w:rFonts w:ascii="Arial" w:hAnsi="Arial" w:cs="Arial"/>
        </w:rPr>
      </w:pPr>
    </w:p>
    <w:p w:rsidR="000F6A14" w:rsidP="000F6A14" w14:paraId="33B20EC5" w14:textId="764A1089">
      <w:pPr>
        <w:tabs>
          <w:tab w:val="left" w:pos="480"/>
          <w:tab w:val="right" w:pos="8640"/>
        </w:tabs>
        <w:ind w:right="684"/>
        <w:contextualSpacing/>
        <w:rPr>
          <w:rFonts w:ascii="Arial" w:hAnsi="Arial" w:cs="Arial"/>
          <w:bCs/>
          <w:color w:val="000000" w:themeColor="text1"/>
        </w:rPr>
      </w:pPr>
      <w:r>
        <w:rPr>
          <w:rFonts w:ascii="Arial" w:hAnsi="Arial" w:cs="Arial"/>
          <w:bCs/>
          <w:color w:val="000000" w:themeColor="text1"/>
        </w:rPr>
        <w:t xml:space="preserve">No payments or gifts </w:t>
      </w:r>
      <w:r w:rsidR="005F24E8">
        <w:rPr>
          <w:rFonts w:ascii="Arial" w:hAnsi="Arial" w:cs="Arial"/>
          <w:bCs/>
          <w:color w:val="000000" w:themeColor="text1"/>
        </w:rPr>
        <w:t xml:space="preserve">are being offered to respondents as an incentive to participate in the collection. </w:t>
      </w:r>
    </w:p>
    <w:p w:rsidR="000F6A14" w:rsidP="000F6A14" w14:paraId="50ED5AA8" w14:textId="77777777">
      <w:pPr>
        <w:rPr>
          <w:rFonts w:ascii="Arial" w:hAnsi="Arial" w:cs="Arial"/>
          <w:b/>
        </w:rPr>
      </w:pPr>
    </w:p>
    <w:p w:rsidR="000F6A14" w:rsidRPr="00A56B9D" w:rsidP="000F6A14" w14:paraId="3CBBB69F" w14:textId="77777777">
      <w:pPr>
        <w:rPr>
          <w:rFonts w:ascii="Arial" w:hAnsi="Arial" w:cs="Arial"/>
          <w:b/>
        </w:rPr>
      </w:pPr>
      <w:r w:rsidRPr="00A56B9D">
        <w:rPr>
          <w:rFonts w:ascii="Arial" w:hAnsi="Arial" w:cs="Arial"/>
          <w:b/>
        </w:rPr>
        <w:t>10. Describe any assurance of privacy, to the extent permitted by law, provided to respondents and the basis for the assurance in statute, regulation, or agency policy.</w:t>
      </w:r>
    </w:p>
    <w:p w:rsidR="000F6A14" w:rsidP="000F6A14" w14:paraId="0859D891" w14:textId="77777777">
      <w:pPr>
        <w:rPr>
          <w:rFonts w:ascii="Arial" w:hAnsi="Arial" w:cs="Arial"/>
          <w:szCs w:val="20"/>
        </w:rPr>
      </w:pPr>
    </w:p>
    <w:p w:rsidR="000F6A14" w:rsidP="000F6A14" w14:paraId="79D5EE3E" w14:textId="5724E4A6">
      <w:pPr>
        <w:contextualSpacing/>
        <w:rPr>
          <w:rFonts w:ascii="Arial" w:hAnsi="Arial" w:cs="Arial"/>
        </w:rPr>
      </w:pPr>
      <w:r>
        <w:rPr>
          <w:rFonts w:ascii="Arial" w:hAnsi="Arial" w:cs="Arial"/>
        </w:rPr>
        <w:t xml:space="preserve">The VA Form 22-1999V is retained in the individual’s education folder. </w:t>
      </w:r>
      <w:r w:rsidR="003E7475">
        <w:rPr>
          <w:rFonts w:ascii="Arial" w:hAnsi="Arial" w:cs="Arial"/>
        </w:rPr>
        <w:t>The VA’s</w:t>
      </w:r>
      <w:r>
        <w:rPr>
          <w:rFonts w:ascii="Arial" w:hAnsi="Arial" w:cs="Arial"/>
        </w:rPr>
        <w:t xml:space="preserve"> assurance of confidentiality is covered by 38 U.S.C. 3680 and 3684, and our Systems of Records, Compensation, Pension, Education</w:t>
      </w:r>
      <w:r w:rsidR="00D94EA2">
        <w:rPr>
          <w:rFonts w:ascii="Arial" w:hAnsi="Arial" w:cs="Arial"/>
        </w:rPr>
        <w:t>,</w:t>
      </w:r>
      <w:r>
        <w:rPr>
          <w:rFonts w:ascii="Arial" w:hAnsi="Arial" w:cs="Arial"/>
        </w:rPr>
        <w:t xml:space="preserve"> and V</w:t>
      </w:r>
      <w:r w:rsidR="003E7475">
        <w:rPr>
          <w:rFonts w:ascii="Arial" w:hAnsi="Arial" w:cs="Arial"/>
        </w:rPr>
        <w:t xml:space="preserve">eteran Readiness and </w:t>
      </w:r>
      <w:r w:rsidR="00D94EA2">
        <w:rPr>
          <w:rFonts w:ascii="Arial" w:hAnsi="Arial" w:cs="Arial"/>
        </w:rPr>
        <w:t xml:space="preserve">Employment </w:t>
      </w:r>
      <w:r>
        <w:rPr>
          <w:rFonts w:ascii="Arial" w:hAnsi="Arial" w:cs="Arial"/>
        </w:rPr>
        <w:t xml:space="preserve"> Records – VA (58VA21/22/28)</w:t>
      </w:r>
      <w:r w:rsidR="007B0A8B">
        <w:rPr>
          <w:rFonts w:ascii="Arial" w:hAnsi="Arial" w:cs="Arial"/>
        </w:rPr>
        <w:t>,</w:t>
      </w:r>
      <w:r>
        <w:rPr>
          <w:rFonts w:ascii="Arial" w:hAnsi="Arial" w:cs="Arial"/>
        </w:rPr>
        <w:t xml:space="preserve"> which is contained in the Privacy Act Issuances, 201</w:t>
      </w:r>
      <w:r w:rsidR="009D2C56">
        <w:rPr>
          <w:rFonts w:ascii="Arial" w:hAnsi="Arial" w:cs="Arial"/>
        </w:rPr>
        <w:t>2</w:t>
      </w:r>
      <w:r>
        <w:rPr>
          <w:rFonts w:ascii="Arial" w:hAnsi="Arial" w:cs="Arial"/>
        </w:rPr>
        <w:t xml:space="preserve"> Compilation.</w:t>
      </w:r>
    </w:p>
    <w:p w:rsidR="000F6A14" w:rsidP="000F6A14" w14:paraId="1F21A9E0" w14:textId="77777777">
      <w:pPr>
        <w:rPr>
          <w:rFonts w:ascii="Arial" w:hAnsi="Arial" w:cs="Arial"/>
          <w:b/>
        </w:rPr>
      </w:pPr>
    </w:p>
    <w:p w:rsidR="000F6A14" w:rsidRPr="00A56B9D" w:rsidP="000F6A14" w14:paraId="697EB8D6" w14:textId="77777777">
      <w:pPr>
        <w:rPr>
          <w:rFonts w:ascii="Arial" w:hAnsi="Arial" w:cs="Arial"/>
          <w:b/>
        </w:rPr>
      </w:pPr>
      <w:r w:rsidRPr="00A56B9D">
        <w:rPr>
          <w:rFonts w:ascii="Arial" w:hAnsi="Arial" w:cs="Arial"/>
          <w:b/>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0F6A14" w:rsidP="000F6A14" w14:paraId="3D85C801" w14:textId="77777777">
      <w:pPr>
        <w:pStyle w:val="BodyText"/>
      </w:pPr>
    </w:p>
    <w:p w:rsidR="000F6A14" w:rsidP="000F6A14" w14:paraId="5056952B" w14:textId="6F144EE3">
      <w:pPr>
        <w:contextualSpacing/>
        <w:rPr>
          <w:rFonts w:ascii="Arial" w:hAnsi="Arial" w:cs="Arial"/>
        </w:rPr>
      </w:pPr>
      <w:r>
        <w:rPr>
          <w:rFonts w:ascii="Arial" w:hAnsi="Arial" w:cs="Arial"/>
        </w:rPr>
        <w:t>No</w:t>
      </w:r>
      <w:r w:rsidR="00194AB1">
        <w:rPr>
          <w:rFonts w:ascii="Arial" w:hAnsi="Arial" w:cs="Arial"/>
        </w:rPr>
        <w:t xml:space="preserve"> questions considered sensitive are being asked in this collection. </w:t>
      </w:r>
      <w:r>
        <w:rPr>
          <w:rFonts w:ascii="Arial" w:hAnsi="Arial" w:cs="Arial"/>
        </w:rPr>
        <w:t xml:space="preserve"> </w:t>
      </w:r>
    </w:p>
    <w:p w:rsidR="000F6A14" w:rsidP="000F6A14" w14:paraId="24A5856A" w14:textId="77777777">
      <w:pPr>
        <w:ind w:left="360"/>
        <w:contextualSpacing/>
        <w:rPr>
          <w:rFonts w:ascii="Arial" w:hAnsi="Arial" w:cs="Arial"/>
        </w:rPr>
      </w:pPr>
    </w:p>
    <w:p w:rsidR="001B51F2" w:rsidP="000F6A14" w14:paraId="5734DF40" w14:textId="77777777">
      <w:pPr>
        <w:rPr>
          <w:rFonts w:ascii="Arial" w:hAnsi="Arial" w:cs="Arial"/>
          <w:b/>
        </w:rPr>
      </w:pPr>
      <w:r w:rsidRPr="00A56B9D">
        <w:rPr>
          <w:rFonts w:ascii="Arial" w:hAnsi="Arial" w:cs="Arial"/>
          <w:b/>
        </w:rPr>
        <w:t>12. Estimate of the hour burden of the collection of information:</w:t>
      </w:r>
      <w:r w:rsidR="00194AB1">
        <w:rPr>
          <w:rFonts w:ascii="Arial" w:hAnsi="Arial" w:cs="Arial"/>
          <w:b/>
        </w:rPr>
        <w:t xml:space="preserve">  </w:t>
      </w:r>
    </w:p>
    <w:p w:rsidR="001B51F2" w:rsidP="000F6A14" w14:paraId="2A6B1949" w14:textId="77777777">
      <w:pPr>
        <w:rPr>
          <w:rFonts w:ascii="Arial" w:hAnsi="Arial" w:cs="Arial"/>
          <w:b/>
        </w:rPr>
      </w:pPr>
    </w:p>
    <w:p w:rsidR="001B51F2" w:rsidRPr="001B51F2" w:rsidP="000F6A14" w14:paraId="668F9A82" w14:textId="77777777">
      <w:pPr>
        <w:rPr>
          <w:rFonts w:ascii="Arial" w:hAnsi="Arial" w:cs="Arial"/>
          <w:bCs/>
        </w:rPr>
      </w:pPr>
      <w:r w:rsidRPr="001B51F2">
        <w:rPr>
          <w:rFonts w:ascii="Arial" w:hAnsi="Arial" w:cs="Arial"/>
          <w:bCs/>
        </w:rPr>
        <w:t>VA Form 22-1999v</w:t>
      </w:r>
    </w:p>
    <w:p w:rsidR="001B51F2" w:rsidP="000F6A14" w14:paraId="35B87383" w14:textId="77777777">
      <w:pPr>
        <w:rPr>
          <w:rFonts w:ascii="Arial" w:hAnsi="Arial" w:cs="Arial"/>
          <w:b/>
        </w:rPr>
      </w:pPr>
    </w:p>
    <w:p w:rsidR="000F6A14" w:rsidRPr="00194AB1" w:rsidP="000F6A14" w14:paraId="7CFBF178" w14:textId="386069B1">
      <w:pPr>
        <w:rPr>
          <w:rFonts w:ascii="Arial" w:hAnsi="Arial" w:cs="Arial"/>
          <w:bCs/>
        </w:rPr>
      </w:pPr>
      <w:r w:rsidRPr="001B51F2">
        <w:rPr>
          <w:rFonts w:ascii="Arial" w:hAnsi="Arial" w:cs="Arial"/>
          <w:bCs/>
        </w:rPr>
        <w:t>[</w:t>
      </w:r>
      <w:r w:rsidRPr="00194AB1" w:rsidR="00194AB1">
        <w:rPr>
          <w:rFonts w:ascii="Arial" w:hAnsi="Arial" w:cs="Arial"/>
          <w:bCs/>
        </w:rPr>
        <w:t>Certificate of Delivery of Advance Payment and Enrollment</w:t>
      </w:r>
      <w:r>
        <w:rPr>
          <w:rFonts w:ascii="Arial" w:hAnsi="Arial" w:cs="Arial"/>
          <w:bCs/>
        </w:rPr>
        <w:t>]</w:t>
      </w:r>
    </w:p>
    <w:p w:rsidR="000F6A14" w:rsidP="000F6A14" w14:paraId="686B911C" w14:textId="77777777">
      <w:pPr>
        <w:rPr>
          <w:rFonts w:ascii="Arial" w:hAnsi="Arial" w:cs="Arial"/>
        </w:rPr>
      </w:pPr>
      <w:r w:rsidRPr="00A56B9D">
        <w:rPr>
          <w:rFonts w:ascii="Arial" w:hAnsi="Arial" w:cs="Arial"/>
        </w:rPr>
        <w:t xml:space="preserve">     </w:t>
      </w:r>
    </w:p>
    <w:p w:rsidR="000F6A14" w:rsidP="00157F10" w14:paraId="13033AA7" w14:textId="680F9BC6">
      <w:pPr>
        <w:rPr>
          <w:rFonts w:ascii="Arial" w:hAnsi="Arial" w:cs="Arial"/>
        </w:rPr>
      </w:pPr>
      <w:r>
        <w:rPr>
          <w:rFonts w:ascii="Arial" w:hAnsi="Arial" w:cs="Arial"/>
        </w:rPr>
        <w:t>The e</w:t>
      </w:r>
      <w:r w:rsidRPr="00A56B9D">
        <w:rPr>
          <w:rFonts w:ascii="Arial" w:hAnsi="Arial" w:cs="Arial"/>
        </w:rPr>
        <w:t xml:space="preserve">stimate </w:t>
      </w:r>
      <w:r>
        <w:rPr>
          <w:rFonts w:ascii="Arial" w:hAnsi="Arial" w:cs="Arial"/>
        </w:rPr>
        <w:t xml:space="preserve">for this </w:t>
      </w:r>
      <w:r w:rsidRPr="00A56B9D">
        <w:rPr>
          <w:rFonts w:ascii="Arial" w:hAnsi="Arial" w:cs="Arial"/>
        </w:rPr>
        <w:t xml:space="preserve">Information Collection </w:t>
      </w:r>
      <w:r>
        <w:rPr>
          <w:rFonts w:ascii="Arial" w:hAnsi="Arial" w:cs="Arial"/>
        </w:rPr>
        <w:t>b</w:t>
      </w:r>
      <w:r w:rsidRPr="00A56B9D">
        <w:rPr>
          <w:rFonts w:ascii="Arial" w:hAnsi="Arial" w:cs="Arial"/>
        </w:rPr>
        <w:t>urden</w:t>
      </w:r>
      <w:r>
        <w:rPr>
          <w:rFonts w:ascii="Arial" w:hAnsi="Arial" w:cs="Arial"/>
        </w:rPr>
        <w:t xml:space="preserve"> is based on figures from 20</w:t>
      </w:r>
      <w:r w:rsidR="007B0A8B">
        <w:rPr>
          <w:rFonts w:ascii="Arial" w:hAnsi="Arial" w:cs="Arial"/>
        </w:rPr>
        <w:t xml:space="preserve">19, 2020, 2021 and 2022. There </w:t>
      </w:r>
      <w:r w:rsidR="00602C53">
        <w:rPr>
          <w:rFonts w:ascii="Arial" w:hAnsi="Arial" w:cs="Arial"/>
        </w:rPr>
        <w:t>was</w:t>
      </w:r>
      <w:r w:rsidR="007B0A8B">
        <w:rPr>
          <w:rFonts w:ascii="Arial" w:hAnsi="Arial" w:cs="Arial"/>
        </w:rPr>
        <w:t xml:space="preserve"> approximately a total of </w:t>
      </w:r>
      <w:r w:rsidR="001B51F2">
        <w:rPr>
          <w:rFonts w:ascii="Arial" w:hAnsi="Arial" w:cs="Arial"/>
        </w:rPr>
        <w:t>253</w:t>
      </w:r>
      <w:r w:rsidR="007B0A8B">
        <w:rPr>
          <w:rFonts w:ascii="Arial" w:hAnsi="Arial" w:cs="Arial"/>
        </w:rPr>
        <w:t xml:space="preserve"> responses received for these periods</w:t>
      </w:r>
      <w:r>
        <w:rPr>
          <w:rFonts w:ascii="Arial" w:hAnsi="Arial" w:cs="Arial"/>
        </w:rPr>
        <w:t>,</w:t>
      </w:r>
      <w:r w:rsidR="007B0A8B">
        <w:rPr>
          <w:rFonts w:ascii="Arial" w:hAnsi="Arial" w:cs="Arial"/>
        </w:rPr>
        <w:t xml:space="preserve"> resulting in an annual average of </w:t>
      </w:r>
      <w:r w:rsidR="001B51F2">
        <w:rPr>
          <w:rFonts w:ascii="Arial" w:hAnsi="Arial" w:cs="Arial"/>
        </w:rPr>
        <w:t>63</w:t>
      </w:r>
      <w:r w:rsidR="007B0A8B">
        <w:rPr>
          <w:rFonts w:ascii="Arial" w:hAnsi="Arial" w:cs="Arial"/>
        </w:rPr>
        <w:t xml:space="preserve"> responses received</w:t>
      </w:r>
      <w:r w:rsidR="001B51F2">
        <w:rPr>
          <w:rFonts w:ascii="Arial" w:hAnsi="Arial" w:cs="Arial"/>
        </w:rPr>
        <w:t>, with a burden of 23 hours</w:t>
      </w:r>
      <w:r w:rsidR="007B0A8B">
        <w:rPr>
          <w:rFonts w:ascii="Arial" w:hAnsi="Arial" w:cs="Arial"/>
        </w:rPr>
        <w:t>.</w:t>
      </w:r>
    </w:p>
    <w:p w:rsidR="007B0A8B" w:rsidRPr="00A56B9D" w:rsidP="000F6A14" w14:paraId="4E3FFBE5" w14:textId="77777777">
      <w:pPr>
        <w:ind w:firstLine="720"/>
        <w:rPr>
          <w:rFonts w:ascii="Arial" w:hAnsi="Arial" w:cs="Arial"/>
        </w:rPr>
      </w:pPr>
    </w:p>
    <w:p w:rsidR="000F6A14" w:rsidP="000F6A14" w14:paraId="7DEDE1DF" w14:textId="13AEDFAC">
      <w:pPr>
        <w:pStyle w:val="ListParagraph"/>
        <w:numPr>
          <w:ilvl w:val="0"/>
          <w:numId w:val="2"/>
        </w:numPr>
        <w:tabs>
          <w:tab w:val="left" w:pos="480"/>
          <w:tab w:val="right" w:pos="8640"/>
        </w:tabs>
        <w:ind w:right="684"/>
        <w:rPr>
          <w:rFonts w:ascii="Arial" w:hAnsi="Arial" w:cs="Arial"/>
        </w:rPr>
      </w:pPr>
      <w:r w:rsidRPr="00031321">
        <w:rPr>
          <w:rFonts w:ascii="Arial" w:hAnsi="Arial" w:cs="Arial"/>
        </w:rPr>
        <w:t xml:space="preserve">Number of Respondents:  </w:t>
      </w:r>
      <w:r w:rsidR="00157F10">
        <w:rPr>
          <w:rFonts w:ascii="Arial" w:hAnsi="Arial" w:cs="Arial"/>
        </w:rPr>
        <w:t>6</w:t>
      </w:r>
      <w:r w:rsidR="00602C53">
        <w:rPr>
          <w:rFonts w:ascii="Arial" w:hAnsi="Arial" w:cs="Arial"/>
        </w:rPr>
        <w:t>3</w:t>
      </w:r>
      <w:r w:rsidR="00157F10">
        <w:rPr>
          <w:rFonts w:ascii="Arial" w:hAnsi="Arial" w:cs="Arial"/>
        </w:rPr>
        <w:t>.</w:t>
      </w:r>
    </w:p>
    <w:p w:rsidR="000F6A14" w:rsidP="000F6A14" w14:paraId="29FF2A9D" w14:textId="77777777">
      <w:pPr>
        <w:pStyle w:val="ListParagraph"/>
        <w:tabs>
          <w:tab w:val="left" w:pos="480"/>
          <w:tab w:val="right" w:pos="8640"/>
        </w:tabs>
        <w:ind w:left="1080" w:right="684"/>
        <w:rPr>
          <w:rFonts w:ascii="Arial" w:hAnsi="Arial" w:cs="Arial"/>
        </w:rPr>
      </w:pPr>
    </w:p>
    <w:p w:rsidR="000F6A14" w:rsidRPr="00031321" w:rsidP="000F6A14" w14:paraId="3D129397" w14:textId="328815A8">
      <w:pPr>
        <w:numPr>
          <w:ilvl w:val="0"/>
          <w:numId w:val="1"/>
        </w:numPr>
        <w:spacing w:after="200"/>
        <w:rPr>
          <w:rFonts w:ascii="Arial" w:hAnsi="Arial" w:cs="Arial"/>
        </w:rPr>
      </w:pPr>
      <w:r w:rsidRPr="00031321">
        <w:rPr>
          <w:rFonts w:ascii="Arial" w:hAnsi="Arial" w:cs="Arial"/>
        </w:rPr>
        <w:t xml:space="preserve">Frequency of Response:  </w:t>
      </w:r>
      <w:r>
        <w:rPr>
          <w:rFonts w:ascii="Arial" w:hAnsi="Arial" w:cs="Arial"/>
        </w:rPr>
        <w:t xml:space="preserve">On occasion.   </w:t>
      </w:r>
    </w:p>
    <w:p w:rsidR="00157F10" w:rsidRPr="00031321" w:rsidP="00157F10" w14:paraId="6CF0FF89" w14:textId="10D3149E">
      <w:pPr>
        <w:numPr>
          <w:ilvl w:val="0"/>
          <w:numId w:val="1"/>
        </w:numPr>
        <w:spacing w:after="200"/>
        <w:rPr>
          <w:rFonts w:ascii="Arial" w:hAnsi="Arial" w:cs="Arial"/>
        </w:rPr>
      </w:pPr>
      <w:r w:rsidRPr="00031321">
        <w:rPr>
          <w:rFonts w:ascii="Arial" w:hAnsi="Arial" w:cs="Arial"/>
        </w:rPr>
        <w:t xml:space="preserve">Annual Burden Hours:  </w:t>
      </w:r>
      <w:r w:rsidR="001B51F2">
        <w:rPr>
          <w:rFonts w:ascii="Arial" w:hAnsi="Arial" w:cs="Arial"/>
        </w:rPr>
        <w:t>23</w:t>
      </w:r>
      <w:r>
        <w:rPr>
          <w:rFonts w:ascii="Arial" w:hAnsi="Arial" w:cs="Arial"/>
        </w:rPr>
        <w:t xml:space="preserve"> [6</w:t>
      </w:r>
      <w:r w:rsidR="001B51F2">
        <w:rPr>
          <w:rFonts w:ascii="Arial" w:hAnsi="Arial" w:cs="Arial"/>
        </w:rPr>
        <w:t>3</w:t>
      </w:r>
      <w:r>
        <w:rPr>
          <w:rFonts w:ascii="Arial" w:hAnsi="Arial" w:cs="Arial"/>
        </w:rPr>
        <w:t xml:space="preserve"> responses per year X 4.4 </w:t>
      </w:r>
      <w:r w:rsidR="001F1DAE">
        <w:rPr>
          <w:rFonts w:ascii="Arial" w:hAnsi="Arial" w:cs="Arial"/>
        </w:rPr>
        <w:t>responses per respondent</w:t>
      </w:r>
      <w:r>
        <w:rPr>
          <w:rFonts w:ascii="Arial" w:hAnsi="Arial" w:cs="Arial"/>
        </w:rPr>
        <w:t xml:space="preserve"> X 5</w:t>
      </w:r>
      <w:r w:rsidR="00924152">
        <w:rPr>
          <w:rFonts w:ascii="Arial" w:hAnsi="Arial" w:cs="Arial"/>
        </w:rPr>
        <w:t>min</w:t>
      </w:r>
      <w:r>
        <w:rPr>
          <w:rFonts w:ascii="Arial" w:hAnsi="Arial" w:cs="Arial"/>
        </w:rPr>
        <w:t xml:space="preserve"> / 60</w:t>
      </w:r>
      <w:r w:rsidR="00924152">
        <w:rPr>
          <w:rFonts w:ascii="Arial" w:hAnsi="Arial" w:cs="Arial"/>
        </w:rPr>
        <w:t>min</w:t>
      </w:r>
      <w:r>
        <w:rPr>
          <w:rFonts w:ascii="Arial" w:hAnsi="Arial" w:cs="Arial"/>
        </w:rPr>
        <w:t xml:space="preserve"> = </w:t>
      </w:r>
      <w:r w:rsidR="001B51F2">
        <w:rPr>
          <w:rFonts w:ascii="Arial" w:hAnsi="Arial" w:cs="Arial"/>
        </w:rPr>
        <w:t>23</w:t>
      </w:r>
      <w:r>
        <w:rPr>
          <w:rFonts w:ascii="Arial" w:hAnsi="Arial" w:cs="Arial"/>
        </w:rPr>
        <w:t>].</w:t>
      </w:r>
    </w:p>
    <w:p w:rsidR="000F6A14" w:rsidRPr="00157F10" w:rsidP="00157F10" w14:paraId="10B96D0F" w14:textId="44E85942">
      <w:pPr>
        <w:spacing w:after="240"/>
        <w:ind w:left="720"/>
        <w:rPr>
          <w:rFonts w:ascii="Arial" w:hAnsi="Arial" w:cs="Arial"/>
        </w:rPr>
      </w:pPr>
      <w:r>
        <w:rPr>
          <w:rFonts w:ascii="Arial" w:hAnsi="Arial" w:cs="Arial"/>
        </w:rPr>
        <w:t xml:space="preserve">d. </w:t>
      </w:r>
      <w:r w:rsidRPr="00157F10">
        <w:rPr>
          <w:rFonts w:ascii="Arial" w:hAnsi="Arial" w:cs="Arial"/>
        </w:rPr>
        <w:t xml:space="preserve">Estimated Completion Time: </w:t>
      </w:r>
      <w:r w:rsidR="0089396E">
        <w:rPr>
          <w:rFonts w:ascii="Arial" w:hAnsi="Arial" w:cs="Arial"/>
        </w:rPr>
        <w:t xml:space="preserve"> </w:t>
      </w:r>
      <w:r w:rsidRPr="00157F10">
        <w:rPr>
          <w:rFonts w:ascii="Arial" w:hAnsi="Arial" w:cs="Arial"/>
        </w:rPr>
        <w:t>5 minutes</w:t>
      </w:r>
      <w:r>
        <w:rPr>
          <w:rFonts w:ascii="Arial" w:hAnsi="Arial" w:cs="Arial"/>
        </w:rPr>
        <w:t>.</w:t>
      </w:r>
    </w:p>
    <w:p w:rsidR="000F6A14" w:rsidRPr="006041A3" w:rsidP="000F6A14" w14:paraId="3499809D" w14:textId="59E0C419">
      <w:pPr>
        <w:spacing w:after="240"/>
        <w:rPr>
          <w:rFonts w:ascii="Arial" w:hAnsi="Arial" w:cs="Arial"/>
        </w:rPr>
      </w:pPr>
      <w:r w:rsidRPr="00EE183A">
        <w:rPr>
          <w:rFonts w:ascii="Arial" w:hAnsi="Arial" w:cs="Arial"/>
        </w:rPr>
        <w:t xml:space="preserve">e. The respondent population is composed of Veterans who are students.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EC6B42" w:rsidRPr="00EC6B42" w:rsidP="00EC6B42" w14:paraId="5C0CA3D2" w14:textId="77777777">
      <w:pPr>
        <w:rPr>
          <w:rFonts w:ascii="Arial" w:hAnsi="Arial" w:cs="Arial"/>
        </w:rPr>
      </w:pPr>
      <w:r w:rsidRPr="00EC6B42">
        <w:rPr>
          <w:rFonts w:ascii="Arial" w:hAnsi="Arial" w:cs="Arial"/>
        </w:rPr>
        <w:t xml:space="preserve">The Bureau of Labor Statistics (BLS) gathers information on full-time wage and salary workers. According to the latest available BLS data, the mean weekly earnings of full-time wage and salary workers are $1,190.40. Assuming a forty (40) hour work week, the </w:t>
      </w:r>
      <w:r w:rsidRPr="00EC6B42">
        <w:rPr>
          <w:rFonts w:ascii="Arial" w:hAnsi="Arial" w:cs="Arial"/>
          <w:b/>
          <w:bCs/>
        </w:rPr>
        <w:t xml:space="preserve">mean hourly wage is $29.76 based on the BLS wage code – “00-0000 All Occupations.” ($29.76 X 40 hours). </w:t>
      </w:r>
      <w:r w:rsidRPr="00EC6B42">
        <w:rPr>
          <w:rFonts w:ascii="Arial" w:hAnsi="Arial" w:cs="Arial"/>
        </w:rPr>
        <w:t xml:space="preserve">This information was taken from the following website:  </w:t>
      </w:r>
      <w:hyperlink r:id="rId5">
        <w:r w:rsidRPr="00EC6B42">
          <w:rPr>
            <w:rStyle w:val="Hyperlink"/>
            <w:rFonts w:ascii="Arial" w:hAnsi="Arial" w:cs="Arial"/>
          </w:rPr>
          <w:t>https://www.bls.gov/oes/current/oes_nat.htm</w:t>
        </w:r>
      </w:hyperlink>
      <w:r w:rsidRPr="00EC6B42">
        <w:rPr>
          <w:rFonts w:ascii="Arial" w:hAnsi="Arial" w:cs="Arial"/>
        </w:rPr>
        <w:t xml:space="preserve"> May 2023.</w:t>
      </w:r>
    </w:p>
    <w:p w:rsidR="00EC6B42" w:rsidRPr="00EC6B42" w:rsidP="00EC6B42" w14:paraId="6BF59D82" w14:textId="77777777">
      <w:pPr>
        <w:rPr>
          <w:rFonts w:ascii="Arial" w:hAnsi="Arial" w:cs="Arial"/>
        </w:rPr>
      </w:pPr>
    </w:p>
    <w:p w:rsidR="00EC6B42" w:rsidP="00EC6B42" w14:paraId="48A8657C" w14:textId="4D0620CD">
      <w:pPr>
        <w:rPr>
          <w:rFonts w:ascii="Arial" w:hAnsi="Arial" w:cs="Arial"/>
        </w:rPr>
      </w:pPr>
      <w:r w:rsidRPr="00EC6B42">
        <w:rPr>
          <w:rFonts w:ascii="Arial" w:hAnsi="Arial" w:cs="Arial"/>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1B51F2">
        <w:rPr>
          <w:rFonts w:ascii="Arial" w:hAnsi="Arial" w:cs="Arial"/>
        </w:rPr>
        <w:t>684.48</w:t>
      </w:r>
      <w:r w:rsidRPr="00157F10">
        <w:rPr>
          <w:rFonts w:ascii="Arial" w:hAnsi="Arial" w:cs="Arial"/>
        </w:rPr>
        <w:t xml:space="preserve"> (</w:t>
      </w:r>
      <w:r w:rsidRPr="00157F10" w:rsidR="00157F10">
        <w:rPr>
          <w:rFonts w:ascii="Arial" w:hAnsi="Arial" w:cs="Arial"/>
        </w:rPr>
        <w:t>2</w:t>
      </w:r>
      <w:r w:rsidR="001B51F2">
        <w:rPr>
          <w:rFonts w:ascii="Arial" w:hAnsi="Arial" w:cs="Arial"/>
        </w:rPr>
        <w:t>3</w:t>
      </w:r>
      <w:r w:rsidRPr="00157F10" w:rsidR="00157F10">
        <w:rPr>
          <w:rFonts w:ascii="Arial" w:hAnsi="Arial" w:cs="Arial"/>
        </w:rPr>
        <w:t xml:space="preserve"> b</w:t>
      </w:r>
      <w:r w:rsidRPr="00157F10">
        <w:rPr>
          <w:rFonts w:ascii="Arial" w:hAnsi="Arial" w:cs="Arial"/>
        </w:rPr>
        <w:t>urden hours x $29.76 per hour).</w:t>
      </w:r>
      <w:r w:rsidRPr="00EC6B42">
        <w:rPr>
          <w:rFonts w:ascii="Arial" w:hAnsi="Arial" w:cs="Arial"/>
        </w:rPr>
        <w:t> </w:t>
      </w:r>
    </w:p>
    <w:p w:rsidR="00EC6B42" w:rsidRPr="00EC6B42" w:rsidP="00EC6B42" w14:paraId="57C0948C" w14:textId="77777777">
      <w:pPr>
        <w:rPr>
          <w:rFonts w:ascii="Arial" w:hAnsi="Arial" w:cs="Arial"/>
        </w:rPr>
      </w:pPr>
    </w:p>
    <w:p w:rsidR="000F6A14" w:rsidRPr="006041A3" w:rsidP="000F6A14" w14:paraId="7A44F55C" w14:textId="77777777">
      <w:pPr>
        <w:pStyle w:val="BodyText"/>
        <w:rPr>
          <w:b/>
        </w:rPr>
      </w:pPr>
      <w:r w:rsidRPr="006041A3">
        <w:rPr>
          <w:b/>
        </w:rPr>
        <w:t>13.  Provide an estimate of the total annual cost burden to respondents or</w:t>
      </w:r>
    </w:p>
    <w:p w:rsidR="000F6A14" w:rsidRPr="006041A3" w:rsidP="000F6A14" w14:paraId="4285CA66" w14:textId="77777777">
      <w:pPr>
        <w:pStyle w:val="BodyText"/>
        <w:rPr>
          <w:b/>
        </w:rPr>
      </w:pPr>
      <w:r w:rsidRPr="006041A3">
        <w:rPr>
          <w:b/>
        </w:rPr>
        <w:t>recordkeepers resulting from the collection of information.  (Do not include the cost of any hour burden shown in items 12 and 14).</w:t>
      </w:r>
    </w:p>
    <w:p w:rsidR="000F6A14" w:rsidRPr="006041A3" w:rsidP="000F6A14" w14:paraId="21B28E30" w14:textId="77777777">
      <w:pPr>
        <w:pStyle w:val="BodyText"/>
        <w:rPr>
          <w:b/>
        </w:rPr>
      </w:pPr>
    </w:p>
    <w:p w:rsidR="000F6A14" w:rsidRPr="006041A3" w:rsidP="000F6A14" w14:paraId="5A0586D3" w14:textId="71B936A1">
      <w:pPr>
        <w:rPr>
          <w:rFonts w:ascii="Arial" w:hAnsi="Arial" w:cs="Arial"/>
        </w:rPr>
      </w:pPr>
      <w:r>
        <w:rPr>
          <w:rFonts w:ascii="Arial" w:hAnsi="Arial" w:cs="Arial"/>
        </w:rPr>
        <w:t>There are no annualized costs to respondents other than the labor burden costs addressed in Section 12 of this document to complete this collection.</w:t>
      </w:r>
    </w:p>
    <w:p w:rsidR="000F6A14" w:rsidP="000F6A14" w14:paraId="2112401E" w14:textId="77777777">
      <w:pPr>
        <w:rPr>
          <w:rFonts w:ascii="Arial" w:hAnsi="Arial" w:cs="Arial"/>
          <w:b/>
        </w:rPr>
      </w:pPr>
    </w:p>
    <w:p w:rsidR="000F6A14" w:rsidRPr="006041A3" w:rsidP="000F6A14" w14:paraId="54329537" w14:textId="77777777">
      <w:pPr>
        <w:rPr>
          <w:rFonts w:ascii="Arial" w:hAnsi="Arial" w:cs="Arial"/>
          <w:b/>
        </w:rPr>
      </w:pPr>
      <w:r w:rsidRPr="006041A3">
        <w:rPr>
          <w:rFonts w:ascii="Arial" w:hAnsi="Arial" w:cs="Arial"/>
          <w:b/>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0F6A14" w:rsidP="000F6A14" w14:paraId="33934269" w14:textId="77777777">
      <w:pPr>
        <w:pStyle w:val="BodyText"/>
      </w:pPr>
    </w:p>
    <w:p w:rsidR="00EC6B42" w:rsidRPr="00EC6B42" w:rsidP="00EC6B42" w14:paraId="5F96D6B6" w14:textId="77777777">
      <w:pPr>
        <w:rPr>
          <w:rFonts w:ascii="Arial" w:hAnsi="Arial" w:cs="Arial"/>
        </w:rPr>
      </w:pPr>
      <w:r w:rsidRPr="00EC6B42">
        <w:rPr>
          <w:rFonts w:ascii="Arial" w:hAnsi="Arial" w:cs="Arial"/>
        </w:rPr>
        <w:t>Estimated Costs to the</w:t>
      </w:r>
      <w:r w:rsidRPr="00EC6B42">
        <w:rPr>
          <w:rFonts w:ascii="Arial" w:hAnsi="Arial" w:cs="Arial"/>
          <w:spacing w:val="27"/>
        </w:rPr>
        <w:t xml:space="preserve"> </w:t>
      </w:r>
      <w:r w:rsidRPr="00EC6B42">
        <w:rPr>
          <w:rFonts w:ascii="Arial" w:hAnsi="Arial" w:cs="Arial"/>
        </w:rPr>
        <w:t>Federal Government</w:t>
      </w:r>
      <w:r w:rsidRPr="00EC6B42">
        <w:rPr>
          <w:rFonts w:ascii="Arial" w:hAnsi="Arial" w:cs="Arial"/>
          <w:spacing w:val="-5"/>
        </w:rPr>
        <w:t xml:space="preserve"> </w:t>
      </w:r>
      <w:r w:rsidRPr="00EC6B42">
        <w:rPr>
          <w:rFonts w:ascii="Arial" w:hAnsi="Arial" w:cs="Arial"/>
        </w:rPr>
        <w:t>are</w:t>
      </w:r>
      <w:r w:rsidRPr="00EC6B42">
        <w:rPr>
          <w:rFonts w:ascii="Arial" w:hAnsi="Arial" w:cs="Arial"/>
          <w:spacing w:val="-2"/>
        </w:rPr>
        <w:t xml:space="preserve"> </w:t>
      </w:r>
      <w:r w:rsidRPr="00EC6B42">
        <w:rPr>
          <w:rFonts w:ascii="Arial" w:hAnsi="Arial" w:cs="Arial"/>
        </w:rPr>
        <w:t>accessible</w:t>
      </w:r>
      <w:r w:rsidRPr="00EC6B42">
        <w:rPr>
          <w:rFonts w:ascii="Arial" w:hAnsi="Arial" w:cs="Arial"/>
          <w:spacing w:val="-2"/>
        </w:rPr>
        <w:t xml:space="preserve"> </w:t>
      </w:r>
      <w:r w:rsidRPr="00EC6B42">
        <w:rPr>
          <w:rFonts w:ascii="Arial" w:hAnsi="Arial" w:cs="Arial"/>
        </w:rPr>
        <w:t>through</w:t>
      </w:r>
      <w:r w:rsidRPr="00EC6B42">
        <w:rPr>
          <w:rFonts w:ascii="Arial" w:hAnsi="Arial" w:cs="Arial"/>
          <w:spacing w:val="-2"/>
        </w:rPr>
        <w:t xml:space="preserve"> </w:t>
      </w:r>
      <w:r w:rsidRPr="00EC6B42">
        <w:rPr>
          <w:rFonts w:ascii="Arial" w:hAnsi="Arial" w:cs="Arial"/>
        </w:rPr>
        <w:t>this</w:t>
      </w:r>
      <w:r w:rsidRPr="00EC6B42">
        <w:rPr>
          <w:rFonts w:ascii="Arial" w:hAnsi="Arial" w:cs="Arial"/>
          <w:spacing w:val="-3"/>
        </w:rPr>
        <w:t xml:space="preserve"> </w:t>
      </w:r>
      <w:r w:rsidRPr="00EC6B42">
        <w:rPr>
          <w:rFonts w:ascii="Arial" w:hAnsi="Arial" w:cs="Arial"/>
        </w:rPr>
        <w:t xml:space="preserve">link: </w:t>
      </w:r>
    </w:p>
    <w:p w:rsidR="00EC6B42" w:rsidRPr="00EC6B42" w:rsidP="00EC6B42" w14:paraId="38B7FB7B" w14:textId="77777777">
      <w:pPr>
        <w:rPr>
          <w:rStyle w:val="Hyperlink"/>
          <w:rFonts w:ascii="Arial" w:hAnsi="Arial" w:cs="Arial"/>
        </w:rPr>
      </w:pPr>
      <w:hyperlink r:id="rId6" w:history="1">
        <w:r w:rsidRPr="00EC6B42">
          <w:rPr>
            <w:rStyle w:val="Hyperlink"/>
            <w:rFonts w:ascii="Arial" w:hAnsi="Arial" w:cs="Arial"/>
          </w:rPr>
          <w:t>https://www.opm.gov/policy-data-oversight/pay-leave/salaries-wages/salary-tables/pdf/2023/RUS_h.pdf</w:t>
        </w:r>
      </w:hyperlink>
      <w:r w:rsidRPr="00EC6B42">
        <w:rPr>
          <w:rStyle w:val="Hyperlink"/>
          <w:rFonts w:ascii="Arial" w:hAnsi="Arial" w:cs="Arial"/>
        </w:rPr>
        <w:t xml:space="preserve">.  </w:t>
      </w:r>
    </w:p>
    <w:p w:rsidR="00EC6B42" w:rsidRPr="00EC6B42" w:rsidP="00EC6B42" w14:paraId="05375EBA" w14:textId="77777777">
      <w:pPr>
        <w:rPr>
          <w:rStyle w:val="Hyperlink"/>
          <w:rFonts w:ascii="Arial" w:hAnsi="Arial" w:cs="Arial"/>
        </w:rPr>
      </w:pPr>
    </w:p>
    <w:p w:rsidR="00EC6B42" w:rsidRPr="00EC6B42" w:rsidP="00EC6B42" w14:paraId="3839AC29" w14:textId="20D4067F">
      <w:pPr>
        <w:rPr>
          <w:rFonts w:ascii="Arial" w:hAnsi="Arial" w:cs="Arial"/>
        </w:rPr>
      </w:pPr>
      <w:r w:rsidRPr="00EC6B42">
        <w:rPr>
          <w:rFonts w:ascii="Arial" w:hAnsi="Arial" w:cs="Arial"/>
          <w:b/>
          <w:bCs/>
        </w:rPr>
        <w:t>Note:</w:t>
      </w:r>
      <w:r w:rsidRPr="00EC6B42">
        <w:rPr>
          <w:rFonts w:ascii="Arial" w:hAnsi="Arial" w:cs="Arial"/>
        </w:rPr>
        <w:t xml:space="preserve">  The hourly wage information </w:t>
      </w:r>
      <w:r w:rsidR="00924152">
        <w:rPr>
          <w:rFonts w:ascii="Arial" w:hAnsi="Arial" w:cs="Arial"/>
        </w:rPr>
        <w:t xml:space="preserve">below </w:t>
      </w:r>
      <w:r w:rsidRPr="00EC6B42">
        <w:rPr>
          <w:rFonts w:ascii="Arial" w:hAnsi="Arial" w:cs="Arial"/>
        </w:rPr>
        <w:t>is based on the hourly 2023 General Schedule (Base) Pay.</w:t>
      </w:r>
    </w:p>
    <w:p w:rsidR="000F6A14" w:rsidRPr="00EC6B42" w:rsidP="000F6A14" w14:paraId="274225C3" w14:textId="77777777">
      <w:pPr>
        <w:pStyle w:val="BodyText"/>
        <w:rPr>
          <w:rStyle w:val="Hyperlink"/>
        </w:rPr>
      </w:pPr>
    </w:p>
    <w:p w:rsidR="000F6A14" w:rsidP="000F6A14" w14:paraId="7B0DDF5F" w14:textId="02B02F11">
      <w:pPr>
        <w:tabs>
          <w:tab w:val="left" w:pos="480"/>
          <w:tab w:val="right" w:pos="8640"/>
        </w:tabs>
        <w:ind w:right="684"/>
        <w:contextualSpacing/>
        <w:rPr>
          <w:rFonts w:ascii="Arial" w:hAnsi="Arial" w:cs="Arial"/>
        </w:rPr>
      </w:pPr>
      <w:r w:rsidRPr="00924152">
        <w:rPr>
          <w:rFonts w:ascii="Arial" w:hAnsi="Arial" w:cs="Arial"/>
          <w:b/>
          <w:bCs/>
        </w:rPr>
        <w:t>Estimated Costs to the Federal Government:</w:t>
      </w:r>
      <w:r w:rsidR="00D02FAE">
        <w:rPr>
          <w:rFonts w:ascii="Arial" w:hAnsi="Arial" w:cs="Arial"/>
          <w:b/>
          <w:bCs/>
        </w:rPr>
        <w:t xml:space="preserve"> </w:t>
      </w:r>
      <w:r w:rsidR="001B51F2">
        <w:rPr>
          <w:rFonts w:ascii="Arial" w:hAnsi="Arial" w:cs="Arial"/>
          <w:b/>
          <w:bCs/>
        </w:rPr>
        <w:t xml:space="preserve"> </w:t>
      </w:r>
      <w:r w:rsidRPr="00D02FAE" w:rsidR="00D02FAE">
        <w:rPr>
          <w:rFonts w:ascii="Arial" w:hAnsi="Arial" w:cs="Arial"/>
        </w:rPr>
        <w:t>$</w:t>
      </w:r>
      <w:r w:rsidR="001B51F2">
        <w:rPr>
          <w:rFonts w:ascii="Arial" w:hAnsi="Arial" w:cs="Arial"/>
        </w:rPr>
        <w:t>651.42</w:t>
      </w:r>
    </w:p>
    <w:p w:rsidR="001B51F2" w:rsidP="000F6A14" w14:paraId="65ABF901" w14:textId="117C9520">
      <w:pPr>
        <w:tabs>
          <w:tab w:val="left" w:pos="480"/>
          <w:tab w:val="right" w:pos="8640"/>
        </w:tabs>
        <w:ind w:right="684"/>
        <w:contextualSpacing/>
        <w:rPr>
          <w:rFonts w:ascii="Arial" w:hAnsi="Arial" w:cs="Arial"/>
        </w:rPr>
      </w:pPr>
    </w:p>
    <w:p w:rsidR="001B51F2" w:rsidP="000F6A14" w14:paraId="7371A678" w14:textId="36945C72">
      <w:pPr>
        <w:tabs>
          <w:tab w:val="left" w:pos="480"/>
          <w:tab w:val="right" w:pos="8640"/>
        </w:tabs>
        <w:ind w:right="684"/>
        <w:contextualSpacing/>
        <w:rPr>
          <w:rFonts w:ascii="Arial" w:hAnsi="Arial" w:cs="Arial"/>
        </w:rPr>
      </w:pPr>
      <w:r>
        <w:rPr>
          <w:rFonts w:ascii="Arial" w:hAnsi="Arial" w:cs="Arial"/>
        </w:rPr>
        <w:t>VA Form 22-1999v</w:t>
      </w:r>
    </w:p>
    <w:p w:rsidR="001B51F2" w:rsidP="000F6A14" w14:paraId="74AB5CFA" w14:textId="6D1AC6C6">
      <w:pPr>
        <w:tabs>
          <w:tab w:val="left" w:pos="480"/>
          <w:tab w:val="right" w:pos="8640"/>
        </w:tabs>
        <w:ind w:right="684"/>
        <w:contextualSpacing/>
        <w:rPr>
          <w:rFonts w:ascii="Arial" w:hAnsi="Arial" w:cs="Arial"/>
        </w:rPr>
      </w:pPr>
    </w:p>
    <w:p w:rsidR="001B51F2" w:rsidRPr="00D02FAE" w:rsidP="000F6A14" w14:paraId="37487FC2" w14:textId="7008A6BC">
      <w:pPr>
        <w:tabs>
          <w:tab w:val="left" w:pos="480"/>
          <w:tab w:val="right" w:pos="8640"/>
        </w:tabs>
        <w:ind w:right="684"/>
        <w:contextualSpacing/>
        <w:rPr>
          <w:rFonts w:ascii="Arial" w:hAnsi="Arial" w:cs="Arial"/>
        </w:rPr>
      </w:pPr>
      <w:r>
        <w:rPr>
          <w:rFonts w:ascii="Arial" w:hAnsi="Arial" w:cs="Arial"/>
        </w:rPr>
        <w:t>[Certificate of Delivery of Advance Payment and Enrollment]</w:t>
      </w:r>
    </w:p>
    <w:p w:rsidR="000F6A14" w:rsidRPr="0072254F" w:rsidP="000F6A14" w14:paraId="5E3F3B71" w14:textId="77777777">
      <w:pPr>
        <w:tabs>
          <w:tab w:val="left" w:pos="480"/>
          <w:tab w:val="right" w:pos="4680"/>
          <w:tab w:val="right" w:pos="8640"/>
        </w:tabs>
        <w:ind w:right="684"/>
        <w:rPr>
          <w:rFonts w:ascii="Arial" w:hAnsi="Arial" w:cs="Arial"/>
          <w:color w:val="000000" w:themeColor="text1"/>
        </w:rPr>
      </w:pPr>
      <w:r w:rsidRPr="0072254F">
        <w:rPr>
          <w:rFonts w:ascii="Arial" w:hAnsi="Arial" w:cs="Arial"/>
          <w:color w:val="000000" w:themeColor="text1"/>
        </w:rPr>
        <w:tab/>
      </w:r>
    </w:p>
    <w:p w:rsidR="000F6A14" w:rsidRPr="0072254F" w:rsidP="00924152" w14:paraId="3AD848AD" w14:textId="7D260FB4">
      <w:pPr>
        <w:contextualSpacing/>
        <w:rPr>
          <w:rFonts w:ascii="Arial" w:hAnsi="Arial" w:cs="Arial"/>
        </w:rPr>
      </w:pPr>
      <w:r w:rsidRPr="0072254F">
        <w:rPr>
          <w:rFonts w:ascii="Arial" w:hAnsi="Arial" w:cs="Arial"/>
        </w:rPr>
        <w:t xml:space="preserve">We estimate that </w:t>
      </w:r>
      <w:r w:rsidR="00924152">
        <w:rPr>
          <w:rFonts w:ascii="Arial" w:hAnsi="Arial" w:cs="Arial"/>
        </w:rPr>
        <w:t>5</w:t>
      </w:r>
      <w:r w:rsidR="00824093">
        <w:rPr>
          <w:rFonts w:ascii="Arial" w:hAnsi="Arial" w:cs="Arial"/>
        </w:rPr>
        <w:t>6.7</w:t>
      </w:r>
      <w:r w:rsidRPr="0072254F">
        <w:rPr>
          <w:rFonts w:ascii="Arial" w:hAnsi="Arial" w:cs="Arial"/>
        </w:rPr>
        <w:t xml:space="preserve"> (90%) of the responses received will not require a change in the student’s enrollment. It takes approximately 5 minutes to process forms with no change.   </w:t>
      </w:r>
    </w:p>
    <w:p w:rsidR="00924152" w:rsidP="00924152" w14:paraId="0E6311B9" w14:textId="77777777">
      <w:pPr>
        <w:contextualSpacing/>
        <w:rPr>
          <w:rFonts w:ascii="Arial" w:hAnsi="Arial" w:cs="Arial"/>
        </w:rPr>
      </w:pPr>
    </w:p>
    <w:p w:rsidR="000F6A14" w:rsidP="00924152" w14:paraId="4F946A66" w14:textId="0415DE35">
      <w:pPr>
        <w:contextualSpacing/>
        <w:rPr>
          <w:rFonts w:ascii="Arial" w:hAnsi="Arial" w:cs="Arial"/>
        </w:rPr>
      </w:pPr>
      <w:r w:rsidRPr="0072254F">
        <w:rPr>
          <w:rFonts w:ascii="Arial" w:hAnsi="Arial" w:cs="Arial"/>
        </w:rPr>
        <w:t xml:space="preserve">We estimate that </w:t>
      </w:r>
      <w:r w:rsidR="00824093">
        <w:rPr>
          <w:rFonts w:ascii="Arial" w:hAnsi="Arial" w:cs="Arial"/>
        </w:rPr>
        <w:t>6.3</w:t>
      </w:r>
      <w:r w:rsidRPr="0072254F">
        <w:rPr>
          <w:rFonts w:ascii="Arial" w:hAnsi="Arial" w:cs="Arial"/>
        </w:rPr>
        <w:t xml:space="preserve"> (10%) of the responses received will require a change in the student’s enrollment. It takes approximately 20 minutes to process forms that indicate a change in enrollment.  </w:t>
      </w:r>
    </w:p>
    <w:p w:rsidR="000F6A14" w:rsidP="000F6A14" w14:paraId="0BC2A07A" w14:textId="77777777">
      <w:pPr>
        <w:ind w:left="1080"/>
        <w:contextualSpacing/>
        <w:rPr>
          <w:rFonts w:ascii="Arial" w:hAnsi="Arial" w:cs="Arial"/>
        </w:rPr>
      </w:pPr>
    </w:p>
    <w:p w:rsidR="000F6A14" w:rsidRPr="006041A3" w:rsidP="00924152" w14:paraId="44931E7E" w14:textId="20D00D90">
      <w:pPr>
        <w:pStyle w:val="BodyText"/>
        <w:jc w:val="left"/>
      </w:pPr>
      <w:r w:rsidRPr="006041A3">
        <w:t>The</w:t>
      </w:r>
      <w:r w:rsidRPr="006041A3">
        <w:rPr>
          <w:spacing w:val="28"/>
        </w:rPr>
        <w:t xml:space="preserve"> </w:t>
      </w:r>
      <w:r w:rsidRPr="006041A3">
        <w:t>processing</w:t>
      </w:r>
      <w:r w:rsidRPr="006041A3">
        <w:rPr>
          <w:spacing w:val="18"/>
        </w:rPr>
        <w:t xml:space="preserve"> </w:t>
      </w:r>
      <w:r w:rsidRPr="006041A3">
        <w:t>time</w:t>
      </w:r>
      <w:r w:rsidRPr="006041A3">
        <w:rPr>
          <w:spacing w:val="21"/>
        </w:rPr>
        <w:t xml:space="preserve"> </w:t>
      </w:r>
      <w:r w:rsidRPr="006041A3">
        <w:t>estimate</w:t>
      </w:r>
      <w:r>
        <w:t xml:space="preserve">s below </w:t>
      </w:r>
      <w:r w:rsidRPr="006041A3">
        <w:t>are</w:t>
      </w:r>
      <w:r w:rsidRPr="006041A3">
        <w:rPr>
          <w:spacing w:val="17"/>
        </w:rPr>
        <w:t xml:space="preserve"> </w:t>
      </w:r>
      <w:r w:rsidRPr="006041A3">
        <w:t>based</w:t>
      </w:r>
      <w:r w:rsidRPr="006041A3">
        <w:rPr>
          <w:spacing w:val="15"/>
        </w:rPr>
        <w:t xml:space="preserve"> </w:t>
      </w:r>
      <w:r w:rsidRPr="006041A3">
        <w:t>on</w:t>
      </w:r>
      <w:r w:rsidRPr="006041A3">
        <w:rPr>
          <w:spacing w:val="4"/>
        </w:rPr>
        <w:t xml:space="preserve"> </w:t>
      </w:r>
      <w:r w:rsidRPr="006041A3">
        <w:t>the</w:t>
      </w:r>
      <w:r w:rsidRPr="006041A3">
        <w:rPr>
          <w:spacing w:val="17"/>
        </w:rPr>
        <w:t xml:space="preserve"> </w:t>
      </w:r>
      <w:r w:rsidRPr="006041A3">
        <w:t>actual</w:t>
      </w:r>
      <w:r w:rsidRPr="006041A3">
        <w:rPr>
          <w:spacing w:val="13"/>
        </w:rPr>
        <w:t xml:space="preserve"> </w:t>
      </w:r>
      <w:r w:rsidRPr="006041A3">
        <w:t>amount</w:t>
      </w:r>
      <w:r w:rsidRPr="006041A3">
        <w:rPr>
          <w:spacing w:val="21"/>
        </w:rPr>
        <w:t xml:space="preserve"> </w:t>
      </w:r>
      <w:r w:rsidRPr="006041A3">
        <w:t>of</w:t>
      </w:r>
      <w:r w:rsidRPr="006041A3">
        <w:rPr>
          <w:spacing w:val="5"/>
        </w:rPr>
        <w:t xml:space="preserve"> </w:t>
      </w:r>
      <w:r w:rsidRPr="006041A3">
        <w:t>time</w:t>
      </w:r>
      <w:r w:rsidRPr="006041A3">
        <w:rPr>
          <w:w w:val="97"/>
        </w:rPr>
        <w:t xml:space="preserve"> </w:t>
      </w:r>
      <w:r>
        <w:rPr>
          <w:w w:val="97"/>
        </w:rPr>
        <w:t>GS</w:t>
      </w:r>
      <w:r w:rsidR="00D02FAE">
        <w:rPr>
          <w:w w:val="97"/>
        </w:rPr>
        <w:t>-</w:t>
      </w:r>
      <w:r>
        <w:rPr>
          <w:w w:val="97"/>
        </w:rPr>
        <w:t>09</w:t>
      </w:r>
      <w:r w:rsidR="00924152">
        <w:rPr>
          <w:w w:val="97"/>
        </w:rPr>
        <w:t xml:space="preserve"> step </w:t>
      </w:r>
      <w:r>
        <w:rPr>
          <w:w w:val="97"/>
        </w:rPr>
        <w:t xml:space="preserve">05 Veteran Claims Examiners </w:t>
      </w:r>
      <w:r w:rsidRPr="006041A3">
        <w:t>of</w:t>
      </w:r>
      <w:r w:rsidRPr="006041A3">
        <w:rPr>
          <w:spacing w:val="4"/>
        </w:rPr>
        <w:t xml:space="preserve"> </w:t>
      </w:r>
      <w:r w:rsidRPr="006041A3">
        <w:t>th</w:t>
      </w:r>
      <w:r>
        <w:t>is</w:t>
      </w:r>
      <w:r w:rsidRPr="006041A3">
        <w:rPr>
          <w:spacing w:val="11"/>
        </w:rPr>
        <w:t xml:space="preserve"> </w:t>
      </w:r>
      <w:r w:rsidRPr="006041A3">
        <w:t>grade</w:t>
      </w:r>
      <w:r w:rsidRPr="006041A3">
        <w:rPr>
          <w:spacing w:val="28"/>
        </w:rPr>
        <w:t xml:space="preserve"> </w:t>
      </w:r>
      <w:r w:rsidRPr="006041A3">
        <w:t>level</w:t>
      </w:r>
      <w:r w:rsidRPr="006041A3">
        <w:rPr>
          <w:spacing w:val="11"/>
        </w:rPr>
        <w:t xml:space="preserve"> </w:t>
      </w:r>
      <w:r w:rsidRPr="006041A3">
        <w:t>spend</w:t>
      </w:r>
      <w:r w:rsidRPr="006041A3">
        <w:rPr>
          <w:spacing w:val="19"/>
        </w:rPr>
        <w:t xml:space="preserve"> </w:t>
      </w:r>
      <w:r w:rsidRPr="006041A3">
        <w:t>to</w:t>
      </w:r>
      <w:r w:rsidRPr="006041A3">
        <w:rPr>
          <w:spacing w:val="21"/>
        </w:rPr>
        <w:t xml:space="preserve"> </w:t>
      </w:r>
      <w:r w:rsidRPr="006041A3">
        <w:t>process</w:t>
      </w:r>
      <w:r w:rsidRPr="006041A3">
        <w:rPr>
          <w:spacing w:val="14"/>
        </w:rPr>
        <w:t xml:space="preserve"> </w:t>
      </w:r>
      <w:r w:rsidRPr="006041A3">
        <w:t>to</w:t>
      </w:r>
      <w:r w:rsidRPr="006041A3">
        <w:rPr>
          <w:spacing w:val="21"/>
        </w:rPr>
        <w:t xml:space="preserve"> </w:t>
      </w:r>
      <w:r w:rsidRPr="006041A3">
        <w:t>completion</w:t>
      </w:r>
      <w:r w:rsidRPr="006041A3">
        <w:rPr>
          <w:spacing w:val="30"/>
        </w:rPr>
        <w:t xml:space="preserve"> </w:t>
      </w:r>
      <w:r w:rsidRPr="006041A3">
        <w:t>a</w:t>
      </w:r>
      <w:r w:rsidRPr="006041A3">
        <w:rPr>
          <w:spacing w:val="15"/>
        </w:rPr>
        <w:t xml:space="preserve"> </w:t>
      </w:r>
      <w:r w:rsidRPr="006041A3">
        <w:t>claim</w:t>
      </w:r>
      <w:r w:rsidRPr="006041A3">
        <w:rPr>
          <w:spacing w:val="28"/>
        </w:rPr>
        <w:t xml:space="preserve"> </w:t>
      </w:r>
      <w:r w:rsidRPr="006041A3">
        <w:t>received</w:t>
      </w:r>
      <w:r w:rsidRPr="006041A3">
        <w:rPr>
          <w:spacing w:val="32"/>
        </w:rPr>
        <w:t xml:space="preserve"> </w:t>
      </w:r>
      <w:r w:rsidRPr="006041A3">
        <w:t>on</w:t>
      </w:r>
      <w:r w:rsidRPr="006041A3">
        <w:rPr>
          <w:spacing w:val="26"/>
          <w:w w:val="99"/>
        </w:rPr>
        <w:t xml:space="preserve"> </w:t>
      </w:r>
      <w:r w:rsidRPr="006041A3">
        <w:t>this</w:t>
      </w:r>
      <w:r w:rsidRPr="006041A3">
        <w:rPr>
          <w:spacing w:val="25"/>
        </w:rPr>
        <w:t xml:space="preserve"> </w:t>
      </w:r>
      <w:r w:rsidRPr="006041A3">
        <w:t>for</w:t>
      </w:r>
      <w:r w:rsidRPr="006041A3">
        <w:rPr>
          <w:spacing w:val="27"/>
        </w:rPr>
        <w:t>m</w:t>
      </w:r>
      <w:r w:rsidRPr="006041A3">
        <w:rPr>
          <w:color w:val="3F3F3F"/>
        </w:rPr>
        <w:t>.</w:t>
      </w:r>
    </w:p>
    <w:p w:rsidR="000F6A14" w:rsidRPr="002C5690" w:rsidP="000F6A14" w14:paraId="5B05AE20" w14:textId="77777777">
      <w:pPr>
        <w:pStyle w:val="BodyText"/>
        <w:jc w:val="left"/>
      </w:pPr>
    </w:p>
    <w:p w:rsidR="000F6A14" w:rsidRPr="006041A3" w:rsidP="000F6A14" w14:paraId="03F5E01D" w14:textId="77777777">
      <w:pPr>
        <w:ind w:left="1080"/>
        <w:contextualSpacing/>
        <w:rPr>
          <w:rStyle w:val="Hyperlink"/>
        </w:rPr>
      </w:pPr>
      <w:r w:rsidRPr="0072254F">
        <w:rPr>
          <w:rFonts w:ascii="Arial" w:hAnsi="Arial" w:cs="Arial"/>
        </w:rPr>
        <w:t xml:space="preserve"> </w:t>
      </w:r>
    </w:p>
    <w:tbl>
      <w:tblPr>
        <w:tblStyle w:val="TableGrid"/>
        <w:tblW w:w="0" w:type="auto"/>
        <w:jc w:val="center"/>
        <w:tblLook w:val="04A0"/>
      </w:tblPr>
      <w:tblGrid>
        <w:gridCol w:w="985"/>
        <w:gridCol w:w="1925"/>
        <w:gridCol w:w="1304"/>
        <w:gridCol w:w="981"/>
        <w:gridCol w:w="1302"/>
        <w:gridCol w:w="1417"/>
        <w:gridCol w:w="1436"/>
      </w:tblGrid>
      <w:tr w14:paraId="78B7B9AC" w14:textId="77777777" w:rsidTr="00EC6B42">
        <w:tblPrEx>
          <w:tblW w:w="0" w:type="auto"/>
          <w:jc w:val="center"/>
          <w:tblLook w:val="04A0"/>
        </w:tblPrEx>
        <w:trPr>
          <w:jc w:val="center"/>
        </w:trPr>
        <w:tc>
          <w:tcPr>
            <w:tcW w:w="985" w:type="dxa"/>
          </w:tcPr>
          <w:p w:rsidR="000F6A14" w:rsidRPr="006041A3" w:rsidP="00EC6B42" w14:paraId="0AA36DE3" w14:textId="77777777">
            <w:pPr>
              <w:pStyle w:val="BodyText"/>
              <w:jc w:val="center"/>
              <w:rPr>
                <w:rStyle w:val="Hyperlink"/>
              </w:rPr>
            </w:pPr>
            <w:r w:rsidRPr="006041A3">
              <w:rPr>
                <w:rStyle w:val="Hyperlink"/>
              </w:rPr>
              <w:t>Grade</w:t>
            </w:r>
          </w:p>
        </w:tc>
        <w:tc>
          <w:tcPr>
            <w:tcW w:w="1925" w:type="dxa"/>
          </w:tcPr>
          <w:p w:rsidR="000F6A14" w:rsidRPr="006041A3" w:rsidP="00EC6B42" w14:paraId="3ABB5D87" w14:textId="77777777">
            <w:pPr>
              <w:pStyle w:val="BodyText"/>
              <w:jc w:val="center"/>
              <w:rPr>
                <w:rStyle w:val="Hyperlink"/>
              </w:rPr>
            </w:pPr>
            <w:r w:rsidRPr="006041A3">
              <w:rPr>
                <w:rStyle w:val="Hyperlink"/>
              </w:rPr>
              <w:t>Step</w:t>
            </w:r>
          </w:p>
        </w:tc>
        <w:tc>
          <w:tcPr>
            <w:tcW w:w="1304" w:type="dxa"/>
          </w:tcPr>
          <w:p w:rsidR="000F6A14" w:rsidRPr="006041A3" w:rsidP="00EC6B42" w14:paraId="40FFE97F" w14:textId="77777777">
            <w:pPr>
              <w:pStyle w:val="BodyText"/>
              <w:jc w:val="center"/>
              <w:rPr>
                <w:rStyle w:val="Hyperlink"/>
              </w:rPr>
            </w:pPr>
            <w:r w:rsidRPr="006041A3">
              <w:rPr>
                <w:rStyle w:val="Hyperlink"/>
              </w:rPr>
              <w:t>Burden Time Employee</w:t>
            </w:r>
          </w:p>
        </w:tc>
        <w:tc>
          <w:tcPr>
            <w:tcW w:w="981" w:type="dxa"/>
          </w:tcPr>
          <w:p w:rsidR="000F6A14" w:rsidRPr="006041A3" w:rsidP="00EC6B42" w14:paraId="34AD84BB" w14:textId="77777777">
            <w:pPr>
              <w:pStyle w:val="BodyText"/>
              <w:jc w:val="center"/>
              <w:rPr>
                <w:rStyle w:val="Hyperlink"/>
              </w:rPr>
            </w:pPr>
            <w:r w:rsidRPr="006041A3">
              <w:rPr>
                <w:rStyle w:val="Hyperlink"/>
              </w:rPr>
              <w:t>Hourly Wage Rate</w:t>
            </w:r>
          </w:p>
        </w:tc>
        <w:tc>
          <w:tcPr>
            <w:tcW w:w="1302" w:type="dxa"/>
          </w:tcPr>
          <w:p w:rsidR="000F6A14" w:rsidRPr="006041A3" w:rsidP="00EC6B42" w14:paraId="7FC9BA5E" w14:textId="77777777">
            <w:pPr>
              <w:pStyle w:val="BodyText"/>
              <w:jc w:val="center"/>
              <w:rPr>
                <w:rStyle w:val="Hyperlink"/>
              </w:rPr>
            </w:pPr>
            <w:r w:rsidRPr="006041A3">
              <w:rPr>
                <w:rStyle w:val="Hyperlink"/>
              </w:rPr>
              <w:t>Cost per Response</w:t>
            </w:r>
          </w:p>
        </w:tc>
        <w:tc>
          <w:tcPr>
            <w:tcW w:w="1417" w:type="dxa"/>
          </w:tcPr>
          <w:p w:rsidR="000F6A14" w:rsidRPr="006041A3" w:rsidP="00EC6B42" w14:paraId="78FFB071" w14:textId="77777777">
            <w:pPr>
              <w:pStyle w:val="BodyText"/>
              <w:jc w:val="center"/>
              <w:rPr>
                <w:rStyle w:val="Hyperlink"/>
              </w:rPr>
            </w:pPr>
            <w:r w:rsidRPr="006041A3">
              <w:rPr>
                <w:rStyle w:val="Hyperlink"/>
              </w:rPr>
              <w:t>Total Responses</w:t>
            </w:r>
          </w:p>
        </w:tc>
        <w:tc>
          <w:tcPr>
            <w:tcW w:w="1436" w:type="dxa"/>
          </w:tcPr>
          <w:p w:rsidR="000F6A14" w:rsidRPr="006041A3" w:rsidP="00EC6B42" w14:paraId="0420C87B" w14:textId="77777777">
            <w:pPr>
              <w:pStyle w:val="BodyText"/>
              <w:jc w:val="center"/>
              <w:rPr>
                <w:rStyle w:val="Hyperlink"/>
              </w:rPr>
            </w:pPr>
            <w:r w:rsidRPr="006041A3">
              <w:rPr>
                <w:rStyle w:val="Hyperlink"/>
              </w:rPr>
              <w:t>Gov. Cost</w:t>
            </w:r>
          </w:p>
        </w:tc>
      </w:tr>
      <w:tr w14:paraId="235B3F17" w14:textId="77777777" w:rsidTr="00EC6B42">
        <w:tblPrEx>
          <w:tblW w:w="0" w:type="auto"/>
          <w:jc w:val="center"/>
          <w:tblLook w:val="04A0"/>
        </w:tblPrEx>
        <w:trPr>
          <w:jc w:val="center"/>
        </w:trPr>
        <w:tc>
          <w:tcPr>
            <w:tcW w:w="985" w:type="dxa"/>
          </w:tcPr>
          <w:p w:rsidR="000F6A14" w:rsidRPr="00924152" w:rsidP="000D1DC4" w14:paraId="3B5AF505" w14:textId="77777777">
            <w:pPr>
              <w:pStyle w:val="BodyText"/>
              <w:jc w:val="center"/>
              <w:rPr>
                <w:rStyle w:val="Hyperlink"/>
                <w:u w:val="none"/>
              </w:rPr>
            </w:pPr>
            <w:r w:rsidRPr="00924152">
              <w:rPr>
                <w:rStyle w:val="Hyperlink"/>
                <w:u w:val="none"/>
              </w:rPr>
              <w:t>09</w:t>
            </w:r>
          </w:p>
        </w:tc>
        <w:tc>
          <w:tcPr>
            <w:tcW w:w="1925" w:type="dxa"/>
          </w:tcPr>
          <w:p w:rsidR="000F6A14" w:rsidRPr="00924152" w:rsidP="000D1DC4" w14:paraId="2B768C45" w14:textId="77777777">
            <w:pPr>
              <w:pStyle w:val="BodyText"/>
              <w:jc w:val="center"/>
              <w:rPr>
                <w:rStyle w:val="Hyperlink"/>
                <w:u w:val="none"/>
              </w:rPr>
            </w:pPr>
            <w:r w:rsidRPr="00924152">
              <w:rPr>
                <w:rStyle w:val="Hyperlink"/>
                <w:u w:val="none"/>
              </w:rPr>
              <w:t>05</w:t>
            </w:r>
          </w:p>
        </w:tc>
        <w:tc>
          <w:tcPr>
            <w:tcW w:w="1304" w:type="dxa"/>
          </w:tcPr>
          <w:p w:rsidR="000F6A14" w:rsidRPr="00924152" w:rsidP="000D1DC4" w14:paraId="7DF00988" w14:textId="77777777">
            <w:pPr>
              <w:pStyle w:val="BodyText"/>
              <w:jc w:val="center"/>
              <w:rPr>
                <w:rStyle w:val="Hyperlink"/>
                <w:u w:val="none"/>
              </w:rPr>
            </w:pPr>
            <w:r w:rsidRPr="00924152">
              <w:rPr>
                <w:rStyle w:val="Hyperlink"/>
                <w:u w:val="none"/>
              </w:rPr>
              <w:t>20min</w:t>
            </w:r>
          </w:p>
        </w:tc>
        <w:tc>
          <w:tcPr>
            <w:tcW w:w="981" w:type="dxa"/>
          </w:tcPr>
          <w:p w:rsidR="000F6A14" w:rsidRPr="00924152" w:rsidP="000D1DC4" w14:paraId="7CAA97C5" w14:textId="0DB7D407">
            <w:pPr>
              <w:pStyle w:val="BodyText"/>
              <w:jc w:val="center"/>
              <w:rPr>
                <w:rStyle w:val="Hyperlink"/>
                <w:u w:val="none"/>
              </w:rPr>
            </w:pPr>
            <w:r w:rsidRPr="00924152">
              <w:rPr>
                <w:rStyle w:val="Hyperlink"/>
                <w:u w:val="none"/>
              </w:rPr>
              <w:t>$</w:t>
            </w:r>
            <w:r w:rsidRPr="00924152" w:rsidR="00924152">
              <w:rPr>
                <w:rStyle w:val="Hyperlink"/>
                <w:u w:val="none"/>
              </w:rPr>
              <w:t>31.02</w:t>
            </w:r>
          </w:p>
        </w:tc>
        <w:tc>
          <w:tcPr>
            <w:tcW w:w="1302" w:type="dxa"/>
          </w:tcPr>
          <w:p w:rsidR="000F6A14" w:rsidRPr="00924152" w:rsidP="000D1DC4" w14:paraId="378D5A07" w14:textId="5F332C0F">
            <w:pPr>
              <w:pStyle w:val="BodyText"/>
              <w:jc w:val="center"/>
              <w:rPr>
                <w:rStyle w:val="Hyperlink"/>
                <w:u w:val="none"/>
              </w:rPr>
            </w:pPr>
            <w:r w:rsidRPr="00924152">
              <w:rPr>
                <w:rStyle w:val="Hyperlink"/>
                <w:u w:val="none"/>
              </w:rPr>
              <w:t>$</w:t>
            </w:r>
            <w:r w:rsidR="00924152">
              <w:rPr>
                <w:rStyle w:val="Hyperlink"/>
                <w:u w:val="none"/>
              </w:rPr>
              <w:t>10.34</w:t>
            </w:r>
          </w:p>
        </w:tc>
        <w:tc>
          <w:tcPr>
            <w:tcW w:w="1417" w:type="dxa"/>
          </w:tcPr>
          <w:p w:rsidR="000F6A14" w:rsidRPr="00924152" w:rsidP="000D1DC4" w14:paraId="44C382F4" w14:textId="513E9647">
            <w:pPr>
              <w:pStyle w:val="BodyText"/>
              <w:jc w:val="center"/>
              <w:rPr>
                <w:rStyle w:val="Hyperlink"/>
                <w:u w:val="none"/>
              </w:rPr>
            </w:pPr>
            <w:r>
              <w:rPr>
                <w:rStyle w:val="Hyperlink"/>
                <w:u w:val="none"/>
              </w:rPr>
              <w:t>6</w:t>
            </w:r>
            <w:r w:rsidR="001B51F2">
              <w:rPr>
                <w:rStyle w:val="Hyperlink"/>
                <w:u w:val="none"/>
              </w:rPr>
              <w:t>3</w:t>
            </w:r>
          </w:p>
        </w:tc>
        <w:tc>
          <w:tcPr>
            <w:tcW w:w="1436" w:type="dxa"/>
          </w:tcPr>
          <w:p w:rsidR="000F6A14" w:rsidRPr="00924152" w:rsidP="000D1DC4" w14:paraId="1B839E43" w14:textId="46F24336">
            <w:pPr>
              <w:pStyle w:val="BodyText"/>
              <w:jc w:val="center"/>
              <w:rPr>
                <w:rStyle w:val="Hyperlink"/>
                <w:u w:val="none"/>
              </w:rPr>
            </w:pPr>
            <w:r w:rsidRPr="001B51F2">
              <w:rPr>
                <w:rStyle w:val="Hyperlink"/>
                <w:u w:val="none"/>
              </w:rPr>
              <w:t>$</w:t>
            </w:r>
            <w:r w:rsidRPr="001B51F2" w:rsidR="001B51F2">
              <w:rPr>
                <w:rStyle w:val="Hyperlink"/>
                <w:u w:val="none"/>
              </w:rPr>
              <w:t>651.42</w:t>
            </w:r>
            <w:r w:rsidRPr="001B51F2">
              <w:rPr>
                <w:rStyle w:val="Hyperlink"/>
                <w:u w:val="none"/>
              </w:rPr>
              <w:t xml:space="preserve"> (</w:t>
            </w:r>
            <w:r w:rsidRPr="001B51F2" w:rsidR="00924152">
              <w:rPr>
                <w:rStyle w:val="Hyperlink"/>
                <w:u w:val="none"/>
              </w:rPr>
              <w:t>6</w:t>
            </w:r>
            <w:r w:rsidRPr="001B51F2" w:rsidR="001B51F2">
              <w:rPr>
                <w:rStyle w:val="Hyperlink"/>
                <w:u w:val="none"/>
              </w:rPr>
              <w:t>3</w:t>
            </w:r>
            <w:r w:rsidRPr="001B51F2">
              <w:rPr>
                <w:rStyle w:val="Hyperlink"/>
                <w:u w:val="none"/>
              </w:rPr>
              <w:t xml:space="preserve"> X</w:t>
            </w:r>
            <w:r w:rsidRPr="00924152">
              <w:rPr>
                <w:rStyle w:val="Hyperlink"/>
                <w:u w:val="none"/>
              </w:rPr>
              <w:t xml:space="preserve"> $</w:t>
            </w:r>
            <w:r w:rsidR="00924152">
              <w:rPr>
                <w:rStyle w:val="Hyperlink"/>
                <w:u w:val="none"/>
              </w:rPr>
              <w:t>31.02</w:t>
            </w:r>
            <w:r w:rsidRPr="00924152">
              <w:rPr>
                <w:rStyle w:val="Hyperlink"/>
                <w:u w:val="none"/>
              </w:rPr>
              <w:t xml:space="preserve"> X 20 / 60)</w:t>
            </w:r>
          </w:p>
        </w:tc>
      </w:tr>
      <w:tr w14:paraId="107ABD97" w14:textId="77777777" w:rsidTr="00EC6B42">
        <w:tblPrEx>
          <w:tblW w:w="0" w:type="auto"/>
          <w:jc w:val="center"/>
          <w:tblLook w:val="04A0"/>
        </w:tblPrEx>
        <w:trPr>
          <w:jc w:val="center"/>
        </w:trPr>
        <w:tc>
          <w:tcPr>
            <w:tcW w:w="985" w:type="dxa"/>
          </w:tcPr>
          <w:p w:rsidR="000F6A14" w:rsidRPr="0072254F" w:rsidP="000D1DC4" w14:paraId="7E902B85" w14:textId="77777777">
            <w:pPr>
              <w:pStyle w:val="BodyText"/>
              <w:rPr>
                <w:rStyle w:val="Hyperlink"/>
              </w:rPr>
            </w:pPr>
          </w:p>
        </w:tc>
        <w:tc>
          <w:tcPr>
            <w:tcW w:w="6929" w:type="dxa"/>
            <w:gridSpan w:val="5"/>
          </w:tcPr>
          <w:p w:rsidR="000F6A14" w:rsidRPr="0072254F" w:rsidP="000D1DC4" w14:paraId="7BE2892B" w14:textId="77777777">
            <w:pPr>
              <w:pStyle w:val="BodyText"/>
              <w:rPr>
                <w:rStyle w:val="Hyperlink"/>
              </w:rPr>
            </w:pPr>
            <w:r w:rsidRPr="0072254F">
              <w:rPr>
                <w:rStyle w:val="Hyperlink"/>
              </w:rPr>
              <w:t>Overhead at 100%.  Overhead costs are 100% of salary and are also the same as the wage listed above; and the amount is included in the total.</w:t>
            </w:r>
          </w:p>
        </w:tc>
        <w:tc>
          <w:tcPr>
            <w:tcW w:w="1436" w:type="dxa"/>
          </w:tcPr>
          <w:p w:rsidR="000F6A14" w:rsidP="000D1DC4" w14:paraId="4A02DAB1" w14:textId="77777777">
            <w:pPr>
              <w:pStyle w:val="BodyText"/>
              <w:jc w:val="center"/>
              <w:rPr>
                <w:rStyle w:val="Hyperlink"/>
              </w:rPr>
            </w:pPr>
          </w:p>
          <w:p w:rsidR="00D02FAE" w:rsidP="000D1DC4" w14:paraId="2D7344E4" w14:textId="77777777">
            <w:pPr>
              <w:pStyle w:val="BodyText"/>
              <w:jc w:val="center"/>
              <w:rPr>
                <w:rStyle w:val="Hyperlink"/>
              </w:rPr>
            </w:pPr>
          </w:p>
          <w:p w:rsidR="00D02FAE" w:rsidRPr="0072254F" w:rsidP="000D1DC4" w14:paraId="3CB54091" w14:textId="1F5EDE4A">
            <w:pPr>
              <w:pStyle w:val="BodyText"/>
              <w:jc w:val="center"/>
              <w:rPr>
                <w:rStyle w:val="Hyperlink"/>
              </w:rPr>
            </w:pPr>
            <w:r>
              <w:rPr>
                <w:rStyle w:val="Hyperlink"/>
              </w:rPr>
              <w:t>-0-</w:t>
            </w:r>
          </w:p>
        </w:tc>
      </w:tr>
      <w:tr w14:paraId="465B7B8D" w14:textId="77777777" w:rsidTr="00EC6B42">
        <w:tblPrEx>
          <w:tblW w:w="0" w:type="auto"/>
          <w:jc w:val="center"/>
          <w:tblLook w:val="04A0"/>
        </w:tblPrEx>
        <w:trPr>
          <w:jc w:val="center"/>
        </w:trPr>
        <w:tc>
          <w:tcPr>
            <w:tcW w:w="985" w:type="dxa"/>
          </w:tcPr>
          <w:p w:rsidR="000F6A14" w:rsidRPr="0072254F" w:rsidP="000D1DC4" w14:paraId="4FC80533" w14:textId="77777777">
            <w:pPr>
              <w:pStyle w:val="BodyText"/>
              <w:rPr>
                <w:rStyle w:val="Hyperlink"/>
              </w:rPr>
            </w:pPr>
            <w:r w:rsidRPr="0072254F">
              <w:rPr>
                <w:rStyle w:val="Hyperlink"/>
              </w:rPr>
              <w:t xml:space="preserve"> </w:t>
            </w:r>
          </w:p>
        </w:tc>
        <w:tc>
          <w:tcPr>
            <w:tcW w:w="6929" w:type="dxa"/>
            <w:gridSpan w:val="5"/>
          </w:tcPr>
          <w:p w:rsidR="000F6A14" w:rsidRPr="0072254F" w:rsidP="000D1DC4" w14:paraId="477C49F9" w14:textId="77777777">
            <w:pPr>
              <w:pStyle w:val="BodyText"/>
              <w:rPr>
                <w:rStyle w:val="Hyperlink"/>
              </w:rPr>
            </w:pPr>
            <w:r w:rsidRPr="0072254F">
              <w:rPr>
                <w:rStyle w:val="Hyperlink"/>
              </w:rPr>
              <w:t xml:space="preserve">Processing / Analyzing Cost </w:t>
            </w:r>
          </w:p>
        </w:tc>
        <w:tc>
          <w:tcPr>
            <w:tcW w:w="1436" w:type="dxa"/>
          </w:tcPr>
          <w:p w:rsidR="000F6A14" w:rsidRPr="00C376CF" w:rsidP="000D1DC4" w14:paraId="062EA423" w14:textId="01504E05">
            <w:pPr>
              <w:pStyle w:val="BodyText"/>
              <w:jc w:val="center"/>
              <w:rPr>
                <w:rStyle w:val="Hyperlink"/>
              </w:rPr>
            </w:pPr>
            <w:r w:rsidRPr="00C376CF">
              <w:rPr>
                <w:rStyle w:val="Hyperlink"/>
              </w:rPr>
              <w:t>$</w:t>
            </w:r>
            <w:r w:rsidR="001B51F2">
              <w:rPr>
                <w:rStyle w:val="Hyperlink"/>
              </w:rPr>
              <w:t>651.42</w:t>
            </w:r>
          </w:p>
        </w:tc>
      </w:tr>
      <w:tr w14:paraId="2D731D4E" w14:textId="77777777" w:rsidTr="00EC6B42">
        <w:tblPrEx>
          <w:tblW w:w="0" w:type="auto"/>
          <w:jc w:val="center"/>
          <w:tblLook w:val="04A0"/>
        </w:tblPrEx>
        <w:trPr>
          <w:jc w:val="center"/>
        </w:trPr>
        <w:tc>
          <w:tcPr>
            <w:tcW w:w="985" w:type="dxa"/>
          </w:tcPr>
          <w:p w:rsidR="000F6A14" w:rsidRPr="0072254F" w:rsidP="000D1DC4" w14:paraId="3E9FA9D6" w14:textId="77777777">
            <w:pPr>
              <w:pStyle w:val="BodyText"/>
              <w:rPr>
                <w:rStyle w:val="Hyperlink"/>
              </w:rPr>
            </w:pPr>
          </w:p>
        </w:tc>
        <w:tc>
          <w:tcPr>
            <w:tcW w:w="6929" w:type="dxa"/>
            <w:gridSpan w:val="5"/>
          </w:tcPr>
          <w:p w:rsidR="000F6A14" w:rsidRPr="0072254F" w:rsidP="000D1DC4" w14:paraId="0E4359E0" w14:textId="77777777">
            <w:pPr>
              <w:pStyle w:val="BodyText"/>
              <w:rPr>
                <w:rStyle w:val="Hyperlink"/>
              </w:rPr>
            </w:pPr>
            <w:r w:rsidRPr="0072254F">
              <w:rPr>
                <w:rStyle w:val="Hyperlink"/>
              </w:rPr>
              <w:t xml:space="preserve">Printing and Production Cost </w:t>
            </w:r>
          </w:p>
        </w:tc>
        <w:tc>
          <w:tcPr>
            <w:tcW w:w="1436" w:type="dxa"/>
          </w:tcPr>
          <w:p w:rsidR="000F6A14" w:rsidRPr="00C376CF" w:rsidP="000D1DC4" w14:paraId="48DBA5C4" w14:textId="77777777">
            <w:pPr>
              <w:pStyle w:val="BodyText"/>
              <w:jc w:val="center"/>
              <w:rPr>
                <w:rStyle w:val="Hyperlink"/>
              </w:rPr>
            </w:pPr>
            <w:r w:rsidRPr="00C376CF">
              <w:rPr>
                <w:rStyle w:val="Hyperlink"/>
              </w:rPr>
              <w:t>-0-</w:t>
            </w:r>
          </w:p>
        </w:tc>
      </w:tr>
      <w:tr w14:paraId="2CA96359" w14:textId="77777777" w:rsidTr="00EC6B42">
        <w:tblPrEx>
          <w:tblW w:w="0" w:type="auto"/>
          <w:jc w:val="center"/>
          <w:tblLook w:val="04A0"/>
        </w:tblPrEx>
        <w:trPr>
          <w:jc w:val="center"/>
        </w:trPr>
        <w:tc>
          <w:tcPr>
            <w:tcW w:w="7914" w:type="dxa"/>
            <w:gridSpan w:val="6"/>
          </w:tcPr>
          <w:p w:rsidR="000F6A14" w:rsidRPr="001B51F2" w:rsidP="000D1DC4" w14:paraId="34380FA8" w14:textId="77777777">
            <w:pPr>
              <w:pStyle w:val="BodyText"/>
              <w:rPr>
                <w:rStyle w:val="Hyperlink"/>
                <w:b/>
                <w:bCs w:val="0"/>
              </w:rPr>
            </w:pPr>
            <w:r w:rsidRPr="001B51F2">
              <w:rPr>
                <w:rStyle w:val="Hyperlink"/>
                <w:b/>
                <w:bCs w:val="0"/>
              </w:rPr>
              <w:t xml:space="preserve">Total Cost to Government </w:t>
            </w:r>
          </w:p>
        </w:tc>
        <w:tc>
          <w:tcPr>
            <w:tcW w:w="1436" w:type="dxa"/>
          </w:tcPr>
          <w:p w:rsidR="000F6A14" w:rsidRPr="001B51F2" w:rsidP="000D1DC4" w14:paraId="65BD5D19" w14:textId="4EA7D04F">
            <w:pPr>
              <w:pStyle w:val="BodyText"/>
              <w:jc w:val="center"/>
              <w:rPr>
                <w:rStyle w:val="Hyperlink"/>
                <w:b/>
                <w:bCs w:val="0"/>
              </w:rPr>
            </w:pPr>
            <w:r w:rsidRPr="001B51F2">
              <w:rPr>
                <w:rStyle w:val="Hyperlink"/>
                <w:b/>
                <w:bCs w:val="0"/>
              </w:rPr>
              <w:t>$</w:t>
            </w:r>
            <w:r w:rsidRPr="001B51F2" w:rsidR="001B51F2">
              <w:rPr>
                <w:rStyle w:val="Hyperlink"/>
                <w:b/>
                <w:bCs w:val="0"/>
              </w:rPr>
              <w:t>651.42</w:t>
            </w:r>
          </w:p>
        </w:tc>
      </w:tr>
    </w:tbl>
    <w:p w:rsidR="000F6A14" w:rsidRPr="006041A3" w:rsidP="000F6A14" w14:paraId="795509F2" w14:textId="77777777">
      <w:pPr>
        <w:pStyle w:val="BodyText"/>
        <w:rPr>
          <w:rStyle w:val="Hyperlink"/>
        </w:rPr>
      </w:pPr>
    </w:p>
    <w:p w:rsidR="000F6A14" w:rsidRPr="006041A3" w:rsidP="000F6A14" w14:paraId="0E2A7911" w14:textId="77777777">
      <w:pPr>
        <w:rPr>
          <w:rFonts w:ascii="Arial" w:hAnsi="Arial" w:cs="Arial"/>
          <w:b/>
        </w:rPr>
      </w:pPr>
      <w:r w:rsidRPr="006041A3">
        <w:rPr>
          <w:rFonts w:ascii="Arial" w:hAnsi="Arial" w:cs="Arial"/>
          <w:b/>
        </w:rPr>
        <w:t xml:space="preserve">15.  Explain the reason for any burden hour changes since the last submission. </w:t>
      </w:r>
    </w:p>
    <w:p w:rsidR="000F6A14" w:rsidP="000F6A14" w14:paraId="0E733062" w14:textId="77777777">
      <w:pPr>
        <w:rPr>
          <w:rFonts w:ascii="Arial" w:hAnsi="Arial" w:cs="Arial"/>
        </w:rPr>
      </w:pPr>
    </w:p>
    <w:p w:rsidR="00E34A2A" w:rsidP="00E34A2A" w14:paraId="4AAB2E56" w14:textId="77777777">
      <w:pPr>
        <w:rPr>
          <w:rFonts w:ascii="Arial" w:hAnsi="Arial" w:cs="Arial"/>
        </w:rPr>
      </w:pPr>
      <w:r w:rsidRPr="00E34A2A">
        <w:rPr>
          <w:rFonts w:ascii="Arial" w:hAnsi="Arial" w:cs="Arial"/>
        </w:rPr>
        <w:t xml:space="preserve">• This information collection request has been entered in ROCIS as a “Revision” due to </w:t>
      </w:r>
    </w:p>
    <w:p w:rsidR="00E34A2A" w:rsidP="00E34A2A" w14:paraId="241D66A5" w14:textId="77777777">
      <w:pPr>
        <w:rPr>
          <w:rFonts w:ascii="Arial" w:hAnsi="Arial" w:cs="Arial"/>
        </w:rPr>
      </w:pPr>
      <w:r>
        <w:rPr>
          <w:rFonts w:ascii="Arial" w:hAnsi="Arial" w:cs="Arial"/>
        </w:rPr>
        <w:t xml:space="preserve">  </w:t>
      </w:r>
      <w:r w:rsidRPr="00E34A2A">
        <w:rPr>
          <w:rFonts w:ascii="Arial" w:hAnsi="Arial" w:cs="Arial"/>
        </w:rPr>
        <w:t xml:space="preserve">a decrease in the burden hours. The reduction in the burden hours is based on a </w:t>
      </w:r>
    </w:p>
    <w:p w:rsidR="00E34A2A" w:rsidP="00E34A2A" w14:paraId="16F793C6" w14:textId="77777777">
      <w:pPr>
        <w:rPr>
          <w:rFonts w:ascii="Arial" w:hAnsi="Arial" w:cs="Arial"/>
        </w:rPr>
      </w:pPr>
      <w:r>
        <w:rPr>
          <w:rFonts w:ascii="Arial" w:hAnsi="Arial" w:cs="Arial"/>
        </w:rPr>
        <w:t xml:space="preserve">  </w:t>
      </w:r>
      <w:r w:rsidRPr="00E34A2A">
        <w:rPr>
          <w:rFonts w:ascii="Arial" w:hAnsi="Arial" w:cs="Arial"/>
        </w:rPr>
        <w:t xml:space="preserve">significant </w:t>
      </w:r>
      <w:r>
        <w:rPr>
          <w:rFonts w:ascii="Arial" w:hAnsi="Arial" w:cs="Arial"/>
        </w:rPr>
        <w:t>r</w:t>
      </w:r>
      <w:r w:rsidRPr="00E34A2A">
        <w:rPr>
          <w:rFonts w:ascii="Arial" w:hAnsi="Arial" w:cs="Arial"/>
        </w:rPr>
        <w:t xml:space="preserve">eduction in the number of average annual advance payments made over </w:t>
      </w:r>
    </w:p>
    <w:p w:rsidR="00E34A2A" w:rsidP="00E34A2A" w14:paraId="32ECBF83" w14:textId="77777777">
      <w:pPr>
        <w:rPr>
          <w:rFonts w:ascii="Arial" w:hAnsi="Arial" w:cs="Arial"/>
        </w:rPr>
      </w:pPr>
      <w:r>
        <w:rPr>
          <w:rFonts w:ascii="Arial" w:hAnsi="Arial" w:cs="Arial"/>
        </w:rPr>
        <w:t xml:space="preserve">  </w:t>
      </w:r>
      <w:r w:rsidRPr="00E34A2A">
        <w:rPr>
          <w:rFonts w:ascii="Arial" w:hAnsi="Arial" w:cs="Arial"/>
        </w:rPr>
        <w:t>the periods, 2019, 2020, 2021 and 2022.</w:t>
      </w:r>
    </w:p>
    <w:p w:rsidR="00E34A2A" w:rsidRPr="00E34A2A" w:rsidP="00E34A2A" w14:paraId="3F7BE15A" w14:textId="77777777">
      <w:pPr>
        <w:rPr>
          <w:rFonts w:ascii="Arial" w:hAnsi="Arial" w:cs="Arial"/>
        </w:rPr>
      </w:pPr>
    </w:p>
    <w:p w:rsidR="00E34A2A" w:rsidP="00E34A2A" w14:paraId="0E810E98" w14:textId="77777777">
      <w:pPr>
        <w:rPr>
          <w:rFonts w:ascii="Arial" w:hAnsi="Arial" w:cs="Arial"/>
        </w:rPr>
      </w:pPr>
      <w:r w:rsidRPr="00E34A2A">
        <w:rPr>
          <w:rFonts w:ascii="Arial" w:hAnsi="Arial" w:cs="Arial"/>
        </w:rPr>
        <w:t xml:space="preserve">•  Minor non-substantive edits have been made to the form that do not affect the burden </w:t>
      </w:r>
    </w:p>
    <w:p w:rsidR="00E34A2A" w:rsidRPr="00E34A2A" w:rsidP="00E34A2A" w14:paraId="081988FB" w14:textId="77777777">
      <w:pPr>
        <w:rPr>
          <w:rFonts w:ascii="Arial" w:hAnsi="Arial" w:cs="Arial"/>
        </w:rPr>
      </w:pPr>
      <w:r>
        <w:rPr>
          <w:rFonts w:ascii="Arial" w:hAnsi="Arial" w:cs="Arial"/>
        </w:rPr>
        <w:t xml:space="preserve">   </w:t>
      </w:r>
      <w:r w:rsidRPr="00E34A2A">
        <w:rPr>
          <w:rFonts w:ascii="Arial" w:hAnsi="Arial" w:cs="Arial"/>
        </w:rPr>
        <w:t>hours.</w:t>
      </w:r>
    </w:p>
    <w:p w:rsidR="007A0F26" w:rsidRPr="002C0CC3" w:rsidP="007A0F26" w14:paraId="2CB19EF5" w14:textId="77777777">
      <w:pPr>
        <w:rPr>
          <w:rFonts w:ascii="Arial" w:hAnsi="Arial" w:cs="Arial"/>
        </w:rPr>
      </w:pPr>
    </w:p>
    <w:p w:rsidR="000F6A14" w:rsidRPr="006041A3" w:rsidP="000F6A14" w14:paraId="1D36DF4E" w14:textId="77777777">
      <w:pPr>
        <w:rPr>
          <w:rFonts w:ascii="Arial" w:hAnsi="Arial" w:cs="Arial"/>
          <w:b/>
        </w:rPr>
      </w:pPr>
      <w:r w:rsidRPr="006041A3">
        <w:rPr>
          <w:rFonts w:ascii="Arial" w:hAnsi="Arial" w:cs="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F6A14" w:rsidP="000F6A14" w14:paraId="5D218801" w14:textId="77777777">
      <w:pPr>
        <w:pStyle w:val="BodyText"/>
      </w:pPr>
    </w:p>
    <w:p w:rsidR="000F6A14" w:rsidP="000F6A14" w14:paraId="6A6B71F1" w14:textId="793FE8EB">
      <w:pPr>
        <w:tabs>
          <w:tab w:val="left" w:pos="480"/>
          <w:tab w:val="right" w:pos="8640"/>
        </w:tabs>
        <w:ind w:right="684"/>
        <w:contextualSpacing/>
        <w:rPr>
          <w:rFonts w:ascii="Arial" w:hAnsi="Arial" w:cs="Arial"/>
          <w:color w:val="000000" w:themeColor="text1"/>
        </w:rPr>
      </w:pPr>
      <w:r>
        <w:rPr>
          <w:rFonts w:ascii="Arial" w:hAnsi="Arial" w:cs="Arial"/>
          <w:color w:val="000000" w:themeColor="text1"/>
        </w:rPr>
        <w:t xml:space="preserve">The results of this information collection will not be published. </w:t>
      </w:r>
    </w:p>
    <w:p w:rsidR="000F6A14" w:rsidP="000F6A14" w14:paraId="36FF13C0" w14:textId="77777777">
      <w:pPr>
        <w:ind w:left="360"/>
        <w:contextualSpacing/>
        <w:rPr>
          <w:rFonts w:ascii="Arial" w:hAnsi="Arial" w:cs="Arial"/>
          <w:color w:val="000000" w:themeColor="text1"/>
        </w:rPr>
      </w:pPr>
    </w:p>
    <w:p w:rsidR="000F6A14" w:rsidRPr="006041A3" w:rsidP="000F6A14" w14:paraId="72A5877C" w14:textId="77777777">
      <w:pPr>
        <w:rPr>
          <w:rFonts w:ascii="Arial" w:hAnsi="Arial" w:cs="Arial"/>
          <w:b/>
        </w:rPr>
      </w:pPr>
      <w:r w:rsidRPr="006041A3">
        <w:rPr>
          <w:rFonts w:ascii="Arial" w:hAnsi="Arial" w:cs="Arial"/>
          <w:b/>
        </w:rPr>
        <w:t>17. If seeking approval to not display the expiration date for OMB approval of the information collection, explain the reasons that display would be inappropriate.</w:t>
      </w:r>
    </w:p>
    <w:p w:rsidR="000F6A14" w:rsidP="000F6A14" w14:paraId="534B9EF9" w14:textId="77777777">
      <w:pPr>
        <w:rPr>
          <w:rFonts w:ascii="Arial" w:hAnsi="Arial" w:cs="Arial"/>
        </w:rPr>
      </w:pPr>
    </w:p>
    <w:p w:rsidR="000F6A14" w:rsidP="000F6A14" w14:paraId="171EAB46" w14:textId="232272A7">
      <w:pPr>
        <w:tabs>
          <w:tab w:val="left" w:pos="480"/>
          <w:tab w:val="right" w:pos="8640"/>
        </w:tabs>
        <w:ind w:right="684"/>
        <w:contextualSpacing/>
        <w:rPr>
          <w:rFonts w:ascii="Arial" w:hAnsi="Arial" w:cs="Arial"/>
          <w:color w:val="000000" w:themeColor="text1"/>
        </w:rPr>
      </w:pPr>
      <w:r>
        <w:rPr>
          <w:rFonts w:ascii="Arial" w:hAnsi="Arial" w:cs="Arial"/>
          <w:color w:val="000000" w:themeColor="text1"/>
        </w:rPr>
        <w:t xml:space="preserve">We are not seeking approval to omit the </w:t>
      </w:r>
      <w:r w:rsidR="00E46C0F">
        <w:rPr>
          <w:rFonts w:ascii="Arial" w:hAnsi="Arial" w:cs="Arial"/>
          <w:color w:val="000000" w:themeColor="text1"/>
        </w:rPr>
        <w:t xml:space="preserve">display of the </w:t>
      </w:r>
      <w:r>
        <w:rPr>
          <w:rFonts w:ascii="Arial" w:hAnsi="Arial" w:cs="Arial"/>
          <w:color w:val="000000" w:themeColor="text1"/>
        </w:rPr>
        <w:t>expiration date for OMB approval</w:t>
      </w:r>
      <w:r w:rsidR="00E46C0F">
        <w:rPr>
          <w:rFonts w:ascii="Arial" w:hAnsi="Arial" w:cs="Arial"/>
          <w:color w:val="000000" w:themeColor="text1"/>
        </w:rPr>
        <w:t xml:space="preserve"> on the collection instrument.</w:t>
      </w:r>
    </w:p>
    <w:p w:rsidR="000F6A14" w:rsidP="000F6A14" w14:paraId="0E9D56BA" w14:textId="77777777">
      <w:pPr>
        <w:rPr>
          <w:rFonts w:ascii="Arial" w:hAnsi="Arial" w:cs="Arial"/>
          <w:color w:val="000000" w:themeColor="text1"/>
        </w:rPr>
      </w:pPr>
    </w:p>
    <w:p w:rsidR="000F6A14" w:rsidRPr="006041A3" w:rsidP="000F6A14" w14:paraId="4514DD2F" w14:textId="77777777">
      <w:pPr>
        <w:rPr>
          <w:rFonts w:ascii="Arial" w:hAnsi="Arial" w:cs="Arial"/>
          <w:b/>
        </w:rPr>
      </w:pPr>
      <w:r w:rsidRPr="006041A3">
        <w:rPr>
          <w:rFonts w:ascii="Arial" w:hAnsi="Arial" w:cs="Arial"/>
          <w:b/>
        </w:rPr>
        <w:t>18. Explain each exception to the certification statement identified in Item 19, “Certification for Paperwork Reduction Act Submissions,” of OMB 83-I.</w:t>
      </w:r>
    </w:p>
    <w:p w:rsidR="000F6A14" w:rsidP="000F6A14" w14:paraId="4C763614" w14:textId="77777777">
      <w:pPr>
        <w:pStyle w:val="BodyText"/>
      </w:pPr>
    </w:p>
    <w:p w:rsidR="000F6A14" w:rsidP="000F6A14" w14:paraId="6E058D95" w14:textId="51A1062C">
      <w:pPr>
        <w:tabs>
          <w:tab w:val="left" w:pos="480"/>
          <w:tab w:val="right" w:pos="8640"/>
        </w:tabs>
        <w:ind w:right="684"/>
        <w:contextualSpacing/>
        <w:rPr>
          <w:rFonts w:ascii="Arial" w:hAnsi="Arial" w:cs="Arial"/>
          <w:color w:val="000000" w:themeColor="text1"/>
        </w:rPr>
      </w:pPr>
      <w:r>
        <w:rPr>
          <w:rFonts w:ascii="Arial" w:hAnsi="Arial" w:cs="Arial"/>
          <w:color w:val="000000" w:themeColor="text1"/>
        </w:rPr>
        <w:t>We are not requesting any exemptions to the provisions stated in 5 CFR 1320.9.</w:t>
      </w:r>
    </w:p>
    <w:p w:rsidR="000F6A14" w:rsidRPr="006041A3" w:rsidP="000F6A14" w14:paraId="661571AE" w14:textId="77777777">
      <w:pPr>
        <w:rPr>
          <w:rFonts w:ascii="Arial" w:hAnsi="Arial" w:cs="Arial"/>
          <w:b/>
          <w:u w:val="single"/>
        </w:rPr>
      </w:pPr>
    </w:p>
    <w:p w:rsidR="000F6A14" w:rsidRPr="00C55D3E" w:rsidP="000F6A14" w14:paraId="5FB7176C" w14:textId="77777777">
      <w:pPr>
        <w:rPr>
          <w:rFonts w:ascii="Arial" w:hAnsi="Arial" w:cs="Arial"/>
          <w:b/>
          <w:sz w:val="28"/>
          <w:szCs w:val="28"/>
          <w:u w:val="single"/>
        </w:rPr>
      </w:pPr>
      <w:r w:rsidRPr="00C55D3E">
        <w:rPr>
          <w:rFonts w:ascii="Arial" w:hAnsi="Arial" w:cs="Arial"/>
          <w:b/>
          <w:sz w:val="28"/>
          <w:szCs w:val="28"/>
          <w:u w:val="single"/>
        </w:rPr>
        <w:t>B. Collection of Information Employing Statistical Methods.</w:t>
      </w:r>
    </w:p>
    <w:p w:rsidR="000F6A14" w:rsidP="000F6A14" w14:paraId="0E0A63B4" w14:textId="77777777">
      <w:pPr>
        <w:pStyle w:val="BodyText"/>
      </w:pPr>
    </w:p>
    <w:p w:rsidR="00257EF8" w:rsidP="00824093" w14:paraId="5605F126" w14:textId="691D9739">
      <w:pPr>
        <w:pStyle w:val="BodyText"/>
      </w:pPr>
      <w:r>
        <w:t>This collection of information by the Veterans Benefits Administration does not employ statistical methods.</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3977506"/>
      <w:docPartObj>
        <w:docPartGallery w:val="Page Numbers (Bottom of Page)"/>
        <w:docPartUnique/>
      </w:docPartObj>
    </w:sdtPr>
    <w:sdtEndPr>
      <w:rPr>
        <w:noProof/>
      </w:rPr>
    </w:sdtEndPr>
    <w:sdtContent>
      <w:p w:rsidR="00813B11" w14:paraId="6C63400F" w14:textId="77777777">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813B11" w14:paraId="369D7D6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46231D"/>
    <w:multiLevelType w:val="hybridMultilevel"/>
    <w:tmpl w:val="850484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87549A6"/>
    <w:multiLevelType w:val="hybridMultilevel"/>
    <w:tmpl w:val="8F202FF6"/>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
    <w:nsid w:val="6DC157E9"/>
    <w:multiLevelType w:val="hybridMultilevel"/>
    <w:tmpl w:val="AF5CC9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C6A4048"/>
    <w:multiLevelType w:val="hybridMultilevel"/>
    <w:tmpl w:val="97D2FE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20276725">
    <w:abstractNumId w:val="1"/>
  </w:num>
  <w:num w:numId="2" w16cid:durableId="1239484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5918055">
    <w:abstractNumId w:val="3"/>
  </w:num>
  <w:num w:numId="4" w16cid:durableId="1398435678">
    <w:abstractNumId w:val="0"/>
  </w:num>
  <w:num w:numId="5" w16cid:durableId="1582911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A14"/>
    <w:rsid w:val="00031321"/>
    <w:rsid w:val="000D0AE1"/>
    <w:rsid w:val="000D1DC4"/>
    <w:rsid w:val="000F6A14"/>
    <w:rsid w:val="00104816"/>
    <w:rsid w:val="00105350"/>
    <w:rsid w:val="00157F10"/>
    <w:rsid w:val="00194AB1"/>
    <w:rsid w:val="001B51F2"/>
    <w:rsid w:val="001F1DAE"/>
    <w:rsid w:val="00257EF8"/>
    <w:rsid w:val="00264E1D"/>
    <w:rsid w:val="002C0CC3"/>
    <w:rsid w:val="002C5690"/>
    <w:rsid w:val="002E4CAC"/>
    <w:rsid w:val="00320E84"/>
    <w:rsid w:val="00332397"/>
    <w:rsid w:val="0037125C"/>
    <w:rsid w:val="003B1A27"/>
    <w:rsid w:val="003E7475"/>
    <w:rsid w:val="0057120D"/>
    <w:rsid w:val="00573E3C"/>
    <w:rsid w:val="005F24E8"/>
    <w:rsid w:val="00602C53"/>
    <w:rsid w:val="006041A3"/>
    <w:rsid w:val="0061602B"/>
    <w:rsid w:val="00690C88"/>
    <w:rsid w:val="00697077"/>
    <w:rsid w:val="0072254F"/>
    <w:rsid w:val="007A0F26"/>
    <w:rsid w:val="007B0A8B"/>
    <w:rsid w:val="00813B11"/>
    <w:rsid w:val="00824093"/>
    <w:rsid w:val="0089396E"/>
    <w:rsid w:val="0091106F"/>
    <w:rsid w:val="00924152"/>
    <w:rsid w:val="00973932"/>
    <w:rsid w:val="009B44D9"/>
    <w:rsid w:val="009C6E94"/>
    <w:rsid w:val="009D2C56"/>
    <w:rsid w:val="009F268B"/>
    <w:rsid w:val="00A56B9D"/>
    <w:rsid w:val="00AF4E69"/>
    <w:rsid w:val="00BD3780"/>
    <w:rsid w:val="00BF3ECB"/>
    <w:rsid w:val="00C11FEC"/>
    <w:rsid w:val="00C376CF"/>
    <w:rsid w:val="00C55D3E"/>
    <w:rsid w:val="00CD3DB0"/>
    <w:rsid w:val="00D02FAE"/>
    <w:rsid w:val="00D42759"/>
    <w:rsid w:val="00D94EA2"/>
    <w:rsid w:val="00E24C0A"/>
    <w:rsid w:val="00E34A2A"/>
    <w:rsid w:val="00E46C0F"/>
    <w:rsid w:val="00E73FAC"/>
    <w:rsid w:val="00EC6B42"/>
    <w:rsid w:val="00EE183A"/>
    <w:rsid w:val="00F541E2"/>
    <w:rsid w:val="00FE1C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A568EA"/>
  <w15:chartTrackingRefBased/>
  <w15:docId w15:val="{93ED9361-20EE-4BA4-858C-2A5C29E0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A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6A14"/>
    <w:pPr>
      <w:tabs>
        <w:tab w:val="center" w:pos="4320"/>
        <w:tab w:val="right" w:pos="8640"/>
      </w:tabs>
    </w:pPr>
  </w:style>
  <w:style w:type="character" w:customStyle="1" w:styleId="FooterChar">
    <w:name w:val="Footer Char"/>
    <w:basedOn w:val="DefaultParagraphFont"/>
    <w:link w:val="Footer"/>
    <w:uiPriority w:val="99"/>
    <w:rsid w:val="000F6A14"/>
    <w:rPr>
      <w:rFonts w:ascii="Times New Roman" w:eastAsia="Times New Roman" w:hAnsi="Times New Roman" w:cs="Times New Roman"/>
      <w:sz w:val="24"/>
      <w:szCs w:val="24"/>
    </w:rPr>
  </w:style>
  <w:style w:type="paragraph" w:styleId="BodyText">
    <w:name w:val="Body Text"/>
    <w:basedOn w:val="Normal"/>
    <w:link w:val="BodyTextChar"/>
    <w:unhideWhenUsed/>
    <w:rsid w:val="000F6A14"/>
    <w:pPr>
      <w:jc w:val="both"/>
    </w:pPr>
    <w:rPr>
      <w:rFonts w:ascii="Arial" w:hAnsi="Arial" w:cs="Arial"/>
      <w:bCs/>
    </w:rPr>
  </w:style>
  <w:style w:type="character" w:customStyle="1" w:styleId="BodyTextChar">
    <w:name w:val="Body Text Char"/>
    <w:basedOn w:val="DefaultParagraphFont"/>
    <w:link w:val="BodyText"/>
    <w:rsid w:val="000F6A14"/>
    <w:rPr>
      <w:rFonts w:ascii="Arial" w:eastAsia="Times New Roman" w:hAnsi="Arial" w:cs="Arial"/>
      <w:bCs/>
      <w:sz w:val="24"/>
      <w:szCs w:val="24"/>
    </w:rPr>
  </w:style>
  <w:style w:type="paragraph" w:styleId="BodyTextIndent2">
    <w:name w:val="Body Text Indent 2"/>
    <w:basedOn w:val="Normal"/>
    <w:link w:val="BodyTextIndent2Char"/>
    <w:unhideWhenUsed/>
    <w:rsid w:val="000F6A14"/>
    <w:pPr>
      <w:ind w:left="360"/>
    </w:pPr>
    <w:rPr>
      <w:rFonts w:ascii="Arial" w:hAnsi="Arial" w:cs="Arial"/>
    </w:rPr>
  </w:style>
  <w:style w:type="character" w:customStyle="1" w:styleId="BodyTextIndent2Char">
    <w:name w:val="Body Text Indent 2 Char"/>
    <w:basedOn w:val="DefaultParagraphFont"/>
    <w:link w:val="BodyTextIndent2"/>
    <w:rsid w:val="000F6A14"/>
    <w:rPr>
      <w:rFonts w:ascii="Arial" w:eastAsia="Times New Roman" w:hAnsi="Arial" w:cs="Arial"/>
      <w:sz w:val="24"/>
      <w:szCs w:val="24"/>
    </w:rPr>
  </w:style>
  <w:style w:type="paragraph" w:styleId="ListParagraph">
    <w:name w:val="List Paragraph"/>
    <w:basedOn w:val="Normal"/>
    <w:uiPriority w:val="34"/>
    <w:qFormat/>
    <w:rsid w:val="000F6A14"/>
    <w:pPr>
      <w:ind w:left="720"/>
      <w:contextualSpacing/>
    </w:pPr>
  </w:style>
  <w:style w:type="character" w:styleId="Hyperlink">
    <w:name w:val="Hyperlink"/>
    <w:basedOn w:val="DefaultParagraphFont"/>
    <w:uiPriority w:val="99"/>
    <w:unhideWhenUsed/>
    <w:rsid w:val="000F6A14"/>
    <w:rPr>
      <w:color w:val="0000FF"/>
      <w:u w:val="single"/>
    </w:rPr>
  </w:style>
  <w:style w:type="table" w:styleId="TableGrid">
    <w:name w:val="Table Grid"/>
    <w:basedOn w:val="TableNormal"/>
    <w:uiPriority w:val="59"/>
    <w:rsid w:val="000F6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C6B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cc02.safelinks.protection.outlook.com/?url=https%3A%2F%2Fwww.bls.gov%2Foes%2Fcurrent%2Foes_nat.htm&amp;data=04|01||d46824eeafc7432f7bea08da18bb8110|e95f1b23abaf45ee821db7ab251ab3bf|0|0|637849490835731295|Unknown|TWFpbGZsb3d8eyJWIjoiMC4wLjAwMDAiLCJQIjoiV2luMzIiLCJBTiI6Ik1haWwiLCJXVCI6Mn0%3D|3000&amp;sdata=179jxC04%2BzLtvZTyzpieSoZtbQyZwRb4aBPsl1d1DmU%3D&amp;reserved=0" TargetMode="External" /><Relationship Id="rId6" Type="http://schemas.openxmlformats.org/officeDocument/2006/relationships/hyperlink" Target="https://gcc02.safelinks.protection.outlook.com/?url=https%3A%2F%2Fwww.opm.gov%2Fpolicy-data-oversight%2Fpay-leave%2Fsalaries-wages%2Fsalary-tables%2Fpdf%2F2023%2FRUS_h.pdf&amp;data=05%7C01%7C%7C40670302acdd47b60d1308dafa57121e%7Ce95f1b23abaf45ee821db7ab251ab3bf%7C0%7C0%7C638097549115309975%7CUnknown%7CTWFpbGZsb3d8eyJWIjoiMC4wLjAwMDAiLCJQIjoiV2luMzIiLCJBTiI6Ik1haWwiLCJXVCI6Mn0%3D%7C3000%7C%7C%7C&amp;sdata=Bgb9TJmghAVmW5xpd26xwcsWlTIX%2FFpLNXOTSn7WubQ%3D&amp;reserved=0"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0EE16-BDB3-4F00-81B9-0D52B9912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2209</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Kessinger, Nancy J., VBAVACO</cp:lastModifiedBy>
  <cp:revision>3</cp:revision>
  <dcterms:created xsi:type="dcterms:W3CDTF">2023-11-01T12:53:00Z</dcterms:created>
  <dcterms:modified xsi:type="dcterms:W3CDTF">2023-11-01T12:58:00Z</dcterms:modified>
</cp:coreProperties>
</file>