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6CD6" w:rsidP="00EB4F3F" w14:paraId="778CEBB5" w14:textId="77777777">
      <w:pPr>
        <w:pStyle w:val="Heading1"/>
        <w:ind w:right="111"/>
      </w:pPr>
      <w:r>
        <w:t>PART B. COLLECTIONS OF INFORMATION EMPLOYING STATISTICAL METHODS</w:t>
      </w:r>
    </w:p>
    <w:p w:rsidR="000C6CD6" w:rsidP="000C6CD6" w14:paraId="743B74EA" w14:textId="77777777">
      <w:pPr>
        <w:spacing w:before="9"/>
        <w:rPr>
          <w:b/>
          <w:sz w:val="23"/>
          <w:szCs w:val="23"/>
        </w:rPr>
      </w:pPr>
    </w:p>
    <w:p w:rsidR="000C6CD6" w:rsidP="000C6CD6" w14:paraId="28012015" w14:textId="5B0C11EB">
      <w:pPr>
        <w:pStyle w:val="Heading1"/>
        <w:numPr>
          <w:ilvl w:val="0"/>
          <w:numId w:val="1"/>
        </w:numPr>
        <w:tabs>
          <w:tab w:val="left" w:pos="340"/>
        </w:tabs>
        <w:ind w:right="136"/>
      </w:pPr>
      <w:r>
        <w:t xml:space="preserve">  Describe (including a numerical estimate) the potential respondent universe and any sampling or other respondent selection methods to be used. </w:t>
      </w:r>
    </w:p>
    <w:p w:rsidR="000C6CD6" w:rsidP="000C6CD6" w14:paraId="4E388ED5" w14:textId="77777777">
      <w:pPr>
        <w:spacing w:before="9"/>
        <w:rPr>
          <w:b/>
          <w:sz w:val="23"/>
          <w:szCs w:val="23"/>
        </w:rPr>
      </w:pPr>
    </w:p>
    <w:p w:rsidR="000C6CD6" w:rsidP="000C6CD6" w14:paraId="6ACC6CF9" w14:textId="77777777">
      <w:pPr>
        <w:spacing w:before="2"/>
        <w:ind w:left="720"/>
        <w:rPr>
          <w:color w:val="242424"/>
          <w:highlight w:val="white"/>
        </w:rPr>
      </w:pPr>
      <w:r>
        <w:t xml:space="preserve">The Federal Audit Clearinghouse (FAC) collection effort is mandatory and sampling is not performed. No sampling methods are used. The respondent universe potentially includes all U.S. states and territories (all 50 states, the District of Columbia, the Commonwealth of Puerto Rico, the Marshall Islands, the Virgin Islands, Guam, American Samoa, Palau, the Federated States of Micronesia, and the Commonwealth of the Northern Mariana Islands), local governments, Indian tribes and tribal organizations, institutions of higher education, and nonprofit organizations that expend $750,000 or more in federal awards during their fiscal period. Respondents who meet submission requirements in accordance with 2 CFR Part 200 (or Uniform Guidance) are required by law to submit the FAC data collection form (SF-SAC) and reporting package to the FAC within 30 days after receipt of the auditor’s report(s) or nine months after the end of the fiscal period – whichever is earliest. Because it is impossible for the FAC to fully pre-determine which non-federal entities may meet the federal award expenditure reporting threshold at any given time, it is impossible to determine a more specific universe. Without a specific universe, no efforts can be undertaken to boost response rates. Consequences for non-response are handled by </w:t>
      </w:r>
      <w:r>
        <w:rPr>
          <w:color w:val="242424"/>
          <w:highlight w:val="white"/>
        </w:rPr>
        <w:t>federal awarding agencies, not by the FAC.</w:t>
      </w:r>
    </w:p>
    <w:p w:rsidR="000C6CD6" w:rsidP="000C6CD6" w14:paraId="3F7D865E" w14:textId="77777777">
      <w:pPr>
        <w:spacing w:before="2"/>
      </w:pPr>
    </w:p>
    <w:tbl>
      <w:tblPr>
        <w:tblW w:w="5997" w:type="dxa"/>
        <w:tblInd w:w="1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5"/>
        <w:gridCol w:w="1772"/>
      </w:tblGrid>
      <w:tr w14:paraId="5E0C1BC2" w14:textId="77777777" w:rsidTr="00A0168B">
        <w:tblPrEx>
          <w:tblW w:w="5997" w:type="dxa"/>
          <w:tblInd w:w="1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88"/>
        </w:trPr>
        <w:tc>
          <w:tcPr>
            <w:tcW w:w="4225" w:type="dxa"/>
            <w:tcBorders>
              <w:top w:val="single" w:sz="4" w:space="0" w:color="000000"/>
              <w:left w:val="single" w:sz="4" w:space="0" w:color="000000"/>
              <w:bottom w:val="single" w:sz="4" w:space="0" w:color="000000"/>
              <w:right w:val="single" w:sz="4" w:space="0" w:color="000000"/>
            </w:tcBorders>
            <w:shd w:val="clear" w:color="auto" w:fill="DCE6F1"/>
            <w:vAlign w:val="bottom"/>
          </w:tcPr>
          <w:p w:rsidR="000C6CD6" w:rsidP="00A0168B" w14:paraId="4D988C01" w14:textId="77777777">
            <w:pPr>
              <w:rPr>
                <w:b/>
                <w:color w:val="000000"/>
              </w:rPr>
            </w:pPr>
            <w:r>
              <w:rPr>
                <w:rFonts w:ascii="Calibri" w:eastAsia="Calibri" w:hAnsi="Calibri" w:cs="Calibri"/>
                <w:b/>
                <w:color w:val="000000"/>
              </w:rPr>
              <w:t xml:space="preserve">Type of Entity </w:t>
            </w:r>
          </w:p>
        </w:tc>
        <w:tc>
          <w:tcPr>
            <w:tcW w:w="1772" w:type="dxa"/>
            <w:tcBorders>
              <w:top w:val="single" w:sz="4" w:space="0" w:color="000000"/>
              <w:left w:val="nil"/>
              <w:bottom w:val="single" w:sz="4" w:space="0" w:color="000000"/>
              <w:right w:val="single" w:sz="4" w:space="0" w:color="000000"/>
            </w:tcBorders>
            <w:shd w:val="clear" w:color="auto" w:fill="DCE6F1"/>
            <w:vAlign w:val="center"/>
          </w:tcPr>
          <w:p w:rsidR="000C6CD6" w:rsidP="00A0168B" w14:paraId="703FE39E" w14:textId="77777777">
            <w:pPr>
              <w:jc w:val="center"/>
              <w:rPr>
                <w:b/>
                <w:color w:val="000000"/>
              </w:rPr>
            </w:pPr>
            <w:r>
              <w:rPr>
                <w:rFonts w:ascii="Calibri" w:eastAsia="Calibri" w:hAnsi="Calibri" w:cs="Calibri"/>
                <w:b/>
                <w:color w:val="000000"/>
              </w:rPr>
              <w:t>Avg. Responses</w:t>
            </w:r>
          </w:p>
        </w:tc>
      </w:tr>
      <w:tr w14:paraId="7509B492"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auto"/>
            <w:vAlign w:val="bottom"/>
          </w:tcPr>
          <w:p w:rsidR="000C6CD6" w:rsidP="00A0168B" w14:paraId="1191C8F5" w14:textId="77777777">
            <w:pPr>
              <w:rPr>
                <w:color w:val="000000"/>
              </w:rPr>
            </w:pPr>
            <w:r>
              <w:rPr>
                <w:rFonts w:ascii="Calibri" w:eastAsia="Calibri" w:hAnsi="Calibri" w:cs="Calibri"/>
                <w:color w:val="000000"/>
              </w:rPr>
              <w:t>INDIAN TRIBE OR TRIBAL ORGANIZATION</w:t>
            </w:r>
          </w:p>
        </w:tc>
        <w:tc>
          <w:tcPr>
            <w:tcW w:w="1772" w:type="dxa"/>
            <w:tcBorders>
              <w:top w:val="nil"/>
              <w:left w:val="nil"/>
              <w:bottom w:val="single" w:sz="4" w:space="0" w:color="000000"/>
              <w:right w:val="single" w:sz="4" w:space="0" w:color="000000"/>
            </w:tcBorders>
            <w:shd w:val="clear" w:color="auto" w:fill="auto"/>
            <w:vAlign w:val="bottom"/>
          </w:tcPr>
          <w:p w:rsidR="000C6CD6" w:rsidP="00A0168B" w14:paraId="20D70C90" w14:textId="77777777">
            <w:pPr>
              <w:jc w:val="right"/>
              <w:rPr>
                <w:color w:val="000000"/>
              </w:rPr>
            </w:pPr>
            <w:r>
              <w:rPr>
                <w:rFonts w:ascii="Calibri" w:eastAsia="Calibri" w:hAnsi="Calibri" w:cs="Calibri"/>
                <w:color w:val="000000"/>
              </w:rPr>
              <w:t>834</w:t>
            </w:r>
          </w:p>
        </w:tc>
      </w:tr>
      <w:tr w14:paraId="019D2BB6"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auto"/>
            <w:vAlign w:val="bottom"/>
          </w:tcPr>
          <w:p w:rsidR="000C6CD6" w:rsidP="00A0168B" w14:paraId="10613117" w14:textId="77777777">
            <w:pPr>
              <w:rPr>
                <w:color w:val="000000"/>
              </w:rPr>
            </w:pPr>
            <w:r>
              <w:rPr>
                <w:rFonts w:ascii="Calibri" w:eastAsia="Calibri" w:hAnsi="Calibri" w:cs="Calibri"/>
                <w:color w:val="000000"/>
              </w:rPr>
              <w:t>INSTITUTION OF HIGHER EDUCATION</w:t>
            </w:r>
          </w:p>
        </w:tc>
        <w:tc>
          <w:tcPr>
            <w:tcW w:w="1772" w:type="dxa"/>
            <w:tcBorders>
              <w:top w:val="nil"/>
              <w:left w:val="nil"/>
              <w:bottom w:val="single" w:sz="4" w:space="0" w:color="000000"/>
              <w:right w:val="single" w:sz="4" w:space="0" w:color="000000"/>
            </w:tcBorders>
            <w:shd w:val="clear" w:color="auto" w:fill="auto"/>
            <w:vAlign w:val="bottom"/>
          </w:tcPr>
          <w:p w:rsidR="000C6CD6" w:rsidP="00A0168B" w14:paraId="7BA4F021" w14:textId="77777777">
            <w:pPr>
              <w:jc w:val="right"/>
              <w:rPr>
                <w:color w:val="000000"/>
              </w:rPr>
            </w:pPr>
            <w:r>
              <w:rPr>
                <w:rFonts w:ascii="Calibri" w:eastAsia="Calibri" w:hAnsi="Calibri" w:cs="Calibri"/>
                <w:color w:val="000000"/>
              </w:rPr>
              <w:t>1,628</w:t>
            </w:r>
          </w:p>
        </w:tc>
      </w:tr>
      <w:tr w14:paraId="1AC0D797"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auto"/>
            <w:vAlign w:val="bottom"/>
          </w:tcPr>
          <w:p w:rsidR="000C6CD6" w:rsidP="00A0168B" w14:paraId="05A29334" w14:textId="77777777">
            <w:pPr>
              <w:rPr>
                <w:color w:val="000000"/>
              </w:rPr>
            </w:pPr>
            <w:r>
              <w:rPr>
                <w:rFonts w:ascii="Calibri" w:eastAsia="Calibri" w:hAnsi="Calibri" w:cs="Calibri"/>
                <w:color w:val="000000"/>
              </w:rPr>
              <w:t>LOCAL GOVERNMENT</w:t>
            </w:r>
          </w:p>
        </w:tc>
        <w:tc>
          <w:tcPr>
            <w:tcW w:w="1772" w:type="dxa"/>
            <w:tcBorders>
              <w:top w:val="nil"/>
              <w:left w:val="nil"/>
              <w:bottom w:val="single" w:sz="4" w:space="0" w:color="000000"/>
              <w:right w:val="single" w:sz="4" w:space="0" w:color="000000"/>
            </w:tcBorders>
            <w:shd w:val="clear" w:color="auto" w:fill="auto"/>
            <w:vAlign w:val="bottom"/>
          </w:tcPr>
          <w:p w:rsidR="000C6CD6" w:rsidP="00A0168B" w14:paraId="48F5DA34" w14:textId="77777777">
            <w:pPr>
              <w:jc w:val="right"/>
              <w:rPr>
                <w:color w:val="000000"/>
              </w:rPr>
            </w:pPr>
            <w:r>
              <w:rPr>
                <w:rFonts w:ascii="Calibri" w:eastAsia="Calibri" w:hAnsi="Calibri" w:cs="Calibri"/>
                <w:color w:val="000000"/>
              </w:rPr>
              <w:t>19,873</w:t>
            </w:r>
          </w:p>
        </w:tc>
      </w:tr>
      <w:tr w14:paraId="64035BBC"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auto"/>
            <w:vAlign w:val="bottom"/>
          </w:tcPr>
          <w:p w:rsidR="000C6CD6" w:rsidP="00A0168B" w14:paraId="731B7626" w14:textId="77777777">
            <w:pPr>
              <w:rPr>
                <w:color w:val="000000"/>
              </w:rPr>
            </w:pPr>
            <w:r>
              <w:rPr>
                <w:rFonts w:ascii="Calibri" w:eastAsia="Calibri" w:hAnsi="Calibri" w:cs="Calibri"/>
                <w:color w:val="000000"/>
              </w:rPr>
              <w:t>NON-PROFIT</w:t>
            </w:r>
          </w:p>
        </w:tc>
        <w:tc>
          <w:tcPr>
            <w:tcW w:w="1772" w:type="dxa"/>
            <w:tcBorders>
              <w:top w:val="nil"/>
              <w:left w:val="nil"/>
              <w:bottom w:val="single" w:sz="4" w:space="0" w:color="000000"/>
              <w:right w:val="single" w:sz="4" w:space="0" w:color="000000"/>
            </w:tcBorders>
            <w:shd w:val="clear" w:color="auto" w:fill="auto"/>
            <w:vAlign w:val="bottom"/>
          </w:tcPr>
          <w:p w:rsidR="000C6CD6" w:rsidP="00A0168B" w14:paraId="7F9075C7" w14:textId="77777777">
            <w:pPr>
              <w:jc w:val="right"/>
              <w:rPr>
                <w:color w:val="000000"/>
              </w:rPr>
            </w:pPr>
            <w:r>
              <w:rPr>
                <w:rFonts w:ascii="Calibri" w:eastAsia="Calibri" w:hAnsi="Calibri" w:cs="Calibri"/>
                <w:color w:val="000000"/>
              </w:rPr>
              <w:t>22,338</w:t>
            </w:r>
          </w:p>
        </w:tc>
      </w:tr>
      <w:tr w14:paraId="0236F548"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auto"/>
            <w:vAlign w:val="bottom"/>
          </w:tcPr>
          <w:p w:rsidR="000C6CD6" w:rsidP="00A0168B" w14:paraId="6FE332A8" w14:textId="77777777">
            <w:pPr>
              <w:rPr>
                <w:color w:val="000000"/>
              </w:rPr>
            </w:pPr>
            <w:r>
              <w:rPr>
                <w:rFonts w:ascii="Calibri" w:eastAsia="Calibri" w:hAnsi="Calibri" w:cs="Calibri"/>
                <w:color w:val="000000"/>
              </w:rPr>
              <w:t>STATE</w:t>
            </w:r>
          </w:p>
        </w:tc>
        <w:tc>
          <w:tcPr>
            <w:tcW w:w="1772" w:type="dxa"/>
            <w:tcBorders>
              <w:top w:val="nil"/>
              <w:left w:val="nil"/>
              <w:bottom w:val="single" w:sz="4" w:space="0" w:color="000000"/>
              <w:right w:val="single" w:sz="4" w:space="0" w:color="000000"/>
            </w:tcBorders>
            <w:shd w:val="clear" w:color="auto" w:fill="auto"/>
            <w:vAlign w:val="bottom"/>
          </w:tcPr>
          <w:p w:rsidR="000C6CD6" w:rsidP="00A0168B" w14:paraId="7A1B3E6E" w14:textId="77777777">
            <w:pPr>
              <w:jc w:val="right"/>
              <w:rPr>
                <w:color w:val="000000"/>
              </w:rPr>
            </w:pPr>
            <w:r>
              <w:rPr>
                <w:rFonts w:ascii="Calibri" w:eastAsia="Calibri" w:hAnsi="Calibri" w:cs="Calibri"/>
                <w:color w:val="000000"/>
              </w:rPr>
              <w:t>836</w:t>
            </w:r>
          </w:p>
        </w:tc>
      </w:tr>
      <w:tr w14:paraId="528FB470"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auto"/>
            <w:vAlign w:val="bottom"/>
          </w:tcPr>
          <w:p w:rsidR="000C6CD6" w:rsidP="00A0168B" w14:paraId="116C6D40" w14:textId="77777777">
            <w:pPr>
              <w:rPr>
                <w:color w:val="000000"/>
              </w:rPr>
            </w:pPr>
            <w:r>
              <w:rPr>
                <w:rFonts w:ascii="Calibri" w:eastAsia="Calibri" w:hAnsi="Calibri" w:cs="Calibri"/>
                <w:color w:val="000000"/>
              </w:rPr>
              <w:t>UNKNOWN</w:t>
            </w:r>
          </w:p>
        </w:tc>
        <w:tc>
          <w:tcPr>
            <w:tcW w:w="1772" w:type="dxa"/>
            <w:tcBorders>
              <w:top w:val="nil"/>
              <w:left w:val="nil"/>
              <w:bottom w:val="single" w:sz="4" w:space="0" w:color="000000"/>
              <w:right w:val="single" w:sz="4" w:space="0" w:color="000000"/>
            </w:tcBorders>
            <w:shd w:val="clear" w:color="auto" w:fill="auto"/>
            <w:vAlign w:val="bottom"/>
          </w:tcPr>
          <w:p w:rsidR="000C6CD6" w:rsidP="00A0168B" w14:paraId="07A7FC88" w14:textId="77777777">
            <w:pPr>
              <w:jc w:val="right"/>
              <w:rPr>
                <w:color w:val="000000"/>
              </w:rPr>
            </w:pPr>
            <w:r>
              <w:rPr>
                <w:rFonts w:ascii="Calibri" w:eastAsia="Calibri" w:hAnsi="Calibri" w:cs="Calibri"/>
                <w:color w:val="000000"/>
              </w:rPr>
              <w:t>340</w:t>
            </w:r>
          </w:p>
        </w:tc>
      </w:tr>
      <w:tr w14:paraId="37BFB516"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auto"/>
            <w:vAlign w:val="bottom"/>
          </w:tcPr>
          <w:p w:rsidR="000C6CD6" w:rsidP="00A0168B" w14:paraId="6E0A0E04" w14:textId="77777777">
            <w:pPr>
              <w:rPr>
                <w:color w:val="000000"/>
              </w:rPr>
            </w:pPr>
            <w:r>
              <w:rPr>
                <w:rFonts w:ascii="Calibri" w:eastAsia="Calibri" w:hAnsi="Calibri" w:cs="Calibri"/>
                <w:color w:val="000000"/>
              </w:rPr>
              <w:t>(blank)</w:t>
            </w:r>
          </w:p>
        </w:tc>
        <w:tc>
          <w:tcPr>
            <w:tcW w:w="1772" w:type="dxa"/>
            <w:tcBorders>
              <w:top w:val="nil"/>
              <w:left w:val="nil"/>
              <w:bottom w:val="single" w:sz="4" w:space="0" w:color="000000"/>
              <w:right w:val="single" w:sz="4" w:space="0" w:color="000000"/>
            </w:tcBorders>
            <w:shd w:val="clear" w:color="auto" w:fill="auto"/>
            <w:vAlign w:val="bottom"/>
          </w:tcPr>
          <w:p w:rsidR="000C6CD6" w:rsidP="00A0168B" w14:paraId="12C8ADC9" w14:textId="77777777">
            <w:pPr>
              <w:jc w:val="right"/>
              <w:rPr>
                <w:color w:val="000000"/>
              </w:rPr>
            </w:pPr>
            <w:r>
              <w:rPr>
                <w:rFonts w:ascii="Calibri" w:eastAsia="Calibri" w:hAnsi="Calibri" w:cs="Calibri"/>
                <w:color w:val="000000"/>
              </w:rPr>
              <w:t>1</w:t>
            </w:r>
          </w:p>
        </w:tc>
      </w:tr>
      <w:tr w14:paraId="1EBBE709" w14:textId="77777777" w:rsidTr="00A0168B">
        <w:tblPrEx>
          <w:tblW w:w="5997" w:type="dxa"/>
          <w:tblInd w:w="1671" w:type="dxa"/>
          <w:tblLayout w:type="fixed"/>
          <w:tblLook w:val="0400"/>
        </w:tblPrEx>
        <w:trPr>
          <w:trHeight w:val="288"/>
        </w:trPr>
        <w:tc>
          <w:tcPr>
            <w:tcW w:w="4225" w:type="dxa"/>
            <w:tcBorders>
              <w:top w:val="nil"/>
              <w:left w:val="single" w:sz="4" w:space="0" w:color="000000"/>
              <w:bottom w:val="single" w:sz="4" w:space="0" w:color="000000"/>
              <w:right w:val="single" w:sz="4" w:space="0" w:color="000000"/>
            </w:tcBorders>
            <w:shd w:val="clear" w:color="auto" w:fill="DCE6F1"/>
            <w:vAlign w:val="bottom"/>
          </w:tcPr>
          <w:p w:rsidR="000C6CD6" w:rsidP="00A0168B" w14:paraId="5092E841" w14:textId="77777777">
            <w:pPr>
              <w:rPr>
                <w:b/>
                <w:color w:val="000000"/>
              </w:rPr>
            </w:pPr>
            <w:r>
              <w:rPr>
                <w:rFonts w:ascii="Calibri" w:eastAsia="Calibri" w:hAnsi="Calibri" w:cs="Calibri"/>
                <w:b/>
                <w:color w:val="000000"/>
              </w:rPr>
              <w:t>Grand Total</w:t>
            </w:r>
          </w:p>
        </w:tc>
        <w:tc>
          <w:tcPr>
            <w:tcW w:w="1772" w:type="dxa"/>
            <w:tcBorders>
              <w:top w:val="nil"/>
              <w:left w:val="nil"/>
              <w:bottom w:val="single" w:sz="4" w:space="0" w:color="000000"/>
              <w:right w:val="single" w:sz="4" w:space="0" w:color="000000"/>
            </w:tcBorders>
            <w:shd w:val="clear" w:color="auto" w:fill="DCE6F1"/>
            <w:vAlign w:val="bottom"/>
          </w:tcPr>
          <w:p w:rsidR="000C6CD6" w:rsidP="00A0168B" w14:paraId="2EE4E898" w14:textId="77777777">
            <w:pPr>
              <w:jc w:val="right"/>
              <w:rPr>
                <w:b/>
                <w:color w:val="000000"/>
              </w:rPr>
            </w:pPr>
            <w:r>
              <w:rPr>
                <w:rFonts w:ascii="Calibri" w:eastAsia="Calibri" w:hAnsi="Calibri" w:cs="Calibri"/>
                <w:b/>
                <w:color w:val="000000"/>
              </w:rPr>
              <w:t>45,850</w:t>
            </w:r>
          </w:p>
        </w:tc>
      </w:tr>
    </w:tbl>
    <w:p w:rsidR="000C6CD6" w:rsidP="000C6CD6" w14:paraId="299B199D" w14:textId="77777777">
      <w:pPr>
        <w:spacing w:before="2"/>
      </w:pPr>
    </w:p>
    <w:p w:rsidR="000C6CD6" w:rsidP="000C6CD6" w14:paraId="3E32719B" w14:textId="77777777">
      <w:pPr>
        <w:spacing w:before="2"/>
      </w:pPr>
    </w:p>
    <w:p w:rsidR="000C6CD6" w:rsidP="000C6CD6" w14:paraId="303D0B6B" w14:textId="77777777">
      <w:pPr>
        <w:spacing w:before="2"/>
      </w:pPr>
    </w:p>
    <w:p w:rsidR="000C6CD6" w:rsidP="000C6CD6" w14:paraId="30EBE5FB" w14:textId="77777777">
      <w:pPr>
        <w:spacing w:before="2"/>
      </w:pPr>
    </w:p>
    <w:p w:rsidR="000C6CD6" w:rsidP="000C6CD6" w14:paraId="64E2AD6A" w14:textId="77777777">
      <w:pPr>
        <w:spacing w:before="2"/>
      </w:pPr>
    </w:p>
    <w:p w:rsidR="000C6CD6" w:rsidP="000C6CD6" w14:paraId="6723B68A" w14:textId="77777777">
      <w:pPr>
        <w:spacing w:before="2"/>
      </w:pPr>
    </w:p>
    <w:p w:rsidR="000C6CD6" w:rsidP="000C6CD6" w14:paraId="601EAFB6" w14:textId="77777777">
      <w:pPr>
        <w:spacing w:before="2"/>
      </w:pPr>
    </w:p>
    <w:p w:rsidR="000C6CD6" w:rsidP="000C6CD6" w14:paraId="1447C252" w14:textId="77777777">
      <w:pPr>
        <w:pStyle w:val="Heading1"/>
        <w:numPr>
          <w:ilvl w:val="0"/>
          <w:numId w:val="1"/>
        </w:numPr>
        <w:tabs>
          <w:tab w:val="left" w:pos="340"/>
        </w:tabs>
        <w:spacing w:line="275" w:lineRule="auto"/>
      </w:pPr>
      <w:r>
        <w:t>Describe the procedures for the collection of information, including:</w:t>
      </w:r>
    </w:p>
    <w:p w:rsidR="007248B0" w:rsidP="000C6CD6" w14:paraId="28B7802C" w14:textId="77777777">
      <w:pPr>
        <w:pBdr>
          <w:top w:val="nil"/>
          <w:left w:val="nil"/>
          <w:bottom w:val="nil"/>
          <w:right w:val="nil"/>
          <w:between w:val="nil"/>
        </w:pBdr>
        <w:ind w:left="820"/>
        <w:rPr>
          <w:color w:val="000000"/>
        </w:rPr>
      </w:pPr>
      <w:bookmarkStart w:id="0" w:name="_30j0zll" w:colFirst="0" w:colLast="0"/>
      <w:bookmarkEnd w:id="0"/>
    </w:p>
    <w:p w:rsidR="000C6CD6" w:rsidP="000C6CD6" w14:paraId="7718EFBD" w14:textId="0CAB7516">
      <w:pPr>
        <w:pBdr>
          <w:top w:val="nil"/>
          <w:left w:val="nil"/>
          <w:bottom w:val="nil"/>
          <w:right w:val="nil"/>
          <w:between w:val="nil"/>
        </w:pBdr>
        <w:ind w:left="820"/>
        <w:rPr>
          <w:color w:val="000000"/>
        </w:rPr>
      </w:pPr>
      <w:r>
        <w:rPr>
          <w:color w:val="000000"/>
        </w:rPr>
        <w:t xml:space="preserve">All data elements are collected via a web application designed by </w:t>
      </w:r>
      <w:r>
        <w:t>GSA</w:t>
      </w:r>
      <w:r>
        <w:rPr>
          <w:color w:val="000000"/>
        </w:rPr>
        <w:t xml:space="preserve"> staff and contractors, thus eliminating the need for mass mailings to individual respondents. Per CFR 200.512, after a respondent’s fiscal period ends, a senior level representative from </w:t>
      </w:r>
      <w:r>
        <w:rPr>
          <w:color w:val="000000"/>
        </w:rPr>
        <w:t xml:space="preserve">the entity accesses </w:t>
      </w:r>
      <w:r>
        <w:t>the</w:t>
      </w:r>
      <w:r>
        <w:rPr>
          <w:color w:val="000000"/>
        </w:rPr>
        <w:t xml:space="preserve"> web application to submit the required information and certify its accuracy. The auditor that completed the reporting package also accesses </w:t>
      </w:r>
      <w:r>
        <w:t>the</w:t>
      </w:r>
      <w:r>
        <w:rPr>
          <w:color w:val="000000"/>
        </w:rPr>
        <w:t xml:space="preserve"> web application to enter any required data and certify its accuracy. No statistical methodology, sample selection, or estimation procedures are performed. Additionally, as of 2008, the FAC does not accept paper submissions. </w:t>
      </w:r>
    </w:p>
    <w:p w:rsidR="000C6CD6" w:rsidP="000C6CD6" w14:paraId="12B20D10" w14:textId="77777777">
      <w:pPr>
        <w:spacing w:before="11"/>
        <w:rPr>
          <w:sz w:val="23"/>
          <w:szCs w:val="23"/>
        </w:rPr>
      </w:pPr>
    </w:p>
    <w:p w:rsidR="000C6CD6" w:rsidP="000C6CD6" w14:paraId="53ABEBC3" w14:textId="22BCCDC9">
      <w:pPr>
        <w:pStyle w:val="Heading1"/>
        <w:numPr>
          <w:ilvl w:val="0"/>
          <w:numId w:val="1"/>
        </w:numPr>
        <w:tabs>
          <w:tab w:val="left" w:pos="360"/>
        </w:tabs>
        <w:ind w:right="110"/>
      </w:pPr>
      <w:r>
        <w:t xml:space="preserve">Describe methods to maximize response rates and to deal with issues of nonresponse. </w:t>
      </w:r>
    </w:p>
    <w:p w:rsidR="000C6CD6" w:rsidP="000C6CD6" w14:paraId="05808696" w14:textId="77777777">
      <w:pPr>
        <w:spacing w:before="9"/>
        <w:rPr>
          <w:b/>
          <w:sz w:val="23"/>
          <w:szCs w:val="23"/>
        </w:rPr>
      </w:pPr>
    </w:p>
    <w:p w:rsidR="000C6CD6" w:rsidP="000C6CD6" w14:paraId="2EB7EDCD" w14:textId="77777777">
      <w:pPr>
        <w:pBdr>
          <w:top w:val="nil"/>
          <w:left w:val="nil"/>
          <w:bottom w:val="nil"/>
          <w:right w:val="nil"/>
          <w:between w:val="nil"/>
        </w:pBdr>
        <w:ind w:left="720"/>
        <w:rPr>
          <w:color w:val="000000"/>
        </w:rPr>
      </w:pPr>
      <w:r>
        <w:rPr>
          <w:color w:val="000000"/>
        </w:rPr>
        <w:t xml:space="preserve">Respondents are required by law to submit this data to the FAC. No sampling methods are used. Consequences for non-response are handled by federal awarding agencies and not by the FAC. </w:t>
      </w:r>
    </w:p>
    <w:p w:rsidR="000C6CD6" w:rsidP="000C6CD6" w14:paraId="612AABFC" w14:textId="77777777">
      <w:pPr>
        <w:spacing w:before="2"/>
      </w:pPr>
    </w:p>
    <w:p w:rsidR="000C6CD6" w:rsidP="000C6CD6" w14:paraId="3D14CC92" w14:textId="402F5B88">
      <w:pPr>
        <w:pStyle w:val="Heading1"/>
        <w:numPr>
          <w:ilvl w:val="0"/>
          <w:numId w:val="1"/>
        </w:numPr>
        <w:tabs>
          <w:tab w:val="left" w:pos="360"/>
        </w:tabs>
        <w:ind w:right="267"/>
      </w:pPr>
      <w:r>
        <w:t xml:space="preserve">Describe any tests of procedures or methods to be undertaken. </w:t>
      </w:r>
    </w:p>
    <w:p w:rsidR="000C6CD6" w:rsidP="000C6CD6" w14:paraId="61F8D7B3" w14:textId="77777777">
      <w:pPr>
        <w:spacing w:before="9"/>
        <w:rPr>
          <w:b/>
          <w:sz w:val="14"/>
          <w:szCs w:val="14"/>
        </w:rPr>
      </w:pPr>
    </w:p>
    <w:p w:rsidR="000C6CD6" w:rsidP="000C6CD6" w14:paraId="2277E5FD" w14:textId="77777777">
      <w:pPr>
        <w:pBdr>
          <w:top w:val="nil"/>
          <w:left w:val="nil"/>
          <w:bottom w:val="nil"/>
          <w:right w:val="nil"/>
          <w:between w:val="nil"/>
        </w:pBdr>
        <w:ind w:left="720"/>
        <w:rPr>
          <w:color w:val="000000"/>
        </w:rPr>
      </w:pPr>
      <w:bookmarkStart w:id="1" w:name="_1fob9te" w:colFirst="0" w:colLast="0"/>
      <w:bookmarkEnd w:id="1"/>
      <w:r>
        <w:rPr>
          <w:color w:val="000000"/>
        </w:rPr>
        <w:t xml:space="preserve">Auditing experts and federal agency representatives have reviewed all questions on the Form as well as all applicable instructions for accuracy and significance. The FAC conducts internal testing of the data collection form and system and utilizes input from users to minimize burden and improve utility over time. </w:t>
      </w:r>
    </w:p>
    <w:p w:rsidR="000C6CD6" w:rsidP="000C6CD6" w14:paraId="6CBEED54" w14:textId="77777777">
      <w:pPr>
        <w:spacing w:before="2"/>
      </w:pPr>
    </w:p>
    <w:p w:rsidR="000C6CD6" w:rsidP="000C6CD6" w14:paraId="73A3A839" w14:textId="77777777">
      <w:pPr>
        <w:pStyle w:val="Heading1"/>
        <w:numPr>
          <w:ilvl w:val="0"/>
          <w:numId w:val="1"/>
        </w:numPr>
        <w:tabs>
          <w:tab w:val="left" w:pos="340"/>
        </w:tabs>
        <w:ind w:right="307"/>
      </w:pPr>
      <w:r>
        <w:t>Provide the name and telephone number of individuals consulted on statistical aspects of the design and the name of the agency unit, contractor(s), grantee(s), or other person(s) who will actually collect or analyze the information for the agency.</w:t>
      </w:r>
    </w:p>
    <w:p w:rsidR="000C6CD6" w:rsidP="000C6CD6" w14:paraId="68798485" w14:textId="77777777">
      <w:pPr>
        <w:pStyle w:val="Heading1"/>
        <w:tabs>
          <w:tab w:val="left" w:pos="340"/>
        </w:tabs>
        <w:ind w:right="307" w:firstLine="100"/>
        <w:rPr>
          <w:b w:val="0"/>
        </w:rPr>
      </w:pPr>
    </w:p>
    <w:p w:rsidR="000C6CD6" w:rsidP="000C6CD6" w14:paraId="18DDDF39" w14:textId="77777777">
      <w:pPr>
        <w:pStyle w:val="Heading1"/>
        <w:tabs>
          <w:tab w:val="left" w:pos="340"/>
        </w:tabs>
        <w:ind w:right="307" w:firstLine="100"/>
        <w:rPr>
          <w:b w:val="0"/>
        </w:rPr>
      </w:pPr>
      <w:r>
        <w:rPr>
          <w:b w:val="0"/>
        </w:rPr>
        <w:t xml:space="preserve">           Matt </w:t>
      </w:r>
      <w:r>
        <w:rPr>
          <w:b w:val="0"/>
        </w:rPr>
        <w:t>Jadud</w:t>
      </w:r>
      <w:r>
        <w:rPr>
          <w:b w:val="0"/>
        </w:rPr>
        <w:t>, Product Lead</w:t>
      </w:r>
    </w:p>
    <w:p w:rsidR="000C6CD6" w:rsidP="000C6CD6" w14:paraId="12C95FAF" w14:textId="77777777">
      <w:pPr>
        <w:pStyle w:val="Heading1"/>
        <w:tabs>
          <w:tab w:val="left" w:pos="340"/>
        </w:tabs>
        <w:ind w:right="307" w:firstLine="100"/>
        <w:rPr>
          <w:b w:val="0"/>
        </w:rPr>
      </w:pPr>
      <w:r>
        <w:rPr>
          <w:b w:val="0"/>
        </w:rPr>
        <w:t xml:space="preserve">           207-333-7111</w:t>
      </w:r>
    </w:p>
    <w:p w:rsidR="000C6CD6" w:rsidP="000C6CD6" w14:paraId="5268651C" w14:textId="77777777">
      <w:pPr>
        <w:pStyle w:val="Heading1"/>
        <w:tabs>
          <w:tab w:val="left" w:pos="340"/>
        </w:tabs>
        <w:ind w:right="307" w:firstLine="100"/>
      </w:pPr>
    </w:p>
    <w:p w:rsidR="000C6CD6" w:rsidP="000C6CD6" w14:paraId="09FBC748" w14:textId="77777777">
      <w:pPr>
        <w:pStyle w:val="Heading1"/>
        <w:tabs>
          <w:tab w:val="left" w:pos="340"/>
        </w:tabs>
        <w:ind w:right="307" w:firstLine="100"/>
      </w:pPr>
    </w:p>
    <w:p w:rsidR="000C6CD6" w:rsidP="000C6CD6" w14:paraId="1B18BC0C" w14:textId="77777777">
      <w:pPr>
        <w:pStyle w:val="Heading1"/>
        <w:tabs>
          <w:tab w:val="left" w:pos="340"/>
        </w:tabs>
        <w:ind w:right="307" w:firstLine="100"/>
      </w:pPr>
      <w:r>
        <w:t>List of Attachments</w:t>
      </w:r>
    </w:p>
    <w:p w:rsidR="000C6CD6" w:rsidP="000C6CD6" w14:paraId="1EF2D641" w14:textId="77777777">
      <w:pPr>
        <w:numPr>
          <w:ilvl w:val="0"/>
          <w:numId w:val="2"/>
        </w:numPr>
        <w:pBdr>
          <w:top w:val="nil"/>
          <w:left w:val="nil"/>
          <w:bottom w:val="nil"/>
          <w:right w:val="nil"/>
          <w:between w:val="nil"/>
        </w:pBdr>
      </w:pPr>
      <w:r>
        <w:rPr>
          <w:color w:val="000000"/>
        </w:rPr>
        <w:t>Form SF-SAC and Instructions</w:t>
      </w:r>
    </w:p>
    <w:p w:rsidR="000C6CD6" w:rsidP="000C6CD6" w14:paraId="65123070" w14:textId="77777777">
      <w:pPr>
        <w:numPr>
          <w:ilvl w:val="0"/>
          <w:numId w:val="2"/>
        </w:numPr>
        <w:pBdr>
          <w:top w:val="nil"/>
          <w:left w:val="nil"/>
          <w:bottom w:val="nil"/>
          <w:right w:val="nil"/>
          <w:between w:val="nil"/>
        </w:pBdr>
      </w:pPr>
      <w:r>
        <w:t xml:space="preserve">Screener Questions </w:t>
      </w:r>
    </w:p>
    <w:p w:rsidR="000C6CD6" w:rsidP="000C6CD6" w14:paraId="05D914B4" w14:textId="77777777">
      <w:pPr>
        <w:numPr>
          <w:ilvl w:val="0"/>
          <w:numId w:val="2"/>
        </w:numPr>
        <w:shd w:val="clear" w:color="auto" w:fill="FFFFFF"/>
        <w:spacing w:after="280"/>
      </w:pPr>
      <w:r>
        <w:t>Summary of Comments and Responses</w:t>
      </w:r>
    </w:p>
    <w:p w:rsidR="000C6CD6" w:rsidP="000C6CD6" w14:paraId="73FBF2F6" w14:textId="77777777">
      <w:pPr>
        <w:pStyle w:val="Heading1"/>
        <w:tabs>
          <w:tab w:val="left" w:pos="340"/>
        </w:tabs>
        <w:ind w:right="307" w:firstLine="100"/>
        <w:rPr>
          <w:b w:val="0"/>
        </w:rPr>
      </w:pPr>
    </w:p>
    <w:p w:rsidR="000C6CD6" w:rsidP="000C6CD6" w14:paraId="23A4C2B4" w14:textId="77777777">
      <w:pPr>
        <w:spacing w:before="9"/>
        <w:rPr>
          <w:b/>
          <w:sz w:val="23"/>
          <w:szCs w:val="23"/>
        </w:rPr>
      </w:pPr>
    </w:p>
    <w:p w:rsidR="000C6CD6" w:rsidP="000C6CD6" w14:paraId="02CE2645" w14:textId="77777777">
      <w:pPr>
        <w:widowControl w:val="0"/>
        <w:tabs>
          <w:tab w:val="left" w:pos="360"/>
          <w:tab w:val="left" w:pos="720"/>
          <w:tab w:val="left" w:pos="1080"/>
        </w:tabs>
      </w:pPr>
    </w:p>
    <w:p w:rsidR="00567912" w14:paraId="20D7D583"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04B79"/>
    <w:multiLevelType w:val="multilevel"/>
    <w:tmpl w:val="682CE70E"/>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2B1159D8"/>
    <w:multiLevelType w:val="multilevel"/>
    <w:tmpl w:val="0C766042"/>
    <w:lvl w:ilvl="0">
      <w:start w:val="1"/>
      <w:numFmt w:val="decimal"/>
      <w:lvlText w:val="%1."/>
      <w:lvlJc w:val="left"/>
      <w:pPr>
        <w:ind w:left="-575" w:hanging="240"/>
      </w:pPr>
      <w:rPr>
        <w:rFonts w:ascii="Times New Roman" w:eastAsia="Times New Roman" w:hAnsi="Times New Roman" w:cs="Times New Roman"/>
        <w:b/>
        <w:sz w:val="24"/>
        <w:szCs w:val="24"/>
      </w:rPr>
    </w:lvl>
    <w:lvl w:ilvl="1">
      <w:start w:val="1"/>
      <w:numFmt w:val="bullet"/>
      <w:lvlText w:val="●"/>
      <w:lvlJc w:val="left"/>
      <w:pPr>
        <w:ind w:left="525" w:hanging="360"/>
      </w:pPr>
      <w:rPr>
        <w:rFonts w:ascii="Noto Sans Symbols" w:eastAsia="Noto Sans Symbols" w:hAnsi="Noto Sans Symbols" w:cs="Noto Sans Symbols"/>
        <w:sz w:val="24"/>
        <w:szCs w:val="24"/>
      </w:rPr>
    </w:lvl>
    <w:lvl w:ilvl="2">
      <w:start w:val="1"/>
      <w:numFmt w:val="bullet"/>
      <w:lvlText w:val="•"/>
      <w:lvlJc w:val="left"/>
      <w:pPr>
        <w:ind w:left="525" w:hanging="360"/>
      </w:pPr>
    </w:lvl>
    <w:lvl w:ilvl="3">
      <w:start w:val="1"/>
      <w:numFmt w:val="bullet"/>
      <w:lvlText w:val="•"/>
      <w:lvlJc w:val="left"/>
      <w:pPr>
        <w:ind w:left="1480" w:hanging="360"/>
      </w:pPr>
    </w:lvl>
    <w:lvl w:ilvl="4">
      <w:start w:val="1"/>
      <w:numFmt w:val="bullet"/>
      <w:lvlText w:val="•"/>
      <w:lvlJc w:val="left"/>
      <w:pPr>
        <w:ind w:left="2435" w:hanging="360"/>
      </w:pPr>
    </w:lvl>
    <w:lvl w:ilvl="5">
      <w:start w:val="1"/>
      <w:numFmt w:val="bullet"/>
      <w:lvlText w:val="•"/>
      <w:lvlJc w:val="left"/>
      <w:pPr>
        <w:ind w:left="3390" w:hanging="360"/>
      </w:pPr>
    </w:lvl>
    <w:lvl w:ilvl="6">
      <w:start w:val="1"/>
      <w:numFmt w:val="bullet"/>
      <w:lvlText w:val="•"/>
      <w:lvlJc w:val="left"/>
      <w:pPr>
        <w:ind w:left="4345" w:hanging="360"/>
      </w:pPr>
    </w:lvl>
    <w:lvl w:ilvl="7">
      <w:start w:val="1"/>
      <w:numFmt w:val="bullet"/>
      <w:lvlText w:val="•"/>
      <w:lvlJc w:val="left"/>
      <w:pPr>
        <w:ind w:left="5300" w:hanging="360"/>
      </w:pPr>
    </w:lvl>
    <w:lvl w:ilvl="8">
      <w:start w:val="1"/>
      <w:numFmt w:val="bullet"/>
      <w:lvlText w:val="•"/>
      <w:lvlJc w:val="left"/>
      <w:pPr>
        <w:ind w:left="6255" w:hanging="360"/>
      </w:pPr>
    </w:lvl>
  </w:abstractNum>
  <w:abstractNum w:abstractNumId="2">
    <w:nsid w:val="65D849D8"/>
    <w:multiLevelType w:val="multilevel"/>
    <w:tmpl w:val="5238C956"/>
    <w:lvl w:ilvl="0">
      <w:start w:val="1"/>
      <w:numFmt w:val="decimal"/>
      <w:lvlText w:val="%1."/>
      <w:lvlJc w:val="left"/>
      <w:pPr>
        <w:ind w:left="460" w:hanging="360"/>
      </w:pPr>
      <w:rPr>
        <w:b/>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16cid:durableId="966664145">
    <w:abstractNumId w:val="2"/>
  </w:num>
  <w:num w:numId="2" w16cid:durableId="1227375984">
    <w:abstractNumId w:val="0"/>
  </w:num>
  <w:num w:numId="3" w16cid:durableId="51820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D6"/>
    <w:rsid w:val="000C6CD6"/>
    <w:rsid w:val="00567912"/>
    <w:rsid w:val="00706A75"/>
    <w:rsid w:val="007248B0"/>
    <w:rsid w:val="00A0168B"/>
    <w:rsid w:val="00EB4F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C662D"/>
  <w15:chartTrackingRefBased/>
  <w15:docId w15:val="{BBF6327F-FF41-47B0-A134-DCBA0807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CD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C6CD6"/>
    <w:pPr>
      <w:widowControl w:val="0"/>
      <w:ind w:left="1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D6"/>
    <w:rPr>
      <w:rFonts w:ascii="Times New Roman" w:eastAsia="Times New Roman" w:hAnsi="Times New Roman" w:cs="Times New Roman"/>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3056</Characters>
  <Application>Microsoft Office Word</Application>
  <DocSecurity>0</DocSecurity>
  <Lines>25</Lines>
  <Paragraphs>7</Paragraphs>
  <ScaleCrop>false</ScaleCrop>
  <Company>General Services Administration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 Bynum</dc:creator>
  <cp:lastModifiedBy>Nicole D. Bynum</cp:lastModifiedBy>
  <cp:revision>3</cp:revision>
  <dcterms:created xsi:type="dcterms:W3CDTF">2023-08-16T16:59:00Z</dcterms:created>
  <dcterms:modified xsi:type="dcterms:W3CDTF">2023-08-16T17:01:00Z</dcterms:modified>
</cp:coreProperties>
</file>