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089" w:rsidP="00695089" w14:paraId="66369872" w14:textId="75067234">
      <w:pPr>
        <w:pStyle w:val="ListParagraph"/>
        <w:tabs>
          <w:tab w:val="num" w:pos="450"/>
        </w:tabs>
        <w:ind w:left="446" w:hanging="360"/>
        <w:jc w:val="center"/>
        <w:rPr>
          <w:bCs/>
        </w:rPr>
      </w:pPr>
      <w:r w:rsidRPr="00F13304">
        <w:rPr>
          <w:bCs/>
        </w:rPr>
        <w:t>National Credit Union Administration</w:t>
      </w:r>
    </w:p>
    <w:p w:rsidR="00F13304" w:rsidRPr="00F13304" w:rsidP="00695089" w14:paraId="135820DE" w14:textId="32D20E8D">
      <w:pPr>
        <w:pStyle w:val="ListParagraph"/>
        <w:tabs>
          <w:tab w:val="num" w:pos="450"/>
        </w:tabs>
        <w:ind w:left="446" w:hanging="360"/>
        <w:jc w:val="center"/>
        <w:rPr>
          <w:b/>
          <w:bCs/>
        </w:rPr>
      </w:pPr>
      <w:r w:rsidRPr="00F13304">
        <w:rPr>
          <w:b/>
          <w:bCs/>
        </w:rPr>
        <w:t>SUPPORTING STATEMENT</w:t>
      </w:r>
    </w:p>
    <w:p w:rsidR="00F13304" w:rsidRPr="00F13304" w:rsidP="00695089" w14:paraId="30A1A7A1" w14:textId="77777777">
      <w:pPr>
        <w:pStyle w:val="ListParagraph"/>
        <w:tabs>
          <w:tab w:val="num" w:pos="450"/>
        </w:tabs>
        <w:ind w:left="446" w:hanging="360"/>
        <w:jc w:val="center"/>
        <w:rPr>
          <w:bCs/>
        </w:rPr>
      </w:pPr>
    </w:p>
    <w:p w:rsidR="00595215" w:rsidRPr="00F13304" w:rsidP="004D73D2" w14:paraId="325BB305" w14:textId="754A62F3">
      <w:pPr>
        <w:pStyle w:val="ListParagraph"/>
        <w:tabs>
          <w:tab w:val="num" w:pos="450"/>
        </w:tabs>
        <w:ind w:left="446" w:hanging="360"/>
        <w:jc w:val="center"/>
        <w:rPr>
          <w:bCs/>
        </w:rPr>
      </w:pPr>
      <w:r w:rsidRPr="00F13304">
        <w:rPr>
          <w:bCs/>
        </w:rPr>
        <w:t>Recordkeeping, Reporting, and Disclosure Requirements</w:t>
      </w:r>
    </w:p>
    <w:p w:rsidR="00695089" w:rsidRPr="00F13304" w:rsidP="004D73D2" w14:paraId="61AD4A6F" w14:textId="00E2D711">
      <w:pPr>
        <w:pStyle w:val="ListParagraph"/>
        <w:tabs>
          <w:tab w:val="num" w:pos="450"/>
        </w:tabs>
        <w:ind w:left="446" w:hanging="360"/>
        <w:jc w:val="center"/>
        <w:rPr>
          <w:bCs/>
        </w:rPr>
      </w:pPr>
      <w:r w:rsidRPr="00F13304">
        <w:rPr>
          <w:bCs/>
        </w:rPr>
        <w:t xml:space="preserve">Associated </w:t>
      </w:r>
      <w:r w:rsidRPr="00F13304" w:rsidR="001772A0">
        <w:rPr>
          <w:bCs/>
        </w:rPr>
        <w:t xml:space="preserve">with </w:t>
      </w:r>
      <w:r w:rsidRPr="00F13304" w:rsidR="004D73D2">
        <w:rPr>
          <w:bCs/>
        </w:rPr>
        <w:t>the Home Mortgage Disclosure Act (HMDA), 12 U.S.C. 28</w:t>
      </w:r>
      <w:r w:rsidRPr="00F13304" w:rsidR="00547F46">
        <w:rPr>
          <w:bCs/>
        </w:rPr>
        <w:t>0</w:t>
      </w:r>
      <w:r w:rsidRPr="00F13304">
        <w:rPr>
          <w:bCs/>
        </w:rPr>
        <w:t xml:space="preserve">1 </w:t>
      </w:r>
      <w:r w:rsidRPr="00F13304">
        <w:rPr>
          <w:bCs/>
          <w:u w:val="single"/>
        </w:rPr>
        <w:t>et seq.</w:t>
      </w:r>
      <w:r w:rsidRPr="00F13304">
        <w:rPr>
          <w:bCs/>
        </w:rPr>
        <w:t>,</w:t>
      </w:r>
    </w:p>
    <w:p w:rsidR="00695089" w:rsidP="00547F46" w14:paraId="2D46B2E5" w14:textId="4D93F4C0">
      <w:pPr>
        <w:pStyle w:val="ListParagraph"/>
        <w:tabs>
          <w:tab w:val="num" w:pos="450"/>
        </w:tabs>
        <w:ind w:left="446" w:hanging="360"/>
        <w:jc w:val="center"/>
        <w:rPr>
          <w:bCs/>
        </w:rPr>
      </w:pPr>
      <w:r w:rsidRPr="00F13304">
        <w:rPr>
          <w:bCs/>
        </w:rPr>
        <w:t>As</w:t>
      </w:r>
      <w:r w:rsidRPr="00F13304" w:rsidR="004D73D2">
        <w:rPr>
          <w:bCs/>
        </w:rPr>
        <w:t xml:space="preserve"> implemented by Regulation C, 12 CFR 1003</w:t>
      </w:r>
    </w:p>
    <w:p w:rsidR="00F13304" w:rsidRPr="00F13304" w:rsidP="00547F46" w14:paraId="40215665" w14:textId="77777777">
      <w:pPr>
        <w:pStyle w:val="ListParagraph"/>
        <w:tabs>
          <w:tab w:val="num" w:pos="450"/>
        </w:tabs>
        <w:ind w:left="446" w:hanging="360"/>
        <w:jc w:val="center"/>
        <w:rPr>
          <w:bCs/>
        </w:rPr>
      </w:pPr>
    </w:p>
    <w:p w:rsidR="00695089" w:rsidRPr="00F13304" w:rsidP="00695089" w14:paraId="0C49C84C" w14:textId="6D792A72">
      <w:pPr>
        <w:pStyle w:val="ListParagraph"/>
        <w:tabs>
          <w:tab w:val="num" w:pos="450"/>
        </w:tabs>
        <w:ind w:left="446" w:hanging="360"/>
        <w:jc w:val="center"/>
        <w:rPr>
          <w:bCs/>
        </w:rPr>
      </w:pPr>
      <w:r w:rsidRPr="00F13304">
        <w:rPr>
          <w:bCs/>
        </w:rPr>
        <w:t>OMB No. 3133-0166</w:t>
      </w:r>
    </w:p>
    <w:p w:rsidR="003644CC" w:rsidP="00695089" w14:paraId="0EE9E3BE" w14:textId="77777777">
      <w:pPr>
        <w:pStyle w:val="ListParagraph"/>
        <w:ind w:left="0"/>
      </w:pPr>
    </w:p>
    <w:p w:rsidR="009971A1" w:rsidRPr="009971A1" w:rsidP="00695089" w14:paraId="795F2B23" w14:textId="4128EF0B">
      <w:pPr>
        <w:pStyle w:val="ListParagraph"/>
        <w:ind w:left="0"/>
        <w:rPr>
          <w:b/>
        </w:rPr>
      </w:pPr>
      <w:r w:rsidRPr="009971A1">
        <w:rPr>
          <w:b/>
        </w:rPr>
        <w:t>INTRODUCTION</w:t>
      </w:r>
    </w:p>
    <w:p w:rsidR="009971A1" w:rsidP="00695089" w14:paraId="4AF2014E" w14:textId="77777777">
      <w:pPr>
        <w:pStyle w:val="ListParagraph"/>
        <w:ind w:left="0"/>
      </w:pPr>
    </w:p>
    <w:p w:rsidR="009971A1" w:rsidP="00695089" w14:paraId="5A674D70" w14:textId="317129A6">
      <w:pPr>
        <w:pStyle w:val="ListParagraph"/>
        <w:ind w:left="0"/>
      </w:pPr>
      <w:r>
        <w:t>NCUA requests OMB approval to extend for three years the currently approved collection captioned above.  The clearance</w:t>
      </w:r>
      <w:r w:rsidR="00C53097">
        <w:t xml:space="preserve"> being requested is for the </w:t>
      </w:r>
      <w:r w:rsidR="00302330">
        <w:t xml:space="preserve">information </w:t>
      </w:r>
      <w:r w:rsidR="00C53097">
        <w:t>collection imposed by the Consumer Financial Protection Bureau’s (CFPB) Regulation C, which implements HMDA</w:t>
      </w:r>
      <w:r w:rsidR="00C30228">
        <w:t>, and applicable to federally insured credit unions supervised by NCUA pursuant to the asset-size threshold established by Regulation C</w:t>
      </w:r>
      <w:r w:rsidR="00C53097">
        <w:t>.</w:t>
      </w:r>
    </w:p>
    <w:p w:rsidR="009971A1" w:rsidRPr="009971A1" w:rsidP="00385B53" w14:paraId="5306E7A8" w14:textId="77777777">
      <w:pPr>
        <w:pStyle w:val="ListParagraph"/>
        <w:ind w:hanging="720"/>
      </w:pPr>
    </w:p>
    <w:p w:rsidR="00695089" w:rsidRPr="00E44F63" w:rsidP="00385B53" w14:paraId="5C4966BE" w14:textId="77777777">
      <w:pPr>
        <w:pStyle w:val="ListParagraph"/>
        <w:numPr>
          <w:ilvl w:val="0"/>
          <w:numId w:val="1"/>
        </w:numPr>
        <w:ind w:left="720" w:hanging="720"/>
        <w:rPr>
          <w:b/>
        </w:rPr>
      </w:pPr>
      <w:r w:rsidRPr="00E44F63">
        <w:rPr>
          <w:b/>
        </w:rPr>
        <w:t>JUSTIFICATION</w:t>
      </w:r>
    </w:p>
    <w:p w:rsidR="00695089" w:rsidRPr="001A19D9" w:rsidP="00385B53" w14:paraId="06F7624A" w14:textId="77777777">
      <w:pPr>
        <w:pStyle w:val="ListParagraph"/>
        <w:ind w:hanging="720"/>
      </w:pPr>
    </w:p>
    <w:p w:rsidR="00F13304" w:rsidRPr="00625090" w:rsidP="00F13304" w14:paraId="5AB537A4" w14:textId="77777777">
      <w:pPr>
        <w:pStyle w:val="ListParagraph"/>
        <w:numPr>
          <w:ilvl w:val="0"/>
          <w:numId w:val="2"/>
        </w:numPr>
        <w:ind w:left="720" w:hanging="720"/>
        <w:rPr>
          <w:b/>
        </w:rPr>
      </w:pPr>
      <w:r w:rsidRPr="00625090">
        <w:rPr>
          <w:b/>
        </w:rPr>
        <w:t>Circumstances that make the collection of information necessary</w:t>
      </w:r>
      <w:r>
        <w:rPr>
          <w:b/>
        </w:rPr>
        <w:t>.</w:t>
      </w:r>
    </w:p>
    <w:p w:rsidR="00695089" w:rsidP="00385B53" w14:paraId="35AF9F51" w14:textId="77777777">
      <w:pPr>
        <w:pStyle w:val="ListParagraph"/>
        <w:tabs>
          <w:tab w:val="left" w:pos="-720"/>
          <w:tab w:val="left" w:pos="286"/>
          <w:tab w:val="left" w:pos="403"/>
        </w:tabs>
        <w:suppressAutoHyphens/>
        <w:ind w:hanging="720"/>
      </w:pPr>
    </w:p>
    <w:p w:rsidR="00465646" w:rsidP="00385B53" w14:paraId="13F7FCB8" w14:textId="168D4D3F">
      <w:pPr>
        <w:ind w:left="720"/>
        <w:rPr>
          <w:bCs/>
        </w:rPr>
      </w:pPr>
      <w:r>
        <w:rPr>
          <w:bCs/>
        </w:rPr>
        <w:t>HMDA was enacted in 1975 and</w:t>
      </w:r>
      <w:r w:rsidR="00FB5A90">
        <w:rPr>
          <w:bCs/>
        </w:rPr>
        <w:t xml:space="preserve"> requires most mortgage lenders lending in metropolitan areas to collect data about their housing-related lending activity</w:t>
      </w:r>
      <w:r>
        <w:rPr>
          <w:bCs/>
        </w:rPr>
        <w:t xml:space="preserve">.  </w:t>
      </w:r>
      <w:r w:rsidR="00613512">
        <w:rPr>
          <w:bCs/>
        </w:rPr>
        <w:t xml:space="preserve">Historically, HMDA has been implemented by </w:t>
      </w:r>
      <w:r w:rsidR="008665B1">
        <w:rPr>
          <w:bCs/>
        </w:rPr>
        <w:t xml:space="preserve">the Board of Governors of the Federal Reserve System’s (FRB) Regulation C, 12 CFR Part 203.  </w:t>
      </w:r>
      <w:r w:rsidR="00FC33C6">
        <w:rPr>
          <w:bCs/>
        </w:rPr>
        <w:t xml:space="preserve">Congress has periodically modified the law, and FRB has routinely updated Regulation C.  </w:t>
      </w:r>
      <w:r w:rsidR="008665B1">
        <w:rPr>
          <w:bCs/>
        </w:rPr>
        <w:t xml:space="preserve">The Dodd-Frank Wall Street Reform and Consumer Protection Act </w:t>
      </w:r>
      <w:r w:rsidR="005F382B">
        <w:rPr>
          <w:bCs/>
        </w:rPr>
        <w:t xml:space="preserve">of 2010 </w:t>
      </w:r>
      <w:r w:rsidR="008665B1">
        <w:rPr>
          <w:bCs/>
        </w:rPr>
        <w:t>transferred FRB’s rulemaking authority for HMDA to CFPB.</w:t>
      </w:r>
    </w:p>
    <w:p w:rsidR="00FC33C6" w:rsidP="00385B53" w14:paraId="515D4CAB" w14:textId="77777777">
      <w:pPr>
        <w:ind w:left="720" w:hanging="720"/>
        <w:rPr>
          <w:bCs/>
        </w:rPr>
      </w:pPr>
    </w:p>
    <w:p w:rsidR="00F30D78" w:rsidP="00385B53" w14:paraId="0DB09905" w14:textId="3281A0FE">
      <w:pPr>
        <w:ind w:left="720" w:hanging="720"/>
        <w:rPr>
          <w:bCs/>
        </w:rPr>
      </w:pPr>
      <w:r>
        <w:rPr>
          <w:bCs/>
        </w:rPr>
        <w:tab/>
      </w:r>
      <w:r w:rsidR="00347DD8">
        <w:rPr>
          <w:bCs/>
        </w:rPr>
        <w:t xml:space="preserve">Regulation C, 12 CFR Part 1003, </w:t>
      </w:r>
      <w:r w:rsidR="00CD272F">
        <w:rPr>
          <w:bCs/>
        </w:rPr>
        <w:t>requires f</w:t>
      </w:r>
      <w:r w:rsidR="00676A11">
        <w:rPr>
          <w:bCs/>
        </w:rPr>
        <w:t>inancial institutions that meet</w:t>
      </w:r>
      <w:r w:rsidR="00CD272F">
        <w:rPr>
          <w:bCs/>
        </w:rPr>
        <w:t xml:space="preserve"> certain thresholds to</w:t>
      </w:r>
      <w:r w:rsidR="007D34CA">
        <w:rPr>
          <w:bCs/>
        </w:rPr>
        <w:t xml:space="preserve"> report data </w:t>
      </w:r>
      <w:r w:rsidR="009C7817">
        <w:rPr>
          <w:bCs/>
        </w:rPr>
        <w:t xml:space="preserve">annually </w:t>
      </w:r>
      <w:r w:rsidR="007D34CA">
        <w:rPr>
          <w:bCs/>
        </w:rPr>
        <w:t>about</w:t>
      </w:r>
      <w:r>
        <w:rPr>
          <w:bCs/>
        </w:rPr>
        <w:t>:</w:t>
      </w:r>
    </w:p>
    <w:p w:rsidR="00F30D78" w:rsidP="00385B53" w14:paraId="377539AD" w14:textId="78640C73">
      <w:pPr>
        <w:pStyle w:val="ListParagraph"/>
        <w:numPr>
          <w:ilvl w:val="0"/>
          <w:numId w:val="33"/>
        </w:numPr>
        <w:ind w:left="1080"/>
        <w:rPr>
          <w:bCs/>
        </w:rPr>
      </w:pPr>
      <w:r>
        <w:rPr>
          <w:bCs/>
        </w:rPr>
        <w:t>Each application or loan, including the application date; the action taken and the date of that action; the loan amount; the loan type (for example, government guaranteed or not) and purpose (for example, home purchase)</w:t>
      </w:r>
      <w:r>
        <w:rPr>
          <w:bCs/>
        </w:rPr>
        <w:t>;</w:t>
      </w:r>
      <w:r>
        <w:rPr>
          <w:bCs/>
        </w:rPr>
        <w:t xml:space="preserve"> and, if the loan is sold, the type of </w:t>
      </w:r>
      <w:r>
        <w:rPr>
          <w:bCs/>
        </w:rPr>
        <w:t>purchaser;</w:t>
      </w:r>
    </w:p>
    <w:p w:rsidR="00F30D78" w:rsidP="00385B53" w14:paraId="479D787B" w14:textId="58AE6E99">
      <w:pPr>
        <w:pStyle w:val="ListParagraph"/>
        <w:numPr>
          <w:ilvl w:val="0"/>
          <w:numId w:val="33"/>
        </w:numPr>
        <w:ind w:left="1080"/>
        <w:rPr>
          <w:bCs/>
        </w:rPr>
      </w:pPr>
      <w:r>
        <w:rPr>
          <w:bCs/>
        </w:rPr>
        <w:t>E</w:t>
      </w:r>
      <w:r w:rsidRPr="00F30D78" w:rsidR="00620658">
        <w:rPr>
          <w:bCs/>
        </w:rPr>
        <w:t>ach applicant or borrower, including ethnicity, race, sex, and income;</w:t>
      </w:r>
      <w:r>
        <w:rPr>
          <w:bCs/>
        </w:rPr>
        <w:t xml:space="preserve"> and</w:t>
      </w:r>
    </w:p>
    <w:p w:rsidR="00FC33C6" w:rsidRPr="00F30D78" w:rsidP="00385B53" w14:paraId="03532F71" w14:textId="0E47FE94">
      <w:pPr>
        <w:pStyle w:val="ListParagraph"/>
        <w:numPr>
          <w:ilvl w:val="0"/>
          <w:numId w:val="33"/>
        </w:numPr>
        <w:ind w:left="1080"/>
        <w:rPr>
          <w:bCs/>
        </w:rPr>
      </w:pPr>
      <w:r>
        <w:rPr>
          <w:bCs/>
        </w:rPr>
        <w:t>E</w:t>
      </w:r>
      <w:r w:rsidRPr="00F30D78" w:rsidR="00620658">
        <w:rPr>
          <w:bCs/>
        </w:rPr>
        <w:t>ach property, including location and occupancy status.</w:t>
      </w:r>
    </w:p>
    <w:p w:rsidR="00F30D78" w:rsidP="00385B53" w14:paraId="56BD1C82" w14:textId="77777777">
      <w:pPr>
        <w:ind w:left="720" w:hanging="720"/>
        <w:rPr>
          <w:bCs/>
        </w:rPr>
      </w:pPr>
    </w:p>
    <w:p w:rsidR="0097763F" w:rsidP="00385B53" w14:paraId="1521C706" w14:textId="07BAB4F7">
      <w:pPr>
        <w:ind w:left="720" w:hanging="720"/>
        <w:rPr>
          <w:bCs/>
        </w:rPr>
      </w:pPr>
      <w:r>
        <w:rPr>
          <w:bCs/>
        </w:rPr>
        <w:tab/>
      </w:r>
      <w:r w:rsidR="00F30D78">
        <w:rPr>
          <w:bCs/>
        </w:rPr>
        <w:t>A covered</w:t>
      </w:r>
      <w:r w:rsidR="009C7817">
        <w:rPr>
          <w:bCs/>
        </w:rPr>
        <w:t xml:space="preserve"> lender generally </w:t>
      </w:r>
      <w:r w:rsidR="00194F93">
        <w:rPr>
          <w:bCs/>
        </w:rPr>
        <w:t xml:space="preserve">must </w:t>
      </w:r>
      <w:r w:rsidR="00BF205D">
        <w:rPr>
          <w:bCs/>
        </w:rPr>
        <w:t>update</w:t>
      </w:r>
      <w:r w:rsidR="00194F93">
        <w:rPr>
          <w:bCs/>
        </w:rPr>
        <w:t xml:space="preserve"> information quarterly – all </w:t>
      </w:r>
      <w:r w:rsidR="00DF7AB1">
        <w:rPr>
          <w:bCs/>
        </w:rPr>
        <w:t>reportable transaction must be recorded within 30 calendar days after the end of the calendar quarter in which final action is taken on a loan application register (LAR)</w:t>
      </w:r>
      <w:r w:rsidR="00194F93">
        <w:rPr>
          <w:bCs/>
        </w:rPr>
        <w:t xml:space="preserve"> – and </w:t>
      </w:r>
      <w:r w:rsidR="00A82546">
        <w:rPr>
          <w:bCs/>
        </w:rPr>
        <w:t xml:space="preserve">must submit the completed LAR </w:t>
      </w:r>
      <w:r w:rsidR="00BF205D">
        <w:rPr>
          <w:bCs/>
        </w:rPr>
        <w:t>annually to the appropriate Federal a</w:t>
      </w:r>
      <w:r w:rsidR="00427063">
        <w:rPr>
          <w:bCs/>
        </w:rPr>
        <w:t>gency</w:t>
      </w:r>
      <w:r w:rsidR="00A82546">
        <w:rPr>
          <w:bCs/>
        </w:rPr>
        <w:t xml:space="preserve"> by March 1 of the year following the year covered by the LAR</w:t>
      </w:r>
      <w:r w:rsidR="00427063">
        <w:rPr>
          <w:bCs/>
        </w:rPr>
        <w:t>.</w:t>
      </w:r>
      <w:r w:rsidR="00A82546">
        <w:rPr>
          <w:bCs/>
        </w:rPr>
        <w:t xml:space="preserve">  Institutions that submit incorrect information may be required to correct and resubmit the information.</w:t>
      </w:r>
      <w:r w:rsidR="00427063">
        <w:rPr>
          <w:bCs/>
        </w:rPr>
        <w:t xml:space="preserve">  </w:t>
      </w:r>
      <w:r w:rsidR="005C4CDD">
        <w:rPr>
          <w:bCs/>
        </w:rPr>
        <w:t>T</w:t>
      </w:r>
      <w:r w:rsidR="00BF205D">
        <w:rPr>
          <w:bCs/>
        </w:rPr>
        <w:t>he Federal Financial Institution</w:t>
      </w:r>
      <w:r w:rsidR="00CF4A50">
        <w:rPr>
          <w:bCs/>
        </w:rPr>
        <w:t>s</w:t>
      </w:r>
      <w:r w:rsidR="00BF205D">
        <w:rPr>
          <w:bCs/>
        </w:rPr>
        <w:t xml:space="preserve"> Examination Council (FFIEC) </w:t>
      </w:r>
      <w:r w:rsidR="005C4CDD">
        <w:rPr>
          <w:bCs/>
        </w:rPr>
        <w:t xml:space="preserve">then prepares a disclosure statement </w:t>
      </w:r>
      <w:r w:rsidR="00BF205D">
        <w:rPr>
          <w:bCs/>
        </w:rPr>
        <w:t xml:space="preserve">from data submitted by the financial </w:t>
      </w:r>
      <w:r w:rsidR="00BF205D">
        <w:rPr>
          <w:bCs/>
        </w:rPr>
        <w:t xml:space="preserve">institutions, </w:t>
      </w:r>
      <w:r w:rsidR="005C4CDD">
        <w:rPr>
          <w:bCs/>
        </w:rPr>
        <w:t>and</w:t>
      </w:r>
      <w:r w:rsidR="005C4CDD">
        <w:rPr>
          <w:bCs/>
        </w:rPr>
        <w:t xml:space="preserve"> provides the disclosure statement to the financial institution.  Within three business days of receiving its statement, the financial </w:t>
      </w:r>
      <w:r w:rsidR="005C4CDD">
        <w:rPr>
          <w:bCs/>
        </w:rPr>
        <w:t xml:space="preserve">institution must make a copy available at its home office.  In addition, within ten business days of receiving its disclosure statement, the financial institution must either:  (1) make the disclosure statement available in at least one branch office in every Metropolitan Statistical Area (MSA) and Metropolitan Division (Division) where it has an office or (2) post a notice in at least one branch office per MSA and Division where it has an office stating that the disclosure statement is available upon written request.  A covered lender must make each public disclosure statement </w:t>
      </w:r>
      <w:r w:rsidR="00BF205D">
        <w:rPr>
          <w:bCs/>
        </w:rPr>
        <w:t>avai</w:t>
      </w:r>
      <w:r w:rsidR="005C4CDD">
        <w:rPr>
          <w:bCs/>
        </w:rPr>
        <w:t>lable to the public for five years</w:t>
      </w:r>
      <w:r w:rsidR="00BF205D">
        <w:rPr>
          <w:bCs/>
        </w:rPr>
        <w:t>.</w:t>
      </w:r>
    </w:p>
    <w:p w:rsidR="0097763F" w:rsidP="00385B53" w14:paraId="75C6A0FC" w14:textId="77777777">
      <w:pPr>
        <w:tabs>
          <w:tab w:val="left" w:pos="720"/>
        </w:tabs>
        <w:ind w:left="720" w:hanging="720"/>
        <w:rPr>
          <w:bCs/>
        </w:rPr>
      </w:pPr>
    </w:p>
    <w:p w:rsidR="0097763F" w:rsidP="00385B53" w14:paraId="601AC7CD" w14:textId="4D120E44">
      <w:pPr>
        <w:tabs>
          <w:tab w:val="left" w:pos="720"/>
        </w:tabs>
        <w:ind w:left="720" w:hanging="720"/>
        <w:rPr>
          <w:bCs/>
        </w:rPr>
      </w:pPr>
      <w:r>
        <w:rPr>
          <w:bCs/>
        </w:rPr>
        <w:tab/>
      </w:r>
      <w:r>
        <w:rPr>
          <w:bCs/>
        </w:rPr>
        <w:t>Each financial institution must retain its completed LAR for three years and during that period it must make its LAR available to the public after redacting certain information to protect the privacy of its applicants and borrowers.</w:t>
      </w:r>
    </w:p>
    <w:p w:rsidR="00465646" w:rsidP="00385B53" w14:paraId="2BA6E01C" w14:textId="77777777">
      <w:pPr>
        <w:tabs>
          <w:tab w:val="left" w:pos="720"/>
        </w:tabs>
        <w:ind w:left="720" w:hanging="720"/>
        <w:rPr>
          <w:bCs/>
        </w:rPr>
      </w:pPr>
    </w:p>
    <w:p w:rsidR="00F13304" w:rsidP="00B37582" w14:paraId="22BDE72F" w14:textId="34D97A2D">
      <w:pPr>
        <w:pStyle w:val="BodyTextIndent2"/>
        <w:numPr>
          <w:ilvl w:val="0"/>
          <w:numId w:val="2"/>
        </w:numPr>
        <w:spacing w:after="0" w:line="240" w:lineRule="auto"/>
        <w:ind w:left="720" w:hanging="720"/>
        <w:rPr>
          <w:b/>
        </w:rPr>
      </w:pPr>
      <w:r>
        <w:rPr>
          <w:b/>
        </w:rPr>
        <w:t>Purpose and use of the information collected.</w:t>
      </w:r>
    </w:p>
    <w:p w:rsidR="00F13304" w:rsidRPr="00F13304" w:rsidP="00F13304" w14:paraId="4A668A14" w14:textId="77777777">
      <w:pPr>
        <w:pStyle w:val="BodyTextIndent2"/>
        <w:spacing w:after="0" w:line="240" w:lineRule="auto"/>
        <w:ind w:left="0"/>
      </w:pPr>
    </w:p>
    <w:p w:rsidR="00F54AC1" w:rsidP="00385B53" w14:paraId="6BA77DB5" w14:textId="046C3D5B">
      <w:pPr>
        <w:pStyle w:val="ListParagraph"/>
        <w:tabs>
          <w:tab w:val="left" w:pos="720"/>
        </w:tabs>
        <w:ind w:hanging="720"/>
      </w:pPr>
      <w:r>
        <w:tab/>
      </w:r>
      <w:r w:rsidR="00605346">
        <w:t xml:space="preserve">HMDA was enacted to provide the public with loan data that can be used to: (1) help determine whether financial institutions are serving the housing needs of their communities; (2) assist public officials in distributing public-sector investments </w:t>
      </w:r>
      <w:r w:rsidR="00605346">
        <w:t>so as to</w:t>
      </w:r>
      <w:r w:rsidR="00605346">
        <w:t xml:space="preserve"> attract private investment to areas where it is needed; and (3) assist in identifying possible discriminatory lending patterns and enforcing anti-discrimination statutes.</w:t>
      </w:r>
    </w:p>
    <w:p w:rsidR="00605346" w:rsidP="00385B53" w14:paraId="6D2C2ABE" w14:textId="77777777">
      <w:pPr>
        <w:pStyle w:val="ListParagraph"/>
        <w:tabs>
          <w:tab w:val="left" w:pos="720"/>
        </w:tabs>
        <w:ind w:hanging="720"/>
      </w:pPr>
    </w:p>
    <w:p w:rsidR="00605346" w:rsidP="00385B53" w14:paraId="450B8872" w14:textId="29343283">
      <w:pPr>
        <w:pStyle w:val="ListParagraph"/>
        <w:tabs>
          <w:tab w:val="left" w:pos="720"/>
        </w:tabs>
        <w:ind w:hanging="720"/>
      </w:pPr>
      <w:r>
        <w:tab/>
      </w:r>
      <w:r>
        <w:t>The information collection will assist NCUA’s examiners, and examiners of other federal supervisory agencies, in determining that the financial institutions they supervise comply with the applicable provisions of HMDA.</w:t>
      </w:r>
    </w:p>
    <w:p w:rsidR="00F54AC1" w:rsidP="00385B53" w14:paraId="1AD04C95" w14:textId="77777777">
      <w:pPr>
        <w:pStyle w:val="ListParagraph"/>
        <w:tabs>
          <w:tab w:val="left" w:pos="720"/>
        </w:tabs>
        <w:ind w:hanging="720"/>
      </w:pPr>
    </w:p>
    <w:p w:rsidR="00F13304" w:rsidP="00F13304" w14:paraId="23B026DC" w14:textId="77777777">
      <w:pPr>
        <w:rPr>
          <w:b/>
        </w:rPr>
      </w:pPr>
      <w:r>
        <w:rPr>
          <w:b/>
        </w:rPr>
        <w:t>3.</w:t>
      </w:r>
      <w:r>
        <w:rPr>
          <w:b/>
        </w:rPr>
        <w:tab/>
      </w:r>
      <w:r w:rsidRPr="009371DF">
        <w:rPr>
          <w:b/>
        </w:rPr>
        <w:t>Use of</w:t>
      </w:r>
      <w:r>
        <w:rPr>
          <w:b/>
        </w:rPr>
        <w:t xml:space="preserve"> information t</w:t>
      </w:r>
      <w:r w:rsidRPr="009371DF">
        <w:rPr>
          <w:b/>
        </w:rPr>
        <w:t>echnology</w:t>
      </w:r>
      <w:r>
        <w:rPr>
          <w:b/>
        </w:rPr>
        <w:t>.</w:t>
      </w:r>
    </w:p>
    <w:p w:rsidR="00330068" w:rsidRPr="006522D8" w:rsidP="00385B53" w14:paraId="7EC3A2E7" w14:textId="77777777">
      <w:pPr>
        <w:pStyle w:val="ListParagraph"/>
        <w:tabs>
          <w:tab w:val="left" w:pos="720"/>
        </w:tabs>
        <w:ind w:hanging="720"/>
      </w:pPr>
    </w:p>
    <w:p w:rsidR="00051C1A" w:rsidP="00385B53" w14:paraId="324D6AA2" w14:textId="023F806C">
      <w:pPr>
        <w:pStyle w:val="ListParagraph"/>
        <w:tabs>
          <w:tab w:val="left" w:pos="720"/>
        </w:tabs>
        <w:ind w:hanging="720"/>
      </w:pPr>
      <w:r>
        <w:tab/>
      </w:r>
      <w:r w:rsidRPr="002936A9" w:rsidR="00C639FD">
        <w:t xml:space="preserve">FFIEC provides credit unions with </w:t>
      </w:r>
      <w:r w:rsidR="007466F4">
        <w:t xml:space="preserve">an online </w:t>
      </w:r>
      <w:r w:rsidRPr="007466F4" w:rsidR="007466F4">
        <w:t>HMDA Platform to upload th</w:t>
      </w:r>
      <w:r w:rsidR="007466F4">
        <w:t>eir HMDA LARs</w:t>
      </w:r>
      <w:r w:rsidRPr="007466F4" w:rsidR="007466F4">
        <w:t>, review edits, certify the accuracy and completeness of the data, and submit data for the filing year.</w:t>
      </w:r>
    </w:p>
    <w:p w:rsidR="00212EB1" w:rsidP="00385B53" w14:paraId="1E5A26B3" w14:textId="77777777">
      <w:pPr>
        <w:pStyle w:val="ListParagraph"/>
        <w:ind w:hanging="720"/>
      </w:pPr>
    </w:p>
    <w:p w:rsidR="00F13304" w:rsidP="00F13304" w14:paraId="61F7CF89" w14:textId="77777777">
      <w:pPr>
        <w:rPr>
          <w:b/>
        </w:rPr>
      </w:pPr>
      <w:r>
        <w:rPr>
          <w:b/>
        </w:rPr>
        <w:t>4.</w:t>
      </w:r>
      <w:r>
        <w:rPr>
          <w:b/>
        </w:rPr>
        <w:tab/>
      </w:r>
      <w:r w:rsidRPr="009371DF">
        <w:rPr>
          <w:b/>
        </w:rPr>
        <w:t xml:space="preserve">Duplication </w:t>
      </w:r>
      <w:r>
        <w:rPr>
          <w:b/>
        </w:rPr>
        <w:t>of i</w:t>
      </w:r>
      <w:r w:rsidRPr="009371DF">
        <w:rPr>
          <w:b/>
        </w:rPr>
        <w:t>nformation</w:t>
      </w:r>
      <w:r>
        <w:rPr>
          <w:b/>
        </w:rPr>
        <w:t>.</w:t>
      </w:r>
    </w:p>
    <w:p w:rsidR="000645BC" w:rsidP="00385B53" w14:paraId="6BC77849" w14:textId="77777777">
      <w:pPr>
        <w:ind w:left="720" w:hanging="720"/>
        <w:rPr>
          <w:b/>
        </w:rPr>
      </w:pPr>
    </w:p>
    <w:p w:rsidR="000645BC" w:rsidRPr="0064141B" w:rsidP="00385B53" w14:paraId="366CA535" w14:textId="4CD3BB26">
      <w:pPr>
        <w:ind w:left="720" w:hanging="720"/>
      </w:pPr>
      <w:r>
        <w:tab/>
      </w:r>
      <w:r w:rsidRPr="0064141B" w:rsidR="003D6B17">
        <w:t>The information collected is not duplicated elsewhere.</w:t>
      </w:r>
    </w:p>
    <w:p w:rsidR="00695089" w:rsidRPr="0064141B" w:rsidP="00385B53" w14:paraId="7616B9E9" w14:textId="77777777">
      <w:pPr>
        <w:pStyle w:val="ListParagraph"/>
        <w:tabs>
          <w:tab w:val="left" w:pos="-720"/>
          <w:tab w:val="left" w:pos="286"/>
          <w:tab w:val="left" w:pos="403"/>
        </w:tabs>
        <w:suppressAutoHyphens/>
        <w:ind w:hanging="720"/>
      </w:pPr>
    </w:p>
    <w:p w:rsidR="00F13304" w:rsidRPr="0064141B" w:rsidP="00F13304" w14:paraId="27092347" w14:textId="77777777">
      <w:pPr>
        <w:rPr>
          <w:b/>
        </w:rPr>
      </w:pPr>
      <w:r w:rsidRPr="0064141B">
        <w:rPr>
          <w:b/>
        </w:rPr>
        <w:t>5.</w:t>
      </w:r>
      <w:r w:rsidRPr="0064141B">
        <w:rPr>
          <w:b/>
        </w:rPr>
        <w:tab/>
        <w:t>Efforts to reduce burden on small entities.</w:t>
      </w:r>
    </w:p>
    <w:p w:rsidR="00695089" w:rsidRPr="0064141B" w:rsidP="00385B53" w14:paraId="1CEBC319"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00695089" w:rsidRPr="0064141B" w:rsidP="00385B53" w14:paraId="1BA850FA" w14:textId="71BF7432">
      <w:pPr>
        <w:suppressAutoHyphens/>
        <w:ind w:left="720" w:hanging="720"/>
      </w:pPr>
      <w:r w:rsidRPr="0064141B">
        <w:tab/>
      </w:r>
      <w:r w:rsidRPr="0064141B" w:rsidR="009B3831">
        <w:t>The collection imposes on credit unions, regardless of size, only the minimum burden n</w:t>
      </w:r>
      <w:r w:rsidRPr="0064141B" w:rsidR="00C45EC4">
        <w:t>ecessary for compliance with HMD</w:t>
      </w:r>
      <w:r w:rsidRPr="0064141B" w:rsidR="00093ED5">
        <w:t>A.</w:t>
      </w:r>
    </w:p>
    <w:p w:rsidR="00695089" w:rsidRPr="00631257" w:rsidP="00385B53" w14:paraId="233757D2"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00F13304" w:rsidRPr="00625090" w:rsidP="00F13304" w14:paraId="0700A310" w14:textId="77777777">
      <w:pPr>
        <w:rPr>
          <w:b/>
        </w:rPr>
      </w:pPr>
      <w:r>
        <w:rPr>
          <w:b/>
        </w:rPr>
        <w:t>6.</w:t>
      </w:r>
      <w:r>
        <w:rPr>
          <w:b/>
        </w:rPr>
        <w:tab/>
        <w:t>Consequences of not conducting the c</w:t>
      </w:r>
      <w:r w:rsidRPr="00625090">
        <w:rPr>
          <w:b/>
        </w:rPr>
        <w:t>ollection</w:t>
      </w:r>
      <w:r>
        <w:rPr>
          <w:b/>
        </w:rPr>
        <w:t>.</w:t>
      </w:r>
      <w:r w:rsidRPr="00625090">
        <w:rPr>
          <w:b/>
        </w:rPr>
        <w:t xml:space="preserve"> </w:t>
      </w:r>
    </w:p>
    <w:p w:rsidR="00695089" w:rsidP="00385B53" w14:paraId="754E6777"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00923289" w:rsidP="00DF7D73" w14:paraId="0EBC9F72" w14:textId="51DA0D58">
      <w:pPr>
        <w:ind w:left="720" w:hanging="720"/>
      </w:pPr>
      <w:r>
        <w:tab/>
      </w:r>
      <w:r w:rsidR="009E33FA">
        <w:t xml:space="preserve">HMDA </w:t>
      </w:r>
      <w:r w:rsidRPr="002936A9" w:rsidR="009E33FA">
        <w:t>requires the annual collection of the information.</w:t>
      </w:r>
      <w:r w:rsidR="009E33FA">
        <w:t xml:space="preserve">  In the absence of this collection, the government would not have the information necessary to determine compliance with HMDA or to prepare the reports required to be provided to the public under HMDA.</w:t>
      </w:r>
    </w:p>
    <w:p w:rsidR="00DF7D73" w:rsidRPr="00E44F63" w:rsidP="00DF7D73" w14:paraId="353EDC96" w14:textId="77777777">
      <w:pPr>
        <w:ind w:left="720" w:hanging="720"/>
      </w:pPr>
    </w:p>
    <w:p w:rsidR="00F13304" w:rsidRPr="00625090" w:rsidP="00F13304" w14:paraId="219836E3" w14:textId="77777777">
      <w:pPr>
        <w:rPr>
          <w:b/>
        </w:rPr>
      </w:pPr>
      <w:r>
        <w:rPr>
          <w:b/>
        </w:rPr>
        <w:t>7.</w:t>
      </w:r>
      <w:r>
        <w:rPr>
          <w:b/>
        </w:rPr>
        <w:tab/>
        <w:t>Inconsistencies with g</w:t>
      </w:r>
      <w:r w:rsidRPr="00625090">
        <w:rPr>
          <w:b/>
        </w:rPr>
        <w:t>uidelines in 5 CFR 1320.5(d)(2)</w:t>
      </w:r>
      <w:r>
        <w:rPr>
          <w:b/>
        </w:rPr>
        <w:t>.</w:t>
      </w:r>
    </w:p>
    <w:p w:rsidR="00695089" w:rsidP="00385B53" w14:paraId="1F8E0A4F" w14:textId="77777777">
      <w:pPr>
        <w:pStyle w:val="ListParagraph"/>
        <w:tabs>
          <w:tab w:val="left" w:pos="720"/>
        </w:tabs>
        <w:ind w:hanging="720"/>
      </w:pPr>
    </w:p>
    <w:p w:rsidR="00695089" w:rsidRPr="00111BCC" w:rsidP="00385B53" w14:paraId="272E2DC0" w14:textId="1149D10B">
      <w:pPr>
        <w:pStyle w:val="ListParagraph"/>
        <w:tabs>
          <w:tab w:val="left" w:pos="720"/>
        </w:tabs>
        <w:ind w:hanging="720"/>
        <w:rPr>
          <w:b/>
        </w:rPr>
      </w:pPr>
      <w:r>
        <w:tab/>
      </w:r>
      <w:r w:rsidR="000645BC">
        <w:t>There are no special circumstances.</w:t>
      </w:r>
      <w:r w:rsidR="00B1451A">
        <w:t xml:space="preserve">  This collection is </w:t>
      </w:r>
      <w:r w:rsidR="00AA13E0">
        <w:t xml:space="preserve">consistent with the guidelines </w:t>
      </w:r>
      <w:r w:rsidR="00B1451A">
        <w:t>in 5 CFR 1320.5(d)(2).</w:t>
      </w:r>
    </w:p>
    <w:p w:rsidR="00695089" w:rsidRPr="00E44F63" w:rsidP="00385B53" w14:paraId="319DE94E" w14:textId="77777777">
      <w:pPr>
        <w:pStyle w:val="ListParagraph"/>
        <w:tabs>
          <w:tab w:val="left" w:pos="720"/>
        </w:tabs>
        <w:ind w:hanging="720"/>
        <w:rPr>
          <w:b/>
        </w:rPr>
      </w:pPr>
    </w:p>
    <w:p w:rsidR="00F13304" w:rsidRPr="00625090" w:rsidP="00F13304" w14:paraId="336E3255" w14:textId="77777777">
      <w:pPr>
        <w:rPr>
          <w:b/>
        </w:rPr>
      </w:pPr>
      <w:r>
        <w:rPr>
          <w:b/>
        </w:rPr>
        <w:t>8.</w:t>
      </w:r>
      <w:r>
        <w:rPr>
          <w:b/>
        </w:rPr>
        <w:tab/>
        <w:t>Efforts to consult</w:t>
      </w:r>
      <w:r w:rsidRPr="00625090">
        <w:rPr>
          <w:b/>
        </w:rPr>
        <w:t xml:space="preserve"> </w:t>
      </w:r>
      <w:r>
        <w:rPr>
          <w:b/>
        </w:rPr>
        <w:t>with p</w:t>
      </w:r>
      <w:r w:rsidRPr="00625090">
        <w:rPr>
          <w:b/>
        </w:rPr>
        <w:t xml:space="preserve">ersons </w:t>
      </w:r>
      <w:r>
        <w:rPr>
          <w:b/>
        </w:rPr>
        <w:t>outside the a</w:t>
      </w:r>
      <w:r w:rsidRPr="00625090">
        <w:rPr>
          <w:b/>
        </w:rPr>
        <w:t>gency</w:t>
      </w:r>
      <w:r>
        <w:rPr>
          <w:b/>
        </w:rPr>
        <w:t>.</w:t>
      </w:r>
    </w:p>
    <w:p w:rsidR="00695089" w:rsidP="00385B53" w14:paraId="76F0D4BC" w14:textId="77777777">
      <w:pPr>
        <w:pStyle w:val="ListParagraph"/>
        <w:tabs>
          <w:tab w:val="left" w:pos="720"/>
        </w:tabs>
        <w:ind w:hanging="720"/>
        <w:rPr>
          <w:b/>
        </w:rPr>
      </w:pPr>
    </w:p>
    <w:p w:rsidR="00695089" w:rsidRPr="00111BCC" w:rsidP="00385B53" w14:paraId="101E2530" w14:textId="52BB5EC7">
      <w:pPr>
        <w:pStyle w:val="ListParagraph"/>
        <w:tabs>
          <w:tab w:val="left" w:pos="720"/>
        </w:tabs>
        <w:ind w:hanging="720"/>
        <w:rPr>
          <w:b/>
        </w:rPr>
      </w:pPr>
      <w:r>
        <w:tab/>
      </w:r>
      <w:r w:rsidR="00DF7D73">
        <w:t xml:space="preserve">A 60-day notice was published in the </w:t>
      </w:r>
      <w:r w:rsidR="00DF7D73">
        <w:rPr>
          <w:u w:val="single"/>
        </w:rPr>
        <w:t>Federal Register</w:t>
      </w:r>
      <w:r w:rsidR="00DF7D73">
        <w:t xml:space="preserve"> on June 7, 2023, at 88 FR 37290, and no public comments were received.  A 30-day notice was published on August 9, 2023, at 88 FR 53931.</w:t>
      </w:r>
    </w:p>
    <w:p w:rsidR="00695089" w:rsidRPr="00111BCC" w:rsidP="00385B53" w14:paraId="6F8563B3" w14:textId="77777777">
      <w:pPr>
        <w:tabs>
          <w:tab w:val="left" w:pos="720"/>
        </w:tabs>
        <w:ind w:left="720" w:hanging="720"/>
        <w:rPr>
          <w:b/>
        </w:rPr>
      </w:pPr>
    </w:p>
    <w:p w:rsidR="00F13304" w:rsidRPr="00625090" w:rsidP="00F13304" w14:paraId="50FBCA9D" w14:textId="77777777">
      <w:pPr>
        <w:rPr>
          <w:b/>
        </w:rPr>
      </w:pPr>
      <w:r>
        <w:rPr>
          <w:b/>
        </w:rPr>
        <w:t>9.</w:t>
      </w:r>
      <w:r>
        <w:rPr>
          <w:b/>
        </w:rPr>
        <w:tab/>
        <w:t>Payment or g</w:t>
      </w:r>
      <w:r w:rsidRPr="00625090">
        <w:rPr>
          <w:b/>
        </w:rPr>
        <w:t xml:space="preserve">ifts to </w:t>
      </w:r>
      <w:r>
        <w:rPr>
          <w:b/>
        </w:rPr>
        <w:t>r</w:t>
      </w:r>
      <w:r w:rsidRPr="00625090">
        <w:rPr>
          <w:b/>
        </w:rPr>
        <w:t>espondents</w:t>
      </w:r>
      <w:r>
        <w:rPr>
          <w:b/>
        </w:rPr>
        <w:t>.</w:t>
      </w:r>
    </w:p>
    <w:p w:rsidR="00695089" w:rsidP="00385B53" w14:paraId="4424DFA2" w14:textId="77777777">
      <w:pPr>
        <w:pStyle w:val="ListParagraph"/>
        <w:tabs>
          <w:tab w:val="left" w:pos="720"/>
        </w:tabs>
        <w:ind w:hanging="720"/>
        <w:rPr>
          <w:b/>
        </w:rPr>
      </w:pPr>
    </w:p>
    <w:p w:rsidR="00695089" w:rsidRPr="00660550" w:rsidP="00385B53" w14:paraId="55A41E4B" w14:textId="30BFD729">
      <w:pPr>
        <w:pStyle w:val="ListParagraph"/>
        <w:tabs>
          <w:tab w:val="left" w:pos="720"/>
        </w:tabs>
        <w:ind w:hanging="720"/>
        <w:rPr>
          <w:b/>
        </w:rPr>
      </w:pPr>
      <w:r>
        <w:tab/>
      </w:r>
      <w:r w:rsidR="00003678">
        <w:t>There is no intent by NCUA to provide</w:t>
      </w:r>
      <w:r w:rsidR="000645BC">
        <w:t xml:space="preserve"> payments or gifts </w:t>
      </w:r>
      <w:r w:rsidR="00003678">
        <w:t>for</w:t>
      </w:r>
      <w:r w:rsidR="000645BC">
        <w:t xml:space="preserve"> </w:t>
      </w:r>
      <w:r w:rsidR="00003678">
        <w:t xml:space="preserve">information </w:t>
      </w:r>
      <w:r w:rsidR="000645BC">
        <w:t>collect</w:t>
      </w:r>
      <w:r w:rsidR="00003678">
        <w:t>ed</w:t>
      </w:r>
      <w:r w:rsidR="000645BC">
        <w:t>.</w:t>
      </w:r>
      <w:r>
        <w:t xml:space="preserve">  </w:t>
      </w:r>
    </w:p>
    <w:p w:rsidR="00695089" w:rsidRPr="00E44F63" w:rsidP="00385B53" w14:paraId="142B1849" w14:textId="77777777">
      <w:pPr>
        <w:tabs>
          <w:tab w:val="left" w:pos="720"/>
        </w:tabs>
        <w:ind w:left="720" w:hanging="720"/>
      </w:pPr>
    </w:p>
    <w:p w:rsidR="00F13304" w:rsidP="00F13304" w14:paraId="51142F2D" w14:textId="77777777">
      <w:pPr>
        <w:rPr>
          <w:b/>
        </w:rPr>
      </w:pPr>
      <w:r>
        <w:rPr>
          <w:b/>
        </w:rPr>
        <w:t>10.</w:t>
      </w:r>
      <w:r>
        <w:rPr>
          <w:b/>
        </w:rPr>
        <w:tab/>
      </w:r>
      <w:r w:rsidRPr="00625090">
        <w:rPr>
          <w:b/>
        </w:rPr>
        <w:t xml:space="preserve">Assurance of </w:t>
      </w:r>
      <w:r>
        <w:rPr>
          <w:b/>
        </w:rPr>
        <w:t>confidentiality.</w:t>
      </w:r>
    </w:p>
    <w:p w:rsidR="00695089" w:rsidP="00385B53" w14:paraId="07B0A776" w14:textId="77777777">
      <w:pPr>
        <w:pStyle w:val="ListParagraph"/>
        <w:tabs>
          <w:tab w:val="left" w:pos="720"/>
        </w:tabs>
        <w:rPr>
          <w:b/>
        </w:rPr>
      </w:pPr>
    </w:p>
    <w:p w:rsidR="00695089" w:rsidRPr="00E41A63" w:rsidP="00385B53" w14:paraId="1F1516A3" w14:textId="23342EC2">
      <w:pPr>
        <w:pStyle w:val="ListParagraph"/>
        <w:tabs>
          <w:tab w:val="left" w:pos="720"/>
        </w:tabs>
        <w:rPr>
          <w:b/>
        </w:rPr>
      </w:pPr>
      <w:r>
        <w:t xml:space="preserve">There is no assurance of confidentiality other than that provided by law.  </w:t>
      </w:r>
      <w:r w:rsidR="006475AD">
        <w:t>The records kept under this information collection are maintained by credit unions and reported annually.  Regulation C requires this information to be made available</w:t>
      </w:r>
      <w:r w:rsidR="00946F1E">
        <w:t xml:space="preserve"> to the public except for </w:t>
      </w:r>
      <w:r w:rsidR="00BB4B81">
        <w:t xml:space="preserve">the </w:t>
      </w:r>
      <w:r w:rsidR="006475AD">
        <w:t>fields that are redacted to protect the identities of the individual applicants.</w:t>
      </w:r>
    </w:p>
    <w:p w:rsidR="00695089" w:rsidRPr="00E44F63" w:rsidP="009A1AF1" w14:paraId="07122A9C" w14:textId="111B29A6">
      <w:pPr>
        <w:tabs>
          <w:tab w:val="left" w:pos="720"/>
          <w:tab w:val="left" w:pos="6187"/>
        </w:tabs>
        <w:ind w:left="720" w:hanging="720"/>
      </w:pPr>
    </w:p>
    <w:p w:rsidR="00F13304" w:rsidP="009A1AF1" w14:paraId="6E0F4376" w14:textId="77777777">
      <w:pPr>
        <w:rPr>
          <w:b/>
        </w:rPr>
      </w:pPr>
      <w:r>
        <w:rPr>
          <w:b/>
        </w:rPr>
        <w:t>11.</w:t>
      </w:r>
      <w:r>
        <w:rPr>
          <w:b/>
        </w:rPr>
        <w:tab/>
      </w:r>
      <w:r w:rsidRPr="00625090">
        <w:rPr>
          <w:b/>
        </w:rPr>
        <w:t xml:space="preserve">Questions of a </w:t>
      </w:r>
      <w:r>
        <w:rPr>
          <w:b/>
        </w:rPr>
        <w:t>sensitive n</w:t>
      </w:r>
      <w:r w:rsidRPr="00625090">
        <w:rPr>
          <w:b/>
        </w:rPr>
        <w:t>ature</w:t>
      </w:r>
      <w:r>
        <w:rPr>
          <w:b/>
        </w:rPr>
        <w:t>.</w:t>
      </w:r>
    </w:p>
    <w:p w:rsidR="00695089" w:rsidP="009A1AF1" w14:paraId="1C821777" w14:textId="77777777">
      <w:pPr>
        <w:pStyle w:val="ListParagraph"/>
        <w:tabs>
          <w:tab w:val="left" w:pos="-8213"/>
          <w:tab w:val="left" w:pos="-7207"/>
          <w:tab w:val="left" w:pos="-7090"/>
          <w:tab w:val="left" w:pos="-3415"/>
          <w:tab w:val="left" w:pos="-3298"/>
          <w:tab w:val="left" w:pos="-2159"/>
          <w:tab w:val="left" w:pos="-2041"/>
          <w:tab w:val="left" w:pos="720"/>
        </w:tabs>
        <w:suppressAutoHyphens/>
        <w:ind w:left="0"/>
      </w:pPr>
    </w:p>
    <w:p w:rsidR="00525E4E" w:rsidRPr="000645BC" w:rsidP="009A1AF1" w14:paraId="14FE57E0" w14:textId="749480AD">
      <w:pPr>
        <w:pStyle w:val="ListParagraph"/>
        <w:tabs>
          <w:tab w:val="left" w:pos="-8213"/>
          <w:tab w:val="left" w:pos="-7207"/>
          <w:tab w:val="left" w:pos="-7090"/>
          <w:tab w:val="left" w:pos="-3415"/>
          <w:tab w:val="left" w:pos="-3298"/>
          <w:tab w:val="left" w:pos="-2159"/>
          <w:tab w:val="left" w:pos="-2041"/>
        </w:tabs>
        <w:suppressAutoHyphens/>
      </w:pPr>
      <w:r>
        <w:t>The information collected contains material that might be considered sensitive in nature, including loan number, Census tract,</w:t>
      </w:r>
      <w:r w:rsidR="00D57644">
        <w:t xml:space="preserve"> </w:t>
      </w:r>
      <w:r>
        <w:t>race and ethnicity, sex, and annual income.</w:t>
      </w:r>
      <w:r w:rsidR="00B1063F">
        <w:t xml:space="preserve">  </w:t>
      </w:r>
      <w:r w:rsidR="00FC3494">
        <w:t xml:space="preserve">When the information is disclosed to the public, it is redacted to omit the </w:t>
      </w:r>
      <w:r w:rsidR="00DE4143">
        <w:t>application date; action taken date; property address; credit score; Nationwide Mortgage Licensing System and Registry identifier for the mortgage loan originator; automated underwriting system result; and free-form text fields used to report data regarding race and ethnicity, reasons for denial, the name of the credit scoring model used, and the name of the automated underwriting system used</w:t>
      </w:r>
      <w:r w:rsidR="00FC3494">
        <w:t>.</w:t>
      </w:r>
      <w:r w:rsidR="00BA5BDD">
        <w:t xml:space="preserve">  The purpose of collecting this information is to assist in identifying possible discriminatory lending patterns and enforcing anti-discrimination statutes.</w:t>
      </w:r>
    </w:p>
    <w:p w:rsidR="00695089" w:rsidRPr="00F439A8" w:rsidP="009A1AF1" w14:paraId="7C7DE8FD" w14:textId="77777777">
      <w:pPr>
        <w:ind w:left="720"/>
      </w:pPr>
    </w:p>
    <w:p w:rsidR="00F13304" w:rsidP="009A1AF1" w14:paraId="34EA5DBD" w14:textId="77777777">
      <w:pPr>
        <w:rPr>
          <w:b/>
        </w:rPr>
      </w:pPr>
      <w:r>
        <w:rPr>
          <w:b/>
        </w:rPr>
        <w:t>12.</w:t>
      </w:r>
      <w:r>
        <w:rPr>
          <w:b/>
        </w:rPr>
        <w:tab/>
        <w:t>Burden of information c</w:t>
      </w:r>
      <w:r w:rsidRPr="00F94991">
        <w:rPr>
          <w:b/>
        </w:rPr>
        <w:t>ollection</w:t>
      </w:r>
      <w:r>
        <w:rPr>
          <w:b/>
        </w:rPr>
        <w:t>.</w:t>
      </w:r>
    </w:p>
    <w:p w:rsidR="003875E9" w:rsidP="009A1AF1" w14:paraId="299093E4" w14:textId="3E071714">
      <w:pPr>
        <w:tabs>
          <w:tab w:val="left" w:pos="-1080"/>
          <w:tab w:val="left" w:pos="-720"/>
        </w:tabs>
        <w:ind w:left="720"/>
      </w:pPr>
    </w:p>
    <w:p w:rsidR="00DF7D73" w:rsidP="00DF7D73" w14:paraId="0BFD9ECB" w14:textId="33A5EB82">
      <w:pPr>
        <w:tabs>
          <w:tab w:val="left" w:pos="-1080"/>
          <w:tab w:val="left" w:pos="-720"/>
        </w:tabs>
        <w:ind w:left="720"/>
      </w:pPr>
      <w:r>
        <w:t>Averaging the number of federally insured credit union respondents</w:t>
      </w:r>
      <w:r w:rsidR="00FC0E21">
        <w:t xml:space="preserve"> filing HMDA LAR</w:t>
      </w:r>
      <w:r w:rsidR="009527C8">
        <w:t>s</w:t>
      </w:r>
      <w:r>
        <w:t xml:space="preserve"> and the total number of reportable HMDA loans for calendar years </w:t>
      </w:r>
      <w:r w:rsidR="006C72D5">
        <w:t>2021 and 2022</w:t>
      </w:r>
      <w:r>
        <w:t>, NCUA estimates the following burden hours and cost.  The estimated burden arises exclusively from the regulation and is shown in the table below.</w:t>
      </w:r>
    </w:p>
    <w:p w:rsidR="00A01310" w:rsidP="00A01310" w14:paraId="3C76D010" w14:textId="77777777">
      <w:pPr>
        <w:ind w:left="90"/>
      </w:pPr>
    </w:p>
    <w:tbl>
      <w:tblPr>
        <w:tblW w:w="7449" w:type="dxa"/>
        <w:tblInd w:w="715" w:type="dxa"/>
        <w:tblLook w:val="04A0"/>
      </w:tblPr>
      <w:tblGrid>
        <w:gridCol w:w="1403"/>
        <w:gridCol w:w="1207"/>
        <w:gridCol w:w="330"/>
        <w:gridCol w:w="1313"/>
        <w:gridCol w:w="1598"/>
        <w:gridCol w:w="1598"/>
      </w:tblGrid>
      <w:tr w14:paraId="7F341529" w14:textId="77777777" w:rsidTr="00D830CA">
        <w:tblPrEx>
          <w:tblW w:w="7449" w:type="dxa"/>
          <w:tblInd w:w="715" w:type="dxa"/>
          <w:tblLook w:val="04A0"/>
        </w:tblPrEx>
        <w:trPr>
          <w:trHeight w:val="900"/>
        </w:trPr>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0CA" w:rsidRPr="00A01310" w:rsidP="00E70F52" w14:paraId="140AD20A" w14:textId="77777777">
            <w:pPr>
              <w:jc w:val="center"/>
              <w:rPr>
                <w:rFonts w:ascii="Arial Narrow" w:hAnsi="Arial Narrow"/>
                <w:bCs/>
                <w:color w:val="000000"/>
                <w:sz w:val="18"/>
                <w:szCs w:val="18"/>
              </w:rPr>
            </w:pPr>
            <w:r w:rsidRPr="00A01310">
              <w:rPr>
                <w:rFonts w:ascii="Arial Narrow" w:hAnsi="Arial Narrow"/>
                <w:bCs/>
                <w:color w:val="000000"/>
                <w:sz w:val="18"/>
                <w:szCs w:val="18"/>
              </w:rPr>
              <w:t>Estimated # of Respondents</w:t>
            </w:r>
          </w:p>
        </w:tc>
        <w:tc>
          <w:tcPr>
            <w:tcW w:w="1537" w:type="dxa"/>
            <w:gridSpan w:val="2"/>
            <w:tcBorders>
              <w:top w:val="single" w:sz="4" w:space="0" w:color="auto"/>
              <w:left w:val="nil"/>
              <w:bottom w:val="single" w:sz="4" w:space="0" w:color="auto"/>
              <w:right w:val="single" w:sz="4" w:space="0" w:color="auto"/>
            </w:tcBorders>
          </w:tcPr>
          <w:p w:rsidR="00D830CA" w:rsidRPr="00A01310" w:rsidP="00E70F52" w14:paraId="5D777B93" w14:textId="5F110113">
            <w:pPr>
              <w:jc w:val="center"/>
              <w:rPr>
                <w:rFonts w:ascii="Arial Narrow" w:hAnsi="Arial Narrow"/>
                <w:bCs/>
                <w:color w:val="000000"/>
                <w:sz w:val="18"/>
                <w:szCs w:val="18"/>
              </w:rPr>
            </w:pPr>
            <w:r>
              <w:rPr>
                <w:rFonts w:ascii="Arial Narrow" w:hAnsi="Arial Narrow"/>
                <w:bCs/>
                <w:color w:val="000000"/>
                <w:sz w:val="18"/>
                <w:szCs w:val="18"/>
              </w:rPr>
              <w:t>Estimated # of Responses per Respondent</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30CA" w:rsidRPr="00A01310" w:rsidP="00E70F52" w14:paraId="7E2887E5" w14:textId="37A203C5">
            <w:pPr>
              <w:jc w:val="center"/>
              <w:rPr>
                <w:rFonts w:ascii="Arial Narrow" w:hAnsi="Arial Narrow"/>
                <w:bCs/>
                <w:color w:val="000000"/>
                <w:sz w:val="18"/>
                <w:szCs w:val="18"/>
              </w:rPr>
            </w:pPr>
            <w:r w:rsidRPr="00A01310">
              <w:rPr>
                <w:rFonts w:ascii="Arial Narrow" w:hAnsi="Arial Narrow"/>
                <w:bCs/>
                <w:color w:val="000000"/>
                <w:sz w:val="18"/>
                <w:szCs w:val="18"/>
              </w:rPr>
              <w:t>Estimated # of Loan Applications</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D830CA" w:rsidRPr="00A01310" w:rsidP="00E70F52" w14:paraId="337C0444" w14:textId="77777777">
            <w:pPr>
              <w:jc w:val="center"/>
              <w:rPr>
                <w:rFonts w:ascii="Arial Narrow" w:hAnsi="Arial Narrow"/>
                <w:bCs/>
                <w:color w:val="000000"/>
                <w:sz w:val="18"/>
                <w:szCs w:val="18"/>
              </w:rPr>
            </w:pPr>
            <w:r w:rsidRPr="00A01310">
              <w:rPr>
                <w:rFonts w:ascii="Arial Narrow" w:hAnsi="Arial Narrow"/>
                <w:bCs/>
                <w:color w:val="000000"/>
                <w:sz w:val="18"/>
                <w:szCs w:val="18"/>
              </w:rPr>
              <w:t>Estimated Avg. Hours per Response</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D830CA" w:rsidRPr="00A01310" w:rsidP="00E70F52" w14:paraId="37BC6A2A" w14:textId="04B761CB">
            <w:pPr>
              <w:jc w:val="center"/>
              <w:rPr>
                <w:rFonts w:ascii="Arial Narrow" w:hAnsi="Arial Narrow"/>
                <w:bCs/>
                <w:color w:val="000000"/>
                <w:sz w:val="18"/>
                <w:szCs w:val="18"/>
              </w:rPr>
            </w:pPr>
            <w:r w:rsidRPr="00A01310">
              <w:rPr>
                <w:rFonts w:ascii="Arial Narrow" w:hAnsi="Arial Narrow"/>
                <w:bCs/>
                <w:color w:val="000000"/>
                <w:sz w:val="18"/>
                <w:szCs w:val="18"/>
              </w:rPr>
              <w:t>Estimated Annual Burden</w:t>
            </w:r>
          </w:p>
        </w:tc>
      </w:tr>
      <w:tr w14:paraId="2657632E" w14:textId="77777777" w:rsidTr="00D830CA">
        <w:tblPrEx>
          <w:tblW w:w="7449" w:type="dxa"/>
          <w:tblInd w:w="715" w:type="dxa"/>
          <w:tblLook w:val="04A0"/>
        </w:tblPrEx>
        <w:trPr>
          <w:trHeight w:val="512"/>
        </w:trPr>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0CA" w:rsidRPr="00E75E76" w:rsidP="00D830CA" w14:paraId="0C1CB6D1" w14:textId="42D9A24C">
            <w:pPr>
              <w:jc w:val="center"/>
              <w:rPr>
                <w:color w:val="000000"/>
              </w:rPr>
            </w:pPr>
            <w:r w:rsidRPr="00E75E76">
              <w:rPr>
                <w:color w:val="000000"/>
              </w:rPr>
              <w:t>1</w:t>
            </w:r>
            <w:r>
              <w:rPr>
                <w:color w:val="000000"/>
              </w:rPr>
              <w:t>,</w:t>
            </w:r>
            <w:r w:rsidRPr="00E75E76">
              <w:rPr>
                <w:color w:val="000000"/>
              </w:rPr>
              <w:t>381</w:t>
            </w:r>
          </w:p>
        </w:tc>
        <w:tc>
          <w:tcPr>
            <w:tcW w:w="1207" w:type="dxa"/>
            <w:tcBorders>
              <w:top w:val="single" w:sz="4" w:space="0" w:color="auto"/>
              <w:left w:val="nil"/>
              <w:bottom w:val="single" w:sz="4" w:space="0" w:color="auto"/>
              <w:right w:val="single" w:sz="4" w:space="0" w:color="auto"/>
            </w:tcBorders>
          </w:tcPr>
          <w:p w:rsidR="00D830CA" w:rsidRPr="00E75E76" w:rsidP="00D830CA" w14:paraId="09D9DE12" w14:textId="0790B40A">
            <w:pPr>
              <w:rPr>
                <w:color w:val="000000"/>
              </w:rPr>
            </w:pPr>
            <w:r>
              <w:rPr>
                <w:color w:val="000000"/>
              </w:rPr>
              <w:t>1,267.657</w:t>
            </w:r>
          </w:p>
        </w:tc>
        <w:tc>
          <w:tcPr>
            <w:tcW w:w="1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0CA" w:rsidRPr="00E75E76" w:rsidP="00D830CA" w14:paraId="449E1936" w14:textId="594D699F">
            <w:pPr>
              <w:jc w:val="center"/>
              <w:rPr>
                <w:color w:val="000000"/>
              </w:rPr>
            </w:pPr>
            <w:r w:rsidRPr="00E75E76">
              <w:rPr>
                <w:color w:val="000000"/>
              </w:rPr>
              <w:t>1,750,635</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rsidR="00D830CA" w:rsidRPr="00E75E76" w:rsidP="00D830CA" w14:paraId="4D92229D" w14:textId="77777777">
            <w:pPr>
              <w:jc w:val="center"/>
              <w:rPr>
                <w:color w:val="000000"/>
              </w:rPr>
            </w:pPr>
            <w:r w:rsidRPr="00E75E76">
              <w:rPr>
                <w:color w:val="000000"/>
              </w:rPr>
              <w:t>5 minutes</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rsidR="00D830CA" w:rsidRPr="00E75E76" w:rsidP="00D830CA" w14:paraId="7A46C909" w14:textId="3234162D">
            <w:pPr>
              <w:jc w:val="center"/>
              <w:rPr>
                <w:color w:val="000000"/>
              </w:rPr>
            </w:pPr>
            <w:r w:rsidRPr="00E75E76">
              <w:rPr>
                <w:color w:val="000000"/>
              </w:rPr>
              <w:t>145,886</w:t>
            </w:r>
          </w:p>
        </w:tc>
      </w:tr>
    </w:tbl>
    <w:p w:rsidR="00D91287" w:rsidP="009A1AF1" w14:paraId="2A171782" w14:textId="7F48A91F">
      <w:r w:rsidRPr="00E75E76">
        <w:tab/>
        <w:t>Based on the labor rate of $</w:t>
      </w:r>
      <w:r w:rsidRPr="00E75E76" w:rsidR="00C64D80">
        <w:t xml:space="preserve">42.80 </w:t>
      </w:r>
      <w:r w:rsidRPr="00E75E76">
        <w:t>per hour,</w:t>
      </w:r>
      <w:r>
        <w:t xml:space="preserve"> the total cost to respondents is </w:t>
      </w:r>
      <w:r w:rsidR="00C64D80">
        <w:t>$6,243,920.80</w:t>
      </w:r>
      <w:r w:rsidR="00DF7D73">
        <w:t>.</w:t>
      </w:r>
    </w:p>
    <w:p w:rsidR="008F2F95" w:rsidRPr="00E44F63" w:rsidP="009A1AF1" w14:paraId="5815480D" w14:textId="77777777"/>
    <w:p w:rsidR="00F13304" w:rsidP="009A1AF1" w14:paraId="1FE53021" w14:textId="2BA5E4A8">
      <w:pPr>
        <w:rPr>
          <w:b/>
        </w:rPr>
      </w:pPr>
      <w:r>
        <w:rPr>
          <w:b/>
        </w:rPr>
        <w:t>13.</w:t>
      </w:r>
      <w:r>
        <w:rPr>
          <w:b/>
        </w:rPr>
        <w:tab/>
        <w:t>Capital start-up or on-going operation and maintenance c</w:t>
      </w:r>
      <w:r w:rsidRPr="00F94991">
        <w:rPr>
          <w:b/>
        </w:rPr>
        <w:t>osts</w:t>
      </w:r>
      <w:r>
        <w:rPr>
          <w:b/>
        </w:rPr>
        <w:t>.</w:t>
      </w:r>
    </w:p>
    <w:p w:rsidR="003D43E6" w:rsidP="009A1AF1" w14:paraId="7D28E6FA" w14:textId="77777777">
      <w:pPr>
        <w:pStyle w:val="ListParagraph"/>
        <w:ind w:hanging="720"/>
      </w:pPr>
    </w:p>
    <w:p w:rsidR="001C5A86" w:rsidRPr="001C5A86" w:rsidP="009A1AF1" w14:paraId="253204F3" w14:textId="37A9EF81">
      <w:pPr>
        <w:pStyle w:val="ListParagraph"/>
        <w:ind w:hanging="720"/>
      </w:pPr>
      <w:r>
        <w:tab/>
      </w:r>
      <w:r w:rsidR="00D102FA">
        <w:t>Other than the costs to respondents that are associated with the usual and customary business practice, there are no capital start-up costs or ongoing operation and maintenance costs associated with this information collection.</w:t>
      </w:r>
    </w:p>
    <w:p w:rsidR="00695089" w:rsidRPr="001C5A86" w:rsidP="009A1AF1" w14:paraId="0AF4A922" w14:textId="77777777">
      <w:pPr>
        <w:pStyle w:val="ListParagraph"/>
        <w:ind w:hanging="720"/>
      </w:pPr>
    </w:p>
    <w:p w:rsidR="00F13304" w:rsidRPr="00F94991" w:rsidP="009A1AF1" w14:paraId="019A4090" w14:textId="77777777">
      <w:pPr>
        <w:rPr>
          <w:b/>
        </w:rPr>
      </w:pPr>
      <w:r>
        <w:rPr>
          <w:b/>
        </w:rPr>
        <w:t>14.</w:t>
      </w:r>
      <w:r>
        <w:rPr>
          <w:b/>
        </w:rPr>
        <w:tab/>
        <w:t>Annualized costs to the Federal g</w:t>
      </w:r>
      <w:r w:rsidRPr="00F94991">
        <w:rPr>
          <w:b/>
        </w:rPr>
        <w:t>overnment</w:t>
      </w:r>
      <w:r>
        <w:rPr>
          <w:b/>
        </w:rPr>
        <w:t>.</w:t>
      </w:r>
    </w:p>
    <w:p w:rsidR="00695089" w:rsidP="009A1AF1" w14:paraId="6946884B" w14:textId="77777777">
      <w:pPr>
        <w:suppressAutoHyphens/>
        <w:ind w:left="720" w:hanging="720"/>
      </w:pPr>
    </w:p>
    <w:p w:rsidR="005E307A" w:rsidRPr="002322E8" w:rsidP="009A1AF1" w14:paraId="6EDBCBC2" w14:textId="3242C37E">
      <w:pPr>
        <w:pStyle w:val="ListParagraph"/>
        <w:keepNext/>
        <w:ind w:hanging="720"/>
        <w:rPr>
          <w:b/>
        </w:rPr>
      </w:pPr>
      <w:r>
        <w:tab/>
      </w:r>
      <w:r>
        <w:t xml:space="preserve">The </w:t>
      </w:r>
      <w:r w:rsidR="00D02B81">
        <w:t>total</w:t>
      </w:r>
      <w:r>
        <w:t xml:space="preserve"> annual cost, which includes, among other things, processing the information generated</w:t>
      </w:r>
      <w:r w:rsidR="00284A3E">
        <w:t xml:space="preserve"> by the collection, producing a disclosure statement for each financial institution, and producing aggregate data for each MSA, is allocated among </w:t>
      </w:r>
      <w:r>
        <w:t>t</w:t>
      </w:r>
      <w:r w:rsidR="00C428F9">
        <w:t xml:space="preserve">he FFIEC member agencies and the Department of Housing </w:t>
      </w:r>
      <w:r w:rsidRPr="002322E8" w:rsidR="00C428F9">
        <w:t>and Urban Development</w:t>
      </w:r>
      <w:r w:rsidRPr="002322E8">
        <w:t>.</w:t>
      </w:r>
      <w:r w:rsidRPr="002322E8" w:rsidR="009E3FCE">
        <w:t xml:space="preserve">  The cost</w:t>
      </w:r>
      <w:r w:rsidRPr="002322E8" w:rsidR="00284A3E">
        <w:t xml:space="preserve"> allocated to NCUA is </w:t>
      </w:r>
      <w:r w:rsidRPr="002322E8" w:rsidR="009C2752">
        <w:t xml:space="preserve">approximately </w:t>
      </w:r>
      <w:r w:rsidRPr="002322E8" w:rsidR="00431481">
        <w:t>$562,000.</w:t>
      </w:r>
    </w:p>
    <w:p w:rsidR="00695089" w:rsidRPr="002322E8" w:rsidP="00385B53" w14:paraId="3D4A6F64" w14:textId="77777777">
      <w:pPr>
        <w:ind w:left="720" w:hanging="720"/>
        <w:rPr>
          <w:b/>
        </w:rPr>
      </w:pPr>
    </w:p>
    <w:p w:rsidR="00F13304" w:rsidRPr="00F94991" w:rsidP="00F13304" w14:paraId="586D04DB" w14:textId="77777777">
      <w:pPr>
        <w:rPr>
          <w:b/>
        </w:rPr>
      </w:pPr>
      <w:r w:rsidRPr="002322E8">
        <w:rPr>
          <w:b/>
        </w:rPr>
        <w:t>15.</w:t>
      </w:r>
      <w:r w:rsidRPr="002322E8">
        <w:rPr>
          <w:b/>
        </w:rPr>
        <w:tab/>
        <w:t>Changes in burden.</w:t>
      </w:r>
    </w:p>
    <w:p w:rsidR="00695089" w:rsidRPr="002D4D15" w:rsidP="00385B53" w14:paraId="7AB14448" w14:textId="77777777">
      <w:pPr>
        <w:pStyle w:val="ListParagraph"/>
        <w:ind w:hanging="720"/>
      </w:pPr>
    </w:p>
    <w:p w:rsidR="00695089" w:rsidRPr="00EB504E" w:rsidP="00385B53" w14:paraId="7D957151" w14:textId="5C421CEF">
      <w:pPr>
        <w:pStyle w:val="ListParagraph"/>
        <w:ind w:hanging="720"/>
      </w:pPr>
      <w:r>
        <w:tab/>
      </w:r>
      <w:r w:rsidR="000C3DD6">
        <w:t>The number of federally insured credit union</w:t>
      </w:r>
      <w:r w:rsidR="0075725B">
        <w:t>s</w:t>
      </w:r>
      <w:r w:rsidR="000C3DD6">
        <w:t xml:space="preserve"> filing HMDA LAR</w:t>
      </w:r>
      <w:r w:rsidR="0075725B">
        <w:t>s</w:t>
      </w:r>
      <w:r w:rsidR="000C3DD6">
        <w:t xml:space="preserve"> and the total number of reportable HMDA loans have been</w:t>
      </w:r>
      <w:r w:rsidR="002C11BA">
        <w:t xml:space="preserve"> adjusted to reflect the</w:t>
      </w:r>
      <w:r w:rsidR="000C3DD6">
        <w:t xml:space="preserve"> numbers</w:t>
      </w:r>
      <w:r w:rsidR="002C11BA">
        <w:t xml:space="preserve"> obtained for calendar years </w:t>
      </w:r>
      <w:r w:rsidRPr="002322E8" w:rsidR="00431481">
        <w:t>2021 and 2022</w:t>
      </w:r>
      <w:r w:rsidRPr="002322E8" w:rsidR="002C11BA">
        <w:t>.</w:t>
      </w:r>
      <w:r w:rsidRPr="002322E8" w:rsidR="00F5626F">
        <w:t xml:space="preserve">  The </w:t>
      </w:r>
      <w:r w:rsidRPr="002322E8" w:rsidR="0075725B">
        <w:t>increase</w:t>
      </w:r>
      <w:r w:rsidRPr="002322E8" w:rsidR="00F5626F">
        <w:t xml:space="preserve"> of </w:t>
      </w:r>
      <w:r w:rsidRPr="002322E8" w:rsidR="00431481">
        <w:t>37,711</w:t>
      </w:r>
      <w:r w:rsidRPr="002322E8" w:rsidR="00F5626F">
        <w:t xml:space="preserve"> burden hours is due to an adjustment.  Total of </w:t>
      </w:r>
      <w:r w:rsidRPr="002322E8" w:rsidR="00431481">
        <w:rPr>
          <w:color w:val="000000"/>
        </w:rPr>
        <w:t xml:space="preserve">145,886 </w:t>
      </w:r>
      <w:r w:rsidRPr="002322E8" w:rsidR="00F5626F">
        <w:t>burden hours requested.</w:t>
      </w:r>
    </w:p>
    <w:p w:rsidR="00695089" w:rsidRPr="002D4D15" w:rsidP="00385B53" w14:paraId="692937AB" w14:textId="77777777">
      <w:pPr>
        <w:ind w:left="720" w:hanging="720"/>
      </w:pPr>
    </w:p>
    <w:p w:rsidR="00F13304" w:rsidRPr="00F94991" w:rsidP="00F13304" w14:paraId="0E6F1E5F" w14:textId="77777777">
      <w:pPr>
        <w:rPr>
          <w:b/>
        </w:rPr>
      </w:pPr>
      <w:r>
        <w:rPr>
          <w:b/>
        </w:rPr>
        <w:t>16.</w:t>
      </w:r>
      <w:r>
        <w:rPr>
          <w:b/>
        </w:rPr>
        <w:tab/>
        <w:t>Information collection planned for statistical p</w:t>
      </w:r>
      <w:r w:rsidRPr="00F94991">
        <w:rPr>
          <w:b/>
        </w:rPr>
        <w:t>urposes</w:t>
      </w:r>
      <w:r>
        <w:rPr>
          <w:b/>
        </w:rPr>
        <w:t>.</w:t>
      </w:r>
    </w:p>
    <w:p w:rsidR="00695089" w:rsidRPr="00631257" w:rsidP="00385B53" w14:paraId="56F7D3B2" w14:textId="2E0B6E42">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720" w:hanging="720"/>
      </w:pPr>
    </w:p>
    <w:p w:rsidR="00695089" w:rsidP="00385B53" w14:paraId="7C812E06" w14:textId="3ABA4ABE">
      <w:pPr>
        <w:ind w:left="720" w:hanging="720"/>
      </w:pPr>
      <w:r>
        <w:rPr>
          <w:spacing w:val="-1"/>
        </w:rPr>
        <w:tab/>
      </w:r>
      <w:r w:rsidR="0078376C">
        <w:rPr>
          <w:spacing w:val="-1"/>
        </w:rPr>
        <w:t xml:space="preserve">The </w:t>
      </w:r>
      <w:r w:rsidR="0078376C">
        <w:t>information collected is for use by NCUA’s examination program and for disclosure to the public</w:t>
      </w:r>
      <w:r w:rsidR="0034544B">
        <w:t xml:space="preserve"> upon request after deletion of certain sensitive data elements.  The information is not published by NCUA.</w:t>
      </w:r>
    </w:p>
    <w:p w:rsidR="0078376C" w:rsidRPr="00E44F63" w:rsidP="00385B53" w14:paraId="1FDF98AD" w14:textId="77777777">
      <w:pPr>
        <w:ind w:left="720" w:hanging="720"/>
      </w:pPr>
    </w:p>
    <w:p w:rsidR="00F13304" w:rsidP="00F13304" w14:paraId="009E5529" w14:textId="77777777">
      <w:pPr>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rsidR="00F13304" w:rsidP="00F13304" w14:paraId="21B89126" w14:textId="77777777">
      <w:pPr>
        <w:rPr>
          <w:b/>
        </w:rPr>
      </w:pPr>
    </w:p>
    <w:p w:rsidR="00695089" w:rsidRPr="00790CA4" w:rsidP="00F13304" w14:paraId="54ABF869" w14:textId="52BACB10">
      <w:pPr>
        <w:ind w:left="720"/>
        <w:rPr>
          <w:b/>
        </w:rPr>
      </w:pPr>
      <w:r>
        <w:rPr>
          <w:spacing w:val="-1"/>
        </w:rPr>
        <w:t>The OMB</w:t>
      </w:r>
      <w:r>
        <w:t xml:space="preserve"> </w:t>
      </w:r>
      <w:r>
        <w:rPr>
          <w:spacing w:val="-1"/>
        </w:rPr>
        <w:t>control</w:t>
      </w:r>
      <w:r>
        <w:t xml:space="preserve"> number</w:t>
      </w:r>
      <w:r>
        <w:rPr>
          <w:spacing w:val="-1"/>
        </w:rPr>
        <w:t xml:space="preserve"> and</w:t>
      </w:r>
      <w:r>
        <w:t xml:space="preserve"> </w:t>
      </w:r>
      <w:r>
        <w:rPr>
          <w:spacing w:val="-1"/>
        </w:rPr>
        <w:t>expiration</w:t>
      </w:r>
      <w:r>
        <w:t xml:space="preserve"> </w:t>
      </w:r>
      <w:r>
        <w:rPr>
          <w:spacing w:val="-1"/>
        </w:rPr>
        <w:t>date associated</w:t>
      </w:r>
      <w:r>
        <w:t xml:space="preserve"> </w:t>
      </w:r>
      <w:r>
        <w:rPr>
          <w:spacing w:val="-1"/>
        </w:rPr>
        <w:t>with</w:t>
      </w:r>
      <w:r>
        <w:t xml:space="preserve"> this PRA</w:t>
      </w:r>
      <w:r>
        <w:rPr>
          <w:spacing w:val="-1"/>
        </w:rPr>
        <w:t xml:space="preserve"> </w:t>
      </w:r>
      <w:r>
        <w:t xml:space="preserve">submission </w:t>
      </w:r>
      <w:r>
        <w:rPr>
          <w:spacing w:val="-1"/>
        </w:rPr>
        <w:t>will</w:t>
      </w:r>
      <w:r>
        <w:rPr>
          <w:spacing w:val="77"/>
        </w:rPr>
        <w:t xml:space="preserve"> </w:t>
      </w:r>
      <w:r>
        <w:t>be</w:t>
      </w:r>
      <w:r>
        <w:rPr>
          <w:spacing w:val="-1"/>
        </w:rPr>
        <w:t xml:space="preserve"> displayed</w:t>
      </w:r>
      <w:r>
        <w:t xml:space="preserve"> on the</w:t>
      </w:r>
      <w:r>
        <w:rPr>
          <w:spacing w:val="-1"/>
        </w:rPr>
        <w:t xml:space="preserve"> Federal</w:t>
      </w:r>
      <w:r>
        <w:t xml:space="preserve"> </w:t>
      </w:r>
      <w:r>
        <w:rPr>
          <w:spacing w:val="-1"/>
        </w:rPr>
        <w:t>government’s</w:t>
      </w:r>
      <w:r>
        <w:rPr>
          <w:spacing w:val="2"/>
        </w:rPr>
        <w:t xml:space="preserve"> </w:t>
      </w:r>
      <w:r>
        <w:rPr>
          <w:spacing w:val="-1"/>
        </w:rPr>
        <w:t xml:space="preserve">electronic </w:t>
      </w:r>
      <w:r>
        <w:t>PRA</w:t>
      </w:r>
      <w:r>
        <w:rPr>
          <w:spacing w:val="-1"/>
        </w:rPr>
        <w:t xml:space="preserve"> docket</w:t>
      </w:r>
      <w:r>
        <w:t xml:space="preserve"> </w:t>
      </w:r>
      <w:r w:rsidR="008043AC">
        <w:t xml:space="preserve">website </w:t>
      </w:r>
      <w:r>
        <w:rPr>
          <w:spacing w:val="-1"/>
        </w:rPr>
        <w:t>at</w:t>
      </w:r>
      <w:r>
        <w:t xml:space="preserve"> </w:t>
      </w:r>
      <w:hyperlink r:id="rId5">
        <w:r>
          <w:rPr>
            <w:spacing w:val="-1"/>
          </w:rPr>
          <w:t>www.reginfo.gov,</w:t>
        </w:r>
      </w:hyperlink>
      <w:r>
        <w:t xml:space="preserve"> </w:t>
      </w:r>
      <w:r>
        <w:rPr>
          <w:spacing w:val="-1"/>
        </w:rPr>
        <w:t>as</w:t>
      </w:r>
      <w:r>
        <w:t xml:space="preserve"> well </w:t>
      </w:r>
      <w:r w:rsidR="00B56765">
        <w:rPr>
          <w:spacing w:val="-1"/>
        </w:rPr>
        <w:t xml:space="preserve">as </w:t>
      </w:r>
      <w:r>
        <w:t>in the</w:t>
      </w:r>
      <w:r>
        <w:rPr>
          <w:spacing w:val="-1"/>
        </w:rPr>
        <w:t xml:space="preserve"> </w:t>
      </w:r>
      <w:r w:rsidRPr="00324E68">
        <w:rPr>
          <w:iCs/>
          <w:spacing w:val="-1"/>
          <w:u w:val="single"/>
        </w:rPr>
        <w:t>Federal</w:t>
      </w:r>
      <w:r w:rsidRPr="00324E68">
        <w:rPr>
          <w:iCs/>
          <w:u w:val="single"/>
        </w:rPr>
        <w:t xml:space="preserve"> </w:t>
      </w:r>
      <w:r w:rsidRPr="00324E68">
        <w:rPr>
          <w:iCs/>
          <w:spacing w:val="-1"/>
          <w:u w:val="single"/>
        </w:rPr>
        <w:t>Register</w:t>
      </w:r>
      <w:r>
        <w:rPr>
          <w:spacing w:val="-1"/>
        </w:rPr>
        <w:t xml:space="preserve"> </w:t>
      </w:r>
      <w:r>
        <w:t>notice</w:t>
      </w:r>
      <w:r>
        <w:rPr>
          <w:spacing w:val="-1"/>
        </w:rPr>
        <w:t xml:space="preserve"> </w:t>
      </w:r>
      <w:r>
        <w:t>of</w:t>
      </w:r>
      <w:r>
        <w:rPr>
          <w:spacing w:val="-1"/>
        </w:rPr>
        <w:t xml:space="preserve"> </w:t>
      </w:r>
      <w:r>
        <w:t>the</w:t>
      </w:r>
      <w:r>
        <w:rPr>
          <w:spacing w:val="-1"/>
        </w:rPr>
        <w:t xml:space="preserve"> </w:t>
      </w:r>
      <w:r>
        <w:t>submission.</w:t>
      </w:r>
      <w:r w:rsidR="005E307A">
        <w:t xml:space="preserve">  </w:t>
      </w:r>
    </w:p>
    <w:p w:rsidR="00695089" w:rsidRPr="00E44F63" w:rsidP="00F439A8" w14:paraId="6465C090"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720" w:hanging="720"/>
      </w:pPr>
    </w:p>
    <w:p w:rsidR="00F13304" w:rsidRPr="001E564B" w:rsidP="00F13304" w14:paraId="74485668" w14:textId="77777777">
      <w:pPr>
        <w:rPr>
          <w:b/>
        </w:rPr>
      </w:pPr>
      <w:r>
        <w:rPr>
          <w:b/>
        </w:rPr>
        <w:t>18.</w:t>
      </w:r>
      <w:r>
        <w:rPr>
          <w:b/>
        </w:rPr>
        <w:tab/>
      </w:r>
      <w:r w:rsidRPr="00E44F63">
        <w:rPr>
          <w:b/>
        </w:rPr>
        <w:t xml:space="preserve">Exceptions to </w:t>
      </w:r>
      <w:r>
        <w:rPr>
          <w:b/>
        </w:rPr>
        <w:t xml:space="preserve">the </w:t>
      </w:r>
      <w:r w:rsidRPr="00E44F63">
        <w:rPr>
          <w:b/>
        </w:rPr>
        <w:t>Certification for Pap</w:t>
      </w:r>
      <w:r>
        <w:rPr>
          <w:b/>
        </w:rPr>
        <w:t>erwork Reduction Act Submission.</w:t>
      </w:r>
    </w:p>
    <w:p w:rsidR="00F13304" w:rsidP="00F439A8" w14:paraId="3556C3AB" w14:textId="540DE35E">
      <w:pPr>
        <w:tabs>
          <w:tab w:val="left" w:pos="-720"/>
          <w:tab w:val="left" w:pos="286"/>
          <w:tab w:val="left" w:pos="403"/>
          <w:tab w:val="left" w:pos="720"/>
        </w:tabs>
        <w:suppressAutoHyphens/>
        <w:ind w:left="720" w:hanging="720"/>
      </w:pPr>
    </w:p>
    <w:p w:rsidR="00695089" w:rsidP="00385B53" w14:paraId="24B833CF" w14:textId="74F562F5">
      <w:pPr>
        <w:suppressAutoHyphens/>
        <w:ind w:left="720" w:hanging="720"/>
      </w:pPr>
      <w:r>
        <w:tab/>
      </w:r>
      <w:r w:rsidR="0030648D">
        <w:t>This collection complies with the requirements in 5 CFR 1320.9</w:t>
      </w:r>
      <w:r w:rsidR="000645BC">
        <w:t>.</w:t>
      </w:r>
    </w:p>
    <w:p w:rsidR="00F13304" w:rsidP="00E05CA4" w14:paraId="7E7E64A5" w14:textId="03701C4E">
      <w:pPr>
        <w:suppressAutoHyphens/>
      </w:pPr>
    </w:p>
    <w:p w:rsidR="00F13304" w:rsidP="00385B53" w14:paraId="7EFA925B" w14:textId="77777777">
      <w:pPr>
        <w:suppressAutoHyphens/>
        <w:ind w:left="720" w:hanging="720"/>
      </w:pPr>
    </w:p>
    <w:p w:rsidR="00695089" w:rsidP="00385B53" w14:paraId="5B9BE819" w14:textId="1B04001E">
      <w:pPr>
        <w:pStyle w:val="ListParagraph"/>
        <w:numPr>
          <w:ilvl w:val="0"/>
          <w:numId w:val="1"/>
        </w:numPr>
        <w:tabs>
          <w:tab w:val="left" w:pos="720"/>
        </w:tabs>
        <w:suppressAutoHyphens/>
        <w:ind w:left="720" w:hanging="720"/>
      </w:pPr>
      <w:r w:rsidRPr="005630C5">
        <w:rPr>
          <w:b/>
          <w:caps/>
        </w:rPr>
        <w:t>Collections of Information Employing Statistical Methods</w:t>
      </w:r>
    </w:p>
    <w:p w:rsidR="00695089" w:rsidP="00F439A8" w14:paraId="0723EC2A" w14:textId="77777777">
      <w:pPr>
        <w:pStyle w:val="ListParagraph"/>
        <w:tabs>
          <w:tab w:val="left" w:pos="-720"/>
          <w:tab w:val="left" w:pos="286"/>
          <w:tab w:val="left" w:pos="403"/>
          <w:tab w:val="left" w:pos="720"/>
        </w:tabs>
        <w:suppressAutoHyphens/>
        <w:ind w:hanging="720"/>
      </w:pPr>
    </w:p>
    <w:p w:rsidR="00695089" w:rsidRPr="00695089" w:rsidP="003D5845" w14:paraId="0827BC03" w14:textId="69DC3C88">
      <w:pPr>
        <w:pStyle w:val="ListParagraph"/>
        <w:suppressAutoHyphens/>
      </w:pPr>
      <w:r>
        <w:t>This collection does not involve statistical methods.</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4708712"/>
      <w:docPartObj>
        <w:docPartGallery w:val="Page Numbers (Bottom of Page)"/>
        <w:docPartUnique/>
      </w:docPartObj>
    </w:sdtPr>
    <w:sdtEndPr>
      <w:rPr>
        <w:noProof/>
      </w:rPr>
    </w:sdtEndPr>
    <w:sdtContent>
      <w:p w:rsidR="00F439A8" w:rsidP="00F439A8" w14:paraId="14767875" w14:textId="54719B16">
        <w:pPr>
          <w:pStyle w:val="Footer"/>
          <w:tabs>
            <w:tab w:val="left" w:pos="0"/>
            <w:tab w:val="clear" w:pos="8640"/>
            <w:tab w:val="right" w:pos="9360"/>
          </w:tabs>
        </w:pPr>
        <w:r w:rsidRPr="00F439A8">
          <w:rPr>
            <w:i/>
          </w:rPr>
          <w:t xml:space="preserve">OMB No. 3133-0166, </w:t>
        </w:r>
        <w:r w:rsidR="00FE4B50">
          <w:rPr>
            <w:i/>
          </w:rPr>
          <w:t xml:space="preserve">August </w:t>
        </w:r>
        <w:r w:rsidR="00A9746F">
          <w:rPr>
            <w:i/>
          </w:rPr>
          <w:t>202</w:t>
        </w:r>
        <w:r w:rsidR="00FE4B50">
          <w:rPr>
            <w:i/>
          </w:rPr>
          <w:t>3</w:t>
        </w:r>
        <w:r w:rsidRPr="00F439A8">
          <w:rPr>
            <w:i/>
          </w:rPr>
          <w:tab/>
        </w:r>
        <w:r>
          <w:tab/>
        </w:r>
        <w:r w:rsidRPr="00F439A8">
          <w:rPr>
            <w:rFonts w:ascii="Times New Roman" w:hAnsi="Times New Roman"/>
            <w:sz w:val="24"/>
            <w:szCs w:val="24"/>
          </w:rPr>
          <w:fldChar w:fldCharType="begin"/>
        </w:r>
        <w:r w:rsidRPr="00F439A8">
          <w:rPr>
            <w:rFonts w:ascii="Times New Roman" w:hAnsi="Times New Roman"/>
            <w:sz w:val="24"/>
            <w:szCs w:val="24"/>
          </w:rPr>
          <w:instrText xml:space="preserve"> PAGE   \* MERGEFORMAT </w:instrText>
        </w:r>
        <w:r w:rsidRPr="00F439A8">
          <w:rPr>
            <w:rFonts w:ascii="Times New Roman" w:hAnsi="Times New Roman"/>
            <w:sz w:val="24"/>
            <w:szCs w:val="24"/>
          </w:rPr>
          <w:fldChar w:fldCharType="separate"/>
        </w:r>
        <w:r w:rsidR="008043AC">
          <w:rPr>
            <w:rFonts w:ascii="Times New Roman" w:hAnsi="Times New Roman"/>
            <w:noProof/>
            <w:sz w:val="24"/>
            <w:szCs w:val="24"/>
          </w:rPr>
          <w:t>5</w:t>
        </w:r>
        <w:r w:rsidRPr="00F439A8">
          <w:rPr>
            <w:rFonts w:ascii="Times New Roman" w:hAnsi="Times New Roman"/>
            <w:noProof/>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11527"/>
    <w:multiLevelType w:val="hybridMultilevel"/>
    <w:tmpl w:val="7E7849E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9E69F6"/>
    <w:multiLevelType w:val="hybridMultilevel"/>
    <w:tmpl w:val="873A5A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6AB75F3"/>
    <w:multiLevelType w:val="hybridMultilevel"/>
    <w:tmpl w:val="55DC3DD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9B92AFE"/>
    <w:multiLevelType w:val="hybridMultilevel"/>
    <w:tmpl w:val="1B0279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3D52DE"/>
    <w:multiLevelType w:val="hybridMultilevel"/>
    <w:tmpl w:val="96BC259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FAE3492"/>
    <w:multiLevelType w:val="hybridMultilevel"/>
    <w:tmpl w:val="FD74123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01A60BF"/>
    <w:multiLevelType w:val="hybridMultilevel"/>
    <w:tmpl w:val="EA381B4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AE15E2"/>
    <w:multiLevelType w:val="hybridMultilevel"/>
    <w:tmpl w:val="D5B4E95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DE1357"/>
    <w:multiLevelType w:val="hybridMultilevel"/>
    <w:tmpl w:val="237476C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96F6D3A"/>
    <w:multiLevelType w:val="hybridMultilevel"/>
    <w:tmpl w:val="10306E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CFF284A"/>
    <w:multiLevelType w:val="hybridMultilevel"/>
    <w:tmpl w:val="B2DC10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42641B"/>
    <w:multiLevelType w:val="hybridMultilevel"/>
    <w:tmpl w:val="EA381B4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F574C1"/>
    <w:multiLevelType w:val="hybridMultilevel"/>
    <w:tmpl w:val="C01C6D8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22EB452E"/>
    <w:multiLevelType w:val="hybridMultilevel"/>
    <w:tmpl w:val="8E3E7B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3885036"/>
    <w:multiLevelType w:val="hybridMultilevel"/>
    <w:tmpl w:val="8D98697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B543D2"/>
    <w:multiLevelType w:val="hybridMultilevel"/>
    <w:tmpl w:val="38C2DF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E1E6503"/>
    <w:multiLevelType w:val="hybridMultilevel"/>
    <w:tmpl w:val="8D98697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CE3065"/>
    <w:multiLevelType w:val="hybridMultilevel"/>
    <w:tmpl w:val="ACAE301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7BB4DB7"/>
    <w:multiLevelType w:val="hybridMultilevel"/>
    <w:tmpl w:val="59BAD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7F2E9BF0"/>
    <w:lvl w:ilvl="0">
      <w:start w:val="1"/>
      <w:numFmt w:val="upperLetter"/>
      <w:lvlText w:val="%1."/>
      <w:lvlJc w:val="left"/>
      <w:pPr>
        <w:ind w:left="360" w:hanging="360"/>
      </w:pPr>
      <w:rPr>
        <w:rFonts w:hint="default"/>
        <w:b/>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B7F06A1"/>
    <w:multiLevelType w:val="hybridMultilevel"/>
    <w:tmpl w:val="0F7C671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FC6EC4"/>
    <w:multiLevelType w:val="hybridMultilevel"/>
    <w:tmpl w:val="3F540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27A5E"/>
    <w:multiLevelType w:val="hybridMultilevel"/>
    <w:tmpl w:val="86E8DCB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43838AD"/>
    <w:multiLevelType w:val="hybridMultilevel"/>
    <w:tmpl w:val="D5B4E95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134338"/>
    <w:multiLevelType w:val="hybridMultilevel"/>
    <w:tmpl w:val="F76C75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DEE435A"/>
    <w:multiLevelType w:val="hybridMultilevel"/>
    <w:tmpl w:val="5FD49D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B126DC8"/>
    <w:multiLevelType w:val="hybridMultilevel"/>
    <w:tmpl w:val="9F3673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D412705"/>
    <w:multiLevelType w:val="hybrid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FB42CDA"/>
    <w:multiLevelType w:val="hybridMultilevel"/>
    <w:tmpl w:val="D7C2A8E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761A2550"/>
    <w:multiLevelType w:val="hybridMultilevel"/>
    <w:tmpl w:val="85D26D9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6F6281"/>
    <w:multiLevelType w:val="hybridMultilevel"/>
    <w:tmpl w:val="5F02378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78F68FF"/>
    <w:multiLevelType w:val="hybridMultilevel"/>
    <w:tmpl w:val="BDC47F6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F7B6E6A"/>
    <w:multiLevelType w:val="hybridMultilevel"/>
    <w:tmpl w:val="5FD49D0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9905530">
    <w:abstractNumId w:val="19"/>
  </w:num>
  <w:num w:numId="2" w16cid:durableId="102116397">
    <w:abstractNumId w:val="27"/>
  </w:num>
  <w:num w:numId="3" w16cid:durableId="766002650">
    <w:abstractNumId w:val="18"/>
  </w:num>
  <w:num w:numId="4" w16cid:durableId="767700399">
    <w:abstractNumId w:val="21"/>
  </w:num>
  <w:num w:numId="5" w16cid:durableId="1536505546">
    <w:abstractNumId w:val="13"/>
  </w:num>
  <w:num w:numId="6" w16cid:durableId="93404996">
    <w:abstractNumId w:val="10"/>
  </w:num>
  <w:num w:numId="7" w16cid:durableId="277106753">
    <w:abstractNumId w:val="26"/>
  </w:num>
  <w:num w:numId="8" w16cid:durableId="997004800">
    <w:abstractNumId w:val="3"/>
  </w:num>
  <w:num w:numId="9" w16cid:durableId="744228621">
    <w:abstractNumId w:val="1"/>
  </w:num>
  <w:num w:numId="10" w16cid:durableId="1876379776">
    <w:abstractNumId w:val="17"/>
  </w:num>
  <w:num w:numId="11" w16cid:durableId="2024240797">
    <w:abstractNumId w:val="30"/>
  </w:num>
  <w:num w:numId="12" w16cid:durableId="459302439">
    <w:abstractNumId w:val="23"/>
  </w:num>
  <w:num w:numId="13" w16cid:durableId="774440111">
    <w:abstractNumId w:val="25"/>
  </w:num>
  <w:num w:numId="14" w16cid:durableId="1694067210">
    <w:abstractNumId w:val="2"/>
  </w:num>
  <w:num w:numId="15" w16cid:durableId="832111364">
    <w:abstractNumId w:val="8"/>
  </w:num>
  <w:num w:numId="16" w16cid:durableId="427046066">
    <w:abstractNumId w:val="28"/>
  </w:num>
  <w:num w:numId="17" w16cid:durableId="384333463">
    <w:abstractNumId w:val="4"/>
  </w:num>
  <w:num w:numId="18" w16cid:durableId="557714551">
    <w:abstractNumId w:val="32"/>
  </w:num>
  <w:num w:numId="19" w16cid:durableId="222719748">
    <w:abstractNumId w:val="11"/>
  </w:num>
  <w:num w:numId="20" w16cid:durableId="1254126897">
    <w:abstractNumId w:val="7"/>
  </w:num>
  <w:num w:numId="21" w16cid:durableId="1526283271">
    <w:abstractNumId w:val="6"/>
  </w:num>
  <w:num w:numId="22" w16cid:durableId="854491101">
    <w:abstractNumId w:val="0"/>
  </w:num>
  <w:num w:numId="23" w16cid:durableId="1926840533">
    <w:abstractNumId w:val="22"/>
  </w:num>
  <w:num w:numId="24" w16cid:durableId="1351224538">
    <w:abstractNumId w:val="5"/>
  </w:num>
  <w:num w:numId="25" w16cid:durableId="393286251">
    <w:abstractNumId w:val="29"/>
  </w:num>
  <w:num w:numId="26" w16cid:durableId="1269194550">
    <w:abstractNumId w:val="15"/>
  </w:num>
  <w:num w:numId="27" w16cid:durableId="609779703">
    <w:abstractNumId w:val="16"/>
  </w:num>
  <w:num w:numId="28" w16cid:durableId="556938249">
    <w:abstractNumId w:val="24"/>
  </w:num>
  <w:num w:numId="29" w16cid:durableId="381448384">
    <w:abstractNumId w:val="20"/>
  </w:num>
  <w:num w:numId="30" w16cid:durableId="68505201">
    <w:abstractNumId w:val="9"/>
  </w:num>
  <w:num w:numId="31" w16cid:durableId="1110903988">
    <w:abstractNumId w:val="31"/>
  </w:num>
  <w:num w:numId="32" w16cid:durableId="93980919">
    <w:abstractNumId w:val="14"/>
  </w:num>
  <w:num w:numId="33" w16cid:durableId="11582245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89"/>
    <w:rsid w:val="000015F6"/>
    <w:rsid w:val="00003678"/>
    <w:rsid w:val="000132A9"/>
    <w:rsid w:val="000148A3"/>
    <w:rsid w:val="000213EC"/>
    <w:rsid w:val="000228C7"/>
    <w:rsid w:val="000272B5"/>
    <w:rsid w:val="00037081"/>
    <w:rsid w:val="00037E03"/>
    <w:rsid w:val="00040504"/>
    <w:rsid w:val="000450FF"/>
    <w:rsid w:val="00045EBD"/>
    <w:rsid w:val="000509A2"/>
    <w:rsid w:val="00051C1A"/>
    <w:rsid w:val="00054139"/>
    <w:rsid w:val="00054823"/>
    <w:rsid w:val="000553F2"/>
    <w:rsid w:val="000645BC"/>
    <w:rsid w:val="0006564B"/>
    <w:rsid w:val="000657D5"/>
    <w:rsid w:val="00074A90"/>
    <w:rsid w:val="00076E3C"/>
    <w:rsid w:val="00077741"/>
    <w:rsid w:val="0008117B"/>
    <w:rsid w:val="00081E6C"/>
    <w:rsid w:val="0009084D"/>
    <w:rsid w:val="00093ED5"/>
    <w:rsid w:val="000965E3"/>
    <w:rsid w:val="000967CC"/>
    <w:rsid w:val="000B3F4F"/>
    <w:rsid w:val="000B54AE"/>
    <w:rsid w:val="000B587C"/>
    <w:rsid w:val="000B67BC"/>
    <w:rsid w:val="000C166E"/>
    <w:rsid w:val="000C2DBD"/>
    <w:rsid w:val="000C3DD6"/>
    <w:rsid w:val="000C6801"/>
    <w:rsid w:val="000D13FE"/>
    <w:rsid w:val="000D7BFB"/>
    <w:rsid w:val="000E0E68"/>
    <w:rsid w:val="000F2461"/>
    <w:rsid w:val="00101A9C"/>
    <w:rsid w:val="00102E06"/>
    <w:rsid w:val="001048FF"/>
    <w:rsid w:val="001109F2"/>
    <w:rsid w:val="00111BCC"/>
    <w:rsid w:val="0011493E"/>
    <w:rsid w:val="001175C0"/>
    <w:rsid w:val="00130540"/>
    <w:rsid w:val="00137889"/>
    <w:rsid w:val="00144C15"/>
    <w:rsid w:val="001526C5"/>
    <w:rsid w:val="001527D2"/>
    <w:rsid w:val="00157711"/>
    <w:rsid w:val="00164355"/>
    <w:rsid w:val="001772A0"/>
    <w:rsid w:val="001779FC"/>
    <w:rsid w:val="001828EE"/>
    <w:rsid w:val="00187A80"/>
    <w:rsid w:val="00194F93"/>
    <w:rsid w:val="00194FA6"/>
    <w:rsid w:val="00196262"/>
    <w:rsid w:val="00197904"/>
    <w:rsid w:val="001A0233"/>
    <w:rsid w:val="001A068E"/>
    <w:rsid w:val="001A19D9"/>
    <w:rsid w:val="001A200D"/>
    <w:rsid w:val="001B12FF"/>
    <w:rsid w:val="001B56D9"/>
    <w:rsid w:val="001C00F8"/>
    <w:rsid w:val="001C079C"/>
    <w:rsid w:val="001C249E"/>
    <w:rsid w:val="001C5A86"/>
    <w:rsid w:val="001D45E2"/>
    <w:rsid w:val="001D74C2"/>
    <w:rsid w:val="001E0A32"/>
    <w:rsid w:val="001E564B"/>
    <w:rsid w:val="001F2887"/>
    <w:rsid w:val="001F696F"/>
    <w:rsid w:val="001F752B"/>
    <w:rsid w:val="00200D0D"/>
    <w:rsid w:val="002067A4"/>
    <w:rsid w:val="00207344"/>
    <w:rsid w:val="00212DEB"/>
    <w:rsid w:val="00212EB1"/>
    <w:rsid w:val="00215D43"/>
    <w:rsid w:val="00220228"/>
    <w:rsid w:val="0022059F"/>
    <w:rsid w:val="002246C6"/>
    <w:rsid w:val="00225DFD"/>
    <w:rsid w:val="00227CC0"/>
    <w:rsid w:val="00231801"/>
    <w:rsid w:val="002322E8"/>
    <w:rsid w:val="00233288"/>
    <w:rsid w:val="0023714F"/>
    <w:rsid w:val="00246A4D"/>
    <w:rsid w:val="00253F06"/>
    <w:rsid w:val="00256694"/>
    <w:rsid w:val="00267A95"/>
    <w:rsid w:val="00272779"/>
    <w:rsid w:val="00273D35"/>
    <w:rsid w:val="00276F86"/>
    <w:rsid w:val="002770BF"/>
    <w:rsid w:val="002813C9"/>
    <w:rsid w:val="00281838"/>
    <w:rsid w:val="00284A3E"/>
    <w:rsid w:val="00284E1F"/>
    <w:rsid w:val="002936A9"/>
    <w:rsid w:val="002979A4"/>
    <w:rsid w:val="002A4C6F"/>
    <w:rsid w:val="002B3A9D"/>
    <w:rsid w:val="002C11BA"/>
    <w:rsid w:val="002C2551"/>
    <w:rsid w:val="002C4520"/>
    <w:rsid w:val="002C7531"/>
    <w:rsid w:val="002D27D5"/>
    <w:rsid w:val="002D30EA"/>
    <w:rsid w:val="002D4D15"/>
    <w:rsid w:val="002D60C7"/>
    <w:rsid w:val="002E0B17"/>
    <w:rsid w:val="002E5B53"/>
    <w:rsid w:val="002F122D"/>
    <w:rsid w:val="002F133B"/>
    <w:rsid w:val="002F2339"/>
    <w:rsid w:val="002F38D9"/>
    <w:rsid w:val="002F47BE"/>
    <w:rsid w:val="00302330"/>
    <w:rsid w:val="003029AB"/>
    <w:rsid w:val="00303B7E"/>
    <w:rsid w:val="0030648D"/>
    <w:rsid w:val="003121C3"/>
    <w:rsid w:val="00312C02"/>
    <w:rsid w:val="003162B6"/>
    <w:rsid w:val="00321BE8"/>
    <w:rsid w:val="0032394E"/>
    <w:rsid w:val="00324E68"/>
    <w:rsid w:val="00330068"/>
    <w:rsid w:val="003360B6"/>
    <w:rsid w:val="003379AF"/>
    <w:rsid w:val="0034430F"/>
    <w:rsid w:val="0034544B"/>
    <w:rsid w:val="00346415"/>
    <w:rsid w:val="00347DD8"/>
    <w:rsid w:val="00347F3F"/>
    <w:rsid w:val="00350400"/>
    <w:rsid w:val="00351229"/>
    <w:rsid w:val="00356176"/>
    <w:rsid w:val="0036430F"/>
    <w:rsid w:val="003644CC"/>
    <w:rsid w:val="00372A54"/>
    <w:rsid w:val="003845F9"/>
    <w:rsid w:val="00385B53"/>
    <w:rsid w:val="003875E9"/>
    <w:rsid w:val="003A186B"/>
    <w:rsid w:val="003A5C10"/>
    <w:rsid w:val="003C2C72"/>
    <w:rsid w:val="003C4B20"/>
    <w:rsid w:val="003D3E50"/>
    <w:rsid w:val="003D416A"/>
    <w:rsid w:val="003D43E6"/>
    <w:rsid w:val="003D4E6E"/>
    <w:rsid w:val="003D5845"/>
    <w:rsid w:val="003D6B17"/>
    <w:rsid w:val="003E401F"/>
    <w:rsid w:val="003E5752"/>
    <w:rsid w:val="003F12EA"/>
    <w:rsid w:val="003F26F4"/>
    <w:rsid w:val="003F4C86"/>
    <w:rsid w:val="003F5B6D"/>
    <w:rsid w:val="004031E0"/>
    <w:rsid w:val="00404C64"/>
    <w:rsid w:val="00405988"/>
    <w:rsid w:val="00406FB6"/>
    <w:rsid w:val="00407CF4"/>
    <w:rsid w:val="00422510"/>
    <w:rsid w:val="004245A1"/>
    <w:rsid w:val="004251DF"/>
    <w:rsid w:val="00427063"/>
    <w:rsid w:val="00427612"/>
    <w:rsid w:val="00427F5E"/>
    <w:rsid w:val="00431481"/>
    <w:rsid w:val="00434492"/>
    <w:rsid w:val="00445027"/>
    <w:rsid w:val="00462562"/>
    <w:rsid w:val="00463760"/>
    <w:rsid w:val="00463E31"/>
    <w:rsid w:val="00465646"/>
    <w:rsid w:val="00481AA0"/>
    <w:rsid w:val="00483BA6"/>
    <w:rsid w:val="0049068F"/>
    <w:rsid w:val="00493C56"/>
    <w:rsid w:val="004A2991"/>
    <w:rsid w:val="004A4CA9"/>
    <w:rsid w:val="004A5C81"/>
    <w:rsid w:val="004B2EFC"/>
    <w:rsid w:val="004B5888"/>
    <w:rsid w:val="004C05C3"/>
    <w:rsid w:val="004C4279"/>
    <w:rsid w:val="004C5D1D"/>
    <w:rsid w:val="004D73D2"/>
    <w:rsid w:val="004D7947"/>
    <w:rsid w:val="004E26DC"/>
    <w:rsid w:val="004E3818"/>
    <w:rsid w:val="004E7488"/>
    <w:rsid w:val="004F1BC5"/>
    <w:rsid w:val="004F5349"/>
    <w:rsid w:val="004F5A4B"/>
    <w:rsid w:val="00500C60"/>
    <w:rsid w:val="0052194A"/>
    <w:rsid w:val="005231BF"/>
    <w:rsid w:val="00525E4E"/>
    <w:rsid w:val="00533F70"/>
    <w:rsid w:val="00547F46"/>
    <w:rsid w:val="00551A3D"/>
    <w:rsid w:val="00553099"/>
    <w:rsid w:val="005569E8"/>
    <w:rsid w:val="00556EDA"/>
    <w:rsid w:val="005630C5"/>
    <w:rsid w:val="00573171"/>
    <w:rsid w:val="00575F95"/>
    <w:rsid w:val="005817D1"/>
    <w:rsid w:val="005837FC"/>
    <w:rsid w:val="005854F1"/>
    <w:rsid w:val="005862A7"/>
    <w:rsid w:val="00591258"/>
    <w:rsid w:val="00595215"/>
    <w:rsid w:val="005A12A2"/>
    <w:rsid w:val="005A2F6A"/>
    <w:rsid w:val="005A33FE"/>
    <w:rsid w:val="005A4E26"/>
    <w:rsid w:val="005A653A"/>
    <w:rsid w:val="005A7BCE"/>
    <w:rsid w:val="005C4CDD"/>
    <w:rsid w:val="005D1C4D"/>
    <w:rsid w:val="005D2819"/>
    <w:rsid w:val="005D3062"/>
    <w:rsid w:val="005E06EA"/>
    <w:rsid w:val="005E307A"/>
    <w:rsid w:val="005F382B"/>
    <w:rsid w:val="00600C78"/>
    <w:rsid w:val="00602830"/>
    <w:rsid w:val="00605346"/>
    <w:rsid w:val="00613512"/>
    <w:rsid w:val="00620658"/>
    <w:rsid w:val="00623A55"/>
    <w:rsid w:val="00623F04"/>
    <w:rsid w:val="00625090"/>
    <w:rsid w:val="00625C7F"/>
    <w:rsid w:val="00631257"/>
    <w:rsid w:val="00631B26"/>
    <w:rsid w:val="00635D8D"/>
    <w:rsid w:val="00636DC0"/>
    <w:rsid w:val="00636E25"/>
    <w:rsid w:val="0064141B"/>
    <w:rsid w:val="006452F5"/>
    <w:rsid w:val="006475AD"/>
    <w:rsid w:val="006522D8"/>
    <w:rsid w:val="00660550"/>
    <w:rsid w:val="00666EB1"/>
    <w:rsid w:val="00675DAB"/>
    <w:rsid w:val="006765F2"/>
    <w:rsid w:val="00676A11"/>
    <w:rsid w:val="0067793C"/>
    <w:rsid w:val="00677E86"/>
    <w:rsid w:val="006850FE"/>
    <w:rsid w:val="00685212"/>
    <w:rsid w:val="00691409"/>
    <w:rsid w:val="006925EE"/>
    <w:rsid w:val="006934CF"/>
    <w:rsid w:val="00695089"/>
    <w:rsid w:val="006A4509"/>
    <w:rsid w:val="006A5A2C"/>
    <w:rsid w:val="006B061A"/>
    <w:rsid w:val="006B425E"/>
    <w:rsid w:val="006B5733"/>
    <w:rsid w:val="006C72D5"/>
    <w:rsid w:val="006C7916"/>
    <w:rsid w:val="006C7B86"/>
    <w:rsid w:val="006D6B9C"/>
    <w:rsid w:val="006E3931"/>
    <w:rsid w:val="006F040B"/>
    <w:rsid w:val="006F22E1"/>
    <w:rsid w:val="006F6CB4"/>
    <w:rsid w:val="00712AB0"/>
    <w:rsid w:val="00713D96"/>
    <w:rsid w:val="00726646"/>
    <w:rsid w:val="007274EB"/>
    <w:rsid w:val="007277F0"/>
    <w:rsid w:val="007412BD"/>
    <w:rsid w:val="0074213A"/>
    <w:rsid w:val="007466F4"/>
    <w:rsid w:val="007467B2"/>
    <w:rsid w:val="007477F0"/>
    <w:rsid w:val="00754B83"/>
    <w:rsid w:val="00754FC2"/>
    <w:rsid w:val="0075725B"/>
    <w:rsid w:val="00762C27"/>
    <w:rsid w:val="00771150"/>
    <w:rsid w:val="00780B74"/>
    <w:rsid w:val="0078268B"/>
    <w:rsid w:val="0078376C"/>
    <w:rsid w:val="00786861"/>
    <w:rsid w:val="00790CA4"/>
    <w:rsid w:val="007A3238"/>
    <w:rsid w:val="007B0B33"/>
    <w:rsid w:val="007B4690"/>
    <w:rsid w:val="007C184B"/>
    <w:rsid w:val="007C2E4D"/>
    <w:rsid w:val="007C4C5D"/>
    <w:rsid w:val="007C53A7"/>
    <w:rsid w:val="007C56D6"/>
    <w:rsid w:val="007C5D06"/>
    <w:rsid w:val="007D20CC"/>
    <w:rsid w:val="007D34CA"/>
    <w:rsid w:val="007D3C35"/>
    <w:rsid w:val="007D7A7C"/>
    <w:rsid w:val="007E0655"/>
    <w:rsid w:val="007F1812"/>
    <w:rsid w:val="007F338E"/>
    <w:rsid w:val="007F6045"/>
    <w:rsid w:val="00801727"/>
    <w:rsid w:val="00802120"/>
    <w:rsid w:val="008043AC"/>
    <w:rsid w:val="00806A9A"/>
    <w:rsid w:val="00812E2E"/>
    <w:rsid w:val="0081541A"/>
    <w:rsid w:val="00817F0A"/>
    <w:rsid w:val="0082132E"/>
    <w:rsid w:val="008350CF"/>
    <w:rsid w:val="0084424D"/>
    <w:rsid w:val="0085495C"/>
    <w:rsid w:val="00856907"/>
    <w:rsid w:val="008625CF"/>
    <w:rsid w:val="00865DE6"/>
    <w:rsid w:val="008665B1"/>
    <w:rsid w:val="00871214"/>
    <w:rsid w:val="00874E31"/>
    <w:rsid w:val="0088091D"/>
    <w:rsid w:val="00887224"/>
    <w:rsid w:val="008875DF"/>
    <w:rsid w:val="0089668F"/>
    <w:rsid w:val="008A4E35"/>
    <w:rsid w:val="008A7C35"/>
    <w:rsid w:val="008B2718"/>
    <w:rsid w:val="008C2AE9"/>
    <w:rsid w:val="008D5796"/>
    <w:rsid w:val="008E681E"/>
    <w:rsid w:val="008E728B"/>
    <w:rsid w:val="008F2F95"/>
    <w:rsid w:val="008F389F"/>
    <w:rsid w:val="008F5295"/>
    <w:rsid w:val="008F54E1"/>
    <w:rsid w:val="008F7CAC"/>
    <w:rsid w:val="0090053E"/>
    <w:rsid w:val="009124A4"/>
    <w:rsid w:val="00912F54"/>
    <w:rsid w:val="00914F01"/>
    <w:rsid w:val="0091523B"/>
    <w:rsid w:val="0091754D"/>
    <w:rsid w:val="00923289"/>
    <w:rsid w:val="009371DF"/>
    <w:rsid w:val="00940D10"/>
    <w:rsid w:val="0094523A"/>
    <w:rsid w:val="0094642E"/>
    <w:rsid w:val="00946F1E"/>
    <w:rsid w:val="009527C8"/>
    <w:rsid w:val="0095509B"/>
    <w:rsid w:val="00960694"/>
    <w:rsid w:val="0096241E"/>
    <w:rsid w:val="00967BE5"/>
    <w:rsid w:val="009706F8"/>
    <w:rsid w:val="00975F22"/>
    <w:rsid w:val="00976480"/>
    <w:rsid w:val="0097763F"/>
    <w:rsid w:val="0098494A"/>
    <w:rsid w:val="00987171"/>
    <w:rsid w:val="00991D3D"/>
    <w:rsid w:val="009971A1"/>
    <w:rsid w:val="00997B87"/>
    <w:rsid w:val="009A1AF1"/>
    <w:rsid w:val="009A2F0A"/>
    <w:rsid w:val="009B3831"/>
    <w:rsid w:val="009B4018"/>
    <w:rsid w:val="009C14BB"/>
    <w:rsid w:val="009C2752"/>
    <w:rsid w:val="009C7817"/>
    <w:rsid w:val="009D34BE"/>
    <w:rsid w:val="009D490D"/>
    <w:rsid w:val="009D4F85"/>
    <w:rsid w:val="009D75D0"/>
    <w:rsid w:val="009E2224"/>
    <w:rsid w:val="009E33FA"/>
    <w:rsid w:val="009E3FCE"/>
    <w:rsid w:val="009E5CC6"/>
    <w:rsid w:val="009E7F02"/>
    <w:rsid w:val="009F04A8"/>
    <w:rsid w:val="009F0525"/>
    <w:rsid w:val="009F3ECC"/>
    <w:rsid w:val="009F5CB7"/>
    <w:rsid w:val="009F5E89"/>
    <w:rsid w:val="00A0087A"/>
    <w:rsid w:val="00A01310"/>
    <w:rsid w:val="00A03C8D"/>
    <w:rsid w:val="00A06BBF"/>
    <w:rsid w:val="00A1687B"/>
    <w:rsid w:val="00A24993"/>
    <w:rsid w:val="00A251A2"/>
    <w:rsid w:val="00A26C5A"/>
    <w:rsid w:val="00A40D29"/>
    <w:rsid w:val="00A410D4"/>
    <w:rsid w:val="00A47676"/>
    <w:rsid w:val="00A54554"/>
    <w:rsid w:val="00A54C3D"/>
    <w:rsid w:val="00A64778"/>
    <w:rsid w:val="00A712B0"/>
    <w:rsid w:val="00A778B9"/>
    <w:rsid w:val="00A80EAB"/>
    <w:rsid w:val="00A82546"/>
    <w:rsid w:val="00A866B7"/>
    <w:rsid w:val="00A92E1D"/>
    <w:rsid w:val="00A9422B"/>
    <w:rsid w:val="00A95EC0"/>
    <w:rsid w:val="00A9746F"/>
    <w:rsid w:val="00AA13E0"/>
    <w:rsid w:val="00AA13E8"/>
    <w:rsid w:val="00AA14EA"/>
    <w:rsid w:val="00AA51DA"/>
    <w:rsid w:val="00AB7684"/>
    <w:rsid w:val="00AC58FD"/>
    <w:rsid w:val="00AC68D5"/>
    <w:rsid w:val="00AD0CEE"/>
    <w:rsid w:val="00AD5813"/>
    <w:rsid w:val="00AE1F5D"/>
    <w:rsid w:val="00AE2753"/>
    <w:rsid w:val="00AE3772"/>
    <w:rsid w:val="00AF2A83"/>
    <w:rsid w:val="00B027EF"/>
    <w:rsid w:val="00B02C23"/>
    <w:rsid w:val="00B042FA"/>
    <w:rsid w:val="00B0782A"/>
    <w:rsid w:val="00B1063F"/>
    <w:rsid w:val="00B1451A"/>
    <w:rsid w:val="00B14F7F"/>
    <w:rsid w:val="00B17A69"/>
    <w:rsid w:val="00B235E7"/>
    <w:rsid w:val="00B24AA4"/>
    <w:rsid w:val="00B31252"/>
    <w:rsid w:val="00B31D49"/>
    <w:rsid w:val="00B32464"/>
    <w:rsid w:val="00B330B2"/>
    <w:rsid w:val="00B334FF"/>
    <w:rsid w:val="00B3748E"/>
    <w:rsid w:val="00B37582"/>
    <w:rsid w:val="00B40591"/>
    <w:rsid w:val="00B424B2"/>
    <w:rsid w:val="00B47C3E"/>
    <w:rsid w:val="00B56765"/>
    <w:rsid w:val="00B57B4B"/>
    <w:rsid w:val="00B61158"/>
    <w:rsid w:val="00B61864"/>
    <w:rsid w:val="00B61EA5"/>
    <w:rsid w:val="00B65E00"/>
    <w:rsid w:val="00B67D7B"/>
    <w:rsid w:val="00B70914"/>
    <w:rsid w:val="00B7109C"/>
    <w:rsid w:val="00B775CB"/>
    <w:rsid w:val="00B80DEA"/>
    <w:rsid w:val="00B82079"/>
    <w:rsid w:val="00B967E9"/>
    <w:rsid w:val="00BA16A2"/>
    <w:rsid w:val="00BA5BDD"/>
    <w:rsid w:val="00BB0519"/>
    <w:rsid w:val="00BB0CA0"/>
    <w:rsid w:val="00BB20AE"/>
    <w:rsid w:val="00BB31D9"/>
    <w:rsid w:val="00BB4A49"/>
    <w:rsid w:val="00BB4B81"/>
    <w:rsid w:val="00BC182D"/>
    <w:rsid w:val="00BC6E90"/>
    <w:rsid w:val="00BD4560"/>
    <w:rsid w:val="00BD503A"/>
    <w:rsid w:val="00BE33A3"/>
    <w:rsid w:val="00BF0B7D"/>
    <w:rsid w:val="00BF205D"/>
    <w:rsid w:val="00BF221F"/>
    <w:rsid w:val="00C02CA9"/>
    <w:rsid w:val="00C10228"/>
    <w:rsid w:val="00C1604D"/>
    <w:rsid w:val="00C171E2"/>
    <w:rsid w:val="00C22228"/>
    <w:rsid w:val="00C27722"/>
    <w:rsid w:val="00C30228"/>
    <w:rsid w:val="00C428F9"/>
    <w:rsid w:val="00C436E7"/>
    <w:rsid w:val="00C45EC4"/>
    <w:rsid w:val="00C53097"/>
    <w:rsid w:val="00C53DC5"/>
    <w:rsid w:val="00C56CB4"/>
    <w:rsid w:val="00C639FD"/>
    <w:rsid w:val="00C64D80"/>
    <w:rsid w:val="00C74C08"/>
    <w:rsid w:val="00C82A2A"/>
    <w:rsid w:val="00C85D25"/>
    <w:rsid w:val="00C92AF6"/>
    <w:rsid w:val="00C96CC2"/>
    <w:rsid w:val="00CA7B64"/>
    <w:rsid w:val="00CB1974"/>
    <w:rsid w:val="00CB2F3C"/>
    <w:rsid w:val="00CB5D19"/>
    <w:rsid w:val="00CC43E8"/>
    <w:rsid w:val="00CD132C"/>
    <w:rsid w:val="00CD253C"/>
    <w:rsid w:val="00CD272F"/>
    <w:rsid w:val="00CD610D"/>
    <w:rsid w:val="00CD6399"/>
    <w:rsid w:val="00CD7906"/>
    <w:rsid w:val="00CE068A"/>
    <w:rsid w:val="00CE0B2A"/>
    <w:rsid w:val="00CE5D7F"/>
    <w:rsid w:val="00CF4A50"/>
    <w:rsid w:val="00CF6257"/>
    <w:rsid w:val="00D02B81"/>
    <w:rsid w:val="00D102FA"/>
    <w:rsid w:val="00D17D7E"/>
    <w:rsid w:val="00D21799"/>
    <w:rsid w:val="00D332CA"/>
    <w:rsid w:val="00D3542B"/>
    <w:rsid w:val="00D45A3F"/>
    <w:rsid w:val="00D507E3"/>
    <w:rsid w:val="00D51184"/>
    <w:rsid w:val="00D52ADE"/>
    <w:rsid w:val="00D544F5"/>
    <w:rsid w:val="00D55429"/>
    <w:rsid w:val="00D5651D"/>
    <w:rsid w:val="00D5655E"/>
    <w:rsid w:val="00D57644"/>
    <w:rsid w:val="00D64101"/>
    <w:rsid w:val="00D64F35"/>
    <w:rsid w:val="00D745AF"/>
    <w:rsid w:val="00D80350"/>
    <w:rsid w:val="00D830CA"/>
    <w:rsid w:val="00D8687C"/>
    <w:rsid w:val="00D86AB9"/>
    <w:rsid w:val="00D91287"/>
    <w:rsid w:val="00D94483"/>
    <w:rsid w:val="00D95D36"/>
    <w:rsid w:val="00DA0C22"/>
    <w:rsid w:val="00DA3799"/>
    <w:rsid w:val="00DA67A8"/>
    <w:rsid w:val="00DA7AA3"/>
    <w:rsid w:val="00DC5524"/>
    <w:rsid w:val="00DC727A"/>
    <w:rsid w:val="00DD5FA1"/>
    <w:rsid w:val="00DD71F7"/>
    <w:rsid w:val="00DD7B79"/>
    <w:rsid w:val="00DE0875"/>
    <w:rsid w:val="00DE4143"/>
    <w:rsid w:val="00DE435C"/>
    <w:rsid w:val="00DE6C10"/>
    <w:rsid w:val="00DF30DF"/>
    <w:rsid w:val="00DF7AB1"/>
    <w:rsid w:val="00DF7C1D"/>
    <w:rsid w:val="00DF7D73"/>
    <w:rsid w:val="00E05CA4"/>
    <w:rsid w:val="00E14C38"/>
    <w:rsid w:val="00E154C4"/>
    <w:rsid w:val="00E2681C"/>
    <w:rsid w:val="00E3368F"/>
    <w:rsid w:val="00E41A63"/>
    <w:rsid w:val="00E43D7C"/>
    <w:rsid w:val="00E44F63"/>
    <w:rsid w:val="00E54E77"/>
    <w:rsid w:val="00E70F52"/>
    <w:rsid w:val="00E746BC"/>
    <w:rsid w:val="00E75E76"/>
    <w:rsid w:val="00E770A6"/>
    <w:rsid w:val="00E863BC"/>
    <w:rsid w:val="00E90E4E"/>
    <w:rsid w:val="00E9229D"/>
    <w:rsid w:val="00E953F4"/>
    <w:rsid w:val="00EA3D94"/>
    <w:rsid w:val="00EB1CAF"/>
    <w:rsid w:val="00EB504E"/>
    <w:rsid w:val="00EC6E44"/>
    <w:rsid w:val="00ED1BC5"/>
    <w:rsid w:val="00ED26D6"/>
    <w:rsid w:val="00ED6592"/>
    <w:rsid w:val="00ED735B"/>
    <w:rsid w:val="00ED73CF"/>
    <w:rsid w:val="00ED758D"/>
    <w:rsid w:val="00EE0B36"/>
    <w:rsid w:val="00EE2E84"/>
    <w:rsid w:val="00EE5DFD"/>
    <w:rsid w:val="00EE7021"/>
    <w:rsid w:val="00EF6E52"/>
    <w:rsid w:val="00F01212"/>
    <w:rsid w:val="00F0480C"/>
    <w:rsid w:val="00F0591D"/>
    <w:rsid w:val="00F13304"/>
    <w:rsid w:val="00F1579C"/>
    <w:rsid w:val="00F25F8B"/>
    <w:rsid w:val="00F26B28"/>
    <w:rsid w:val="00F30D78"/>
    <w:rsid w:val="00F329E8"/>
    <w:rsid w:val="00F33DF7"/>
    <w:rsid w:val="00F41F29"/>
    <w:rsid w:val="00F426DD"/>
    <w:rsid w:val="00F439A8"/>
    <w:rsid w:val="00F52289"/>
    <w:rsid w:val="00F5450C"/>
    <w:rsid w:val="00F54AC1"/>
    <w:rsid w:val="00F5626F"/>
    <w:rsid w:val="00F611EB"/>
    <w:rsid w:val="00F62853"/>
    <w:rsid w:val="00F73BBC"/>
    <w:rsid w:val="00F77033"/>
    <w:rsid w:val="00F82292"/>
    <w:rsid w:val="00F82705"/>
    <w:rsid w:val="00F85E1E"/>
    <w:rsid w:val="00F94991"/>
    <w:rsid w:val="00F95A54"/>
    <w:rsid w:val="00FA1D17"/>
    <w:rsid w:val="00FA259E"/>
    <w:rsid w:val="00FB36ED"/>
    <w:rsid w:val="00FB4C3B"/>
    <w:rsid w:val="00FB5A90"/>
    <w:rsid w:val="00FC0E21"/>
    <w:rsid w:val="00FC204F"/>
    <w:rsid w:val="00FC33C6"/>
    <w:rsid w:val="00FC3494"/>
    <w:rsid w:val="00FC438A"/>
    <w:rsid w:val="00FD432E"/>
    <w:rsid w:val="00FD6441"/>
    <w:rsid w:val="00FE0AAE"/>
    <w:rsid w:val="00FE197E"/>
    <w:rsid w:val="00FE2D9F"/>
    <w:rsid w:val="00FE4B50"/>
    <w:rsid w:val="00FE78B8"/>
    <w:rsid w:val="00FF07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FDE75F"/>
  <w15:chartTrackingRefBased/>
  <w15:docId w15:val="{B3B3FE50-4553-4F5D-941C-5D994E8E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0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89"/>
    <w:pPr>
      <w:ind w:left="720"/>
      <w:contextualSpacing/>
    </w:pPr>
  </w:style>
  <w:style w:type="paragraph" w:styleId="FootnoteText">
    <w:name w:val="footnote text"/>
    <w:basedOn w:val="Normal"/>
    <w:link w:val="FootnoteTextChar"/>
    <w:uiPriority w:val="99"/>
    <w:semiHidden/>
    <w:unhideWhenUsed/>
    <w:rsid w:val="00695089"/>
    <w:rPr>
      <w:sz w:val="20"/>
      <w:szCs w:val="20"/>
    </w:rPr>
  </w:style>
  <w:style w:type="character" w:customStyle="1" w:styleId="FootnoteTextChar">
    <w:name w:val="Footnote Text Char"/>
    <w:basedOn w:val="DefaultParagraphFont"/>
    <w:link w:val="FootnoteText"/>
    <w:uiPriority w:val="99"/>
    <w:semiHidden/>
    <w:rsid w:val="0069508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089"/>
    <w:rPr>
      <w:vertAlign w:val="superscript"/>
    </w:rPr>
  </w:style>
  <w:style w:type="character" w:styleId="Hyperlink">
    <w:name w:val="Hyperlink"/>
    <w:basedOn w:val="DefaultParagraphFont"/>
    <w:rsid w:val="00695089"/>
    <w:rPr>
      <w:color w:val="0000FF"/>
      <w:u w:val="single"/>
    </w:rPr>
  </w:style>
  <w:style w:type="character" w:styleId="CommentReference">
    <w:name w:val="annotation reference"/>
    <w:basedOn w:val="DefaultParagraphFont"/>
    <w:uiPriority w:val="99"/>
    <w:semiHidden/>
    <w:unhideWhenUsed/>
    <w:rsid w:val="00BD503A"/>
    <w:rPr>
      <w:sz w:val="16"/>
      <w:szCs w:val="16"/>
    </w:rPr>
  </w:style>
  <w:style w:type="paragraph" w:styleId="CommentText">
    <w:name w:val="annotation text"/>
    <w:basedOn w:val="Normal"/>
    <w:link w:val="CommentTextChar"/>
    <w:uiPriority w:val="99"/>
    <w:unhideWhenUsed/>
    <w:rsid w:val="00BD503A"/>
    <w:rPr>
      <w:sz w:val="20"/>
      <w:szCs w:val="20"/>
    </w:rPr>
  </w:style>
  <w:style w:type="character" w:customStyle="1" w:styleId="CommentTextChar">
    <w:name w:val="Comment Text Char"/>
    <w:basedOn w:val="DefaultParagraphFont"/>
    <w:link w:val="CommentText"/>
    <w:uiPriority w:val="99"/>
    <w:rsid w:val="00BD50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503A"/>
    <w:rPr>
      <w:b/>
      <w:bCs/>
    </w:rPr>
  </w:style>
  <w:style w:type="character" w:customStyle="1" w:styleId="CommentSubjectChar">
    <w:name w:val="Comment Subject Char"/>
    <w:basedOn w:val="CommentTextChar"/>
    <w:link w:val="CommentSubject"/>
    <w:uiPriority w:val="99"/>
    <w:semiHidden/>
    <w:rsid w:val="00BD50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5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3A"/>
    <w:rPr>
      <w:rFonts w:ascii="Segoe UI" w:eastAsia="Times New Roman" w:hAnsi="Segoe UI" w:cs="Segoe UI"/>
      <w:sz w:val="18"/>
      <w:szCs w:val="18"/>
    </w:rPr>
  </w:style>
  <w:style w:type="paragraph" w:styleId="Footer">
    <w:name w:val="footer"/>
    <w:basedOn w:val="Normal"/>
    <w:link w:val="FooterChar"/>
    <w:uiPriority w:val="99"/>
    <w:rsid w:val="00465646"/>
    <w:pPr>
      <w:tabs>
        <w:tab w:val="center" w:pos="4320"/>
        <w:tab w:val="right" w:pos="8640"/>
      </w:tabs>
      <w:overflowPunct w:val="0"/>
      <w:autoSpaceDE w:val="0"/>
      <w:autoSpaceDN w:val="0"/>
      <w:adjustRightInd w:val="0"/>
      <w:textAlignment w:val="baseline"/>
    </w:pPr>
    <w:rPr>
      <w:rFonts w:ascii="CG Times" w:hAnsi="CG Times"/>
      <w:sz w:val="20"/>
      <w:szCs w:val="20"/>
    </w:rPr>
  </w:style>
  <w:style w:type="character" w:customStyle="1" w:styleId="FooterChar">
    <w:name w:val="Footer Char"/>
    <w:basedOn w:val="DefaultParagraphFont"/>
    <w:link w:val="Footer"/>
    <w:uiPriority w:val="99"/>
    <w:rsid w:val="00465646"/>
    <w:rPr>
      <w:rFonts w:ascii="CG Times" w:eastAsia="Times New Roman" w:hAnsi="CG Times" w:cs="Times New Roman"/>
      <w:sz w:val="20"/>
      <w:szCs w:val="20"/>
    </w:rPr>
  </w:style>
  <w:style w:type="paragraph" w:styleId="Revision">
    <w:name w:val="Revision"/>
    <w:hidden/>
    <w:uiPriority w:val="99"/>
    <w:semiHidden/>
    <w:rsid w:val="00EF6E5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9A8"/>
    <w:pPr>
      <w:tabs>
        <w:tab w:val="center" w:pos="4680"/>
        <w:tab w:val="right" w:pos="9360"/>
      </w:tabs>
    </w:pPr>
  </w:style>
  <w:style w:type="character" w:customStyle="1" w:styleId="HeaderChar">
    <w:name w:val="Header Char"/>
    <w:basedOn w:val="DefaultParagraphFont"/>
    <w:link w:val="Header"/>
    <w:uiPriority w:val="99"/>
    <w:rsid w:val="00F439A8"/>
    <w:rPr>
      <w:rFonts w:ascii="Times New Roman" w:eastAsia="Times New Roman" w:hAnsi="Times New Roman" w:cs="Times New Roman"/>
      <w:sz w:val="24"/>
      <w:szCs w:val="24"/>
    </w:rPr>
  </w:style>
  <w:style w:type="paragraph" w:customStyle="1" w:styleId="Default">
    <w:name w:val="Default"/>
    <w:rsid w:val="001C00F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F13304"/>
    <w:pPr>
      <w:spacing w:after="120" w:line="480" w:lineRule="auto"/>
      <w:ind w:left="360"/>
    </w:pPr>
  </w:style>
  <w:style w:type="character" w:customStyle="1" w:styleId="BodyTextIndent2Char">
    <w:name w:val="Body Text Indent 2 Char"/>
    <w:basedOn w:val="DefaultParagraphFont"/>
    <w:link w:val="BodyTextIndent2"/>
    <w:uiPriority w:val="99"/>
    <w:rsid w:val="00F13304"/>
    <w:rPr>
      <w:rFonts w:ascii="Times New Roman" w:eastAsia="Times New Roman" w:hAnsi="Times New Roman" w:cs="Times New Roman"/>
      <w:sz w:val="24"/>
      <w:szCs w:val="24"/>
    </w:rPr>
  </w:style>
  <w:style w:type="table" w:styleId="TableGrid">
    <w:name w:val="Table Grid"/>
    <w:basedOn w:val="TableNormal"/>
    <w:uiPriority w:val="39"/>
    <w:rsid w:val="00A0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F3B1-287E-4C90-9239-1D1474C1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Grace H</dc:creator>
  <cp:lastModifiedBy>Vixamar, Mahala</cp:lastModifiedBy>
  <cp:revision>11</cp:revision>
  <cp:lastPrinted>2020-06-08T14:00:00Z</cp:lastPrinted>
  <dcterms:created xsi:type="dcterms:W3CDTF">2023-08-04T02:49:00Z</dcterms:created>
  <dcterms:modified xsi:type="dcterms:W3CDTF">2023-08-11T15:17:00Z</dcterms:modified>
</cp:coreProperties>
</file>