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2F5C" w:rsidRPr="00B004E5" w:rsidP="00F52F5C" w14:paraId="4F3E9A06" w14:textId="7DDD498D">
      <w:pPr>
        <w:widowControl/>
        <w:jc w:val="center"/>
        <w:rPr>
          <w:rFonts w:ascii="Arial" w:hAnsi="Arial" w:cs="Arial"/>
          <w:color w:val="000000" w:themeColor="text1"/>
          <w:sz w:val="22"/>
          <w:szCs w:val="22"/>
        </w:rPr>
      </w:pPr>
      <w:r>
        <w:rPr>
          <w:rFonts w:ascii="Arial" w:hAnsi="Arial" w:cs="Arial"/>
          <w:color w:val="000000" w:themeColor="text1"/>
          <w:sz w:val="22"/>
          <w:szCs w:val="22"/>
        </w:rPr>
        <w:t>FINAL</w:t>
      </w:r>
      <w:r w:rsidRPr="00B004E5" w:rsidR="0024586E">
        <w:rPr>
          <w:rFonts w:ascii="Arial" w:hAnsi="Arial" w:cs="Arial"/>
          <w:color w:val="000000" w:themeColor="text1"/>
          <w:sz w:val="22"/>
          <w:szCs w:val="22"/>
        </w:rPr>
        <w:t xml:space="preserve"> </w:t>
      </w:r>
      <w:r w:rsidRPr="00B004E5">
        <w:rPr>
          <w:rFonts w:ascii="Arial" w:hAnsi="Arial" w:cs="Arial"/>
          <w:color w:val="000000" w:themeColor="text1"/>
          <w:sz w:val="22"/>
          <w:szCs w:val="22"/>
        </w:rPr>
        <w:t>SUPPORTING STATEMENT FOR</w:t>
      </w:r>
    </w:p>
    <w:p w:rsidR="003C4790" w:rsidRPr="00B004E5" w:rsidP="002F41B7" w14:paraId="172C1052" w14:textId="77777777">
      <w:pPr>
        <w:widowControl/>
        <w:jc w:val="center"/>
        <w:rPr>
          <w:rFonts w:ascii="Arial" w:hAnsi="Arial" w:cs="Arial"/>
          <w:color w:val="000000" w:themeColor="text1"/>
          <w:sz w:val="22"/>
          <w:szCs w:val="22"/>
        </w:rPr>
      </w:pPr>
      <w:r w:rsidRPr="00B004E5">
        <w:rPr>
          <w:rFonts w:ascii="Arial" w:hAnsi="Arial" w:cs="Arial"/>
          <w:color w:val="000000" w:themeColor="text1"/>
          <w:sz w:val="22"/>
          <w:szCs w:val="22"/>
        </w:rPr>
        <w:t xml:space="preserve">NRC FORMS 366, 366A, and 366B </w:t>
      </w:r>
    </w:p>
    <w:p w:rsidR="00E05077" w:rsidRPr="00B004E5" w:rsidP="002F41B7" w14:paraId="33B7485C" w14:textId="107ACF71">
      <w:pPr>
        <w:widowControl/>
        <w:jc w:val="center"/>
        <w:rPr>
          <w:rFonts w:ascii="Arial" w:hAnsi="Arial" w:cs="Arial"/>
          <w:color w:val="000000" w:themeColor="text1"/>
          <w:sz w:val="22"/>
          <w:szCs w:val="22"/>
        </w:rPr>
      </w:pPr>
      <w:r w:rsidRPr="00B004E5">
        <w:rPr>
          <w:rFonts w:ascii="Arial" w:hAnsi="Arial" w:cs="Arial"/>
          <w:color w:val="000000" w:themeColor="text1"/>
          <w:sz w:val="22"/>
          <w:szCs w:val="22"/>
        </w:rPr>
        <w:t>"LICENSEE EVENT REPORT"</w:t>
      </w:r>
      <w:r w:rsidRPr="00B004E5">
        <w:rPr>
          <w:color w:val="000000" w:themeColor="text1"/>
          <w:sz w:val="22"/>
          <w:szCs w:val="22"/>
        </w:rPr>
        <w:t xml:space="preserve"> </w:t>
      </w:r>
    </w:p>
    <w:p w:rsidR="003C4790" w:rsidRPr="00B004E5" w:rsidP="002F41B7" w14:paraId="5274D7A0" w14:textId="77777777">
      <w:pPr>
        <w:widowControl/>
        <w:jc w:val="center"/>
        <w:rPr>
          <w:rFonts w:ascii="Arial" w:hAnsi="Arial" w:cs="Arial"/>
          <w:color w:val="000000" w:themeColor="text1"/>
          <w:sz w:val="22"/>
          <w:szCs w:val="22"/>
        </w:rPr>
      </w:pPr>
    </w:p>
    <w:p w:rsidR="00636573" w:rsidRPr="00B004E5" w:rsidP="002F41B7" w14:paraId="4AA5AC9F" w14:textId="2E0E3BF2">
      <w:pPr>
        <w:widowControl/>
        <w:jc w:val="center"/>
        <w:rPr>
          <w:rFonts w:ascii="Arial" w:hAnsi="Arial" w:cs="Arial"/>
          <w:color w:val="000000" w:themeColor="text1"/>
          <w:sz w:val="22"/>
          <w:szCs w:val="22"/>
        </w:rPr>
      </w:pPr>
      <w:r w:rsidRPr="00B004E5">
        <w:rPr>
          <w:rFonts w:ascii="Arial" w:hAnsi="Arial" w:cs="Arial"/>
          <w:color w:val="000000" w:themeColor="text1"/>
          <w:sz w:val="22"/>
          <w:szCs w:val="22"/>
        </w:rPr>
        <w:t>(</w:t>
      </w:r>
      <w:r w:rsidRPr="00B004E5" w:rsidR="00CF6642">
        <w:rPr>
          <w:rFonts w:ascii="Arial" w:hAnsi="Arial" w:cs="Arial"/>
          <w:color w:val="000000" w:themeColor="text1"/>
          <w:sz w:val="22"/>
          <w:szCs w:val="22"/>
        </w:rPr>
        <w:t>3150-0104</w:t>
      </w:r>
      <w:r w:rsidRPr="00B004E5">
        <w:rPr>
          <w:rFonts w:ascii="Arial" w:hAnsi="Arial" w:cs="Arial"/>
          <w:color w:val="000000" w:themeColor="text1"/>
          <w:sz w:val="22"/>
          <w:szCs w:val="22"/>
        </w:rPr>
        <w:t>)</w:t>
      </w:r>
    </w:p>
    <w:p w:rsidR="00636573" w:rsidRPr="00B004E5" w:rsidP="002F41B7" w14:paraId="50DC2B06" w14:textId="0EFF2E21">
      <w:pPr>
        <w:widowControl/>
        <w:jc w:val="center"/>
        <w:rPr>
          <w:rFonts w:ascii="Arial" w:hAnsi="Arial" w:cs="Arial"/>
          <w:color w:val="000000" w:themeColor="text1"/>
          <w:sz w:val="22"/>
          <w:szCs w:val="22"/>
        </w:rPr>
      </w:pPr>
      <w:r w:rsidRPr="00B004E5">
        <w:rPr>
          <w:rFonts w:ascii="Arial" w:hAnsi="Arial" w:cs="Arial"/>
          <w:color w:val="000000" w:themeColor="text1"/>
          <w:sz w:val="22"/>
          <w:szCs w:val="22"/>
        </w:rPr>
        <w:br/>
      </w:r>
      <w:r w:rsidRPr="00B004E5" w:rsidR="00551A9F">
        <w:rPr>
          <w:rFonts w:ascii="Arial" w:hAnsi="Arial" w:cs="Arial"/>
          <w:color w:val="000000" w:themeColor="text1"/>
          <w:sz w:val="22"/>
          <w:szCs w:val="22"/>
        </w:rPr>
        <w:t>EXTENSION</w:t>
      </w:r>
    </w:p>
    <w:p w:rsidR="00F9792B" w:rsidRPr="00B004E5" w:rsidP="002F41B7" w14:paraId="296B6829" w14:textId="77777777">
      <w:pPr>
        <w:widowControl/>
        <w:jc w:val="center"/>
        <w:rPr>
          <w:rFonts w:ascii="Arial" w:hAnsi="Arial" w:cs="Arial"/>
          <w:color w:val="000000" w:themeColor="text1"/>
          <w:sz w:val="22"/>
          <w:szCs w:val="22"/>
        </w:rPr>
      </w:pPr>
    </w:p>
    <w:p w:rsidR="0031522D" w:rsidRPr="00B004E5" w:rsidP="002F41B7" w14:paraId="1887C4B7" w14:textId="77777777">
      <w:pPr>
        <w:widowControl/>
        <w:jc w:val="center"/>
        <w:rPr>
          <w:rFonts w:ascii="Arial" w:hAnsi="Arial" w:cs="Arial"/>
          <w:color w:val="000000" w:themeColor="text1"/>
          <w:sz w:val="22"/>
          <w:szCs w:val="22"/>
        </w:rPr>
      </w:pPr>
    </w:p>
    <w:p w:rsidR="002B1B50" w:rsidRPr="00B004E5" w:rsidP="002F41B7" w14:paraId="2B924F76" w14:textId="77777777">
      <w:pPr>
        <w:widowControl/>
        <w:rPr>
          <w:rFonts w:ascii="Arial" w:hAnsi="Arial" w:cs="Arial"/>
          <w:color w:val="000000" w:themeColor="text1"/>
          <w:sz w:val="22"/>
          <w:szCs w:val="22"/>
          <w:u w:val="single"/>
        </w:rPr>
      </w:pPr>
      <w:r w:rsidRPr="00B004E5">
        <w:rPr>
          <w:rFonts w:ascii="Arial" w:hAnsi="Arial" w:cs="Arial"/>
          <w:color w:val="000000" w:themeColor="text1"/>
          <w:sz w:val="22"/>
          <w:szCs w:val="22"/>
          <w:u w:val="single"/>
        </w:rPr>
        <w:t>Description of the Information Collection</w:t>
      </w:r>
    </w:p>
    <w:p w:rsidR="003A241C" w:rsidRPr="00B004E5" w:rsidP="003A241C" w14:paraId="24D3B38A" w14:textId="77777777">
      <w:pPr>
        <w:pStyle w:val="Default"/>
        <w:rPr>
          <w:color w:val="000000" w:themeColor="text1"/>
        </w:rPr>
      </w:pPr>
    </w:p>
    <w:p w:rsidR="00043B40" w:rsidRPr="00B004E5" w:rsidP="00F648D0" w14:paraId="49891D9C" w14:textId="2A00A757">
      <w:pPr>
        <w:widowControl/>
        <w:rPr>
          <w:rFonts w:ascii="Arial" w:hAnsi="Arial" w:cs="Arial"/>
          <w:color w:val="000000" w:themeColor="text1"/>
          <w:sz w:val="22"/>
          <w:szCs w:val="22"/>
        </w:rPr>
      </w:pPr>
      <w:r w:rsidRPr="00B004E5">
        <w:rPr>
          <w:rFonts w:ascii="Arial" w:hAnsi="Arial" w:cs="Arial"/>
          <w:color w:val="000000" w:themeColor="text1"/>
          <w:sz w:val="22"/>
          <w:szCs w:val="22"/>
        </w:rPr>
        <w:t>Part of the U.S. Nuclear Regulatory Commission’s (NRC) function is to license and regulate the operation of commercial nuclear power plants to ensure protection of public health and safety and the environment in accordance with the Atomic Energy Act of 1954, as amended (AEA)</w:t>
      </w:r>
      <w:r w:rsidRPr="00B004E5" w:rsidR="001C0CBF">
        <w:rPr>
          <w:rFonts w:ascii="Arial" w:hAnsi="Arial" w:cs="Arial"/>
          <w:color w:val="000000" w:themeColor="text1"/>
          <w:sz w:val="22"/>
          <w:szCs w:val="22"/>
        </w:rPr>
        <w:t xml:space="preserve"> for t</w:t>
      </w:r>
      <w:r w:rsidRPr="00B004E5">
        <w:rPr>
          <w:rFonts w:ascii="Arial" w:hAnsi="Arial" w:cs="Arial"/>
          <w:color w:val="000000" w:themeColor="text1"/>
          <w:sz w:val="22"/>
          <w:szCs w:val="22"/>
        </w:rPr>
        <w:t xml:space="preserve">he holder of an operating license under Title 10 of the </w:t>
      </w:r>
      <w:r w:rsidRPr="00B004E5">
        <w:rPr>
          <w:rFonts w:ascii="Arial" w:hAnsi="Arial" w:cs="Arial"/>
          <w:i/>
          <w:color w:val="000000" w:themeColor="text1"/>
          <w:sz w:val="22"/>
          <w:szCs w:val="22"/>
        </w:rPr>
        <w:t>Code of Federal Regulations</w:t>
      </w:r>
      <w:r w:rsidRPr="00B004E5">
        <w:rPr>
          <w:rFonts w:ascii="Arial" w:hAnsi="Arial" w:cs="Arial"/>
          <w:color w:val="000000" w:themeColor="text1"/>
          <w:sz w:val="22"/>
          <w:szCs w:val="22"/>
        </w:rPr>
        <w:t xml:space="preserve"> (10 CFR) Part 50 or a combined license under part 52 of this chapter (licensee) </w:t>
      </w:r>
      <w:r w:rsidRPr="00B004E5" w:rsidR="009A2AAB">
        <w:rPr>
          <w:rFonts w:ascii="Arial" w:hAnsi="Arial" w:cs="Arial"/>
          <w:color w:val="000000" w:themeColor="text1"/>
          <w:sz w:val="22"/>
          <w:szCs w:val="22"/>
        </w:rPr>
        <w:t>a</w:t>
      </w:r>
      <w:r w:rsidRPr="00B004E5">
        <w:rPr>
          <w:rFonts w:ascii="Arial" w:hAnsi="Arial" w:cs="Arial"/>
          <w:color w:val="000000" w:themeColor="text1"/>
          <w:sz w:val="22"/>
          <w:szCs w:val="22"/>
        </w:rPr>
        <w:t xml:space="preserve"> Licensee Event Report (LER) to report specific events specified in 10 CFR Parts 20, 21 </w:t>
      </w:r>
      <w:r w:rsidR="00F66F3B">
        <w:rPr>
          <w:rFonts w:ascii="Arial" w:hAnsi="Arial" w:cs="Arial"/>
          <w:color w:val="000000" w:themeColor="text1"/>
          <w:sz w:val="22"/>
          <w:szCs w:val="22"/>
        </w:rPr>
        <w:t xml:space="preserve">and </w:t>
      </w:r>
      <w:r w:rsidRPr="00B004E5">
        <w:rPr>
          <w:rFonts w:ascii="Arial" w:hAnsi="Arial" w:cs="Arial"/>
          <w:color w:val="000000" w:themeColor="text1"/>
          <w:sz w:val="22"/>
          <w:szCs w:val="22"/>
        </w:rPr>
        <w:t xml:space="preserve">50. </w:t>
      </w:r>
    </w:p>
    <w:p w:rsidR="00043B40" w:rsidRPr="00B004E5" w:rsidP="00F648D0" w14:paraId="46D41951" w14:textId="77777777">
      <w:pPr>
        <w:widowControl/>
        <w:rPr>
          <w:rFonts w:ascii="Arial" w:hAnsi="Arial" w:cs="Arial"/>
          <w:color w:val="000000" w:themeColor="text1"/>
          <w:sz w:val="22"/>
          <w:szCs w:val="22"/>
        </w:rPr>
      </w:pPr>
    </w:p>
    <w:p w:rsidR="00F648D0" w:rsidRPr="00B004E5" w:rsidP="00F648D0" w14:paraId="3744D386" w14:textId="14BAFA22">
      <w:pPr>
        <w:widowControl/>
        <w:rPr>
          <w:rFonts w:ascii="Arial" w:hAnsi="Arial"/>
          <w:color w:val="000000" w:themeColor="text1"/>
          <w:sz w:val="22"/>
          <w:szCs w:val="22"/>
        </w:rPr>
      </w:pPr>
      <w:r w:rsidRPr="00B004E5">
        <w:rPr>
          <w:rFonts w:ascii="Arial" w:hAnsi="Arial"/>
          <w:color w:val="000000" w:themeColor="text1"/>
          <w:sz w:val="22"/>
          <w:szCs w:val="22"/>
        </w:rPr>
        <w:t>NRC Forms 366, 366A, and 366B, "Licensee Event Report" are used by licensees to transmit the detailed information to th</w:t>
      </w:r>
      <w:r w:rsidRPr="00B004E5" w:rsidR="00365881">
        <w:rPr>
          <w:rFonts w:ascii="Arial" w:hAnsi="Arial"/>
          <w:color w:val="000000" w:themeColor="text1"/>
          <w:sz w:val="22"/>
          <w:szCs w:val="22"/>
        </w:rPr>
        <w:t xml:space="preserve">ose </w:t>
      </w:r>
      <w:r w:rsidRPr="00B004E5">
        <w:rPr>
          <w:rFonts w:ascii="Arial" w:hAnsi="Arial"/>
          <w:color w:val="000000" w:themeColor="text1"/>
          <w:sz w:val="22"/>
          <w:szCs w:val="22"/>
        </w:rPr>
        <w:t>specifie</w:t>
      </w:r>
      <w:r w:rsidRPr="00B004E5" w:rsidR="00365881">
        <w:rPr>
          <w:rFonts w:ascii="Arial" w:hAnsi="Arial"/>
          <w:color w:val="000000" w:themeColor="text1"/>
          <w:sz w:val="22"/>
          <w:szCs w:val="22"/>
        </w:rPr>
        <w:t>d</w:t>
      </w:r>
      <w:r w:rsidRPr="00B004E5">
        <w:rPr>
          <w:rFonts w:ascii="Arial" w:hAnsi="Arial"/>
          <w:color w:val="000000" w:themeColor="text1"/>
          <w:sz w:val="22"/>
          <w:szCs w:val="22"/>
        </w:rPr>
        <w:t xml:space="preserve"> events that are believed to be significant for the NRC to determine what actions, if any, are warranted to ensure protection of public health and safety and </w:t>
      </w:r>
      <w:r w:rsidRPr="00B004E5" w:rsidR="00365881">
        <w:rPr>
          <w:rFonts w:ascii="Arial" w:hAnsi="Arial"/>
          <w:color w:val="000000" w:themeColor="text1"/>
          <w:sz w:val="22"/>
          <w:szCs w:val="22"/>
        </w:rPr>
        <w:t xml:space="preserve">protection of </w:t>
      </w:r>
      <w:r w:rsidRPr="00B004E5">
        <w:rPr>
          <w:rFonts w:ascii="Arial" w:hAnsi="Arial"/>
          <w:color w:val="000000" w:themeColor="text1"/>
          <w:sz w:val="22"/>
          <w:szCs w:val="22"/>
        </w:rPr>
        <w:t>the environment</w:t>
      </w:r>
      <w:r w:rsidRPr="00B004E5" w:rsidR="0045681F">
        <w:rPr>
          <w:rFonts w:ascii="Arial" w:hAnsi="Arial"/>
          <w:color w:val="000000" w:themeColor="text1"/>
          <w:sz w:val="22"/>
          <w:szCs w:val="22"/>
        </w:rPr>
        <w:t>.</w:t>
      </w:r>
      <w:r w:rsidR="00205C9A">
        <w:rPr>
          <w:rFonts w:ascii="Arial" w:hAnsi="Arial"/>
          <w:color w:val="000000" w:themeColor="text1"/>
          <w:sz w:val="22"/>
          <w:szCs w:val="22"/>
        </w:rPr>
        <w:t xml:space="preserve">  The NRC Headquarters Operations Officers receive the reports and enter them into an event database that is used by several NRC Offices for various programs discussed below.</w:t>
      </w:r>
      <w:r w:rsidRPr="00B004E5" w:rsidR="0045681F">
        <w:rPr>
          <w:rFonts w:ascii="Arial" w:hAnsi="Arial"/>
          <w:color w:val="000000" w:themeColor="text1"/>
          <w:sz w:val="22"/>
          <w:szCs w:val="22"/>
        </w:rPr>
        <w:t xml:space="preserve"> </w:t>
      </w:r>
    </w:p>
    <w:p w:rsidR="0051781C" w:rsidRPr="00B004E5" w:rsidP="00F648D0" w14:paraId="1C7CEFB0" w14:textId="77777777">
      <w:pPr>
        <w:widowControl/>
        <w:rPr>
          <w:rFonts w:ascii="Arial" w:hAnsi="Arial"/>
          <w:color w:val="000000" w:themeColor="text1"/>
          <w:sz w:val="22"/>
          <w:szCs w:val="22"/>
        </w:rPr>
      </w:pPr>
    </w:p>
    <w:p w:rsidR="00DF6764" w:rsidRPr="00B004E5" w:rsidP="00DF6764" w14:paraId="4039FB9F" w14:textId="73DF1BC8">
      <w:pPr>
        <w:rPr>
          <w:rFonts w:ascii="Arial" w:hAnsi="Arial"/>
          <w:color w:val="000000" w:themeColor="text1"/>
          <w:sz w:val="22"/>
          <w:szCs w:val="20"/>
        </w:rPr>
      </w:pPr>
      <w:r w:rsidRPr="00B004E5">
        <w:rPr>
          <w:rFonts w:ascii="Arial" w:hAnsi="Arial"/>
          <w:color w:val="000000" w:themeColor="text1"/>
          <w:sz w:val="22"/>
        </w:rPr>
        <w:t xml:space="preserve">The information requested includes the facility identifying information, date of the event and report, other facilities involved, plant conditions at the onset of the events, applicable regulation(s) for the submission, root cause(s) of the occurrences, data on operator actions and corrective actions taken, licensee contact information, and an abstract of the event. </w:t>
      </w:r>
    </w:p>
    <w:p w:rsidR="00F056B2" w:rsidRPr="00B004E5" w14:paraId="7E566BE5" w14:textId="02E80C2C">
      <w:pPr>
        <w:widowControl/>
        <w:autoSpaceDE/>
        <w:autoSpaceDN/>
        <w:adjustRightInd/>
        <w:rPr>
          <w:rFonts w:ascii="Arial" w:hAnsi="Arial" w:cs="Arial"/>
          <w:color w:val="000000" w:themeColor="text1"/>
          <w:sz w:val="22"/>
          <w:szCs w:val="22"/>
        </w:rPr>
      </w:pPr>
    </w:p>
    <w:p w:rsidR="002B1B50" w:rsidRPr="00B004E5" w:rsidP="002F41B7" w14:paraId="547622E8" w14:textId="77777777">
      <w:pPr>
        <w:widowControl/>
        <w:rPr>
          <w:rFonts w:ascii="Arial" w:hAnsi="Arial" w:cs="Arial"/>
          <w:color w:val="000000" w:themeColor="text1"/>
          <w:sz w:val="22"/>
          <w:szCs w:val="22"/>
        </w:rPr>
      </w:pPr>
      <w:r w:rsidRPr="00B004E5">
        <w:rPr>
          <w:rFonts w:ascii="Arial" w:hAnsi="Arial" w:cs="Arial"/>
          <w:color w:val="000000" w:themeColor="text1"/>
          <w:sz w:val="22"/>
          <w:szCs w:val="22"/>
        </w:rPr>
        <w:t>A.</w:t>
      </w:r>
      <w:r w:rsidRPr="00B004E5">
        <w:rPr>
          <w:rFonts w:ascii="Arial" w:hAnsi="Arial" w:cs="Arial"/>
          <w:color w:val="000000" w:themeColor="text1"/>
          <w:sz w:val="22"/>
          <w:szCs w:val="22"/>
        </w:rPr>
        <w:tab/>
      </w:r>
      <w:r w:rsidRPr="00B004E5">
        <w:rPr>
          <w:rFonts w:ascii="Arial" w:hAnsi="Arial" w:cs="Arial"/>
          <w:color w:val="000000" w:themeColor="text1"/>
          <w:sz w:val="22"/>
          <w:szCs w:val="22"/>
          <w:u w:val="single"/>
        </w:rPr>
        <w:t>JUSTIFICATION</w:t>
      </w:r>
    </w:p>
    <w:p w:rsidR="00220B95" w:rsidRPr="00B004E5" w:rsidP="002F41B7" w14:paraId="60EF5D6A" w14:textId="77777777">
      <w:pPr>
        <w:widowControl/>
        <w:rPr>
          <w:rFonts w:ascii="Arial" w:hAnsi="Arial" w:cs="Arial"/>
          <w:color w:val="000000" w:themeColor="text1"/>
          <w:sz w:val="22"/>
          <w:szCs w:val="22"/>
        </w:rPr>
      </w:pPr>
    </w:p>
    <w:p w:rsidR="002B1B50" w:rsidRPr="00B004E5" w:rsidP="004E4948" w14:paraId="733688B9" w14:textId="39EA839F">
      <w:pPr>
        <w:widowControl/>
        <w:ind w:left="720"/>
        <w:rPr>
          <w:rFonts w:ascii="Arial" w:hAnsi="Arial" w:cs="Arial"/>
          <w:color w:val="000000" w:themeColor="text1"/>
          <w:sz w:val="22"/>
          <w:szCs w:val="22"/>
          <w:u w:val="single"/>
        </w:rPr>
      </w:pPr>
      <w:r w:rsidRPr="00B004E5">
        <w:rPr>
          <w:rFonts w:ascii="Arial" w:hAnsi="Arial" w:cs="Arial"/>
          <w:color w:val="000000" w:themeColor="text1"/>
          <w:sz w:val="22"/>
          <w:szCs w:val="22"/>
        </w:rPr>
        <w:t>1.</w:t>
      </w:r>
      <w:r w:rsidRPr="00B004E5" w:rsidR="00C8524D">
        <w:rPr>
          <w:rFonts w:ascii="Arial" w:hAnsi="Arial" w:cs="Arial"/>
          <w:color w:val="000000" w:themeColor="text1"/>
          <w:sz w:val="22"/>
          <w:szCs w:val="22"/>
        </w:rPr>
        <w:tab/>
      </w:r>
      <w:r w:rsidRPr="00B004E5">
        <w:rPr>
          <w:rFonts w:ascii="Arial" w:hAnsi="Arial" w:cs="Arial"/>
          <w:color w:val="000000" w:themeColor="text1"/>
          <w:sz w:val="22"/>
          <w:szCs w:val="22"/>
          <w:u w:val="single"/>
        </w:rPr>
        <w:t xml:space="preserve">Need for and Practical Utility of the </w:t>
      </w:r>
      <w:r w:rsidRPr="00B004E5" w:rsidR="003C4790">
        <w:rPr>
          <w:rFonts w:ascii="Arial" w:hAnsi="Arial" w:cs="Arial"/>
          <w:color w:val="000000" w:themeColor="text1"/>
          <w:sz w:val="22"/>
          <w:szCs w:val="22"/>
          <w:u w:val="single"/>
        </w:rPr>
        <w:t xml:space="preserve">Collection of </w:t>
      </w:r>
      <w:r w:rsidRPr="00B004E5">
        <w:rPr>
          <w:rFonts w:ascii="Arial" w:hAnsi="Arial" w:cs="Arial"/>
          <w:color w:val="000000" w:themeColor="text1"/>
          <w:sz w:val="22"/>
          <w:szCs w:val="22"/>
          <w:u w:val="single"/>
        </w:rPr>
        <w:t>Information</w:t>
      </w:r>
    </w:p>
    <w:p w:rsidR="002B1B50" w:rsidRPr="00B004E5" w:rsidP="002F41B7" w14:paraId="0E281AF8" w14:textId="77777777">
      <w:pPr>
        <w:widowControl/>
        <w:rPr>
          <w:rFonts w:ascii="Arial" w:hAnsi="Arial" w:cs="Arial"/>
          <w:color w:val="000000" w:themeColor="text1"/>
          <w:sz w:val="22"/>
          <w:szCs w:val="22"/>
        </w:rPr>
      </w:pPr>
    </w:p>
    <w:p w:rsidR="008D2767" w:rsidRPr="00B004E5" w:rsidP="008D2767" w14:paraId="763A6CC7" w14:textId="7164961E">
      <w:pPr>
        <w:ind w:left="1440"/>
        <w:rPr>
          <w:rFonts w:ascii="Arial" w:hAnsi="Arial" w:cs="Arial"/>
          <w:color w:val="000000" w:themeColor="text1"/>
          <w:sz w:val="22"/>
          <w:szCs w:val="22"/>
        </w:rPr>
      </w:pPr>
      <w:r w:rsidRPr="00B004E5">
        <w:rPr>
          <w:rFonts w:ascii="Arial" w:hAnsi="Arial" w:cs="Arial"/>
          <w:color w:val="000000" w:themeColor="text1"/>
          <w:sz w:val="22"/>
          <w:szCs w:val="22"/>
        </w:rPr>
        <w:t>The information is needed for the NRC to carry out its statutory responsibility to inform Congress of those events constituting “abnormal occurrences” and for licensee’s compliance with the 10 CFR 50.73 rule</w:t>
      </w:r>
      <w:r w:rsidRPr="00B004E5" w:rsidR="0045681F">
        <w:rPr>
          <w:rFonts w:ascii="Arial" w:hAnsi="Arial" w:cs="Arial"/>
          <w:color w:val="000000" w:themeColor="text1"/>
          <w:sz w:val="22"/>
          <w:szCs w:val="22"/>
        </w:rPr>
        <w:t xml:space="preserve">. </w:t>
      </w:r>
      <w:r w:rsidRPr="00B004E5">
        <w:rPr>
          <w:rFonts w:ascii="Arial" w:eastAsia="Arial" w:hAnsi="Arial" w:cs="Arial"/>
          <w:color w:val="000000" w:themeColor="text1"/>
          <w:sz w:val="22"/>
          <w:szCs w:val="22"/>
        </w:rPr>
        <w:t>Section 208 of the Energy Reorganization Act of 1974, as amended (Public Law 93-438), defines an abnormal occurrence (AO) as an unscheduled incident or event that the U.S. Nuclear Regulatory Commission (NRC) determines to be significant from the standpoint of public health or safety</w:t>
      </w:r>
      <w:r w:rsidRPr="00B004E5" w:rsidR="0045681F">
        <w:rPr>
          <w:rFonts w:ascii="Arial" w:eastAsia="Arial" w:hAnsi="Arial" w:cs="Arial"/>
          <w:color w:val="000000" w:themeColor="text1"/>
          <w:sz w:val="22"/>
          <w:szCs w:val="22"/>
        </w:rPr>
        <w:t xml:space="preserve">. </w:t>
      </w:r>
      <w:r w:rsidRPr="00B004E5" w:rsidR="004A6BA1">
        <w:rPr>
          <w:rFonts w:ascii="Arial" w:eastAsia="Arial" w:hAnsi="Arial" w:cs="Arial"/>
          <w:color w:val="000000" w:themeColor="text1"/>
          <w:sz w:val="22"/>
          <w:szCs w:val="22"/>
        </w:rPr>
        <w:t>Specifically, the</w:t>
      </w:r>
      <w:r w:rsidRPr="00B004E5">
        <w:rPr>
          <w:rFonts w:ascii="Arial" w:eastAsia="Arial" w:hAnsi="Arial" w:cs="Arial"/>
          <w:color w:val="000000" w:themeColor="text1"/>
          <w:sz w:val="22"/>
          <w:szCs w:val="22"/>
        </w:rPr>
        <w:t xml:space="preserve"> NRC reviews all LERs reported under 10 CFR 50.73 for consideration for AO reporting.</w:t>
      </w:r>
      <w:r w:rsidRPr="00B004E5">
        <w:rPr>
          <w:rFonts w:ascii="Arial" w:hAnsi="Arial" w:cs="Arial"/>
          <w:color w:val="000000" w:themeColor="text1"/>
          <w:sz w:val="22"/>
          <w:szCs w:val="22"/>
        </w:rPr>
        <w:t xml:space="preserve"> Details of these LER requirements can be found at the end of this supporting statement in “Description of Information Collection Requirements.”</w:t>
      </w:r>
    </w:p>
    <w:p w:rsidR="00124D57" w:rsidP="00BC0845" w14:paraId="2ACF9348" w14:textId="59FD650A">
      <w:pPr>
        <w:widowControl/>
        <w:ind w:left="720"/>
        <w:rPr>
          <w:rFonts w:ascii="Arial" w:hAnsi="Arial" w:cs="Arial"/>
          <w:color w:val="000000" w:themeColor="text1"/>
          <w:sz w:val="22"/>
          <w:szCs w:val="22"/>
        </w:rPr>
      </w:pPr>
      <w:r>
        <w:rPr>
          <w:rFonts w:ascii="Arial" w:hAnsi="Arial" w:cs="Arial"/>
          <w:color w:val="000000" w:themeColor="text1"/>
          <w:sz w:val="22"/>
          <w:szCs w:val="22"/>
        </w:rPr>
        <w:br w:type="page"/>
      </w:r>
    </w:p>
    <w:p w:rsidR="002B1B50" w:rsidRPr="00B004E5" w:rsidP="004E4948" w14:paraId="1063591D" w14:textId="77777777">
      <w:pPr>
        <w:widowControl/>
        <w:tabs>
          <w:tab w:val="left" w:pos="-1440"/>
        </w:tabs>
        <w:ind w:left="720"/>
        <w:rPr>
          <w:rFonts w:ascii="Arial" w:hAnsi="Arial" w:cs="Arial"/>
          <w:color w:val="000000" w:themeColor="text1"/>
          <w:sz w:val="22"/>
          <w:szCs w:val="22"/>
          <w:u w:val="single"/>
        </w:rPr>
      </w:pPr>
      <w:r w:rsidRPr="00B004E5">
        <w:rPr>
          <w:rFonts w:ascii="Arial" w:hAnsi="Arial" w:cs="Arial"/>
          <w:color w:val="000000" w:themeColor="text1"/>
          <w:sz w:val="22"/>
          <w:szCs w:val="22"/>
        </w:rPr>
        <w:t>2.</w:t>
      </w:r>
      <w:r w:rsidRPr="00B004E5">
        <w:rPr>
          <w:rFonts w:ascii="Arial" w:hAnsi="Arial" w:cs="Arial"/>
          <w:color w:val="000000" w:themeColor="text1"/>
          <w:sz w:val="22"/>
          <w:szCs w:val="22"/>
        </w:rPr>
        <w:tab/>
      </w:r>
      <w:r w:rsidRPr="00B004E5">
        <w:rPr>
          <w:rFonts w:ascii="Arial" w:hAnsi="Arial" w:cs="Arial"/>
          <w:color w:val="000000" w:themeColor="text1"/>
          <w:sz w:val="22"/>
          <w:szCs w:val="22"/>
          <w:u w:val="single"/>
        </w:rPr>
        <w:t>Agency Use of the Information</w:t>
      </w:r>
    </w:p>
    <w:p w:rsidR="002B1B50" w:rsidRPr="00B004E5" w:rsidP="002F41B7" w14:paraId="4E5E5FE3" w14:textId="77777777">
      <w:pPr>
        <w:widowControl/>
        <w:rPr>
          <w:rFonts w:ascii="Arial" w:hAnsi="Arial" w:cs="Arial"/>
          <w:color w:val="000000" w:themeColor="text1"/>
          <w:sz w:val="22"/>
          <w:szCs w:val="22"/>
          <w:u w:val="single"/>
        </w:rPr>
      </w:pPr>
    </w:p>
    <w:p w:rsidR="00F52F5C" w:rsidRPr="00B004E5" w:rsidP="00B004E5" w14:paraId="13E7707E" w14:textId="0D9C7261">
      <w:pPr>
        <w:widowControl/>
        <w:ind w:left="1440"/>
        <w:rPr>
          <w:rFonts w:ascii="Arial" w:hAnsi="Arial" w:cs="Arial"/>
          <w:color w:val="000000" w:themeColor="text1"/>
          <w:sz w:val="22"/>
          <w:szCs w:val="22"/>
        </w:rPr>
      </w:pPr>
      <w:r w:rsidRPr="00614CC5">
        <w:rPr>
          <w:rFonts w:ascii="Arial" w:hAnsi="Arial" w:cs="Arial"/>
          <w:color w:val="000000" w:themeColor="text1"/>
          <w:sz w:val="22"/>
          <w:szCs w:val="22"/>
        </w:rPr>
        <w:t xml:space="preserve">NRC Forms 366, 366A, and 366B are the mechanism by which NRC determines whether action is needed to resolve a potential threat to public health and safety or the environment.  This includes </w:t>
      </w:r>
      <w:r>
        <w:rPr>
          <w:rFonts w:ascii="Arial" w:hAnsi="Arial" w:cs="Arial"/>
          <w:color w:val="000000" w:themeColor="text1"/>
          <w:sz w:val="22"/>
          <w:szCs w:val="22"/>
        </w:rPr>
        <w:t xml:space="preserve">assessing whether follow-up actions are needed such as </w:t>
      </w:r>
      <w:r w:rsidRPr="00B004E5">
        <w:rPr>
          <w:rFonts w:ascii="Arial" w:hAnsi="Arial" w:cs="Arial"/>
          <w:color w:val="000000" w:themeColor="text1"/>
          <w:sz w:val="22"/>
          <w:szCs w:val="22"/>
        </w:rPr>
        <w:t>reactive inspection</w:t>
      </w:r>
      <w:r>
        <w:rPr>
          <w:rFonts w:ascii="Arial" w:hAnsi="Arial" w:cs="Arial"/>
          <w:color w:val="000000" w:themeColor="text1"/>
          <w:sz w:val="22"/>
          <w:szCs w:val="22"/>
        </w:rPr>
        <w:t>s</w:t>
      </w:r>
      <w:r w:rsidRPr="00B004E5">
        <w:rPr>
          <w:rFonts w:ascii="Arial" w:hAnsi="Arial" w:cs="Arial"/>
          <w:color w:val="000000" w:themeColor="text1"/>
          <w:sz w:val="22"/>
          <w:szCs w:val="22"/>
        </w:rPr>
        <w:t>, trending</w:t>
      </w:r>
      <w:r>
        <w:rPr>
          <w:rFonts w:ascii="Arial" w:hAnsi="Arial" w:cs="Arial"/>
          <w:color w:val="000000" w:themeColor="text1"/>
          <w:sz w:val="22"/>
          <w:szCs w:val="22"/>
        </w:rPr>
        <w:t xml:space="preserve"> of operating experience or safety issues</w:t>
      </w:r>
      <w:r w:rsidRPr="00B004E5">
        <w:rPr>
          <w:rFonts w:ascii="Arial" w:hAnsi="Arial" w:cs="Arial"/>
          <w:color w:val="000000" w:themeColor="text1"/>
          <w:sz w:val="22"/>
          <w:szCs w:val="22"/>
        </w:rPr>
        <w:t xml:space="preserve">, </w:t>
      </w:r>
      <w:r>
        <w:rPr>
          <w:rFonts w:ascii="Arial" w:hAnsi="Arial" w:cs="Arial"/>
          <w:color w:val="000000" w:themeColor="text1"/>
          <w:sz w:val="22"/>
          <w:szCs w:val="22"/>
        </w:rPr>
        <w:t xml:space="preserve">performance monitoring, </w:t>
      </w:r>
      <w:r w:rsidRPr="00614CC5">
        <w:rPr>
          <w:rFonts w:ascii="Arial" w:hAnsi="Arial" w:cs="Arial"/>
          <w:color w:val="000000" w:themeColor="text1"/>
          <w:sz w:val="22"/>
          <w:szCs w:val="22"/>
        </w:rPr>
        <w:t>identifying precursors of more significant events,</w:t>
      </w:r>
      <w:r>
        <w:rPr>
          <w:rFonts w:ascii="Arial" w:hAnsi="Arial" w:cs="Arial"/>
          <w:color w:val="000000" w:themeColor="text1"/>
          <w:sz w:val="22"/>
          <w:szCs w:val="22"/>
        </w:rPr>
        <w:t xml:space="preserve"> </w:t>
      </w:r>
      <w:r w:rsidRPr="00B004E5">
        <w:rPr>
          <w:rFonts w:ascii="Arial" w:hAnsi="Arial" w:cs="Arial"/>
          <w:color w:val="000000" w:themeColor="text1"/>
          <w:sz w:val="22"/>
          <w:szCs w:val="22"/>
        </w:rPr>
        <w:t>generic communication</w:t>
      </w:r>
      <w:r>
        <w:rPr>
          <w:rFonts w:ascii="Arial" w:hAnsi="Arial" w:cs="Arial"/>
          <w:color w:val="000000" w:themeColor="text1"/>
          <w:sz w:val="22"/>
          <w:szCs w:val="22"/>
        </w:rPr>
        <w:t>s</w:t>
      </w:r>
      <w:r w:rsidRPr="00B004E5">
        <w:rPr>
          <w:rFonts w:ascii="Arial" w:hAnsi="Arial" w:cs="Arial"/>
          <w:color w:val="000000" w:themeColor="text1"/>
          <w:sz w:val="22"/>
          <w:szCs w:val="22"/>
        </w:rPr>
        <w:t>, or corrective actions to prevent recurrence; and may also be forwarded to other Federal agencies, as needed.</w:t>
      </w:r>
      <w:r w:rsidRPr="00614CC5">
        <w:rPr>
          <w:rFonts w:ascii="Arial" w:hAnsi="Arial" w:cs="Arial"/>
          <w:color w:val="000000" w:themeColor="text1"/>
          <w:sz w:val="22"/>
          <w:szCs w:val="22"/>
        </w:rPr>
        <w:t xml:space="preserve">  In addition, the NRC uses the information obtained to inform Congress of those events constituting “abnormal occurrences.”</w:t>
      </w:r>
      <w:r>
        <w:rPr>
          <w:rFonts w:ascii="Arial" w:hAnsi="Arial" w:cs="Arial"/>
          <w:color w:val="000000" w:themeColor="text1"/>
          <w:sz w:val="22"/>
          <w:szCs w:val="22"/>
        </w:rPr>
        <w:t xml:space="preserve">  </w:t>
      </w:r>
    </w:p>
    <w:p w:rsidR="000C6722" w:rsidRPr="00B004E5" w:rsidP="00BC0845" w14:paraId="234CEFEE" w14:textId="77777777">
      <w:pPr>
        <w:widowControl/>
        <w:ind w:left="720"/>
        <w:rPr>
          <w:rFonts w:ascii="Arial" w:hAnsi="Arial" w:cs="Arial"/>
          <w:color w:val="000000" w:themeColor="text1"/>
          <w:sz w:val="22"/>
          <w:szCs w:val="22"/>
        </w:rPr>
      </w:pPr>
    </w:p>
    <w:p w:rsidR="000C6722" w:rsidRPr="00B004E5" w:rsidP="000C6722" w14:paraId="0A84B448" w14:textId="49C6CBB8">
      <w:pPr>
        <w:ind w:left="1440"/>
        <w:rPr>
          <w:rFonts w:ascii="Arial" w:hAnsi="Arial"/>
          <w:color w:val="000000" w:themeColor="text1"/>
          <w:sz w:val="22"/>
          <w:szCs w:val="22"/>
        </w:rPr>
      </w:pPr>
      <w:r w:rsidRPr="00B004E5">
        <w:rPr>
          <w:rFonts w:ascii="Arial" w:hAnsi="Arial"/>
          <w:color w:val="000000" w:themeColor="text1"/>
          <w:sz w:val="22"/>
          <w:szCs w:val="22"/>
        </w:rPr>
        <w:t xml:space="preserve">In addition, formal </w:t>
      </w:r>
      <w:r w:rsidR="00614CC5">
        <w:rPr>
          <w:rFonts w:ascii="Arial" w:hAnsi="Arial"/>
          <w:color w:val="000000" w:themeColor="text1"/>
          <w:sz w:val="22"/>
          <w:szCs w:val="22"/>
        </w:rPr>
        <w:t xml:space="preserve">and informal </w:t>
      </w:r>
      <w:r w:rsidRPr="00B004E5">
        <w:rPr>
          <w:rFonts w:ascii="Arial" w:hAnsi="Arial"/>
          <w:color w:val="000000" w:themeColor="text1"/>
          <w:sz w:val="22"/>
          <w:szCs w:val="22"/>
        </w:rPr>
        <w:t xml:space="preserve">methods have been developed to efficiently </w:t>
      </w:r>
      <w:r w:rsidRPr="00B004E5" w:rsidR="70D33B2B">
        <w:rPr>
          <w:rFonts w:ascii="Arial" w:hAnsi="Arial"/>
          <w:color w:val="000000" w:themeColor="text1"/>
          <w:sz w:val="22"/>
          <w:szCs w:val="22"/>
        </w:rPr>
        <w:t>share</w:t>
      </w:r>
      <w:r w:rsidRPr="00B004E5">
        <w:rPr>
          <w:rFonts w:ascii="Arial" w:hAnsi="Arial"/>
          <w:color w:val="000000" w:themeColor="text1"/>
          <w:sz w:val="22"/>
          <w:szCs w:val="22"/>
        </w:rPr>
        <w:t xml:space="preserve"> operating experience with the Institute of Nuclear Power Operations (INPO)</w:t>
      </w:r>
      <w:r w:rsidRPr="00B004E5" w:rsidR="0045681F">
        <w:rPr>
          <w:rFonts w:ascii="Arial" w:hAnsi="Arial"/>
          <w:color w:val="000000" w:themeColor="text1"/>
          <w:sz w:val="22"/>
          <w:szCs w:val="22"/>
        </w:rPr>
        <w:t xml:space="preserve">. </w:t>
      </w:r>
      <w:r w:rsidRPr="00B004E5" w:rsidR="00B00F20">
        <w:rPr>
          <w:rFonts w:ascii="Arial" w:hAnsi="Arial"/>
          <w:color w:val="000000" w:themeColor="text1"/>
          <w:sz w:val="22"/>
          <w:szCs w:val="22"/>
        </w:rPr>
        <w:t>I</w:t>
      </w:r>
      <w:r w:rsidRPr="00B004E5">
        <w:rPr>
          <w:rFonts w:ascii="Arial" w:hAnsi="Arial"/>
          <w:color w:val="000000" w:themeColor="text1"/>
          <w:sz w:val="22"/>
          <w:szCs w:val="22"/>
        </w:rPr>
        <w:t>nformation on events</w:t>
      </w:r>
      <w:r w:rsidRPr="00B004E5" w:rsidR="00B00F20">
        <w:rPr>
          <w:rFonts w:ascii="Arial" w:hAnsi="Arial"/>
          <w:color w:val="000000" w:themeColor="text1"/>
          <w:sz w:val="22"/>
          <w:szCs w:val="22"/>
        </w:rPr>
        <w:t xml:space="preserve"> is shared</w:t>
      </w:r>
      <w:r w:rsidRPr="00B004E5">
        <w:rPr>
          <w:rFonts w:ascii="Arial" w:hAnsi="Arial"/>
          <w:color w:val="000000" w:themeColor="text1"/>
          <w:sz w:val="22"/>
          <w:szCs w:val="22"/>
        </w:rPr>
        <w:t xml:space="preserve"> in accordance with a Memorandum of Agreement between the two organizations</w:t>
      </w:r>
      <w:r w:rsidRPr="00B004E5" w:rsidR="0045681F">
        <w:rPr>
          <w:rFonts w:ascii="Arial" w:hAnsi="Arial"/>
          <w:color w:val="000000" w:themeColor="text1"/>
          <w:sz w:val="22"/>
          <w:szCs w:val="22"/>
        </w:rPr>
        <w:t xml:space="preserve">. </w:t>
      </w:r>
      <w:r w:rsidRPr="00B004E5" w:rsidR="0070741C">
        <w:rPr>
          <w:rFonts w:ascii="Arial" w:hAnsi="Arial"/>
          <w:color w:val="000000" w:themeColor="text1"/>
          <w:sz w:val="22"/>
          <w:szCs w:val="22"/>
        </w:rPr>
        <w:t>T</w:t>
      </w:r>
      <w:r w:rsidRPr="00B004E5">
        <w:rPr>
          <w:rFonts w:ascii="Arial" w:hAnsi="Arial"/>
          <w:color w:val="000000" w:themeColor="text1"/>
          <w:sz w:val="22"/>
          <w:szCs w:val="22"/>
        </w:rPr>
        <w:t xml:space="preserve">he NRC </w:t>
      </w:r>
      <w:r w:rsidRPr="00B004E5" w:rsidR="0070741C">
        <w:rPr>
          <w:rFonts w:ascii="Arial" w:hAnsi="Arial"/>
          <w:color w:val="000000" w:themeColor="text1"/>
          <w:sz w:val="22"/>
          <w:szCs w:val="22"/>
        </w:rPr>
        <w:t xml:space="preserve">also </w:t>
      </w:r>
      <w:r w:rsidRPr="00B004E5">
        <w:rPr>
          <w:rFonts w:ascii="Arial" w:hAnsi="Arial"/>
          <w:color w:val="000000" w:themeColor="text1"/>
          <w:sz w:val="22"/>
          <w:szCs w:val="22"/>
        </w:rPr>
        <w:t xml:space="preserve">cooperates with </w:t>
      </w:r>
      <w:r w:rsidRPr="00B004E5" w:rsidR="00FE7947">
        <w:rPr>
          <w:rFonts w:ascii="Arial" w:hAnsi="Arial"/>
          <w:color w:val="000000" w:themeColor="text1"/>
          <w:sz w:val="22"/>
          <w:szCs w:val="22"/>
        </w:rPr>
        <w:t>international organizations</w:t>
      </w:r>
      <w:r w:rsidRPr="00B004E5" w:rsidR="00CA5F84">
        <w:rPr>
          <w:rFonts w:ascii="Arial" w:hAnsi="Arial"/>
          <w:color w:val="000000" w:themeColor="text1"/>
          <w:sz w:val="22"/>
          <w:szCs w:val="22"/>
        </w:rPr>
        <w:t xml:space="preserve">, such as </w:t>
      </w:r>
      <w:r w:rsidRPr="00B004E5">
        <w:rPr>
          <w:rFonts w:ascii="Arial" w:hAnsi="Arial"/>
          <w:color w:val="000000" w:themeColor="text1"/>
          <w:sz w:val="22"/>
          <w:szCs w:val="22"/>
        </w:rPr>
        <w:t>the Nuclear Energy Agency (NEA) and the International Atomic Energy Agency (IAEA) Incident Reporting System (IRS) by exchanging information about operating events</w:t>
      </w:r>
      <w:r w:rsidRPr="00B004E5" w:rsidR="0045681F">
        <w:rPr>
          <w:rFonts w:ascii="Arial" w:hAnsi="Arial"/>
          <w:color w:val="000000" w:themeColor="text1"/>
          <w:sz w:val="22"/>
          <w:szCs w:val="22"/>
        </w:rPr>
        <w:t xml:space="preserve">. </w:t>
      </w:r>
      <w:r w:rsidRPr="00B004E5" w:rsidR="00CE71ED">
        <w:rPr>
          <w:rFonts w:ascii="Arial" w:hAnsi="Arial"/>
          <w:color w:val="000000" w:themeColor="text1"/>
          <w:sz w:val="22"/>
          <w:szCs w:val="22"/>
        </w:rPr>
        <w:t>S</w:t>
      </w:r>
      <w:r w:rsidRPr="00B004E5">
        <w:rPr>
          <w:rFonts w:ascii="Arial" w:hAnsi="Arial"/>
          <w:color w:val="000000" w:themeColor="text1"/>
          <w:sz w:val="22"/>
          <w:szCs w:val="22"/>
        </w:rPr>
        <w:t xml:space="preserve">haring of </w:t>
      </w:r>
      <w:r w:rsidRPr="00B004E5" w:rsidR="00CE71ED">
        <w:rPr>
          <w:rFonts w:ascii="Arial" w:hAnsi="Arial"/>
          <w:color w:val="000000" w:themeColor="text1"/>
          <w:sz w:val="22"/>
          <w:szCs w:val="22"/>
        </w:rPr>
        <w:t xml:space="preserve">domestic </w:t>
      </w:r>
      <w:r w:rsidRPr="00B004E5">
        <w:rPr>
          <w:rFonts w:ascii="Arial" w:hAnsi="Arial"/>
          <w:color w:val="000000" w:themeColor="text1"/>
          <w:sz w:val="22"/>
          <w:szCs w:val="22"/>
        </w:rPr>
        <w:t>nuclear operating experience provides valu</w:t>
      </w:r>
      <w:r w:rsidRPr="00B004E5" w:rsidR="004C3A49">
        <w:rPr>
          <w:rFonts w:ascii="Arial" w:hAnsi="Arial"/>
          <w:color w:val="000000" w:themeColor="text1"/>
          <w:sz w:val="22"/>
          <w:szCs w:val="22"/>
        </w:rPr>
        <w:t>able</w:t>
      </w:r>
      <w:r w:rsidRPr="00B004E5" w:rsidR="005A67A7">
        <w:rPr>
          <w:rFonts w:ascii="Arial" w:hAnsi="Arial"/>
          <w:color w:val="000000" w:themeColor="text1"/>
          <w:sz w:val="22"/>
          <w:szCs w:val="22"/>
        </w:rPr>
        <w:t xml:space="preserve"> </w:t>
      </w:r>
      <w:r w:rsidRPr="00B004E5">
        <w:rPr>
          <w:rFonts w:ascii="Arial" w:hAnsi="Arial"/>
          <w:color w:val="000000" w:themeColor="text1"/>
          <w:sz w:val="22"/>
          <w:szCs w:val="22"/>
        </w:rPr>
        <w:t>lessons learned</w:t>
      </w:r>
      <w:r w:rsidRPr="00B004E5" w:rsidR="008C642A">
        <w:rPr>
          <w:rFonts w:ascii="Arial" w:hAnsi="Arial"/>
          <w:color w:val="000000" w:themeColor="text1"/>
          <w:sz w:val="22"/>
          <w:szCs w:val="22"/>
        </w:rPr>
        <w:t xml:space="preserve"> and results in </w:t>
      </w:r>
      <w:r w:rsidRPr="00B004E5">
        <w:rPr>
          <w:rFonts w:ascii="Arial" w:hAnsi="Arial"/>
          <w:color w:val="000000" w:themeColor="text1"/>
          <w:sz w:val="22"/>
          <w:szCs w:val="22"/>
        </w:rPr>
        <w:t xml:space="preserve">event reduction </w:t>
      </w:r>
      <w:r w:rsidRPr="00B004E5" w:rsidR="0005042D">
        <w:rPr>
          <w:rFonts w:ascii="Arial" w:hAnsi="Arial"/>
          <w:color w:val="000000" w:themeColor="text1"/>
          <w:sz w:val="22"/>
          <w:szCs w:val="22"/>
        </w:rPr>
        <w:t>for international stakeholders</w:t>
      </w:r>
      <w:r w:rsidRPr="00B004E5">
        <w:rPr>
          <w:rFonts w:ascii="Arial" w:hAnsi="Arial"/>
          <w:color w:val="000000" w:themeColor="text1"/>
          <w:sz w:val="22"/>
          <w:szCs w:val="22"/>
        </w:rPr>
        <w:t>.</w:t>
      </w:r>
    </w:p>
    <w:p w:rsidR="000C6722" w:rsidRPr="00B004E5" w:rsidP="000C6722" w14:paraId="2004E72E" w14:textId="77777777">
      <w:pPr>
        <w:ind w:left="1440"/>
        <w:rPr>
          <w:rFonts w:ascii="Arial" w:hAnsi="Arial"/>
          <w:color w:val="000000" w:themeColor="text1"/>
          <w:sz w:val="22"/>
        </w:rPr>
      </w:pPr>
    </w:p>
    <w:p w:rsidR="000C6722" w:rsidRPr="00B004E5" w:rsidP="4F713EE2" w14:paraId="77258BF3" w14:textId="7D503EFA">
      <w:pPr>
        <w:ind w:left="1440"/>
        <w:rPr>
          <w:rFonts w:ascii="Arial" w:hAnsi="Arial"/>
          <w:color w:val="000000" w:themeColor="text1"/>
          <w:sz w:val="22"/>
          <w:szCs w:val="22"/>
        </w:rPr>
      </w:pPr>
      <w:bookmarkStart w:id="0" w:name="_Hlk119937715"/>
      <w:r w:rsidRPr="00B004E5">
        <w:rPr>
          <w:rFonts w:ascii="Arial" w:hAnsi="Arial"/>
          <w:color w:val="000000" w:themeColor="text1"/>
          <w:sz w:val="22"/>
          <w:szCs w:val="22"/>
        </w:rPr>
        <w:t xml:space="preserve">Elimination of </w:t>
      </w:r>
      <w:r w:rsidRPr="00B004E5" w:rsidR="00F324F1">
        <w:rPr>
          <w:rFonts w:ascii="Arial" w:hAnsi="Arial"/>
          <w:color w:val="000000" w:themeColor="text1"/>
          <w:sz w:val="22"/>
          <w:szCs w:val="22"/>
        </w:rPr>
        <w:t xml:space="preserve">this </w:t>
      </w:r>
      <w:r w:rsidRPr="00B004E5">
        <w:rPr>
          <w:rFonts w:ascii="Arial" w:hAnsi="Arial"/>
          <w:color w:val="000000" w:themeColor="text1"/>
          <w:sz w:val="22"/>
          <w:szCs w:val="22"/>
        </w:rPr>
        <w:t xml:space="preserve">data collection would seriously degrade the NRC’s ability to assess operating experience, </w:t>
      </w:r>
      <w:r w:rsidRPr="00B004E5" w:rsidR="2D348DDF">
        <w:rPr>
          <w:rFonts w:ascii="Arial" w:hAnsi="Arial"/>
          <w:color w:val="000000" w:themeColor="text1"/>
          <w:sz w:val="22"/>
          <w:szCs w:val="22"/>
        </w:rPr>
        <w:t xml:space="preserve">identify negative trends, </w:t>
      </w:r>
      <w:r w:rsidRPr="00B004E5" w:rsidR="00BD0EA5">
        <w:rPr>
          <w:rFonts w:ascii="Arial" w:hAnsi="Arial"/>
          <w:color w:val="000000" w:themeColor="text1"/>
          <w:sz w:val="22"/>
          <w:szCs w:val="22"/>
        </w:rPr>
        <w:t>monitor industry performance</w:t>
      </w:r>
      <w:r w:rsidRPr="00B004E5" w:rsidR="00663D90">
        <w:rPr>
          <w:rFonts w:ascii="Arial" w:hAnsi="Arial"/>
          <w:color w:val="000000" w:themeColor="text1"/>
          <w:sz w:val="22"/>
          <w:szCs w:val="22"/>
        </w:rPr>
        <w:t>, and</w:t>
      </w:r>
      <w:r w:rsidRPr="00B004E5" w:rsidR="00BD0EA5">
        <w:rPr>
          <w:rFonts w:ascii="Arial" w:hAnsi="Arial"/>
          <w:color w:val="000000" w:themeColor="text1"/>
          <w:sz w:val="22"/>
          <w:szCs w:val="22"/>
        </w:rPr>
        <w:t xml:space="preserve"> </w:t>
      </w:r>
      <w:r w:rsidRPr="00B004E5" w:rsidR="2D348DDF">
        <w:rPr>
          <w:rFonts w:ascii="Arial" w:hAnsi="Arial"/>
          <w:color w:val="000000" w:themeColor="text1"/>
          <w:sz w:val="22"/>
          <w:szCs w:val="22"/>
        </w:rPr>
        <w:t xml:space="preserve">provide information to stakeholders </w:t>
      </w:r>
      <w:r w:rsidRPr="00B004E5">
        <w:rPr>
          <w:rFonts w:ascii="Arial" w:hAnsi="Arial"/>
          <w:color w:val="000000" w:themeColor="text1"/>
          <w:sz w:val="22"/>
          <w:szCs w:val="22"/>
        </w:rPr>
        <w:t>in a timely manner including corrective actions to prevent recurrences</w:t>
      </w:r>
      <w:r w:rsidRPr="00B004E5" w:rsidR="0045681F">
        <w:rPr>
          <w:rFonts w:ascii="Arial" w:hAnsi="Arial"/>
          <w:color w:val="000000" w:themeColor="text1"/>
          <w:sz w:val="22"/>
          <w:szCs w:val="22"/>
        </w:rPr>
        <w:t xml:space="preserve">. </w:t>
      </w:r>
      <w:r w:rsidRPr="00B004E5">
        <w:rPr>
          <w:rFonts w:ascii="Arial" w:hAnsi="Arial"/>
          <w:color w:val="000000" w:themeColor="text1"/>
          <w:sz w:val="22"/>
          <w:szCs w:val="22"/>
        </w:rPr>
        <w:t>Additionally, LERs are available to the public and provide more detailed information concerning relatively significant events, thereby increasing public confidence in the regulatory process.</w:t>
      </w:r>
    </w:p>
    <w:bookmarkEnd w:id="0"/>
    <w:p w:rsidR="00F52F5C" w:rsidRPr="00B004E5" w:rsidP="002F41B7" w14:paraId="54B3E1BA" w14:textId="77777777">
      <w:pPr>
        <w:widowControl/>
        <w:rPr>
          <w:rFonts w:ascii="Arial" w:hAnsi="Arial" w:cs="Arial"/>
          <w:color w:val="000000" w:themeColor="text1"/>
          <w:sz w:val="22"/>
          <w:szCs w:val="22"/>
        </w:rPr>
      </w:pPr>
    </w:p>
    <w:p w:rsidR="002B1B50" w:rsidRPr="00B004E5" w:rsidP="004E4948" w14:paraId="01CFC59F" w14:textId="77777777">
      <w:pPr>
        <w:widowControl/>
        <w:tabs>
          <w:tab w:val="left" w:pos="-1440"/>
        </w:tabs>
        <w:ind w:left="720"/>
        <w:rPr>
          <w:rFonts w:ascii="Arial" w:hAnsi="Arial" w:cs="Arial"/>
          <w:color w:val="000000" w:themeColor="text1"/>
          <w:sz w:val="22"/>
          <w:szCs w:val="22"/>
        </w:rPr>
      </w:pPr>
      <w:r w:rsidRPr="00B004E5">
        <w:rPr>
          <w:rFonts w:ascii="Arial" w:hAnsi="Arial" w:cs="Arial"/>
          <w:color w:val="000000" w:themeColor="text1"/>
          <w:sz w:val="22"/>
          <w:szCs w:val="22"/>
        </w:rPr>
        <w:t>3.</w:t>
      </w:r>
      <w:r w:rsidRPr="00B004E5">
        <w:rPr>
          <w:rFonts w:ascii="Arial" w:hAnsi="Arial" w:cs="Arial"/>
          <w:color w:val="000000" w:themeColor="text1"/>
          <w:sz w:val="22"/>
          <w:szCs w:val="22"/>
        </w:rPr>
        <w:tab/>
      </w:r>
      <w:r w:rsidRPr="00B004E5">
        <w:rPr>
          <w:rFonts w:ascii="Arial" w:hAnsi="Arial" w:cs="Arial"/>
          <w:color w:val="000000" w:themeColor="text1"/>
          <w:sz w:val="22"/>
          <w:szCs w:val="22"/>
          <w:u w:val="single"/>
        </w:rPr>
        <w:t>Reduction of Burden </w:t>
      </w:r>
      <w:r w:rsidRPr="00B004E5" w:rsidR="00047677">
        <w:rPr>
          <w:rFonts w:ascii="Arial" w:hAnsi="Arial" w:cs="Arial"/>
          <w:color w:val="000000" w:themeColor="text1"/>
          <w:sz w:val="22"/>
          <w:szCs w:val="22"/>
          <w:u w:val="single"/>
        </w:rPr>
        <w:t>through</w:t>
      </w:r>
      <w:r w:rsidRPr="00B004E5">
        <w:rPr>
          <w:rFonts w:ascii="Arial" w:hAnsi="Arial" w:cs="Arial"/>
          <w:color w:val="000000" w:themeColor="text1"/>
          <w:sz w:val="22"/>
          <w:szCs w:val="22"/>
          <w:u w:val="single"/>
        </w:rPr>
        <w:t> Information Technology</w:t>
      </w:r>
    </w:p>
    <w:p w:rsidR="002B1B50" w:rsidRPr="00B004E5" w:rsidP="002F41B7" w14:paraId="1ADD189D" w14:textId="77777777">
      <w:pPr>
        <w:widowControl/>
        <w:rPr>
          <w:rFonts w:ascii="Arial" w:hAnsi="Arial" w:cs="Arial"/>
          <w:color w:val="000000" w:themeColor="text1"/>
          <w:sz w:val="22"/>
          <w:szCs w:val="22"/>
        </w:rPr>
      </w:pPr>
    </w:p>
    <w:p w:rsidR="00A76D46" w:rsidRPr="00B004E5" w:rsidP="00B004E5" w14:paraId="7FB9EFEE" w14:textId="3F7A623C">
      <w:pPr>
        <w:widowControl/>
        <w:ind w:left="1440"/>
        <w:rPr>
          <w:rFonts w:ascii="Arial" w:hAnsi="Arial" w:cs="Arial"/>
          <w:color w:val="000000" w:themeColor="text1"/>
          <w:sz w:val="22"/>
          <w:szCs w:val="22"/>
        </w:rPr>
      </w:pPr>
      <w:r w:rsidRPr="00B004E5">
        <w:rPr>
          <w:rFonts w:ascii="Arial" w:eastAsia="Calibri" w:hAnsi="Arial" w:cs="Arial"/>
          <w:color w:val="000000" w:themeColor="text1"/>
          <w:sz w:val="22"/>
          <w:szCs w:val="22"/>
        </w:rPr>
        <w:t xml:space="preserve">The NRC has issued </w:t>
      </w:r>
      <w:hyperlink r:id="rId6" w:history="1">
        <w:r w:rsidRPr="00B004E5">
          <w:rPr>
            <w:rFonts w:ascii="Arial" w:eastAsia="Calibri" w:hAnsi="Arial" w:cs="Arial"/>
            <w:i/>
            <w:color w:val="000000" w:themeColor="text1"/>
            <w:sz w:val="22"/>
            <w:szCs w:val="22"/>
            <w:u w:val="single"/>
          </w:rPr>
          <w:t>Guidance for Electronic Submissions to the NRC</w:t>
        </w:r>
      </w:hyperlink>
      <w:r w:rsidRPr="00B004E5">
        <w:rPr>
          <w:rFonts w:ascii="Arial" w:eastAsia="Calibri" w:hAnsi="Arial" w:cs="Arial"/>
          <w:color w:val="000000" w:themeColor="text1"/>
          <w:sz w:val="22"/>
          <w:szCs w:val="22"/>
        </w:rPr>
        <w:t xml:space="preserve"> which provides direction for the electronic transmission and submittal of documents to the NRC</w:t>
      </w:r>
      <w:r w:rsidRPr="00B004E5" w:rsidR="0045681F">
        <w:rPr>
          <w:rFonts w:ascii="Arial" w:eastAsia="Calibri" w:hAnsi="Arial" w:cs="Arial"/>
          <w:color w:val="000000" w:themeColor="text1"/>
          <w:sz w:val="22"/>
          <w:szCs w:val="22"/>
        </w:rPr>
        <w:t xml:space="preserve">. </w:t>
      </w:r>
      <w:r w:rsidR="0024586E">
        <w:rPr>
          <w:rFonts w:ascii="Arial" w:eastAsia="Calibri" w:hAnsi="Arial" w:cs="Arial"/>
          <w:color w:val="000000" w:themeColor="text1"/>
          <w:sz w:val="22"/>
          <w:szCs w:val="22"/>
        </w:rPr>
        <w:t>E</w:t>
      </w:r>
      <w:r w:rsidRPr="00B004E5">
        <w:rPr>
          <w:rFonts w:ascii="Arial" w:eastAsia="Calibri" w:hAnsi="Arial" w:cs="Arial"/>
          <w:color w:val="000000" w:themeColor="text1"/>
          <w:sz w:val="22"/>
          <w:szCs w:val="22"/>
        </w:rPr>
        <w:t>lectronic transmission and submittal of documents can be accomplished via the following avenues: the Electronic Information Exchange (EIE) process, which is available from the NRC's “Electronic Submittals” Web page, by Optical Storage Media (OSM) (e.g. CD-ROM, DVD), by facsimile or by e</w:t>
      </w:r>
      <w:r w:rsidR="00644EF8">
        <w:rPr>
          <w:rFonts w:ascii="Arial" w:eastAsia="Calibri" w:hAnsi="Arial" w:cs="Arial"/>
          <w:color w:val="000000" w:themeColor="text1"/>
          <w:sz w:val="22"/>
          <w:szCs w:val="22"/>
        </w:rPr>
        <w:t>mail</w:t>
      </w:r>
      <w:r w:rsidRPr="00B004E5" w:rsidR="0045681F">
        <w:rPr>
          <w:rFonts w:ascii="Arial" w:eastAsia="Calibri" w:hAnsi="Arial" w:cs="Arial"/>
          <w:color w:val="000000" w:themeColor="text1"/>
          <w:sz w:val="22"/>
          <w:szCs w:val="22"/>
        </w:rPr>
        <w:t xml:space="preserve">. </w:t>
      </w:r>
      <w:r w:rsidRPr="00B004E5">
        <w:rPr>
          <w:rFonts w:ascii="Arial" w:hAnsi="Arial" w:cs="Arial"/>
          <w:color w:val="000000" w:themeColor="text1"/>
          <w:sz w:val="22"/>
          <w:szCs w:val="22"/>
        </w:rPr>
        <w:t xml:space="preserve">It is estimated that </w:t>
      </w:r>
      <w:r w:rsidRPr="00B004E5" w:rsidR="005001D6">
        <w:rPr>
          <w:rFonts w:ascii="Arial" w:hAnsi="Arial" w:cs="Arial"/>
          <w:color w:val="000000" w:themeColor="text1"/>
          <w:sz w:val="22"/>
          <w:szCs w:val="22"/>
        </w:rPr>
        <w:t>99 percent</w:t>
      </w:r>
      <w:r w:rsidRPr="00B004E5">
        <w:rPr>
          <w:rFonts w:ascii="Arial" w:hAnsi="Arial" w:cs="Arial"/>
          <w:color w:val="000000" w:themeColor="text1"/>
          <w:sz w:val="22"/>
          <w:szCs w:val="22"/>
        </w:rPr>
        <w:t xml:space="preserve"> of the potential responses are filed electronically</w:t>
      </w:r>
      <w:r w:rsidRPr="00B004E5" w:rsidR="0045681F">
        <w:rPr>
          <w:rFonts w:ascii="Arial" w:hAnsi="Arial" w:cs="Arial"/>
          <w:color w:val="000000" w:themeColor="text1"/>
          <w:sz w:val="22"/>
          <w:szCs w:val="22"/>
        </w:rPr>
        <w:t xml:space="preserve">. </w:t>
      </w:r>
      <w:r w:rsidRPr="00B004E5" w:rsidR="005E1FA9">
        <w:rPr>
          <w:rFonts w:ascii="Arial" w:hAnsi="Arial" w:cs="Arial"/>
          <w:color w:val="000000" w:themeColor="text1"/>
          <w:sz w:val="22"/>
          <w:szCs w:val="22"/>
        </w:rPr>
        <w:t xml:space="preserve">The remaining </w:t>
      </w:r>
      <w:r w:rsidRPr="00B004E5" w:rsidR="005662F6">
        <w:rPr>
          <w:rFonts w:ascii="Arial" w:hAnsi="Arial" w:cs="Arial"/>
          <w:color w:val="000000" w:themeColor="text1"/>
          <w:sz w:val="22"/>
          <w:szCs w:val="22"/>
        </w:rPr>
        <w:t xml:space="preserve">are </w:t>
      </w:r>
      <w:r w:rsidRPr="00B004E5" w:rsidR="00526D00">
        <w:rPr>
          <w:rFonts w:ascii="Arial" w:hAnsi="Arial" w:cs="Arial"/>
          <w:color w:val="000000" w:themeColor="text1"/>
          <w:sz w:val="22"/>
          <w:szCs w:val="22"/>
        </w:rPr>
        <w:t>s</w:t>
      </w:r>
      <w:r w:rsidRPr="00B004E5" w:rsidR="006C52A9">
        <w:rPr>
          <w:rFonts w:ascii="Arial" w:hAnsi="Arial" w:cs="Arial"/>
          <w:color w:val="000000" w:themeColor="text1"/>
          <w:sz w:val="22"/>
          <w:szCs w:val="22"/>
        </w:rPr>
        <w:t>ecurity-related</w:t>
      </w:r>
      <w:r w:rsidRPr="00B004E5" w:rsidR="00CE47E2">
        <w:rPr>
          <w:rFonts w:ascii="Arial" w:hAnsi="Arial" w:cs="Arial"/>
          <w:color w:val="000000" w:themeColor="text1"/>
          <w:sz w:val="22"/>
          <w:szCs w:val="22"/>
        </w:rPr>
        <w:t xml:space="preserve"> </w:t>
      </w:r>
      <w:r w:rsidRPr="00B004E5" w:rsidR="006C52A9">
        <w:rPr>
          <w:rFonts w:ascii="Arial" w:hAnsi="Arial" w:cs="Arial"/>
          <w:color w:val="000000" w:themeColor="text1"/>
          <w:sz w:val="22"/>
          <w:szCs w:val="22"/>
        </w:rPr>
        <w:t>submissions</w:t>
      </w:r>
      <w:r w:rsidRPr="00B004E5" w:rsidR="00296CC8">
        <w:rPr>
          <w:rFonts w:ascii="Arial" w:hAnsi="Arial" w:cs="Arial"/>
          <w:color w:val="000000" w:themeColor="text1"/>
          <w:sz w:val="22"/>
          <w:szCs w:val="22"/>
        </w:rPr>
        <w:t xml:space="preserve"> that</w:t>
      </w:r>
      <w:r w:rsidRPr="00B004E5" w:rsidR="00F54AB0">
        <w:rPr>
          <w:rFonts w:ascii="Arial" w:hAnsi="Arial" w:cs="Arial"/>
          <w:color w:val="000000" w:themeColor="text1"/>
          <w:sz w:val="22"/>
          <w:szCs w:val="22"/>
        </w:rPr>
        <w:t xml:space="preserve"> contain S</w:t>
      </w:r>
      <w:r w:rsidRPr="00B004E5" w:rsidR="006C52A9">
        <w:rPr>
          <w:rFonts w:ascii="Arial" w:hAnsi="Arial" w:cs="Arial"/>
          <w:color w:val="000000" w:themeColor="text1"/>
          <w:sz w:val="22"/>
          <w:szCs w:val="22"/>
        </w:rPr>
        <w:t xml:space="preserve">afeguards </w:t>
      </w:r>
      <w:r w:rsidRPr="00B004E5" w:rsidR="00F54AB0">
        <w:rPr>
          <w:rFonts w:ascii="Arial" w:hAnsi="Arial" w:cs="Arial"/>
          <w:color w:val="000000" w:themeColor="text1"/>
          <w:sz w:val="22"/>
          <w:szCs w:val="22"/>
        </w:rPr>
        <w:t>I</w:t>
      </w:r>
      <w:r w:rsidRPr="00B004E5" w:rsidR="006C52A9">
        <w:rPr>
          <w:rFonts w:ascii="Arial" w:hAnsi="Arial" w:cs="Arial"/>
          <w:color w:val="000000" w:themeColor="text1"/>
          <w:sz w:val="22"/>
          <w:szCs w:val="22"/>
        </w:rPr>
        <w:t xml:space="preserve">nformation </w:t>
      </w:r>
      <w:r w:rsidRPr="00B004E5" w:rsidR="006C716B">
        <w:rPr>
          <w:rFonts w:ascii="Arial" w:hAnsi="Arial" w:cs="Arial"/>
          <w:color w:val="000000" w:themeColor="text1"/>
          <w:sz w:val="22"/>
          <w:szCs w:val="22"/>
        </w:rPr>
        <w:t xml:space="preserve">and may be </w:t>
      </w:r>
      <w:r w:rsidRPr="00B004E5" w:rsidR="006C52A9">
        <w:rPr>
          <w:rFonts w:ascii="Arial" w:hAnsi="Arial" w:cs="Arial"/>
          <w:color w:val="000000" w:themeColor="text1"/>
          <w:sz w:val="22"/>
          <w:szCs w:val="22"/>
        </w:rPr>
        <w:t>submitted in paper format.</w:t>
      </w:r>
    </w:p>
    <w:p w:rsidR="007831B7" w:rsidRPr="00B004E5" w:rsidP="00BC0845" w14:paraId="1634C63A" w14:textId="77777777">
      <w:pPr>
        <w:widowControl/>
        <w:ind w:left="720"/>
        <w:rPr>
          <w:rFonts w:ascii="Arial" w:hAnsi="Arial" w:cs="Arial"/>
          <w:color w:val="000000" w:themeColor="text1"/>
          <w:sz w:val="22"/>
          <w:szCs w:val="22"/>
        </w:rPr>
      </w:pPr>
    </w:p>
    <w:p w:rsidR="002B1B50" w:rsidRPr="00B004E5" w:rsidP="004E4948" w14:paraId="01A5661B" w14:textId="77777777">
      <w:pPr>
        <w:widowControl/>
        <w:tabs>
          <w:tab w:val="left" w:pos="-1440"/>
        </w:tabs>
        <w:ind w:left="720"/>
        <w:rPr>
          <w:rFonts w:ascii="Arial" w:hAnsi="Arial" w:cs="Arial"/>
          <w:color w:val="000000" w:themeColor="text1"/>
          <w:sz w:val="22"/>
          <w:szCs w:val="22"/>
        </w:rPr>
      </w:pPr>
      <w:r w:rsidRPr="00B004E5">
        <w:rPr>
          <w:rFonts w:ascii="Arial" w:hAnsi="Arial" w:cs="Arial"/>
          <w:color w:val="000000" w:themeColor="text1"/>
          <w:sz w:val="22"/>
          <w:szCs w:val="22"/>
        </w:rPr>
        <w:t>4.</w:t>
      </w:r>
      <w:r w:rsidRPr="00B004E5">
        <w:rPr>
          <w:rFonts w:ascii="Arial" w:hAnsi="Arial" w:cs="Arial"/>
          <w:color w:val="000000" w:themeColor="text1"/>
          <w:sz w:val="22"/>
          <w:szCs w:val="22"/>
        </w:rPr>
        <w:tab/>
      </w:r>
      <w:r w:rsidRPr="00B004E5">
        <w:rPr>
          <w:rFonts w:ascii="Arial" w:hAnsi="Arial" w:cs="Arial"/>
          <w:color w:val="000000" w:themeColor="text1"/>
          <w:sz w:val="22"/>
          <w:szCs w:val="22"/>
          <w:u w:val="single"/>
        </w:rPr>
        <w:t>Effort to Identify Duplication and Use Similar Information</w:t>
      </w:r>
    </w:p>
    <w:p w:rsidR="002B1B50" w:rsidRPr="00B004E5" w:rsidP="00BC0845" w14:paraId="414AD4C7" w14:textId="77777777">
      <w:pPr>
        <w:widowControl/>
        <w:rPr>
          <w:rFonts w:ascii="Arial" w:hAnsi="Arial" w:cs="Arial"/>
          <w:color w:val="000000" w:themeColor="text1"/>
          <w:sz w:val="22"/>
          <w:szCs w:val="22"/>
        </w:rPr>
      </w:pPr>
    </w:p>
    <w:p w:rsidR="00584E7D" w:rsidRPr="00B004E5" w:rsidP="00B004E5" w14:paraId="6C1962FB" w14:textId="52275877">
      <w:pPr>
        <w:widowControl/>
        <w:ind w:left="1440"/>
        <w:rPr>
          <w:rFonts w:ascii="Arial" w:hAnsi="Arial"/>
          <w:color w:val="000000" w:themeColor="text1"/>
          <w:sz w:val="22"/>
        </w:rPr>
      </w:pPr>
      <w:r w:rsidRPr="00B004E5">
        <w:rPr>
          <w:rFonts w:ascii="Arial" w:hAnsi="Arial" w:cs="Arial"/>
          <w:color w:val="000000" w:themeColor="text1"/>
          <w:sz w:val="22"/>
          <w:szCs w:val="22"/>
        </w:rPr>
        <w:t>No s</w:t>
      </w:r>
      <w:r w:rsidRPr="00B004E5" w:rsidR="00A243B4">
        <w:rPr>
          <w:rFonts w:ascii="Arial" w:hAnsi="Arial" w:cs="Arial"/>
          <w:color w:val="000000" w:themeColor="text1"/>
          <w:sz w:val="22"/>
          <w:szCs w:val="22"/>
        </w:rPr>
        <w:t>ources of simi</w:t>
      </w:r>
      <w:r w:rsidRPr="00B004E5" w:rsidR="000C141A">
        <w:rPr>
          <w:rFonts w:ascii="Arial" w:hAnsi="Arial" w:cs="Arial"/>
          <w:color w:val="000000" w:themeColor="text1"/>
          <w:sz w:val="22"/>
          <w:szCs w:val="22"/>
        </w:rPr>
        <w:t>lar information are available</w:t>
      </w:r>
      <w:r w:rsidRPr="00B004E5" w:rsidR="0045681F">
        <w:rPr>
          <w:rFonts w:ascii="Arial" w:hAnsi="Arial" w:cs="Arial"/>
          <w:color w:val="000000" w:themeColor="text1"/>
          <w:sz w:val="22"/>
          <w:szCs w:val="22"/>
        </w:rPr>
        <w:t xml:space="preserve">. </w:t>
      </w:r>
      <w:r w:rsidRPr="00B004E5" w:rsidR="003D618B">
        <w:rPr>
          <w:rFonts w:ascii="Arial" w:hAnsi="Arial" w:cs="Arial"/>
          <w:color w:val="000000" w:themeColor="text1"/>
          <w:sz w:val="22"/>
          <w:szCs w:val="22"/>
        </w:rPr>
        <w:t>There is no duplication of requirements</w:t>
      </w:r>
      <w:r w:rsidRPr="00B004E5" w:rsidR="0045681F">
        <w:rPr>
          <w:rFonts w:ascii="Arial" w:hAnsi="Arial" w:cs="Arial"/>
          <w:color w:val="000000" w:themeColor="text1"/>
          <w:sz w:val="22"/>
          <w:szCs w:val="22"/>
        </w:rPr>
        <w:t xml:space="preserve">. </w:t>
      </w:r>
      <w:r w:rsidRPr="00B004E5" w:rsidR="002F1996">
        <w:rPr>
          <w:rFonts w:ascii="Arial" w:hAnsi="Arial" w:cs="Arial"/>
          <w:color w:val="000000" w:themeColor="text1"/>
          <w:sz w:val="22"/>
          <w:szCs w:val="22"/>
        </w:rPr>
        <w:t>Some</w:t>
      </w:r>
      <w:r w:rsidRPr="00B004E5" w:rsidR="00E9447E">
        <w:rPr>
          <w:rFonts w:ascii="Arial" w:hAnsi="Arial" w:cs="Arial"/>
          <w:color w:val="000000" w:themeColor="text1"/>
          <w:sz w:val="22"/>
          <w:szCs w:val="22"/>
        </w:rPr>
        <w:t xml:space="preserve"> of </w:t>
      </w:r>
      <w:r w:rsidRPr="00B004E5" w:rsidR="001678A7">
        <w:rPr>
          <w:rFonts w:ascii="Arial" w:hAnsi="Arial" w:cs="Arial"/>
          <w:color w:val="000000" w:themeColor="text1"/>
          <w:sz w:val="22"/>
          <w:szCs w:val="22"/>
        </w:rPr>
        <w:t xml:space="preserve">the </w:t>
      </w:r>
      <w:r w:rsidRPr="00B004E5" w:rsidR="00E9447E">
        <w:rPr>
          <w:rFonts w:ascii="Arial" w:hAnsi="Arial" w:cs="Arial"/>
          <w:color w:val="000000" w:themeColor="text1"/>
          <w:sz w:val="22"/>
          <w:szCs w:val="22"/>
        </w:rPr>
        <w:t xml:space="preserve">information </w:t>
      </w:r>
      <w:r w:rsidRPr="00B004E5" w:rsidR="001678A7">
        <w:rPr>
          <w:rFonts w:ascii="Arial" w:hAnsi="Arial" w:cs="Arial"/>
          <w:color w:val="000000" w:themeColor="text1"/>
          <w:sz w:val="22"/>
          <w:szCs w:val="22"/>
        </w:rPr>
        <w:t xml:space="preserve">included by a licensee </w:t>
      </w:r>
      <w:r w:rsidRPr="00B004E5" w:rsidR="003D618B">
        <w:rPr>
          <w:rFonts w:ascii="Arial" w:hAnsi="Arial" w:cs="Arial"/>
          <w:color w:val="000000" w:themeColor="text1"/>
          <w:sz w:val="22"/>
          <w:szCs w:val="22"/>
        </w:rPr>
        <w:t>on</w:t>
      </w:r>
      <w:r w:rsidRPr="00B004E5" w:rsidR="001678A7">
        <w:rPr>
          <w:rFonts w:ascii="Arial" w:hAnsi="Arial" w:cs="Arial"/>
          <w:color w:val="000000" w:themeColor="text1"/>
          <w:sz w:val="22"/>
          <w:szCs w:val="22"/>
        </w:rPr>
        <w:t xml:space="preserve"> NRC Form 366 </w:t>
      </w:r>
      <w:r w:rsidRPr="00B004E5" w:rsidR="00E9447E">
        <w:rPr>
          <w:rFonts w:ascii="Arial" w:hAnsi="Arial" w:cs="Arial"/>
          <w:color w:val="000000" w:themeColor="text1"/>
          <w:sz w:val="22"/>
          <w:szCs w:val="22"/>
        </w:rPr>
        <w:t xml:space="preserve">is </w:t>
      </w:r>
      <w:r w:rsidRPr="00B004E5" w:rsidR="002F1996">
        <w:rPr>
          <w:rFonts w:ascii="Arial" w:hAnsi="Arial" w:cs="Arial"/>
          <w:color w:val="000000" w:themeColor="text1"/>
          <w:sz w:val="22"/>
          <w:szCs w:val="22"/>
        </w:rPr>
        <w:t xml:space="preserve">not </w:t>
      </w:r>
      <w:r w:rsidRPr="00B004E5" w:rsidR="00E9447E">
        <w:rPr>
          <w:rFonts w:ascii="Arial" w:hAnsi="Arial" w:cs="Arial"/>
          <w:color w:val="000000" w:themeColor="text1"/>
          <w:sz w:val="22"/>
          <w:szCs w:val="22"/>
        </w:rPr>
        <w:t xml:space="preserve">available at the time of the </w:t>
      </w:r>
      <w:r w:rsidRPr="00B004E5" w:rsidR="001678A7">
        <w:rPr>
          <w:rFonts w:ascii="Arial" w:hAnsi="Arial" w:cs="Arial"/>
          <w:color w:val="000000" w:themeColor="text1"/>
          <w:sz w:val="22"/>
          <w:szCs w:val="22"/>
        </w:rPr>
        <w:t xml:space="preserve">licensee’s </w:t>
      </w:r>
      <w:r w:rsidRPr="00B004E5" w:rsidR="00E9447E">
        <w:rPr>
          <w:rFonts w:ascii="Arial" w:hAnsi="Arial" w:cs="Arial"/>
          <w:color w:val="000000" w:themeColor="text1"/>
          <w:sz w:val="22"/>
          <w:szCs w:val="22"/>
        </w:rPr>
        <w:t>initial telephonic notification</w:t>
      </w:r>
      <w:r w:rsidRPr="00B004E5" w:rsidR="001678A7">
        <w:rPr>
          <w:rFonts w:ascii="Arial" w:hAnsi="Arial" w:cs="Arial"/>
          <w:color w:val="000000" w:themeColor="text1"/>
          <w:sz w:val="22"/>
          <w:szCs w:val="22"/>
        </w:rPr>
        <w:t xml:space="preserve"> of a </w:t>
      </w:r>
      <w:r w:rsidRPr="00B004E5" w:rsidR="00A364B3">
        <w:rPr>
          <w:rFonts w:ascii="Arial" w:hAnsi="Arial" w:cs="Arial"/>
          <w:color w:val="000000" w:themeColor="text1"/>
          <w:sz w:val="22"/>
          <w:szCs w:val="22"/>
        </w:rPr>
        <w:t>significant</w:t>
      </w:r>
      <w:r w:rsidRPr="00B004E5" w:rsidR="001678A7">
        <w:rPr>
          <w:rFonts w:ascii="Arial" w:hAnsi="Arial" w:cs="Arial"/>
          <w:color w:val="000000" w:themeColor="text1"/>
          <w:sz w:val="22"/>
          <w:szCs w:val="22"/>
        </w:rPr>
        <w:t xml:space="preserve"> event</w:t>
      </w:r>
      <w:r w:rsidRPr="00B004E5" w:rsidR="002F1996">
        <w:rPr>
          <w:rFonts w:ascii="Arial" w:hAnsi="Arial" w:cs="Arial"/>
          <w:color w:val="000000" w:themeColor="text1"/>
          <w:sz w:val="22"/>
          <w:szCs w:val="22"/>
        </w:rPr>
        <w:t xml:space="preserve"> (e.g., the root cause and corrective actions to prevent recurrence)</w:t>
      </w:r>
      <w:r w:rsidRPr="00B004E5" w:rsidR="00E9447E">
        <w:rPr>
          <w:rFonts w:ascii="Arial" w:hAnsi="Arial" w:cs="Arial"/>
          <w:color w:val="000000" w:themeColor="text1"/>
          <w:sz w:val="22"/>
          <w:szCs w:val="22"/>
        </w:rPr>
        <w:t>.</w:t>
      </w:r>
    </w:p>
    <w:p w:rsidR="00B104CB" w:rsidRPr="00B004E5" w:rsidP="00BC0845" w14:paraId="24F71572" w14:textId="77777777">
      <w:pPr>
        <w:widowControl/>
        <w:ind w:left="720"/>
        <w:rPr>
          <w:rFonts w:ascii="Arial" w:hAnsi="Arial"/>
          <w:color w:val="000000" w:themeColor="text1"/>
          <w:sz w:val="22"/>
        </w:rPr>
      </w:pPr>
    </w:p>
    <w:p w:rsidR="002B1B50" w:rsidRPr="00B004E5" w:rsidP="004E4948" w14:paraId="35FE7D5F" w14:textId="77777777">
      <w:pPr>
        <w:keepNext/>
        <w:keepLines/>
        <w:widowControl/>
        <w:tabs>
          <w:tab w:val="left" w:pos="-1440"/>
        </w:tabs>
        <w:ind w:left="720"/>
        <w:rPr>
          <w:rFonts w:ascii="Arial" w:hAnsi="Arial" w:cs="Arial"/>
          <w:color w:val="000000" w:themeColor="text1"/>
          <w:sz w:val="22"/>
          <w:szCs w:val="22"/>
        </w:rPr>
      </w:pPr>
      <w:r w:rsidRPr="00B004E5">
        <w:rPr>
          <w:rFonts w:ascii="Arial" w:hAnsi="Arial" w:cs="Arial"/>
          <w:color w:val="000000" w:themeColor="text1"/>
          <w:sz w:val="22"/>
          <w:szCs w:val="22"/>
        </w:rPr>
        <w:t>5.</w:t>
      </w:r>
      <w:r w:rsidRPr="00B004E5">
        <w:rPr>
          <w:rFonts w:ascii="Arial" w:hAnsi="Arial" w:cs="Arial"/>
          <w:color w:val="000000" w:themeColor="text1"/>
          <w:sz w:val="22"/>
          <w:szCs w:val="22"/>
        </w:rPr>
        <w:tab/>
      </w:r>
      <w:r w:rsidRPr="00B004E5">
        <w:rPr>
          <w:rFonts w:ascii="Arial" w:hAnsi="Arial" w:cs="Arial"/>
          <w:color w:val="000000" w:themeColor="text1"/>
          <w:sz w:val="22"/>
          <w:szCs w:val="22"/>
          <w:u w:val="single"/>
        </w:rPr>
        <w:t>Effort to Reduce Small Business Burden</w:t>
      </w:r>
    </w:p>
    <w:p w:rsidR="002B1B50" w:rsidRPr="00B004E5" w:rsidP="00BC0845" w14:paraId="7F1C7FDF" w14:textId="77777777">
      <w:pPr>
        <w:keepNext/>
        <w:keepLines/>
        <w:widowControl/>
        <w:rPr>
          <w:rFonts w:ascii="Arial" w:hAnsi="Arial" w:cs="Arial"/>
          <w:color w:val="000000" w:themeColor="text1"/>
          <w:sz w:val="22"/>
          <w:szCs w:val="22"/>
        </w:rPr>
      </w:pPr>
    </w:p>
    <w:p w:rsidR="00FA4B69" w:rsidRPr="00B004E5" w:rsidP="00B004E5" w14:paraId="03629077" w14:textId="38530BFB">
      <w:pPr>
        <w:keepNext/>
        <w:keepLines/>
        <w:widowControl/>
        <w:ind w:left="1440"/>
        <w:rPr>
          <w:rFonts w:ascii="Arial" w:hAnsi="Arial" w:cs="Arial"/>
          <w:color w:val="000000" w:themeColor="text1"/>
          <w:sz w:val="22"/>
          <w:szCs w:val="22"/>
        </w:rPr>
      </w:pPr>
      <w:r w:rsidRPr="00B004E5">
        <w:rPr>
          <w:rFonts w:ascii="Arial" w:hAnsi="Arial" w:cs="Arial"/>
          <w:color w:val="000000" w:themeColor="text1"/>
          <w:sz w:val="22"/>
          <w:szCs w:val="22"/>
        </w:rPr>
        <w:t>The</w:t>
      </w:r>
      <w:r w:rsidRPr="00B004E5">
        <w:rPr>
          <w:rFonts w:ascii="Arial" w:hAnsi="Arial" w:cs="Arial"/>
          <w:color w:val="000000" w:themeColor="text1"/>
          <w:sz w:val="22"/>
          <w:szCs w:val="22"/>
        </w:rPr>
        <w:t xml:space="preserve"> NRC has determined that the companies that own the sites affected by </w:t>
      </w:r>
      <w:r w:rsidRPr="00B004E5" w:rsidR="000637B3">
        <w:rPr>
          <w:rFonts w:ascii="Arial" w:hAnsi="Arial" w:cs="Arial"/>
          <w:color w:val="000000" w:themeColor="text1"/>
          <w:sz w:val="22"/>
          <w:szCs w:val="22"/>
        </w:rPr>
        <w:t xml:space="preserve">10 CFR 50.73 </w:t>
      </w:r>
      <w:r w:rsidRPr="00B004E5" w:rsidR="004D54EE">
        <w:rPr>
          <w:rFonts w:ascii="Arial" w:hAnsi="Arial" w:cs="Arial"/>
          <w:color w:val="000000" w:themeColor="text1"/>
          <w:sz w:val="22"/>
          <w:szCs w:val="22"/>
        </w:rPr>
        <w:t xml:space="preserve">reporting </w:t>
      </w:r>
      <w:r w:rsidRPr="00B004E5" w:rsidR="00E7157C">
        <w:rPr>
          <w:rFonts w:ascii="Arial" w:hAnsi="Arial" w:cs="Arial"/>
          <w:color w:val="000000" w:themeColor="text1"/>
          <w:sz w:val="22"/>
          <w:szCs w:val="22"/>
        </w:rPr>
        <w:t>requirements</w:t>
      </w:r>
      <w:r w:rsidRPr="00B004E5">
        <w:rPr>
          <w:rFonts w:ascii="Arial" w:hAnsi="Arial" w:cs="Arial"/>
          <w:color w:val="000000" w:themeColor="text1"/>
          <w:sz w:val="22"/>
          <w:szCs w:val="22"/>
        </w:rPr>
        <w:t xml:space="preserve"> do not fall within t</w:t>
      </w:r>
      <w:r w:rsidRPr="00B004E5" w:rsidR="00594BCB">
        <w:rPr>
          <w:rFonts w:ascii="Arial" w:hAnsi="Arial" w:cs="Arial"/>
          <w:color w:val="000000" w:themeColor="text1"/>
          <w:sz w:val="22"/>
          <w:szCs w:val="22"/>
        </w:rPr>
        <w:t>he scope of the definition of “small entities”</w:t>
      </w:r>
      <w:r w:rsidRPr="00B004E5">
        <w:rPr>
          <w:rFonts w:ascii="Arial" w:hAnsi="Arial" w:cs="Arial"/>
          <w:color w:val="000000" w:themeColor="text1"/>
          <w:sz w:val="22"/>
          <w:szCs w:val="22"/>
        </w:rPr>
        <w:t xml:space="preserve"> set forth in the Regulatory Flexibility Act or the size stand</w:t>
      </w:r>
      <w:r w:rsidRPr="00B004E5" w:rsidR="00C9088E">
        <w:rPr>
          <w:rFonts w:ascii="Arial" w:hAnsi="Arial" w:cs="Arial"/>
          <w:color w:val="000000" w:themeColor="text1"/>
          <w:sz w:val="22"/>
          <w:szCs w:val="22"/>
        </w:rPr>
        <w:t>ards established by the NRC (10 </w:t>
      </w:r>
      <w:r w:rsidRPr="00B004E5" w:rsidR="007831B7">
        <w:rPr>
          <w:rFonts w:ascii="Arial" w:hAnsi="Arial" w:cs="Arial"/>
          <w:color w:val="000000" w:themeColor="text1"/>
          <w:sz w:val="22"/>
          <w:szCs w:val="22"/>
        </w:rPr>
        <w:t>CFR</w:t>
      </w:r>
      <w:r w:rsidRPr="00B004E5">
        <w:rPr>
          <w:rFonts w:ascii="Arial" w:hAnsi="Arial" w:cs="Arial"/>
          <w:color w:val="000000" w:themeColor="text1"/>
          <w:sz w:val="22"/>
          <w:szCs w:val="22"/>
        </w:rPr>
        <w:t xml:space="preserve"> 2.810).</w:t>
      </w:r>
    </w:p>
    <w:p w:rsidR="00C9088E" w:rsidRPr="00B004E5" w:rsidP="00BC0845" w14:paraId="5A1C9D7E" w14:textId="77777777">
      <w:pPr>
        <w:widowControl/>
        <w:rPr>
          <w:rFonts w:ascii="Arial" w:hAnsi="Arial" w:cs="Arial"/>
          <w:color w:val="000000" w:themeColor="text1"/>
          <w:sz w:val="22"/>
          <w:szCs w:val="22"/>
        </w:rPr>
      </w:pPr>
    </w:p>
    <w:p w:rsidR="002B1B50" w:rsidRPr="00B004E5" w:rsidP="00C72824" w14:paraId="5B8119A6" w14:textId="77777777">
      <w:pPr>
        <w:widowControl/>
        <w:tabs>
          <w:tab w:val="left" w:pos="-1440"/>
        </w:tabs>
        <w:ind w:left="1440" w:hanging="720"/>
        <w:rPr>
          <w:rFonts w:ascii="Arial" w:hAnsi="Arial" w:cs="Arial"/>
          <w:color w:val="000000" w:themeColor="text1"/>
          <w:sz w:val="22"/>
          <w:szCs w:val="22"/>
        </w:rPr>
      </w:pPr>
      <w:r w:rsidRPr="00B004E5">
        <w:rPr>
          <w:rFonts w:ascii="Arial" w:hAnsi="Arial" w:cs="Arial"/>
          <w:color w:val="000000" w:themeColor="text1"/>
          <w:sz w:val="22"/>
          <w:szCs w:val="22"/>
        </w:rPr>
        <w:t>6.</w:t>
      </w:r>
      <w:r w:rsidRPr="00B004E5">
        <w:rPr>
          <w:rFonts w:ascii="Arial" w:hAnsi="Arial" w:cs="Arial"/>
          <w:color w:val="000000" w:themeColor="text1"/>
          <w:sz w:val="22"/>
          <w:szCs w:val="22"/>
        </w:rPr>
        <w:tab/>
      </w:r>
      <w:r w:rsidRPr="00B004E5">
        <w:rPr>
          <w:rFonts w:ascii="Arial" w:hAnsi="Arial" w:cs="Arial"/>
          <w:color w:val="000000" w:themeColor="text1"/>
          <w:sz w:val="22"/>
          <w:szCs w:val="22"/>
          <w:u w:val="single"/>
        </w:rPr>
        <w:t>Consequences to Federal Program or Policy Activities if the Collection is Not Conducted or is Conducted Less Frequently</w:t>
      </w:r>
    </w:p>
    <w:p w:rsidR="002B1B50" w:rsidRPr="00B004E5" w:rsidP="00BC0845" w14:paraId="02C1CAA7" w14:textId="77777777">
      <w:pPr>
        <w:widowControl/>
        <w:rPr>
          <w:rFonts w:ascii="Arial" w:hAnsi="Arial" w:cs="Arial"/>
          <w:color w:val="000000" w:themeColor="text1"/>
          <w:sz w:val="22"/>
          <w:szCs w:val="22"/>
        </w:rPr>
      </w:pPr>
    </w:p>
    <w:p w:rsidR="00336F88" w:rsidRPr="00B004E5" w:rsidP="00336F88" w14:paraId="7B88FBDD" w14:textId="56742B60">
      <w:pPr>
        <w:ind w:left="1440"/>
        <w:rPr>
          <w:rFonts w:ascii="Arial" w:hAnsi="Arial"/>
          <w:color w:val="000000" w:themeColor="text1"/>
          <w:sz w:val="22"/>
          <w:szCs w:val="22"/>
        </w:rPr>
      </w:pPr>
      <w:r w:rsidRPr="00614CC5">
        <w:rPr>
          <w:rFonts w:ascii="Arial" w:hAnsi="Arial"/>
          <w:color w:val="000000" w:themeColor="text1"/>
          <w:sz w:val="22"/>
          <w:szCs w:val="22"/>
        </w:rPr>
        <w:t>Not collecting the information, or collecting it less frequently,</w:t>
      </w:r>
      <w:r w:rsidRPr="00B004E5" w:rsidR="003316D5">
        <w:rPr>
          <w:rFonts w:ascii="Arial" w:hAnsi="Arial"/>
          <w:color w:val="000000" w:themeColor="text1"/>
          <w:sz w:val="22"/>
          <w:szCs w:val="22"/>
        </w:rPr>
        <w:t xml:space="preserve"> would</w:t>
      </w:r>
      <w:r w:rsidRPr="00B004E5">
        <w:rPr>
          <w:rFonts w:ascii="Arial" w:hAnsi="Arial"/>
          <w:color w:val="000000" w:themeColor="text1"/>
          <w:sz w:val="22"/>
          <w:szCs w:val="22"/>
        </w:rPr>
        <w:t xml:space="preserve"> degrade the NRC’s </w:t>
      </w:r>
      <w:r w:rsidRPr="00B004E5" w:rsidR="001914AD">
        <w:rPr>
          <w:rFonts w:ascii="Arial" w:hAnsi="Arial"/>
          <w:color w:val="000000" w:themeColor="text1"/>
          <w:sz w:val="22"/>
          <w:szCs w:val="22"/>
        </w:rPr>
        <w:t xml:space="preserve">situational awareness and its </w:t>
      </w:r>
      <w:r w:rsidRPr="00B004E5">
        <w:rPr>
          <w:rFonts w:ascii="Arial" w:hAnsi="Arial"/>
          <w:color w:val="000000" w:themeColor="text1"/>
          <w:sz w:val="22"/>
          <w:szCs w:val="22"/>
        </w:rPr>
        <w:t xml:space="preserve">ability to </w:t>
      </w:r>
      <w:r w:rsidRPr="00B004E5" w:rsidR="00D57430">
        <w:rPr>
          <w:rFonts w:ascii="Arial" w:hAnsi="Arial"/>
          <w:color w:val="000000" w:themeColor="text1"/>
          <w:sz w:val="22"/>
          <w:szCs w:val="22"/>
        </w:rPr>
        <w:t>take appropriate</w:t>
      </w:r>
      <w:r w:rsidRPr="00B004E5">
        <w:rPr>
          <w:rFonts w:ascii="Arial" w:hAnsi="Arial"/>
          <w:color w:val="000000" w:themeColor="text1"/>
          <w:sz w:val="22"/>
          <w:szCs w:val="22"/>
        </w:rPr>
        <w:t xml:space="preserve"> actions</w:t>
      </w:r>
      <w:r>
        <w:rPr>
          <w:rFonts w:ascii="Arial" w:hAnsi="Arial"/>
          <w:color w:val="000000" w:themeColor="text1"/>
          <w:sz w:val="22"/>
          <w:szCs w:val="22"/>
        </w:rPr>
        <w:t xml:space="preserve"> in a timely manner</w:t>
      </w:r>
      <w:r w:rsidRPr="00B004E5">
        <w:rPr>
          <w:rFonts w:ascii="Arial" w:hAnsi="Arial"/>
          <w:color w:val="000000" w:themeColor="text1"/>
          <w:sz w:val="22"/>
          <w:szCs w:val="22"/>
        </w:rPr>
        <w:t xml:space="preserve"> to resolve potential threats to public health and safety or the environment</w:t>
      </w:r>
      <w:r w:rsidRPr="00B004E5" w:rsidR="0045681F">
        <w:rPr>
          <w:rFonts w:ascii="Arial" w:hAnsi="Arial"/>
          <w:color w:val="000000" w:themeColor="text1"/>
          <w:sz w:val="22"/>
          <w:szCs w:val="22"/>
        </w:rPr>
        <w:t xml:space="preserve">. </w:t>
      </w:r>
      <w:r w:rsidRPr="00B004E5" w:rsidR="00926232">
        <w:rPr>
          <w:rFonts w:ascii="Arial" w:hAnsi="Arial"/>
          <w:color w:val="000000" w:themeColor="text1"/>
          <w:sz w:val="22"/>
          <w:szCs w:val="22"/>
        </w:rPr>
        <w:t xml:space="preserve">Licensee Event Reports inform </w:t>
      </w:r>
      <w:r w:rsidRPr="00B004E5" w:rsidR="00105FDC">
        <w:rPr>
          <w:rFonts w:ascii="Arial" w:hAnsi="Arial"/>
          <w:color w:val="000000" w:themeColor="text1"/>
          <w:sz w:val="22"/>
          <w:szCs w:val="22"/>
        </w:rPr>
        <w:t xml:space="preserve">many NRC licensing and oversight programs, such as </w:t>
      </w:r>
      <w:r w:rsidRPr="00B004E5" w:rsidR="00005E7E">
        <w:rPr>
          <w:rFonts w:ascii="Arial" w:hAnsi="Arial"/>
          <w:color w:val="000000" w:themeColor="text1"/>
          <w:sz w:val="22"/>
          <w:szCs w:val="22"/>
        </w:rPr>
        <w:t xml:space="preserve">the </w:t>
      </w:r>
      <w:r w:rsidRPr="00B004E5" w:rsidR="00B85E32">
        <w:rPr>
          <w:rFonts w:ascii="Arial" w:hAnsi="Arial"/>
          <w:color w:val="000000" w:themeColor="text1"/>
          <w:sz w:val="22"/>
          <w:szCs w:val="22"/>
        </w:rPr>
        <w:t>Reactor Oversight Process and event response</w:t>
      </w:r>
      <w:r w:rsidRPr="00B004E5" w:rsidR="00AB7AD8">
        <w:rPr>
          <w:rFonts w:ascii="Arial" w:hAnsi="Arial"/>
          <w:color w:val="000000" w:themeColor="text1"/>
          <w:sz w:val="22"/>
          <w:szCs w:val="22"/>
        </w:rPr>
        <w:t>,</w:t>
      </w:r>
      <w:r w:rsidRPr="00B004E5" w:rsidR="00B85E32">
        <w:rPr>
          <w:rFonts w:ascii="Arial" w:hAnsi="Arial"/>
          <w:color w:val="000000" w:themeColor="text1"/>
          <w:sz w:val="22"/>
          <w:szCs w:val="22"/>
        </w:rPr>
        <w:t xml:space="preserve"> </w:t>
      </w:r>
      <w:r w:rsidRPr="00B004E5" w:rsidR="00005E7E">
        <w:rPr>
          <w:rFonts w:ascii="Arial" w:hAnsi="Arial"/>
          <w:color w:val="000000" w:themeColor="text1"/>
          <w:sz w:val="22"/>
          <w:szCs w:val="22"/>
        </w:rPr>
        <w:t xml:space="preserve">Operating Experience Program, Generic Communication Program, </w:t>
      </w:r>
      <w:r w:rsidRPr="00B004E5" w:rsidR="008A6AF1">
        <w:rPr>
          <w:rFonts w:ascii="Arial" w:hAnsi="Arial"/>
          <w:color w:val="000000" w:themeColor="text1"/>
          <w:sz w:val="22"/>
          <w:szCs w:val="22"/>
        </w:rPr>
        <w:t>Defects and Nonconformances</w:t>
      </w:r>
      <w:r w:rsidRPr="00B004E5" w:rsidR="000B0F1F">
        <w:rPr>
          <w:rFonts w:ascii="Arial" w:hAnsi="Arial"/>
          <w:color w:val="000000" w:themeColor="text1"/>
          <w:sz w:val="22"/>
          <w:szCs w:val="22"/>
        </w:rPr>
        <w:t xml:space="preserve"> process</w:t>
      </w:r>
      <w:r w:rsidRPr="00B004E5" w:rsidR="00CC4252">
        <w:rPr>
          <w:rFonts w:ascii="Arial" w:hAnsi="Arial"/>
          <w:color w:val="000000" w:themeColor="text1"/>
          <w:sz w:val="22"/>
          <w:szCs w:val="22"/>
        </w:rPr>
        <w:t xml:space="preserve">, </w:t>
      </w:r>
      <w:r w:rsidRPr="00B004E5" w:rsidR="0017514A">
        <w:rPr>
          <w:rFonts w:ascii="Arial" w:hAnsi="Arial"/>
          <w:color w:val="000000" w:themeColor="text1"/>
          <w:sz w:val="22"/>
          <w:szCs w:val="22"/>
        </w:rPr>
        <w:t>NRC</w:t>
      </w:r>
      <w:r w:rsidRPr="00B004E5" w:rsidR="005F0776">
        <w:rPr>
          <w:rFonts w:ascii="Arial" w:hAnsi="Arial"/>
          <w:color w:val="000000" w:themeColor="text1"/>
          <w:sz w:val="22"/>
          <w:szCs w:val="22"/>
        </w:rPr>
        <w:t>’s</w:t>
      </w:r>
      <w:r w:rsidRPr="00B004E5" w:rsidR="0017514A">
        <w:rPr>
          <w:rFonts w:ascii="Arial" w:hAnsi="Arial"/>
          <w:color w:val="000000" w:themeColor="text1"/>
          <w:sz w:val="22"/>
          <w:szCs w:val="22"/>
        </w:rPr>
        <w:t xml:space="preserve"> independent </w:t>
      </w:r>
      <w:r w:rsidRPr="00B004E5" w:rsidR="005F0776">
        <w:rPr>
          <w:rFonts w:ascii="Arial" w:hAnsi="Arial"/>
          <w:color w:val="000000" w:themeColor="text1"/>
          <w:sz w:val="22"/>
          <w:szCs w:val="22"/>
        </w:rPr>
        <w:t>probabilistic</w:t>
      </w:r>
      <w:r w:rsidRPr="00B004E5" w:rsidR="007B7F02">
        <w:rPr>
          <w:rFonts w:ascii="Arial" w:hAnsi="Arial"/>
          <w:color w:val="000000" w:themeColor="text1"/>
          <w:sz w:val="22"/>
          <w:szCs w:val="22"/>
        </w:rPr>
        <w:t xml:space="preserve"> risk assessments for </w:t>
      </w:r>
      <w:r w:rsidRPr="00B004E5" w:rsidR="005F0776">
        <w:rPr>
          <w:rFonts w:ascii="Arial" w:hAnsi="Arial"/>
          <w:color w:val="000000" w:themeColor="text1"/>
          <w:sz w:val="22"/>
          <w:szCs w:val="22"/>
        </w:rPr>
        <w:t>operating reactors</w:t>
      </w:r>
      <w:r w:rsidRPr="00B004E5" w:rsidR="0067130E">
        <w:rPr>
          <w:rFonts w:ascii="Arial" w:hAnsi="Arial"/>
          <w:color w:val="000000" w:themeColor="text1"/>
          <w:sz w:val="22"/>
          <w:szCs w:val="22"/>
        </w:rPr>
        <w:t xml:space="preserve">, </w:t>
      </w:r>
      <w:r w:rsidRPr="00B004E5" w:rsidR="00074FE8">
        <w:rPr>
          <w:rFonts w:ascii="Arial" w:hAnsi="Arial"/>
          <w:color w:val="000000" w:themeColor="text1"/>
          <w:sz w:val="22"/>
          <w:szCs w:val="22"/>
        </w:rPr>
        <w:t>Standardized Plant</w:t>
      </w:r>
      <w:r w:rsidRPr="00B004E5" w:rsidR="00BC28F2">
        <w:rPr>
          <w:rFonts w:ascii="Arial" w:hAnsi="Arial"/>
          <w:color w:val="000000" w:themeColor="text1"/>
          <w:sz w:val="22"/>
          <w:szCs w:val="22"/>
        </w:rPr>
        <w:t xml:space="preserve"> </w:t>
      </w:r>
      <w:r w:rsidRPr="00B004E5" w:rsidR="00645117">
        <w:rPr>
          <w:rFonts w:ascii="Arial" w:hAnsi="Arial"/>
          <w:color w:val="000000" w:themeColor="text1"/>
          <w:sz w:val="22"/>
          <w:szCs w:val="22"/>
        </w:rPr>
        <w:t xml:space="preserve">Analysis of </w:t>
      </w:r>
      <w:r w:rsidRPr="00B004E5" w:rsidR="00A47D86">
        <w:rPr>
          <w:rFonts w:ascii="Arial" w:hAnsi="Arial"/>
          <w:color w:val="000000" w:themeColor="text1"/>
          <w:sz w:val="22"/>
          <w:szCs w:val="22"/>
        </w:rPr>
        <w:t>Risk models</w:t>
      </w:r>
      <w:r w:rsidRPr="00B004E5" w:rsidR="00626A06">
        <w:rPr>
          <w:rFonts w:ascii="Arial" w:hAnsi="Arial"/>
          <w:color w:val="000000" w:themeColor="text1"/>
          <w:sz w:val="22"/>
          <w:szCs w:val="22"/>
        </w:rPr>
        <w:t xml:space="preserve">, and Accident Sequence Precursor </w:t>
      </w:r>
      <w:r w:rsidRPr="00B004E5" w:rsidR="00E7622D">
        <w:rPr>
          <w:rFonts w:ascii="Arial" w:hAnsi="Arial"/>
          <w:color w:val="000000" w:themeColor="text1"/>
          <w:sz w:val="22"/>
          <w:szCs w:val="22"/>
        </w:rPr>
        <w:t>program</w:t>
      </w:r>
      <w:r w:rsidRPr="00B004E5" w:rsidR="0045681F">
        <w:rPr>
          <w:rFonts w:ascii="Arial" w:hAnsi="Arial"/>
          <w:color w:val="000000" w:themeColor="text1"/>
          <w:sz w:val="22"/>
          <w:szCs w:val="22"/>
        </w:rPr>
        <w:t xml:space="preserve">. </w:t>
      </w:r>
      <w:r w:rsidRPr="00B004E5" w:rsidR="00AB7AD8">
        <w:rPr>
          <w:rFonts w:ascii="Arial" w:hAnsi="Arial"/>
          <w:color w:val="000000" w:themeColor="text1"/>
          <w:sz w:val="22"/>
          <w:szCs w:val="22"/>
        </w:rPr>
        <w:t xml:space="preserve">These reports also help the NRC </w:t>
      </w:r>
      <w:r w:rsidRPr="00B004E5" w:rsidR="002036F2">
        <w:rPr>
          <w:rFonts w:ascii="Arial" w:hAnsi="Arial"/>
          <w:color w:val="000000" w:themeColor="text1"/>
          <w:sz w:val="22"/>
          <w:szCs w:val="22"/>
        </w:rPr>
        <w:t>to</w:t>
      </w:r>
      <w:r w:rsidRPr="00B004E5">
        <w:rPr>
          <w:rFonts w:ascii="Arial" w:hAnsi="Arial"/>
          <w:color w:val="000000" w:themeColor="text1"/>
          <w:sz w:val="22"/>
          <w:szCs w:val="22"/>
        </w:rPr>
        <w:t xml:space="preserve"> inform Congress of those events constituting “abnormal occurrences</w:t>
      </w:r>
      <w:r w:rsidRPr="00B004E5" w:rsidR="00625A85">
        <w:rPr>
          <w:rFonts w:ascii="Arial" w:hAnsi="Arial"/>
          <w:color w:val="000000" w:themeColor="text1"/>
          <w:sz w:val="22"/>
          <w:szCs w:val="22"/>
        </w:rPr>
        <w:t>,</w:t>
      </w:r>
      <w:r w:rsidRPr="00B004E5">
        <w:rPr>
          <w:rFonts w:ascii="Arial" w:hAnsi="Arial"/>
          <w:color w:val="000000" w:themeColor="text1"/>
          <w:sz w:val="22"/>
          <w:szCs w:val="22"/>
        </w:rPr>
        <w:t>”</w:t>
      </w:r>
      <w:r w:rsidRPr="00B004E5" w:rsidR="00625A85">
        <w:rPr>
          <w:rFonts w:ascii="Arial" w:hAnsi="Arial"/>
          <w:color w:val="000000" w:themeColor="text1"/>
          <w:sz w:val="22"/>
          <w:szCs w:val="22"/>
        </w:rPr>
        <w:t xml:space="preserve"> </w:t>
      </w:r>
      <w:r w:rsidRPr="00B004E5" w:rsidR="008F1F31">
        <w:rPr>
          <w:rFonts w:ascii="Arial" w:hAnsi="Arial"/>
          <w:color w:val="000000" w:themeColor="text1"/>
          <w:sz w:val="22"/>
          <w:szCs w:val="22"/>
        </w:rPr>
        <w:t>which is required under Section 208 of the</w:t>
      </w:r>
      <w:r w:rsidRPr="00B004E5" w:rsidR="0045681F">
        <w:rPr>
          <w:rFonts w:ascii="Arial" w:hAnsi="Arial"/>
          <w:color w:val="000000" w:themeColor="text1"/>
          <w:sz w:val="22"/>
          <w:szCs w:val="22"/>
        </w:rPr>
        <w:t xml:space="preserve"> Energy Reorganization Act of 1974, as amended (Public Law 93-438). </w:t>
      </w:r>
      <w:r w:rsidRPr="00B004E5">
        <w:rPr>
          <w:rFonts w:ascii="Arial" w:hAnsi="Arial"/>
          <w:color w:val="000000" w:themeColor="text1"/>
          <w:sz w:val="22"/>
          <w:szCs w:val="22"/>
        </w:rPr>
        <w:t xml:space="preserve">The frequency of collection </w:t>
      </w:r>
      <w:r w:rsidR="00FB08B1">
        <w:rPr>
          <w:rFonts w:ascii="Arial" w:hAnsi="Arial"/>
          <w:color w:val="000000" w:themeColor="text1"/>
          <w:sz w:val="22"/>
          <w:szCs w:val="22"/>
        </w:rPr>
        <w:t xml:space="preserve">is dependent </w:t>
      </w:r>
      <w:r w:rsidR="001A5758">
        <w:rPr>
          <w:rFonts w:ascii="Arial" w:hAnsi="Arial"/>
          <w:color w:val="000000" w:themeColor="text1"/>
          <w:sz w:val="22"/>
          <w:szCs w:val="22"/>
        </w:rPr>
        <w:t>on the</w:t>
      </w:r>
      <w:r w:rsidR="00FB08B1">
        <w:rPr>
          <w:rFonts w:ascii="Arial" w:hAnsi="Arial"/>
          <w:color w:val="000000" w:themeColor="text1"/>
          <w:sz w:val="22"/>
          <w:szCs w:val="22"/>
        </w:rPr>
        <w:t xml:space="preserve"> frequency</w:t>
      </w:r>
      <w:r w:rsidRPr="00B004E5" w:rsidR="0087425F">
        <w:rPr>
          <w:rFonts w:ascii="Arial" w:hAnsi="Arial"/>
          <w:color w:val="000000" w:themeColor="text1"/>
          <w:sz w:val="22"/>
          <w:szCs w:val="22"/>
        </w:rPr>
        <w:t xml:space="preserve"> </w:t>
      </w:r>
      <w:r w:rsidR="0017173E">
        <w:rPr>
          <w:rFonts w:ascii="Arial" w:hAnsi="Arial"/>
          <w:color w:val="000000" w:themeColor="text1"/>
          <w:sz w:val="22"/>
          <w:szCs w:val="22"/>
        </w:rPr>
        <w:t>of</w:t>
      </w:r>
      <w:r w:rsidRPr="00B004E5" w:rsidR="0017173E">
        <w:rPr>
          <w:rFonts w:ascii="Arial" w:hAnsi="Arial"/>
          <w:color w:val="000000" w:themeColor="text1"/>
          <w:sz w:val="22"/>
          <w:szCs w:val="22"/>
        </w:rPr>
        <w:t xml:space="preserve"> </w:t>
      </w:r>
      <w:r w:rsidRPr="00B004E5" w:rsidR="0087425F">
        <w:rPr>
          <w:rFonts w:ascii="Arial" w:hAnsi="Arial"/>
          <w:color w:val="000000" w:themeColor="text1"/>
          <w:sz w:val="22"/>
          <w:szCs w:val="22"/>
        </w:rPr>
        <w:t xml:space="preserve">reportable </w:t>
      </w:r>
      <w:r w:rsidRPr="00B004E5">
        <w:rPr>
          <w:rFonts w:ascii="Arial" w:hAnsi="Arial"/>
          <w:color w:val="000000" w:themeColor="text1"/>
          <w:sz w:val="22"/>
          <w:szCs w:val="22"/>
        </w:rPr>
        <w:t xml:space="preserve">event </w:t>
      </w:r>
      <w:r w:rsidRPr="00B004E5" w:rsidR="00F66F3B">
        <w:rPr>
          <w:rFonts w:ascii="Arial" w:hAnsi="Arial"/>
          <w:color w:val="000000" w:themeColor="text1"/>
          <w:sz w:val="22"/>
          <w:szCs w:val="22"/>
        </w:rPr>
        <w:t>occur</w:t>
      </w:r>
      <w:r w:rsidR="00F66F3B">
        <w:rPr>
          <w:rFonts w:ascii="Arial" w:hAnsi="Arial"/>
          <w:color w:val="000000" w:themeColor="text1"/>
          <w:sz w:val="22"/>
          <w:szCs w:val="22"/>
        </w:rPr>
        <w:t>rences</w:t>
      </w:r>
      <w:r w:rsidRPr="00B004E5">
        <w:rPr>
          <w:rFonts w:ascii="Arial" w:hAnsi="Arial"/>
          <w:color w:val="000000" w:themeColor="text1"/>
          <w:sz w:val="22"/>
          <w:szCs w:val="22"/>
        </w:rPr>
        <w:t xml:space="preserve"> at a nuclear unit or site. </w:t>
      </w:r>
      <w:r w:rsidRPr="00B004E5" w:rsidR="00207F13">
        <w:rPr>
          <w:rFonts w:ascii="Arial" w:eastAsia="Arial" w:hAnsi="Arial" w:cs="Arial"/>
          <w:color w:val="000000" w:themeColor="text1"/>
          <w:sz w:val="22"/>
          <w:szCs w:val="22"/>
        </w:rPr>
        <w:t>If</w:t>
      </w:r>
      <w:r w:rsidRPr="00B004E5">
        <w:rPr>
          <w:rFonts w:ascii="Arial" w:eastAsia="Arial" w:hAnsi="Arial" w:cs="Arial"/>
          <w:color w:val="000000" w:themeColor="text1"/>
          <w:sz w:val="22"/>
          <w:szCs w:val="22"/>
        </w:rPr>
        <w:t xml:space="preserve"> a reportable event occurs</w:t>
      </w:r>
      <w:r w:rsidRPr="00B004E5" w:rsidR="004446B9">
        <w:rPr>
          <w:rFonts w:ascii="Arial" w:eastAsia="Arial" w:hAnsi="Arial" w:cs="Arial"/>
          <w:color w:val="000000" w:themeColor="text1"/>
          <w:sz w:val="22"/>
          <w:szCs w:val="22"/>
        </w:rPr>
        <w:t xml:space="preserve">, regulations </w:t>
      </w:r>
      <w:r w:rsidRPr="00B004E5">
        <w:rPr>
          <w:rFonts w:ascii="Arial" w:eastAsia="Arial" w:hAnsi="Arial" w:cs="Arial"/>
          <w:color w:val="000000" w:themeColor="text1"/>
          <w:sz w:val="22"/>
          <w:szCs w:val="22"/>
        </w:rPr>
        <w:t>require it to be reported within 60</w:t>
      </w:r>
      <w:r w:rsidRPr="00B004E5" w:rsidR="00957653">
        <w:rPr>
          <w:rFonts w:ascii="Arial" w:eastAsia="Arial" w:hAnsi="Arial" w:cs="Arial"/>
          <w:color w:val="000000" w:themeColor="text1"/>
          <w:sz w:val="22"/>
          <w:szCs w:val="22"/>
        </w:rPr>
        <w:t xml:space="preserve"> </w:t>
      </w:r>
      <w:r w:rsidRPr="00B004E5">
        <w:rPr>
          <w:rFonts w:ascii="Arial" w:eastAsia="Arial" w:hAnsi="Arial" w:cs="Arial"/>
          <w:color w:val="000000" w:themeColor="text1"/>
          <w:sz w:val="22"/>
          <w:szCs w:val="22"/>
        </w:rPr>
        <w:t>days</w:t>
      </w:r>
      <w:r w:rsidRPr="00B004E5" w:rsidR="0045681F">
        <w:rPr>
          <w:rFonts w:ascii="Arial" w:eastAsia="Arial" w:hAnsi="Arial" w:cs="Arial"/>
          <w:color w:val="000000" w:themeColor="text1"/>
          <w:sz w:val="22"/>
          <w:szCs w:val="22"/>
        </w:rPr>
        <w:t xml:space="preserve">. </w:t>
      </w:r>
      <w:r w:rsidRPr="00B004E5" w:rsidR="00C709DB">
        <w:rPr>
          <w:rFonts w:ascii="Arial" w:eastAsia="Arial" w:hAnsi="Arial" w:cs="Arial"/>
          <w:color w:val="000000" w:themeColor="text1"/>
          <w:sz w:val="22"/>
          <w:szCs w:val="22"/>
        </w:rPr>
        <w:t>From 2019 through 2021</w:t>
      </w:r>
      <w:r w:rsidRPr="00B004E5" w:rsidR="004F4FA4">
        <w:rPr>
          <w:rFonts w:ascii="Arial" w:eastAsia="Arial" w:hAnsi="Arial" w:cs="Arial"/>
          <w:color w:val="000000" w:themeColor="text1"/>
          <w:sz w:val="22"/>
          <w:szCs w:val="22"/>
        </w:rPr>
        <w:t>,</w:t>
      </w:r>
      <w:r w:rsidRPr="00B004E5">
        <w:rPr>
          <w:rFonts w:ascii="Arial" w:eastAsia="Arial" w:hAnsi="Arial" w:cs="Arial"/>
          <w:color w:val="000000" w:themeColor="text1"/>
          <w:sz w:val="22"/>
          <w:szCs w:val="22"/>
        </w:rPr>
        <w:t xml:space="preserve"> there were </w:t>
      </w:r>
      <w:r w:rsidRPr="00B004E5" w:rsidR="00CE0BD3">
        <w:rPr>
          <w:rFonts w:ascii="Arial" w:eastAsia="Arial" w:hAnsi="Arial" w:cs="Arial"/>
          <w:color w:val="000000" w:themeColor="text1"/>
          <w:sz w:val="22"/>
          <w:szCs w:val="22"/>
        </w:rPr>
        <w:t>612</w:t>
      </w:r>
      <w:r w:rsidRPr="00B004E5">
        <w:rPr>
          <w:rFonts w:ascii="Arial" w:eastAsia="Arial" w:hAnsi="Arial" w:cs="Arial"/>
          <w:color w:val="000000" w:themeColor="text1"/>
          <w:sz w:val="22"/>
          <w:szCs w:val="22"/>
        </w:rPr>
        <w:t xml:space="preserve"> LERs reported</w:t>
      </w:r>
      <w:r w:rsidRPr="00B004E5" w:rsidR="00CE0BD3">
        <w:rPr>
          <w:rFonts w:ascii="Arial" w:eastAsia="Arial" w:hAnsi="Arial" w:cs="Arial"/>
          <w:color w:val="000000" w:themeColor="text1"/>
          <w:sz w:val="22"/>
          <w:szCs w:val="22"/>
        </w:rPr>
        <w:t xml:space="preserve"> for </w:t>
      </w:r>
      <w:r w:rsidRPr="00B004E5" w:rsidR="00DF0510">
        <w:rPr>
          <w:rFonts w:ascii="Arial" w:eastAsia="Arial" w:hAnsi="Arial" w:cs="Arial"/>
          <w:color w:val="000000" w:themeColor="text1"/>
          <w:sz w:val="22"/>
          <w:szCs w:val="22"/>
        </w:rPr>
        <w:t>94 power reactor units</w:t>
      </w:r>
      <w:r w:rsidRPr="00B004E5">
        <w:rPr>
          <w:rFonts w:ascii="Arial" w:eastAsia="Arial" w:hAnsi="Arial" w:cs="Arial"/>
          <w:color w:val="000000" w:themeColor="text1"/>
          <w:sz w:val="22"/>
          <w:szCs w:val="22"/>
        </w:rPr>
        <w:t xml:space="preserve"> (</w:t>
      </w:r>
      <w:r w:rsidRPr="00B004E5" w:rsidR="003455D1">
        <w:rPr>
          <w:rFonts w:ascii="Arial" w:eastAsia="Arial" w:hAnsi="Arial" w:cs="Arial"/>
          <w:color w:val="000000" w:themeColor="text1"/>
          <w:sz w:val="22"/>
          <w:szCs w:val="22"/>
        </w:rPr>
        <w:t>approximately</w:t>
      </w:r>
      <w:r w:rsidR="00CF5724">
        <w:rPr>
          <w:rFonts w:ascii="Arial" w:eastAsia="Arial" w:hAnsi="Arial" w:cs="Arial"/>
          <w:color w:val="000000" w:themeColor="text1"/>
          <w:sz w:val="22"/>
          <w:szCs w:val="22"/>
        </w:rPr>
        <w:t> </w:t>
      </w:r>
      <w:r w:rsidRPr="00B004E5" w:rsidR="00D72314">
        <w:rPr>
          <w:rFonts w:ascii="Arial" w:eastAsia="Arial" w:hAnsi="Arial" w:cs="Arial"/>
          <w:color w:val="000000" w:themeColor="text1"/>
          <w:sz w:val="22"/>
          <w:szCs w:val="22"/>
        </w:rPr>
        <w:t>2</w:t>
      </w:r>
      <w:r w:rsidRPr="00B004E5" w:rsidR="00EE723B">
        <w:rPr>
          <w:rFonts w:ascii="Arial" w:eastAsia="Arial" w:hAnsi="Arial" w:cs="Arial"/>
          <w:color w:val="000000" w:themeColor="text1"/>
          <w:sz w:val="22"/>
          <w:szCs w:val="22"/>
        </w:rPr>
        <w:t>.2</w:t>
      </w:r>
      <w:r w:rsidRPr="00B004E5">
        <w:rPr>
          <w:rFonts w:ascii="Arial" w:eastAsia="Arial" w:hAnsi="Arial" w:cs="Arial"/>
          <w:color w:val="000000" w:themeColor="text1"/>
          <w:sz w:val="22"/>
          <w:szCs w:val="22"/>
        </w:rPr>
        <w:t xml:space="preserve"> LERs per unit</w:t>
      </w:r>
      <w:r w:rsidRPr="00B004E5" w:rsidR="00EE723B">
        <w:rPr>
          <w:rFonts w:ascii="Arial" w:eastAsia="Arial" w:hAnsi="Arial" w:cs="Arial"/>
          <w:color w:val="000000" w:themeColor="text1"/>
          <w:sz w:val="22"/>
          <w:szCs w:val="22"/>
        </w:rPr>
        <w:t xml:space="preserve"> per year</w:t>
      </w:r>
      <w:r w:rsidRPr="00B004E5">
        <w:rPr>
          <w:rFonts w:ascii="Arial" w:eastAsia="Arial" w:hAnsi="Arial" w:cs="Arial"/>
          <w:color w:val="000000" w:themeColor="text1"/>
          <w:sz w:val="22"/>
          <w:szCs w:val="22"/>
        </w:rPr>
        <w:t>).</w:t>
      </w:r>
      <w:r w:rsidRPr="00B004E5">
        <w:rPr>
          <w:rFonts w:ascii="Arial" w:hAnsi="Arial"/>
          <w:color w:val="000000" w:themeColor="text1"/>
          <w:sz w:val="22"/>
          <w:szCs w:val="22"/>
        </w:rPr>
        <w:t xml:space="preserve"> </w:t>
      </w:r>
    </w:p>
    <w:p w:rsidR="001678A7" w:rsidRPr="00B004E5" w:rsidP="00463CBC" w14:paraId="6181B3BF" w14:textId="7A5A8A59">
      <w:pPr>
        <w:widowControl/>
        <w:ind w:left="1440"/>
        <w:rPr>
          <w:rFonts w:ascii="Arial" w:hAnsi="Arial" w:cs="Arial"/>
          <w:color w:val="000000" w:themeColor="text1"/>
          <w:sz w:val="22"/>
          <w:szCs w:val="22"/>
        </w:rPr>
      </w:pPr>
    </w:p>
    <w:p w:rsidR="00FE1F5F" w:rsidRPr="00B004E5" w:rsidP="00FE1F5F" w14:paraId="239A2A57" w14:textId="28E45A50">
      <w:pPr>
        <w:ind w:left="1440"/>
        <w:rPr>
          <w:rFonts w:ascii="Arial" w:hAnsi="Arial"/>
          <w:color w:val="000000" w:themeColor="text1"/>
          <w:sz w:val="22"/>
          <w:szCs w:val="22"/>
        </w:rPr>
      </w:pPr>
      <w:r w:rsidRPr="55CFD8FB">
        <w:rPr>
          <w:rFonts w:ascii="Arial" w:hAnsi="Arial"/>
          <w:color w:val="000000" w:themeColor="text1"/>
          <w:sz w:val="22"/>
          <w:szCs w:val="22"/>
        </w:rPr>
        <w:t xml:space="preserve">In addition, </w:t>
      </w:r>
      <w:r w:rsidRPr="55CFD8FB" w:rsidR="00B66B69">
        <w:rPr>
          <w:rFonts w:ascii="Arial" w:hAnsi="Arial"/>
          <w:color w:val="000000" w:themeColor="text1"/>
          <w:sz w:val="22"/>
          <w:szCs w:val="22"/>
        </w:rPr>
        <w:t xml:space="preserve">as stated in </w:t>
      </w:r>
      <w:r w:rsidRPr="55CFD8FB" w:rsidR="006052D8">
        <w:rPr>
          <w:rFonts w:ascii="Arial" w:hAnsi="Arial"/>
          <w:color w:val="000000" w:themeColor="text1"/>
          <w:sz w:val="22"/>
          <w:szCs w:val="22"/>
        </w:rPr>
        <w:t>S</w:t>
      </w:r>
      <w:r w:rsidRPr="55CFD8FB" w:rsidR="00B66B69">
        <w:rPr>
          <w:rFonts w:ascii="Arial" w:hAnsi="Arial"/>
          <w:color w:val="000000" w:themeColor="text1"/>
          <w:sz w:val="22"/>
          <w:szCs w:val="22"/>
        </w:rPr>
        <w:t>ection 2</w:t>
      </w:r>
      <w:r w:rsidRPr="55CFD8FB" w:rsidR="006052D8">
        <w:rPr>
          <w:rFonts w:ascii="Arial" w:hAnsi="Arial"/>
          <w:color w:val="000000" w:themeColor="text1"/>
          <w:sz w:val="22"/>
          <w:szCs w:val="22"/>
        </w:rPr>
        <w:t xml:space="preserve"> </w:t>
      </w:r>
      <w:r w:rsidRPr="55CFD8FB" w:rsidR="006052D8">
        <w:rPr>
          <w:rFonts w:ascii="Arial" w:hAnsi="Arial"/>
          <w:i/>
          <w:iCs/>
          <w:color w:val="000000" w:themeColor="text1"/>
          <w:sz w:val="22"/>
          <w:szCs w:val="22"/>
        </w:rPr>
        <w:t>Agency Use of the Information</w:t>
      </w:r>
      <w:r w:rsidRPr="55CFD8FB" w:rsidR="006052D8">
        <w:rPr>
          <w:rFonts w:ascii="Arial" w:hAnsi="Arial"/>
          <w:color w:val="000000" w:themeColor="text1"/>
          <w:sz w:val="22"/>
          <w:szCs w:val="22"/>
        </w:rPr>
        <w:t>, the NRC shares this information</w:t>
      </w:r>
      <w:r w:rsidRPr="55CFD8FB" w:rsidR="000628A3">
        <w:rPr>
          <w:rFonts w:ascii="Arial" w:hAnsi="Arial"/>
          <w:color w:val="000000" w:themeColor="text1"/>
          <w:sz w:val="22"/>
          <w:szCs w:val="22"/>
        </w:rPr>
        <w:t>, if appropriate</w:t>
      </w:r>
      <w:r w:rsidRPr="55CFD8FB" w:rsidR="7C660FD6">
        <w:rPr>
          <w:rFonts w:ascii="Arial" w:hAnsi="Arial"/>
          <w:color w:val="000000" w:themeColor="text1"/>
          <w:sz w:val="22"/>
          <w:szCs w:val="22"/>
        </w:rPr>
        <w:t>,</w:t>
      </w:r>
      <w:r w:rsidRPr="55CFD8FB" w:rsidR="006052D8">
        <w:rPr>
          <w:rFonts w:ascii="Arial" w:hAnsi="Arial"/>
          <w:color w:val="000000" w:themeColor="text1"/>
          <w:sz w:val="22"/>
          <w:szCs w:val="22"/>
        </w:rPr>
        <w:t xml:space="preserve"> with </w:t>
      </w:r>
      <w:r w:rsidRPr="55CFD8FB" w:rsidR="000628A3">
        <w:rPr>
          <w:rFonts w:ascii="Arial" w:hAnsi="Arial"/>
          <w:color w:val="000000" w:themeColor="text1"/>
          <w:sz w:val="22"/>
          <w:szCs w:val="22"/>
        </w:rPr>
        <w:t xml:space="preserve">Federal partners, </w:t>
      </w:r>
      <w:r w:rsidRPr="55CFD8FB">
        <w:rPr>
          <w:rFonts w:ascii="Arial" w:hAnsi="Arial"/>
          <w:color w:val="000000" w:themeColor="text1"/>
          <w:sz w:val="22"/>
          <w:szCs w:val="22"/>
        </w:rPr>
        <w:t>INPO</w:t>
      </w:r>
      <w:r w:rsidRPr="55CFD8FB" w:rsidR="000628A3">
        <w:rPr>
          <w:rFonts w:ascii="Arial" w:hAnsi="Arial"/>
          <w:color w:val="000000" w:themeColor="text1"/>
          <w:sz w:val="22"/>
          <w:szCs w:val="22"/>
        </w:rPr>
        <w:t>, and international organizations</w:t>
      </w:r>
      <w:r w:rsidRPr="55CFD8FB" w:rsidR="007F097D">
        <w:rPr>
          <w:rFonts w:ascii="Arial" w:hAnsi="Arial"/>
          <w:color w:val="000000" w:themeColor="text1"/>
          <w:sz w:val="22"/>
          <w:szCs w:val="22"/>
        </w:rPr>
        <w:t xml:space="preserve"> to prevent recurrence of significant events</w:t>
      </w:r>
      <w:r w:rsidRPr="55CFD8FB" w:rsidR="000628A3">
        <w:rPr>
          <w:rFonts w:ascii="Arial" w:hAnsi="Arial"/>
          <w:color w:val="000000" w:themeColor="text1"/>
          <w:sz w:val="22"/>
          <w:szCs w:val="22"/>
        </w:rPr>
        <w:t>.</w:t>
      </w:r>
    </w:p>
    <w:p w:rsidR="002B1B50" w:rsidRPr="00B004E5" w:rsidP="002F41B7" w14:paraId="0308B07E" w14:textId="77777777">
      <w:pPr>
        <w:widowControl/>
        <w:rPr>
          <w:rFonts w:ascii="Arial" w:hAnsi="Arial" w:cs="Arial"/>
          <w:color w:val="000000" w:themeColor="text1"/>
          <w:sz w:val="22"/>
          <w:szCs w:val="22"/>
        </w:rPr>
      </w:pPr>
    </w:p>
    <w:p w:rsidR="000A3AF2" w:rsidRPr="00B004E5" w:rsidP="004E4948" w14:paraId="7F677A28" w14:textId="77777777">
      <w:pPr>
        <w:widowControl/>
        <w:tabs>
          <w:tab w:val="left" w:pos="-1440"/>
        </w:tabs>
        <w:ind w:left="720"/>
        <w:rPr>
          <w:rFonts w:ascii="Arial" w:hAnsi="Arial" w:cs="Arial"/>
          <w:color w:val="000000" w:themeColor="text1"/>
          <w:sz w:val="22"/>
          <w:szCs w:val="22"/>
          <w:u w:val="single"/>
        </w:rPr>
      </w:pPr>
      <w:r w:rsidRPr="00B004E5">
        <w:rPr>
          <w:rFonts w:ascii="Arial" w:hAnsi="Arial" w:cs="Arial"/>
          <w:color w:val="000000" w:themeColor="text1"/>
          <w:sz w:val="22"/>
          <w:szCs w:val="22"/>
        </w:rPr>
        <w:t>7.</w:t>
      </w:r>
      <w:r w:rsidRPr="00B004E5">
        <w:rPr>
          <w:rFonts w:ascii="Arial" w:hAnsi="Arial" w:cs="Arial"/>
          <w:color w:val="000000" w:themeColor="text1"/>
          <w:sz w:val="22"/>
          <w:szCs w:val="22"/>
        </w:rPr>
        <w:tab/>
      </w:r>
      <w:r w:rsidRPr="00B004E5">
        <w:rPr>
          <w:rFonts w:ascii="Arial" w:hAnsi="Arial" w:cs="Arial"/>
          <w:color w:val="000000" w:themeColor="text1"/>
          <w:sz w:val="22"/>
          <w:szCs w:val="22"/>
          <w:u w:val="single"/>
        </w:rPr>
        <w:t>Circumstances Which Justify Variation from OMB Guidelines</w:t>
      </w:r>
    </w:p>
    <w:p w:rsidR="000A3AF2" w:rsidRPr="00B004E5" w:rsidP="002F41B7" w14:paraId="3FC64D11" w14:textId="77777777">
      <w:pPr>
        <w:widowControl/>
        <w:tabs>
          <w:tab w:val="left" w:pos="-1440"/>
        </w:tabs>
        <w:ind w:left="1440" w:hanging="720"/>
        <w:rPr>
          <w:rFonts w:ascii="Arial" w:hAnsi="Arial" w:cs="Arial"/>
          <w:color w:val="000000" w:themeColor="text1"/>
          <w:sz w:val="22"/>
          <w:szCs w:val="22"/>
        </w:rPr>
      </w:pPr>
    </w:p>
    <w:p w:rsidR="00296CC8" w:rsidRPr="00B004E5" w:rsidP="00B004E5" w14:paraId="17B86C5A" w14:textId="1FABE8E6">
      <w:pPr>
        <w:widowControl/>
        <w:tabs>
          <w:tab w:val="left" w:pos="-1440"/>
        </w:tabs>
        <w:ind w:left="1440"/>
        <w:rPr>
          <w:rFonts w:ascii="Arial" w:hAnsi="Arial" w:cs="Arial"/>
          <w:color w:val="000000" w:themeColor="text1"/>
          <w:sz w:val="22"/>
          <w:szCs w:val="22"/>
        </w:rPr>
      </w:pPr>
      <w:r>
        <w:rPr>
          <w:rFonts w:ascii="Arial" w:hAnsi="Arial" w:cs="Arial"/>
          <w:color w:val="000000" w:themeColor="text1"/>
          <w:sz w:val="22"/>
          <w:szCs w:val="22"/>
        </w:rPr>
        <w:t>Not applicable.</w:t>
      </w:r>
    </w:p>
    <w:p w:rsidR="000C141A" w:rsidRPr="00B004E5" w:rsidP="002F41B7" w14:paraId="28B4FDE2" w14:textId="77777777">
      <w:pPr>
        <w:widowControl/>
        <w:tabs>
          <w:tab w:val="left" w:pos="-1440"/>
        </w:tabs>
        <w:ind w:left="1440" w:hanging="720"/>
        <w:rPr>
          <w:rFonts w:ascii="Arial" w:hAnsi="Arial" w:cs="Arial"/>
          <w:color w:val="000000" w:themeColor="text1"/>
          <w:sz w:val="22"/>
          <w:szCs w:val="22"/>
        </w:rPr>
      </w:pPr>
    </w:p>
    <w:p w:rsidR="000A3AF2" w:rsidRPr="00B004E5" w:rsidP="004E4948" w14:paraId="44F71249" w14:textId="77777777">
      <w:pPr>
        <w:widowControl/>
        <w:numPr>
          <w:ilvl w:val="0"/>
          <w:numId w:val="6"/>
        </w:numPr>
        <w:tabs>
          <w:tab w:val="left" w:pos="-1440"/>
        </w:tabs>
        <w:ind w:firstLine="0"/>
        <w:rPr>
          <w:rFonts w:ascii="Arial" w:hAnsi="Arial" w:cs="Arial"/>
          <w:color w:val="000000" w:themeColor="text1"/>
          <w:sz w:val="22"/>
          <w:szCs w:val="22"/>
          <w:u w:val="single"/>
        </w:rPr>
      </w:pPr>
      <w:r w:rsidRPr="00B004E5">
        <w:rPr>
          <w:rFonts w:ascii="Arial" w:hAnsi="Arial" w:cs="Arial"/>
          <w:color w:val="000000" w:themeColor="text1"/>
          <w:sz w:val="22"/>
          <w:szCs w:val="22"/>
          <w:u w:val="single"/>
        </w:rPr>
        <w:t>Consultations Outside the NRC</w:t>
      </w:r>
    </w:p>
    <w:p w:rsidR="005B0050" w:rsidRPr="00B004E5" w:rsidP="002F41B7" w14:paraId="154F95B0" w14:textId="77777777">
      <w:pPr>
        <w:widowControl/>
        <w:tabs>
          <w:tab w:val="left" w:pos="-1440"/>
        </w:tabs>
        <w:ind w:left="720"/>
        <w:rPr>
          <w:rFonts w:ascii="Arial" w:hAnsi="Arial" w:cs="Arial"/>
          <w:color w:val="000000" w:themeColor="text1"/>
          <w:sz w:val="22"/>
          <w:szCs w:val="22"/>
          <w:u w:val="single"/>
        </w:rPr>
      </w:pPr>
    </w:p>
    <w:p w:rsidR="00944A1B" w:rsidRPr="00944A1B" w:rsidP="00944A1B" w14:paraId="048EE8D0" w14:textId="77777777">
      <w:pPr>
        <w:widowControl/>
        <w:tabs>
          <w:tab w:val="left" w:pos="-1440"/>
        </w:tabs>
        <w:ind w:left="1440"/>
        <w:rPr>
          <w:rFonts w:ascii="Arial" w:hAnsi="Arial" w:cs="Arial"/>
          <w:color w:val="000000" w:themeColor="text1"/>
          <w:sz w:val="22"/>
          <w:szCs w:val="22"/>
        </w:rPr>
      </w:pPr>
      <w:r w:rsidRPr="00944A1B">
        <w:rPr>
          <w:rFonts w:ascii="Arial" w:hAnsi="Arial" w:cs="Arial"/>
          <w:color w:val="000000" w:themeColor="text1"/>
          <w:sz w:val="22"/>
          <w:szCs w:val="22"/>
        </w:rPr>
        <w:t>Opportunity for public comment on the information collection requirements for</w:t>
      </w:r>
    </w:p>
    <w:p w:rsidR="00944A1B" w:rsidRPr="00944A1B" w:rsidP="00944A1B" w14:paraId="798632CC" w14:textId="77777777">
      <w:pPr>
        <w:widowControl/>
        <w:tabs>
          <w:tab w:val="left" w:pos="-1440"/>
        </w:tabs>
        <w:ind w:left="1440"/>
        <w:rPr>
          <w:rFonts w:ascii="Arial" w:hAnsi="Arial" w:cs="Arial"/>
          <w:color w:val="000000" w:themeColor="text1"/>
          <w:sz w:val="22"/>
          <w:szCs w:val="22"/>
        </w:rPr>
      </w:pPr>
      <w:r w:rsidRPr="00944A1B">
        <w:rPr>
          <w:rFonts w:ascii="Arial" w:hAnsi="Arial" w:cs="Arial"/>
          <w:color w:val="000000" w:themeColor="text1"/>
          <w:sz w:val="22"/>
          <w:szCs w:val="22"/>
        </w:rPr>
        <w:t>this clearance package was published in the Federal Register on</w:t>
      </w:r>
    </w:p>
    <w:p w:rsidR="00944A1B" w:rsidRPr="00944A1B" w:rsidP="00944A1B" w14:paraId="3EA086A3" w14:textId="4D007D84">
      <w:pPr>
        <w:widowControl/>
        <w:tabs>
          <w:tab w:val="left" w:pos="-1440"/>
        </w:tabs>
        <w:ind w:left="1440"/>
        <w:rPr>
          <w:rFonts w:ascii="Arial" w:hAnsi="Arial" w:cs="Arial"/>
          <w:color w:val="000000" w:themeColor="text1"/>
          <w:sz w:val="22"/>
          <w:szCs w:val="22"/>
        </w:rPr>
      </w:pPr>
      <w:r>
        <w:rPr>
          <w:rFonts w:ascii="Arial" w:hAnsi="Arial" w:cs="Arial"/>
          <w:color w:val="000000" w:themeColor="text1"/>
          <w:sz w:val="22"/>
          <w:szCs w:val="22"/>
        </w:rPr>
        <w:t>April 7</w:t>
      </w:r>
      <w:r w:rsidRPr="00944A1B">
        <w:rPr>
          <w:rFonts w:ascii="Arial" w:hAnsi="Arial" w:cs="Arial"/>
          <w:color w:val="000000" w:themeColor="text1"/>
          <w:sz w:val="22"/>
          <w:szCs w:val="22"/>
        </w:rPr>
        <w:t>, 202</w:t>
      </w:r>
      <w:r>
        <w:rPr>
          <w:rFonts w:ascii="Arial" w:hAnsi="Arial" w:cs="Arial"/>
          <w:color w:val="000000" w:themeColor="text1"/>
          <w:sz w:val="22"/>
          <w:szCs w:val="22"/>
        </w:rPr>
        <w:t>3</w:t>
      </w:r>
      <w:r w:rsidRPr="00944A1B">
        <w:rPr>
          <w:rFonts w:ascii="Arial" w:hAnsi="Arial" w:cs="Arial"/>
          <w:color w:val="000000" w:themeColor="text1"/>
          <w:sz w:val="22"/>
          <w:szCs w:val="22"/>
        </w:rPr>
        <w:t xml:space="preserve">, </w:t>
      </w:r>
      <w:r w:rsidRPr="00DA4FCC" w:rsidR="00DA4FCC">
        <w:rPr>
          <w:rFonts w:ascii="Arial" w:hAnsi="Arial" w:cs="Arial"/>
          <w:color w:val="000000" w:themeColor="text1"/>
          <w:sz w:val="22"/>
          <w:szCs w:val="22"/>
        </w:rPr>
        <w:t>(88 FR 20921)</w:t>
      </w:r>
      <w:r w:rsidRPr="00944A1B">
        <w:rPr>
          <w:rFonts w:ascii="Arial" w:hAnsi="Arial" w:cs="Arial"/>
          <w:color w:val="000000" w:themeColor="text1"/>
          <w:sz w:val="22"/>
          <w:szCs w:val="22"/>
        </w:rPr>
        <w:t>. Additionally, NRC staff contacted five</w:t>
      </w:r>
      <w:r w:rsidR="00A9443E">
        <w:rPr>
          <w:rFonts w:ascii="Arial" w:hAnsi="Arial" w:cs="Arial"/>
          <w:color w:val="000000" w:themeColor="text1"/>
          <w:sz w:val="22"/>
          <w:szCs w:val="22"/>
        </w:rPr>
        <w:t xml:space="preserve"> </w:t>
      </w:r>
      <w:r w:rsidRPr="00944A1B">
        <w:rPr>
          <w:rFonts w:ascii="Arial" w:hAnsi="Arial" w:cs="Arial"/>
          <w:color w:val="000000" w:themeColor="text1"/>
          <w:sz w:val="22"/>
          <w:szCs w:val="22"/>
        </w:rPr>
        <w:t xml:space="preserve">stakeholders via email. </w:t>
      </w:r>
      <w:r w:rsidRPr="004F5EEA">
        <w:rPr>
          <w:rFonts w:ascii="Arial" w:hAnsi="Arial" w:cs="Arial"/>
          <w:sz w:val="22"/>
          <w:szCs w:val="22"/>
        </w:rPr>
        <w:t xml:space="preserve">The stakeholders were </w:t>
      </w:r>
      <w:r w:rsidRPr="004F5EEA" w:rsidR="00E57458">
        <w:rPr>
          <w:rFonts w:ascii="Arial" w:hAnsi="Arial" w:cs="Arial"/>
          <w:sz w:val="22"/>
          <w:szCs w:val="22"/>
        </w:rPr>
        <w:t xml:space="preserve">Nuclear Energy Institute, </w:t>
      </w:r>
      <w:r w:rsidRPr="004F5EEA" w:rsidR="00CE1037">
        <w:rPr>
          <w:rFonts w:ascii="Arial" w:hAnsi="Arial" w:cs="Arial"/>
          <w:sz w:val="22"/>
          <w:szCs w:val="22"/>
          <w:shd w:val="clear" w:color="auto" w:fill="FFFFFF"/>
        </w:rPr>
        <w:t>Entergy Nuclear Operations, Inc.</w:t>
      </w:r>
      <w:r w:rsidRPr="004F5EEA" w:rsidR="00C36DD6">
        <w:rPr>
          <w:rFonts w:ascii="Arial" w:hAnsi="Arial" w:cs="Arial"/>
          <w:sz w:val="22"/>
          <w:szCs w:val="22"/>
          <w:shd w:val="clear" w:color="auto" w:fill="FFFFFF"/>
        </w:rPr>
        <w:t xml:space="preserve">, </w:t>
      </w:r>
      <w:r w:rsidRPr="004F5EEA" w:rsidR="00DE7B89">
        <w:rPr>
          <w:rFonts w:ascii="Arial" w:hAnsi="Arial" w:cs="Arial"/>
          <w:sz w:val="22"/>
          <w:szCs w:val="22"/>
          <w:shd w:val="clear" w:color="auto" w:fill="FFFFFF"/>
        </w:rPr>
        <w:t>Florida Power &amp; Light Co</w:t>
      </w:r>
      <w:r w:rsidRPr="004F5EEA">
        <w:rPr>
          <w:rFonts w:ascii="Arial" w:hAnsi="Arial" w:cs="Arial"/>
          <w:sz w:val="22"/>
          <w:szCs w:val="22"/>
        </w:rPr>
        <w:t>.</w:t>
      </w:r>
      <w:r w:rsidRPr="004F5EEA" w:rsidR="007C00BC">
        <w:rPr>
          <w:rFonts w:ascii="Arial" w:hAnsi="Arial" w:cs="Arial"/>
          <w:sz w:val="22"/>
          <w:szCs w:val="22"/>
        </w:rPr>
        <w:t xml:space="preserve">, </w:t>
      </w:r>
      <w:r w:rsidRPr="004F5EEA" w:rsidR="007C00BC">
        <w:rPr>
          <w:rFonts w:ascii="Arial" w:hAnsi="Arial" w:cs="Arial"/>
          <w:sz w:val="22"/>
          <w:szCs w:val="22"/>
          <w:shd w:val="clear" w:color="auto" w:fill="FFFFFF"/>
        </w:rPr>
        <w:t xml:space="preserve">Southern Nuclear Operating Co., and </w:t>
      </w:r>
      <w:r w:rsidRPr="004F5EEA" w:rsidR="00A9443E">
        <w:rPr>
          <w:rFonts w:ascii="Arial" w:hAnsi="Arial" w:cs="Arial"/>
          <w:sz w:val="22"/>
          <w:szCs w:val="22"/>
          <w:shd w:val="clear" w:color="auto" w:fill="FFFFFF"/>
        </w:rPr>
        <w:t>Tennessee Valley Authority.</w:t>
      </w:r>
    </w:p>
    <w:p w:rsidR="00944A1B" w:rsidRPr="00944A1B" w:rsidP="00944A1B" w14:paraId="2F59DE80" w14:textId="77777777">
      <w:pPr>
        <w:widowControl/>
        <w:tabs>
          <w:tab w:val="left" w:pos="-1440"/>
        </w:tabs>
        <w:ind w:left="1440"/>
        <w:rPr>
          <w:rFonts w:ascii="Arial" w:hAnsi="Arial" w:cs="Arial"/>
          <w:color w:val="000000" w:themeColor="text1"/>
          <w:sz w:val="22"/>
          <w:szCs w:val="22"/>
        </w:rPr>
      </w:pPr>
    </w:p>
    <w:p w:rsidR="00494555" w:rsidRPr="00494555" w:rsidP="00494555" w14:paraId="07537E57" w14:textId="77777777">
      <w:pPr>
        <w:widowControl/>
        <w:tabs>
          <w:tab w:val="left" w:pos="-1440"/>
        </w:tabs>
        <w:ind w:left="1440"/>
        <w:rPr>
          <w:rFonts w:ascii="Arial" w:hAnsi="Arial" w:cs="Arial"/>
          <w:color w:val="000000" w:themeColor="text1"/>
          <w:sz w:val="22"/>
          <w:szCs w:val="22"/>
        </w:rPr>
      </w:pPr>
      <w:r w:rsidRPr="00494555">
        <w:rPr>
          <w:rFonts w:ascii="Arial" w:hAnsi="Arial" w:cs="Arial"/>
          <w:color w:val="000000" w:themeColor="text1"/>
          <w:sz w:val="22"/>
          <w:szCs w:val="22"/>
        </w:rPr>
        <w:t>Comment from the Nuclear Energy Institute:</w:t>
      </w:r>
    </w:p>
    <w:p w:rsidR="00494555" w:rsidRPr="00494555" w:rsidP="00494555" w14:paraId="29227C6A" w14:textId="77777777">
      <w:pPr>
        <w:widowControl/>
        <w:tabs>
          <w:tab w:val="left" w:pos="-1440"/>
        </w:tabs>
        <w:ind w:left="1440"/>
        <w:rPr>
          <w:rFonts w:ascii="Arial" w:hAnsi="Arial" w:cs="Arial"/>
          <w:color w:val="000000" w:themeColor="text1"/>
          <w:sz w:val="22"/>
          <w:szCs w:val="22"/>
        </w:rPr>
      </w:pPr>
    </w:p>
    <w:p w:rsidR="00494555" w:rsidRPr="00494555" w:rsidP="00494555" w14:paraId="2B0BB9D0" w14:textId="77777777">
      <w:pPr>
        <w:widowControl/>
        <w:tabs>
          <w:tab w:val="left" w:pos="-1440"/>
        </w:tabs>
        <w:ind w:left="1440"/>
        <w:rPr>
          <w:rFonts w:ascii="Arial" w:hAnsi="Arial" w:cs="Arial"/>
          <w:color w:val="000000" w:themeColor="text1"/>
          <w:sz w:val="22"/>
          <w:szCs w:val="22"/>
        </w:rPr>
      </w:pPr>
      <w:r w:rsidRPr="00494555">
        <w:rPr>
          <w:rFonts w:ascii="Arial" w:hAnsi="Arial" w:cs="Arial"/>
          <w:color w:val="000000" w:themeColor="text1"/>
          <w:sz w:val="22"/>
          <w:szCs w:val="22"/>
        </w:rPr>
        <w:t xml:space="preserve">Question #4 </w:t>
      </w:r>
      <w:r w:rsidRPr="00494555">
        <w:rPr>
          <w:rFonts w:ascii="Arial" w:hAnsi="Arial" w:cs="Arial"/>
          <w:i/>
          <w:iCs/>
          <w:color w:val="000000" w:themeColor="text1"/>
          <w:sz w:val="22"/>
          <w:szCs w:val="22"/>
        </w:rPr>
        <w:t>“How can the burden of the information collection on respondents be minimized, including the use of automated collection techniques or other forms of information technology?”</w:t>
      </w:r>
      <w:r w:rsidRPr="00494555">
        <w:rPr>
          <w:rFonts w:ascii="Arial" w:hAnsi="Arial" w:cs="Arial"/>
          <w:color w:val="000000" w:themeColor="text1"/>
          <w:sz w:val="22"/>
          <w:szCs w:val="22"/>
        </w:rPr>
        <w:t xml:space="preserve">  For the previous renewal of this information collection (Docket ID: NRC-2019-0085), in a letter dated November 15, 2019, NEI recommended the NRC staff provide Form 366 in a form that licensees can </w:t>
      </w:r>
      <w:r w:rsidRPr="00494555">
        <w:rPr>
          <w:rFonts w:ascii="Arial" w:hAnsi="Arial" w:cs="Arial"/>
          <w:color w:val="000000" w:themeColor="text1"/>
          <w:sz w:val="22"/>
          <w:szCs w:val="22"/>
        </w:rPr>
        <w:t xml:space="preserve">complete electronically, preferably a Word file. As noted previously, when a new Form 366 is published, the licensees incur burden by having to convert the revised form to one editable by word-processing software. For this renewal, NEI repeats the recommendation to provide a Word version of Form 366. </w:t>
      </w:r>
    </w:p>
    <w:p w:rsidR="00494555" w:rsidRPr="00494555" w:rsidP="00494555" w14:paraId="7BE42917" w14:textId="77777777">
      <w:pPr>
        <w:widowControl/>
        <w:tabs>
          <w:tab w:val="left" w:pos="-1440"/>
        </w:tabs>
        <w:ind w:left="1440"/>
        <w:rPr>
          <w:rFonts w:ascii="Arial" w:hAnsi="Arial" w:cs="Arial"/>
          <w:color w:val="000000" w:themeColor="text1"/>
          <w:sz w:val="22"/>
          <w:szCs w:val="22"/>
        </w:rPr>
      </w:pPr>
      <w:r w:rsidRPr="00494555">
        <w:rPr>
          <w:rFonts w:ascii="Arial" w:hAnsi="Arial" w:cs="Arial"/>
          <w:color w:val="000000" w:themeColor="text1"/>
          <w:sz w:val="22"/>
          <w:szCs w:val="22"/>
        </w:rPr>
        <w:t> </w:t>
      </w:r>
    </w:p>
    <w:p w:rsidR="00494555" w:rsidRPr="00494555" w:rsidP="00494555" w14:paraId="7B0950F6" w14:textId="3D6937D3">
      <w:pPr>
        <w:widowControl/>
        <w:tabs>
          <w:tab w:val="left" w:pos="-1440"/>
        </w:tabs>
        <w:ind w:left="1440"/>
        <w:rPr>
          <w:rFonts w:ascii="Arial" w:hAnsi="Arial" w:cs="Arial"/>
          <w:color w:val="000000" w:themeColor="text1"/>
          <w:sz w:val="22"/>
          <w:szCs w:val="22"/>
        </w:rPr>
      </w:pPr>
      <w:r w:rsidRPr="00494555">
        <w:rPr>
          <w:rFonts w:ascii="Arial" w:hAnsi="Arial" w:cs="Arial"/>
          <w:color w:val="000000" w:themeColor="text1"/>
          <w:sz w:val="22"/>
          <w:szCs w:val="22"/>
        </w:rPr>
        <w:t xml:space="preserve">Additionally, NEI understands that the NRC staff are developing an online tool for submitting Licensee Event Reports (LERs) through its Mission Analytics Portal </w:t>
      </w:r>
      <w:r>
        <w:rPr>
          <w:rFonts w:ascii="Arial" w:hAnsi="Arial" w:cs="Arial"/>
          <w:color w:val="000000" w:themeColor="text1"/>
          <w:sz w:val="22"/>
          <w:szCs w:val="22"/>
        </w:rPr>
        <w:noBreakHyphen/>
      </w:r>
      <w:r w:rsidRPr="00494555">
        <w:rPr>
          <w:rFonts w:ascii="Arial" w:hAnsi="Arial" w:cs="Arial"/>
          <w:color w:val="000000" w:themeColor="text1"/>
          <w:sz w:val="22"/>
          <w:szCs w:val="22"/>
        </w:rPr>
        <w:t xml:space="preserve"> External (MAP-X). As part of this effort, NEI recommends the NRC staff include the capability to import data from a fillable form. For example, a licensee could complete an LER as a Word document and upload the file to the online tool which could extract the required data and finalize the report for submittal. This capability would allow licensees to use existing processes for preparing, validating, and reviewing LERs while encouraging adoption of the online tool and meeting the NRC staff’s data analytics goals.</w:t>
      </w:r>
    </w:p>
    <w:p w:rsidR="00944A1B" w:rsidP="00944A1B" w14:paraId="25B9B2B0" w14:textId="580FEC04">
      <w:pPr>
        <w:widowControl/>
        <w:tabs>
          <w:tab w:val="left" w:pos="-1440"/>
        </w:tabs>
        <w:ind w:left="1440"/>
        <w:rPr>
          <w:rFonts w:ascii="Arial" w:hAnsi="Arial" w:cs="Arial"/>
          <w:color w:val="000000" w:themeColor="text1"/>
          <w:sz w:val="22"/>
          <w:szCs w:val="22"/>
        </w:rPr>
      </w:pPr>
    </w:p>
    <w:p w:rsidR="00494555" w:rsidRPr="00494555" w:rsidP="00494555" w14:paraId="63D23FE5" w14:textId="77777777">
      <w:pPr>
        <w:widowControl/>
        <w:tabs>
          <w:tab w:val="left" w:pos="-1440"/>
        </w:tabs>
        <w:ind w:left="1440"/>
        <w:rPr>
          <w:rFonts w:ascii="Arial" w:hAnsi="Arial" w:cs="Arial"/>
          <w:color w:val="000000" w:themeColor="text1"/>
          <w:sz w:val="22"/>
          <w:szCs w:val="22"/>
        </w:rPr>
      </w:pPr>
      <w:r w:rsidRPr="00494555">
        <w:rPr>
          <w:rFonts w:ascii="Arial" w:hAnsi="Arial" w:cs="Arial"/>
          <w:color w:val="000000" w:themeColor="text1"/>
          <w:sz w:val="22"/>
          <w:szCs w:val="22"/>
        </w:rPr>
        <w:t>NRC Response:</w:t>
      </w:r>
    </w:p>
    <w:p w:rsidR="00494555" w:rsidRPr="00494555" w:rsidP="00494555" w14:paraId="13EA2868" w14:textId="77777777">
      <w:pPr>
        <w:widowControl/>
        <w:tabs>
          <w:tab w:val="left" w:pos="-1440"/>
        </w:tabs>
        <w:ind w:left="1440"/>
        <w:rPr>
          <w:rFonts w:ascii="Arial" w:hAnsi="Arial" w:cs="Arial"/>
          <w:color w:val="000000" w:themeColor="text1"/>
          <w:sz w:val="22"/>
          <w:szCs w:val="22"/>
        </w:rPr>
      </w:pPr>
    </w:p>
    <w:p w:rsidR="00494555" w:rsidP="00494555" w14:paraId="0231BBBE" w14:textId="55AC46C9">
      <w:pPr>
        <w:widowControl/>
        <w:tabs>
          <w:tab w:val="left" w:pos="-1440"/>
        </w:tabs>
        <w:ind w:left="1440"/>
        <w:rPr>
          <w:rFonts w:ascii="Arial" w:hAnsi="Arial" w:cs="Arial"/>
          <w:color w:val="000000" w:themeColor="text1"/>
          <w:sz w:val="22"/>
          <w:szCs w:val="22"/>
        </w:rPr>
      </w:pPr>
      <w:r w:rsidRPr="00494555">
        <w:rPr>
          <w:rFonts w:ascii="Arial" w:hAnsi="Arial" w:cs="Arial"/>
          <w:color w:val="000000" w:themeColor="text1"/>
          <w:sz w:val="22"/>
          <w:szCs w:val="22"/>
        </w:rPr>
        <w:t>The NRC staff is taking the comments into consideration and exploring options</w:t>
      </w:r>
      <w:r w:rsidR="00814088">
        <w:rPr>
          <w:rFonts w:ascii="Arial" w:hAnsi="Arial" w:cs="Arial"/>
          <w:color w:val="000000" w:themeColor="text1"/>
          <w:sz w:val="22"/>
          <w:szCs w:val="22"/>
        </w:rPr>
        <w:t xml:space="preserve">.  While the </w:t>
      </w:r>
      <w:r w:rsidRPr="00494555">
        <w:rPr>
          <w:rFonts w:ascii="Arial" w:hAnsi="Arial" w:cs="Arial"/>
          <w:color w:val="000000" w:themeColor="text1"/>
          <w:sz w:val="22"/>
          <w:szCs w:val="22"/>
        </w:rPr>
        <w:t xml:space="preserve">NRC </w:t>
      </w:r>
      <w:r w:rsidR="00814088">
        <w:rPr>
          <w:rFonts w:ascii="Arial" w:hAnsi="Arial" w:cs="Arial"/>
          <w:color w:val="000000" w:themeColor="text1"/>
          <w:sz w:val="22"/>
          <w:szCs w:val="22"/>
        </w:rPr>
        <w:t xml:space="preserve">is unable to create </w:t>
      </w:r>
      <w:r w:rsidRPr="00494555">
        <w:rPr>
          <w:rFonts w:ascii="Arial" w:hAnsi="Arial" w:cs="Arial"/>
          <w:color w:val="000000" w:themeColor="text1"/>
          <w:sz w:val="22"/>
          <w:szCs w:val="22"/>
        </w:rPr>
        <w:t xml:space="preserve">forms </w:t>
      </w:r>
      <w:r w:rsidR="00814088">
        <w:rPr>
          <w:rFonts w:ascii="Arial" w:hAnsi="Arial" w:cs="Arial"/>
          <w:color w:val="000000" w:themeColor="text1"/>
          <w:sz w:val="22"/>
          <w:szCs w:val="22"/>
        </w:rPr>
        <w:t xml:space="preserve">in </w:t>
      </w:r>
      <w:r w:rsidRPr="00494555">
        <w:rPr>
          <w:rFonts w:ascii="Arial" w:hAnsi="Arial" w:cs="Arial"/>
          <w:color w:val="000000" w:themeColor="text1"/>
          <w:sz w:val="22"/>
          <w:szCs w:val="22"/>
        </w:rPr>
        <w:t>multiple formats</w:t>
      </w:r>
      <w:r w:rsidR="00814088">
        <w:rPr>
          <w:rFonts w:ascii="Arial" w:hAnsi="Arial" w:cs="Arial"/>
          <w:color w:val="000000" w:themeColor="text1"/>
          <w:sz w:val="22"/>
          <w:szCs w:val="22"/>
        </w:rPr>
        <w:t xml:space="preserve"> (i.e., all NRC forms are in the Adobe Acrobat format), the NRC </w:t>
      </w:r>
      <w:r w:rsidR="00BB0D96">
        <w:rPr>
          <w:rFonts w:ascii="Arial" w:hAnsi="Arial" w:cs="Arial"/>
          <w:color w:val="000000" w:themeColor="text1"/>
          <w:sz w:val="22"/>
          <w:szCs w:val="22"/>
        </w:rPr>
        <w:t>is seeking</w:t>
      </w:r>
      <w:r w:rsidR="00814088">
        <w:rPr>
          <w:rFonts w:ascii="Arial" w:hAnsi="Arial" w:cs="Arial"/>
          <w:color w:val="000000" w:themeColor="text1"/>
          <w:sz w:val="22"/>
          <w:szCs w:val="22"/>
        </w:rPr>
        <w:t xml:space="preserve"> to include the capability to import data from a fillable form as part of the MAP-X capability.</w:t>
      </w:r>
    </w:p>
    <w:p w:rsidR="00494555" w:rsidP="00494555" w14:paraId="2193E364" w14:textId="77777777">
      <w:pPr>
        <w:widowControl/>
        <w:tabs>
          <w:tab w:val="left" w:pos="-1440"/>
        </w:tabs>
        <w:ind w:left="1440"/>
        <w:rPr>
          <w:rFonts w:ascii="Arial" w:hAnsi="Arial" w:cs="Arial"/>
          <w:color w:val="000000" w:themeColor="text1"/>
          <w:sz w:val="22"/>
          <w:szCs w:val="22"/>
        </w:rPr>
      </w:pPr>
    </w:p>
    <w:p w:rsidR="00494555" w:rsidRPr="00494555" w:rsidP="00494555" w14:paraId="7BB15E6F" w14:textId="1A2F3232">
      <w:pPr>
        <w:widowControl/>
        <w:tabs>
          <w:tab w:val="left" w:pos="-1440"/>
        </w:tabs>
        <w:ind w:left="1440"/>
        <w:rPr>
          <w:rFonts w:ascii="Arial" w:hAnsi="Arial" w:cs="Arial"/>
          <w:color w:val="000000" w:themeColor="text1"/>
          <w:sz w:val="22"/>
          <w:szCs w:val="22"/>
        </w:rPr>
      </w:pPr>
      <w:r>
        <w:rPr>
          <w:rFonts w:ascii="Arial" w:hAnsi="Arial" w:cs="Arial"/>
          <w:color w:val="000000" w:themeColor="text1"/>
          <w:sz w:val="22"/>
          <w:szCs w:val="22"/>
        </w:rPr>
        <w:t>No additional comments were received as a result of the FRN publication or staff direct solicitation.</w:t>
      </w:r>
    </w:p>
    <w:p w:rsidR="00E30D3C" w:rsidRPr="00B004E5" w:rsidP="002F41B7" w14:paraId="73BE6D24" w14:textId="77777777">
      <w:pPr>
        <w:widowControl/>
        <w:rPr>
          <w:rFonts w:ascii="Arial" w:hAnsi="Arial" w:cs="Arial"/>
          <w:color w:val="000000" w:themeColor="text1"/>
          <w:sz w:val="22"/>
          <w:szCs w:val="22"/>
        </w:rPr>
      </w:pPr>
    </w:p>
    <w:p w:rsidR="002B1B50" w:rsidRPr="00B004E5" w:rsidP="004E4948" w14:paraId="2592170D" w14:textId="77777777">
      <w:pPr>
        <w:widowControl/>
        <w:tabs>
          <w:tab w:val="left" w:pos="-1440"/>
        </w:tabs>
        <w:ind w:left="720"/>
        <w:rPr>
          <w:rFonts w:ascii="Arial" w:hAnsi="Arial" w:cs="Arial"/>
          <w:color w:val="000000" w:themeColor="text1"/>
          <w:sz w:val="22"/>
          <w:szCs w:val="22"/>
        </w:rPr>
      </w:pPr>
      <w:r w:rsidRPr="00B004E5">
        <w:rPr>
          <w:rFonts w:ascii="Arial" w:hAnsi="Arial" w:cs="Arial"/>
          <w:color w:val="000000" w:themeColor="text1"/>
          <w:sz w:val="22"/>
          <w:szCs w:val="22"/>
        </w:rPr>
        <w:t>9.</w:t>
      </w:r>
      <w:r w:rsidRPr="00B004E5">
        <w:rPr>
          <w:rFonts w:ascii="Arial" w:hAnsi="Arial" w:cs="Arial"/>
          <w:color w:val="000000" w:themeColor="text1"/>
          <w:sz w:val="22"/>
          <w:szCs w:val="22"/>
        </w:rPr>
        <w:tab/>
      </w:r>
      <w:r w:rsidRPr="00B004E5">
        <w:rPr>
          <w:rFonts w:ascii="Arial" w:hAnsi="Arial" w:cs="Arial"/>
          <w:color w:val="000000" w:themeColor="text1"/>
          <w:sz w:val="22"/>
          <w:szCs w:val="22"/>
          <w:u w:val="single"/>
        </w:rPr>
        <w:t>Payment or Gift to Respondents</w:t>
      </w:r>
    </w:p>
    <w:p w:rsidR="002B1B50" w:rsidRPr="00B004E5" w:rsidP="00A94A47" w14:paraId="708B0205" w14:textId="77777777">
      <w:pPr>
        <w:widowControl/>
        <w:rPr>
          <w:rFonts w:ascii="Arial" w:hAnsi="Arial" w:cs="Arial"/>
          <w:color w:val="000000" w:themeColor="text1"/>
          <w:sz w:val="22"/>
          <w:szCs w:val="22"/>
        </w:rPr>
      </w:pPr>
    </w:p>
    <w:p w:rsidR="002B1B50" w:rsidRPr="00B004E5" w:rsidP="00B004E5" w14:paraId="1FD971C7" w14:textId="77777777">
      <w:pPr>
        <w:widowControl/>
        <w:ind w:left="720" w:firstLine="720"/>
        <w:rPr>
          <w:rFonts w:ascii="Arial" w:hAnsi="Arial" w:cs="Arial"/>
          <w:color w:val="000000" w:themeColor="text1"/>
          <w:sz w:val="22"/>
          <w:szCs w:val="22"/>
        </w:rPr>
      </w:pPr>
      <w:r w:rsidRPr="00B004E5">
        <w:rPr>
          <w:rFonts w:ascii="Arial" w:hAnsi="Arial" w:cs="Arial"/>
          <w:color w:val="000000" w:themeColor="text1"/>
          <w:sz w:val="22"/>
          <w:szCs w:val="22"/>
        </w:rPr>
        <w:t xml:space="preserve">Not </w:t>
      </w:r>
      <w:r w:rsidRPr="00B004E5" w:rsidR="006E1C71">
        <w:rPr>
          <w:rFonts w:ascii="Arial" w:hAnsi="Arial" w:cs="Arial"/>
          <w:color w:val="000000" w:themeColor="text1"/>
          <w:sz w:val="22"/>
          <w:szCs w:val="22"/>
        </w:rPr>
        <w:t>a</w:t>
      </w:r>
      <w:r w:rsidRPr="00B004E5">
        <w:rPr>
          <w:rFonts w:ascii="Arial" w:hAnsi="Arial" w:cs="Arial"/>
          <w:color w:val="000000" w:themeColor="text1"/>
          <w:sz w:val="22"/>
          <w:szCs w:val="22"/>
        </w:rPr>
        <w:t>pplicable.</w:t>
      </w:r>
    </w:p>
    <w:p w:rsidR="002B1B50" w:rsidRPr="00B004E5" w:rsidP="00A94A47" w14:paraId="73EEB1C9" w14:textId="77777777">
      <w:pPr>
        <w:widowControl/>
        <w:rPr>
          <w:rFonts w:ascii="Arial" w:hAnsi="Arial" w:cs="Arial"/>
          <w:color w:val="000000" w:themeColor="text1"/>
          <w:sz w:val="22"/>
          <w:szCs w:val="22"/>
        </w:rPr>
      </w:pPr>
    </w:p>
    <w:p w:rsidR="002B1B50" w:rsidRPr="00B004E5" w:rsidP="003A40B5" w14:paraId="27276BB3" w14:textId="391CAED0">
      <w:pPr>
        <w:widowControl/>
        <w:tabs>
          <w:tab w:val="left" w:pos="-1440"/>
        </w:tabs>
        <w:rPr>
          <w:rFonts w:ascii="Arial" w:hAnsi="Arial" w:cs="Arial"/>
          <w:color w:val="000000" w:themeColor="text1"/>
          <w:sz w:val="22"/>
          <w:szCs w:val="22"/>
          <w:u w:val="single"/>
        </w:rPr>
      </w:pPr>
      <w:r>
        <w:rPr>
          <w:rFonts w:ascii="Arial" w:hAnsi="Arial" w:cs="Arial"/>
          <w:color w:val="000000" w:themeColor="text1"/>
          <w:sz w:val="22"/>
          <w:szCs w:val="22"/>
        </w:rPr>
        <w:tab/>
      </w:r>
      <w:r w:rsidRPr="00B004E5">
        <w:rPr>
          <w:rFonts w:ascii="Arial" w:hAnsi="Arial" w:cs="Arial"/>
          <w:color w:val="000000" w:themeColor="text1"/>
          <w:sz w:val="22"/>
          <w:szCs w:val="22"/>
        </w:rPr>
        <w:t>10.</w:t>
      </w:r>
      <w:r w:rsidRPr="00B004E5">
        <w:rPr>
          <w:rFonts w:ascii="Arial" w:hAnsi="Arial" w:cs="Arial"/>
          <w:color w:val="000000" w:themeColor="text1"/>
          <w:sz w:val="22"/>
          <w:szCs w:val="22"/>
        </w:rPr>
        <w:tab/>
      </w:r>
      <w:r w:rsidRPr="00B004E5">
        <w:rPr>
          <w:rFonts w:ascii="Arial" w:hAnsi="Arial" w:cs="Arial"/>
          <w:color w:val="000000" w:themeColor="text1"/>
          <w:sz w:val="22"/>
          <w:szCs w:val="22"/>
          <w:u w:val="single"/>
        </w:rPr>
        <w:t>Confidentiality of Information</w:t>
      </w:r>
    </w:p>
    <w:p w:rsidR="00A57433" w:rsidRPr="00B004E5" w:rsidP="00A94A47" w14:paraId="1D472D6E" w14:textId="77777777">
      <w:pPr>
        <w:widowControl/>
        <w:rPr>
          <w:rFonts w:ascii="Arial" w:hAnsi="Arial" w:cs="Arial"/>
          <w:color w:val="000000" w:themeColor="text1"/>
          <w:sz w:val="22"/>
          <w:szCs w:val="22"/>
        </w:rPr>
      </w:pPr>
    </w:p>
    <w:p w:rsidR="00A57433" w:rsidRPr="00B004E5" w:rsidP="00B004E5" w14:paraId="4EA6A8BB" w14:textId="7E2F093E">
      <w:pPr>
        <w:widowControl/>
        <w:ind w:left="1440"/>
        <w:rPr>
          <w:rFonts w:ascii="Arial" w:hAnsi="Arial" w:cs="Arial"/>
          <w:color w:val="000000" w:themeColor="text1"/>
          <w:sz w:val="22"/>
          <w:szCs w:val="22"/>
        </w:rPr>
      </w:pPr>
      <w:r>
        <w:rPr>
          <w:rFonts w:ascii="Arial" w:hAnsi="Arial" w:cs="Arial"/>
          <w:color w:val="000000" w:themeColor="text1"/>
          <w:sz w:val="22"/>
          <w:szCs w:val="22"/>
        </w:rPr>
        <w:t>C</w:t>
      </w:r>
      <w:r w:rsidRPr="00B004E5">
        <w:rPr>
          <w:rFonts w:ascii="Arial" w:hAnsi="Arial" w:cs="Arial"/>
          <w:color w:val="000000" w:themeColor="text1"/>
          <w:sz w:val="22"/>
          <w:szCs w:val="22"/>
        </w:rPr>
        <w:t>onfidential and proprietary information is protected in accordance with NRC regulations in 10 CFR 9.17(a) and 10 CFR 2.390(b)</w:t>
      </w:r>
      <w:r w:rsidRPr="00B004E5" w:rsidR="0045681F">
        <w:rPr>
          <w:rFonts w:ascii="Arial" w:hAnsi="Arial" w:cs="Arial"/>
          <w:color w:val="000000" w:themeColor="text1"/>
          <w:sz w:val="22"/>
          <w:szCs w:val="22"/>
        </w:rPr>
        <w:t xml:space="preserve">. </w:t>
      </w:r>
      <w:r w:rsidRPr="00B004E5" w:rsidR="006614C2">
        <w:rPr>
          <w:rFonts w:ascii="Arial" w:hAnsi="Arial"/>
          <w:color w:val="000000" w:themeColor="text1"/>
          <w:sz w:val="22"/>
        </w:rPr>
        <w:t>However, no information normally considered confidential or proprietary is requested.</w:t>
      </w:r>
    </w:p>
    <w:p w:rsidR="00586215" w:rsidP="00A94A47" w14:paraId="6AA3EA9E" w14:textId="1FA56AC7">
      <w:pPr>
        <w:widowControl/>
        <w:ind w:left="720"/>
        <w:rPr>
          <w:rFonts w:ascii="Arial" w:hAnsi="Arial" w:cs="Arial"/>
          <w:color w:val="000000" w:themeColor="text1"/>
          <w:sz w:val="22"/>
          <w:szCs w:val="22"/>
        </w:rPr>
      </w:pPr>
    </w:p>
    <w:p w:rsidR="002B1B50" w:rsidRPr="00B004E5" w:rsidP="004E4948" w14:paraId="2D6CA3B0" w14:textId="77777777">
      <w:pPr>
        <w:widowControl/>
        <w:tabs>
          <w:tab w:val="left" w:pos="-1440"/>
        </w:tabs>
        <w:ind w:left="720"/>
        <w:rPr>
          <w:rFonts w:ascii="Arial" w:hAnsi="Arial" w:cs="Arial"/>
          <w:color w:val="000000" w:themeColor="text1"/>
          <w:sz w:val="22"/>
          <w:szCs w:val="22"/>
        </w:rPr>
      </w:pPr>
      <w:r w:rsidRPr="00B004E5">
        <w:rPr>
          <w:rFonts w:ascii="Arial" w:hAnsi="Arial" w:cs="Arial"/>
          <w:color w:val="000000" w:themeColor="text1"/>
          <w:sz w:val="22"/>
          <w:szCs w:val="22"/>
        </w:rPr>
        <w:t>11.</w:t>
      </w:r>
      <w:r w:rsidRPr="00B004E5">
        <w:rPr>
          <w:rFonts w:ascii="Arial" w:hAnsi="Arial" w:cs="Arial"/>
          <w:color w:val="000000" w:themeColor="text1"/>
          <w:sz w:val="22"/>
          <w:szCs w:val="22"/>
        </w:rPr>
        <w:tab/>
      </w:r>
      <w:r w:rsidRPr="00B004E5">
        <w:rPr>
          <w:rFonts w:ascii="Arial" w:hAnsi="Arial" w:cs="Arial"/>
          <w:color w:val="000000" w:themeColor="text1"/>
          <w:sz w:val="22"/>
          <w:szCs w:val="22"/>
          <w:u w:val="single"/>
        </w:rPr>
        <w:t>Justification for Sensitive Questions</w:t>
      </w:r>
    </w:p>
    <w:p w:rsidR="002B1B50" w:rsidRPr="00B004E5" w:rsidP="00A94A47" w14:paraId="3BD06D2E" w14:textId="77777777">
      <w:pPr>
        <w:widowControl/>
        <w:rPr>
          <w:rFonts w:ascii="Arial" w:hAnsi="Arial" w:cs="Arial"/>
          <w:color w:val="000000" w:themeColor="text1"/>
          <w:sz w:val="22"/>
          <w:szCs w:val="22"/>
        </w:rPr>
      </w:pPr>
    </w:p>
    <w:p w:rsidR="002326B9" w:rsidRPr="00B004E5" w:rsidP="002326B9" w14:paraId="7DAAAF0D" w14:textId="3CACC1D4">
      <w:pPr>
        <w:ind w:left="1440"/>
        <w:rPr>
          <w:rFonts w:ascii="Arial" w:hAnsi="Arial"/>
          <w:color w:val="000000" w:themeColor="text1"/>
          <w:sz w:val="22"/>
        </w:rPr>
      </w:pPr>
      <w:r w:rsidRPr="00B004E5">
        <w:rPr>
          <w:rFonts w:ascii="Arial" w:hAnsi="Arial"/>
          <w:color w:val="000000" w:themeColor="text1"/>
          <w:sz w:val="22"/>
        </w:rPr>
        <w:t>No sensitive information is requested. If sensitive information is provided by licensees within these submittals there are processes for appropriate marking them non-public for security reasons or marking sections as “proprietary” per 10</w:t>
      </w:r>
      <w:r w:rsidR="00CF5724">
        <w:rPr>
          <w:rFonts w:ascii="Arial" w:hAnsi="Arial"/>
          <w:color w:val="000000" w:themeColor="text1"/>
          <w:sz w:val="22"/>
        </w:rPr>
        <w:t> </w:t>
      </w:r>
      <w:r w:rsidRPr="00B004E5">
        <w:rPr>
          <w:rFonts w:ascii="Arial" w:hAnsi="Arial"/>
          <w:color w:val="000000" w:themeColor="text1"/>
          <w:sz w:val="22"/>
        </w:rPr>
        <w:t>CFR 2.390(b).</w:t>
      </w:r>
    </w:p>
    <w:p w:rsidR="007F0960" w:rsidP="00A94A47" w14:paraId="0A05295F" w14:textId="4D571E10">
      <w:pPr>
        <w:widowControl/>
        <w:rPr>
          <w:rFonts w:ascii="Arial" w:hAnsi="Arial" w:cs="Arial"/>
          <w:color w:val="000000" w:themeColor="text1"/>
          <w:sz w:val="22"/>
          <w:szCs w:val="22"/>
        </w:rPr>
      </w:pPr>
      <w:r>
        <w:rPr>
          <w:rFonts w:ascii="Arial" w:hAnsi="Arial" w:cs="Arial"/>
          <w:color w:val="000000" w:themeColor="text1"/>
          <w:sz w:val="22"/>
          <w:szCs w:val="22"/>
        </w:rPr>
        <w:br w:type="page"/>
      </w:r>
    </w:p>
    <w:p w:rsidR="002B1B50" w:rsidRPr="00B004E5" w:rsidP="004E4948" w14:paraId="0310DDC2" w14:textId="10573C1D">
      <w:pPr>
        <w:keepNext/>
        <w:widowControl/>
        <w:tabs>
          <w:tab w:val="left" w:pos="-1440"/>
        </w:tabs>
        <w:ind w:left="720"/>
        <w:rPr>
          <w:rFonts w:ascii="Arial" w:hAnsi="Arial" w:cs="Arial"/>
          <w:color w:val="000000" w:themeColor="text1"/>
          <w:sz w:val="22"/>
          <w:szCs w:val="22"/>
        </w:rPr>
      </w:pPr>
      <w:r w:rsidRPr="00B004E5">
        <w:rPr>
          <w:rFonts w:ascii="Arial" w:hAnsi="Arial" w:cs="Arial"/>
          <w:color w:val="000000" w:themeColor="text1"/>
          <w:sz w:val="22"/>
          <w:szCs w:val="22"/>
        </w:rPr>
        <w:t>12.</w:t>
      </w:r>
      <w:r w:rsidRPr="00B004E5">
        <w:rPr>
          <w:rFonts w:ascii="Arial" w:hAnsi="Arial" w:cs="Arial"/>
          <w:color w:val="000000" w:themeColor="text1"/>
          <w:sz w:val="22"/>
          <w:szCs w:val="22"/>
        </w:rPr>
        <w:tab/>
      </w:r>
      <w:r w:rsidRPr="00B004E5" w:rsidR="00165D17">
        <w:rPr>
          <w:rFonts w:ascii="Arial" w:hAnsi="Arial" w:cs="Arial"/>
          <w:color w:val="000000" w:themeColor="text1"/>
          <w:sz w:val="22"/>
          <w:szCs w:val="22"/>
          <w:u w:val="single"/>
        </w:rPr>
        <w:t>Estimate</w:t>
      </w:r>
      <w:r w:rsidRPr="00B004E5" w:rsidR="005F3F0A">
        <w:rPr>
          <w:rFonts w:ascii="Arial" w:hAnsi="Arial" w:cs="Arial"/>
          <w:color w:val="000000" w:themeColor="text1"/>
          <w:sz w:val="22"/>
          <w:szCs w:val="22"/>
          <w:u w:val="single"/>
        </w:rPr>
        <w:t>d Burden and Burden Hour Cost</w:t>
      </w:r>
    </w:p>
    <w:p w:rsidR="002B1B50" w:rsidRPr="00B004E5" w:rsidP="00A94A47" w14:paraId="39181074" w14:textId="77777777">
      <w:pPr>
        <w:keepNext/>
        <w:widowControl/>
        <w:rPr>
          <w:rFonts w:ascii="Arial" w:hAnsi="Arial" w:cs="Arial"/>
          <w:color w:val="000000" w:themeColor="text1"/>
          <w:sz w:val="22"/>
          <w:szCs w:val="22"/>
        </w:rPr>
      </w:pPr>
    </w:p>
    <w:p w:rsidR="00541C28" w:rsidRPr="00B004E5" w:rsidP="00541C28" w14:paraId="7DD6F038" w14:textId="439FB365">
      <w:pPr>
        <w:ind w:left="1440"/>
        <w:rPr>
          <w:rFonts w:ascii="Arial" w:hAnsi="Arial"/>
          <w:color w:val="000000" w:themeColor="text1"/>
          <w:sz w:val="22"/>
        </w:rPr>
      </w:pPr>
      <w:r w:rsidRPr="00B004E5">
        <w:rPr>
          <w:rFonts w:ascii="Arial" w:hAnsi="Arial"/>
          <w:color w:val="000000" w:themeColor="text1"/>
          <w:sz w:val="22"/>
        </w:rPr>
        <w:t xml:space="preserve">Approximately </w:t>
      </w:r>
      <w:r w:rsidRPr="00B004E5" w:rsidR="00C12915">
        <w:rPr>
          <w:rFonts w:ascii="Arial" w:hAnsi="Arial"/>
          <w:color w:val="000000" w:themeColor="text1"/>
          <w:sz w:val="22"/>
        </w:rPr>
        <w:t>25</w:t>
      </w:r>
      <w:r w:rsidRPr="00B004E5" w:rsidR="00A7541F">
        <w:rPr>
          <w:rFonts w:ascii="Arial" w:hAnsi="Arial"/>
          <w:color w:val="000000" w:themeColor="text1"/>
          <w:sz w:val="22"/>
        </w:rPr>
        <w:t>0</w:t>
      </w:r>
      <w:r w:rsidRPr="00B004E5">
        <w:rPr>
          <w:rFonts w:ascii="Arial" w:hAnsi="Arial"/>
          <w:color w:val="000000" w:themeColor="text1"/>
          <w:sz w:val="22"/>
        </w:rPr>
        <w:t xml:space="preserve"> NRC Forms 366, 366A and 366B are expected to be submitted annually during the next three years, based on data from recent LER submittals and trends, as well as NRC staff knowledge about the </w:t>
      </w:r>
      <w:r w:rsidRPr="00B004E5" w:rsidR="00194D91">
        <w:rPr>
          <w:rFonts w:ascii="Arial" w:hAnsi="Arial"/>
          <w:color w:val="000000" w:themeColor="text1"/>
          <w:sz w:val="22"/>
        </w:rPr>
        <w:t xml:space="preserve">changing </w:t>
      </w:r>
      <w:r w:rsidRPr="00B004E5">
        <w:rPr>
          <w:rFonts w:ascii="Arial" w:hAnsi="Arial"/>
          <w:color w:val="000000" w:themeColor="text1"/>
          <w:sz w:val="22"/>
        </w:rPr>
        <w:t>number of licensees and potential future submissions</w:t>
      </w:r>
      <w:r w:rsidRPr="00B004E5" w:rsidR="00194D91">
        <w:rPr>
          <w:rFonts w:ascii="Arial" w:hAnsi="Arial"/>
          <w:color w:val="000000" w:themeColor="text1"/>
          <w:sz w:val="22"/>
        </w:rPr>
        <w:t>.</w:t>
      </w:r>
    </w:p>
    <w:p w:rsidR="00541C28" w:rsidRPr="00B004E5" w:rsidP="00541C28" w14:paraId="39CA9C90" w14:textId="77777777">
      <w:pPr>
        <w:ind w:left="1440"/>
        <w:rPr>
          <w:rFonts w:ascii="Arial" w:hAnsi="Arial"/>
          <w:color w:val="000000" w:themeColor="text1"/>
          <w:sz w:val="22"/>
        </w:rPr>
      </w:pPr>
    </w:p>
    <w:p w:rsidR="00541C28" w:rsidRPr="00B004E5" w:rsidP="00541C28" w14:paraId="2CE522D8" w14:textId="5CE4AF07">
      <w:pPr>
        <w:ind w:left="1440"/>
        <w:rPr>
          <w:rFonts w:ascii="Arial" w:hAnsi="Arial"/>
          <w:color w:val="000000" w:themeColor="text1"/>
          <w:sz w:val="22"/>
        </w:rPr>
      </w:pPr>
      <w:r w:rsidRPr="00B004E5">
        <w:rPr>
          <w:rFonts w:ascii="Arial" w:hAnsi="Arial"/>
          <w:color w:val="000000" w:themeColor="text1"/>
          <w:sz w:val="22"/>
        </w:rPr>
        <w:t xml:space="preserve">The total annual estimated burden for submissions is </w:t>
      </w:r>
      <w:r w:rsidRPr="00B004E5" w:rsidR="002458B1">
        <w:rPr>
          <w:rFonts w:ascii="Arial" w:hAnsi="Arial"/>
          <w:color w:val="000000" w:themeColor="text1"/>
          <w:sz w:val="22"/>
        </w:rPr>
        <w:t>16</w:t>
      </w:r>
      <w:r w:rsidRPr="00B004E5">
        <w:rPr>
          <w:rFonts w:ascii="Arial" w:hAnsi="Arial"/>
          <w:color w:val="000000" w:themeColor="text1"/>
          <w:sz w:val="22"/>
        </w:rPr>
        <w:t>,</w:t>
      </w:r>
      <w:r w:rsidRPr="00B004E5" w:rsidR="002458B1">
        <w:rPr>
          <w:rFonts w:ascii="Arial" w:hAnsi="Arial"/>
          <w:color w:val="000000" w:themeColor="text1"/>
          <w:sz w:val="22"/>
        </w:rPr>
        <w:t>0</w:t>
      </w:r>
      <w:r w:rsidRPr="00B004E5">
        <w:rPr>
          <w:rFonts w:ascii="Arial" w:hAnsi="Arial"/>
          <w:color w:val="000000" w:themeColor="text1"/>
          <w:sz w:val="22"/>
        </w:rPr>
        <w:t xml:space="preserve">00 hours calculated as follows: </w:t>
      </w:r>
    </w:p>
    <w:p w:rsidR="00541C28" w:rsidRPr="00B004E5" w:rsidP="00541C28" w14:paraId="6D768CD6" w14:textId="77777777">
      <w:pPr>
        <w:ind w:left="1440"/>
        <w:rPr>
          <w:rFonts w:ascii="Arial" w:hAnsi="Arial"/>
          <w:color w:val="000000" w:themeColor="text1"/>
          <w:sz w:val="22"/>
        </w:rPr>
      </w:pPr>
    </w:p>
    <w:p w:rsidR="00541C28" w:rsidRPr="00B004E5" w:rsidP="00541C28" w14:paraId="7805DBCF" w14:textId="2007C9A7">
      <w:pPr>
        <w:ind w:left="1440"/>
        <w:rPr>
          <w:rFonts w:ascii="Arial" w:hAnsi="Arial"/>
          <w:color w:val="000000" w:themeColor="text1"/>
          <w:sz w:val="22"/>
        </w:rPr>
      </w:pPr>
      <w:r w:rsidRPr="00B004E5">
        <w:rPr>
          <w:rFonts w:ascii="Arial" w:hAnsi="Arial"/>
          <w:color w:val="000000" w:themeColor="text1"/>
          <w:sz w:val="22"/>
        </w:rPr>
        <w:t xml:space="preserve">Total Reporting Burden = </w:t>
      </w:r>
      <w:r w:rsidRPr="00B004E5" w:rsidR="003D5AB5">
        <w:rPr>
          <w:rFonts w:ascii="Arial" w:hAnsi="Arial"/>
          <w:color w:val="000000" w:themeColor="text1"/>
          <w:sz w:val="22"/>
        </w:rPr>
        <w:t>2</w:t>
      </w:r>
      <w:r w:rsidRPr="00B004E5" w:rsidR="002458B1">
        <w:rPr>
          <w:rFonts w:ascii="Arial" w:hAnsi="Arial"/>
          <w:color w:val="000000" w:themeColor="text1"/>
          <w:sz w:val="22"/>
        </w:rPr>
        <w:t>5</w:t>
      </w:r>
      <w:r w:rsidRPr="00B004E5" w:rsidR="00F81820">
        <w:rPr>
          <w:rFonts w:ascii="Arial" w:hAnsi="Arial"/>
          <w:color w:val="000000" w:themeColor="text1"/>
          <w:sz w:val="22"/>
        </w:rPr>
        <w:t>0</w:t>
      </w:r>
      <w:r w:rsidRPr="00B004E5">
        <w:rPr>
          <w:rFonts w:ascii="Arial" w:hAnsi="Arial"/>
          <w:color w:val="000000" w:themeColor="text1"/>
          <w:sz w:val="22"/>
        </w:rPr>
        <w:t xml:space="preserve"> submissions x 64 hours = </w:t>
      </w:r>
      <w:r w:rsidRPr="00B004E5" w:rsidR="002458B1">
        <w:rPr>
          <w:rFonts w:ascii="Arial" w:hAnsi="Arial"/>
          <w:color w:val="000000" w:themeColor="text1"/>
          <w:sz w:val="22"/>
        </w:rPr>
        <w:t>16</w:t>
      </w:r>
      <w:r w:rsidRPr="00B004E5">
        <w:rPr>
          <w:rFonts w:ascii="Arial" w:hAnsi="Arial"/>
          <w:color w:val="000000" w:themeColor="text1"/>
          <w:sz w:val="22"/>
        </w:rPr>
        <w:t>,</w:t>
      </w:r>
      <w:r w:rsidRPr="00B004E5" w:rsidR="002458B1">
        <w:rPr>
          <w:rFonts w:ascii="Arial" w:hAnsi="Arial"/>
          <w:color w:val="000000" w:themeColor="text1"/>
          <w:sz w:val="22"/>
        </w:rPr>
        <w:t>0</w:t>
      </w:r>
      <w:r w:rsidRPr="00B004E5" w:rsidR="0026417D">
        <w:rPr>
          <w:rFonts w:ascii="Arial" w:hAnsi="Arial"/>
          <w:color w:val="000000" w:themeColor="text1"/>
          <w:sz w:val="22"/>
        </w:rPr>
        <w:t xml:space="preserve">00 </w:t>
      </w:r>
      <w:r w:rsidRPr="00B004E5">
        <w:rPr>
          <w:rFonts w:ascii="Arial" w:hAnsi="Arial"/>
          <w:color w:val="000000" w:themeColor="text1"/>
          <w:sz w:val="22"/>
        </w:rPr>
        <w:t xml:space="preserve">hours </w:t>
      </w:r>
    </w:p>
    <w:p w:rsidR="00541C28" w:rsidRPr="00B004E5" w:rsidP="00541C28" w14:paraId="13CE8DF6" w14:textId="6D149153">
      <w:pPr>
        <w:ind w:left="1440"/>
        <w:rPr>
          <w:rFonts w:ascii="Arial" w:hAnsi="Arial"/>
          <w:color w:val="000000" w:themeColor="text1"/>
          <w:sz w:val="22"/>
        </w:rPr>
      </w:pPr>
      <w:r w:rsidRPr="00B004E5">
        <w:rPr>
          <w:rFonts w:ascii="Arial" w:hAnsi="Arial"/>
          <w:color w:val="000000" w:themeColor="text1"/>
          <w:sz w:val="22"/>
        </w:rPr>
        <w:t xml:space="preserve">Total Recordkeeping = </w:t>
      </w:r>
      <w:r w:rsidRPr="00B004E5" w:rsidR="00E14416">
        <w:rPr>
          <w:rFonts w:ascii="Arial" w:hAnsi="Arial"/>
          <w:color w:val="000000" w:themeColor="text1"/>
          <w:sz w:val="22"/>
        </w:rPr>
        <w:t>2</w:t>
      </w:r>
      <w:r w:rsidRPr="00B004E5" w:rsidR="001B426F">
        <w:rPr>
          <w:rFonts w:ascii="Arial" w:hAnsi="Arial"/>
          <w:color w:val="000000" w:themeColor="text1"/>
          <w:sz w:val="22"/>
        </w:rPr>
        <w:t>5</w:t>
      </w:r>
      <w:r w:rsidRPr="00B004E5" w:rsidR="00E14416">
        <w:rPr>
          <w:rFonts w:ascii="Arial" w:hAnsi="Arial"/>
          <w:color w:val="000000" w:themeColor="text1"/>
          <w:sz w:val="22"/>
        </w:rPr>
        <w:t>0</w:t>
      </w:r>
      <w:r w:rsidRPr="00B004E5">
        <w:rPr>
          <w:rFonts w:ascii="Arial" w:hAnsi="Arial"/>
          <w:color w:val="000000" w:themeColor="text1"/>
          <w:sz w:val="22"/>
        </w:rPr>
        <w:t xml:space="preserve"> submissions x 16 hours = </w:t>
      </w:r>
      <w:r w:rsidRPr="00B004E5" w:rsidR="001B426F">
        <w:rPr>
          <w:rFonts w:ascii="Arial" w:hAnsi="Arial"/>
          <w:color w:val="000000" w:themeColor="text1"/>
          <w:sz w:val="22"/>
        </w:rPr>
        <w:t>4</w:t>
      </w:r>
      <w:r w:rsidRPr="00B004E5">
        <w:rPr>
          <w:rFonts w:ascii="Arial" w:hAnsi="Arial"/>
          <w:color w:val="000000" w:themeColor="text1"/>
          <w:sz w:val="22"/>
        </w:rPr>
        <w:t>,</w:t>
      </w:r>
      <w:r w:rsidRPr="00B004E5" w:rsidR="001B426F">
        <w:rPr>
          <w:rFonts w:ascii="Arial" w:hAnsi="Arial"/>
          <w:color w:val="000000" w:themeColor="text1"/>
          <w:sz w:val="22"/>
        </w:rPr>
        <w:t>0</w:t>
      </w:r>
      <w:r w:rsidRPr="00B004E5" w:rsidR="007C198C">
        <w:rPr>
          <w:rFonts w:ascii="Arial" w:hAnsi="Arial"/>
          <w:color w:val="000000" w:themeColor="text1"/>
          <w:sz w:val="22"/>
        </w:rPr>
        <w:t>00</w:t>
      </w:r>
      <w:r w:rsidRPr="00B004E5">
        <w:rPr>
          <w:rFonts w:ascii="Arial" w:hAnsi="Arial"/>
          <w:color w:val="000000" w:themeColor="text1"/>
          <w:sz w:val="22"/>
        </w:rPr>
        <w:t xml:space="preserve"> hours </w:t>
      </w:r>
    </w:p>
    <w:p w:rsidR="00541C28" w:rsidP="00541C28" w14:paraId="7628D049" w14:textId="7BEE1D32">
      <w:pPr>
        <w:ind w:left="1440"/>
        <w:rPr>
          <w:rFonts w:ascii="Arial" w:hAnsi="Arial"/>
          <w:color w:val="000000" w:themeColor="text1"/>
          <w:sz w:val="22"/>
        </w:rPr>
      </w:pPr>
      <w:r w:rsidRPr="00B004E5">
        <w:rPr>
          <w:rFonts w:ascii="Arial" w:hAnsi="Arial"/>
          <w:color w:val="000000" w:themeColor="text1"/>
          <w:sz w:val="22"/>
        </w:rPr>
        <w:t xml:space="preserve">Total Burden = </w:t>
      </w:r>
      <w:r w:rsidRPr="00B004E5" w:rsidR="001B426F">
        <w:rPr>
          <w:rFonts w:ascii="Arial" w:hAnsi="Arial"/>
          <w:color w:val="000000" w:themeColor="text1"/>
          <w:sz w:val="22"/>
        </w:rPr>
        <w:t>16</w:t>
      </w:r>
      <w:r w:rsidRPr="00B004E5" w:rsidR="00CF69D4">
        <w:rPr>
          <w:rFonts w:ascii="Arial" w:hAnsi="Arial"/>
          <w:color w:val="000000" w:themeColor="text1"/>
          <w:sz w:val="22"/>
        </w:rPr>
        <w:t>,</w:t>
      </w:r>
      <w:r w:rsidRPr="00B004E5" w:rsidR="001B426F">
        <w:rPr>
          <w:rFonts w:ascii="Arial" w:hAnsi="Arial"/>
          <w:color w:val="000000" w:themeColor="text1"/>
          <w:sz w:val="22"/>
        </w:rPr>
        <w:t>0</w:t>
      </w:r>
      <w:r w:rsidRPr="00B004E5" w:rsidR="00CF69D4">
        <w:rPr>
          <w:rFonts w:ascii="Arial" w:hAnsi="Arial"/>
          <w:color w:val="000000" w:themeColor="text1"/>
          <w:sz w:val="22"/>
        </w:rPr>
        <w:t>00</w:t>
      </w:r>
      <w:r w:rsidRPr="00B004E5">
        <w:rPr>
          <w:rFonts w:ascii="Arial" w:hAnsi="Arial"/>
          <w:color w:val="000000" w:themeColor="text1"/>
          <w:sz w:val="22"/>
        </w:rPr>
        <w:t xml:space="preserve"> + </w:t>
      </w:r>
      <w:r w:rsidRPr="00B004E5" w:rsidR="001B426F">
        <w:rPr>
          <w:rFonts w:ascii="Arial" w:hAnsi="Arial"/>
          <w:color w:val="000000" w:themeColor="text1"/>
          <w:sz w:val="22"/>
        </w:rPr>
        <w:t>4</w:t>
      </w:r>
      <w:r w:rsidRPr="00B004E5" w:rsidR="00CF69D4">
        <w:rPr>
          <w:rFonts w:ascii="Arial" w:hAnsi="Arial"/>
          <w:color w:val="000000" w:themeColor="text1"/>
          <w:sz w:val="22"/>
        </w:rPr>
        <w:t>,</w:t>
      </w:r>
      <w:r w:rsidRPr="00B004E5" w:rsidR="001B426F">
        <w:rPr>
          <w:rFonts w:ascii="Arial" w:hAnsi="Arial"/>
          <w:color w:val="000000" w:themeColor="text1"/>
          <w:sz w:val="22"/>
        </w:rPr>
        <w:t>0</w:t>
      </w:r>
      <w:r w:rsidRPr="00B004E5" w:rsidR="00CF69D4">
        <w:rPr>
          <w:rFonts w:ascii="Arial" w:hAnsi="Arial"/>
          <w:color w:val="000000" w:themeColor="text1"/>
          <w:sz w:val="22"/>
        </w:rPr>
        <w:t>00</w:t>
      </w:r>
      <w:r w:rsidRPr="00B004E5">
        <w:rPr>
          <w:rFonts w:ascii="Arial" w:hAnsi="Arial"/>
          <w:color w:val="000000" w:themeColor="text1"/>
          <w:sz w:val="22"/>
        </w:rPr>
        <w:t xml:space="preserve"> = </w:t>
      </w:r>
      <w:r w:rsidRPr="00B004E5" w:rsidR="001B426F">
        <w:rPr>
          <w:rFonts w:ascii="Arial" w:hAnsi="Arial"/>
          <w:color w:val="000000" w:themeColor="text1"/>
          <w:sz w:val="22"/>
        </w:rPr>
        <w:t>20</w:t>
      </w:r>
      <w:r w:rsidRPr="00B004E5" w:rsidR="00CF69D4">
        <w:rPr>
          <w:rFonts w:ascii="Arial" w:hAnsi="Arial"/>
          <w:color w:val="000000" w:themeColor="text1"/>
          <w:sz w:val="22"/>
        </w:rPr>
        <w:t>,000 hours</w:t>
      </w:r>
      <w:r w:rsidRPr="00B004E5">
        <w:rPr>
          <w:rFonts w:ascii="Arial" w:hAnsi="Arial"/>
          <w:color w:val="000000" w:themeColor="text1"/>
          <w:sz w:val="22"/>
        </w:rPr>
        <w:t xml:space="preserve"> </w:t>
      </w:r>
    </w:p>
    <w:p w:rsidR="00DA3C49" w:rsidP="55CFD8FB" w14:paraId="4C43BE6E" w14:textId="31D2844C">
      <w:pPr>
        <w:ind w:left="1440"/>
        <w:rPr>
          <w:rFonts w:ascii="Arial" w:hAnsi="Arial"/>
          <w:color w:val="000000" w:themeColor="text1"/>
          <w:sz w:val="22"/>
          <w:szCs w:val="22"/>
        </w:rPr>
      </w:pPr>
      <w:r w:rsidRPr="55CFD8FB">
        <w:rPr>
          <w:rFonts w:ascii="Arial" w:hAnsi="Arial"/>
          <w:color w:val="000000" w:themeColor="text1"/>
          <w:sz w:val="22"/>
          <w:szCs w:val="22"/>
        </w:rPr>
        <w:t>Responses = 344 (250 reporting responses</w:t>
      </w:r>
      <w:r w:rsidR="008D0209">
        <w:rPr>
          <w:rFonts w:ascii="Arial" w:hAnsi="Arial"/>
          <w:color w:val="000000" w:themeColor="text1"/>
          <w:sz w:val="22"/>
          <w:szCs w:val="22"/>
        </w:rPr>
        <w:t xml:space="preserve"> (submissions)</w:t>
      </w:r>
      <w:r w:rsidRPr="55CFD8FB">
        <w:rPr>
          <w:rFonts w:ascii="Arial" w:hAnsi="Arial"/>
          <w:color w:val="000000" w:themeColor="text1"/>
          <w:sz w:val="22"/>
          <w:szCs w:val="22"/>
        </w:rPr>
        <w:t xml:space="preserve"> + 94 recordkeepers)</w:t>
      </w:r>
    </w:p>
    <w:p w:rsidR="008D0209" w:rsidRPr="00B004E5" w:rsidP="55CFD8FB" w14:paraId="26952F24" w14:textId="26EC4EEA">
      <w:pPr>
        <w:ind w:left="1440"/>
        <w:rPr>
          <w:rFonts w:ascii="Arial" w:hAnsi="Arial"/>
          <w:color w:val="000000" w:themeColor="text1"/>
          <w:sz w:val="22"/>
          <w:szCs w:val="22"/>
        </w:rPr>
      </w:pPr>
      <w:r>
        <w:rPr>
          <w:rFonts w:ascii="Arial" w:hAnsi="Arial"/>
          <w:color w:val="000000" w:themeColor="text1"/>
          <w:sz w:val="22"/>
          <w:szCs w:val="22"/>
        </w:rPr>
        <w:t xml:space="preserve">Total Respondents = </w:t>
      </w:r>
      <w:r w:rsidRPr="008D0209">
        <w:rPr>
          <w:rFonts w:ascii="Arial" w:hAnsi="Arial"/>
          <w:color w:val="000000" w:themeColor="text1"/>
          <w:sz w:val="22"/>
          <w:szCs w:val="22"/>
        </w:rPr>
        <w:t>94 (92 operating license under 10 CFR part 50 + 2 combined license holders under 10 CFR part 52).</w:t>
      </w:r>
    </w:p>
    <w:p w:rsidR="00541C28" w:rsidRPr="00B004E5" w:rsidP="00541C28" w14:paraId="14AF1211" w14:textId="48ABA659">
      <w:pPr>
        <w:ind w:left="1440"/>
        <w:rPr>
          <w:rFonts w:ascii="Arial" w:hAnsi="Arial"/>
          <w:color w:val="000000" w:themeColor="text1"/>
          <w:sz w:val="22"/>
        </w:rPr>
      </w:pPr>
      <w:r w:rsidRPr="00B004E5">
        <w:rPr>
          <w:rFonts w:ascii="Arial" w:hAnsi="Arial"/>
          <w:color w:val="000000" w:themeColor="text1"/>
          <w:sz w:val="22"/>
        </w:rPr>
        <w:t xml:space="preserve">Total annual cost to industry = </w:t>
      </w:r>
      <w:r w:rsidRPr="00B004E5" w:rsidR="006B644B">
        <w:rPr>
          <w:rFonts w:ascii="Arial" w:hAnsi="Arial"/>
          <w:color w:val="000000" w:themeColor="text1"/>
          <w:sz w:val="22"/>
        </w:rPr>
        <w:t>20</w:t>
      </w:r>
      <w:r w:rsidRPr="00B004E5">
        <w:rPr>
          <w:rFonts w:ascii="Arial" w:hAnsi="Arial"/>
          <w:color w:val="000000" w:themeColor="text1"/>
          <w:sz w:val="22"/>
        </w:rPr>
        <w:t>,</w:t>
      </w:r>
      <w:r w:rsidRPr="00B004E5" w:rsidR="00191761">
        <w:rPr>
          <w:rFonts w:ascii="Arial" w:hAnsi="Arial"/>
          <w:color w:val="000000" w:themeColor="text1"/>
          <w:sz w:val="22"/>
        </w:rPr>
        <w:t>000</w:t>
      </w:r>
      <w:r w:rsidRPr="00B004E5">
        <w:rPr>
          <w:rFonts w:ascii="Arial" w:hAnsi="Arial"/>
          <w:color w:val="000000" w:themeColor="text1"/>
          <w:sz w:val="22"/>
        </w:rPr>
        <w:t xml:space="preserve"> hours x $2</w:t>
      </w:r>
      <w:r w:rsidRPr="00B004E5" w:rsidR="001B426F">
        <w:rPr>
          <w:rFonts w:ascii="Arial" w:hAnsi="Arial"/>
          <w:color w:val="000000" w:themeColor="text1"/>
          <w:sz w:val="22"/>
        </w:rPr>
        <w:t>90</w:t>
      </w:r>
      <w:r w:rsidRPr="00B004E5">
        <w:rPr>
          <w:rFonts w:ascii="Arial" w:hAnsi="Arial"/>
          <w:color w:val="000000" w:themeColor="text1"/>
          <w:sz w:val="22"/>
        </w:rPr>
        <w:t xml:space="preserve">/hour = $ </w:t>
      </w:r>
      <w:r w:rsidRPr="00B004E5" w:rsidR="00B874FA">
        <w:rPr>
          <w:rFonts w:ascii="Arial" w:hAnsi="Arial"/>
          <w:color w:val="000000" w:themeColor="text1"/>
          <w:sz w:val="22"/>
        </w:rPr>
        <w:t>5</w:t>
      </w:r>
      <w:r w:rsidRPr="00B004E5">
        <w:rPr>
          <w:rFonts w:ascii="Arial" w:hAnsi="Arial"/>
          <w:color w:val="000000" w:themeColor="text1"/>
          <w:sz w:val="22"/>
        </w:rPr>
        <w:t>,</w:t>
      </w:r>
      <w:r w:rsidRPr="00B004E5" w:rsidR="00B874FA">
        <w:rPr>
          <w:rFonts w:ascii="Arial" w:hAnsi="Arial"/>
          <w:color w:val="000000" w:themeColor="text1"/>
          <w:sz w:val="22"/>
        </w:rPr>
        <w:t>800</w:t>
      </w:r>
      <w:r w:rsidRPr="00B004E5">
        <w:rPr>
          <w:rFonts w:ascii="Arial" w:hAnsi="Arial"/>
          <w:color w:val="000000" w:themeColor="text1"/>
          <w:sz w:val="22"/>
        </w:rPr>
        <w:t>,000</w:t>
      </w:r>
    </w:p>
    <w:p w:rsidR="00BB4C48" w:rsidP="00541C28" w14:paraId="54A46DBB" w14:textId="77777777">
      <w:pPr>
        <w:ind w:left="1440"/>
        <w:rPr>
          <w:rFonts w:ascii="Arial" w:hAnsi="Arial"/>
          <w:color w:val="000000" w:themeColor="text1"/>
          <w:sz w:val="22"/>
        </w:rPr>
      </w:pPr>
    </w:p>
    <w:p w:rsidR="00B747FA" w:rsidP="00B747FA" w14:paraId="47E7946B" w14:textId="07F1F7A8">
      <w:pPr>
        <w:ind w:left="1440"/>
        <w:rPr>
          <w:rFonts w:ascii="Arial" w:hAnsi="Arial"/>
          <w:color w:val="000000" w:themeColor="text1"/>
          <w:sz w:val="22"/>
        </w:rPr>
      </w:pPr>
      <w:r>
        <w:rPr>
          <w:rFonts w:ascii="Arial" w:hAnsi="Arial"/>
          <w:color w:val="000000" w:themeColor="text1"/>
          <w:sz w:val="22"/>
        </w:rPr>
        <w:t>The reporting burden for both the fillable-fileable PDF forms and the online forms in MAP-X is expected to be the same.</w:t>
      </w:r>
    </w:p>
    <w:p w:rsidR="00B747FA" w:rsidRPr="00B004E5" w:rsidP="00541C28" w14:paraId="10FD38B1" w14:textId="77777777">
      <w:pPr>
        <w:ind w:left="1440"/>
        <w:rPr>
          <w:rFonts w:ascii="Arial" w:hAnsi="Arial"/>
          <w:color w:val="000000" w:themeColor="text1"/>
          <w:sz w:val="22"/>
        </w:rPr>
      </w:pPr>
    </w:p>
    <w:p w:rsidR="00541C28" w:rsidRPr="00B004E5" w:rsidP="00541C28" w14:paraId="1083EBEE" w14:textId="7793F09A">
      <w:pPr>
        <w:ind w:left="1440"/>
        <w:rPr>
          <w:rFonts w:ascii="Arial" w:hAnsi="Arial" w:cs="Arial"/>
          <w:i/>
          <w:iCs/>
          <w:color w:val="000000" w:themeColor="text1"/>
          <w:sz w:val="22"/>
          <w:szCs w:val="22"/>
        </w:rPr>
      </w:pPr>
      <w:r w:rsidRPr="00B004E5">
        <w:rPr>
          <w:rFonts w:ascii="Arial" w:hAnsi="Arial" w:cs="Arial"/>
          <w:color w:val="000000" w:themeColor="text1"/>
          <w:sz w:val="22"/>
          <w:szCs w:val="22"/>
        </w:rPr>
        <w:t>NOTE: The $2</w:t>
      </w:r>
      <w:r w:rsidRPr="00B004E5" w:rsidR="00B874FA">
        <w:rPr>
          <w:rFonts w:ascii="Arial" w:hAnsi="Arial" w:cs="Arial"/>
          <w:color w:val="000000" w:themeColor="text1"/>
          <w:sz w:val="22"/>
          <w:szCs w:val="22"/>
        </w:rPr>
        <w:t>90</w:t>
      </w:r>
      <w:r w:rsidRPr="00B004E5">
        <w:rPr>
          <w:rFonts w:ascii="Arial" w:hAnsi="Arial" w:cs="Arial"/>
          <w:color w:val="000000" w:themeColor="text1"/>
          <w:sz w:val="22"/>
          <w:szCs w:val="22"/>
        </w:rPr>
        <w:t xml:space="preserve">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w:t>
      </w:r>
      <w:r w:rsidRPr="00B004E5" w:rsidR="00B15B86">
        <w:rPr>
          <w:rFonts w:ascii="Arial" w:hAnsi="Arial" w:cs="Arial"/>
          <w:color w:val="000000" w:themeColor="text1"/>
          <w:sz w:val="22"/>
          <w:szCs w:val="22"/>
        </w:rPr>
        <w:t>2022</w:t>
      </w:r>
      <w:r w:rsidRPr="00B004E5">
        <w:rPr>
          <w:rFonts w:ascii="Arial" w:hAnsi="Arial" w:cs="Arial"/>
          <w:color w:val="000000" w:themeColor="text1"/>
          <w:sz w:val="22"/>
          <w:szCs w:val="22"/>
        </w:rPr>
        <w:t xml:space="preserve"> (8</w:t>
      </w:r>
      <w:r w:rsidRPr="00B004E5" w:rsidR="008E2653">
        <w:rPr>
          <w:rFonts w:ascii="Arial" w:hAnsi="Arial" w:cs="Arial"/>
          <w:color w:val="000000" w:themeColor="text1"/>
          <w:sz w:val="22"/>
          <w:szCs w:val="22"/>
        </w:rPr>
        <w:t>7</w:t>
      </w:r>
      <w:r w:rsidRPr="00B004E5">
        <w:rPr>
          <w:rFonts w:ascii="Arial" w:hAnsi="Arial" w:cs="Arial"/>
          <w:color w:val="000000" w:themeColor="text1"/>
          <w:sz w:val="22"/>
          <w:szCs w:val="22"/>
        </w:rPr>
        <w:t xml:space="preserve"> FR </w:t>
      </w:r>
      <w:r w:rsidRPr="00B004E5" w:rsidR="008E2653">
        <w:rPr>
          <w:rFonts w:ascii="Arial" w:hAnsi="Arial" w:cs="Arial"/>
          <w:color w:val="000000" w:themeColor="text1"/>
          <w:sz w:val="22"/>
          <w:szCs w:val="22"/>
        </w:rPr>
        <w:t>37214</w:t>
      </w:r>
      <w:r w:rsidRPr="00B004E5">
        <w:rPr>
          <w:rFonts w:ascii="Arial" w:hAnsi="Arial" w:cs="Arial"/>
          <w:color w:val="000000" w:themeColor="text1"/>
          <w:sz w:val="22"/>
          <w:szCs w:val="22"/>
        </w:rPr>
        <w:t xml:space="preserve">, June </w:t>
      </w:r>
      <w:r w:rsidRPr="00B004E5" w:rsidR="008E2653">
        <w:rPr>
          <w:rFonts w:ascii="Arial" w:hAnsi="Arial" w:cs="Arial"/>
          <w:color w:val="000000" w:themeColor="text1"/>
          <w:sz w:val="22"/>
          <w:szCs w:val="22"/>
        </w:rPr>
        <w:t>22</w:t>
      </w:r>
      <w:r w:rsidRPr="00B004E5">
        <w:rPr>
          <w:rFonts w:ascii="Arial" w:hAnsi="Arial" w:cs="Arial"/>
          <w:color w:val="000000" w:themeColor="text1"/>
          <w:sz w:val="22"/>
          <w:szCs w:val="22"/>
        </w:rPr>
        <w:t>, 20</w:t>
      </w:r>
      <w:r w:rsidRPr="00B004E5" w:rsidR="008E2653">
        <w:rPr>
          <w:rFonts w:ascii="Arial" w:hAnsi="Arial" w:cs="Arial"/>
          <w:color w:val="000000" w:themeColor="text1"/>
          <w:sz w:val="22"/>
          <w:szCs w:val="22"/>
        </w:rPr>
        <w:t>22</w:t>
      </w:r>
      <w:r w:rsidRPr="00B004E5">
        <w:rPr>
          <w:rFonts w:ascii="Arial" w:hAnsi="Arial" w:cs="Arial"/>
          <w:color w:val="000000" w:themeColor="text1"/>
          <w:sz w:val="22"/>
          <w:szCs w:val="22"/>
        </w:rPr>
        <w:t>).</w:t>
      </w:r>
    </w:p>
    <w:p w:rsidR="00612B23" w:rsidRPr="00B004E5" w:rsidP="00A94A47" w14:paraId="7092454C" w14:textId="77777777">
      <w:pPr>
        <w:keepNext/>
        <w:widowControl/>
        <w:ind w:left="720"/>
        <w:rPr>
          <w:rFonts w:ascii="Arial" w:hAnsi="Arial" w:cs="Arial"/>
          <w:color w:val="000000" w:themeColor="text1"/>
          <w:sz w:val="22"/>
          <w:szCs w:val="22"/>
        </w:rPr>
      </w:pPr>
    </w:p>
    <w:p w:rsidR="002B1B50" w:rsidRPr="00B004E5" w:rsidP="004E4948" w14:paraId="11D44FCB" w14:textId="77777777">
      <w:pPr>
        <w:keepNext/>
        <w:widowControl/>
        <w:ind w:left="720"/>
        <w:rPr>
          <w:rFonts w:ascii="Arial" w:hAnsi="Arial" w:cs="Arial"/>
          <w:color w:val="000000" w:themeColor="text1"/>
          <w:sz w:val="22"/>
          <w:szCs w:val="22"/>
        </w:rPr>
      </w:pPr>
      <w:r w:rsidRPr="00B004E5">
        <w:rPr>
          <w:rFonts w:ascii="Arial" w:hAnsi="Arial" w:cs="Arial"/>
          <w:color w:val="000000" w:themeColor="text1"/>
          <w:sz w:val="22"/>
          <w:szCs w:val="22"/>
        </w:rPr>
        <w:t>13.</w:t>
      </w:r>
      <w:r w:rsidRPr="00B004E5">
        <w:rPr>
          <w:rFonts w:ascii="Arial" w:hAnsi="Arial" w:cs="Arial"/>
          <w:color w:val="000000" w:themeColor="text1"/>
          <w:sz w:val="22"/>
          <w:szCs w:val="22"/>
        </w:rPr>
        <w:tab/>
      </w:r>
      <w:r w:rsidRPr="00B004E5">
        <w:rPr>
          <w:rFonts w:ascii="Arial" w:hAnsi="Arial" w:cs="Arial"/>
          <w:color w:val="000000" w:themeColor="text1"/>
          <w:sz w:val="22"/>
          <w:szCs w:val="22"/>
          <w:u w:val="single"/>
        </w:rPr>
        <w:t>Estimate of Other Additional Costs</w:t>
      </w:r>
    </w:p>
    <w:p w:rsidR="002B1B50" w:rsidRPr="00B004E5" w:rsidP="00A94A47" w14:paraId="1905E34F" w14:textId="77777777">
      <w:pPr>
        <w:keepNext/>
        <w:widowControl/>
        <w:rPr>
          <w:rFonts w:ascii="Arial" w:hAnsi="Arial" w:cs="Arial"/>
          <w:color w:val="000000" w:themeColor="text1"/>
          <w:sz w:val="22"/>
          <w:szCs w:val="22"/>
        </w:rPr>
      </w:pPr>
    </w:p>
    <w:p w:rsidR="006309CE" w:rsidRPr="00B004E5" w:rsidP="00B004E5" w14:paraId="73D7FFB2" w14:textId="0A7B3447">
      <w:pPr>
        <w:widowControl/>
        <w:ind w:left="1440"/>
        <w:rPr>
          <w:rFonts w:ascii="Arial" w:hAnsi="Arial" w:cs="Arial"/>
          <w:color w:val="000000" w:themeColor="text1"/>
          <w:sz w:val="22"/>
          <w:szCs w:val="22"/>
        </w:rPr>
      </w:pPr>
      <w:r w:rsidRPr="00B004E5">
        <w:rPr>
          <w:rFonts w:ascii="Arial" w:hAnsi="Arial" w:cs="Arial"/>
          <w:color w:val="000000" w:themeColor="text1"/>
          <w:sz w:val="22"/>
          <w:szCs w:val="22"/>
        </w:rPr>
        <w:t>The NRC has determined that the quantity of records to be maintained is roughly proportional to the recordkeeping burden. Based on the number of pages maintained for a typical clearance the records storage cost has been determined to be .0004 times the recordkeeping burden cost. Therefore, the storage cost for this clearance is determined to be $</w:t>
      </w:r>
      <w:r w:rsidRPr="00B004E5" w:rsidR="00116CA0">
        <w:rPr>
          <w:rFonts w:ascii="Arial" w:hAnsi="Arial" w:cs="Arial"/>
          <w:color w:val="000000" w:themeColor="text1"/>
          <w:sz w:val="22"/>
          <w:szCs w:val="22"/>
        </w:rPr>
        <w:t>464</w:t>
      </w:r>
      <w:r w:rsidRPr="00B004E5">
        <w:rPr>
          <w:rFonts w:ascii="Arial" w:hAnsi="Arial" w:cs="Arial"/>
          <w:color w:val="000000" w:themeColor="text1"/>
          <w:sz w:val="22"/>
          <w:szCs w:val="22"/>
        </w:rPr>
        <w:t xml:space="preserve"> (4,000 hours x $290/hour x .0004).</w:t>
      </w:r>
    </w:p>
    <w:p w:rsidR="00961341" w:rsidRPr="00B004E5" w:rsidP="004E4948" w14:paraId="24650B95" w14:textId="77777777">
      <w:pPr>
        <w:widowControl/>
        <w:tabs>
          <w:tab w:val="left" w:pos="-1440"/>
        </w:tabs>
        <w:ind w:left="720"/>
        <w:rPr>
          <w:rFonts w:ascii="Arial" w:hAnsi="Arial" w:cs="Arial"/>
          <w:color w:val="000000" w:themeColor="text1"/>
          <w:sz w:val="22"/>
          <w:szCs w:val="22"/>
        </w:rPr>
      </w:pPr>
    </w:p>
    <w:p w:rsidR="000C141A" w:rsidRPr="00B004E5" w:rsidP="004E4948" w14:paraId="62022C43" w14:textId="0E1DB2E7">
      <w:pPr>
        <w:widowControl/>
        <w:tabs>
          <w:tab w:val="left" w:pos="-1440"/>
        </w:tabs>
        <w:ind w:left="720"/>
        <w:rPr>
          <w:rFonts w:ascii="Arial" w:hAnsi="Arial" w:cs="Arial"/>
          <w:color w:val="000000" w:themeColor="text1"/>
          <w:sz w:val="22"/>
          <w:szCs w:val="22"/>
        </w:rPr>
      </w:pPr>
      <w:r w:rsidRPr="00B004E5">
        <w:rPr>
          <w:rFonts w:ascii="Arial" w:hAnsi="Arial" w:cs="Arial"/>
          <w:color w:val="000000" w:themeColor="text1"/>
          <w:sz w:val="22"/>
          <w:szCs w:val="22"/>
        </w:rPr>
        <w:t>14.</w:t>
      </w:r>
      <w:r w:rsidRPr="00B004E5">
        <w:rPr>
          <w:rFonts w:ascii="Arial" w:hAnsi="Arial" w:cs="Arial"/>
          <w:color w:val="000000" w:themeColor="text1"/>
          <w:sz w:val="22"/>
          <w:szCs w:val="22"/>
        </w:rPr>
        <w:tab/>
      </w:r>
      <w:r w:rsidRPr="00B004E5">
        <w:rPr>
          <w:rFonts w:ascii="Arial" w:hAnsi="Arial" w:cs="Arial"/>
          <w:color w:val="000000" w:themeColor="text1"/>
          <w:sz w:val="22"/>
          <w:szCs w:val="22"/>
          <w:u w:val="single"/>
        </w:rPr>
        <w:t>Estimated Annualized Cost to Federal Government</w:t>
      </w:r>
    </w:p>
    <w:p w:rsidR="000C141A" w:rsidRPr="00B004E5" w:rsidP="00A94A47" w14:paraId="3D0DB81F" w14:textId="77777777">
      <w:pPr>
        <w:widowControl/>
        <w:tabs>
          <w:tab w:val="left" w:pos="-1440"/>
        </w:tabs>
        <w:ind w:left="720" w:hanging="720"/>
        <w:rPr>
          <w:rFonts w:ascii="Arial" w:hAnsi="Arial" w:cs="Arial"/>
          <w:color w:val="000000" w:themeColor="text1"/>
          <w:sz w:val="22"/>
          <w:szCs w:val="22"/>
        </w:rPr>
      </w:pPr>
    </w:p>
    <w:p w:rsidR="001F714E" w:rsidRPr="00B004E5" w:rsidP="55CFD8FB" w14:paraId="40A22E62" w14:textId="3C9FFF30">
      <w:pPr>
        <w:ind w:left="1440"/>
        <w:rPr>
          <w:rFonts w:ascii="Arial" w:hAnsi="Arial"/>
          <w:color w:val="000000" w:themeColor="text1"/>
          <w:sz w:val="22"/>
          <w:szCs w:val="22"/>
        </w:rPr>
      </w:pPr>
      <w:r w:rsidRPr="55CFD8FB">
        <w:rPr>
          <w:rFonts w:ascii="Arial" w:hAnsi="Arial"/>
          <w:color w:val="000000" w:themeColor="text1"/>
          <w:sz w:val="22"/>
          <w:szCs w:val="22"/>
        </w:rPr>
        <w:t>Information submitted by licensees in Form 366 is used by multiple offices within the NRC</w:t>
      </w:r>
      <w:r w:rsidRPr="55CFD8FB" w:rsidR="0045681F">
        <w:rPr>
          <w:rFonts w:ascii="Arial" w:hAnsi="Arial"/>
          <w:color w:val="000000" w:themeColor="text1"/>
          <w:sz w:val="22"/>
          <w:szCs w:val="22"/>
        </w:rPr>
        <w:t xml:space="preserve">. </w:t>
      </w:r>
      <w:r w:rsidRPr="55CFD8FB">
        <w:rPr>
          <w:rFonts w:ascii="Arial" w:hAnsi="Arial"/>
          <w:color w:val="000000" w:themeColor="text1"/>
          <w:sz w:val="22"/>
          <w:szCs w:val="22"/>
        </w:rPr>
        <w:t>The NRC spends on average about $</w:t>
      </w:r>
      <w:r w:rsidRPr="55CFD8FB" w:rsidR="00E11355">
        <w:rPr>
          <w:rFonts w:ascii="Arial" w:hAnsi="Arial"/>
          <w:color w:val="000000" w:themeColor="text1"/>
          <w:sz w:val="22"/>
          <w:szCs w:val="22"/>
        </w:rPr>
        <w:t>1</w:t>
      </w:r>
      <w:r w:rsidRPr="55CFD8FB" w:rsidR="65C7AAB1">
        <w:rPr>
          <w:rFonts w:ascii="Arial" w:hAnsi="Arial"/>
          <w:color w:val="000000" w:themeColor="text1"/>
          <w:sz w:val="22"/>
          <w:szCs w:val="22"/>
        </w:rPr>
        <w:t xml:space="preserve"> million</w:t>
      </w:r>
      <w:r w:rsidRPr="55CFD8FB" w:rsidR="00810382">
        <w:rPr>
          <w:rFonts w:ascii="Arial" w:hAnsi="Arial"/>
          <w:color w:val="000000" w:themeColor="text1"/>
          <w:sz w:val="22"/>
          <w:szCs w:val="22"/>
        </w:rPr>
        <w:t xml:space="preserve"> </w:t>
      </w:r>
      <w:r w:rsidRPr="55CFD8FB">
        <w:rPr>
          <w:rFonts w:ascii="Arial" w:hAnsi="Arial"/>
          <w:color w:val="000000" w:themeColor="text1"/>
          <w:sz w:val="22"/>
          <w:szCs w:val="22"/>
        </w:rPr>
        <w:t>in contract costs for coding LERs, inputting event data into a LER database, and maintaining the LER database and search capabilities</w:t>
      </w:r>
      <w:r w:rsidRPr="55CFD8FB" w:rsidR="0045681F">
        <w:rPr>
          <w:rFonts w:ascii="Arial" w:hAnsi="Arial"/>
          <w:color w:val="000000" w:themeColor="text1"/>
          <w:sz w:val="22"/>
          <w:szCs w:val="22"/>
        </w:rPr>
        <w:t xml:space="preserve">. </w:t>
      </w:r>
      <w:r w:rsidRPr="55CFD8FB">
        <w:rPr>
          <w:rFonts w:ascii="Arial" w:hAnsi="Arial"/>
          <w:color w:val="000000" w:themeColor="text1"/>
          <w:sz w:val="22"/>
          <w:szCs w:val="22"/>
        </w:rPr>
        <w:t>The contractor also provides input into NRC programs, including:</w:t>
      </w:r>
    </w:p>
    <w:p w:rsidR="001F714E" w:rsidRPr="00B004E5" w:rsidP="001F714E" w14:paraId="28DA4CB4" w14:textId="77777777">
      <w:pPr>
        <w:ind w:left="1440"/>
        <w:rPr>
          <w:rFonts w:ascii="Arial" w:hAnsi="Arial"/>
          <w:color w:val="000000" w:themeColor="text1"/>
          <w:sz w:val="22"/>
        </w:rPr>
      </w:pPr>
    </w:p>
    <w:p w:rsidR="001F714E" w:rsidRPr="00B004E5" w:rsidP="001F714E" w14:paraId="59BD6CD5" w14:textId="77777777">
      <w:pPr>
        <w:numPr>
          <w:ilvl w:val="0"/>
          <w:numId w:val="13"/>
        </w:numPr>
        <w:rPr>
          <w:rFonts w:ascii="Arial" w:hAnsi="Arial"/>
          <w:color w:val="000000" w:themeColor="text1"/>
          <w:sz w:val="22"/>
        </w:rPr>
      </w:pPr>
      <w:r w:rsidRPr="00B004E5">
        <w:rPr>
          <w:rFonts w:ascii="Arial" w:hAnsi="Arial"/>
          <w:color w:val="000000" w:themeColor="text1"/>
          <w:sz w:val="22"/>
        </w:rPr>
        <w:t>Accident Sequence Precursor Program</w:t>
      </w:r>
    </w:p>
    <w:p w:rsidR="001F714E" w:rsidRPr="00B004E5" w:rsidP="001F714E" w14:paraId="5305003E" w14:textId="77777777">
      <w:pPr>
        <w:numPr>
          <w:ilvl w:val="0"/>
          <w:numId w:val="13"/>
        </w:numPr>
        <w:rPr>
          <w:rFonts w:ascii="Arial" w:hAnsi="Arial"/>
          <w:color w:val="000000" w:themeColor="text1"/>
          <w:sz w:val="22"/>
        </w:rPr>
      </w:pPr>
      <w:r w:rsidRPr="00B004E5">
        <w:rPr>
          <w:rFonts w:ascii="Arial" w:hAnsi="Arial"/>
          <w:color w:val="000000" w:themeColor="text1"/>
          <w:sz w:val="22"/>
        </w:rPr>
        <w:t>Operating Experience Program</w:t>
      </w:r>
    </w:p>
    <w:p w:rsidR="00FB5F49" w:rsidP="001F714E" w14:paraId="5434B66E" w14:textId="27FE1A21">
      <w:pPr>
        <w:ind w:left="1440"/>
        <w:rPr>
          <w:rFonts w:ascii="Arial" w:hAnsi="Arial"/>
          <w:color w:val="000000" w:themeColor="text1"/>
          <w:sz w:val="22"/>
        </w:rPr>
      </w:pPr>
    </w:p>
    <w:p w:rsidR="007F0960" w:rsidP="00612E92" w14:paraId="4834485D" w14:textId="7383F34D">
      <w:pPr>
        <w:ind w:left="1440"/>
        <w:rPr>
          <w:rFonts w:ascii="Arial" w:hAnsi="Arial"/>
          <w:color w:val="000000" w:themeColor="text1"/>
          <w:sz w:val="22"/>
        </w:rPr>
      </w:pPr>
      <w:r w:rsidRPr="00B004E5">
        <w:rPr>
          <w:rFonts w:ascii="Arial" w:hAnsi="Arial"/>
          <w:color w:val="000000" w:themeColor="text1"/>
          <w:sz w:val="22"/>
        </w:rPr>
        <w:t>The Office of Nuclear Reactor Regulation (NRR) reviews LERs for specific issues pertaining to reactor operating experience related to safety and generic concerns</w:t>
      </w:r>
      <w:r w:rsidRPr="00B004E5" w:rsidR="0045681F">
        <w:rPr>
          <w:rFonts w:ascii="Arial" w:hAnsi="Arial"/>
          <w:color w:val="000000" w:themeColor="text1"/>
          <w:sz w:val="22"/>
        </w:rPr>
        <w:t xml:space="preserve">. </w:t>
      </w:r>
      <w:r w:rsidRPr="00B004E5">
        <w:rPr>
          <w:rFonts w:ascii="Arial" w:hAnsi="Arial"/>
          <w:color w:val="000000" w:themeColor="text1"/>
          <w:sz w:val="22"/>
        </w:rPr>
        <w:t xml:space="preserve">It is estimated that the </w:t>
      </w:r>
      <w:smartTag w:uri="urn:schemas-microsoft-com:office:smarttags" w:element="PersonName">
        <w:r w:rsidRPr="00B004E5">
          <w:rPr>
            <w:rFonts w:ascii="Arial" w:hAnsi="Arial"/>
            <w:color w:val="000000" w:themeColor="text1"/>
            <w:sz w:val="22"/>
          </w:rPr>
          <w:t>resource</w:t>
        </w:r>
      </w:smartTag>
      <w:r w:rsidRPr="00B004E5">
        <w:rPr>
          <w:rFonts w:ascii="Arial" w:hAnsi="Arial"/>
          <w:color w:val="000000" w:themeColor="text1"/>
          <w:sz w:val="22"/>
        </w:rPr>
        <w:t>s expended in the operating experience review of LERs are about one hour per LER</w:t>
      </w:r>
      <w:r w:rsidRPr="00B004E5" w:rsidR="0045681F">
        <w:rPr>
          <w:rFonts w:ascii="Arial" w:hAnsi="Arial"/>
          <w:color w:val="000000" w:themeColor="text1"/>
          <w:sz w:val="22"/>
        </w:rPr>
        <w:t xml:space="preserve">. </w:t>
      </w:r>
      <w:r w:rsidRPr="00B004E5">
        <w:rPr>
          <w:rFonts w:ascii="Arial" w:hAnsi="Arial"/>
          <w:color w:val="000000" w:themeColor="text1"/>
          <w:sz w:val="22"/>
        </w:rPr>
        <w:t xml:space="preserve">Therefore, with one hour of effort per LER and </w:t>
      </w:r>
      <w:r w:rsidRPr="00B004E5" w:rsidR="00CD7F75">
        <w:rPr>
          <w:rFonts w:ascii="Arial" w:hAnsi="Arial"/>
          <w:color w:val="000000" w:themeColor="text1"/>
          <w:sz w:val="22"/>
        </w:rPr>
        <w:t>2</w:t>
      </w:r>
      <w:r w:rsidRPr="00B004E5">
        <w:rPr>
          <w:rFonts w:ascii="Arial" w:hAnsi="Arial"/>
          <w:color w:val="000000" w:themeColor="text1"/>
          <w:sz w:val="22"/>
        </w:rPr>
        <w:t xml:space="preserve">50 LERs per year (1 hours per LER X </w:t>
      </w:r>
      <w:r w:rsidRPr="00B004E5" w:rsidR="00CD7F75">
        <w:rPr>
          <w:rFonts w:ascii="Arial" w:hAnsi="Arial"/>
          <w:color w:val="000000" w:themeColor="text1"/>
          <w:sz w:val="22"/>
        </w:rPr>
        <w:t>2</w:t>
      </w:r>
      <w:r w:rsidRPr="00B004E5">
        <w:rPr>
          <w:rFonts w:ascii="Arial" w:hAnsi="Arial"/>
          <w:color w:val="000000" w:themeColor="text1"/>
          <w:sz w:val="22"/>
        </w:rPr>
        <w:t xml:space="preserve">50 LERs), it </w:t>
      </w:r>
      <w:r w:rsidRPr="00B004E5">
        <w:rPr>
          <w:rFonts w:ascii="Arial" w:hAnsi="Arial"/>
          <w:color w:val="000000" w:themeColor="text1"/>
          <w:sz w:val="22"/>
        </w:rPr>
        <w:t xml:space="preserve">is estimated that </w:t>
      </w:r>
      <w:r w:rsidRPr="00B004E5" w:rsidR="00CD7F75">
        <w:rPr>
          <w:rFonts w:ascii="Arial" w:hAnsi="Arial"/>
          <w:color w:val="000000" w:themeColor="text1"/>
          <w:sz w:val="22"/>
        </w:rPr>
        <w:t>2</w:t>
      </w:r>
      <w:r w:rsidRPr="00B004E5">
        <w:rPr>
          <w:rFonts w:ascii="Arial" w:hAnsi="Arial"/>
          <w:color w:val="000000" w:themeColor="text1"/>
          <w:sz w:val="22"/>
        </w:rPr>
        <w:t>50 hours of effort is needed per year for NRR</w:t>
      </w:r>
      <w:r w:rsidRPr="00B004E5" w:rsidR="0045681F">
        <w:rPr>
          <w:rFonts w:ascii="Arial" w:hAnsi="Arial"/>
          <w:color w:val="000000" w:themeColor="text1"/>
          <w:sz w:val="22"/>
        </w:rPr>
        <w:t xml:space="preserve">. </w:t>
      </w:r>
    </w:p>
    <w:p w:rsidR="001F714E" w:rsidRPr="00B004E5" w:rsidP="001F714E" w14:paraId="2F984BCE" w14:textId="77777777">
      <w:pPr>
        <w:rPr>
          <w:rFonts w:ascii="Arial" w:hAnsi="Arial"/>
          <w:color w:val="000000" w:themeColor="text1"/>
          <w:sz w:val="22"/>
        </w:rPr>
      </w:pPr>
    </w:p>
    <w:p w:rsidR="001F714E" w:rsidRPr="00B004E5" w:rsidP="001F714E" w14:paraId="18C8E125" w14:textId="33DD5359">
      <w:pPr>
        <w:ind w:left="1440"/>
        <w:rPr>
          <w:rFonts w:ascii="Arial" w:hAnsi="Arial"/>
          <w:color w:val="000000" w:themeColor="text1"/>
          <w:sz w:val="22"/>
        </w:rPr>
      </w:pPr>
      <w:r w:rsidRPr="00B004E5">
        <w:rPr>
          <w:rFonts w:ascii="Arial" w:hAnsi="Arial"/>
          <w:color w:val="000000" w:themeColor="text1"/>
          <w:sz w:val="22"/>
        </w:rPr>
        <w:t>The Office of Nuclear Regulatory Research (RES) reviews LERs for the Accident Sequencer Precursor (ASP) Program</w:t>
      </w:r>
      <w:r w:rsidRPr="00B004E5" w:rsidR="0045681F">
        <w:rPr>
          <w:rFonts w:ascii="Arial" w:hAnsi="Arial"/>
          <w:color w:val="000000" w:themeColor="text1"/>
          <w:sz w:val="22"/>
        </w:rPr>
        <w:t xml:space="preserve">. </w:t>
      </w:r>
      <w:r w:rsidRPr="00B004E5">
        <w:rPr>
          <w:rFonts w:ascii="Arial" w:hAnsi="Arial"/>
          <w:color w:val="000000" w:themeColor="text1"/>
          <w:sz w:val="22"/>
        </w:rPr>
        <w:t>The RES ASP program staff reviews approximately 50 of the most significant LERs per year for about one hour per</w:t>
      </w:r>
      <w:r w:rsidR="004900D5">
        <w:rPr>
          <w:rFonts w:ascii="Arial" w:hAnsi="Arial"/>
          <w:color w:val="000000" w:themeColor="text1"/>
          <w:sz w:val="22"/>
        </w:rPr>
        <w:t> </w:t>
      </w:r>
      <w:r w:rsidRPr="00B004E5">
        <w:rPr>
          <w:rFonts w:ascii="Arial" w:hAnsi="Arial"/>
          <w:color w:val="000000" w:themeColor="text1"/>
          <w:sz w:val="22"/>
        </w:rPr>
        <w:t>LER (50 LERs X 1 hour)</w:t>
      </w:r>
      <w:r w:rsidRPr="00B004E5" w:rsidR="0045681F">
        <w:rPr>
          <w:rFonts w:ascii="Arial" w:hAnsi="Arial"/>
          <w:color w:val="000000" w:themeColor="text1"/>
          <w:sz w:val="22"/>
        </w:rPr>
        <w:t xml:space="preserve">. </w:t>
      </w:r>
      <w:r w:rsidRPr="00B004E5">
        <w:rPr>
          <w:rFonts w:ascii="Arial" w:hAnsi="Arial"/>
          <w:color w:val="000000" w:themeColor="text1"/>
          <w:sz w:val="22"/>
        </w:rPr>
        <w:t>It is estimated that 50 hours of RES effort is needed per year for the ASP program.</w:t>
      </w:r>
    </w:p>
    <w:p w:rsidR="001F714E" w:rsidRPr="00B004E5" w:rsidP="001F714E" w14:paraId="6D71F53F" w14:textId="77777777">
      <w:pPr>
        <w:ind w:left="1440"/>
        <w:rPr>
          <w:rFonts w:ascii="Arial" w:hAnsi="Arial"/>
          <w:color w:val="000000" w:themeColor="text1"/>
          <w:sz w:val="22"/>
        </w:rPr>
      </w:pPr>
    </w:p>
    <w:p w:rsidR="001F714E" w:rsidRPr="00B004E5" w:rsidP="001F714E" w14:paraId="47DA638E" w14:textId="024DED13">
      <w:pPr>
        <w:ind w:left="1440"/>
        <w:rPr>
          <w:rFonts w:ascii="Arial" w:hAnsi="Arial"/>
          <w:color w:val="000000" w:themeColor="text1"/>
          <w:sz w:val="22"/>
        </w:rPr>
      </w:pPr>
      <w:r w:rsidRPr="00B004E5">
        <w:rPr>
          <w:rFonts w:ascii="Arial" w:hAnsi="Arial"/>
          <w:color w:val="000000" w:themeColor="text1"/>
          <w:sz w:val="22"/>
        </w:rPr>
        <w:t>Finally, the NRC Regional Offices are responsible for implementing NRC’s inspection program</w:t>
      </w:r>
      <w:r w:rsidRPr="00B004E5" w:rsidR="0045681F">
        <w:rPr>
          <w:rFonts w:ascii="Arial" w:hAnsi="Arial"/>
          <w:color w:val="000000" w:themeColor="text1"/>
          <w:sz w:val="22"/>
        </w:rPr>
        <w:t xml:space="preserve">. </w:t>
      </w:r>
      <w:r w:rsidRPr="00B004E5">
        <w:rPr>
          <w:rFonts w:ascii="Arial" w:hAnsi="Arial"/>
          <w:color w:val="000000" w:themeColor="text1"/>
          <w:sz w:val="22"/>
        </w:rPr>
        <w:t>It is estimated that LER reviews called out by Inspection Procedure (IP) IP 71153, “Event Follow-up” will take a maximum of 8 hours per LER</w:t>
      </w:r>
      <w:r w:rsidRPr="00B004E5" w:rsidR="0045681F">
        <w:rPr>
          <w:rFonts w:ascii="Arial" w:hAnsi="Arial"/>
          <w:color w:val="000000" w:themeColor="text1"/>
          <w:sz w:val="22"/>
        </w:rPr>
        <w:t xml:space="preserve">. </w:t>
      </w:r>
      <w:r w:rsidRPr="00B004E5">
        <w:rPr>
          <w:rFonts w:ascii="Arial" w:hAnsi="Arial"/>
          <w:color w:val="000000" w:themeColor="text1"/>
          <w:sz w:val="22"/>
        </w:rPr>
        <w:t xml:space="preserve">Therefore, with 8 hours of effort per LER, and </w:t>
      </w:r>
      <w:r w:rsidRPr="00B004E5" w:rsidR="00CD7F75">
        <w:rPr>
          <w:rFonts w:ascii="Arial" w:hAnsi="Arial"/>
          <w:color w:val="000000" w:themeColor="text1"/>
          <w:sz w:val="22"/>
        </w:rPr>
        <w:t>2</w:t>
      </w:r>
      <w:r w:rsidRPr="00B004E5">
        <w:rPr>
          <w:rFonts w:ascii="Arial" w:hAnsi="Arial"/>
          <w:color w:val="000000" w:themeColor="text1"/>
          <w:sz w:val="22"/>
        </w:rPr>
        <w:t xml:space="preserve">50 LERs submitted per year (8 hours per LER X </w:t>
      </w:r>
      <w:r w:rsidRPr="00B004E5" w:rsidR="00CD7F75">
        <w:rPr>
          <w:rFonts w:ascii="Arial" w:hAnsi="Arial"/>
          <w:color w:val="000000" w:themeColor="text1"/>
          <w:sz w:val="22"/>
        </w:rPr>
        <w:t>2</w:t>
      </w:r>
      <w:r w:rsidRPr="00B004E5">
        <w:rPr>
          <w:rFonts w:ascii="Arial" w:hAnsi="Arial"/>
          <w:color w:val="000000" w:themeColor="text1"/>
          <w:sz w:val="22"/>
        </w:rPr>
        <w:t>50 LERs), it is estimated that the Regional Offices will expend approximately 2,</w:t>
      </w:r>
      <w:r w:rsidRPr="00B004E5" w:rsidR="00622F7A">
        <w:rPr>
          <w:rFonts w:ascii="Arial" w:hAnsi="Arial"/>
          <w:color w:val="000000" w:themeColor="text1"/>
          <w:sz w:val="22"/>
        </w:rPr>
        <w:t>0</w:t>
      </w:r>
      <w:r w:rsidRPr="00B004E5">
        <w:rPr>
          <w:rFonts w:ascii="Arial" w:hAnsi="Arial"/>
          <w:color w:val="000000" w:themeColor="text1"/>
          <w:sz w:val="22"/>
        </w:rPr>
        <w:t>00 hours of effort on LER disposition per year.</w:t>
      </w:r>
    </w:p>
    <w:p w:rsidR="001F714E" w:rsidRPr="00B004E5" w:rsidP="001F714E" w14:paraId="202A0732" w14:textId="77777777">
      <w:pPr>
        <w:ind w:left="1440"/>
        <w:rPr>
          <w:rFonts w:ascii="Arial" w:hAnsi="Arial"/>
          <w:color w:val="000000" w:themeColor="text1"/>
          <w:sz w:val="22"/>
        </w:rPr>
      </w:pPr>
    </w:p>
    <w:p w:rsidR="001F714E" w:rsidRPr="00B004E5" w:rsidP="001F714E" w14:paraId="0762BD05" w14:textId="2FDD1343">
      <w:pPr>
        <w:ind w:left="1440"/>
        <w:rPr>
          <w:rFonts w:ascii="Arial" w:hAnsi="Arial"/>
          <w:color w:val="000000" w:themeColor="text1"/>
          <w:sz w:val="22"/>
        </w:rPr>
      </w:pPr>
      <w:r w:rsidRPr="00B004E5">
        <w:rPr>
          <w:rFonts w:ascii="Arial" w:hAnsi="Arial"/>
          <w:color w:val="000000" w:themeColor="text1"/>
          <w:sz w:val="22"/>
        </w:rPr>
        <w:t xml:space="preserve">The total NRC effort is therefore estimated to be </w:t>
      </w:r>
      <w:r w:rsidR="007129EF">
        <w:rPr>
          <w:rFonts w:ascii="Arial" w:hAnsi="Arial"/>
          <w:color w:val="000000" w:themeColor="text1"/>
          <w:sz w:val="22"/>
        </w:rPr>
        <w:t>2,</w:t>
      </w:r>
      <w:r w:rsidR="00B7793B">
        <w:rPr>
          <w:rFonts w:ascii="Arial" w:hAnsi="Arial"/>
          <w:color w:val="000000" w:themeColor="text1"/>
          <w:sz w:val="22"/>
        </w:rPr>
        <w:t>5</w:t>
      </w:r>
      <w:r w:rsidR="007129EF">
        <w:rPr>
          <w:rFonts w:ascii="Arial" w:hAnsi="Arial"/>
          <w:color w:val="000000" w:themeColor="text1"/>
          <w:sz w:val="22"/>
        </w:rPr>
        <w:t>50</w:t>
      </w:r>
      <w:r w:rsidRPr="00B004E5">
        <w:rPr>
          <w:rFonts w:ascii="Arial" w:hAnsi="Arial"/>
          <w:color w:val="000000" w:themeColor="text1"/>
          <w:sz w:val="22"/>
        </w:rPr>
        <w:t xml:space="preserve"> hours (2,</w:t>
      </w:r>
      <w:r w:rsidRPr="00B004E5" w:rsidR="00622F7A">
        <w:rPr>
          <w:rFonts w:ascii="Arial" w:hAnsi="Arial"/>
          <w:color w:val="000000" w:themeColor="text1"/>
          <w:sz w:val="22"/>
        </w:rPr>
        <w:t>0</w:t>
      </w:r>
      <w:r w:rsidRPr="00B004E5">
        <w:rPr>
          <w:rFonts w:ascii="Arial" w:hAnsi="Arial"/>
          <w:color w:val="000000" w:themeColor="text1"/>
          <w:sz w:val="22"/>
        </w:rPr>
        <w:t xml:space="preserve">00 regional inspection hours + </w:t>
      </w:r>
      <w:r w:rsidRPr="00B004E5" w:rsidR="00622F7A">
        <w:rPr>
          <w:rFonts w:ascii="Arial" w:hAnsi="Arial"/>
          <w:color w:val="000000" w:themeColor="text1"/>
          <w:sz w:val="22"/>
        </w:rPr>
        <w:t>2</w:t>
      </w:r>
      <w:r w:rsidRPr="00B004E5">
        <w:rPr>
          <w:rFonts w:ascii="Arial" w:hAnsi="Arial"/>
          <w:color w:val="000000" w:themeColor="text1"/>
          <w:sz w:val="22"/>
        </w:rPr>
        <w:t xml:space="preserve">50 NRR </w:t>
      </w:r>
      <w:r w:rsidR="0025507C">
        <w:rPr>
          <w:rFonts w:ascii="Arial" w:hAnsi="Arial"/>
          <w:color w:val="000000" w:themeColor="text1"/>
          <w:sz w:val="22"/>
        </w:rPr>
        <w:t xml:space="preserve">staff </w:t>
      </w:r>
      <w:r w:rsidRPr="00B004E5">
        <w:rPr>
          <w:rFonts w:ascii="Arial" w:hAnsi="Arial"/>
          <w:color w:val="000000" w:themeColor="text1"/>
          <w:sz w:val="22"/>
        </w:rPr>
        <w:t xml:space="preserve">hours + 50 RES ASP program staff hours). </w:t>
      </w:r>
    </w:p>
    <w:p w:rsidR="001F714E" w:rsidRPr="00B004E5" w:rsidP="001F714E" w14:paraId="71FA109A" w14:textId="77777777">
      <w:pPr>
        <w:rPr>
          <w:rFonts w:ascii="Arial" w:hAnsi="Arial"/>
          <w:color w:val="000000" w:themeColor="text1"/>
          <w:sz w:val="22"/>
        </w:rPr>
      </w:pPr>
    </w:p>
    <w:p w:rsidR="001F714E" w:rsidRPr="00B004E5" w:rsidP="001F714E" w14:paraId="215BCF18" w14:textId="10D5E2EC">
      <w:pPr>
        <w:ind w:left="1440"/>
        <w:rPr>
          <w:rFonts w:ascii="Arial" w:hAnsi="Arial"/>
          <w:color w:val="000000" w:themeColor="text1"/>
          <w:sz w:val="22"/>
        </w:rPr>
      </w:pPr>
      <w:r w:rsidRPr="00B004E5">
        <w:rPr>
          <w:rFonts w:ascii="Arial" w:hAnsi="Arial"/>
          <w:color w:val="000000" w:themeColor="text1"/>
          <w:sz w:val="22"/>
        </w:rPr>
        <w:t>The total estimated annual cost for the government is $1,</w:t>
      </w:r>
      <w:r w:rsidR="000C20C8">
        <w:rPr>
          <w:rFonts w:ascii="Arial" w:hAnsi="Arial"/>
          <w:color w:val="000000" w:themeColor="text1"/>
          <w:sz w:val="22"/>
        </w:rPr>
        <w:t>667</w:t>
      </w:r>
      <w:r w:rsidRPr="00B004E5">
        <w:rPr>
          <w:rFonts w:ascii="Arial" w:hAnsi="Arial"/>
          <w:color w:val="000000" w:themeColor="text1"/>
          <w:sz w:val="22"/>
        </w:rPr>
        <w:t>,</w:t>
      </w:r>
      <w:r w:rsidR="000C20C8">
        <w:rPr>
          <w:rFonts w:ascii="Arial" w:hAnsi="Arial"/>
          <w:color w:val="000000" w:themeColor="text1"/>
          <w:sz w:val="22"/>
        </w:rPr>
        <w:t>0</w:t>
      </w:r>
      <w:r w:rsidRPr="00B004E5" w:rsidR="00607B89">
        <w:rPr>
          <w:rFonts w:ascii="Arial" w:hAnsi="Arial"/>
          <w:color w:val="000000" w:themeColor="text1"/>
          <w:sz w:val="22"/>
        </w:rPr>
        <w:t>00</w:t>
      </w:r>
      <w:r w:rsidRPr="00B004E5">
        <w:rPr>
          <w:rFonts w:ascii="Arial" w:hAnsi="Arial"/>
          <w:color w:val="000000" w:themeColor="text1"/>
          <w:sz w:val="22"/>
        </w:rPr>
        <w:t xml:space="preserve"> ($2</w:t>
      </w:r>
      <w:r w:rsidRPr="00B004E5" w:rsidR="00BA18C4">
        <w:rPr>
          <w:rFonts w:ascii="Arial" w:hAnsi="Arial"/>
          <w:color w:val="000000" w:themeColor="text1"/>
          <w:sz w:val="22"/>
        </w:rPr>
        <w:t>90</w:t>
      </w:r>
      <w:r w:rsidRPr="00B004E5">
        <w:rPr>
          <w:rFonts w:ascii="Arial" w:hAnsi="Arial"/>
          <w:color w:val="000000" w:themeColor="text1"/>
          <w:sz w:val="22"/>
        </w:rPr>
        <w:t xml:space="preserve"> x </w:t>
      </w:r>
      <w:r w:rsidR="004F1ACB">
        <w:rPr>
          <w:rFonts w:ascii="Arial" w:hAnsi="Arial"/>
          <w:color w:val="000000" w:themeColor="text1"/>
          <w:sz w:val="22"/>
        </w:rPr>
        <w:t>2</w:t>
      </w:r>
      <w:r w:rsidR="00960687">
        <w:rPr>
          <w:rFonts w:ascii="Arial" w:hAnsi="Arial"/>
          <w:color w:val="000000" w:themeColor="text1"/>
          <w:sz w:val="22"/>
        </w:rPr>
        <w:t>30</w:t>
      </w:r>
      <w:r w:rsidRPr="00B004E5">
        <w:rPr>
          <w:rFonts w:ascii="Arial" w:hAnsi="Arial"/>
          <w:color w:val="000000" w:themeColor="text1"/>
          <w:sz w:val="22"/>
        </w:rPr>
        <w:t>0 hours + $</w:t>
      </w:r>
      <w:r w:rsidR="006A15DF">
        <w:rPr>
          <w:rFonts w:ascii="Arial" w:hAnsi="Arial"/>
          <w:color w:val="000000" w:themeColor="text1"/>
          <w:sz w:val="22"/>
        </w:rPr>
        <w:t>1MM</w:t>
      </w:r>
      <w:r w:rsidRPr="00B004E5">
        <w:rPr>
          <w:rFonts w:ascii="Arial" w:hAnsi="Arial"/>
          <w:color w:val="000000" w:themeColor="text1"/>
          <w:sz w:val="22"/>
        </w:rPr>
        <w:t xml:space="preserve"> for LER database contract</w:t>
      </w:r>
      <w:r w:rsidR="00635C88">
        <w:rPr>
          <w:rFonts w:ascii="Arial" w:hAnsi="Arial"/>
          <w:color w:val="000000" w:themeColor="text1"/>
          <w:sz w:val="22"/>
        </w:rPr>
        <w:t>s</w:t>
      </w:r>
      <w:r w:rsidRPr="00B004E5">
        <w:rPr>
          <w:rFonts w:ascii="Arial" w:hAnsi="Arial"/>
          <w:color w:val="000000" w:themeColor="text1"/>
          <w:sz w:val="22"/>
        </w:rPr>
        <w:t>).</w:t>
      </w:r>
    </w:p>
    <w:p w:rsidR="000C141A" w:rsidRPr="00B004E5" w:rsidP="00A94A47" w14:paraId="6108DBF2" w14:textId="77777777">
      <w:pPr>
        <w:widowControl/>
        <w:tabs>
          <w:tab w:val="left" w:pos="-1440"/>
        </w:tabs>
        <w:ind w:left="720" w:hanging="720"/>
        <w:rPr>
          <w:rFonts w:ascii="Arial" w:hAnsi="Arial" w:cs="Arial"/>
          <w:color w:val="000000" w:themeColor="text1"/>
          <w:sz w:val="22"/>
          <w:szCs w:val="22"/>
        </w:rPr>
      </w:pPr>
    </w:p>
    <w:p w:rsidR="002B1B50" w:rsidP="001541F0" w14:paraId="302E51BC" w14:textId="109A5B6C">
      <w:pPr>
        <w:widowControl/>
        <w:tabs>
          <w:tab w:val="left" w:pos="-1440"/>
        </w:tabs>
        <w:ind w:left="720"/>
        <w:rPr>
          <w:rFonts w:ascii="Arial" w:hAnsi="Arial" w:cs="Arial"/>
          <w:color w:val="000000" w:themeColor="text1"/>
          <w:sz w:val="22"/>
          <w:szCs w:val="22"/>
        </w:rPr>
      </w:pPr>
      <w:r w:rsidRPr="00B004E5">
        <w:rPr>
          <w:rFonts w:ascii="Arial" w:hAnsi="Arial" w:cs="Arial"/>
          <w:color w:val="000000" w:themeColor="text1"/>
          <w:sz w:val="22"/>
          <w:szCs w:val="22"/>
        </w:rPr>
        <w:t>15.</w:t>
      </w:r>
      <w:r w:rsidRPr="00B004E5">
        <w:rPr>
          <w:rFonts w:ascii="Arial" w:hAnsi="Arial" w:cs="Arial"/>
          <w:color w:val="000000" w:themeColor="text1"/>
          <w:sz w:val="22"/>
          <w:szCs w:val="22"/>
        </w:rPr>
        <w:tab/>
      </w:r>
      <w:r w:rsidRPr="00B004E5">
        <w:rPr>
          <w:rFonts w:ascii="Arial" w:hAnsi="Arial" w:cs="Arial"/>
          <w:color w:val="000000" w:themeColor="text1"/>
          <w:sz w:val="22"/>
          <w:szCs w:val="22"/>
          <w:u w:val="single"/>
        </w:rPr>
        <w:t>Reason</w:t>
      </w:r>
      <w:r w:rsidRPr="00B004E5" w:rsidR="006F795D">
        <w:rPr>
          <w:rFonts w:ascii="Arial" w:hAnsi="Arial" w:cs="Arial"/>
          <w:color w:val="000000" w:themeColor="text1"/>
          <w:sz w:val="22"/>
          <w:szCs w:val="22"/>
          <w:u w:val="single"/>
        </w:rPr>
        <w:t>s</w:t>
      </w:r>
      <w:r w:rsidRPr="00B004E5">
        <w:rPr>
          <w:rFonts w:ascii="Arial" w:hAnsi="Arial" w:cs="Arial"/>
          <w:color w:val="000000" w:themeColor="text1"/>
          <w:sz w:val="22"/>
          <w:szCs w:val="22"/>
          <w:u w:val="single"/>
        </w:rPr>
        <w:t> for Change in Burden</w:t>
      </w:r>
      <w:r w:rsidRPr="00B004E5" w:rsidR="00DF11D9">
        <w:rPr>
          <w:rFonts w:ascii="Arial" w:hAnsi="Arial" w:cs="Arial"/>
          <w:color w:val="000000" w:themeColor="text1"/>
          <w:sz w:val="22"/>
          <w:szCs w:val="22"/>
          <w:u w:val="single"/>
        </w:rPr>
        <w:t xml:space="preserve"> or Cost</w:t>
      </w:r>
    </w:p>
    <w:p w:rsidR="001541F0" w:rsidRPr="00B004E5" w:rsidP="001541F0" w14:paraId="25331B05" w14:textId="77777777">
      <w:pPr>
        <w:widowControl/>
        <w:tabs>
          <w:tab w:val="left" w:pos="-1440"/>
        </w:tabs>
        <w:ind w:left="720"/>
        <w:rPr>
          <w:rFonts w:ascii="Arial" w:hAnsi="Arial" w:cs="Arial"/>
          <w:color w:val="000000" w:themeColor="text1"/>
          <w:sz w:val="22"/>
          <w:szCs w:val="22"/>
        </w:rPr>
      </w:pPr>
    </w:p>
    <w:p w:rsidR="00760FF7" w:rsidRPr="00B004E5" w:rsidP="00760FF7" w14:paraId="3743BAFC" w14:textId="05479465">
      <w:pPr>
        <w:ind w:left="1440"/>
        <w:rPr>
          <w:rFonts w:ascii="Arial" w:hAnsi="Arial"/>
          <w:color w:val="000000" w:themeColor="text1"/>
          <w:sz w:val="22"/>
          <w:szCs w:val="22"/>
        </w:rPr>
      </w:pPr>
      <w:r>
        <w:rPr>
          <w:rFonts w:ascii="Arial" w:hAnsi="Arial"/>
          <w:color w:val="000000" w:themeColor="text1"/>
          <w:sz w:val="22"/>
          <w:szCs w:val="22"/>
        </w:rPr>
        <w:t xml:space="preserve">The estimated burden has decreased from 35,360 hours to 20,000 hours, a decrease of 15,360 hours.  </w:t>
      </w:r>
      <w:r w:rsidRPr="00B004E5">
        <w:rPr>
          <w:rFonts w:ascii="Arial" w:hAnsi="Arial"/>
          <w:color w:val="000000" w:themeColor="text1"/>
          <w:sz w:val="22"/>
          <w:szCs w:val="22"/>
        </w:rPr>
        <w:t xml:space="preserve">The NRC reviewed the number of LERs submitted over the past two clearance cycles and estimates the annual average </w:t>
      </w:r>
      <w:r w:rsidRPr="00B004E5" w:rsidR="003103C1">
        <w:rPr>
          <w:rFonts w:ascii="Arial" w:hAnsi="Arial"/>
          <w:color w:val="000000" w:themeColor="text1"/>
          <w:sz w:val="22"/>
          <w:szCs w:val="22"/>
        </w:rPr>
        <w:t>has</w:t>
      </w:r>
      <w:r w:rsidRPr="00B004E5">
        <w:rPr>
          <w:rFonts w:ascii="Arial" w:hAnsi="Arial"/>
          <w:color w:val="000000" w:themeColor="text1"/>
          <w:sz w:val="22"/>
          <w:szCs w:val="22"/>
        </w:rPr>
        <w:t xml:space="preserve"> decrease</w:t>
      </w:r>
      <w:r w:rsidRPr="00B004E5" w:rsidR="003103C1">
        <w:rPr>
          <w:rFonts w:ascii="Arial" w:hAnsi="Arial"/>
          <w:color w:val="000000" w:themeColor="text1"/>
          <w:sz w:val="22"/>
          <w:szCs w:val="22"/>
        </w:rPr>
        <w:t xml:space="preserve">d and will </w:t>
      </w:r>
      <w:r w:rsidRPr="00B004E5" w:rsidR="00A671B8">
        <w:rPr>
          <w:rFonts w:ascii="Arial" w:hAnsi="Arial"/>
          <w:color w:val="000000" w:themeColor="text1"/>
          <w:sz w:val="22"/>
          <w:szCs w:val="22"/>
        </w:rPr>
        <w:t>remain consistently lower</w:t>
      </w:r>
      <w:r w:rsidRPr="00B004E5">
        <w:rPr>
          <w:rFonts w:ascii="Arial" w:hAnsi="Arial"/>
          <w:color w:val="000000" w:themeColor="text1"/>
          <w:sz w:val="22"/>
          <w:szCs w:val="22"/>
        </w:rPr>
        <w:t xml:space="preserve"> </w:t>
      </w:r>
      <w:r w:rsidR="001C2B10">
        <w:rPr>
          <w:rFonts w:ascii="Arial" w:hAnsi="Arial"/>
          <w:color w:val="000000" w:themeColor="text1"/>
          <w:sz w:val="22"/>
          <w:szCs w:val="22"/>
        </w:rPr>
        <w:t xml:space="preserve">than previous clearance periods </w:t>
      </w:r>
      <w:r w:rsidRPr="00B004E5">
        <w:rPr>
          <w:rFonts w:ascii="Arial" w:hAnsi="Arial"/>
          <w:color w:val="000000" w:themeColor="text1"/>
          <w:sz w:val="22"/>
          <w:szCs w:val="22"/>
        </w:rPr>
        <w:t>for the licensees reporting using NRC Forms 366, 366A and 366B in the future</w:t>
      </w:r>
      <w:r w:rsidRPr="00B004E5" w:rsidR="00D77B00">
        <w:rPr>
          <w:rFonts w:ascii="Arial" w:hAnsi="Arial"/>
          <w:color w:val="000000" w:themeColor="text1"/>
          <w:sz w:val="22"/>
          <w:szCs w:val="22"/>
        </w:rPr>
        <w:t xml:space="preserve">. </w:t>
      </w:r>
      <w:r w:rsidR="005D7E68">
        <w:rPr>
          <w:rFonts w:ascii="Arial" w:hAnsi="Arial"/>
          <w:color w:val="000000" w:themeColor="text1"/>
          <w:sz w:val="22"/>
          <w:szCs w:val="22"/>
        </w:rPr>
        <w:t xml:space="preserve">It is </w:t>
      </w:r>
      <w:r w:rsidR="001C2B10">
        <w:rPr>
          <w:rFonts w:ascii="Arial" w:hAnsi="Arial"/>
          <w:color w:val="000000" w:themeColor="text1"/>
          <w:sz w:val="22"/>
          <w:szCs w:val="22"/>
        </w:rPr>
        <w:t xml:space="preserve">expected that </w:t>
      </w:r>
      <w:r w:rsidR="004E37F2">
        <w:rPr>
          <w:rFonts w:ascii="Arial" w:hAnsi="Arial"/>
          <w:color w:val="000000" w:themeColor="text1"/>
          <w:sz w:val="22"/>
          <w:szCs w:val="22"/>
        </w:rPr>
        <w:t>a</w:t>
      </w:r>
      <w:r w:rsidR="001C2B10">
        <w:rPr>
          <w:rFonts w:ascii="Arial" w:hAnsi="Arial"/>
          <w:color w:val="000000" w:themeColor="text1"/>
          <w:sz w:val="22"/>
          <w:szCs w:val="22"/>
        </w:rPr>
        <w:t xml:space="preserve"> new lower threshold has been established. </w:t>
      </w:r>
      <w:r w:rsidRPr="00B747FA">
        <w:rPr>
          <w:rFonts w:ascii="Arial" w:hAnsi="Arial"/>
          <w:color w:val="000000" w:themeColor="text1"/>
          <w:sz w:val="22"/>
          <w:szCs w:val="22"/>
        </w:rPr>
        <w:t xml:space="preserve">The number of estimated LERs has decreased from </w:t>
      </w:r>
      <w:r w:rsidR="00786603">
        <w:rPr>
          <w:rFonts w:ascii="Arial" w:hAnsi="Arial"/>
          <w:color w:val="000000" w:themeColor="text1"/>
          <w:sz w:val="22"/>
          <w:szCs w:val="22"/>
        </w:rPr>
        <w:t>5</w:t>
      </w:r>
      <w:r w:rsidRPr="00B747FA">
        <w:rPr>
          <w:rFonts w:ascii="Arial" w:hAnsi="Arial"/>
          <w:color w:val="000000" w:themeColor="text1"/>
          <w:sz w:val="22"/>
          <w:szCs w:val="22"/>
        </w:rPr>
        <w:t xml:space="preserve">42 to 250, a decrease of </w:t>
      </w:r>
      <w:r w:rsidR="00786603">
        <w:rPr>
          <w:rFonts w:ascii="Arial" w:hAnsi="Arial"/>
          <w:color w:val="000000" w:themeColor="text1"/>
          <w:sz w:val="22"/>
          <w:szCs w:val="22"/>
        </w:rPr>
        <w:t>2</w:t>
      </w:r>
      <w:r w:rsidRPr="00B747FA">
        <w:rPr>
          <w:rFonts w:ascii="Arial" w:hAnsi="Arial"/>
          <w:color w:val="000000" w:themeColor="text1"/>
          <w:sz w:val="22"/>
          <w:szCs w:val="22"/>
        </w:rPr>
        <w:t xml:space="preserve">92 responses. </w:t>
      </w:r>
      <w:r w:rsidR="001C2B10">
        <w:rPr>
          <w:rFonts w:ascii="Arial" w:hAnsi="Arial"/>
          <w:color w:val="000000" w:themeColor="text1"/>
          <w:sz w:val="22"/>
          <w:szCs w:val="22"/>
        </w:rPr>
        <w:t xml:space="preserve"> </w:t>
      </w:r>
      <w:r w:rsidRPr="00B004E5" w:rsidR="00D77B00">
        <w:rPr>
          <w:rFonts w:ascii="Arial" w:hAnsi="Arial"/>
          <w:color w:val="000000" w:themeColor="text1"/>
          <w:sz w:val="22"/>
          <w:szCs w:val="22"/>
        </w:rPr>
        <w:t>Additionally, the number of total licensees has decreased from prior clearance cycles</w:t>
      </w:r>
      <w:r w:rsidRPr="00B004E5">
        <w:rPr>
          <w:rFonts w:ascii="Arial" w:hAnsi="Arial"/>
          <w:color w:val="000000" w:themeColor="text1"/>
          <w:sz w:val="22"/>
          <w:szCs w:val="22"/>
        </w:rPr>
        <w:t xml:space="preserve">; therefore, </w:t>
      </w:r>
      <w:r w:rsidRPr="00B004E5" w:rsidR="008318F4">
        <w:rPr>
          <w:rFonts w:ascii="Arial" w:hAnsi="Arial"/>
          <w:color w:val="000000" w:themeColor="text1"/>
          <w:sz w:val="22"/>
          <w:szCs w:val="22"/>
        </w:rPr>
        <w:t xml:space="preserve">lower </w:t>
      </w:r>
      <w:r w:rsidRPr="00B004E5" w:rsidR="004E1BF9">
        <w:rPr>
          <w:rFonts w:ascii="Arial" w:hAnsi="Arial"/>
          <w:color w:val="000000" w:themeColor="text1"/>
          <w:sz w:val="22"/>
          <w:szCs w:val="22"/>
        </w:rPr>
        <w:t>estimates for total number of</w:t>
      </w:r>
      <w:r w:rsidRPr="00B004E5" w:rsidR="00FF2EA0">
        <w:rPr>
          <w:rFonts w:ascii="Arial" w:hAnsi="Arial"/>
          <w:color w:val="000000" w:themeColor="text1"/>
          <w:sz w:val="22"/>
          <w:szCs w:val="22"/>
        </w:rPr>
        <w:t xml:space="preserve"> </w:t>
      </w:r>
      <w:r w:rsidRPr="00B004E5" w:rsidR="004E1BF9">
        <w:rPr>
          <w:rFonts w:ascii="Arial" w:hAnsi="Arial"/>
          <w:color w:val="000000" w:themeColor="text1"/>
          <w:sz w:val="22"/>
          <w:szCs w:val="22"/>
        </w:rPr>
        <w:t xml:space="preserve">units and </w:t>
      </w:r>
      <w:r w:rsidRPr="00B004E5" w:rsidR="00FF2EA0">
        <w:rPr>
          <w:rFonts w:ascii="Arial" w:hAnsi="Arial"/>
          <w:color w:val="000000" w:themeColor="text1"/>
          <w:sz w:val="22"/>
          <w:szCs w:val="22"/>
        </w:rPr>
        <w:t>reports</w:t>
      </w:r>
      <w:r w:rsidRPr="00B004E5" w:rsidR="004E1BF9">
        <w:rPr>
          <w:rFonts w:ascii="Arial" w:hAnsi="Arial"/>
          <w:color w:val="000000" w:themeColor="text1"/>
          <w:sz w:val="22"/>
          <w:szCs w:val="22"/>
        </w:rPr>
        <w:t xml:space="preserve"> </w:t>
      </w:r>
      <w:r w:rsidRPr="00B004E5">
        <w:rPr>
          <w:rFonts w:ascii="Arial" w:hAnsi="Arial"/>
          <w:color w:val="000000" w:themeColor="text1"/>
          <w:sz w:val="22"/>
          <w:szCs w:val="22"/>
        </w:rPr>
        <w:t xml:space="preserve">per nuclear unit </w:t>
      </w:r>
      <w:r w:rsidRPr="00B004E5" w:rsidR="00FF2EA0">
        <w:rPr>
          <w:rFonts w:ascii="Arial" w:hAnsi="Arial"/>
          <w:color w:val="000000" w:themeColor="text1"/>
          <w:sz w:val="22"/>
          <w:szCs w:val="22"/>
        </w:rPr>
        <w:t>were used</w:t>
      </w:r>
      <w:r w:rsidRPr="00B004E5" w:rsidR="0045681F">
        <w:rPr>
          <w:rFonts w:ascii="Arial" w:hAnsi="Arial"/>
          <w:color w:val="000000" w:themeColor="text1"/>
          <w:sz w:val="22"/>
          <w:szCs w:val="22"/>
        </w:rPr>
        <w:t xml:space="preserve">. </w:t>
      </w:r>
    </w:p>
    <w:p w:rsidR="00760FF7" w:rsidRPr="00B004E5" w:rsidP="00760FF7" w14:paraId="3847DB12" w14:textId="77777777">
      <w:pPr>
        <w:ind w:left="1440"/>
        <w:rPr>
          <w:rFonts w:ascii="Arial" w:hAnsi="Arial"/>
          <w:color w:val="000000" w:themeColor="text1"/>
          <w:sz w:val="22"/>
          <w:szCs w:val="22"/>
        </w:rPr>
      </w:pPr>
    </w:p>
    <w:p w:rsidR="00760FF7" w:rsidRPr="00B004E5" w:rsidP="00B004E5" w14:paraId="2F299970" w14:textId="4B5E2A31">
      <w:pPr>
        <w:keepNext/>
        <w:keepLines/>
        <w:widowControl/>
        <w:ind w:left="1440"/>
        <w:rPr>
          <w:rFonts w:ascii="Arial" w:hAnsi="Arial" w:cs="Arial"/>
          <w:color w:val="000000" w:themeColor="text1"/>
          <w:sz w:val="22"/>
          <w:szCs w:val="22"/>
        </w:rPr>
      </w:pPr>
      <w:r w:rsidRPr="00B004E5">
        <w:rPr>
          <w:rFonts w:ascii="Arial" w:hAnsi="Arial"/>
          <w:color w:val="000000" w:themeColor="text1"/>
          <w:sz w:val="22"/>
          <w:szCs w:val="22"/>
        </w:rPr>
        <w:t>There was an increase in the fee rate from $275/</w:t>
      </w:r>
      <w:r w:rsidRPr="00B004E5">
        <w:rPr>
          <w:rFonts w:ascii="Arial" w:hAnsi="Arial"/>
          <w:color w:val="000000" w:themeColor="text1"/>
          <w:sz w:val="22"/>
          <w:szCs w:val="22"/>
        </w:rPr>
        <w:t>hr</w:t>
      </w:r>
      <w:r w:rsidRPr="00B004E5">
        <w:rPr>
          <w:rFonts w:ascii="Arial" w:hAnsi="Arial"/>
          <w:color w:val="000000" w:themeColor="text1"/>
          <w:sz w:val="22"/>
          <w:szCs w:val="22"/>
        </w:rPr>
        <w:t xml:space="preserve"> to $290/</w:t>
      </w:r>
      <w:r w:rsidRPr="00B004E5">
        <w:rPr>
          <w:rFonts w:ascii="Arial" w:hAnsi="Arial"/>
          <w:color w:val="000000" w:themeColor="text1"/>
          <w:sz w:val="22"/>
          <w:szCs w:val="22"/>
        </w:rPr>
        <w:t>hr</w:t>
      </w:r>
      <w:r w:rsidRPr="00B004E5">
        <w:rPr>
          <w:rFonts w:ascii="Arial" w:hAnsi="Arial"/>
          <w:color w:val="000000" w:themeColor="text1"/>
          <w:sz w:val="22"/>
          <w:szCs w:val="22"/>
        </w:rPr>
        <w:t xml:space="preserve"> used for this OMB clearance cycle.</w:t>
      </w:r>
    </w:p>
    <w:p w:rsidR="000C141A" w:rsidRPr="00B004E5" w:rsidP="00B004E5" w14:paraId="5F2F1A92" w14:textId="77777777">
      <w:pPr>
        <w:keepNext/>
        <w:keepLines/>
        <w:widowControl/>
        <w:ind w:left="1440"/>
        <w:rPr>
          <w:rFonts w:ascii="Arial" w:hAnsi="Arial" w:cs="Arial"/>
          <w:color w:val="000000" w:themeColor="text1"/>
          <w:sz w:val="22"/>
          <w:szCs w:val="22"/>
          <w:highlight w:val="yellow"/>
        </w:rPr>
      </w:pPr>
    </w:p>
    <w:p w:rsidR="002B1B50" w:rsidRPr="00B004E5" w:rsidP="004E4948" w14:paraId="5F60A057" w14:textId="77777777">
      <w:pPr>
        <w:keepNext/>
        <w:widowControl/>
        <w:tabs>
          <w:tab w:val="left" w:pos="-1440"/>
        </w:tabs>
        <w:ind w:left="720"/>
        <w:rPr>
          <w:rFonts w:ascii="Arial" w:hAnsi="Arial" w:cs="Arial"/>
          <w:color w:val="000000" w:themeColor="text1"/>
          <w:sz w:val="22"/>
          <w:szCs w:val="22"/>
        </w:rPr>
      </w:pPr>
      <w:r w:rsidRPr="00B004E5">
        <w:rPr>
          <w:rFonts w:ascii="Arial" w:hAnsi="Arial" w:cs="Arial"/>
          <w:color w:val="000000" w:themeColor="text1"/>
          <w:sz w:val="22"/>
          <w:szCs w:val="22"/>
        </w:rPr>
        <w:t>16.</w:t>
      </w:r>
      <w:r w:rsidRPr="00B004E5">
        <w:rPr>
          <w:rFonts w:ascii="Arial" w:hAnsi="Arial" w:cs="Arial"/>
          <w:color w:val="000000" w:themeColor="text1"/>
          <w:sz w:val="22"/>
          <w:szCs w:val="22"/>
        </w:rPr>
        <w:tab/>
      </w:r>
      <w:r w:rsidRPr="00B004E5">
        <w:rPr>
          <w:rFonts w:ascii="Arial" w:hAnsi="Arial" w:cs="Arial"/>
          <w:color w:val="000000" w:themeColor="text1"/>
          <w:sz w:val="22"/>
          <w:szCs w:val="22"/>
          <w:u w:val="single"/>
        </w:rPr>
        <w:t>Publication for Statistical Use</w:t>
      </w:r>
    </w:p>
    <w:p w:rsidR="002B1B50" w:rsidRPr="00B004E5" w:rsidP="00A94A47" w14:paraId="18F4179A" w14:textId="77777777">
      <w:pPr>
        <w:keepNext/>
        <w:widowControl/>
        <w:rPr>
          <w:rFonts w:ascii="Arial" w:hAnsi="Arial" w:cs="Arial"/>
          <w:color w:val="000000" w:themeColor="text1"/>
          <w:sz w:val="22"/>
          <w:szCs w:val="22"/>
        </w:rPr>
      </w:pPr>
    </w:p>
    <w:p w:rsidR="002B1B50" w:rsidRPr="00B004E5" w:rsidP="00B004E5" w14:paraId="673A3B4C" w14:textId="19582F3C">
      <w:pPr>
        <w:keepNext/>
        <w:keepLines/>
        <w:widowControl/>
        <w:ind w:left="720" w:firstLine="720"/>
        <w:rPr>
          <w:rFonts w:ascii="Arial" w:hAnsi="Arial" w:cs="Arial"/>
          <w:color w:val="000000" w:themeColor="text1"/>
          <w:sz w:val="22"/>
          <w:szCs w:val="22"/>
        </w:rPr>
      </w:pPr>
      <w:r w:rsidRPr="00B004E5">
        <w:rPr>
          <w:rFonts w:ascii="Arial" w:hAnsi="Arial" w:cs="Arial"/>
          <w:color w:val="000000" w:themeColor="text1"/>
          <w:sz w:val="22"/>
          <w:szCs w:val="22"/>
        </w:rPr>
        <w:t>Not Applicable.</w:t>
      </w:r>
    </w:p>
    <w:p w:rsidR="002B1B50" w:rsidRPr="00B004E5" w:rsidP="00A94A47" w14:paraId="4001AFF8" w14:textId="77777777">
      <w:pPr>
        <w:widowControl/>
        <w:rPr>
          <w:rFonts w:ascii="Arial" w:hAnsi="Arial" w:cs="Arial"/>
          <w:color w:val="000000" w:themeColor="text1"/>
          <w:sz w:val="22"/>
          <w:szCs w:val="22"/>
        </w:rPr>
      </w:pPr>
    </w:p>
    <w:p w:rsidR="002B1B50" w:rsidRPr="00B004E5" w:rsidP="004E4948" w14:paraId="1BC8A360" w14:textId="77777777">
      <w:pPr>
        <w:keepNext/>
        <w:widowControl/>
        <w:tabs>
          <w:tab w:val="left" w:pos="-1440"/>
        </w:tabs>
        <w:ind w:left="720"/>
        <w:rPr>
          <w:rFonts w:ascii="Arial" w:hAnsi="Arial" w:cs="Arial"/>
          <w:color w:val="000000" w:themeColor="text1"/>
          <w:sz w:val="22"/>
          <w:szCs w:val="22"/>
          <w:u w:val="single"/>
        </w:rPr>
      </w:pPr>
      <w:r w:rsidRPr="00B004E5">
        <w:rPr>
          <w:rFonts w:ascii="Arial" w:hAnsi="Arial" w:cs="Arial"/>
          <w:color w:val="000000" w:themeColor="text1"/>
          <w:sz w:val="22"/>
          <w:szCs w:val="22"/>
        </w:rPr>
        <w:t>17.</w:t>
      </w:r>
      <w:r w:rsidRPr="00B004E5">
        <w:rPr>
          <w:rFonts w:ascii="Arial" w:hAnsi="Arial" w:cs="Arial"/>
          <w:color w:val="000000" w:themeColor="text1"/>
          <w:sz w:val="22"/>
          <w:szCs w:val="22"/>
        </w:rPr>
        <w:tab/>
      </w:r>
      <w:r w:rsidRPr="00B004E5" w:rsidR="00DF11D9">
        <w:rPr>
          <w:rFonts w:ascii="Arial" w:hAnsi="Arial" w:cs="Arial"/>
          <w:color w:val="000000" w:themeColor="text1"/>
          <w:sz w:val="22"/>
          <w:szCs w:val="22"/>
          <w:u w:val="single"/>
        </w:rPr>
        <w:t>Reason</w:t>
      </w:r>
      <w:r w:rsidRPr="00B004E5">
        <w:rPr>
          <w:rFonts w:ascii="Arial" w:hAnsi="Arial" w:cs="Arial"/>
          <w:color w:val="000000" w:themeColor="text1"/>
          <w:sz w:val="22"/>
          <w:szCs w:val="22"/>
          <w:u w:val="single"/>
        </w:rPr>
        <w:t xml:space="preserve"> for Not Displaying the Expiration Date</w:t>
      </w:r>
    </w:p>
    <w:p w:rsidR="002B1B50" w:rsidRPr="00B004E5" w:rsidP="00A94A47" w14:paraId="7B304B06" w14:textId="77777777">
      <w:pPr>
        <w:keepNext/>
        <w:widowControl/>
        <w:rPr>
          <w:rFonts w:ascii="Arial" w:hAnsi="Arial" w:cs="Arial"/>
          <w:color w:val="000000" w:themeColor="text1"/>
          <w:sz w:val="22"/>
          <w:szCs w:val="22"/>
          <w:u w:val="single"/>
        </w:rPr>
      </w:pPr>
    </w:p>
    <w:p w:rsidR="00D2702B" w:rsidRPr="00B004E5" w:rsidP="00B004E5" w14:paraId="06BB2B61" w14:textId="0CEEED12">
      <w:pPr>
        <w:widowControl/>
        <w:ind w:left="720" w:firstLine="720"/>
        <w:rPr>
          <w:rFonts w:ascii="Arial" w:hAnsi="Arial" w:cs="Arial"/>
          <w:color w:val="000000" w:themeColor="text1"/>
          <w:sz w:val="22"/>
          <w:szCs w:val="22"/>
        </w:rPr>
      </w:pPr>
      <w:r w:rsidRPr="00B004E5">
        <w:rPr>
          <w:rFonts w:ascii="Arial" w:hAnsi="Arial" w:cs="Arial"/>
          <w:color w:val="000000" w:themeColor="text1"/>
          <w:sz w:val="22"/>
          <w:szCs w:val="22"/>
        </w:rPr>
        <w:t>The expiration date is displayed.</w:t>
      </w:r>
    </w:p>
    <w:p w:rsidR="00D2702B" w:rsidRPr="00B004E5" w:rsidP="00A94A47" w14:paraId="557BE800" w14:textId="77777777">
      <w:pPr>
        <w:widowControl/>
        <w:ind w:left="720"/>
        <w:rPr>
          <w:rFonts w:ascii="Arial" w:hAnsi="Arial" w:cs="Arial"/>
          <w:color w:val="000000" w:themeColor="text1"/>
          <w:sz w:val="22"/>
          <w:szCs w:val="22"/>
        </w:rPr>
      </w:pPr>
    </w:p>
    <w:p w:rsidR="002B1B50" w:rsidRPr="00B004E5" w:rsidP="004E4948" w14:paraId="0DF7DF6E" w14:textId="77777777">
      <w:pPr>
        <w:keepNext/>
        <w:widowControl/>
        <w:tabs>
          <w:tab w:val="left" w:pos="-1440"/>
        </w:tabs>
        <w:ind w:left="720"/>
        <w:rPr>
          <w:rFonts w:ascii="Arial" w:hAnsi="Arial" w:cs="Arial"/>
          <w:color w:val="000000" w:themeColor="text1"/>
          <w:sz w:val="22"/>
          <w:szCs w:val="22"/>
          <w:u w:val="single"/>
        </w:rPr>
      </w:pPr>
      <w:r w:rsidRPr="00B004E5">
        <w:rPr>
          <w:rFonts w:ascii="Arial" w:hAnsi="Arial" w:cs="Arial"/>
          <w:color w:val="000000" w:themeColor="text1"/>
          <w:sz w:val="22"/>
          <w:szCs w:val="22"/>
        </w:rPr>
        <w:t>18.</w:t>
      </w:r>
      <w:r w:rsidRPr="00B004E5">
        <w:rPr>
          <w:rFonts w:ascii="Arial" w:hAnsi="Arial" w:cs="Arial"/>
          <w:color w:val="000000" w:themeColor="text1"/>
          <w:sz w:val="22"/>
          <w:szCs w:val="22"/>
        </w:rPr>
        <w:tab/>
      </w:r>
      <w:r w:rsidRPr="00B004E5">
        <w:rPr>
          <w:rFonts w:ascii="Arial" w:hAnsi="Arial" w:cs="Arial"/>
          <w:color w:val="000000" w:themeColor="text1"/>
          <w:sz w:val="22"/>
          <w:szCs w:val="22"/>
          <w:u w:val="single"/>
        </w:rPr>
        <w:t>Exceptions to the Certification Statement</w:t>
      </w:r>
    </w:p>
    <w:p w:rsidR="002B1B50" w:rsidRPr="00B004E5" w:rsidP="00A94A47" w14:paraId="7943489D" w14:textId="77777777">
      <w:pPr>
        <w:keepNext/>
        <w:widowControl/>
        <w:rPr>
          <w:rFonts w:ascii="Arial" w:hAnsi="Arial" w:cs="Arial"/>
          <w:color w:val="000000" w:themeColor="text1"/>
          <w:sz w:val="22"/>
          <w:szCs w:val="22"/>
          <w:u w:val="single"/>
        </w:rPr>
      </w:pPr>
    </w:p>
    <w:p w:rsidR="002B1B50" w:rsidRPr="00B004E5" w:rsidP="00B004E5" w14:paraId="25459E15" w14:textId="77777777">
      <w:pPr>
        <w:widowControl/>
        <w:ind w:left="720" w:firstLine="720"/>
        <w:rPr>
          <w:rFonts w:ascii="Arial" w:hAnsi="Arial" w:cs="Arial"/>
          <w:color w:val="000000" w:themeColor="text1"/>
          <w:sz w:val="22"/>
          <w:szCs w:val="22"/>
        </w:rPr>
      </w:pPr>
      <w:r w:rsidRPr="00B004E5">
        <w:rPr>
          <w:rFonts w:ascii="Arial" w:hAnsi="Arial" w:cs="Arial"/>
          <w:color w:val="000000" w:themeColor="text1"/>
          <w:sz w:val="22"/>
          <w:szCs w:val="22"/>
        </w:rPr>
        <w:t>There are no exceptions</w:t>
      </w:r>
      <w:r w:rsidRPr="00B004E5">
        <w:rPr>
          <w:rFonts w:ascii="Arial" w:hAnsi="Arial" w:cs="Arial"/>
          <w:color w:val="000000" w:themeColor="text1"/>
          <w:sz w:val="22"/>
          <w:szCs w:val="22"/>
        </w:rPr>
        <w:t>.</w:t>
      </w:r>
    </w:p>
    <w:p w:rsidR="00BD2591" w:rsidRPr="00B004E5" w:rsidP="00A94A47" w14:paraId="1570E1A1" w14:textId="77777777">
      <w:pPr>
        <w:widowControl/>
        <w:ind w:left="720"/>
        <w:rPr>
          <w:rFonts w:ascii="Arial" w:hAnsi="Arial" w:cs="Arial"/>
          <w:color w:val="000000" w:themeColor="text1"/>
          <w:sz w:val="22"/>
          <w:szCs w:val="22"/>
        </w:rPr>
      </w:pPr>
    </w:p>
    <w:p w:rsidR="00612E92" w14:paraId="02691270" w14:textId="77777777">
      <w:pPr>
        <w:widowControl/>
        <w:autoSpaceDE/>
        <w:autoSpaceDN/>
        <w:adjustRightInd/>
        <w:rPr>
          <w:rFonts w:ascii="Arial" w:hAnsi="Arial" w:cs="Arial"/>
          <w:color w:val="000000" w:themeColor="text1"/>
          <w:sz w:val="22"/>
          <w:szCs w:val="22"/>
        </w:rPr>
      </w:pPr>
      <w:r>
        <w:rPr>
          <w:rFonts w:ascii="Arial" w:hAnsi="Arial" w:cs="Arial"/>
          <w:color w:val="000000" w:themeColor="text1"/>
          <w:sz w:val="22"/>
          <w:szCs w:val="22"/>
        </w:rPr>
        <w:br w:type="page"/>
      </w:r>
    </w:p>
    <w:p w:rsidR="002B1B50" w:rsidRPr="00B004E5" w:rsidP="00A94A47" w14:paraId="5677338C" w14:textId="2819D765">
      <w:pPr>
        <w:widowControl/>
        <w:rPr>
          <w:rFonts w:ascii="Arial" w:hAnsi="Arial" w:cs="Arial"/>
          <w:color w:val="000000" w:themeColor="text1"/>
          <w:sz w:val="22"/>
          <w:szCs w:val="22"/>
        </w:rPr>
      </w:pPr>
      <w:r w:rsidRPr="00B004E5">
        <w:rPr>
          <w:rFonts w:ascii="Arial" w:hAnsi="Arial" w:cs="Arial"/>
          <w:color w:val="000000" w:themeColor="text1"/>
          <w:sz w:val="22"/>
          <w:szCs w:val="22"/>
        </w:rPr>
        <w:t>B</w:t>
      </w:r>
      <w:r w:rsidRPr="00B004E5" w:rsidR="0045681F">
        <w:rPr>
          <w:rFonts w:ascii="Arial" w:hAnsi="Arial" w:cs="Arial"/>
          <w:color w:val="000000" w:themeColor="text1"/>
          <w:sz w:val="22"/>
          <w:szCs w:val="22"/>
        </w:rPr>
        <w:t xml:space="preserve">. </w:t>
      </w:r>
      <w:r w:rsidRPr="00B004E5">
        <w:rPr>
          <w:rFonts w:ascii="Arial" w:hAnsi="Arial" w:cs="Arial"/>
          <w:color w:val="000000" w:themeColor="text1"/>
          <w:sz w:val="22"/>
          <w:szCs w:val="22"/>
        </w:rPr>
        <w:t>COLLECTIONS OF INFORMATION EMPLOYING STATISTICAL METHODS</w:t>
      </w:r>
    </w:p>
    <w:p w:rsidR="002B1B50" w:rsidRPr="00B004E5" w:rsidP="00A94A47" w14:paraId="3601654A" w14:textId="77777777">
      <w:pPr>
        <w:widowControl/>
        <w:rPr>
          <w:rFonts w:ascii="Arial" w:hAnsi="Arial" w:cs="Arial"/>
          <w:color w:val="000000" w:themeColor="text1"/>
          <w:sz w:val="22"/>
          <w:szCs w:val="22"/>
        </w:rPr>
      </w:pPr>
    </w:p>
    <w:p w:rsidR="006F7CFE" w:rsidP="006F7CFE" w14:paraId="35CC01E6" w14:textId="3416AF22">
      <w:pPr>
        <w:keepNext/>
        <w:keepLines/>
        <w:widowControl/>
        <w:ind w:firstLine="720"/>
        <w:rPr>
          <w:rFonts w:ascii="Arial" w:hAnsi="Arial" w:cs="Arial"/>
          <w:color w:val="000000" w:themeColor="text1"/>
          <w:sz w:val="22"/>
          <w:szCs w:val="22"/>
        </w:rPr>
      </w:pPr>
      <w:r w:rsidRPr="00B004E5">
        <w:rPr>
          <w:rFonts w:ascii="Arial" w:hAnsi="Arial" w:cs="Arial"/>
          <w:color w:val="000000" w:themeColor="text1"/>
          <w:sz w:val="22"/>
          <w:szCs w:val="22"/>
        </w:rPr>
        <w:t>Not Applicable.</w:t>
      </w:r>
    </w:p>
    <w:p w:rsidR="00CC69F6" w:rsidP="006F7CFE" w14:paraId="6549772D" w14:textId="20DC88D2">
      <w:pPr>
        <w:keepNext/>
        <w:keepLines/>
        <w:widowControl/>
        <w:ind w:firstLine="720"/>
        <w:rPr>
          <w:rFonts w:ascii="Arial" w:hAnsi="Arial" w:cs="Arial"/>
          <w:color w:val="000000" w:themeColor="text1"/>
          <w:sz w:val="22"/>
          <w:szCs w:val="22"/>
        </w:rPr>
      </w:pPr>
    </w:p>
    <w:p w:rsidR="00CC69F6" w14:paraId="4779AD2A" w14:textId="3169399B">
      <w:pPr>
        <w:widowControl/>
        <w:autoSpaceDE/>
        <w:autoSpaceDN/>
        <w:adjustRightInd/>
        <w:rPr>
          <w:rFonts w:ascii="Arial" w:hAnsi="Arial" w:cs="Arial"/>
          <w:color w:val="000000" w:themeColor="text1"/>
          <w:sz w:val="22"/>
          <w:szCs w:val="22"/>
        </w:rPr>
      </w:pPr>
      <w:r>
        <w:rPr>
          <w:rFonts w:ascii="Arial" w:hAnsi="Arial" w:cs="Arial"/>
          <w:color w:val="000000" w:themeColor="text1"/>
          <w:sz w:val="22"/>
          <w:szCs w:val="22"/>
        </w:rPr>
        <w:br w:type="page"/>
      </w:r>
    </w:p>
    <w:p w:rsidR="00CC69F6" w:rsidRPr="00B004E5" w:rsidP="006F7CFE" w14:paraId="2CD3C9F9" w14:textId="77777777">
      <w:pPr>
        <w:keepNext/>
        <w:keepLines/>
        <w:widowControl/>
        <w:ind w:firstLine="720"/>
        <w:rPr>
          <w:color w:val="000000" w:themeColor="text1"/>
        </w:rPr>
      </w:pPr>
    </w:p>
    <w:p w:rsidR="002B1B50" w:rsidRPr="00B004E5" w:rsidP="00A94A47" w14:paraId="6E97A325" w14:textId="356F185D">
      <w:pPr>
        <w:widowControl/>
        <w:ind w:firstLine="720"/>
        <w:rPr>
          <w:rFonts w:ascii="Arial" w:hAnsi="Arial" w:cs="Arial"/>
          <w:color w:val="000000" w:themeColor="text1"/>
          <w:sz w:val="22"/>
          <w:szCs w:val="22"/>
        </w:rPr>
      </w:pPr>
    </w:p>
    <w:p w:rsidR="00CC69F6" w:rsidP="00CC69F6" w14:paraId="306E609B" w14:textId="77777777">
      <w:pPr>
        <w:jc w:val="center"/>
        <w:rPr>
          <w:rFonts w:ascii="Arial" w:hAnsi="Arial"/>
          <w:sz w:val="22"/>
        </w:rPr>
      </w:pPr>
      <w:r>
        <w:rPr>
          <w:rFonts w:ascii="Arial" w:hAnsi="Arial"/>
          <w:sz w:val="22"/>
        </w:rPr>
        <w:t>DESCRIPTION OF INFORMATION COLLECTION REQUIREMENTS</w:t>
      </w:r>
    </w:p>
    <w:p w:rsidR="00CC69F6" w:rsidP="00CC69F6" w14:paraId="157CE876" w14:textId="77777777">
      <w:pPr>
        <w:jc w:val="center"/>
        <w:rPr>
          <w:rFonts w:ascii="Arial" w:hAnsi="Arial"/>
          <w:sz w:val="22"/>
        </w:rPr>
      </w:pPr>
      <w:r>
        <w:rPr>
          <w:rFonts w:ascii="Arial" w:hAnsi="Arial"/>
          <w:sz w:val="22"/>
        </w:rPr>
        <w:t>CONTAINED IN</w:t>
      </w:r>
    </w:p>
    <w:p w:rsidR="00CC69F6" w:rsidP="00CC69F6" w14:paraId="73EEBBA6" w14:textId="77777777">
      <w:pPr>
        <w:jc w:val="center"/>
        <w:rPr>
          <w:rFonts w:ascii="Arial" w:hAnsi="Arial"/>
          <w:sz w:val="22"/>
        </w:rPr>
      </w:pPr>
    </w:p>
    <w:p w:rsidR="00CC69F6" w:rsidP="00CC69F6" w14:paraId="28A1C5C5" w14:textId="77777777">
      <w:pPr>
        <w:tabs>
          <w:tab w:val="center" w:pos="4680"/>
        </w:tabs>
        <w:jc w:val="center"/>
        <w:rPr>
          <w:rFonts w:ascii="Arial" w:hAnsi="Arial"/>
          <w:sz w:val="22"/>
        </w:rPr>
      </w:pPr>
      <w:bookmarkStart w:id="1" w:name="_Hlk10101492"/>
      <w:r>
        <w:rPr>
          <w:rFonts w:ascii="Arial" w:hAnsi="Arial"/>
          <w:sz w:val="22"/>
        </w:rPr>
        <w:t>NRC FORMS 366, 366A, and 366B, "LICENSEE EVENT REPORT"</w:t>
      </w:r>
    </w:p>
    <w:p w:rsidR="00CC69F6" w:rsidP="00CC69F6" w14:paraId="612CD0C9" w14:textId="77777777">
      <w:pPr>
        <w:tabs>
          <w:tab w:val="center" w:pos="4680"/>
        </w:tabs>
        <w:jc w:val="center"/>
        <w:rPr>
          <w:rFonts w:ascii="Arial" w:hAnsi="Arial"/>
          <w:sz w:val="22"/>
        </w:rPr>
      </w:pPr>
      <w:r>
        <w:rPr>
          <w:rFonts w:ascii="Arial" w:hAnsi="Arial"/>
          <w:sz w:val="22"/>
        </w:rPr>
        <w:t>10 CFR Part 50.73</w:t>
      </w:r>
    </w:p>
    <w:bookmarkEnd w:id="1"/>
    <w:p w:rsidR="00CC69F6" w:rsidP="00CC69F6" w14:paraId="6DCAF810" w14:textId="77777777">
      <w:pPr>
        <w:rPr>
          <w:rFonts w:ascii="Arial" w:hAnsi="Arial"/>
          <w:sz w:val="22"/>
        </w:rPr>
      </w:pPr>
    </w:p>
    <w:p w:rsidR="00CC69F6" w:rsidP="00CC69F6" w14:paraId="1E9B660A" w14:textId="77777777">
      <w:pPr>
        <w:rPr>
          <w:rFonts w:ascii="Arial" w:hAnsi="Arial" w:cs="Arial"/>
          <w:sz w:val="22"/>
          <w:szCs w:val="22"/>
        </w:rPr>
      </w:pPr>
      <w:r w:rsidRPr="00612E92">
        <w:rPr>
          <w:rFonts w:ascii="Arial" w:hAnsi="Arial" w:cs="Arial"/>
          <w:sz w:val="22"/>
          <w:szCs w:val="22"/>
          <w:u w:val="single"/>
        </w:rPr>
        <w:t>10 CFR 50.73</w:t>
      </w:r>
      <w:r w:rsidRPr="004F5EEA">
        <w:rPr>
          <w:rFonts w:ascii="Arial" w:hAnsi="Arial" w:cs="Arial"/>
          <w:sz w:val="22"/>
          <w:szCs w:val="22"/>
        </w:rPr>
        <w:t xml:space="preserve"> requires </w:t>
      </w:r>
      <w:r w:rsidRPr="004F5EEA">
        <w:rPr>
          <w:rFonts w:ascii="Arial" w:hAnsi="Arial" w:cs="Arial"/>
          <w:sz w:val="22"/>
          <w:szCs w:val="22"/>
          <w:shd w:val="clear" w:color="auto" w:fill="FFFFFF"/>
        </w:rPr>
        <w:t>the holder of an operating license under this part or a combined license under part 52 of this chapter (after the Commission has made the finding under § 52.103(g) of this chapter) for a nuclear power plant (licensee) shall submit a Licensee Event Report (LER) for any event of the type described in this paragraph within 60 days after the discovery of the event.</w:t>
      </w:r>
      <w:r w:rsidRPr="004F5EEA">
        <w:rPr>
          <w:rFonts w:ascii="Helvetica" w:hAnsi="Helvetica"/>
          <w:sz w:val="21"/>
          <w:szCs w:val="21"/>
          <w:shd w:val="clear" w:color="auto" w:fill="FFFFFF"/>
        </w:rPr>
        <w:t xml:space="preserve"> </w:t>
      </w:r>
      <w:r>
        <w:rPr>
          <w:rFonts w:ascii="Arial" w:hAnsi="Arial" w:cs="Arial"/>
          <w:sz w:val="22"/>
          <w:szCs w:val="22"/>
        </w:rPr>
        <w:t xml:space="preserve">Licensees  use NRC Form 366, “Licensee Event Report” to report specified events and problems that are believed to be significant and useful to the NRC in its effort to identify and resolve threats to public safety. Form 366A, “Licensee Event Report, Continuation” provides a continuation page for licensees to provide a narrative of the event.  Form 366B, “Licensee Event Report, Failure Continuation” is a continuation page used to document the specific component failures involved in the event.  The forms are designed to provide the information necessary for engineering studies of operational anomalies and trends and patterns analysis of operational occurrences.  The same information can be used for other analytic procedures that will aid in identifying accident precursors. </w:t>
      </w:r>
    </w:p>
    <w:p w:rsidR="00CC69F6" w:rsidP="00B747FA" w14:paraId="4AA65A95" w14:textId="77777777">
      <w:pPr>
        <w:rPr>
          <w:rFonts w:ascii="Arial" w:hAnsi="Arial"/>
          <w:sz w:val="22"/>
        </w:rPr>
      </w:pPr>
    </w:p>
    <w:p w:rsidR="00612E92" w:rsidP="00612E92" w14:paraId="3EBA88C8" w14:textId="500E55EA">
      <w:pPr>
        <w:pStyle w:val="Default"/>
        <w:rPr>
          <w:sz w:val="22"/>
          <w:szCs w:val="22"/>
        </w:rPr>
      </w:pPr>
      <w:r>
        <w:rPr>
          <w:sz w:val="22"/>
          <w:szCs w:val="22"/>
          <w:u w:val="single"/>
        </w:rPr>
        <w:t xml:space="preserve">10 CFR </w:t>
      </w:r>
      <w:r w:rsidRPr="00612E92">
        <w:rPr>
          <w:sz w:val="22"/>
          <w:szCs w:val="22"/>
          <w:u w:val="single"/>
        </w:rPr>
        <w:t>73.77</w:t>
      </w:r>
      <w:r w:rsidRPr="00612E92">
        <w:rPr>
          <w:sz w:val="22"/>
          <w:szCs w:val="22"/>
        </w:rPr>
        <w:t xml:space="preserve"> </w:t>
      </w:r>
      <w:r>
        <w:rPr>
          <w:sz w:val="22"/>
          <w:szCs w:val="22"/>
        </w:rPr>
        <w:t xml:space="preserve">requires that licensees </w:t>
      </w:r>
      <w:r w:rsidRPr="00612E92">
        <w:rPr>
          <w:sz w:val="22"/>
          <w:szCs w:val="22"/>
        </w:rPr>
        <w:t xml:space="preserve">subject to the provisions of § 73.54 </w:t>
      </w:r>
      <w:r>
        <w:rPr>
          <w:sz w:val="22"/>
          <w:szCs w:val="22"/>
        </w:rPr>
        <w:t xml:space="preserve">who make </w:t>
      </w:r>
      <w:r w:rsidRPr="00612E92">
        <w:rPr>
          <w:sz w:val="22"/>
          <w:szCs w:val="22"/>
        </w:rPr>
        <w:t xml:space="preserve">an initial telephonic notification of </w:t>
      </w:r>
      <w:r>
        <w:rPr>
          <w:sz w:val="22"/>
          <w:szCs w:val="22"/>
        </w:rPr>
        <w:t xml:space="preserve">cyber </w:t>
      </w:r>
      <w:r w:rsidRPr="00612E92">
        <w:rPr>
          <w:sz w:val="22"/>
          <w:szCs w:val="22"/>
        </w:rPr>
        <w:t xml:space="preserve">security events to the NRC according to the provisions of paragraphs </w:t>
      </w:r>
      <w:r>
        <w:rPr>
          <w:sz w:val="22"/>
          <w:szCs w:val="22"/>
        </w:rPr>
        <w:t>73.77</w:t>
      </w:r>
      <w:r w:rsidRPr="00612E92">
        <w:rPr>
          <w:sz w:val="22"/>
          <w:szCs w:val="22"/>
        </w:rPr>
        <w:t>(a)(1), (a)(2)(</w:t>
      </w:r>
      <w:r w:rsidRPr="00612E92">
        <w:rPr>
          <w:sz w:val="22"/>
          <w:szCs w:val="22"/>
        </w:rPr>
        <w:t>i</w:t>
      </w:r>
      <w:r w:rsidRPr="00612E92">
        <w:rPr>
          <w:sz w:val="22"/>
          <w:szCs w:val="22"/>
        </w:rPr>
        <w:t>), and (a)(2)(ii) must also submit a written security follow-up report</w:t>
      </w:r>
      <w:r>
        <w:rPr>
          <w:sz w:val="22"/>
          <w:szCs w:val="22"/>
        </w:rPr>
        <w:t xml:space="preserve"> on NRC Form 366</w:t>
      </w:r>
      <w:r w:rsidRPr="00612E92">
        <w:rPr>
          <w:sz w:val="22"/>
          <w:szCs w:val="22"/>
        </w:rPr>
        <w:t xml:space="preserve"> to the NRC within 60 days of the telephonic notification in accordance with § 73.4.</w:t>
      </w:r>
    </w:p>
    <w:p w:rsidR="00612E92" w:rsidP="00CC69F6" w14:paraId="2CA8027E" w14:textId="77777777">
      <w:pPr>
        <w:pStyle w:val="Default"/>
        <w:rPr>
          <w:sz w:val="22"/>
          <w:szCs w:val="22"/>
        </w:rPr>
      </w:pPr>
    </w:p>
    <w:p w:rsidR="00CC69F6" w:rsidRPr="005B1B12" w:rsidP="00B747FA" w14:paraId="185F7612" w14:textId="480B6E82">
      <w:pPr>
        <w:pStyle w:val="Default"/>
        <w:rPr>
          <w:sz w:val="22"/>
          <w:szCs w:val="22"/>
        </w:rPr>
      </w:pPr>
      <w:r w:rsidRPr="00B747FA">
        <w:rPr>
          <w:sz w:val="22"/>
          <w:szCs w:val="22"/>
          <w:u w:val="single"/>
        </w:rPr>
        <w:t>10 CFR 73.1205</w:t>
      </w:r>
      <w:r w:rsidRPr="005B1B12">
        <w:rPr>
          <w:sz w:val="22"/>
          <w:szCs w:val="22"/>
        </w:rPr>
        <w:t xml:space="preserve"> </w:t>
      </w:r>
      <w:r w:rsidR="00612E92">
        <w:rPr>
          <w:sz w:val="22"/>
          <w:szCs w:val="22"/>
        </w:rPr>
        <w:t>requires that l</w:t>
      </w:r>
      <w:r w:rsidRPr="00612E92" w:rsidR="00612E92">
        <w:rPr>
          <w:sz w:val="22"/>
          <w:szCs w:val="22"/>
        </w:rPr>
        <w:t xml:space="preserve">icensees making a telephonic notification </w:t>
      </w:r>
      <w:r w:rsidR="00612E92">
        <w:rPr>
          <w:sz w:val="22"/>
          <w:szCs w:val="22"/>
        </w:rPr>
        <w:t xml:space="preserve">of a physical security event </w:t>
      </w:r>
      <w:r w:rsidRPr="00612E92" w:rsidR="00612E92">
        <w:rPr>
          <w:sz w:val="22"/>
          <w:szCs w:val="22"/>
        </w:rPr>
        <w:t>under § 73.1200 must also submit a written follow-up report</w:t>
      </w:r>
      <w:r w:rsidR="00612E92">
        <w:rPr>
          <w:sz w:val="22"/>
          <w:szCs w:val="22"/>
        </w:rPr>
        <w:t xml:space="preserve"> on NRC Form 366</w:t>
      </w:r>
      <w:r w:rsidRPr="00612E92" w:rsidR="00612E92">
        <w:rPr>
          <w:sz w:val="22"/>
          <w:szCs w:val="22"/>
        </w:rPr>
        <w:t xml:space="preserve"> to the NRC within 60 days of such notifications, in accordance with § 73.4 of this part.</w:t>
      </w:r>
    </w:p>
    <w:p w:rsidR="00CC69F6" w:rsidP="00CC69F6" w14:paraId="21414631" w14:textId="77777777">
      <w:pPr>
        <w:pStyle w:val="Default"/>
        <w:rPr>
          <w:sz w:val="22"/>
          <w:szCs w:val="22"/>
        </w:rPr>
      </w:pPr>
    </w:p>
    <w:p w:rsidR="00681B7F" w:rsidP="00CC69F6" w14:paraId="4DF63CD7" w14:textId="5580FF2A">
      <w:pPr>
        <w:pStyle w:val="Default"/>
        <w:rPr>
          <w:sz w:val="22"/>
          <w:szCs w:val="22"/>
        </w:rPr>
      </w:pPr>
      <w:r>
        <w:rPr>
          <w:sz w:val="22"/>
          <w:szCs w:val="22"/>
        </w:rPr>
        <w:t>In addition, the following also apply to this form:</w:t>
      </w:r>
    </w:p>
    <w:p w:rsidR="00681B7F" w:rsidP="00CC69F6" w14:paraId="6872D43A" w14:textId="77777777">
      <w:pPr>
        <w:pStyle w:val="Default"/>
        <w:rPr>
          <w:sz w:val="22"/>
          <w:szCs w:val="22"/>
        </w:rPr>
      </w:pPr>
    </w:p>
    <w:p w:rsidR="00681B7F" w:rsidRPr="00681B7F" w:rsidP="00681B7F" w14:paraId="09C17DDA" w14:textId="77777777">
      <w:pPr>
        <w:pStyle w:val="Default"/>
        <w:rPr>
          <w:sz w:val="22"/>
          <w:szCs w:val="22"/>
        </w:rPr>
      </w:pPr>
      <w:r w:rsidRPr="005B07D3">
        <w:rPr>
          <w:sz w:val="22"/>
          <w:szCs w:val="22"/>
          <w:u w:val="single"/>
        </w:rPr>
        <w:t>10 CFR 20.2201(b)</w:t>
      </w:r>
      <w:r w:rsidRPr="00681B7F">
        <w:rPr>
          <w:sz w:val="22"/>
          <w:szCs w:val="22"/>
        </w:rPr>
        <w:t xml:space="preserve"> requires licensees to follow-up telephone reports with written reports of the</w:t>
      </w:r>
    </w:p>
    <w:p w:rsidR="00681B7F" w:rsidP="00681B7F" w14:paraId="79AA9B98" w14:textId="2488CBFD">
      <w:pPr>
        <w:pStyle w:val="Default"/>
        <w:rPr>
          <w:sz w:val="22"/>
          <w:szCs w:val="22"/>
        </w:rPr>
      </w:pPr>
      <w:r w:rsidRPr="00681B7F">
        <w:rPr>
          <w:sz w:val="22"/>
          <w:szCs w:val="22"/>
        </w:rPr>
        <w:t>incident within 30 days of the telephone report. This is needed to ensure that the proper follow</w:t>
      </w:r>
      <w:r w:rsidR="007D1EBD">
        <w:rPr>
          <w:sz w:val="22"/>
          <w:szCs w:val="22"/>
        </w:rPr>
        <w:t>-</w:t>
      </w:r>
      <w:r w:rsidRPr="00681B7F">
        <w:rPr>
          <w:sz w:val="22"/>
          <w:szCs w:val="22"/>
        </w:rPr>
        <w:t>up</w:t>
      </w:r>
      <w:r>
        <w:rPr>
          <w:sz w:val="22"/>
          <w:szCs w:val="22"/>
        </w:rPr>
        <w:t xml:space="preserve"> </w:t>
      </w:r>
      <w:r w:rsidRPr="00681B7F">
        <w:rPr>
          <w:sz w:val="22"/>
          <w:szCs w:val="22"/>
        </w:rPr>
        <w:t>actions were taken by the licensee.</w:t>
      </w:r>
    </w:p>
    <w:p w:rsidR="00681B7F" w:rsidRPr="00681B7F" w:rsidP="00681B7F" w14:paraId="3D17CF0D" w14:textId="77777777">
      <w:pPr>
        <w:pStyle w:val="Default"/>
        <w:rPr>
          <w:sz w:val="22"/>
          <w:szCs w:val="22"/>
        </w:rPr>
      </w:pPr>
    </w:p>
    <w:p w:rsidR="00681B7F" w:rsidRPr="00681B7F" w:rsidP="00681B7F" w14:paraId="21202196" w14:textId="77777777">
      <w:pPr>
        <w:pStyle w:val="Default"/>
        <w:rPr>
          <w:sz w:val="22"/>
          <w:szCs w:val="22"/>
        </w:rPr>
      </w:pPr>
      <w:r w:rsidRPr="005B07D3">
        <w:rPr>
          <w:sz w:val="22"/>
          <w:szCs w:val="22"/>
          <w:u w:val="single"/>
        </w:rPr>
        <w:t>10 CFR 20.2201(d)</w:t>
      </w:r>
      <w:r w:rsidRPr="00681B7F">
        <w:rPr>
          <w:sz w:val="22"/>
          <w:szCs w:val="22"/>
        </w:rPr>
        <w:t xml:space="preserve"> requires the licensees to report any additional information relevant to the</w:t>
      </w:r>
    </w:p>
    <w:p w:rsidR="00681B7F" w:rsidRPr="00681B7F" w:rsidP="00681B7F" w14:paraId="68B54BA2" w14:textId="77777777">
      <w:pPr>
        <w:pStyle w:val="Default"/>
        <w:rPr>
          <w:sz w:val="22"/>
          <w:szCs w:val="22"/>
        </w:rPr>
      </w:pPr>
      <w:r w:rsidRPr="00681B7F">
        <w:rPr>
          <w:sz w:val="22"/>
          <w:szCs w:val="22"/>
        </w:rPr>
        <w:t>loss of radioactive material, discovered subsequent to the written report, be submitted within 30</w:t>
      </w:r>
    </w:p>
    <w:p w:rsidR="00681B7F" w:rsidRPr="00681B7F" w:rsidP="00681B7F" w14:paraId="0E238562" w14:textId="77777777">
      <w:pPr>
        <w:pStyle w:val="Default"/>
        <w:rPr>
          <w:sz w:val="22"/>
          <w:szCs w:val="22"/>
        </w:rPr>
      </w:pPr>
      <w:r w:rsidRPr="00681B7F">
        <w:rPr>
          <w:sz w:val="22"/>
          <w:szCs w:val="22"/>
        </w:rPr>
        <w:t>days of discovery. This is needed to ensure that the actions were taken to protect the health</w:t>
      </w:r>
    </w:p>
    <w:p w:rsidR="00681B7F" w:rsidP="00681B7F" w14:paraId="1A7BA330" w14:textId="03C0B9ED">
      <w:pPr>
        <w:pStyle w:val="Default"/>
        <w:rPr>
          <w:sz w:val="22"/>
          <w:szCs w:val="22"/>
        </w:rPr>
      </w:pPr>
      <w:r w:rsidRPr="00681B7F">
        <w:rPr>
          <w:sz w:val="22"/>
          <w:szCs w:val="22"/>
        </w:rPr>
        <w:t>and safety of workers and the public are based on complete information regarding the event.</w:t>
      </w:r>
    </w:p>
    <w:p w:rsidR="00CC69F6" w:rsidP="00CC69F6" w14:paraId="602E7B5F" w14:textId="77777777">
      <w:pPr>
        <w:rPr>
          <w:rFonts w:ascii="Arial" w:hAnsi="Arial"/>
          <w:sz w:val="22"/>
        </w:rPr>
      </w:pPr>
    </w:p>
    <w:p w:rsidR="00112E85" w:rsidP="00112E85" w14:paraId="0085F153" w14:textId="77777777">
      <w:pPr>
        <w:widowControl/>
        <w:rPr>
          <w:rFonts w:ascii="Arial" w:hAnsi="Arial" w:cs="Arial"/>
          <w:sz w:val="22"/>
          <w:szCs w:val="22"/>
        </w:rPr>
      </w:pPr>
      <w:r w:rsidRPr="005B07D3">
        <w:rPr>
          <w:rFonts w:ascii="Arial" w:hAnsi="Arial" w:cs="Arial"/>
          <w:sz w:val="22"/>
          <w:szCs w:val="22"/>
          <w:u w:val="single"/>
        </w:rPr>
        <w:t>10 CFR 20.2203(a)</w:t>
      </w:r>
      <w:r>
        <w:rPr>
          <w:rFonts w:ascii="Arial" w:hAnsi="Arial" w:cs="Arial"/>
          <w:sz w:val="22"/>
          <w:szCs w:val="22"/>
        </w:rPr>
        <w:t xml:space="preserve"> establishes that, in addition to the notification required by 10 CFR 20.2202,</w:t>
      </w:r>
    </w:p>
    <w:p w:rsidR="00112E85" w:rsidP="00112E85" w14:paraId="2D87A05F" w14:textId="77777777">
      <w:pPr>
        <w:widowControl/>
        <w:rPr>
          <w:rFonts w:ascii="Arial" w:hAnsi="Arial" w:cs="Arial"/>
          <w:sz w:val="22"/>
          <w:szCs w:val="22"/>
        </w:rPr>
      </w:pPr>
      <w:r>
        <w:rPr>
          <w:rFonts w:ascii="Arial" w:hAnsi="Arial" w:cs="Arial"/>
          <w:sz w:val="22"/>
          <w:szCs w:val="22"/>
        </w:rPr>
        <w:t>each licensee is required to submit a written report within 30 days after learning of specific</w:t>
      </w:r>
    </w:p>
    <w:p w:rsidR="00112E85" w:rsidP="00112E85" w14:paraId="47201E3A" w14:textId="77777777">
      <w:pPr>
        <w:widowControl/>
        <w:rPr>
          <w:rFonts w:ascii="Arial" w:hAnsi="Arial" w:cs="Arial"/>
          <w:sz w:val="22"/>
          <w:szCs w:val="22"/>
        </w:rPr>
      </w:pPr>
      <w:r>
        <w:rPr>
          <w:rFonts w:ascii="Arial" w:hAnsi="Arial" w:cs="Arial"/>
          <w:sz w:val="22"/>
          <w:szCs w:val="22"/>
        </w:rPr>
        <w:t>incidents involving doses or concentrations of radioactive materials in excess of limits. This is</w:t>
      </w:r>
    </w:p>
    <w:p w:rsidR="00112E85" w:rsidP="00112E85" w14:paraId="36346183" w14:textId="77777777">
      <w:pPr>
        <w:widowControl/>
        <w:rPr>
          <w:rFonts w:ascii="Arial" w:hAnsi="Arial" w:cs="Arial"/>
          <w:sz w:val="22"/>
          <w:szCs w:val="22"/>
        </w:rPr>
      </w:pPr>
      <w:r>
        <w:rPr>
          <w:rFonts w:ascii="Arial" w:hAnsi="Arial" w:cs="Arial"/>
          <w:sz w:val="22"/>
          <w:szCs w:val="22"/>
        </w:rPr>
        <w:t>needed to ensure that there are appropriate follow-up actions to avoid a recurrence.</w:t>
      </w:r>
    </w:p>
    <w:p w:rsidR="00112E85" w:rsidP="00112E85" w14:paraId="5E320DF4" w14:textId="77777777">
      <w:pPr>
        <w:widowControl/>
        <w:rPr>
          <w:rFonts w:ascii="Arial" w:hAnsi="Arial" w:cs="Arial"/>
          <w:sz w:val="22"/>
          <w:szCs w:val="22"/>
        </w:rPr>
      </w:pPr>
    </w:p>
    <w:p w:rsidR="00112E85" w:rsidP="00112E85" w14:paraId="128DB6DC" w14:textId="624723B7">
      <w:pPr>
        <w:widowControl/>
        <w:rPr>
          <w:rFonts w:ascii="Arial" w:hAnsi="Arial" w:cs="Arial"/>
          <w:sz w:val="22"/>
          <w:szCs w:val="22"/>
        </w:rPr>
      </w:pPr>
      <w:r w:rsidRPr="005B07D3">
        <w:rPr>
          <w:rFonts w:ascii="Arial" w:hAnsi="Arial" w:cs="Arial"/>
          <w:sz w:val="22"/>
          <w:szCs w:val="22"/>
          <w:u w:val="single"/>
        </w:rPr>
        <w:t>10 CFR 20.2203(b)</w:t>
      </w:r>
      <w:r>
        <w:rPr>
          <w:rFonts w:ascii="Arial" w:hAnsi="Arial" w:cs="Arial"/>
          <w:sz w:val="22"/>
          <w:szCs w:val="22"/>
        </w:rPr>
        <w:t xml:space="preserve"> contains the requirements for the content of reports required by 10 CFR</w:t>
      </w:r>
    </w:p>
    <w:p w:rsidR="00CC69F6" w:rsidP="00112E85" w14:paraId="723FE6D7" w14:textId="61ACC859">
      <w:pPr>
        <w:rPr>
          <w:rFonts w:ascii="Arial" w:hAnsi="Arial"/>
          <w:sz w:val="22"/>
        </w:rPr>
      </w:pPr>
      <w:r>
        <w:rPr>
          <w:rFonts w:ascii="Arial" w:hAnsi="Arial" w:cs="Arial"/>
          <w:sz w:val="22"/>
          <w:szCs w:val="22"/>
        </w:rPr>
        <w:t>20.2203(a).</w:t>
      </w:r>
    </w:p>
    <w:p w:rsidR="00CC69F6" w:rsidP="00CC69F6" w14:paraId="070B50DE" w14:textId="77777777">
      <w:pPr>
        <w:rPr>
          <w:rFonts w:ascii="Arial" w:hAnsi="Arial" w:cs="Arial"/>
          <w:sz w:val="22"/>
          <w:szCs w:val="22"/>
        </w:rPr>
      </w:pPr>
      <w:r>
        <w:rPr>
          <w:rFonts w:ascii="Arial" w:hAnsi="Arial" w:cs="Arial"/>
          <w:sz w:val="22"/>
          <w:szCs w:val="22"/>
        </w:rPr>
        <w:br w:type="page"/>
      </w:r>
    </w:p>
    <w:p w:rsidR="00CC69F6" w:rsidP="00CC69F6" w14:paraId="582A1B01" w14:textId="77777777">
      <w:pPr>
        <w:jc w:val="center"/>
        <w:rPr>
          <w:rFonts w:ascii="Arial" w:hAnsi="Arial" w:cs="Arial"/>
          <w:sz w:val="22"/>
          <w:szCs w:val="22"/>
        </w:rPr>
      </w:pPr>
      <w:r>
        <w:rPr>
          <w:rFonts w:ascii="Arial" w:hAnsi="Arial" w:cs="Arial"/>
          <w:sz w:val="22"/>
          <w:szCs w:val="22"/>
        </w:rPr>
        <w:t>GUIDANCE DOCUMENTS FOR INFORMATION COLLECTION REQUIREMENTS</w:t>
      </w:r>
    </w:p>
    <w:p w:rsidR="00CC69F6" w:rsidP="00CC69F6" w14:paraId="625AE4B4"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Pr>
          <w:rFonts w:ascii="Arial" w:hAnsi="Arial" w:cs="Arial"/>
          <w:sz w:val="22"/>
          <w:szCs w:val="22"/>
        </w:rPr>
        <w:t>CONTAINED IN</w:t>
      </w:r>
    </w:p>
    <w:p w:rsidR="00CC69F6" w:rsidP="00CC69F6" w14:paraId="5404CA72" w14:textId="77777777">
      <w:pPr>
        <w:tabs>
          <w:tab w:val="center" w:pos="4680"/>
        </w:tabs>
        <w:jc w:val="center"/>
        <w:rPr>
          <w:rFonts w:ascii="Arial" w:hAnsi="Arial"/>
          <w:sz w:val="22"/>
        </w:rPr>
      </w:pPr>
      <w:r>
        <w:rPr>
          <w:rFonts w:ascii="Arial" w:hAnsi="Arial"/>
          <w:sz w:val="22"/>
        </w:rPr>
        <w:t>NRC FORMS 366, 366A, and 366B, "LICENSEE EVENT REPORT"</w:t>
      </w:r>
    </w:p>
    <w:p w:rsidR="00CC69F6" w:rsidP="00CC69F6" w14:paraId="56D75752" w14:textId="77777777">
      <w:pPr>
        <w:tabs>
          <w:tab w:val="center" w:pos="4680"/>
        </w:tabs>
        <w:jc w:val="center"/>
        <w:rPr>
          <w:rFonts w:ascii="Arial" w:hAnsi="Arial"/>
          <w:sz w:val="22"/>
        </w:rPr>
      </w:pPr>
      <w:r>
        <w:rPr>
          <w:rFonts w:ascii="Arial" w:hAnsi="Arial"/>
          <w:sz w:val="22"/>
        </w:rPr>
        <w:t>10 CFR Part 50.73</w:t>
      </w:r>
    </w:p>
    <w:p w:rsidR="00CC69F6" w:rsidP="00CC69F6" w14:paraId="1E3DD1D0" w14:textId="77777777">
      <w:pPr>
        <w:jc w:val="center"/>
        <w:rPr>
          <w:rFonts w:ascii="Arial" w:hAnsi="Arial" w:cs="Arial"/>
          <w:sz w:val="22"/>
          <w:szCs w:val="22"/>
        </w:rPr>
      </w:pPr>
    </w:p>
    <w:p w:rsidR="00CC69F6" w:rsidP="00CC69F6" w14:paraId="44A6D70E"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p>
    <w:tbl>
      <w:tblPr>
        <w:tblStyle w:val="TableGrid"/>
        <w:tblW w:w="0" w:type="auto"/>
        <w:tblLook w:val="04A0"/>
      </w:tblPr>
      <w:tblGrid>
        <w:gridCol w:w="4677"/>
        <w:gridCol w:w="4673"/>
      </w:tblGrid>
      <w:tr w14:paraId="05E7159B" w14:textId="77777777" w:rsidTr="00163167">
        <w:tblPrEx>
          <w:tblW w:w="0" w:type="auto"/>
          <w:tblLook w:val="04A0"/>
        </w:tblPrEx>
        <w:tc>
          <w:tcPr>
            <w:tcW w:w="4677" w:type="dxa"/>
          </w:tcPr>
          <w:p w:rsidR="00CC69F6" w:rsidP="00163167" w14:paraId="4F94FA4B"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Pr>
                <w:rFonts w:ascii="Arial" w:hAnsi="Arial" w:cs="Arial"/>
                <w:sz w:val="22"/>
                <w:szCs w:val="22"/>
              </w:rPr>
              <w:t>Title</w:t>
            </w:r>
          </w:p>
        </w:tc>
        <w:tc>
          <w:tcPr>
            <w:tcW w:w="4673" w:type="dxa"/>
          </w:tcPr>
          <w:p w:rsidR="00CC69F6" w:rsidP="00163167" w14:paraId="2152F0A8"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Pr>
                <w:rFonts w:ascii="Arial" w:hAnsi="Arial" w:cs="Arial"/>
                <w:sz w:val="22"/>
                <w:szCs w:val="22"/>
              </w:rPr>
              <w:t>Accession number</w:t>
            </w:r>
          </w:p>
        </w:tc>
      </w:tr>
      <w:tr w14:paraId="0C016BEE" w14:textId="77777777" w:rsidTr="00163167">
        <w:tblPrEx>
          <w:tblW w:w="0" w:type="auto"/>
          <w:tblLook w:val="04A0"/>
        </w:tblPrEx>
        <w:tc>
          <w:tcPr>
            <w:tcW w:w="4677" w:type="dxa"/>
          </w:tcPr>
          <w:p w:rsidR="00CC69F6" w:rsidP="00163167" w14:paraId="0D34941C"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NUREG-1022 Rev. 3 "Event Report Guidelines: 10 CFR 50.72 and 50.73</w:t>
            </w:r>
          </w:p>
        </w:tc>
        <w:tc>
          <w:tcPr>
            <w:tcW w:w="4673" w:type="dxa"/>
          </w:tcPr>
          <w:p w:rsidR="00CC69F6" w:rsidP="00163167" w14:paraId="35229D83"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ML13032A220</w:t>
            </w:r>
          </w:p>
        </w:tc>
      </w:tr>
    </w:tbl>
    <w:p w:rsidR="00CC69F6" w:rsidP="00CC69F6" w14:paraId="2D964BEC" w14:textId="77777777"/>
    <w:p w:rsidR="00CC69F6" w:rsidP="00CC69F6" w14:paraId="79EB7AFE" w14:textId="77777777">
      <w:pPr>
        <w:spacing w:line="0" w:lineRule="atLeast"/>
      </w:pPr>
    </w:p>
    <w:p w:rsidR="00CC69F6" w:rsidRPr="00B004E5" w:rsidP="00CC69F6" w14:paraId="59DA4F71" w14:textId="77777777">
      <w:pPr>
        <w:widowControl/>
        <w:rPr>
          <w:rFonts w:ascii="Arial" w:hAnsi="Arial" w:cs="Arial"/>
          <w:color w:val="000000" w:themeColor="text1"/>
          <w:sz w:val="22"/>
          <w:szCs w:val="22"/>
        </w:rPr>
      </w:pPr>
    </w:p>
    <w:p w:rsidR="00C92DA5" w:rsidRPr="00B004E5" w:rsidP="000C141A" w14:paraId="06786E55" w14:textId="390C006D">
      <w:pPr>
        <w:widowControl/>
        <w:rPr>
          <w:rFonts w:ascii="Arial" w:hAnsi="Arial" w:cs="Arial"/>
          <w:color w:val="000000" w:themeColor="text1"/>
          <w:sz w:val="22"/>
          <w:szCs w:val="22"/>
        </w:rPr>
      </w:pPr>
    </w:p>
    <w:sectPr w:rsidSect="00C9088E">
      <w:pgSz w:w="12240" w:h="15840" w:code="1"/>
      <w:pgMar w:top="1440" w:right="1440" w:bottom="1440" w:left="144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A2949CA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name w:val="AutoList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3">
    <w:nsid w:val="29A00D56"/>
    <w:multiLevelType w:val="hybridMultilevel"/>
    <w:tmpl w:val="FD147500"/>
    <w:lvl w:ilvl="0">
      <w:start w:val="8"/>
      <w:numFmt w:val="decimal"/>
      <w:lvlText w:val="%1."/>
      <w:lvlJc w:val="left"/>
      <w:pPr>
        <w:tabs>
          <w:tab w:val="num" w:pos="720"/>
        </w:tabs>
        <w:ind w:left="720" w:hanging="720"/>
      </w:pPr>
      <w:rPr>
        <w:rFonts w:hint="default"/>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2E854F28"/>
    <w:multiLevelType w:val="multilevel"/>
    <w:tmpl w:val="F0822BC0"/>
    <w:lvl w:ilvl="0">
      <w:start w:val="1"/>
      <w:numFmt w:val="bullet"/>
      <w:lvlText w:val=""/>
      <w:lvlJc w:val="left"/>
      <w:pPr>
        <w:tabs>
          <w:tab w:val="num" w:pos="2880"/>
        </w:tabs>
        <w:ind w:left="288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nsid w:val="360D50EA"/>
    <w:multiLevelType w:val="hybridMultilevel"/>
    <w:tmpl w:val="E9644E6E"/>
    <w:lvl w:ilvl="0">
      <w:start w:val="1"/>
      <w:numFmt w:val="bullet"/>
      <w:lvlText w:val=""/>
      <w:lvlJc w:val="left"/>
      <w:pPr>
        <w:tabs>
          <w:tab w:val="num" w:pos="2887"/>
        </w:tabs>
        <w:ind w:left="2887" w:hanging="360"/>
      </w:pPr>
      <w:rPr>
        <w:rFonts w:ascii="Symbol" w:hAnsi="Symbol" w:hint="default"/>
      </w:rPr>
    </w:lvl>
    <w:lvl w:ilvl="1" w:tentative="1">
      <w:start w:val="1"/>
      <w:numFmt w:val="bullet"/>
      <w:lvlText w:val="o"/>
      <w:lvlJc w:val="left"/>
      <w:pPr>
        <w:tabs>
          <w:tab w:val="num" w:pos="3607"/>
        </w:tabs>
        <w:ind w:left="3607" w:hanging="360"/>
      </w:pPr>
      <w:rPr>
        <w:rFonts w:ascii="Courier New" w:hAnsi="Courier New" w:cs="Courier New" w:hint="default"/>
      </w:rPr>
    </w:lvl>
    <w:lvl w:ilvl="2" w:tentative="1">
      <w:start w:val="1"/>
      <w:numFmt w:val="bullet"/>
      <w:lvlText w:val=""/>
      <w:lvlJc w:val="left"/>
      <w:pPr>
        <w:tabs>
          <w:tab w:val="num" w:pos="4327"/>
        </w:tabs>
        <w:ind w:left="4327" w:hanging="360"/>
      </w:pPr>
      <w:rPr>
        <w:rFonts w:ascii="Wingdings" w:hAnsi="Wingdings" w:hint="default"/>
      </w:rPr>
    </w:lvl>
    <w:lvl w:ilvl="3" w:tentative="1">
      <w:start w:val="1"/>
      <w:numFmt w:val="bullet"/>
      <w:lvlText w:val=""/>
      <w:lvlJc w:val="left"/>
      <w:pPr>
        <w:tabs>
          <w:tab w:val="num" w:pos="5047"/>
        </w:tabs>
        <w:ind w:left="5047" w:hanging="360"/>
      </w:pPr>
      <w:rPr>
        <w:rFonts w:ascii="Symbol" w:hAnsi="Symbol" w:hint="default"/>
      </w:rPr>
    </w:lvl>
    <w:lvl w:ilvl="4" w:tentative="1">
      <w:start w:val="1"/>
      <w:numFmt w:val="bullet"/>
      <w:lvlText w:val="o"/>
      <w:lvlJc w:val="left"/>
      <w:pPr>
        <w:tabs>
          <w:tab w:val="num" w:pos="5767"/>
        </w:tabs>
        <w:ind w:left="5767" w:hanging="360"/>
      </w:pPr>
      <w:rPr>
        <w:rFonts w:ascii="Courier New" w:hAnsi="Courier New" w:cs="Courier New" w:hint="default"/>
      </w:rPr>
    </w:lvl>
    <w:lvl w:ilvl="5" w:tentative="1">
      <w:start w:val="1"/>
      <w:numFmt w:val="bullet"/>
      <w:lvlText w:val=""/>
      <w:lvlJc w:val="left"/>
      <w:pPr>
        <w:tabs>
          <w:tab w:val="num" w:pos="6487"/>
        </w:tabs>
        <w:ind w:left="6487" w:hanging="360"/>
      </w:pPr>
      <w:rPr>
        <w:rFonts w:ascii="Wingdings" w:hAnsi="Wingdings" w:hint="default"/>
      </w:rPr>
    </w:lvl>
    <w:lvl w:ilvl="6" w:tentative="1">
      <w:start w:val="1"/>
      <w:numFmt w:val="bullet"/>
      <w:lvlText w:val=""/>
      <w:lvlJc w:val="left"/>
      <w:pPr>
        <w:tabs>
          <w:tab w:val="num" w:pos="7207"/>
        </w:tabs>
        <w:ind w:left="7207" w:hanging="360"/>
      </w:pPr>
      <w:rPr>
        <w:rFonts w:ascii="Symbol" w:hAnsi="Symbol" w:hint="default"/>
      </w:rPr>
    </w:lvl>
    <w:lvl w:ilvl="7" w:tentative="1">
      <w:start w:val="1"/>
      <w:numFmt w:val="bullet"/>
      <w:lvlText w:val="o"/>
      <w:lvlJc w:val="left"/>
      <w:pPr>
        <w:tabs>
          <w:tab w:val="num" w:pos="7927"/>
        </w:tabs>
        <w:ind w:left="7927" w:hanging="360"/>
      </w:pPr>
      <w:rPr>
        <w:rFonts w:ascii="Courier New" w:hAnsi="Courier New" w:cs="Courier New" w:hint="default"/>
      </w:rPr>
    </w:lvl>
    <w:lvl w:ilvl="8" w:tentative="1">
      <w:start w:val="1"/>
      <w:numFmt w:val="bullet"/>
      <w:lvlText w:val=""/>
      <w:lvlJc w:val="left"/>
      <w:pPr>
        <w:tabs>
          <w:tab w:val="num" w:pos="8647"/>
        </w:tabs>
        <w:ind w:left="8647" w:hanging="360"/>
      </w:pPr>
      <w:rPr>
        <w:rFonts w:ascii="Wingdings" w:hAnsi="Wingdings" w:hint="default"/>
      </w:rPr>
    </w:lvl>
  </w:abstractNum>
  <w:abstractNum w:abstractNumId="6">
    <w:nsid w:val="43444470"/>
    <w:multiLevelType w:val="hybridMultilevel"/>
    <w:tmpl w:val="5F0E04D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474C6442"/>
    <w:multiLevelType w:val="hybridMultilevel"/>
    <w:tmpl w:val="46AEDB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A1057CE"/>
    <w:multiLevelType w:val="hybridMultilevel"/>
    <w:tmpl w:val="043CF32A"/>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9">
    <w:nsid w:val="60F3072D"/>
    <w:multiLevelType w:val="hybridMultilevel"/>
    <w:tmpl w:val="F0822BC0"/>
    <w:lvl w:ilvl="0">
      <w:start w:val="1"/>
      <w:numFmt w:val="bullet"/>
      <w:lvlText w:val=""/>
      <w:lvlJc w:val="left"/>
      <w:pPr>
        <w:tabs>
          <w:tab w:val="num" w:pos="2880"/>
        </w:tabs>
        <w:ind w:left="288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649F67FE"/>
    <w:multiLevelType w:val="hybridMultilevel"/>
    <w:tmpl w:val="9DF2EF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6D5F16E4"/>
    <w:multiLevelType w:val="hybridMultilevel"/>
    <w:tmpl w:val="BB285D1C"/>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12">
    <w:nsid w:val="6E3D61CD"/>
    <w:multiLevelType w:val="hybridMultilevel"/>
    <w:tmpl w:val="E5129250"/>
    <w:lvl w:ilvl="0">
      <w:start w:val="1"/>
      <w:numFmt w:val="lowerLetter"/>
      <w:lvlText w:val="(%1)"/>
      <w:lvlJc w:val="left"/>
      <w:pPr>
        <w:ind w:left="1080" w:hanging="360"/>
      </w:pPr>
      <w:rPr>
        <w:rFonts w:ascii="Arial" w:hAnsi="Arial" w:eastAsiaTheme="minorHAnsi" w:cs="Arial" w:hint="default"/>
        <w:color w:val="auto"/>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71ED51D2"/>
    <w:multiLevelType w:val="hybridMultilevel"/>
    <w:tmpl w:val="5922EF04"/>
    <w:lvl w:ilvl="0">
      <w:start w:val="4"/>
      <w:numFmt w:val="lowerLetter"/>
      <w:lvlText w:val="%1)"/>
      <w:lvlJc w:val="left"/>
      <w:pPr>
        <w:tabs>
          <w:tab w:val="num" w:pos="1440"/>
        </w:tabs>
        <w:ind w:left="1440" w:hanging="720"/>
      </w:pPr>
      <w:rPr>
        <w:rFonts w:ascii="Shruti" w:hAnsi="Shruti" w:cs="Shruti"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735F58D9"/>
    <w:multiLevelType w:val="hybridMultilevel"/>
    <w:tmpl w:val="84B0D6DA"/>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
      <w:lvlJc w:val="left"/>
      <w:pPr>
        <w:tabs>
          <w:tab w:val="num" w:pos="360"/>
        </w:tabs>
        <w:ind w:left="360" w:hanging="360"/>
      </w:pPr>
      <w:rPr>
        <w:rFonts w:ascii="Symbol" w:hAnsi="Symbol" w:hint="default"/>
        <w:color w:val="auto"/>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num w:numId="1" w16cid:durableId="1045835458">
    <w:abstractNumId w:val="13"/>
  </w:num>
  <w:num w:numId="2" w16cid:durableId="144978542">
    <w:abstractNumId w:val="9"/>
  </w:num>
  <w:num w:numId="3" w16cid:durableId="738134996">
    <w:abstractNumId w:val="8"/>
  </w:num>
  <w:num w:numId="4" w16cid:durableId="1684089553">
    <w:abstractNumId w:val="4"/>
  </w:num>
  <w:num w:numId="5" w16cid:durableId="1743526425">
    <w:abstractNumId w:val="14"/>
  </w:num>
  <w:num w:numId="6" w16cid:durableId="807238972">
    <w:abstractNumId w:val="3"/>
  </w:num>
  <w:num w:numId="7" w16cid:durableId="923492963">
    <w:abstractNumId w:val="11"/>
  </w:num>
  <w:num w:numId="8" w16cid:durableId="27410500">
    <w:abstractNumId w:val="6"/>
  </w:num>
  <w:num w:numId="9" w16cid:durableId="108360178">
    <w:abstractNumId w:val="0"/>
  </w:num>
  <w:num w:numId="10" w16cid:durableId="1355501700">
    <w:abstractNumId w:val="12"/>
  </w:num>
  <w:num w:numId="11" w16cid:durableId="16784293">
    <w:abstractNumId w:val="7"/>
  </w:num>
  <w:num w:numId="12" w16cid:durableId="1617521050">
    <w:abstractNumId w:val="10"/>
  </w:num>
  <w:num w:numId="13" w16cid:durableId="945974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B50"/>
    <w:rsid w:val="000016A4"/>
    <w:rsid w:val="000029E9"/>
    <w:rsid w:val="00003FC5"/>
    <w:rsid w:val="00005E7E"/>
    <w:rsid w:val="00012EC5"/>
    <w:rsid w:val="00013C1C"/>
    <w:rsid w:val="00014C89"/>
    <w:rsid w:val="00016FC3"/>
    <w:rsid w:val="0002057E"/>
    <w:rsid w:val="00025C64"/>
    <w:rsid w:val="00026E79"/>
    <w:rsid w:val="00030867"/>
    <w:rsid w:val="00031E92"/>
    <w:rsid w:val="00034944"/>
    <w:rsid w:val="0003537D"/>
    <w:rsid w:val="000376DF"/>
    <w:rsid w:val="000412C7"/>
    <w:rsid w:val="00041A7B"/>
    <w:rsid w:val="00043857"/>
    <w:rsid w:val="00043B40"/>
    <w:rsid w:val="000459CE"/>
    <w:rsid w:val="00046E88"/>
    <w:rsid w:val="00047677"/>
    <w:rsid w:val="00047958"/>
    <w:rsid w:val="0005042D"/>
    <w:rsid w:val="00053E4B"/>
    <w:rsid w:val="00054A33"/>
    <w:rsid w:val="00060C12"/>
    <w:rsid w:val="000628A3"/>
    <w:rsid w:val="000637B3"/>
    <w:rsid w:val="0006408A"/>
    <w:rsid w:val="00066D1D"/>
    <w:rsid w:val="0006709E"/>
    <w:rsid w:val="00074ADF"/>
    <w:rsid w:val="00074FE8"/>
    <w:rsid w:val="00076C75"/>
    <w:rsid w:val="0007747F"/>
    <w:rsid w:val="00077A50"/>
    <w:rsid w:val="00080122"/>
    <w:rsid w:val="00081D22"/>
    <w:rsid w:val="00082B28"/>
    <w:rsid w:val="0008392E"/>
    <w:rsid w:val="000839F6"/>
    <w:rsid w:val="00084D76"/>
    <w:rsid w:val="00085B3A"/>
    <w:rsid w:val="00087721"/>
    <w:rsid w:val="00093024"/>
    <w:rsid w:val="000930C3"/>
    <w:rsid w:val="00093CA8"/>
    <w:rsid w:val="000952D8"/>
    <w:rsid w:val="00096552"/>
    <w:rsid w:val="000A1090"/>
    <w:rsid w:val="000A1CD0"/>
    <w:rsid w:val="000A355A"/>
    <w:rsid w:val="000A3AF2"/>
    <w:rsid w:val="000A40BD"/>
    <w:rsid w:val="000A4136"/>
    <w:rsid w:val="000A7A4B"/>
    <w:rsid w:val="000B0BEA"/>
    <w:rsid w:val="000B0F1F"/>
    <w:rsid w:val="000B2332"/>
    <w:rsid w:val="000B2D70"/>
    <w:rsid w:val="000B3306"/>
    <w:rsid w:val="000B3934"/>
    <w:rsid w:val="000B49DD"/>
    <w:rsid w:val="000B5CCB"/>
    <w:rsid w:val="000B783F"/>
    <w:rsid w:val="000C0C7D"/>
    <w:rsid w:val="000C141A"/>
    <w:rsid w:val="000C20C8"/>
    <w:rsid w:val="000C35E0"/>
    <w:rsid w:val="000C3B32"/>
    <w:rsid w:val="000C432F"/>
    <w:rsid w:val="000C6722"/>
    <w:rsid w:val="000D287F"/>
    <w:rsid w:val="000D3774"/>
    <w:rsid w:val="000D6E88"/>
    <w:rsid w:val="000D7C27"/>
    <w:rsid w:val="000E0A1F"/>
    <w:rsid w:val="000E4015"/>
    <w:rsid w:val="000E517F"/>
    <w:rsid w:val="000E7CE5"/>
    <w:rsid w:val="000E7EBB"/>
    <w:rsid w:val="000F114C"/>
    <w:rsid w:val="000F3062"/>
    <w:rsid w:val="000F6EF7"/>
    <w:rsid w:val="00100403"/>
    <w:rsid w:val="0010159C"/>
    <w:rsid w:val="00102B2C"/>
    <w:rsid w:val="00105742"/>
    <w:rsid w:val="00105FDC"/>
    <w:rsid w:val="00106E57"/>
    <w:rsid w:val="00106F9D"/>
    <w:rsid w:val="001106E0"/>
    <w:rsid w:val="00112E85"/>
    <w:rsid w:val="00113583"/>
    <w:rsid w:val="00115802"/>
    <w:rsid w:val="00116CA0"/>
    <w:rsid w:val="001201E1"/>
    <w:rsid w:val="00120B4D"/>
    <w:rsid w:val="00122E4E"/>
    <w:rsid w:val="00124A52"/>
    <w:rsid w:val="00124D57"/>
    <w:rsid w:val="00125324"/>
    <w:rsid w:val="00125C4B"/>
    <w:rsid w:val="0012728C"/>
    <w:rsid w:val="00127910"/>
    <w:rsid w:val="001317CA"/>
    <w:rsid w:val="0013183C"/>
    <w:rsid w:val="00132252"/>
    <w:rsid w:val="0013239E"/>
    <w:rsid w:val="00133DEE"/>
    <w:rsid w:val="001345BA"/>
    <w:rsid w:val="00134F1A"/>
    <w:rsid w:val="00141392"/>
    <w:rsid w:val="001415E4"/>
    <w:rsid w:val="00142AD1"/>
    <w:rsid w:val="001441A2"/>
    <w:rsid w:val="00144D4A"/>
    <w:rsid w:val="00151784"/>
    <w:rsid w:val="001540DE"/>
    <w:rsid w:val="001541F0"/>
    <w:rsid w:val="00162DC8"/>
    <w:rsid w:val="00163167"/>
    <w:rsid w:val="0016347D"/>
    <w:rsid w:val="00165D17"/>
    <w:rsid w:val="00166497"/>
    <w:rsid w:val="00166ADA"/>
    <w:rsid w:val="001678A7"/>
    <w:rsid w:val="0017173E"/>
    <w:rsid w:val="001721D5"/>
    <w:rsid w:val="00172EA9"/>
    <w:rsid w:val="00172FCF"/>
    <w:rsid w:val="00174D74"/>
    <w:rsid w:val="0017514A"/>
    <w:rsid w:val="001771D2"/>
    <w:rsid w:val="001773EE"/>
    <w:rsid w:val="00177A5B"/>
    <w:rsid w:val="00180AA5"/>
    <w:rsid w:val="00180C50"/>
    <w:rsid w:val="00181DC2"/>
    <w:rsid w:val="00186576"/>
    <w:rsid w:val="00186876"/>
    <w:rsid w:val="0018747E"/>
    <w:rsid w:val="001914AD"/>
    <w:rsid w:val="00191761"/>
    <w:rsid w:val="0019257A"/>
    <w:rsid w:val="00194D91"/>
    <w:rsid w:val="00195553"/>
    <w:rsid w:val="00197FC9"/>
    <w:rsid w:val="001A04BB"/>
    <w:rsid w:val="001A45C4"/>
    <w:rsid w:val="001A5758"/>
    <w:rsid w:val="001A78D9"/>
    <w:rsid w:val="001B1AAE"/>
    <w:rsid w:val="001B3554"/>
    <w:rsid w:val="001B426F"/>
    <w:rsid w:val="001B5676"/>
    <w:rsid w:val="001B60FC"/>
    <w:rsid w:val="001B6F55"/>
    <w:rsid w:val="001C0CBF"/>
    <w:rsid w:val="001C2B10"/>
    <w:rsid w:val="001C44A1"/>
    <w:rsid w:val="001C6FAD"/>
    <w:rsid w:val="001C74E2"/>
    <w:rsid w:val="001C7806"/>
    <w:rsid w:val="001D0D1D"/>
    <w:rsid w:val="001D4739"/>
    <w:rsid w:val="001D49B1"/>
    <w:rsid w:val="001D5221"/>
    <w:rsid w:val="001D7398"/>
    <w:rsid w:val="001E11F2"/>
    <w:rsid w:val="001E1865"/>
    <w:rsid w:val="001E1F14"/>
    <w:rsid w:val="001E456F"/>
    <w:rsid w:val="001E57DC"/>
    <w:rsid w:val="001F22BF"/>
    <w:rsid w:val="001F40FA"/>
    <w:rsid w:val="001F437A"/>
    <w:rsid w:val="001F52A4"/>
    <w:rsid w:val="001F628A"/>
    <w:rsid w:val="001F714E"/>
    <w:rsid w:val="002002D7"/>
    <w:rsid w:val="00200F87"/>
    <w:rsid w:val="00201D8C"/>
    <w:rsid w:val="002034FB"/>
    <w:rsid w:val="002036F2"/>
    <w:rsid w:val="00204049"/>
    <w:rsid w:val="00205C9A"/>
    <w:rsid w:val="00207C7D"/>
    <w:rsid w:val="00207F13"/>
    <w:rsid w:val="00210DF3"/>
    <w:rsid w:val="002132FB"/>
    <w:rsid w:val="00214084"/>
    <w:rsid w:val="00214456"/>
    <w:rsid w:val="0021469A"/>
    <w:rsid w:val="00215E42"/>
    <w:rsid w:val="0021619E"/>
    <w:rsid w:val="00216EA0"/>
    <w:rsid w:val="00217AE7"/>
    <w:rsid w:val="0022086E"/>
    <w:rsid w:val="00220B95"/>
    <w:rsid w:val="0022136D"/>
    <w:rsid w:val="002269D2"/>
    <w:rsid w:val="00227218"/>
    <w:rsid w:val="0023032F"/>
    <w:rsid w:val="00230B0E"/>
    <w:rsid w:val="002326B9"/>
    <w:rsid w:val="00234C2A"/>
    <w:rsid w:val="00234CD3"/>
    <w:rsid w:val="0024463A"/>
    <w:rsid w:val="0024586E"/>
    <w:rsid w:val="002458B1"/>
    <w:rsid w:val="00247D7F"/>
    <w:rsid w:val="00254996"/>
    <w:rsid w:val="0025507C"/>
    <w:rsid w:val="00260C4E"/>
    <w:rsid w:val="00262372"/>
    <w:rsid w:val="00263B31"/>
    <w:rsid w:val="0026417D"/>
    <w:rsid w:val="0026589E"/>
    <w:rsid w:val="00267734"/>
    <w:rsid w:val="00273661"/>
    <w:rsid w:val="00275186"/>
    <w:rsid w:val="00275CEF"/>
    <w:rsid w:val="00276626"/>
    <w:rsid w:val="00276B18"/>
    <w:rsid w:val="0028128F"/>
    <w:rsid w:val="002904BE"/>
    <w:rsid w:val="002949EA"/>
    <w:rsid w:val="00296CC8"/>
    <w:rsid w:val="00297B95"/>
    <w:rsid w:val="002A2C8A"/>
    <w:rsid w:val="002A37A8"/>
    <w:rsid w:val="002A4CFC"/>
    <w:rsid w:val="002A5091"/>
    <w:rsid w:val="002A58A6"/>
    <w:rsid w:val="002A787F"/>
    <w:rsid w:val="002B08ED"/>
    <w:rsid w:val="002B10F3"/>
    <w:rsid w:val="002B1B50"/>
    <w:rsid w:val="002B3FA3"/>
    <w:rsid w:val="002B4552"/>
    <w:rsid w:val="002C0A63"/>
    <w:rsid w:val="002C4F00"/>
    <w:rsid w:val="002C545E"/>
    <w:rsid w:val="002C5847"/>
    <w:rsid w:val="002C685F"/>
    <w:rsid w:val="002C6D4E"/>
    <w:rsid w:val="002C7B10"/>
    <w:rsid w:val="002C7EDB"/>
    <w:rsid w:val="002D3BAF"/>
    <w:rsid w:val="002D6065"/>
    <w:rsid w:val="002E0172"/>
    <w:rsid w:val="002E0498"/>
    <w:rsid w:val="002E17CA"/>
    <w:rsid w:val="002E1959"/>
    <w:rsid w:val="002E19A6"/>
    <w:rsid w:val="002E2CC5"/>
    <w:rsid w:val="002E337F"/>
    <w:rsid w:val="002E70CC"/>
    <w:rsid w:val="002E787B"/>
    <w:rsid w:val="002F1996"/>
    <w:rsid w:val="002F20D7"/>
    <w:rsid w:val="002F41B7"/>
    <w:rsid w:val="002F43EC"/>
    <w:rsid w:val="002F47DA"/>
    <w:rsid w:val="002F5501"/>
    <w:rsid w:val="002F7AA8"/>
    <w:rsid w:val="002F7CC5"/>
    <w:rsid w:val="00300F3F"/>
    <w:rsid w:val="00302F94"/>
    <w:rsid w:val="00307AF5"/>
    <w:rsid w:val="00307F21"/>
    <w:rsid w:val="003103C1"/>
    <w:rsid w:val="00311AB4"/>
    <w:rsid w:val="00312396"/>
    <w:rsid w:val="003131ED"/>
    <w:rsid w:val="00313ECD"/>
    <w:rsid w:val="003144E5"/>
    <w:rsid w:val="0031522D"/>
    <w:rsid w:val="0031534D"/>
    <w:rsid w:val="003157E4"/>
    <w:rsid w:val="00321140"/>
    <w:rsid w:val="00321CF2"/>
    <w:rsid w:val="00323652"/>
    <w:rsid w:val="00323F18"/>
    <w:rsid w:val="00326FA5"/>
    <w:rsid w:val="0032778E"/>
    <w:rsid w:val="00327BE0"/>
    <w:rsid w:val="003301B0"/>
    <w:rsid w:val="003316D5"/>
    <w:rsid w:val="00331896"/>
    <w:rsid w:val="00335425"/>
    <w:rsid w:val="00336134"/>
    <w:rsid w:val="00336F88"/>
    <w:rsid w:val="00341379"/>
    <w:rsid w:val="00342093"/>
    <w:rsid w:val="00343C25"/>
    <w:rsid w:val="0034538A"/>
    <w:rsid w:val="003455D1"/>
    <w:rsid w:val="00346FA2"/>
    <w:rsid w:val="003475FD"/>
    <w:rsid w:val="003509B7"/>
    <w:rsid w:val="003518BE"/>
    <w:rsid w:val="003551D7"/>
    <w:rsid w:val="0036293E"/>
    <w:rsid w:val="00364017"/>
    <w:rsid w:val="00365881"/>
    <w:rsid w:val="00371762"/>
    <w:rsid w:val="0037294F"/>
    <w:rsid w:val="00374528"/>
    <w:rsid w:val="0037484E"/>
    <w:rsid w:val="00374C2A"/>
    <w:rsid w:val="003773B8"/>
    <w:rsid w:val="00377B8D"/>
    <w:rsid w:val="003811F0"/>
    <w:rsid w:val="003813FE"/>
    <w:rsid w:val="00383668"/>
    <w:rsid w:val="00385778"/>
    <w:rsid w:val="00386457"/>
    <w:rsid w:val="003879D3"/>
    <w:rsid w:val="003905D3"/>
    <w:rsid w:val="00392378"/>
    <w:rsid w:val="003950A4"/>
    <w:rsid w:val="00395A46"/>
    <w:rsid w:val="00395E72"/>
    <w:rsid w:val="003A1CD5"/>
    <w:rsid w:val="003A241C"/>
    <w:rsid w:val="003A40B5"/>
    <w:rsid w:val="003A4F20"/>
    <w:rsid w:val="003A5393"/>
    <w:rsid w:val="003B1DF3"/>
    <w:rsid w:val="003C1179"/>
    <w:rsid w:val="003C3398"/>
    <w:rsid w:val="003C4790"/>
    <w:rsid w:val="003C74E9"/>
    <w:rsid w:val="003D03B4"/>
    <w:rsid w:val="003D1027"/>
    <w:rsid w:val="003D1127"/>
    <w:rsid w:val="003D2677"/>
    <w:rsid w:val="003D3317"/>
    <w:rsid w:val="003D4F93"/>
    <w:rsid w:val="003D5AB5"/>
    <w:rsid w:val="003D5FD7"/>
    <w:rsid w:val="003D618B"/>
    <w:rsid w:val="003D7121"/>
    <w:rsid w:val="003E05C4"/>
    <w:rsid w:val="003E0D49"/>
    <w:rsid w:val="003E460F"/>
    <w:rsid w:val="003E5476"/>
    <w:rsid w:val="003E5D1E"/>
    <w:rsid w:val="003F0960"/>
    <w:rsid w:val="003F0D07"/>
    <w:rsid w:val="003F37CE"/>
    <w:rsid w:val="003F58F1"/>
    <w:rsid w:val="003F7E1E"/>
    <w:rsid w:val="00401232"/>
    <w:rsid w:val="00403DAC"/>
    <w:rsid w:val="00404AA2"/>
    <w:rsid w:val="004060FF"/>
    <w:rsid w:val="00406847"/>
    <w:rsid w:val="00411D80"/>
    <w:rsid w:val="00414740"/>
    <w:rsid w:val="004165B5"/>
    <w:rsid w:val="004179F6"/>
    <w:rsid w:val="00417EBF"/>
    <w:rsid w:val="004228D1"/>
    <w:rsid w:val="004229C6"/>
    <w:rsid w:val="00422E44"/>
    <w:rsid w:val="00424E07"/>
    <w:rsid w:val="0042512F"/>
    <w:rsid w:val="00427445"/>
    <w:rsid w:val="00427762"/>
    <w:rsid w:val="00431B11"/>
    <w:rsid w:val="00432159"/>
    <w:rsid w:val="00433356"/>
    <w:rsid w:val="00433E81"/>
    <w:rsid w:val="00434025"/>
    <w:rsid w:val="004342BA"/>
    <w:rsid w:val="004358A7"/>
    <w:rsid w:val="00441C6D"/>
    <w:rsid w:val="004431B2"/>
    <w:rsid w:val="0044377A"/>
    <w:rsid w:val="004446B9"/>
    <w:rsid w:val="00447239"/>
    <w:rsid w:val="004479A7"/>
    <w:rsid w:val="00453BB8"/>
    <w:rsid w:val="0045681F"/>
    <w:rsid w:val="00457B25"/>
    <w:rsid w:val="00460B38"/>
    <w:rsid w:val="00463CBC"/>
    <w:rsid w:val="00467614"/>
    <w:rsid w:val="00467B1B"/>
    <w:rsid w:val="00473417"/>
    <w:rsid w:val="0047464C"/>
    <w:rsid w:val="00476BEC"/>
    <w:rsid w:val="00477AD3"/>
    <w:rsid w:val="00480D57"/>
    <w:rsid w:val="00481CAB"/>
    <w:rsid w:val="004857DF"/>
    <w:rsid w:val="00485B89"/>
    <w:rsid w:val="004900D5"/>
    <w:rsid w:val="00494555"/>
    <w:rsid w:val="004958AD"/>
    <w:rsid w:val="00495DCE"/>
    <w:rsid w:val="004978B2"/>
    <w:rsid w:val="004A11D1"/>
    <w:rsid w:val="004A1202"/>
    <w:rsid w:val="004A1699"/>
    <w:rsid w:val="004A2DD5"/>
    <w:rsid w:val="004A2F04"/>
    <w:rsid w:val="004A3335"/>
    <w:rsid w:val="004A46E7"/>
    <w:rsid w:val="004A6848"/>
    <w:rsid w:val="004A697C"/>
    <w:rsid w:val="004A6BA1"/>
    <w:rsid w:val="004A7B2F"/>
    <w:rsid w:val="004B4C6F"/>
    <w:rsid w:val="004B6F59"/>
    <w:rsid w:val="004B71D6"/>
    <w:rsid w:val="004B7D7E"/>
    <w:rsid w:val="004C2749"/>
    <w:rsid w:val="004C3A49"/>
    <w:rsid w:val="004C4714"/>
    <w:rsid w:val="004C5677"/>
    <w:rsid w:val="004C7108"/>
    <w:rsid w:val="004C766A"/>
    <w:rsid w:val="004C7A93"/>
    <w:rsid w:val="004C7F27"/>
    <w:rsid w:val="004D17F2"/>
    <w:rsid w:val="004D1A23"/>
    <w:rsid w:val="004D1C55"/>
    <w:rsid w:val="004D275E"/>
    <w:rsid w:val="004D54EE"/>
    <w:rsid w:val="004D6C31"/>
    <w:rsid w:val="004E11BB"/>
    <w:rsid w:val="004E1813"/>
    <w:rsid w:val="004E1BF9"/>
    <w:rsid w:val="004E2619"/>
    <w:rsid w:val="004E37F2"/>
    <w:rsid w:val="004E4948"/>
    <w:rsid w:val="004E5250"/>
    <w:rsid w:val="004E63C9"/>
    <w:rsid w:val="004E6586"/>
    <w:rsid w:val="004E7730"/>
    <w:rsid w:val="004E7E3B"/>
    <w:rsid w:val="004F0256"/>
    <w:rsid w:val="004F1ACB"/>
    <w:rsid w:val="004F287A"/>
    <w:rsid w:val="004F2EFF"/>
    <w:rsid w:val="004F4FA4"/>
    <w:rsid w:val="004F5494"/>
    <w:rsid w:val="004F5EEA"/>
    <w:rsid w:val="005001D6"/>
    <w:rsid w:val="00501A1E"/>
    <w:rsid w:val="00502FAA"/>
    <w:rsid w:val="0050349D"/>
    <w:rsid w:val="0050487A"/>
    <w:rsid w:val="0050511E"/>
    <w:rsid w:val="00511842"/>
    <w:rsid w:val="00511AA7"/>
    <w:rsid w:val="00512413"/>
    <w:rsid w:val="00512EC5"/>
    <w:rsid w:val="005135DA"/>
    <w:rsid w:val="00514190"/>
    <w:rsid w:val="00514B1B"/>
    <w:rsid w:val="0051579B"/>
    <w:rsid w:val="0051781C"/>
    <w:rsid w:val="00526D00"/>
    <w:rsid w:val="0052736C"/>
    <w:rsid w:val="005300B0"/>
    <w:rsid w:val="00530CE7"/>
    <w:rsid w:val="00530EC0"/>
    <w:rsid w:val="00531707"/>
    <w:rsid w:val="00533131"/>
    <w:rsid w:val="005344B7"/>
    <w:rsid w:val="005348E9"/>
    <w:rsid w:val="00534C95"/>
    <w:rsid w:val="00535EE8"/>
    <w:rsid w:val="00537DF2"/>
    <w:rsid w:val="00541C28"/>
    <w:rsid w:val="00545381"/>
    <w:rsid w:val="005469B4"/>
    <w:rsid w:val="00547956"/>
    <w:rsid w:val="00550A3F"/>
    <w:rsid w:val="00550F9A"/>
    <w:rsid w:val="0055129C"/>
    <w:rsid w:val="005516D5"/>
    <w:rsid w:val="00551A9F"/>
    <w:rsid w:val="00552139"/>
    <w:rsid w:val="00552A4A"/>
    <w:rsid w:val="00553882"/>
    <w:rsid w:val="00555410"/>
    <w:rsid w:val="00556DDA"/>
    <w:rsid w:val="00557E0D"/>
    <w:rsid w:val="00560285"/>
    <w:rsid w:val="00560803"/>
    <w:rsid w:val="00562EA6"/>
    <w:rsid w:val="005650DD"/>
    <w:rsid w:val="005651E0"/>
    <w:rsid w:val="00565BCF"/>
    <w:rsid w:val="00565C9A"/>
    <w:rsid w:val="00565F73"/>
    <w:rsid w:val="005662F6"/>
    <w:rsid w:val="00571009"/>
    <w:rsid w:val="00571C3A"/>
    <w:rsid w:val="005740A9"/>
    <w:rsid w:val="00574A76"/>
    <w:rsid w:val="005774CE"/>
    <w:rsid w:val="00583679"/>
    <w:rsid w:val="00584E7D"/>
    <w:rsid w:val="00584FD6"/>
    <w:rsid w:val="00586215"/>
    <w:rsid w:val="00590527"/>
    <w:rsid w:val="0059431A"/>
    <w:rsid w:val="00594BCB"/>
    <w:rsid w:val="005955C8"/>
    <w:rsid w:val="0059724B"/>
    <w:rsid w:val="005A03E7"/>
    <w:rsid w:val="005A14E7"/>
    <w:rsid w:val="005A67A7"/>
    <w:rsid w:val="005A7183"/>
    <w:rsid w:val="005A762F"/>
    <w:rsid w:val="005B0050"/>
    <w:rsid w:val="005B07D3"/>
    <w:rsid w:val="005B1B12"/>
    <w:rsid w:val="005B37F8"/>
    <w:rsid w:val="005B54EA"/>
    <w:rsid w:val="005C3AD4"/>
    <w:rsid w:val="005C50AA"/>
    <w:rsid w:val="005C6EE0"/>
    <w:rsid w:val="005D1A3E"/>
    <w:rsid w:val="005D1D6E"/>
    <w:rsid w:val="005D2267"/>
    <w:rsid w:val="005D5393"/>
    <w:rsid w:val="005D6F2E"/>
    <w:rsid w:val="005D78E6"/>
    <w:rsid w:val="005D7E68"/>
    <w:rsid w:val="005E1FA9"/>
    <w:rsid w:val="005E2AB4"/>
    <w:rsid w:val="005E38AF"/>
    <w:rsid w:val="005E6AD2"/>
    <w:rsid w:val="005F03D3"/>
    <w:rsid w:val="005F0776"/>
    <w:rsid w:val="005F08BF"/>
    <w:rsid w:val="005F3B64"/>
    <w:rsid w:val="005F3F0A"/>
    <w:rsid w:val="005F48D7"/>
    <w:rsid w:val="005F56F9"/>
    <w:rsid w:val="005F699A"/>
    <w:rsid w:val="00603F24"/>
    <w:rsid w:val="0060404F"/>
    <w:rsid w:val="00604F7D"/>
    <w:rsid w:val="006052D8"/>
    <w:rsid w:val="00606401"/>
    <w:rsid w:val="00607B89"/>
    <w:rsid w:val="0061279A"/>
    <w:rsid w:val="00612B23"/>
    <w:rsid w:val="00612E92"/>
    <w:rsid w:val="00614CC5"/>
    <w:rsid w:val="00615276"/>
    <w:rsid w:val="006175CA"/>
    <w:rsid w:val="006176DE"/>
    <w:rsid w:val="006220A6"/>
    <w:rsid w:val="00622657"/>
    <w:rsid w:val="00622F7A"/>
    <w:rsid w:val="00623A9B"/>
    <w:rsid w:val="00623FE3"/>
    <w:rsid w:val="00625344"/>
    <w:rsid w:val="00625A85"/>
    <w:rsid w:val="006261C4"/>
    <w:rsid w:val="0062627E"/>
    <w:rsid w:val="00626A06"/>
    <w:rsid w:val="006272C4"/>
    <w:rsid w:val="00627612"/>
    <w:rsid w:val="00627BE5"/>
    <w:rsid w:val="0063067E"/>
    <w:rsid w:val="006309CE"/>
    <w:rsid w:val="0063144E"/>
    <w:rsid w:val="00632CD4"/>
    <w:rsid w:val="00635C88"/>
    <w:rsid w:val="00636573"/>
    <w:rsid w:val="0063685E"/>
    <w:rsid w:val="00640012"/>
    <w:rsid w:val="00641601"/>
    <w:rsid w:val="00642362"/>
    <w:rsid w:val="00644EF8"/>
    <w:rsid w:val="00645117"/>
    <w:rsid w:val="006549AE"/>
    <w:rsid w:val="00660DBF"/>
    <w:rsid w:val="006614C2"/>
    <w:rsid w:val="0066193F"/>
    <w:rsid w:val="00663A56"/>
    <w:rsid w:val="00663D90"/>
    <w:rsid w:val="00663E6F"/>
    <w:rsid w:val="0066407A"/>
    <w:rsid w:val="006640F5"/>
    <w:rsid w:val="006650D7"/>
    <w:rsid w:val="006653C4"/>
    <w:rsid w:val="006703DB"/>
    <w:rsid w:val="0067130E"/>
    <w:rsid w:val="00671532"/>
    <w:rsid w:val="006732DA"/>
    <w:rsid w:val="00676EA6"/>
    <w:rsid w:val="00680AAC"/>
    <w:rsid w:val="006811A1"/>
    <w:rsid w:val="00681B7F"/>
    <w:rsid w:val="00684583"/>
    <w:rsid w:val="006847BB"/>
    <w:rsid w:val="00685BBF"/>
    <w:rsid w:val="006860B2"/>
    <w:rsid w:val="0068726D"/>
    <w:rsid w:val="00690784"/>
    <w:rsid w:val="006911AE"/>
    <w:rsid w:val="00694515"/>
    <w:rsid w:val="006965CF"/>
    <w:rsid w:val="006A0C32"/>
    <w:rsid w:val="006A15DF"/>
    <w:rsid w:val="006A209D"/>
    <w:rsid w:val="006A29A4"/>
    <w:rsid w:val="006A7EC1"/>
    <w:rsid w:val="006A7F85"/>
    <w:rsid w:val="006B0016"/>
    <w:rsid w:val="006B02A9"/>
    <w:rsid w:val="006B3430"/>
    <w:rsid w:val="006B4106"/>
    <w:rsid w:val="006B4622"/>
    <w:rsid w:val="006B5062"/>
    <w:rsid w:val="006B5C57"/>
    <w:rsid w:val="006B644B"/>
    <w:rsid w:val="006B6E2A"/>
    <w:rsid w:val="006C52A9"/>
    <w:rsid w:val="006C716B"/>
    <w:rsid w:val="006D4992"/>
    <w:rsid w:val="006D7C7A"/>
    <w:rsid w:val="006E1C71"/>
    <w:rsid w:val="006E3FD6"/>
    <w:rsid w:val="006E4364"/>
    <w:rsid w:val="006E4E47"/>
    <w:rsid w:val="006E67ED"/>
    <w:rsid w:val="006E7E05"/>
    <w:rsid w:val="006F08B3"/>
    <w:rsid w:val="006F209B"/>
    <w:rsid w:val="006F795D"/>
    <w:rsid w:val="006F7CFE"/>
    <w:rsid w:val="00701AB5"/>
    <w:rsid w:val="00703F63"/>
    <w:rsid w:val="00706AF4"/>
    <w:rsid w:val="0070741C"/>
    <w:rsid w:val="00711DFF"/>
    <w:rsid w:val="007127EC"/>
    <w:rsid w:val="007129EF"/>
    <w:rsid w:val="00714187"/>
    <w:rsid w:val="007142BA"/>
    <w:rsid w:val="0071463F"/>
    <w:rsid w:val="00714DF5"/>
    <w:rsid w:val="007159C6"/>
    <w:rsid w:val="00715D15"/>
    <w:rsid w:val="00715F61"/>
    <w:rsid w:val="0071690D"/>
    <w:rsid w:val="00717A81"/>
    <w:rsid w:val="00720EEA"/>
    <w:rsid w:val="007210A1"/>
    <w:rsid w:val="007220A5"/>
    <w:rsid w:val="0072256F"/>
    <w:rsid w:val="007231BA"/>
    <w:rsid w:val="00726525"/>
    <w:rsid w:val="00730504"/>
    <w:rsid w:val="00731127"/>
    <w:rsid w:val="007322A7"/>
    <w:rsid w:val="007326A3"/>
    <w:rsid w:val="007335E3"/>
    <w:rsid w:val="007337E2"/>
    <w:rsid w:val="00733C51"/>
    <w:rsid w:val="00735757"/>
    <w:rsid w:val="00745132"/>
    <w:rsid w:val="00745916"/>
    <w:rsid w:val="0074602C"/>
    <w:rsid w:val="00746CE4"/>
    <w:rsid w:val="0074750A"/>
    <w:rsid w:val="00747C6C"/>
    <w:rsid w:val="0075309F"/>
    <w:rsid w:val="0075448D"/>
    <w:rsid w:val="0075640B"/>
    <w:rsid w:val="007604DD"/>
    <w:rsid w:val="0076098A"/>
    <w:rsid w:val="00760E3D"/>
    <w:rsid w:val="00760FF7"/>
    <w:rsid w:val="0076326E"/>
    <w:rsid w:val="00764202"/>
    <w:rsid w:val="0076516F"/>
    <w:rsid w:val="0077789A"/>
    <w:rsid w:val="007831B7"/>
    <w:rsid w:val="00783C3D"/>
    <w:rsid w:val="0078605B"/>
    <w:rsid w:val="00786603"/>
    <w:rsid w:val="00787F42"/>
    <w:rsid w:val="00790906"/>
    <w:rsid w:val="007936EB"/>
    <w:rsid w:val="00795E2E"/>
    <w:rsid w:val="00796980"/>
    <w:rsid w:val="00796B73"/>
    <w:rsid w:val="007A092A"/>
    <w:rsid w:val="007A0B6F"/>
    <w:rsid w:val="007A2649"/>
    <w:rsid w:val="007A2A2D"/>
    <w:rsid w:val="007A5B94"/>
    <w:rsid w:val="007A6D6D"/>
    <w:rsid w:val="007A733E"/>
    <w:rsid w:val="007B0BCE"/>
    <w:rsid w:val="007B1F93"/>
    <w:rsid w:val="007B2978"/>
    <w:rsid w:val="007B2A3D"/>
    <w:rsid w:val="007B2E43"/>
    <w:rsid w:val="007B375B"/>
    <w:rsid w:val="007B51B0"/>
    <w:rsid w:val="007B54CD"/>
    <w:rsid w:val="007B76D6"/>
    <w:rsid w:val="007B7786"/>
    <w:rsid w:val="007B7F02"/>
    <w:rsid w:val="007C00BC"/>
    <w:rsid w:val="007C198C"/>
    <w:rsid w:val="007C2BF6"/>
    <w:rsid w:val="007C38F7"/>
    <w:rsid w:val="007C3CF7"/>
    <w:rsid w:val="007C4223"/>
    <w:rsid w:val="007C7A02"/>
    <w:rsid w:val="007D18F8"/>
    <w:rsid w:val="007D1B6F"/>
    <w:rsid w:val="007D1EBD"/>
    <w:rsid w:val="007D2765"/>
    <w:rsid w:val="007D31EF"/>
    <w:rsid w:val="007D4F2B"/>
    <w:rsid w:val="007D5196"/>
    <w:rsid w:val="007D677A"/>
    <w:rsid w:val="007D7025"/>
    <w:rsid w:val="007E150D"/>
    <w:rsid w:val="007E3209"/>
    <w:rsid w:val="007E3DB4"/>
    <w:rsid w:val="007E3DB6"/>
    <w:rsid w:val="007E4308"/>
    <w:rsid w:val="007E5847"/>
    <w:rsid w:val="007E614B"/>
    <w:rsid w:val="007E6C3F"/>
    <w:rsid w:val="007E76A0"/>
    <w:rsid w:val="007E7C62"/>
    <w:rsid w:val="007F0960"/>
    <w:rsid w:val="007F097D"/>
    <w:rsid w:val="007F0DFF"/>
    <w:rsid w:val="007F285E"/>
    <w:rsid w:val="007F35D9"/>
    <w:rsid w:val="007F5517"/>
    <w:rsid w:val="008004AB"/>
    <w:rsid w:val="0080286B"/>
    <w:rsid w:val="008029F9"/>
    <w:rsid w:val="008039CC"/>
    <w:rsid w:val="00805326"/>
    <w:rsid w:val="00805905"/>
    <w:rsid w:val="00805A2C"/>
    <w:rsid w:val="008076B8"/>
    <w:rsid w:val="00810382"/>
    <w:rsid w:val="00813269"/>
    <w:rsid w:val="00814088"/>
    <w:rsid w:val="0081506A"/>
    <w:rsid w:val="0081621E"/>
    <w:rsid w:val="008163D5"/>
    <w:rsid w:val="00817D6F"/>
    <w:rsid w:val="00817FD3"/>
    <w:rsid w:val="00822DB4"/>
    <w:rsid w:val="00825A49"/>
    <w:rsid w:val="00827F3E"/>
    <w:rsid w:val="008318F4"/>
    <w:rsid w:val="00832EDC"/>
    <w:rsid w:val="00834F0F"/>
    <w:rsid w:val="008357D4"/>
    <w:rsid w:val="00835E60"/>
    <w:rsid w:val="00837F25"/>
    <w:rsid w:val="00840B3F"/>
    <w:rsid w:val="008429E9"/>
    <w:rsid w:val="00843D3A"/>
    <w:rsid w:val="00844947"/>
    <w:rsid w:val="00850F8C"/>
    <w:rsid w:val="00851F44"/>
    <w:rsid w:val="008540D4"/>
    <w:rsid w:val="0085480E"/>
    <w:rsid w:val="008607AD"/>
    <w:rsid w:val="00860EAC"/>
    <w:rsid w:val="00862EB4"/>
    <w:rsid w:val="00866959"/>
    <w:rsid w:val="00871986"/>
    <w:rsid w:val="00872A3D"/>
    <w:rsid w:val="0087425F"/>
    <w:rsid w:val="00875695"/>
    <w:rsid w:val="00876868"/>
    <w:rsid w:val="00876ECC"/>
    <w:rsid w:val="008806EC"/>
    <w:rsid w:val="008814B7"/>
    <w:rsid w:val="00882640"/>
    <w:rsid w:val="00882C16"/>
    <w:rsid w:val="008843E4"/>
    <w:rsid w:val="00885B82"/>
    <w:rsid w:val="0089166E"/>
    <w:rsid w:val="00892D9D"/>
    <w:rsid w:val="008937CD"/>
    <w:rsid w:val="00893924"/>
    <w:rsid w:val="00894074"/>
    <w:rsid w:val="008952DB"/>
    <w:rsid w:val="008962E9"/>
    <w:rsid w:val="008A09C5"/>
    <w:rsid w:val="008A113F"/>
    <w:rsid w:val="008A2333"/>
    <w:rsid w:val="008A2B1E"/>
    <w:rsid w:val="008A31D8"/>
    <w:rsid w:val="008A3DBE"/>
    <w:rsid w:val="008A6AF1"/>
    <w:rsid w:val="008A7AA5"/>
    <w:rsid w:val="008B49DF"/>
    <w:rsid w:val="008B74F1"/>
    <w:rsid w:val="008C1581"/>
    <w:rsid w:val="008C2D18"/>
    <w:rsid w:val="008C59B7"/>
    <w:rsid w:val="008C642A"/>
    <w:rsid w:val="008C6695"/>
    <w:rsid w:val="008C716E"/>
    <w:rsid w:val="008D0209"/>
    <w:rsid w:val="008D0FBF"/>
    <w:rsid w:val="008D1A3E"/>
    <w:rsid w:val="008D2767"/>
    <w:rsid w:val="008D3C78"/>
    <w:rsid w:val="008D4431"/>
    <w:rsid w:val="008D7DB7"/>
    <w:rsid w:val="008D7F10"/>
    <w:rsid w:val="008E0420"/>
    <w:rsid w:val="008E0817"/>
    <w:rsid w:val="008E094F"/>
    <w:rsid w:val="008E0F83"/>
    <w:rsid w:val="008E2653"/>
    <w:rsid w:val="008E2E46"/>
    <w:rsid w:val="008E3A3C"/>
    <w:rsid w:val="008E46F8"/>
    <w:rsid w:val="008E4F57"/>
    <w:rsid w:val="008E6313"/>
    <w:rsid w:val="008E7B9D"/>
    <w:rsid w:val="008E7F61"/>
    <w:rsid w:val="008F00C3"/>
    <w:rsid w:val="008F1F31"/>
    <w:rsid w:val="008F3B23"/>
    <w:rsid w:val="008F4A3A"/>
    <w:rsid w:val="008F6168"/>
    <w:rsid w:val="00900BDD"/>
    <w:rsid w:val="00903920"/>
    <w:rsid w:val="00904943"/>
    <w:rsid w:val="009049F0"/>
    <w:rsid w:val="00904E16"/>
    <w:rsid w:val="0090509B"/>
    <w:rsid w:val="00905F72"/>
    <w:rsid w:val="0091176A"/>
    <w:rsid w:val="00912CCF"/>
    <w:rsid w:val="00913788"/>
    <w:rsid w:val="009153AD"/>
    <w:rsid w:val="0092005C"/>
    <w:rsid w:val="009203E7"/>
    <w:rsid w:val="00920D26"/>
    <w:rsid w:val="00925A28"/>
    <w:rsid w:val="00926232"/>
    <w:rsid w:val="00926468"/>
    <w:rsid w:val="00926977"/>
    <w:rsid w:val="00926A5D"/>
    <w:rsid w:val="00927637"/>
    <w:rsid w:val="009277DC"/>
    <w:rsid w:val="00927906"/>
    <w:rsid w:val="00930717"/>
    <w:rsid w:val="009341E8"/>
    <w:rsid w:val="009356BF"/>
    <w:rsid w:val="00935F32"/>
    <w:rsid w:val="00936F68"/>
    <w:rsid w:val="009402A2"/>
    <w:rsid w:val="00940484"/>
    <w:rsid w:val="00942B0B"/>
    <w:rsid w:val="0094388F"/>
    <w:rsid w:val="00944A1B"/>
    <w:rsid w:val="0095332B"/>
    <w:rsid w:val="00957653"/>
    <w:rsid w:val="00960687"/>
    <w:rsid w:val="009609AF"/>
    <w:rsid w:val="00960AE8"/>
    <w:rsid w:val="00961341"/>
    <w:rsid w:val="009633FE"/>
    <w:rsid w:val="00964C7E"/>
    <w:rsid w:val="00966EA9"/>
    <w:rsid w:val="00967CDD"/>
    <w:rsid w:val="00970BC6"/>
    <w:rsid w:val="00970E34"/>
    <w:rsid w:val="00972023"/>
    <w:rsid w:val="0097427B"/>
    <w:rsid w:val="00974A85"/>
    <w:rsid w:val="00975856"/>
    <w:rsid w:val="00980170"/>
    <w:rsid w:val="00981BEA"/>
    <w:rsid w:val="00983465"/>
    <w:rsid w:val="00983E80"/>
    <w:rsid w:val="00984321"/>
    <w:rsid w:val="00984A2B"/>
    <w:rsid w:val="00984C4C"/>
    <w:rsid w:val="00990758"/>
    <w:rsid w:val="0099122C"/>
    <w:rsid w:val="009912C0"/>
    <w:rsid w:val="0099457F"/>
    <w:rsid w:val="00994E7B"/>
    <w:rsid w:val="009A11BC"/>
    <w:rsid w:val="009A12A0"/>
    <w:rsid w:val="009A28DF"/>
    <w:rsid w:val="009A2AAB"/>
    <w:rsid w:val="009A6B95"/>
    <w:rsid w:val="009A6D1C"/>
    <w:rsid w:val="009B1624"/>
    <w:rsid w:val="009B417D"/>
    <w:rsid w:val="009B5185"/>
    <w:rsid w:val="009B549E"/>
    <w:rsid w:val="009B5911"/>
    <w:rsid w:val="009B5B87"/>
    <w:rsid w:val="009B64C5"/>
    <w:rsid w:val="009C03E4"/>
    <w:rsid w:val="009C11E2"/>
    <w:rsid w:val="009C3936"/>
    <w:rsid w:val="009C5661"/>
    <w:rsid w:val="009C5944"/>
    <w:rsid w:val="009C6C45"/>
    <w:rsid w:val="009C6E95"/>
    <w:rsid w:val="009C7EA9"/>
    <w:rsid w:val="009D1152"/>
    <w:rsid w:val="009D1267"/>
    <w:rsid w:val="009D1734"/>
    <w:rsid w:val="009D2949"/>
    <w:rsid w:val="009D4934"/>
    <w:rsid w:val="009D4B05"/>
    <w:rsid w:val="009D6D83"/>
    <w:rsid w:val="009D7566"/>
    <w:rsid w:val="009E01C7"/>
    <w:rsid w:val="009E0F65"/>
    <w:rsid w:val="009E2AE1"/>
    <w:rsid w:val="009E50CF"/>
    <w:rsid w:val="009E5D6A"/>
    <w:rsid w:val="009E7703"/>
    <w:rsid w:val="009F0CEA"/>
    <w:rsid w:val="009F1078"/>
    <w:rsid w:val="009F19FF"/>
    <w:rsid w:val="009F29BA"/>
    <w:rsid w:val="009F4951"/>
    <w:rsid w:val="009F4F02"/>
    <w:rsid w:val="009F5A20"/>
    <w:rsid w:val="009F5DC6"/>
    <w:rsid w:val="009F6144"/>
    <w:rsid w:val="009F695D"/>
    <w:rsid w:val="009F6EA8"/>
    <w:rsid w:val="00A00509"/>
    <w:rsid w:val="00A0275C"/>
    <w:rsid w:val="00A02899"/>
    <w:rsid w:val="00A030C8"/>
    <w:rsid w:val="00A112EA"/>
    <w:rsid w:val="00A11FFE"/>
    <w:rsid w:val="00A12523"/>
    <w:rsid w:val="00A12C27"/>
    <w:rsid w:val="00A131A8"/>
    <w:rsid w:val="00A15814"/>
    <w:rsid w:val="00A15F5D"/>
    <w:rsid w:val="00A1678D"/>
    <w:rsid w:val="00A176CE"/>
    <w:rsid w:val="00A207A9"/>
    <w:rsid w:val="00A208E4"/>
    <w:rsid w:val="00A2122F"/>
    <w:rsid w:val="00A223AB"/>
    <w:rsid w:val="00A243B4"/>
    <w:rsid w:val="00A2564E"/>
    <w:rsid w:val="00A2723A"/>
    <w:rsid w:val="00A31378"/>
    <w:rsid w:val="00A314CC"/>
    <w:rsid w:val="00A32597"/>
    <w:rsid w:val="00A33A3E"/>
    <w:rsid w:val="00A3411E"/>
    <w:rsid w:val="00A35C2F"/>
    <w:rsid w:val="00A35E20"/>
    <w:rsid w:val="00A363A6"/>
    <w:rsid w:val="00A364B3"/>
    <w:rsid w:val="00A36920"/>
    <w:rsid w:val="00A36984"/>
    <w:rsid w:val="00A37F64"/>
    <w:rsid w:val="00A4028A"/>
    <w:rsid w:val="00A41126"/>
    <w:rsid w:val="00A41DCE"/>
    <w:rsid w:val="00A4279A"/>
    <w:rsid w:val="00A431FE"/>
    <w:rsid w:val="00A46AE1"/>
    <w:rsid w:val="00A476C0"/>
    <w:rsid w:val="00A4795E"/>
    <w:rsid w:val="00A47D86"/>
    <w:rsid w:val="00A50D75"/>
    <w:rsid w:val="00A50D93"/>
    <w:rsid w:val="00A52AD8"/>
    <w:rsid w:val="00A5491E"/>
    <w:rsid w:val="00A57433"/>
    <w:rsid w:val="00A6135C"/>
    <w:rsid w:val="00A614CB"/>
    <w:rsid w:val="00A616F2"/>
    <w:rsid w:val="00A652F2"/>
    <w:rsid w:val="00A668B3"/>
    <w:rsid w:val="00A66DE1"/>
    <w:rsid w:val="00A671B8"/>
    <w:rsid w:val="00A7144A"/>
    <w:rsid w:val="00A7184E"/>
    <w:rsid w:val="00A73A0A"/>
    <w:rsid w:val="00A7541F"/>
    <w:rsid w:val="00A75A59"/>
    <w:rsid w:val="00A76757"/>
    <w:rsid w:val="00A76D46"/>
    <w:rsid w:val="00A81122"/>
    <w:rsid w:val="00A81572"/>
    <w:rsid w:val="00A8228C"/>
    <w:rsid w:val="00A829F5"/>
    <w:rsid w:val="00A83237"/>
    <w:rsid w:val="00A9443E"/>
    <w:rsid w:val="00A94A47"/>
    <w:rsid w:val="00A950BC"/>
    <w:rsid w:val="00A961BF"/>
    <w:rsid w:val="00AA2D57"/>
    <w:rsid w:val="00AA439F"/>
    <w:rsid w:val="00AB17AB"/>
    <w:rsid w:val="00AB245D"/>
    <w:rsid w:val="00AB2917"/>
    <w:rsid w:val="00AB30E2"/>
    <w:rsid w:val="00AB5357"/>
    <w:rsid w:val="00AB606B"/>
    <w:rsid w:val="00AB6B69"/>
    <w:rsid w:val="00AB7AD8"/>
    <w:rsid w:val="00AC30EF"/>
    <w:rsid w:val="00AC5EC4"/>
    <w:rsid w:val="00AD2EC0"/>
    <w:rsid w:val="00AD546A"/>
    <w:rsid w:val="00AD685B"/>
    <w:rsid w:val="00AD6A42"/>
    <w:rsid w:val="00AE05A0"/>
    <w:rsid w:val="00AE0677"/>
    <w:rsid w:val="00AE2A2B"/>
    <w:rsid w:val="00AE31F4"/>
    <w:rsid w:val="00AE498B"/>
    <w:rsid w:val="00AE5788"/>
    <w:rsid w:val="00AE6201"/>
    <w:rsid w:val="00AE6DB9"/>
    <w:rsid w:val="00AE717E"/>
    <w:rsid w:val="00AE77CF"/>
    <w:rsid w:val="00AF0332"/>
    <w:rsid w:val="00AF0949"/>
    <w:rsid w:val="00AF0DA2"/>
    <w:rsid w:val="00AF11D5"/>
    <w:rsid w:val="00AF3951"/>
    <w:rsid w:val="00AF3E08"/>
    <w:rsid w:val="00AF40C3"/>
    <w:rsid w:val="00AF4360"/>
    <w:rsid w:val="00B004E5"/>
    <w:rsid w:val="00B00F20"/>
    <w:rsid w:val="00B06D7C"/>
    <w:rsid w:val="00B07DEA"/>
    <w:rsid w:val="00B104CB"/>
    <w:rsid w:val="00B1127A"/>
    <w:rsid w:val="00B15B86"/>
    <w:rsid w:val="00B17D47"/>
    <w:rsid w:val="00B206DC"/>
    <w:rsid w:val="00B222D0"/>
    <w:rsid w:val="00B22568"/>
    <w:rsid w:val="00B26044"/>
    <w:rsid w:val="00B27188"/>
    <w:rsid w:val="00B318A7"/>
    <w:rsid w:val="00B31E0C"/>
    <w:rsid w:val="00B3222C"/>
    <w:rsid w:val="00B335C3"/>
    <w:rsid w:val="00B33785"/>
    <w:rsid w:val="00B40320"/>
    <w:rsid w:val="00B42866"/>
    <w:rsid w:val="00B442C8"/>
    <w:rsid w:val="00B45A8F"/>
    <w:rsid w:val="00B536BC"/>
    <w:rsid w:val="00B53904"/>
    <w:rsid w:val="00B54ABC"/>
    <w:rsid w:val="00B5568D"/>
    <w:rsid w:val="00B5601B"/>
    <w:rsid w:val="00B57AB0"/>
    <w:rsid w:val="00B62E60"/>
    <w:rsid w:val="00B62E75"/>
    <w:rsid w:val="00B631A1"/>
    <w:rsid w:val="00B651FE"/>
    <w:rsid w:val="00B669EA"/>
    <w:rsid w:val="00B66B69"/>
    <w:rsid w:val="00B70EE5"/>
    <w:rsid w:val="00B71923"/>
    <w:rsid w:val="00B7333B"/>
    <w:rsid w:val="00B747FA"/>
    <w:rsid w:val="00B765C4"/>
    <w:rsid w:val="00B76C9B"/>
    <w:rsid w:val="00B7726D"/>
    <w:rsid w:val="00B7793B"/>
    <w:rsid w:val="00B80289"/>
    <w:rsid w:val="00B8184B"/>
    <w:rsid w:val="00B81B77"/>
    <w:rsid w:val="00B81D2A"/>
    <w:rsid w:val="00B82CEC"/>
    <w:rsid w:val="00B842F0"/>
    <w:rsid w:val="00B85E32"/>
    <w:rsid w:val="00B86876"/>
    <w:rsid w:val="00B874FA"/>
    <w:rsid w:val="00B87A24"/>
    <w:rsid w:val="00B93E73"/>
    <w:rsid w:val="00B9603F"/>
    <w:rsid w:val="00B96FDF"/>
    <w:rsid w:val="00BA0707"/>
    <w:rsid w:val="00BA1133"/>
    <w:rsid w:val="00BA18C4"/>
    <w:rsid w:val="00BA4416"/>
    <w:rsid w:val="00BA49A5"/>
    <w:rsid w:val="00BA4E07"/>
    <w:rsid w:val="00BA70D0"/>
    <w:rsid w:val="00BB0192"/>
    <w:rsid w:val="00BB04E3"/>
    <w:rsid w:val="00BB0D96"/>
    <w:rsid w:val="00BB1506"/>
    <w:rsid w:val="00BB1AD4"/>
    <w:rsid w:val="00BB1AF0"/>
    <w:rsid w:val="00BB2ABE"/>
    <w:rsid w:val="00BB2AF5"/>
    <w:rsid w:val="00BB3AAC"/>
    <w:rsid w:val="00BB4C48"/>
    <w:rsid w:val="00BB589D"/>
    <w:rsid w:val="00BB7074"/>
    <w:rsid w:val="00BB76B6"/>
    <w:rsid w:val="00BC0845"/>
    <w:rsid w:val="00BC107C"/>
    <w:rsid w:val="00BC28F2"/>
    <w:rsid w:val="00BC32DC"/>
    <w:rsid w:val="00BC3586"/>
    <w:rsid w:val="00BD0BD2"/>
    <w:rsid w:val="00BD0EA5"/>
    <w:rsid w:val="00BD0F24"/>
    <w:rsid w:val="00BD1835"/>
    <w:rsid w:val="00BD1E43"/>
    <w:rsid w:val="00BD1F5D"/>
    <w:rsid w:val="00BD215D"/>
    <w:rsid w:val="00BD2591"/>
    <w:rsid w:val="00BD40F6"/>
    <w:rsid w:val="00BD4AA4"/>
    <w:rsid w:val="00BD652A"/>
    <w:rsid w:val="00BD7564"/>
    <w:rsid w:val="00BE04D2"/>
    <w:rsid w:val="00BE2D02"/>
    <w:rsid w:val="00BE2D91"/>
    <w:rsid w:val="00BE5D2E"/>
    <w:rsid w:val="00BE70C6"/>
    <w:rsid w:val="00BF0E6F"/>
    <w:rsid w:val="00BF44A5"/>
    <w:rsid w:val="00BF4EFB"/>
    <w:rsid w:val="00BF536F"/>
    <w:rsid w:val="00C005CF"/>
    <w:rsid w:val="00C00D94"/>
    <w:rsid w:val="00C026B2"/>
    <w:rsid w:val="00C02A3B"/>
    <w:rsid w:val="00C02CB0"/>
    <w:rsid w:val="00C053E4"/>
    <w:rsid w:val="00C0770F"/>
    <w:rsid w:val="00C07890"/>
    <w:rsid w:val="00C10D3A"/>
    <w:rsid w:val="00C119BE"/>
    <w:rsid w:val="00C12915"/>
    <w:rsid w:val="00C141CA"/>
    <w:rsid w:val="00C224A4"/>
    <w:rsid w:val="00C24D52"/>
    <w:rsid w:val="00C266DD"/>
    <w:rsid w:val="00C332A3"/>
    <w:rsid w:val="00C33E91"/>
    <w:rsid w:val="00C34AFB"/>
    <w:rsid w:val="00C34D55"/>
    <w:rsid w:val="00C36DD6"/>
    <w:rsid w:val="00C36F23"/>
    <w:rsid w:val="00C437DE"/>
    <w:rsid w:val="00C43B8A"/>
    <w:rsid w:val="00C45943"/>
    <w:rsid w:val="00C45DF8"/>
    <w:rsid w:val="00C472C9"/>
    <w:rsid w:val="00C47F35"/>
    <w:rsid w:val="00C52329"/>
    <w:rsid w:val="00C55FD8"/>
    <w:rsid w:val="00C56121"/>
    <w:rsid w:val="00C57347"/>
    <w:rsid w:val="00C634A2"/>
    <w:rsid w:val="00C63997"/>
    <w:rsid w:val="00C70474"/>
    <w:rsid w:val="00C709DB"/>
    <w:rsid w:val="00C71DB8"/>
    <w:rsid w:val="00C720AA"/>
    <w:rsid w:val="00C72824"/>
    <w:rsid w:val="00C72E62"/>
    <w:rsid w:val="00C7451E"/>
    <w:rsid w:val="00C77891"/>
    <w:rsid w:val="00C811B7"/>
    <w:rsid w:val="00C83A22"/>
    <w:rsid w:val="00C8524D"/>
    <w:rsid w:val="00C9088E"/>
    <w:rsid w:val="00C927F7"/>
    <w:rsid w:val="00C92DA5"/>
    <w:rsid w:val="00C936C1"/>
    <w:rsid w:val="00C93F03"/>
    <w:rsid w:val="00C951E6"/>
    <w:rsid w:val="00CA1AE4"/>
    <w:rsid w:val="00CA33F1"/>
    <w:rsid w:val="00CA50F2"/>
    <w:rsid w:val="00CA58CA"/>
    <w:rsid w:val="00CA5F84"/>
    <w:rsid w:val="00CA68B0"/>
    <w:rsid w:val="00CB00FB"/>
    <w:rsid w:val="00CB139E"/>
    <w:rsid w:val="00CB24AD"/>
    <w:rsid w:val="00CB5B2D"/>
    <w:rsid w:val="00CC32E0"/>
    <w:rsid w:val="00CC37AC"/>
    <w:rsid w:val="00CC4252"/>
    <w:rsid w:val="00CC42A1"/>
    <w:rsid w:val="00CC5958"/>
    <w:rsid w:val="00CC5EBA"/>
    <w:rsid w:val="00CC5F8C"/>
    <w:rsid w:val="00CC69F6"/>
    <w:rsid w:val="00CC7E8C"/>
    <w:rsid w:val="00CD0765"/>
    <w:rsid w:val="00CD2549"/>
    <w:rsid w:val="00CD30AB"/>
    <w:rsid w:val="00CD6333"/>
    <w:rsid w:val="00CD637C"/>
    <w:rsid w:val="00CD72DC"/>
    <w:rsid w:val="00CD7F75"/>
    <w:rsid w:val="00CE0BD3"/>
    <w:rsid w:val="00CE1037"/>
    <w:rsid w:val="00CE2181"/>
    <w:rsid w:val="00CE3D84"/>
    <w:rsid w:val="00CE47E2"/>
    <w:rsid w:val="00CE5860"/>
    <w:rsid w:val="00CE5884"/>
    <w:rsid w:val="00CE71ED"/>
    <w:rsid w:val="00CF2C8A"/>
    <w:rsid w:val="00CF3238"/>
    <w:rsid w:val="00CF4E47"/>
    <w:rsid w:val="00CF5724"/>
    <w:rsid w:val="00CF5F67"/>
    <w:rsid w:val="00CF6642"/>
    <w:rsid w:val="00CF6772"/>
    <w:rsid w:val="00CF6806"/>
    <w:rsid w:val="00CF69D4"/>
    <w:rsid w:val="00D038FF"/>
    <w:rsid w:val="00D05262"/>
    <w:rsid w:val="00D078BE"/>
    <w:rsid w:val="00D07DD0"/>
    <w:rsid w:val="00D1054C"/>
    <w:rsid w:val="00D1717D"/>
    <w:rsid w:val="00D171C9"/>
    <w:rsid w:val="00D171E4"/>
    <w:rsid w:val="00D176B0"/>
    <w:rsid w:val="00D17BE8"/>
    <w:rsid w:val="00D2032B"/>
    <w:rsid w:val="00D2278F"/>
    <w:rsid w:val="00D25CA1"/>
    <w:rsid w:val="00D25D7A"/>
    <w:rsid w:val="00D25E92"/>
    <w:rsid w:val="00D26433"/>
    <w:rsid w:val="00D2702B"/>
    <w:rsid w:val="00D2785A"/>
    <w:rsid w:val="00D32260"/>
    <w:rsid w:val="00D3253E"/>
    <w:rsid w:val="00D41291"/>
    <w:rsid w:val="00D44738"/>
    <w:rsid w:val="00D45277"/>
    <w:rsid w:val="00D45652"/>
    <w:rsid w:val="00D5171F"/>
    <w:rsid w:val="00D53B3E"/>
    <w:rsid w:val="00D53D1E"/>
    <w:rsid w:val="00D57366"/>
    <w:rsid w:val="00D57430"/>
    <w:rsid w:val="00D60A0A"/>
    <w:rsid w:val="00D674C5"/>
    <w:rsid w:val="00D67B4A"/>
    <w:rsid w:val="00D70087"/>
    <w:rsid w:val="00D700C2"/>
    <w:rsid w:val="00D72314"/>
    <w:rsid w:val="00D73CE1"/>
    <w:rsid w:val="00D74432"/>
    <w:rsid w:val="00D74D0C"/>
    <w:rsid w:val="00D7663D"/>
    <w:rsid w:val="00D769A5"/>
    <w:rsid w:val="00D772D1"/>
    <w:rsid w:val="00D77B00"/>
    <w:rsid w:val="00D805BE"/>
    <w:rsid w:val="00D8065E"/>
    <w:rsid w:val="00D80A22"/>
    <w:rsid w:val="00D838C5"/>
    <w:rsid w:val="00D83B9F"/>
    <w:rsid w:val="00D857D7"/>
    <w:rsid w:val="00D86417"/>
    <w:rsid w:val="00D91F11"/>
    <w:rsid w:val="00D9335C"/>
    <w:rsid w:val="00D95377"/>
    <w:rsid w:val="00DA26EB"/>
    <w:rsid w:val="00DA2A48"/>
    <w:rsid w:val="00DA360B"/>
    <w:rsid w:val="00DA3C49"/>
    <w:rsid w:val="00DA4FCC"/>
    <w:rsid w:val="00DA5BA7"/>
    <w:rsid w:val="00DA6C16"/>
    <w:rsid w:val="00DA7103"/>
    <w:rsid w:val="00DB1343"/>
    <w:rsid w:val="00DB29F3"/>
    <w:rsid w:val="00DB3596"/>
    <w:rsid w:val="00DB61C1"/>
    <w:rsid w:val="00DC6633"/>
    <w:rsid w:val="00DC707C"/>
    <w:rsid w:val="00DD03F0"/>
    <w:rsid w:val="00DD12C7"/>
    <w:rsid w:val="00DD2DA1"/>
    <w:rsid w:val="00DD2EA1"/>
    <w:rsid w:val="00DD3CDC"/>
    <w:rsid w:val="00DD6FAD"/>
    <w:rsid w:val="00DE0574"/>
    <w:rsid w:val="00DE0B21"/>
    <w:rsid w:val="00DE1049"/>
    <w:rsid w:val="00DE1274"/>
    <w:rsid w:val="00DE135A"/>
    <w:rsid w:val="00DE7197"/>
    <w:rsid w:val="00DE7B89"/>
    <w:rsid w:val="00DF0510"/>
    <w:rsid w:val="00DF0ADD"/>
    <w:rsid w:val="00DF11D9"/>
    <w:rsid w:val="00DF369F"/>
    <w:rsid w:val="00DF6764"/>
    <w:rsid w:val="00E007C2"/>
    <w:rsid w:val="00E031E3"/>
    <w:rsid w:val="00E04751"/>
    <w:rsid w:val="00E05077"/>
    <w:rsid w:val="00E05975"/>
    <w:rsid w:val="00E11355"/>
    <w:rsid w:val="00E11581"/>
    <w:rsid w:val="00E121D6"/>
    <w:rsid w:val="00E1228F"/>
    <w:rsid w:val="00E12647"/>
    <w:rsid w:val="00E12B01"/>
    <w:rsid w:val="00E13471"/>
    <w:rsid w:val="00E14416"/>
    <w:rsid w:val="00E1483F"/>
    <w:rsid w:val="00E16FAC"/>
    <w:rsid w:val="00E224BD"/>
    <w:rsid w:val="00E24800"/>
    <w:rsid w:val="00E25850"/>
    <w:rsid w:val="00E273E0"/>
    <w:rsid w:val="00E276C6"/>
    <w:rsid w:val="00E3083A"/>
    <w:rsid w:val="00E30D3C"/>
    <w:rsid w:val="00E33290"/>
    <w:rsid w:val="00E352B2"/>
    <w:rsid w:val="00E36ABA"/>
    <w:rsid w:val="00E36B5C"/>
    <w:rsid w:val="00E41AAD"/>
    <w:rsid w:val="00E43150"/>
    <w:rsid w:val="00E45A33"/>
    <w:rsid w:val="00E47023"/>
    <w:rsid w:val="00E50A9D"/>
    <w:rsid w:val="00E544E8"/>
    <w:rsid w:val="00E54A68"/>
    <w:rsid w:val="00E55BE6"/>
    <w:rsid w:val="00E55FA3"/>
    <w:rsid w:val="00E5628E"/>
    <w:rsid w:val="00E56CAC"/>
    <w:rsid w:val="00E56D63"/>
    <w:rsid w:val="00E57458"/>
    <w:rsid w:val="00E60D9F"/>
    <w:rsid w:val="00E619E2"/>
    <w:rsid w:val="00E6204F"/>
    <w:rsid w:val="00E62F1F"/>
    <w:rsid w:val="00E70174"/>
    <w:rsid w:val="00E70AE4"/>
    <w:rsid w:val="00E7157C"/>
    <w:rsid w:val="00E7174B"/>
    <w:rsid w:val="00E736FB"/>
    <w:rsid w:val="00E7622D"/>
    <w:rsid w:val="00E76605"/>
    <w:rsid w:val="00E76A59"/>
    <w:rsid w:val="00E805D9"/>
    <w:rsid w:val="00E81B77"/>
    <w:rsid w:val="00E8454A"/>
    <w:rsid w:val="00E84814"/>
    <w:rsid w:val="00E9166F"/>
    <w:rsid w:val="00E9261C"/>
    <w:rsid w:val="00E92839"/>
    <w:rsid w:val="00E943B6"/>
    <w:rsid w:val="00E9447E"/>
    <w:rsid w:val="00E94CCB"/>
    <w:rsid w:val="00E95A60"/>
    <w:rsid w:val="00E967A8"/>
    <w:rsid w:val="00E9787E"/>
    <w:rsid w:val="00EA00D1"/>
    <w:rsid w:val="00EA11CB"/>
    <w:rsid w:val="00EA283A"/>
    <w:rsid w:val="00EA3B07"/>
    <w:rsid w:val="00EA5954"/>
    <w:rsid w:val="00EA5F3C"/>
    <w:rsid w:val="00EB30D5"/>
    <w:rsid w:val="00EB5C5B"/>
    <w:rsid w:val="00EC2B8E"/>
    <w:rsid w:val="00EC3361"/>
    <w:rsid w:val="00ED0ADD"/>
    <w:rsid w:val="00ED0CAE"/>
    <w:rsid w:val="00ED0DDB"/>
    <w:rsid w:val="00ED26B9"/>
    <w:rsid w:val="00ED70C1"/>
    <w:rsid w:val="00ED77BE"/>
    <w:rsid w:val="00EE03A6"/>
    <w:rsid w:val="00EE08B7"/>
    <w:rsid w:val="00EE14E1"/>
    <w:rsid w:val="00EE21E6"/>
    <w:rsid w:val="00EE50FE"/>
    <w:rsid w:val="00EE5118"/>
    <w:rsid w:val="00EE723B"/>
    <w:rsid w:val="00EF06E7"/>
    <w:rsid w:val="00EF1C7D"/>
    <w:rsid w:val="00EF25D8"/>
    <w:rsid w:val="00EF38C0"/>
    <w:rsid w:val="00EF79F9"/>
    <w:rsid w:val="00F01236"/>
    <w:rsid w:val="00F04721"/>
    <w:rsid w:val="00F056B2"/>
    <w:rsid w:val="00F05F98"/>
    <w:rsid w:val="00F06457"/>
    <w:rsid w:val="00F1102F"/>
    <w:rsid w:val="00F1164B"/>
    <w:rsid w:val="00F13DC5"/>
    <w:rsid w:val="00F15842"/>
    <w:rsid w:val="00F16590"/>
    <w:rsid w:val="00F1768D"/>
    <w:rsid w:val="00F21540"/>
    <w:rsid w:val="00F2286E"/>
    <w:rsid w:val="00F240D1"/>
    <w:rsid w:val="00F26434"/>
    <w:rsid w:val="00F26682"/>
    <w:rsid w:val="00F30821"/>
    <w:rsid w:val="00F324F1"/>
    <w:rsid w:val="00F33B0B"/>
    <w:rsid w:val="00F377EC"/>
    <w:rsid w:val="00F40441"/>
    <w:rsid w:val="00F40CE3"/>
    <w:rsid w:val="00F40FA9"/>
    <w:rsid w:val="00F425DF"/>
    <w:rsid w:val="00F4377C"/>
    <w:rsid w:val="00F43C98"/>
    <w:rsid w:val="00F43CFA"/>
    <w:rsid w:val="00F459DC"/>
    <w:rsid w:val="00F46C4E"/>
    <w:rsid w:val="00F52F5C"/>
    <w:rsid w:val="00F53DD5"/>
    <w:rsid w:val="00F54AB0"/>
    <w:rsid w:val="00F5776E"/>
    <w:rsid w:val="00F60BEE"/>
    <w:rsid w:val="00F621FE"/>
    <w:rsid w:val="00F6262B"/>
    <w:rsid w:val="00F63245"/>
    <w:rsid w:val="00F63342"/>
    <w:rsid w:val="00F648D0"/>
    <w:rsid w:val="00F66F3B"/>
    <w:rsid w:val="00F70967"/>
    <w:rsid w:val="00F71719"/>
    <w:rsid w:val="00F722BC"/>
    <w:rsid w:val="00F73561"/>
    <w:rsid w:val="00F77950"/>
    <w:rsid w:val="00F8181D"/>
    <w:rsid w:val="00F81820"/>
    <w:rsid w:val="00F81EBD"/>
    <w:rsid w:val="00F8269F"/>
    <w:rsid w:val="00F84CBF"/>
    <w:rsid w:val="00F907C7"/>
    <w:rsid w:val="00F92ACB"/>
    <w:rsid w:val="00F93C2C"/>
    <w:rsid w:val="00F96653"/>
    <w:rsid w:val="00F9792B"/>
    <w:rsid w:val="00F97A53"/>
    <w:rsid w:val="00FA4B69"/>
    <w:rsid w:val="00FA718F"/>
    <w:rsid w:val="00FB0607"/>
    <w:rsid w:val="00FB08B1"/>
    <w:rsid w:val="00FB0A27"/>
    <w:rsid w:val="00FB109B"/>
    <w:rsid w:val="00FB10CF"/>
    <w:rsid w:val="00FB1FE9"/>
    <w:rsid w:val="00FB2568"/>
    <w:rsid w:val="00FB26C1"/>
    <w:rsid w:val="00FB5F49"/>
    <w:rsid w:val="00FB6A2B"/>
    <w:rsid w:val="00FC046E"/>
    <w:rsid w:val="00FC0807"/>
    <w:rsid w:val="00FC1240"/>
    <w:rsid w:val="00FC1D34"/>
    <w:rsid w:val="00FC3791"/>
    <w:rsid w:val="00FC5236"/>
    <w:rsid w:val="00FD1210"/>
    <w:rsid w:val="00FD21BF"/>
    <w:rsid w:val="00FD2393"/>
    <w:rsid w:val="00FD6E6B"/>
    <w:rsid w:val="00FD77EE"/>
    <w:rsid w:val="00FE0205"/>
    <w:rsid w:val="00FE04C7"/>
    <w:rsid w:val="00FE04EB"/>
    <w:rsid w:val="00FE1F5F"/>
    <w:rsid w:val="00FE31A7"/>
    <w:rsid w:val="00FE38A2"/>
    <w:rsid w:val="00FE3A6E"/>
    <w:rsid w:val="00FE5557"/>
    <w:rsid w:val="00FE6023"/>
    <w:rsid w:val="00FE6D4C"/>
    <w:rsid w:val="00FE6F73"/>
    <w:rsid w:val="00FE7947"/>
    <w:rsid w:val="00FF2EA0"/>
    <w:rsid w:val="00FF2F18"/>
    <w:rsid w:val="00FF7B0E"/>
    <w:rsid w:val="0147CF9A"/>
    <w:rsid w:val="0E3F75EA"/>
    <w:rsid w:val="169E4DBA"/>
    <w:rsid w:val="1EF471D5"/>
    <w:rsid w:val="21C8E319"/>
    <w:rsid w:val="222A6601"/>
    <w:rsid w:val="23A74C89"/>
    <w:rsid w:val="267CD2EB"/>
    <w:rsid w:val="26F64F40"/>
    <w:rsid w:val="2C1F28DB"/>
    <w:rsid w:val="2CDD9C1F"/>
    <w:rsid w:val="2D348DDF"/>
    <w:rsid w:val="2D376452"/>
    <w:rsid w:val="3295EE46"/>
    <w:rsid w:val="32BACD58"/>
    <w:rsid w:val="383423EB"/>
    <w:rsid w:val="3B3E2FB3"/>
    <w:rsid w:val="3CBB163B"/>
    <w:rsid w:val="3D000D2A"/>
    <w:rsid w:val="3E94ED1F"/>
    <w:rsid w:val="41A8DC56"/>
    <w:rsid w:val="428A69AD"/>
    <w:rsid w:val="444C4724"/>
    <w:rsid w:val="4A1ACD3C"/>
    <w:rsid w:val="4EA28CE6"/>
    <w:rsid w:val="4F713EE2"/>
    <w:rsid w:val="52C4D425"/>
    <w:rsid w:val="5486B19C"/>
    <w:rsid w:val="55CFD8FB"/>
    <w:rsid w:val="5A29078C"/>
    <w:rsid w:val="5A6DFE7B"/>
    <w:rsid w:val="5CA93472"/>
    <w:rsid w:val="5D27FEA0"/>
    <w:rsid w:val="5DE6D37A"/>
    <w:rsid w:val="5E9045BA"/>
    <w:rsid w:val="651E0C70"/>
    <w:rsid w:val="65C7AAB1"/>
    <w:rsid w:val="68899B20"/>
    <w:rsid w:val="6D2FD8DF"/>
    <w:rsid w:val="70D33B2B"/>
    <w:rsid w:val="74E6B548"/>
    <w:rsid w:val="79196E10"/>
    <w:rsid w:val="7AE2D36B"/>
    <w:rsid w:val="7C660FD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850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5776E"/>
    <w:rPr>
      <w:rFonts w:ascii="Arial" w:hAnsi="Arial"/>
      <w:sz w:val="18"/>
    </w:rPr>
  </w:style>
  <w:style w:type="paragraph" w:styleId="Header">
    <w:name w:val="header"/>
    <w:basedOn w:val="Normal"/>
    <w:rsid w:val="001441A2"/>
    <w:pPr>
      <w:tabs>
        <w:tab w:val="center" w:pos="4320"/>
        <w:tab w:val="right" w:pos="8640"/>
      </w:tabs>
    </w:pPr>
  </w:style>
  <w:style w:type="paragraph" w:styleId="Footer">
    <w:name w:val="footer"/>
    <w:basedOn w:val="Normal"/>
    <w:link w:val="FooterChar"/>
    <w:uiPriority w:val="99"/>
    <w:rsid w:val="001441A2"/>
    <w:pPr>
      <w:tabs>
        <w:tab w:val="center" w:pos="4320"/>
        <w:tab w:val="right" w:pos="8640"/>
      </w:tabs>
    </w:pPr>
  </w:style>
  <w:style w:type="character" w:styleId="CommentReference">
    <w:name w:val="annotation reference"/>
    <w:uiPriority w:val="99"/>
    <w:semiHidden/>
    <w:rsid w:val="00A57433"/>
    <w:rPr>
      <w:sz w:val="16"/>
      <w:szCs w:val="16"/>
    </w:rPr>
  </w:style>
  <w:style w:type="paragraph" w:styleId="CommentText">
    <w:name w:val="annotation text"/>
    <w:basedOn w:val="Normal"/>
    <w:link w:val="CommentTextChar"/>
    <w:uiPriority w:val="99"/>
    <w:semiHidden/>
    <w:rsid w:val="00A57433"/>
    <w:rPr>
      <w:sz w:val="20"/>
      <w:szCs w:val="20"/>
    </w:rPr>
  </w:style>
  <w:style w:type="paragraph" w:styleId="BalloonText">
    <w:name w:val="Balloon Text"/>
    <w:basedOn w:val="Normal"/>
    <w:semiHidden/>
    <w:rsid w:val="00A57433"/>
    <w:rPr>
      <w:rFonts w:ascii="Tahoma" w:hAnsi="Tahoma" w:cs="Tahoma"/>
      <w:sz w:val="16"/>
      <w:szCs w:val="16"/>
    </w:rPr>
  </w:style>
  <w:style w:type="table" w:styleId="TableGrid">
    <w:name w:val="Table Grid"/>
    <w:basedOn w:val="TableNormal"/>
    <w:rsid w:val="00443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CA50F2"/>
    <w:rPr>
      <w:sz w:val="20"/>
      <w:szCs w:val="20"/>
    </w:rPr>
  </w:style>
  <w:style w:type="character" w:customStyle="1" w:styleId="FooterChar">
    <w:name w:val="Footer Char"/>
    <w:link w:val="Footer"/>
    <w:uiPriority w:val="99"/>
    <w:rsid w:val="000459CE"/>
    <w:rPr>
      <w:sz w:val="24"/>
      <w:szCs w:val="24"/>
    </w:rPr>
  </w:style>
  <w:style w:type="paragraph" w:styleId="EndnoteText">
    <w:name w:val="endnote text"/>
    <w:basedOn w:val="Normal"/>
    <w:link w:val="EndnoteTextChar"/>
    <w:rsid w:val="003518BE"/>
    <w:rPr>
      <w:sz w:val="20"/>
      <w:szCs w:val="20"/>
    </w:rPr>
  </w:style>
  <w:style w:type="character" w:customStyle="1" w:styleId="EndnoteTextChar">
    <w:name w:val="Endnote Text Char"/>
    <w:basedOn w:val="DefaultParagraphFont"/>
    <w:link w:val="EndnoteText"/>
    <w:rsid w:val="003518BE"/>
  </w:style>
  <w:style w:type="character" w:styleId="EndnoteReference">
    <w:name w:val="endnote reference"/>
    <w:rsid w:val="003518BE"/>
    <w:rPr>
      <w:vertAlign w:val="superscript"/>
    </w:rPr>
  </w:style>
  <w:style w:type="paragraph" w:styleId="CommentSubject">
    <w:name w:val="annotation subject"/>
    <w:basedOn w:val="CommentText"/>
    <w:next w:val="CommentText"/>
    <w:link w:val="CommentSubjectChar"/>
    <w:rsid w:val="005B54EA"/>
    <w:rPr>
      <w:b/>
      <w:bCs/>
    </w:rPr>
  </w:style>
  <w:style w:type="character" w:customStyle="1" w:styleId="CommentTextChar">
    <w:name w:val="Comment Text Char"/>
    <w:basedOn w:val="DefaultParagraphFont"/>
    <w:link w:val="CommentText"/>
    <w:uiPriority w:val="99"/>
    <w:semiHidden/>
    <w:rsid w:val="005B54EA"/>
  </w:style>
  <w:style w:type="character" w:customStyle="1" w:styleId="CommentSubjectChar">
    <w:name w:val="Comment Subject Char"/>
    <w:link w:val="CommentSubject"/>
    <w:rsid w:val="005B54EA"/>
    <w:rPr>
      <w:b/>
      <w:bCs/>
    </w:rPr>
  </w:style>
  <w:style w:type="character" w:styleId="Hyperlink">
    <w:name w:val="Hyperlink"/>
    <w:rsid w:val="00267734"/>
    <w:rPr>
      <w:color w:val="0000FF"/>
      <w:u w:val="single"/>
    </w:rPr>
  </w:style>
  <w:style w:type="character" w:customStyle="1" w:styleId="Style">
    <w:name w:val="Style"/>
    <w:rsid w:val="00F5776E"/>
    <w:rPr>
      <w:rFonts w:ascii="Arial" w:hAnsi="Arial"/>
      <w:sz w:val="20"/>
      <w:vertAlign w:val="superscript"/>
    </w:rPr>
  </w:style>
  <w:style w:type="character" w:styleId="FollowedHyperlink">
    <w:name w:val="FollowedHyperlink"/>
    <w:rsid w:val="00F5776E"/>
    <w:rPr>
      <w:color w:val="800080"/>
      <w:u w:val="single"/>
    </w:rPr>
  </w:style>
  <w:style w:type="paragraph" w:styleId="NormalWeb">
    <w:name w:val="Normal (Web)"/>
    <w:basedOn w:val="Normal"/>
    <w:rsid w:val="002002D7"/>
    <w:pPr>
      <w:widowControl/>
      <w:autoSpaceDE/>
      <w:autoSpaceDN/>
      <w:adjustRightInd/>
      <w:spacing w:before="100" w:beforeAutospacing="1" w:after="100" w:afterAutospacing="1"/>
    </w:pPr>
  </w:style>
  <w:style w:type="paragraph" w:customStyle="1" w:styleId="Level1">
    <w:name w:val="Level 1"/>
    <w:basedOn w:val="Normal"/>
    <w:rsid w:val="00AB17AB"/>
    <w:pPr>
      <w:autoSpaceDE/>
      <w:autoSpaceDN/>
      <w:adjustRightInd/>
    </w:pPr>
    <w:rPr>
      <w:szCs w:val="20"/>
    </w:rPr>
  </w:style>
  <w:style w:type="paragraph" w:styleId="Revision">
    <w:name w:val="Revision"/>
    <w:hidden/>
    <w:uiPriority w:val="99"/>
    <w:semiHidden/>
    <w:rsid w:val="006911AE"/>
    <w:rPr>
      <w:sz w:val="24"/>
      <w:szCs w:val="24"/>
    </w:rPr>
  </w:style>
  <w:style w:type="paragraph" w:styleId="ListBullet">
    <w:name w:val="List Bullet"/>
    <w:basedOn w:val="Normal"/>
    <w:uiPriority w:val="99"/>
    <w:unhideWhenUsed/>
    <w:rsid w:val="00C70474"/>
    <w:pPr>
      <w:widowControl/>
      <w:numPr>
        <w:numId w:val="9"/>
      </w:numPr>
      <w:autoSpaceDE/>
      <w:autoSpaceDN/>
      <w:adjustRightInd/>
      <w:spacing w:line="276" w:lineRule="auto"/>
      <w:contextualSpacing/>
    </w:pPr>
    <w:rPr>
      <w:rFonts w:ascii="Arial" w:hAnsi="Arial" w:eastAsiaTheme="minorHAnsi" w:cs="Arial"/>
      <w:sz w:val="22"/>
      <w:szCs w:val="22"/>
    </w:rPr>
  </w:style>
  <w:style w:type="paragraph" w:styleId="ListParagraph">
    <w:name w:val="List Paragraph"/>
    <w:basedOn w:val="Normal"/>
    <w:uiPriority w:val="34"/>
    <w:qFormat/>
    <w:rsid w:val="00C70474"/>
    <w:pPr>
      <w:widowControl/>
      <w:autoSpaceDE/>
      <w:autoSpaceDN/>
      <w:adjustRightInd/>
      <w:spacing w:line="276" w:lineRule="auto"/>
      <w:ind w:left="720"/>
      <w:contextualSpacing/>
    </w:pPr>
    <w:rPr>
      <w:rFonts w:ascii="Arial" w:hAnsi="Arial" w:eastAsiaTheme="minorHAnsi" w:cs="Arial"/>
      <w:sz w:val="22"/>
      <w:szCs w:val="22"/>
    </w:rPr>
  </w:style>
  <w:style w:type="paragraph" w:customStyle="1" w:styleId="Default">
    <w:name w:val="Default"/>
    <w:rsid w:val="00E05077"/>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semiHidden/>
    <w:rsid w:val="00541C28"/>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www.nrc.gov/site-help/electronic-sub-ref-mat.html"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EA511640-644A-4D71-9EAC-91EA18BD2594}">
  <ds:schemaRefs>
    <ds:schemaRef ds:uri="http://schemas.openxmlformats.org/officeDocument/2006/bibliography"/>
  </ds:schemaRefs>
</ds:datastoreItem>
</file>

<file path=customXml/itemProps2.xml><?xml version="1.0" encoding="utf-8"?>
<ds:datastoreItem xmlns:ds="http://schemas.openxmlformats.org/officeDocument/2006/customXml" ds:itemID="{3FDD4E23-7D27-4DC0-80A3-6C02D5B6680D}">
  <ds:schemaRefs>
    <ds:schemaRef ds:uri="http://schemas.microsoft.com/office/2006/metadata/longPropertie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2830</Words>
  <Characters>15578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2023-08-15T15:26:00Z</dcterms:created>
  <dcterms:modified xsi:type="dcterms:W3CDTF">2023-08-22T20:51:00Z</dcterms:modified>
</cp:coreProperties>
</file>