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77777777"/>
    <w:p w:rsidR="003225D2" w:rsidRPr="00533AD2" w:rsidP="001650D5" w14:paraId="00B8C0D6" w14:textId="52DE246B">
      <w:pPr>
        <w:jc w:val="center"/>
        <w:rPr>
          <w:b/>
          <w:caps/>
          <w:sz w:val="24"/>
          <w:szCs w:val="24"/>
        </w:rPr>
      </w:pPr>
      <w:r w:rsidRPr="00533AD2">
        <w:rPr>
          <w:b/>
          <w:caps/>
          <w:sz w:val="24"/>
          <w:szCs w:val="24"/>
        </w:rPr>
        <w:t>Supporting</w:t>
      </w:r>
      <w:r w:rsidRPr="00533AD2">
        <w:rPr>
          <w:b/>
          <w:sz w:val="24"/>
          <w:szCs w:val="24"/>
        </w:rPr>
        <w:t xml:space="preserve"> </w:t>
      </w:r>
      <w:r w:rsidRPr="00533AD2">
        <w:rPr>
          <w:b/>
          <w:caps/>
          <w:sz w:val="24"/>
          <w:szCs w:val="24"/>
        </w:rPr>
        <w:t>Statement</w:t>
      </w:r>
      <w:r w:rsidRPr="00533AD2" w:rsidR="00A4452C">
        <w:rPr>
          <w:b/>
          <w:caps/>
          <w:sz w:val="24"/>
          <w:szCs w:val="24"/>
        </w:rPr>
        <w:t xml:space="preserve"> For</w:t>
      </w:r>
    </w:p>
    <w:p w:rsidR="0049246F" w:rsidRPr="00533AD2" w:rsidP="0049246F" w14:paraId="676B117D" w14:textId="77777777">
      <w:pPr>
        <w:jc w:val="center"/>
        <w:rPr>
          <w:b/>
          <w:caps/>
          <w:sz w:val="24"/>
          <w:szCs w:val="24"/>
        </w:rPr>
      </w:pPr>
      <w:r w:rsidRPr="00533AD2">
        <w:rPr>
          <w:b/>
          <w:caps/>
          <w:sz w:val="24"/>
          <w:szCs w:val="24"/>
        </w:rPr>
        <w:t>CFPB National Age-Friendly Banking Survey</w:t>
      </w:r>
    </w:p>
    <w:p w:rsidR="003225D2" w:rsidRPr="00533AD2" w:rsidP="003225D2" w14:paraId="4ACA79D4" w14:textId="78DB603A">
      <w:pPr>
        <w:jc w:val="center"/>
        <w:rPr>
          <w:b/>
          <w:bCs/>
          <w:sz w:val="24"/>
          <w:szCs w:val="24"/>
          <w:lang w:val=""/>
        </w:rPr>
      </w:pPr>
      <w:r w:rsidRPr="00533AD2">
        <w:rPr>
          <w:b/>
          <w:bCs/>
          <w:sz w:val="24"/>
          <w:szCs w:val="24"/>
          <w:lang w:val=""/>
        </w:rPr>
        <w:t>OMB CONTROL NO.</w:t>
      </w:r>
      <w:r w:rsidRPr="00533AD2" w:rsidR="004D6F7D">
        <w:rPr>
          <w:b/>
          <w:bCs/>
          <w:sz w:val="24"/>
          <w:szCs w:val="24"/>
          <w:lang w:val=""/>
        </w:rPr>
        <w:t>:</w:t>
      </w:r>
      <w:r w:rsidRPr="00533AD2">
        <w:rPr>
          <w:b/>
          <w:bCs/>
          <w:sz w:val="24"/>
          <w:szCs w:val="24"/>
          <w:lang w:val=""/>
        </w:rPr>
        <w:t xml:space="preserve"> </w:t>
      </w:r>
      <w:r w:rsidRPr="00533AD2" w:rsidR="00E81562">
        <w:rPr>
          <w:b/>
          <w:bCs/>
          <w:sz w:val="24"/>
          <w:szCs w:val="24"/>
          <w:lang w:val=""/>
        </w:rPr>
        <w:t>3170-0</w:t>
      </w:r>
      <w:r w:rsidRPr="00533AD2" w:rsidR="001650D5">
        <w:rPr>
          <w:b/>
          <w:bCs/>
          <w:sz w:val="24"/>
          <w:szCs w:val="24"/>
          <w:lang w:val=""/>
        </w:rPr>
        <w:t>0XX</w:t>
      </w:r>
    </w:p>
    <w:p w:rsidR="00A4452C" w:rsidRPr="00533AD2" w:rsidP="000F0DD6" w14:paraId="7DC5C315" w14:textId="2E5EA928">
      <w:pPr>
        <w:tabs>
          <w:tab w:val="left" w:pos="880"/>
        </w:tabs>
        <w:rPr>
          <w:b/>
          <w:caps/>
          <w:sz w:val="24"/>
          <w:lang w:val=""/>
        </w:rPr>
      </w:pPr>
    </w:p>
    <w:p w:rsidR="005F1FFC" w:rsidRPr="00533AD2" w:rsidP="005F1FFC" w14:paraId="14A29F18" w14:textId="77777777">
      <w:pPr>
        <w:jc w:val="center"/>
        <w:rPr>
          <w:b/>
          <w:sz w:val="24"/>
          <w:lang w:val=""/>
        </w:rPr>
      </w:pPr>
    </w:p>
    <w:p w:rsidR="005F1FFC" w:rsidRPr="00533AD2" w:rsidP="005F1FFC" w14:paraId="3DBE2AB2" w14:textId="77777777">
      <w:pPr>
        <w:rPr>
          <w:b/>
          <w:sz w:val="24"/>
        </w:rPr>
      </w:pPr>
      <w:r w:rsidRPr="00533AD2">
        <w:rPr>
          <w:b/>
          <w:sz w:val="24"/>
          <w:lang w:val=""/>
        </w:rPr>
        <w:t xml:space="preserve">A.  </w:t>
      </w:r>
      <w:r w:rsidRPr="00533AD2">
        <w:rPr>
          <w:b/>
          <w:caps/>
          <w:sz w:val="24"/>
        </w:rPr>
        <w:t>Justification</w:t>
      </w:r>
    </w:p>
    <w:p w:rsidR="005F1FFC" w:rsidRPr="00533AD2" w:rsidP="005F1FFC" w14:paraId="4378B360" w14:textId="77777777">
      <w:pPr>
        <w:rPr>
          <w:b/>
          <w:sz w:val="24"/>
        </w:rPr>
      </w:pPr>
    </w:p>
    <w:p w:rsidR="00092D91" w:rsidRPr="00533AD2" w:rsidP="00092D91" w14:paraId="08863302" w14:textId="77777777">
      <w:pPr>
        <w:rPr>
          <w:sz w:val="24"/>
        </w:rPr>
      </w:pPr>
      <w:r w:rsidRPr="00533AD2">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RPr="00533AD2" w:rsidP="005F1FFC" w14:paraId="1F5F91FF" w14:textId="77777777">
      <w:pPr>
        <w:rPr>
          <w:sz w:val="24"/>
        </w:rPr>
      </w:pPr>
    </w:p>
    <w:p w:rsidR="00790ED5" w:rsidRPr="005D714C" w:rsidP="00790ED5" w14:paraId="51BDF8D7" w14:textId="599724DE">
      <w:pPr>
        <w:rPr>
          <w:sz w:val="24"/>
        </w:rPr>
      </w:pPr>
      <w:r w:rsidRPr="00533AD2">
        <w:rPr>
          <w:sz w:val="24"/>
        </w:rPr>
        <w:t>Older adults are</w:t>
      </w:r>
      <w:r w:rsidR="00466463">
        <w:rPr>
          <w:sz w:val="24"/>
        </w:rPr>
        <w:t xml:space="preserve"> </w:t>
      </w:r>
      <w:r w:rsidRPr="00533AD2">
        <w:rPr>
          <w:sz w:val="24"/>
        </w:rPr>
        <w:t>increasingly an important customer base for banks and credit unions.</w:t>
      </w:r>
      <w:r w:rsidRPr="00533AD2" w:rsidR="00C278BA">
        <w:rPr>
          <w:sz w:val="24"/>
        </w:rPr>
        <w:t xml:space="preserve"> </w:t>
      </w:r>
      <w:r w:rsidRPr="00533AD2">
        <w:rPr>
          <w:sz w:val="24"/>
        </w:rPr>
        <w:t xml:space="preserve"> In </w:t>
      </w:r>
      <w:r w:rsidRPr="005D714C">
        <w:rPr>
          <w:sz w:val="24"/>
        </w:rPr>
        <w:t xml:space="preserve">2019, the </w:t>
      </w:r>
      <w:r w:rsidRPr="005D714C" w:rsidR="005F5E03">
        <w:rPr>
          <w:sz w:val="24"/>
        </w:rPr>
        <w:t xml:space="preserve">Federal Deposit Insurance Corporation (FDIC) </w:t>
      </w:r>
      <w:r w:rsidRPr="005D714C">
        <w:rPr>
          <w:sz w:val="24"/>
        </w:rPr>
        <w:t xml:space="preserve">estimated that 96.7 percent of households led by older Americans had transaction and/or deposit accounts at either a bank or credit union. </w:t>
      </w:r>
      <w:r w:rsidRPr="005D714C" w:rsidR="00C278BA">
        <w:rPr>
          <w:sz w:val="24"/>
        </w:rPr>
        <w:t xml:space="preserve"> </w:t>
      </w:r>
      <w:r w:rsidRPr="005D714C">
        <w:rPr>
          <w:sz w:val="24"/>
        </w:rPr>
        <w:t>Th</w:t>
      </w:r>
      <w:r w:rsidRPr="005D714C" w:rsidR="00D049BF">
        <w:rPr>
          <w:sz w:val="24"/>
        </w:rPr>
        <w:t>is</w:t>
      </w:r>
      <w:r w:rsidRPr="005D714C">
        <w:rPr>
          <w:sz w:val="24"/>
        </w:rPr>
        <w:t xml:space="preserve"> survey</w:t>
      </w:r>
      <w:r w:rsidRPr="005D714C" w:rsidR="00D049BF">
        <w:rPr>
          <w:sz w:val="24"/>
        </w:rPr>
        <w:t xml:space="preserve"> has</w:t>
      </w:r>
      <w:r w:rsidRPr="005D714C">
        <w:rPr>
          <w:sz w:val="24"/>
        </w:rPr>
        <w:t xml:space="preserve"> show</w:t>
      </w:r>
      <w:r w:rsidRPr="005D714C" w:rsidR="00D049BF">
        <w:rPr>
          <w:sz w:val="24"/>
        </w:rPr>
        <w:t>n</w:t>
      </w:r>
      <w:r w:rsidRPr="005D714C">
        <w:rPr>
          <w:sz w:val="24"/>
        </w:rPr>
        <w:t xml:space="preserve"> that older households have the highest banking rates of all age groups. </w:t>
      </w:r>
      <w:r w:rsidRPr="005D714C" w:rsidR="00C278BA">
        <w:rPr>
          <w:sz w:val="24"/>
        </w:rPr>
        <w:t xml:space="preserve"> </w:t>
      </w:r>
      <w:r w:rsidRPr="005D714C">
        <w:rPr>
          <w:sz w:val="24"/>
        </w:rPr>
        <w:t>Th</w:t>
      </w:r>
      <w:r w:rsidRPr="005D714C" w:rsidR="00D049BF">
        <w:rPr>
          <w:sz w:val="24"/>
        </w:rPr>
        <w:t>is</w:t>
      </w:r>
      <w:r w:rsidRPr="005D714C">
        <w:rPr>
          <w:sz w:val="24"/>
        </w:rPr>
        <w:t xml:space="preserve"> survey </w:t>
      </w:r>
      <w:r w:rsidRPr="005D714C" w:rsidR="00D049BF">
        <w:rPr>
          <w:sz w:val="24"/>
        </w:rPr>
        <w:t xml:space="preserve">has </w:t>
      </w:r>
      <w:r w:rsidRPr="005D714C">
        <w:rPr>
          <w:sz w:val="24"/>
        </w:rPr>
        <w:t>also show</w:t>
      </w:r>
      <w:r w:rsidRPr="005D714C" w:rsidR="00D049BF">
        <w:rPr>
          <w:sz w:val="24"/>
        </w:rPr>
        <w:t>n</w:t>
      </w:r>
      <w:r w:rsidRPr="005D714C">
        <w:rPr>
          <w:sz w:val="24"/>
        </w:rPr>
        <w:t xml:space="preserve"> that older adults’ share of all depositors increased between 2015 and 2019 from 25 percent to 27 percent. </w:t>
      </w:r>
      <w:r w:rsidRPr="005D714C" w:rsidR="00C278BA">
        <w:rPr>
          <w:sz w:val="24"/>
        </w:rPr>
        <w:t xml:space="preserve"> </w:t>
      </w:r>
      <w:r w:rsidRPr="005D714C">
        <w:rPr>
          <w:sz w:val="24"/>
        </w:rPr>
        <w:t>Other studies have also shown that older adults account for a significant share of all deposits in banks and credit unions</w:t>
      </w:r>
      <w:r w:rsidRPr="005D714C" w:rsidR="009F62B6">
        <w:rPr>
          <w:sz w:val="24"/>
        </w:rPr>
        <w:t xml:space="preserve"> and</w:t>
      </w:r>
      <w:r w:rsidRPr="005D714C" w:rsidR="000062D5">
        <w:rPr>
          <w:sz w:val="24"/>
        </w:rPr>
        <w:t xml:space="preserve"> </w:t>
      </w:r>
      <w:r w:rsidRPr="005D714C">
        <w:rPr>
          <w:sz w:val="24"/>
        </w:rPr>
        <w:t xml:space="preserve">on average, hold higher balances in their accounts than their younger counterparts. </w:t>
      </w:r>
    </w:p>
    <w:p w:rsidR="00790ED5" w:rsidRPr="005D714C" w:rsidP="00790ED5" w14:paraId="1FB24D78" w14:textId="77777777">
      <w:pPr>
        <w:rPr>
          <w:sz w:val="24"/>
        </w:rPr>
      </w:pPr>
    </w:p>
    <w:p w:rsidR="00B6448F" w:rsidRPr="005D714C" w:rsidP="00790ED5" w14:paraId="1DD58FE7" w14:textId="5B3F0800">
      <w:pPr>
        <w:rPr>
          <w:sz w:val="24"/>
        </w:rPr>
      </w:pPr>
      <w:r w:rsidRPr="005D714C">
        <w:rPr>
          <w:sz w:val="24"/>
        </w:rPr>
        <w:t xml:space="preserve">Despite the implications of these demographic patterns and trends for the products and services offered by financial institutions, there are basic knowledge gaps regarding the experiences of older adults with banking and the quality of their relationships with banks and credit unions. </w:t>
      </w:r>
      <w:r w:rsidRPr="005D714C" w:rsidR="002F14EF">
        <w:rPr>
          <w:sz w:val="24"/>
        </w:rPr>
        <w:t xml:space="preserve"> </w:t>
      </w:r>
      <w:r w:rsidRPr="005D714C">
        <w:rPr>
          <w:sz w:val="24"/>
        </w:rPr>
        <w:t>These include gaps in our knowledge of the importance, availability, and use of “age-friendly” features that</w:t>
      </w:r>
      <w:r w:rsidRPr="005D714C">
        <w:rPr>
          <w:sz w:val="24"/>
        </w:rPr>
        <w:t>:</w:t>
      </w:r>
    </w:p>
    <w:p w:rsidR="00BE792C" w:rsidRPr="005D714C" w:rsidP="00B6448F" w14:paraId="087AC24B" w14:textId="52026BC9">
      <w:pPr>
        <w:pStyle w:val="ListParagraph"/>
        <w:numPr>
          <w:ilvl w:val="0"/>
          <w:numId w:val="27"/>
        </w:numPr>
        <w:rPr>
          <w:rFonts w:ascii="Times New Roman" w:hAnsi="Times New Roman"/>
          <w:sz w:val="24"/>
        </w:rPr>
      </w:pPr>
      <w:r w:rsidRPr="005D714C">
        <w:rPr>
          <w:rFonts w:ascii="Times New Roman" w:hAnsi="Times New Roman"/>
          <w:sz w:val="24"/>
        </w:rPr>
        <w:t>offer older adults protections against the increasing threat of fraud</w:t>
      </w:r>
      <w:r w:rsidRPr="005D714C" w:rsidR="004C3D5C">
        <w:rPr>
          <w:rFonts w:ascii="Times New Roman" w:hAnsi="Times New Roman"/>
          <w:sz w:val="24"/>
        </w:rPr>
        <w:t xml:space="preserve">, </w:t>
      </w:r>
      <w:r w:rsidRPr="005D714C">
        <w:rPr>
          <w:rFonts w:ascii="Times New Roman" w:hAnsi="Times New Roman"/>
          <w:sz w:val="24"/>
        </w:rPr>
        <w:t>scams,</w:t>
      </w:r>
      <w:r w:rsidRPr="005D714C" w:rsidR="004C3D5C">
        <w:rPr>
          <w:rFonts w:ascii="Times New Roman" w:hAnsi="Times New Roman"/>
          <w:sz w:val="24"/>
        </w:rPr>
        <w:t xml:space="preserve"> and elder financial </w:t>
      </w:r>
      <w:r w:rsidRPr="005D714C" w:rsidR="004C3D5C">
        <w:rPr>
          <w:rFonts w:ascii="Times New Roman" w:hAnsi="Times New Roman"/>
          <w:sz w:val="24"/>
        </w:rPr>
        <w:t>exploitation;</w:t>
      </w:r>
    </w:p>
    <w:p w:rsidR="00BE792C" w:rsidRPr="005D714C" w:rsidP="00B6448F" w14:paraId="5AD9F76D" w14:textId="77777777">
      <w:pPr>
        <w:pStyle w:val="ListParagraph"/>
        <w:numPr>
          <w:ilvl w:val="0"/>
          <w:numId w:val="27"/>
        </w:numPr>
        <w:rPr>
          <w:rFonts w:ascii="Times New Roman" w:hAnsi="Times New Roman"/>
          <w:sz w:val="24"/>
        </w:rPr>
      </w:pPr>
      <w:r w:rsidRPr="005D714C">
        <w:rPr>
          <w:rFonts w:ascii="Times New Roman" w:hAnsi="Times New Roman"/>
          <w:sz w:val="24"/>
        </w:rPr>
        <w:t>empower</w:t>
      </w:r>
      <w:r w:rsidRPr="005D714C" w:rsidR="00790ED5">
        <w:rPr>
          <w:rFonts w:ascii="Times New Roman" w:hAnsi="Times New Roman"/>
          <w:sz w:val="24"/>
        </w:rPr>
        <w:t xml:space="preserve"> financial caregivers to help older adults manage their finances</w:t>
      </w:r>
      <w:r w:rsidRPr="005D714C" w:rsidR="004C3D5C">
        <w:rPr>
          <w:rFonts w:ascii="Times New Roman" w:hAnsi="Times New Roman"/>
          <w:sz w:val="24"/>
        </w:rPr>
        <w:t>;</w:t>
      </w:r>
      <w:r w:rsidRPr="005D714C" w:rsidR="00790ED5">
        <w:rPr>
          <w:rFonts w:ascii="Times New Roman" w:hAnsi="Times New Roman"/>
          <w:sz w:val="24"/>
        </w:rPr>
        <w:t xml:space="preserve"> and </w:t>
      </w:r>
    </w:p>
    <w:p w:rsidR="00BE792C" w:rsidRPr="005D714C" w:rsidP="00B6448F" w14:paraId="256A27A9" w14:textId="41EDDB61">
      <w:pPr>
        <w:pStyle w:val="ListParagraph"/>
        <w:numPr>
          <w:ilvl w:val="0"/>
          <w:numId w:val="27"/>
        </w:numPr>
        <w:rPr>
          <w:rFonts w:ascii="Times New Roman" w:hAnsi="Times New Roman"/>
          <w:sz w:val="24"/>
        </w:rPr>
      </w:pPr>
      <w:r w:rsidRPr="005D714C">
        <w:rPr>
          <w:rFonts w:ascii="Times New Roman" w:hAnsi="Times New Roman"/>
          <w:sz w:val="24"/>
        </w:rPr>
        <w:t xml:space="preserve">improve accessibility of banking services such as making deposits and withdrawals. </w:t>
      </w:r>
      <w:r w:rsidRPr="005D714C" w:rsidR="00200AF7">
        <w:rPr>
          <w:rFonts w:ascii="Times New Roman" w:hAnsi="Times New Roman"/>
          <w:sz w:val="24"/>
        </w:rPr>
        <w:t xml:space="preserve"> </w:t>
      </w:r>
    </w:p>
    <w:p w:rsidR="00BE792C" w:rsidRPr="005D714C" w:rsidP="00634142" w14:paraId="11C517E7" w14:textId="77777777">
      <w:pPr>
        <w:pStyle w:val="ListParagraph"/>
        <w:rPr>
          <w:rFonts w:ascii="Times New Roman" w:hAnsi="Times New Roman"/>
          <w:sz w:val="24"/>
        </w:rPr>
      </w:pPr>
    </w:p>
    <w:p w:rsidR="00E939D3" w:rsidRPr="005D714C" w:rsidP="00BE792C" w14:paraId="2A8A43BC" w14:textId="125CEB8C">
      <w:pPr>
        <w:rPr>
          <w:sz w:val="24"/>
        </w:rPr>
      </w:pPr>
      <w:r w:rsidRPr="005D714C">
        <w:rPr>
          <w:sz w:val="24"/>
        </w:rPr>
        <w:t xml:space="preserve">Similarly, there are gaps in knowledge regarding the experiences of older adults with access to </w:t>
      </w:r>
      <w:r w:rsidRPr="005D714C" w:rsidR="00997617">
        <w:rPr>
          <w:sz w:val="24"/>
        </w:rPr>
        <w:t xml:space="preserve">quality </w:t>
      </w:r>
      <w:r w:rsidRPr="005D714C">
        <w:rPr>
          <w:sz w:val="24"/>
        </w:rPr>
        <w:t xml:space="preserve">customer service, affordable account features and banking fees, in-person and alternative banking options, ATMs and other services, and lending that fits the needs of older adults and their income sources, particularly as bank mergers, branch closures, and transition to digital/online services continue to increase. </w:t>
      </w:r>
      <w:r w:rsidRPr="005D714C" w:rsidR="006A46DE">
        <w:rPr>
          <w:sz w:val="24"/>
        </w:rPr>
        <w:t xml:space="preserve"> </w:t>
      </w:r>
      <w:r w:rsidRPr="005D714C">
        <w:rPr>
          <w:sz w:val="24"/>
        </w:rPr>
        <w:t>Lastly, there are gaps in knowledge regarding older adults’ awareness, understanding and preferences for banking features and services that are broadly promoted and targeted to older adults.</w:t>
      </w:r>
    </w:p>
    <w:p w:rsidR="00B86D34" w:rsidRPr="005D714C" w:rsidP="005F1FFC" w14:paraId="796F098F" w14:textId="1B1C57CF">
      <w:pPr>
        <w:rPr>
          <w:sz w:val="24"/>
        </w:rPr>
      </w:pPr>
    </w:p>
    <w:p w:rsidR="00521D4A" w:rsidRPr="005D714C" w:rsidP="00D30993" w14:paraId="4183A1E3" w14:textId="77777777">
      <w:pPr>
        <w:rPr>
          <w:sz w:val="24"/>
        </w:rPr>
      </w:pPr>
      <w:r w:rsidRPr="005D714C">
        <w:rPr>
          <w:sz w:val="24"/>
        </w:rPr>
        <w:t xml:space="preserve">This collection is conducted pursuant to 12 U.S.C.§ 5493(g)(3). </w:t>
      </w:r>
      <w:r w:rsidRPr="005D714C" w:rsidR="009A74B5">
        <w:rPr>
          <w:sz w:val="24"/>
        </w:rPr>
        <w:t xml:space="preserve"> </w:t>
      </w:r>
      <w:r w:rsidRPr="005D714C">
        <w:rPr>
          <w:sz w:val="24"/>
        </w:rPr>
        <w:t>The data obtained through this survey will support the Consumer Financial Protection Bureau (CFPB) Office of Financial Protection for Older Americans’ work to</w:t>
      </w:r>
      <w:r w:rsidRPr="005D714C">
        <w:rPr>
          <w:sz w:val="24"/>
        </w:rPr>
        <w:t>:</w:t>
      </w:r>
    </w:p>
    <w:p w:rsidR="005D2099" w:rsidRPr="005D714C" w:rsidP="00521D4A" w14:paraId="237AD4F4" w14:textId="5D05FE84">
      <w:pPr>
        <w:pStyle w:val="ListParagraph"/>
        <w:numPr>
          <w:ilvl w:val="0"/>
          <w:numId w:val="29"/>
        </w:numPr>
        <w:rPr>
          <w:rFonts w:ascii="Times New Roman" w:hAnsi="Times New Roman"/>
          <w:sz w:val="24"/>
        </w:rPr>
      </w:pPr>
      <w:r w:rsidRPr="005D714C">
        <w:rPr>
          <w:rFonts w:ascii="Times New Roman" w:hAnsi="Times New Roman"/>
          <w:sz w:val="24"/>
        </w:rPr>
        <w:t xml:space="preserve">develop goals for programs that provide seniors financial </w:t>
      </w:r>
      <w:r w:rsidRPr="005D714C">
        <w:rPr>
          <w:rFonts w:ascii="Times New Roman" w:hAnsi="Times New Roman"/>
          <w:sz w:val="24"/>
        </w:rPr>
        <w:t>literacy;</w:t>
      </w:r>
    </w:p>
    <w:p w:rsidR="005D2099" w:rsidRPr="005D714C" w:rsidP="00521D4A" w14:paraId="59D418A1" w14:textId="4A01E578">
      <w:pPr>
        <w:pStyle w:val="ListParagraph"/>
        <w:numPr>
          <w:ilvl w:val="0"/>
          <w:numId w:val="29"/>
        </w:numPr>
        <w:rPr>
          <w:rFonts w:ascii="Times New Roman" w:hAnsi="Times New Roman"/>
          <w:sz w:val="24"/>
        </w:rPr>
      </w:pPr>
      <w:r w:rsidRPr="005D714C">
        <w:rPr>
          <w:rFonts w:ascii="Times New Roman" w:hAnsi="Times New Roman"/>
          <w:sz w:val="24"/>
        </w:rPr>
        <w:t xml:space="preserve">identify best practices and effective methods, tools, technology and strategies to educate and counsel seniors about personal finance </w:t>
      </w:r>
      <w:r w:rsidRPr="005D714C">
        <w:rPr>
          <w:rFonts w:ascii="Times New Roman" w:hAnsi="Times New Roman"/>
          <w:sz w:val="24"/>
        </w:rPr>
        <w:t>management;</w:t>
      </w:r>
    </w:p>
    <w:p w:rsidR="00D30993" w:rsidRPr="005D714C" w:rsidP="00634142" w14:paraId="252A24C5" w14:textId="45CD0C6D">
      <w:pPr>
        <w:pStyle w:val="ListParagraph"/>
        <w:numPr>
          <w:ilvl w:val="0"/>
          <w:numId w:val="29"/>
        </w:numPr>
        <w:rPr>
          <w:rFonts w:ascii="Times New Roman" w:hAnsi="Times New Roman"/>
          <w:sz w:val="24"/>
        </w:rPr>
      </w:pPr>
      <w:r w:rsidRPr="005D714C">
        <w:rPr>
          <w:rFonts w:ascii="Times New Roman" w:hAnsi="Times New Roman"/>
          <w:sz w:val="24"/>
        </w:rPr>
        <w:t>coordinate consumer protection efforts of seniors with other Federal agencies and state regulators; and (d) work with community organizations, non-profit organizations, and other entities that are involved with educating or assisting seniors.</w:t>
      </w:r>
    </w:p>
    <w:p w:rsidR="00D30993" w:rsidRPr="00533AD2" w:rsidP="005F1FFC" w14:paraId="29614D75" w14:textId="77777777">
      <w:pPr>
        <w:rPr>
          <w:sz w:val="24"/>
        </w:rPr>
      </w:pPr>
    </w:p>
    <w:p w:rsidR="00092D91" w:rsidRPr="00533AD2" w:rsidP="00092D91" w14:paraId="15554E87" w14:textId="77777777">
      <w:pPr>
        <w:rPr>
          <w:sz w:val="24"/>
        </w:rPr>
      </w:pPr>
      <w:r w:rsidRPr="00533AD2">
        <w:rPr>
          <w:b/>
          <w:bCs/>
          <w:sz w:val="24"/>
        </w:rPr>
        <w:t>2.  Indicate how, by whom, and for what purpose the information is to be used.  Except for a new collection, indicate the actual use the agency has made of the information received from the current collection.</w:t>
      </w:r>
    </w:p>
    <w:p w:rsidR="005F1FFC" w:rsidRPr="00533AD2" w:rsidP="005F1FFC" w14:paraId="04B2529C" w14:textId="36AA6F40">
      <w:pPr>
        <w:rPr>
          <w:sz w:val="24"/>
        </w:rPr>
      </w:pPr>
    </w:p>
    <w:p w:rsidR="00790ED5" w:rsidRPr="00533AD2" w:rsidP="00790ED5" w14:paraId="119CDE8E" w14:textId="77777777">
      <w:pPr>
        <w:rPr>
          <w:sz w:val="24"/>
        </w:rPr>
      </w:pPr>
      <w:r w:rsidRPr="00533AD2">
        <w:rPr>
          <w:sz w:val="24"/>
        </w:rPr>
        <w:t xml:space="preserve">By collecting this survey data, the CFPB seeks to: </w:t>
      </w:r>
    </w:p>
    <w:p w:rsidR="00790ED5" w:rsidRPr="00533AD2" w:rsidP="00790ED5" w14:paraId="4A129C6A" w14:textId="01D08021">
      <w:pPr>
        <w:pStyle w:val="ListParagraph"/>
        <w:numPr>
          <w:ilvl w:val="0"/>
          <w:numId w:val="22"/>
        </w:numPr>
        <w:rPr>
          <w:rFonts w:ascii="Times New Roman" w:hAnsi="Times New Roman"/>
          <w:sz w:val="24"/>
        </w:rPr>
      </w:pPr>
      <w:r w:rsidRPr="00533AD2">
        <w:rPr>
          <w:rFonts w:ascii="Times New Roman" w:hAnsi="Times New Roman"/>
          <w:sz w:val="24"/>
        </w:rPr>
        <w:t xml:space="preserve">Enhance the understanding of </w:t>
      </w:r>
      <w:r w:rsidRPr="00533AD2" w:rsidR="00317441">
        <w:rPr>
          <w:rFonts w:ascii="Times New Roman" w:hAnsi="Times New Roman"/>
          <w:sz w:val="24"/>
        </w:rPr>
        <w:t xml:space="preserve">older adults’ </w:t>
      </w:r>
      <w:r w:rsidRPr="00533AD2">
        <w:rPr>
          <w:rFonts w:ascii="Times New Roman" w:hAnsi="Times New Roman"/>
          <w:sz w:val="24"/>
        </w:rPr>
        <w:t>experiences with banking</w:t>
      </w:r>
      <w:r w:rsidRPr="00533AD2" w:rsidR="00317441">
        <w:rPr>
          <w:rFonts w:ascii="Times New Roman" w:hAnsi="Times New Roman"/>
          <w:sz w:val="24"/>
        </w:rPr>
        <w:t>,</w:t>
      </w:r>
      <w:r w:rsidRPr="00533AD2">
        <w:rPr>
          <w:rFonts w:ascii="Times New Roman" w:hAnsi="Times New Roman"/>
          <w:sz w:val="24"/>
        </w:rPr>
        <w:t xml:space="preserve"> including challenges and opportunities for adoption of age-friendly account features</w:t>
      </w:r>
      <w:r w:rsidRPr="00533AD2" w:rsidR="004506AE">
        <w:rPr>
          <w:rFonts w:ascii="Times New Roman" w:hAnsi="Times New Roman"/>
          <w:sz w:val="24"/>
        </w:rPr>
        <w:t>,</w:t>
      </w:r>
      <w:r w:rsidRPr="00533AD2">
        <w:rPr>
          <w:rFonts w:ascii="Times New Roman" w:hAnsi="Times New Roman"/>
          <w:sz w:val="24"/>
        </w:rPr>
        <w:t xml:space="preserve"> and </w:t>
      </w:r>
      <w:r w:rsidRPr="00533AD2" w:rsidR="004506AE">
        <w:rPr>
          <w:rFonts w:ascii="Times New Roman" w:hAnsi="Times New Roman"/>
          <w:sz w:val="24"/>
        </w:rPr>
        <w:t>examine</w:t>
      </w:r>
      <w:r w:rsidRPr="00533AD2">
        <w:rPr>
          <w:rFonts w:ascii="Times New Roman" w:hAnsi="Times New Roman"/>
          <w:sz w:val="24"/>
        </w:rPr>
        <w:t xml:space="preserve"> the quality of the relationship between older adults and their banks and credit unions.</w:t>
      </w:r>
    </w:p>
    <w:p w:rsidR="00790ED5" w:rsidRPr="00533AD2" w:rsidP="00790ED5" w14:paraId="47077C81" w14:textId="4E739803">
      <w:pPr>
        <w:pStyle w:val="ListParagraph"/>
        <w:numPr>
          <w:ilvl w:val="0"/>
          <w:numId w:val="22"/>
        </w:numPr>
        <w:rPr>
          <w:rFonts w:ascii="Times New Roman" w:hAnsi="Times New Roman"/>
          <w:sz w:val="24"/>
          <w:szCs w:val="24"/>
        </w:rPr>
      </w:pPr>
      <w:r w:rsidRPr="00533AD2">
        <w:rPr>
          <w:rFonts w:ascii="Times New Roman" w:hAnsi="Times New Roman"/>
          <w:sz w:val="24"/>
          <w:szCs w:val="24"/>
        </w:rPr>
        <w:t xml:space="preserve">Examine how banking experiences may vary </w:t>
      </w:r>
      <w:r w:rsidRPr="00533AD2" w:rsidR="3AE31150">
        <w:rPr>
          <w:rFonts w:ascii="Times New Roman" w:hAnsi="Times New Roman"/>
          <w:sz w:val="24"/>
          <w:szCs w:val="24"/>
        </w:rPr>
        <w:t xml:space="preserve">as people age and </w:t>
      </w:r>
      <w:r w:rsidRPr="00533AD2">
        <w:rPr>
          <w:rFonts w:ascii="Times New Roman" w:hAnsi="Times New Roman"/>
          <w:sz w:val="24"/>
          <w:szCs w:val="24"/>
        </w:rPr>
        <w:t xml:space="preserve">for specific subpopulations </w:t>
      </w:r>
      <w:r w:rsidRPr="00533AD2" w:rsidR="1669FBF8">
        <w:rPr>
          <w:rFonts w:ascii="Times New Roman" w:hAnsi="Times New Roman"/>
          <w:sz w:val="24"/>
          <w:szCs w:val="24"/>
        </w:rPr>
        <w:t xml:space="preserve">of older adults </w:t>
      </w:r>
      <w:r w:rsidRPr="00533AD2">
        <w:rPr>
          <w:rFonts w:ascii="Times New Roman" w:hAnsi="Times New Roman"/>
          <w:sz w:val="24"/>
          <w:szCs w:val="24"/>
        </w:rPr>
        <w:t>that face unique challenges related to accessibility and quality of banking services, such as older adults living in rural communities, older adults of color, and the oldest segment of the population (75 and older).</w:t>
      </w:r>
    </w:p>
    <w:p w:rsidR="00B86D34" w:rsidRPr="00533AD2" w:rsidP="00790ED5" w14:paraId="437AC118" w14:textId="657A9967">
      <w:pPr>
        <w:pStyle w:val="ListParagraph"/>
        <w:numPr>
          <w:ilvl w:val="0"/>
          <w:numId w:val="22"/>
        </w:numPr>
        <w:rPr>
          <w:rFonts w:ascii="Times New Roman" w:hAnsi="Times New Roman"/>
          <w:sz w:val="24"/>
          <w:szCs w:val="24"/>
        </w:rPr>
      </w:pPr>
      <w:r w:rsidRPr="00533AD2">
        <w:rPr>
          <w:rFonts w:ascii="Times New Roman" w:hAnsi="Times New Roman"/>
          <w:sz w:val="24"/>
          <w:szCs w:val="24"/>
        </w:rPr>
        <w:t>Inform its age-friendly banking and financial inclusion initiatives and</w:t>
      </w:r>
      <w:r w:rsidRPr="00533AD2">
        <w:rPr>
          <w:rFonts w:ascii="Times New Roman" w:hAnsi="Times New Roman"/>
          <w:sz w:val="24"/>
          <w:szCs w:val="24"/>
        </w:rPr>
        <w:t xml:space="preserve"> resources that are used by banks, lenders, other financial institutions</w:t>
      </w:r>
      <w:r w:rsidRPr="00533AD2" w:rsidR="004506AE">
        <w:rPr>
          <w:rFonts w:ascii="Times New Roman" w:hAnsi="Times New Roman"/>
          <w:sz w:val="24"/>
          <w:szCs w:val="24"/>
        </w:rPr>
        <w:t>, and other key stakeholders</w:t>
      </w:r>
      <w:r w:rsidRPr="00533AD2">
        <w:rPr>
          <w:rFonts w:ascii="Times New Roman" w:hAnsi="Times New Roman"/>
          <w:sz w:val="24"/>
          <w:szCs w:val="24"/>
        </w:rPr>
        <w:t xml:space="preserve">. </w:t>
      </w:r>
    </w:p>
    <w:p w:rsidR="5778F47D" w:rsidRPr="00533AD2" w:rsidP="5778F47D" w14:paraId="0162C66C" w14:textId="7BD315EB">
      <w:pPr>
        <w:pStyle w:val="ListParagraph"/>
        <w:numPr>
          <w:ilvl w:val="0"/>
          <w:numId w:val="22"/>
        </w:numPr>
        <w:rPr>
          <w:rFonts w:ascii="Times New Roman" w:hAnsi="Times New Roman"/>
          <w:sz w:val="24"/>
          <w:szCs w:val="24"/>
        </w:rPr>
      </w:pPr>
      <w:r w:rsidRPr="00533AD2">
        <w:rPr>
          <w:rFonts w:ascii="Times New Roman" w:hAnsi="Times New Roman"/>
          <w:sz w:val="24"/>
          <w:szCs w:val="24"/>
        </w:rPr>
        <w:t>Establish and provide</w:t>
      </w:r>
      <w:r w:rsidRPr="00533AD2" w:rsidR="7702A79D">
        <w:rPr>
          <w:rFonts w:ascii="Times New Roman" w:hAnsi="Times New Roman"/>
          <w:sz w:val="24"/>
          <w:szCs w:val="24"/>
        </w:rPr>
        <w:t xml:space="preserve"> foundational data that can s</w:t>
      </w:r>
      <w:r w:rsidRPr="00533AD2" w:rsidR="3D714C2D">
        <w:rPr>
          <w:rFonts w:ascii="Times New Roman" w:hAnsi="Times New Roman"/>
          <w:sz w:val="24"/>
          <w:szCs w:val="24"/>
        </w:rPr>
        <w:t xml:space="preserve">upport </w:t>
      </w:r>
      <w:r w:rsidRPr="00533AD2">
        <w:rPr>
          <w:rFonts w:ascii="Times New Roman" w:hAnsi="Times New Roman"/>
          <w:sz w:val="24"/>
          <w:szCs w:val="24"/>
        </w:rPr>
        <w:t xml:space="preserve">consumer protection, </w:t>
      </w:r>
      <w:r w:rsidRPr="00533AD2" w:rsidR="25D6E578">
        <w:rPr>
          <w:rFonts w:ascii="Times New Roman" w:hAnsi="Times New Roman"/>
          <w:sz w:val="24"/>
          <w:szCs w:val="24"/>
        </w:rPr>
        <w:t xml:space="preserve">financial inclusion, and age-friendly community efforts by </w:t>
      </w:r>
      <w:r w:rsidRPr="00533AD2">
        <w:rPr>
          <w:rFonts w:ascii="Times New Roman" w:hAnsi="Times New Roman"/>
          <w:sz w:val="24"/>
          <w:szCs w:val="24"/>
        </w:rPr>
        <w:t xml:space="preserve">CFPB and </w:t>
      </w:r>
      <w:r w:rsidRPr="00533AD2" w:rsidR="3D714C2D">
        <w:rPr>
          <w:rFonts w:ascii="Times New Roman" w:hAnsi="Times New Roman"/>
          <w:sz w:val="24"/>
          <w:szCs w:val="24"/>
        </w:rPr>
        <w:t>other federal agencies, state regulators and localities,</w:t>
      </w:r>
      <w:r w:rsidRPr="00533AD2" w:rsidR="00952CB4">
        <w:rPr>
          <w:rFonts w:ascii="Times New Roman" w:hAnsi="Times New Roman"/>
          <w:sz w:val="24"/>
          <w:szCs w:val="24"/>
        </w:rPr>
        <w:t xml:space="preserve"> and</w:t>
      </w:r>
      <w:r w:rsidRPr="00533AD2" w:rsidR="3D714C2D">
        <w:rPr>
          <w:rFonts w:ascii="Times New Roman" w:hAnsi="Times New Roman"/>
          <w:sz w:val="24"/>
          <w:szCs w:val="24"/>
        </w:rPr>
        <w:t xml:space="preserve"> </w:t>
      </w:r>
      <w:r w:rsidRPr="00533AD2">
        <w:rPr>
          <w:rFonts w:ascii="Times New Roman" w:hAnsi="Times New Roman"/>
          <w:sz w:val="24"/>
          <w:szCs w:val="24"/>
        </w:rPr>
        <w:t xml:space="preserve">other </w:t>
      </w:r>
      <w:r w:rsidRPr="00533AD2" w:rsidR="3D714C2D">
        <w:rPr>
          <w:rFonts w:ascii="Times New Roman" w:hAnsi="Times New Roman"/>
          <w:sz w:val="24"/>
          <w:szCs w:val="24"/>
        </w:rPr>
        <w:t xml:space="preserve">entities that work with older </w:t>
      </w:r>
      <w:r w:rsidRPr="00533AD2" w:rsidR="4D873448">
        <w:rPr>
          <w:rFonts w:ascii="Times New Roman" w:hAnsi="Times New Roman"/>
          <w:sz w:val="24"/>
          <w:szCs w:val="24"/>
        </w:rPr>
        <w:t>adults.</w:t>
      </w:r>
    </w:p>
    <w:p w:rsidR="00E939D3" w:rsidRPr="00533AD2" w:rsidP="005F1FFC" w14:paraId="19B9EB12" w14:textId="77777777"/>
    <w:p w:rsidR="00092D91" w:rsidRPr="00533AD2" w:rsidP="00092D91" w14:paraId="0C7BE16B" w14:textId="77777777">
      <w:pPr>
        <w:rPr>
          <w:b/>
          <w:bCs/>
          <w:sz w:val="24"/>
          <w:szCs w:val="24"/>
        </w:rPr>
      </w:pPr>
      <w:r w:rsidRPr="00533AD2">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RPr="00533AD2" w:rsidP="005F1FFC" w14:paraId="07836B1D" w14:textId="77777777"/>
    <w:p w:rsidR="00E939D3" w:rsidRPr="00533AD2" w:rsidP="00E81562" w14:paraId="7CEBA56C" w14:textId="78FA69F0">
      <w:pPr>
        <w:rPr>
          <w:bCs/>
          <w:sz w:val="24"/>
        </w:rPr>
      </w:pPr>
      <w:r w:rsidRPr="00533AD2">
        <w:rPr>
          <w:bCs/>
          <w:sz w:val="24"/>
        </w:rPr>
        <w:t xml:space="preserve">The survey will be hosted on </w:t>
      </w:r>
      <w:r w:rsidRPr="00533AD2" w:rsidR="00D07A58">
        <w:rPr>
          <w:bCs/>
          <w:sz w:val="24"/>
        </w:rPr>
        <w:t>NORC at the University of Chicago</w:t>
      </w:r>
      <w:r w:rsidRPr="00533AD2" w:rsidR="007C51BF">
        <w:rPr>
          <w:bCs/>
          <w:sz w:val="24"/>
        </w:rPr>
        <w:t xml:space="preserve"> (</w:t>
      </w:r>
      <w:r w:rsidRPr="00533AD2">
        <w:rPr>
          <w:bCs/>
          <w:sz w:val="24"/>
        </w:rPr>
        <w:t>NORC</w:t>
      </w:r>
      <w:r w:rsidRPr="00533AD2" w:rsidR="007C51BF">
        <w:rPr>
          <w:bCs/>
          <w:sz w:val="24"/>
        </w:rPr>
        <w:t>)</w:t>
      </w:r>
      <w:r w:rsidRPr="00533AD2">
        <w:rPr>
          <w:bCs/>
          <w:sz w:val="24"/>
        </w:rPr>
        <w:t xml:space="preserve">’s </w:t>
      </w:r>
      <w:r w:rsidRPr="00533AD2">
        <w:rPr>
          <w:bCs/>
          <w:sz w:val="24"/>
        </w:rPr>
        <w:t>AmeriSpeak</w:t>
      </w:r>
      <w:r w:rsidRPr="00533AD2">
        <w:rPr>
          <w:bCs/>
          <w:sz w:val="24"/>
        </w:rPr>
        <w:t xml:space="preserve"> panel, </w:t>
      </w:r>
      <w:r w:rsidRPr="00533AD2" w:rsidR="00445B1D">
        <w:rPr>
          <w:bCs/>
          <w:sz w:val="24"/>
        </w:rPr>
        <w:t xml:space="preserve">a probability-based panel </w:t>
      </w:r>
      <w:r w:rsidRPr="00533AD2">
        <w:rPr>
          <w:bCs/>
          <w:sz w:val="24"/>
        </w:rPr>
        <w:t>which allows for both web and phone data collection methods.</w:t>
      </w:r>
      <w:r w:rsidRPr="00533AD2" w:rsidR="009A74B5">
        <w:rPr>
          <w:bCs/>
          <w:sz w:val="24"/>
        </w:rPr>
        <w:t xml:space="preserve"> </w:t>
      </w:r>
      <w:r w:rsidRPr="00533AD2" w:rsidR="00445B1D">
        <w:t xml:space="preserve"> </w:t>
      </w:r>
      <w:r w:rsidRPr="00533AD2" w:rsidR="008D1FF9">
        <w:rPr>
          <w:bCs/>
          <w:sz w:val="24"/>
        </w:rPr>
        <w:t>Sampled</w:t>
      </w:r>
      <w:r w:rsidRPr="00533AD2" w:rsidR="00445B1D">
        <w:rPr>
          <w:bCs/>
          <w:sz w:val="24"/>
        </w:rPr>
        <w:t xml:space="preserve"> participants will receive an email and/or short message service (SMS)/text notifying them that they have a survey waiting for them to complete on the </w:t>
      </w:r>
      <w:r w:rsidRPr="00533AD2" w:rsidR="00445B1D">
        <w:rPr>
          <w:bCs/>
          <w:sz w:val="24"/>
        </w:rPr>
        <w:t>AmeriSpeak</w:t>
      </w:r>
      <w:r w:rsidRPr="00533AD2" w:rsidR="00445B1D">
        <w:rPr>
          <w:bCs/>
          <w:sz w:val="24"/>
        </w:rPr>
        <w:t xml:space="preserve"> member web portal. </w:t>
      </w:r>
      <w:r w:rsidRPr="00533AD2" w:rsidR="009A74B5">
        <w:rPr>
          <w:bCs/>
          <w:sz w:val="24"/>
        </w:rPr>
        <w:t xml:space="preserve"> </w:t>
      </w:r>
      <w:r w:rsidRPr="00533AD2" w:rsidR="00445B1D">
        <w:rPr>
          <w:bCs/>
          <w:sz w:val="24"/>
        </w:rPr>
        <w:t>Participants who indicated a preference to participate by telephone or who do not have internet access will be invited to complete the study by phone.</w:t>
      </w:r>
      <w:r w:rsidRPr="00533AD2" w:rsidR="009A74B5">
        <w:rPr>
          <w:bCs/>
          <w:sz w:val="24"/>
        </w:rPr>
        <w:t xml:space="preserve"> </w:t>
      </w:r>
      <w:r w:rsidRPr="00533AD2" w:rsidR="00445B1D">
        <w:rPr>
          <w:bCs/>
          <w:sz w:val="24"/>
        </w:rPr>
        <w:t xml:space="preserve"> Both web and phone respondents who do not respond to the survey will receive multiple reminders to complete the survey. </w:t>
      </w:r>
      <w:r w:rsidRPr="00533AD2" w:rsidR="009A74B5">
        <w:rPr>
          <w:bCs/>
          <w:sz w:val="24"/>
        </w:rPr>
        <w:t xml:space="preserve"> </w:t>
      </w:r>
      <w:r w:rsidRPr="00533AD2" w:rsidR="00445B1D">
        <w:rPr>
          <w:bCs/>
          <w:sz w:val="24"/>
        </w:rPr>
        <w:t xml:space="preserve">Reminders will only be sent to nonrespondents to reduce participant burden. </w:t>
      </w:r>
    </w:p>
    <w:p w:rsidR="00576C6A" w:rsidRPr="00533AD2" w:rsidP="00E81562" w14:paraId="0BD31E9C" w14:textId="77777777">
      <w:pPr>
        <w:rPr>
          <w:b/>
          <w:sz w:val="24"/>
        </w:rPr>
      </w:pPr>
    </w:p>
    <w:p w:rsidR="00092D91" w:rsidRPr="00533AD2" w:rsidP="007C5C67" w14:paraId="77362514" w14:textId="5168ED8D">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533AD2">
        <w:rPr>
          <w:b/>
          <w:sz w:val="24"/>
          <w:szCs w:val="24"/>
        </w:rPr>
        <w:t xml:space="preserve">4.  </w:t>
      </w:r>
      <w:r w:rsidRPr="00533AD2">
        <w:rPr>
          <w:b/>
          <w:bCs/>
          <w:sz w:val="24"/>
          <w:szCs w:val="24"/>
        </w:rPr>
        <w:t>Describe efforts to identify duplication.  Show specifically why any similar information already available cannot be used or modified for use for the purposes described in Item A.2 above.</w:t>
      </w:r>
    </w:p>
    <w:p w:rsidR="00FB10E8" w:rsidRPr="00533AD2" w:rsidP="005F1FFC" w14:paraId="0BAFFB2A" w14:textId="77777777">
      <w:pPr>
        <w:rPr>
          <w:sz w:val="24"/>
        </w:rPr>
      </w:pPr>
    </w:p>
    <w:p w:rsidR="000C141B" w:rsidRPr="00533AD2" w:rsidP="441EE1B5" w14:paraId="34CBABFE" w14:textId="65A8DC19">
      <w:pPr>
        <w:rPr>
          <w:sz w:val="24"/>
          <w:szCs w:val="24"/>
        </w:rPr>
      </w:pPr>
      <w:r w:rsidRPr="00533AD2">
        <w:rPr>
          <w:sz w:val="24"/>
          <w:szCs w:val="24"/>
        </w:rPr>
        <w:t>Existing information is not adequate and does not analyze the full spectrum of age-friendly banking issues for critical subpopulations of older adults.</w:t>
      </w:r>
      <w:r w:rsidRPr="00533AD2" w:rsidR="009A74B5">
        <w:rPr>
          <w:sz w:val="24"/>
          <w:szCs w:val="24"/>
        </w:rPr>
        <w:t xml:space="preserve"> </w:t>
      </w:r>
      <w:r w:rsidRPr="00533AD2">
        <w:rPr>
          <w:sz w:val="24"/>
          <w:szCs w:val="24"/>
        </w:rPr>
        <w:t xml:space="preserve"> For example, the FDIC</w:t>
      </w:r>
      <w:r w:rsidRPr="00533AD2" w:rsidR="006D1327">
        <w:rPr>
          <w:sz w:val="24"/>
          <w:szCs w:val="24"/>
        </w:rPr>
        <w:t>’s</w:t>
      </w:r>
      <w:r w:rsidRPr="00533AD2">
        <w:rPr>
          <w:sz w:val="24"/>
          <w:szCs w:val="24"/>
        </w:rPr>
        <w:t xml:space="preserve"> unbanked/underbanked survey covers many banking topics, but it </w:t>
      </w:r>
      <w:r w:rsidRPr="00533AD2" w:rsidR="005202D1">
        <w:rPr>
          <w:sz w:val="24"/>
          <w:szCs w:val="24"/>
        </w:rPr>
        <w:t>assesses</w:t>
      </w:r>
      <w:r w:rsidRPr="00533AD2">
        <w:rPr>
          <w:sz w:val="24"/>
          <w:szCs w:val="24"/>
        </w:rPr>
        <w:t xml:space="preserve"> general banking habits</w:t>
      </w:r>
      <w:r w:rsidRPr="00533AD2" w:rsidR="005202D1">
        <w:rPr>
          <w:sz w:val="24"/>
          <w:szCs w:val="24"/>
        </w:rPr>
        <w:t xml:space="preserve"> of the broader population and does not have information </w:t>
      </w:r>
      <w:r w:rsidRPr="00533AD2">
        <w:rPr>
          <w:sz w:val="24"/>
          <w:szCs w:val="24"/>
        </w:rPr>
        <w:t>specific to age</w:t>
      </w:r>
      <w:r w:rsidRPr="00533AD2" w:rsidR="005202D1">
        <w:rPr>
          <w:sz w:val="24"/>
          <w:szCs w:val="24"/>
        </w:rPr>
        <w:t>-friendly banking and does not allow for analysis of specific subpopulations of older adults.</w:t>
      </w:r>
      <w:r w:rsidRPr="00533AD2" w:rsidR="00DE1632">
        <w:rPr>
          <w:sz w:val="24"/>
          <w:szCs w:val="24"/>
        </w:rPr>
        <w:t xml:space="preserve"> </w:t>
      </w:r>
    </w:p>
    <w:p w:rsidR="00513334" w:rsidRPr="00533AD2" w:rsidP="441EE1B5" w14:paraId="48B026BD" w14:textId="77777777">
      <w:pPr>
        <w:rPr>
          <w:sz w:val="24"/>
          <w:szCs w:val="24"/>
        </w:rPr>
      </w:pPr>
    </w:p>
    <w:p w:rsidR="6A474867" w:rsidRPr="00533AD2" w:rsidP="6A474867" w14:paraId="35A48BA4" w14:textId="5C584187">
      <w:pPr>
        <w:rPr>
          <w:sz w:val="24"/>
          <w:szCs w:val="24"/>
        </w:rPr>
      </w:pPr>
      <w:r w:rsidRPr="00533AD2">
        <w:rPr>
          <w:sz w:val="24"/>
          <w:szCs w:val="24"/>
        </w:rPr>
        <w:t>Non-governmental s</w:t>
      </w:r>
      <w:r w:rsidRPr="00533AD2" w:rsidR="64134A92">
        <w:rPr>
          <w:sz w:val="24"/>
          <w:szCs w:val="24"/>
        </w:rPr>
        <w:t>urveys on this topic</w:t>
      </w:r>
      <w:r w:rsidRPr="00533AD2" w:rsidR="006D1327">
        <w:rPr>
          <w:sz w:val="24"/>
          <w:szCs w:val="24"/>
        </w:rPr>
        <w:t>,</w:t>
      </w:r>
      <w:r w:rsidRPr="00533AD2" w:rsidR="64134A92">
        <w:rPr>
          <w:sz w:val="24"/>
          <w:szCs w:val="24"/>
        </w:rPr>
        <w:t xml:space="preserve"> such as those conducted by</w:t>
      </w:r>
      <w:r w:rsidRPr="00533AD2" w:rsidR="7B8F1ED4">
        <w:rPr>
          <w:sz w:val="24"/>
          <w:szCs w:val="24"/>
        </w:rPr>
        <w:t xml:space="preserve"> AARP</w:t>
      </w:r>
      <w:r w:rsidRPr="00533AD2" w:rsidR="6B171B68">
        <w:rPr>
          <w:sz w:val="24"/>
          <w:szCs w:val="24"/>
        </w:rPr>
        <w:t xml:space="preserve"> and several</w:t>
      </w:r>
      <w:r w:rsidRPr="00533AD2" w:rsidR="55FBE2A6">
        <w:rPr>
          <w:sz w:val="24"/>
          <w:szCs w:val="24"/>
        </w:rPr>
        <w:t xml:space="preserve"> trade</w:t>
      </w:r>
      <w:r w:rsidRPr="00533AD2" w:rsidR="6B171B68">
        <w:rPr>
          <w:sz w:val="24"/>
          <w:szCs w:val="24"/>
        </w:rPr>
        <w:t xml:space="preserve"> associations like the American Bankers Association Foundation and Community Bankers’ </w:t>
      </w:r>
      <w:r w:rsidRPr="00533AD2" w:rsidR="023C9883">
        <w:rPr>
          <w:sz w:val="24"/>
          <w:szCs w:val="24"/>
        </w:rPr>
        <w:t>Association</w:t>
      </w:r>
      <w:r w:rsidRPr="00533AD2" w:rsidR="006D1327">
        <w:rPr>
          <w:sz w:val="24"/>
          <w:szCs w:val="24"/>
        </w:rPr>
        <w:t>,</w:t>
      </w:r>
      <w:r w:rsidRPr="00533AD2" w:rsidR="06E7D0A2">
        <w:rPr>
          <w:sz w:val="24"/>
          <w:szCs w:val="24"/>
        </w:rPr>
        <w:t xml:space="preserve"> rely on limited samples that either do not allow for </w:t>
      </w:r>
      <w:r w:rsidRPr="00533AD2" w:rsidR="008C794B">
        <w:rPr>
          <w:sz w:val="24"/>
          <w:szCs w:val="24"/>
        </w:rPr>
        <w:t>complex</w:t>
      </w:r>
      <w:r w:rsidRPr="00533AD2" w:rsidR="06E7D0A2">
        <w:rPr>
          <w:sz w:val="24"/>
          <w:szCs w:val="24"/>
        </w:rPr>
        <w:t xml:space="preserve"> comparison </w:t>
      </w:r>
      <w:r w:rsidRPr="00533AD2" w:rsidR="66511236">
        <w:rPr>
          <w:sz w:val="24"/>
          <w:szCs w:val="24"/>
        </w:rPr>
        <w:t>across all age groups</w:t>
      </w:r>
      <w:r w:rsidRPr="00533AD2" w:rsidR="06E7D0A2">
        <w:rPr>
          <w:sz w:val="24"/>
          <w:szCs w:val="24"/>
        </w:rPr>
        <w:t xml:space="preserve"> or </w:t>
      </w:r>
      <w:r w:rsidRPr="00533AD2" w:rsidR="4AC21963">
        <w:rPr>
          <w:sz w:val="24"/>
          <w:szCs w:val="24"/>
        </w:rPr>
        <w:t>in-</w:t>
      </w:r>
      <w:r w:rsidRPr="00533AD2" w:rsidR="06E7D0A2">
        <w:rPr>
          <w:sz w:val="24"/>
          <w:szCs w:val="24"/>
        </w:rPr>
        <w:t xml:space="preserve">depth </w:t>
      </w:r>
      <w:r w:rsidRPr="00533AD2" w:rsidR="5FF42121">
        <w:rPr>
          <w:sz w:val="24"/>
          <w:szCs w:val="24"/>
        </w:rPr>
        <w:t xml:space="preserve">analysis </w:t>
      </w:r>
      <w:r w:rsidRPr="00533AD2" w:rsidR="06E7D0A2">
        <w:rPr>
          <w:sz w:val="24"/>
          <w:szCs w:val="24"/>
        </w:rPr>
        <w:t xml:space="preserve">within the older </w:t>
      </w:r>
      <w:r w:rsidRPr="00533AD2" w:rsidR="0BDA685F">
        <w:rPr>
          <w:sz w:val="24"/>
          <w:szCs w:val="24"/>
        </w:rPr>
        <w:t>population</w:t>
      </w:r>
      <w:r w:rsidRPr="00533AD2" w:rsidR="06E7D0A2">
        <w:rPr>
          <w:sz w:val="24"/>
          <w:szCs w:val="24"/>
        </w:rPr>
        <w:t>.</w:t>
      </w:r>
      <w:r w:rsidRPr="00533AD2" w:rsidR="0099673F">
        <w:rPr>
          <w:sz w:val="24"/>
          <w:szCs w:val="24"/>
        </w:rPr>
        <w:t xml:space="preserve"> </w:t>
      </w:r>
      <w:r w:rsidRPr="00533AD2" w:rsidR="008254EA">
        <w:rPr>
          <w:sz w:val="24"/>
          <w:szCs w:val="24"/>
        </w:rPr>
        <w:t xml:space="preserve"> </w:t>
      </w:r>
      <w:r w:rsidRPr="00533AD2" w:rsidR="0099673F">
        <w:rPr>
          <w:sz w:val="24"/>
          <w:szCs w:val="24"/>
        </w:rPr>
        <w:t>Additionally, many of these existing surveys are designed from an industry perspective</w:t>
      </w:r>
      <w:r w:rsidRPr="00533AD2" w:rsidR="008C794B">
        <w:rPr>
          <w:sz w:val="24"/>
          <w:szCs w:val="24"/>
        </w:rPr>
        <w:t xml:space="preserve">, and do not encompass </w:t>
      </w:r>
      <w:r w:rsidRPr="00533AD2" w:rsidR="00353682">
        <w:rPr>
          <w:sz w:val="24"/>
          <w:szCs w:val="24"/>
        </w:rPr>
        <w:t>all dimensions of</w:t>
      </w:r>
      <w:r w:rsidRPr="00533AD2" w:rsidR="008C794B">
        <w:rPr>
          <w:sz w:val="24"/>
          <w:szCs w:val="24"/>
        </w:rPr>
        <w:t xml:space="preserve"> age-friendly banking issues from a</w:t>
      </w:r>
      <w:r w:rsidRPr="00533AD2" w:rsidR="00055B38">
        <w:rPr>
          <w:sz w:val="24"/>
          <w:szCs w:val="24"/>
        </w:rPr>
        <w:t xml:space="preserve"> dual</w:t>
      </w:r>
      <w:r w:rsidRPr="00533AD2" w:rsidR="008C794B">
        <w:rPr>
          <w:sz w:val="24"/>
          <w:szCs w:val="24"/>
        </w:rPr>
        <w:t xml:space="preserve"> consumer protection </w:t>
      </w:r>
      <w:r w:rsidRPr="00533AD2" w:rsidR="00055B38">
        <w:rPr>
          <w:sz w:val="24"/>
          <w:szCs w:val="24"/>
        </w:rPr>
        <w:t xml:space="preserve">and aging </w:t>
      </w:r>
      <w:r w:rsidRPr="00533AD2" w:rsidR="008C794B">
        <w:rPr>
          <w:sz w:val="24"/>
          <w:szCs w:val="24"/>
        </w:rPr>
        <w:t>perspective.</w:t>
      </w:r>
      <w:r w:rsidRPr="00533AD2" w:rsidR="06E7D0A2">
        <w:rPr>
          <w:sz w:val="24"/>
          <w:szCs w:val="24"/>
        </w:rPr>
        <w:t xml:space="preserve"> </w:t>
      </w:r>
      <w:r w:rsidRPr="00533AD2" w:rsidR="0D206D3C">
        <w:rPr>
          <w:sz w:val="24"/>
          <w:szCs w:val="24"/>
        </w:rPr>
        <w:t xml:space="preserve"> </w:t>
      </w:r>
      <w:r w:rsidRPr="00533AD2" w:rsidR="4C6489D2">
        <w:rPr>
          <w:sz w:val="24"/>
          <w:szCs w:val="24"/>
        </w:rPr>
        <w:t xml:space="preserve">The </w:t>
      </w:r>
      <w:r w:rsidRPr="00533AD2" w:rsidR="5ED2B48D">
        <w:rPr>
          <w:sz w:val="24"/>
          <w:szCs w:val="24"/>
        </w:rPr>
        <w:t>information</w:t>
      </w:r>
      <w:r w:rsidRPr="00533AD2" w:rsidR="4C6489D2">
        <w:rPr>
          <w:sz w:val="24"/>
          <w:szCs w:val="24"/>
        </w:rPr>
        <w:t xml:space="preserve"> collected in </w:t>
      </w:r>
      <w:r w:rsidRPr="00533AD2" w:rsidR="65270FC0">
        <w:rPr>
          <w:sz w:val="24"/>
          <w:szCs w:val="24"/>
        </w:rPr>
        <w:t>these</w:t>
      </w:r>
      <w:r w:rsidRPr="00533AD2" w:rsidR="4C6489D2">
        <w:rPr>
          <w:sz w:val="24"/>
          <w:szCs w:val="24"/>
        </w:rPr>
        <w:t xml:space="preserve"> </w:t>
      </w:r>
      <w:r w:rsidRPr="00533AD2" w:rsidR="4C97394E">
        <w:rPr>
          <w:sz w:val="24"/>
          <w:szCs w:val="24"/>
        </w:rPr>
        <w:t>surveys</w:t>
      </w:r>
      <w:r w:rsidRPr="00533AD2" w:rsidR="4C6489D2">
        <w:rPr>
          <w:sz w:val="24"/>
          <w:szCs w:val="24"/>
        </w:rPr>
        <w:t xml:space="preserve"> is also </w:t>
      </w:r>
      <w:r w:rsidRPr="00533AD2" w:rsidR="06FC80C4">
        <w:rPr>
          <w:sz w:val="24"/>
          <w:szCs w:val="24"/>
        </w:rPr>
        <w:t>made</w:t>
      </w:r>
      <w:r w:rsidRPr="00533AD2" w:rsidR="4C6489D2">
        <w:rPr>
          <w:sz w:val="24"/>
          <w:szCs w:val="24"/>
        </w:rPr>
        <w:t xml:space="preserve"> </w:t>
      </w:r>
      <w:r w:rsidRPr="00533AD2" w:rsidR="624DC945">
        <w:rPr>
          <w:sz w:val="24"/>
          <w:szCs w:val="24"/>
        </w:rPr>
        <w:t>available</w:t>
      </w:r>
      <w:r w:rsidRPr="00533AD2" w:rsidR="4C6489D2">
        <w:rPr>
          <w:sz w:val="24"/>
          <w:szCs w:val="24"/>
        </w:rPr>
        <w:t xml:space="preserve"> </w:t>
      </w:r>
      <w:r w:rsidRPr="00533AD2" w:rsidR="7FE674BC">
        <w:rPr>
          <w:sz w:val="24"/>
          <w:szCs w:val="24"/>
        </w:rPr>
        <w:t>publicly</w:t>
      </w:r>
      <w:r w:rsidRPr="00533AD2" w:rsidR="4C6489D2">
        <w:rPr>
          <w:sz w:val="24"/>
          <w:szCs w:val="24"/>
        </w:rPr>
        <w:t xml:space="preserve"> </w:t>
      </w:r>
      <w:r w:rsidRPr="00533AD2" w:rsidR="063ACFF0">
        <w:rPr>
          <w:sz w:val="24"/>
          <w:szCs w:val="24"/>
        </w:rPr>
        <w:t>in a limited format,</w:t>
      </w:r>
      <w:r w:rsidRPr="00533AD2" w:rsidR="4C6489D2">
        <w:rPr>
          <w:sz w:val="24"/>
          <w:szCs w:val="24"/>
        </w:rPr>
        <w:t xml:space="preserve"> </w:t>
      </w:r>
      <w:r w:rsidRPr="00533AD2" w:rsidR="792F1508">
        <w:rPr>
          <w:sz w:val="24"/>
          <w:szCs w:val="24"/>
        </w:rPr>
        <w:t>th</w:t>
      </w:r>
      <w:r w:rsidRPr="00533AD2" w:rsidR="005721A5">
        <w:rPr>
          <w:sz w:val="24"/>
          <w:szCs w:val="24"/>
        </w:rPr>
        <w:t>u</w:t>
      </w:r>
      <w:r w:rsidRPr="00533AD2" w:rsidR="792F1508">
        <w:rPr>
          <w:sz w:val="24"/>
          <w:szCs w:val="24"/>
        </w:rPr>
        <w:t xml:space="preserve">s </w:t>
      </w:r>
      <w:r w:rsidRPr="00533AD2" w:rsidR="005721A5">
        <w:rPr>
          <w:sz w:val="24"/>
          <w:szCs w:val="24"/>
        </w:rPr>
        <w:t>limiting the ability of</w:t>
      </w:r>
      <w:r w:rsidRPr="00533AD2" w:rsidR="792F1508">
        <w:rPr>
          <w:sz w:val="24"/>
          <w:szCs w:val="24"/>
        </w:rPr>
        <w:t xml:space="preserve"> the </w:t>
      </w:r>
      <w:r w:rsidRPr="00533AD2" w:rsidR="792F1508">
        <w:rPr>
          <w:sz w:val="24"/>
          <w:szCs w:val="24"/>
        </w:rPr>
        <w:t>general public</w:t>
      </w:r>
      <w:r w:rsidRPr="00533AD2" w:rsidR="792F1508">
        <w:rPr>
          <w:sz w:val="24"/>
          <w:szCs w:val="24"/>
        </w:rPr>
        <w:t xml:space="preserve"> and key stakeholders to use the data to inform their age-friendly banking work</w:t>
      </w:r>
      <w:r w:rsidRPr="00533AD2" w:rsidR="005721A5">
        <w:rPr>
          <w:sz w:val="24"/>
          <w:szCs w:val="24"/>
        </w:rPr>
        <w:t>.</w:t>
      </w:r>
    </w:p>
    <w:p w:rsidR="00513334" w:rsidRPr="00533AD2" w:rsidP="6A474867" w14:paraId="47B11AB2" w14:textId="77777777">
      <w:pPr>
        <w:rPr>
          <w:sz w:val="24"/>
          <w:szCs w:val="24"/>
        </w:rPr>
      </w:pPr>
    </w:p>
    <w:p w:rsidR="18BEE1DC" w:rsidRPr="00533AD2" w:rsidP="6A474867" w14:paraId="3376BD26" w14:textId="4E3C2095">
      <w:pPr>
        <w:rPr>
          <w:sz w:val="24"/>
          <w:szCs w:val="24"/>
        </w:rPr>
      </w:pPr>
      <w:r w:rsidRPr="00533AD2">
        <w:rPr>
          <w:sz w:val="24"/>
          <w:szCs w:val="24"/>
        </w:rPr>
        <w:t xml:space="preserve">This survey addresses </w:t>
      </w:r>
      <w:r w:rsidRPr="00533AD2" w:rsidR="2F4A6D45">
        <w:rPr>
          <w:sz w:val="24"/>
          <w:szCs w:val="24"/>
        </w:rPr>
        <w:t>these</w:t>
      </w:r>
      <w:r w:rsidRPr="00533AD2">
        <w:rPr>
          <w:sz w:val="24"/>
          <w:szCs w:val="24"/>
        </w:rPr>
        <w:t xml:space="preserve"> </w:t>
      </w:r>
      <w:r w:rsidRPr="00533AD2" w:rsidR="00C12B1C">
        <w:rPr>
          <w:sz w:val="24"/>
          <w:szCs w:val="24"/>
        </w:rPr>
        <w:t>existing limitations and</w:t>
      </w:r>
      <w:r w:rsidRPr="00533AD2">
        <w:rPr>
          <w:sz w:val="24"/>
          <w:szCs w:val="24"/>
        </w:rPr>
        <w:t xml:space="preserve"> will provide foundational research and generate quantitative data on age-friendly banking that fills a current gap in knowledge on this topic. </w:t>
      </w:r>
      <w:r w:rsidRPr="00533AD2" w:rsidR="008254EA">
        <w:rPr>
          <w:sz w:val="24"/>
          <w:szCs w:val="24"/>
        </w:rPr>
        <w:t xml:space="preserve"> </w:t>
      </w:r>
      <w:r w:rsidRPr="00533AD2">
        <w:rPr>
          <w:sz w:val="24"/>
          <w:szCs w:val="24"/>
        </w:rPr>
        <w:t>This is a representative survey that oversamples subgroups of older adults, including people of color</w:t>
      </w:r>
      <w:r w:rsidRPr="00533AD2" w:rsidR="00862D82">
        <w:rPr>
          <w:sz w:val="24"/>
          <w:szCs w:val="24"/>
        </w:rPr>
        <w:t xml:space="preserve"> and people who speak Spanish as their primary language</w:t>
      </w:r>
      <w:r w:rsidRPr="00533AD2">
        <w:rPr>
          <w:sz w:val="24"/>
          <w:szCs w:val="24"/>
        </w:rPr>
        <w:t xml:space="preserve">, lower-income individuals, rural individuals, and the oldest segment of the population. </w:t>
      </w:r>
      <w:r w:rsidRPr="00533AD2" w:rsidR="0079441C">
        <w:rPr>
          <w:sz w:val="24"/>
          <w:szCs w:val="24"/>
        </w:rPr>
        <w:t xml:space="preserve"> </w:t>
      </w:r>
      <w:r w:rsidRPr="00533AD2">
        <w:rPr>
          <w:sz w:val="24"/>
          <w:szCs w:val="24"/>
        </w:rPr>
        <w:t xml:space="preserve">The survey will also include respondents ages 18 to 59 that will serve as comparison groups to </w:t>
      </w:r>
      <w:r w:rsidRPr="00533AD2" w:rsidR="00862D82">
        <w:rPr>
          <w:sz w:val="24"/>
          <w:szCs w:val="24"/>
        </w:rPr>
        <w:t>enable examination of</w:t>
      </w:r>
      <w:r w:rsidRPr="00533AD2">
        <w:rPr>
          <w:sz w:val="24"/>
          <w:szCs w:val="24"/>
        </w:rPr>
        <w:t xml:space="preserve"> how banking experiences </w:t>
      </w:r>
      <w:r w:rsidRPr="00533AD2" w:rsidR="2F530327">
        <w:rPr>
          <w:sz w:val="24"/>
          <w:szCs w:val="24"/>
        </w:rPr>
        <w:t xml:space="preserve">and needs </w:t>
      </w:r>
      <w:r w:rsidRPr="00533AD2">
        <w:rPr>
          <w:sz w:val="24"/>
          <w:szCs w:val="24"/>
        </w:rPr>
        <w:t>vary by age.</w:t>
      </w:r>
      <w:r w:rsidRPr="00533AD2" w:rsidR="273EC9DF">
        <w:rPr>
          <w:sz w:val="24"/>
          <w:szCs w:val="24"/>
        </w:rPr>
        <w:t xml:space="preserve"> </w:t>
      </w:r>
      <w:r w:rsidRPr="00533AD2" w:rsidR="0079441C">
        <w:rPr>
          <w:sz w:val="24"/>
          <w:szCs w:val="24"/>
        </w:rPr>
        <w:t xml:space="preserve"> </w:t>
      </w:r>
      <w:r w:rsidRPr="00533AD2" w:rsidR="273EC9DF">
        <w:rPr>
          <w:sz w:val="24"/>
          <w:szCs w:val="24"/>
        </w:rPr>
        <w:t xml:space="preserve">This survey will be administered both by phone and online, which will capture the segment of older adults who are not digitally connected and are </w:t>
      </w:r>
      <w:r w:rsidRPr="00533AD2" w:rsidR="0062398E">
        <w:rPr>
          <w:sz w:val="24"/>
          <w:szCs w:val="24"/>
        </w:rPr>
        <w:t>typically</w:t>
      </w:r>
      <w:r w:rsidRPr="00533AD2" w:rsidR="273EC9DF">
        <w:rPr>
          <w:sz w:val="24"/>
          <w:szCs w:val="24"/>
        </w:rPr>
        <w:t xml:space="preserve"> excluded from similar surveys.</w:t>
      </w:r>
      <w:r w:rsidRPr="00533AD2" w:rsidR="00000D6D">
        <w:rPr>
          <w:sz w:val="24"/>
          <w:szCs w:val="24"/>
        </w:rPr>
        <w:t xml:space="preserve"> </w:t>
      </w:r>
      <w:r w:rsidRPr="00533AD2" w:rsidR="273EC9DF">
        <w:rPr>
          <w:sz w:val="24"/>
          <w:szCs w:val="24"/>
        </w:rPr>
        <w:t xml:space="preserve"> The survey will cover a wide range of topics and enable CFPB to build an index of consumer protection and </w:t>
      </w:r>
      <w:r w:rsidRPr="00533AD2" w:rsidR="0062398E">
        <w:rPr>
          <w:sz w:val="24"/>
          <w:szCs w:val="24"/>
        </w:rPr>
        <w:t>practices</w:t>
      </w:r>
      <w:r w:rsidRPr="00533AD2" w:rsidR="273EC9DF">
        <w:rPr>
          <w:sz w:val="24"/>
          <w:szCs w:val="24"/>
        </w:rPr>
        <w:t xml:space="preserve"> related to age-friendly banking.</w:t>
      </w:r>
    </w:p>
    <w:p w:rsidR="2101B6B6" w:rsidRPr="00533AD2" w:rsidP="2101B6B6" w14:paraId="45A3A35E" w14:textId="1AEDDC4B">
      <w:pPr>
        <w:rPr>
          <w:sz w:val="24"/>
          <w:szCs w:val="24"/>
        </w:rPr>
      </w:pPr>
    </w:p>
    <w:p w:rsidR="3244D439" w:rsidRPr="00533AD2" w:rsidP="133F4ACC" w14:paraId="4BDDB772" w14:textId="601996A6">
      <w:pPr>
        <w:rPr>
          <w:sz w:val="24"/>
          <w:szCs w:val="24"/>
        </w:rPr>
      </w:pPr>
      <w:r w:rsidRPr="00533AD2">
        <w:rPr>
          <w:sz w:val="24"/>
          <w:szCs w:val="24"/>
        </w:rPr>
        <w:t>To</w:t>
      </w:r>
      <w:r w:rsidRPr="00533AD2">
        <w:rPr>
          <w:sz w:val="24"/>
          <w:szCs w:val="24"/>
        </w:rPr>
        <w:t xml:space="preserve"> ensure that the survey </w:t>
      </w:r>
      <w:r w:rsidRPr="00533AD2" w:rsidR="7909E550">
        <w:rPr>
          <w:sz w:val="24"/>
          <w:szCs w:val="24"/>
        </w:rPr>
        <w:t>is</w:t>
      </w:r>
      <w:r w:rsidRPr="00533AD2">
        <w:rPr>
          <w:sz w:val="24"/>
          <w:szCs w:val="24"/>
        </w:rPr>
        <w:t xml:space="preserve"> not duplicative of current efforts and </w:t>
      </w:r>
      <w:r w:rsidRPr="00533AD2" w:rsidR="6E98296F">
        <w:rPr>
          <w:sz w:val="24"/>
          <w:szCs w:val="24"/>
        </w:rPr>
        <w:t>provide</w:t>
      </w:r>
      <w:r w:rsidRPr="00533AD2" w:rsidR="0063359E">
        <w:rPr>
          <w:sz w:val="24"/>
          <w:szCs w:val="24"/>
        </w:rPr>
        <w:t>s</w:t>
      </w:r>
      <w:r w:rsidRPr="00533AD2" w:rsidR="6E98296F">
        <w:rPr>
          <w:sz w:val="24"/>
          <w:szCs w:val="24"/>
        </w:rPr>
        <w:t xml:space="preserve"> new and valuable information</w:t>
      </w:r>
      <w:r w:rsidRPr="00533AD2">
        <w:rPr>
          <w:sz w:val="24"/>
          <w:szCs w:val="24"/>
        </w:rPr>
        <w:t xml:space="preserve"> for </w:t>
      </w:r>
      <w:r w:rsidRPr="00533AD2" w:rsidR="6E98296F">
        <w:rPr>
          <w:sz w:val="24"/>
          <w:szCs w:val="24"/>
        </w:rPr>
        <w:t>key stakeholders</w:t>
      </w:r>
      <w:r w:rsidRPr="00533AD2">
        <w:rPr>
          <w:sz w:val="24"/>
          <w:szCs w:val="24"/>
        </w:rPr>
        <w:t>, the CFPB</w:t>
      </w:r>
      <w:r w:rsidRPr="00533AD2" w:rsidR="7AB09373">
        <w:rPr>
          <w:sz w:val="24"/>
          <w:szCs w:val="24"/>
        </w:rPr>
        <w:t xml:space="preserve"> established a </w:t>
      </w:r>
      <w:r w:rsidRPr="00533AD2">
        <w:rPr>
          <w:sz w:val="24"/>
          <w:szCs w:val="24"/>
        </w:rPr>
        <w:t>panel of experts</w:t>
      </w:r>
      <w:r w:rsidRPr="00533AD2" w:rsidR="127A7B5E">
        <w:rPr>
          <w:sz w:val="24"/>
          <w:szCs w:val="24"/>
        </w:rPr>
        <w:t xml:space="preserve"> to review the instruments and provide feedback on the design. </w:t>
      </w:r>
      <w:r w:rsidRPr="00533AD2" w:rsidR="00141E98">
        <w:rPr>
          <w:sz w:val="24"/>
          <w:szCs w:val="24"/>
        </w:rPr>
        <w:t xml:space="preserve"> </w:t>
      </w:r>
      <w:r w:rsidRPr="00533AD2" w:rsidR="127A7B5E">
        <w:rPr>
          <w:sz w:val="24"/>
          <w:szCs w:val="24"/>
        </w:rPr>
        <w:t xml:space="preserve">The experts </w:t>
      </w:r>
      <w:r w:rsidRPr="00533AD2">
        <w:rPr>
          <w:sz w:val="24"/>
          <w:szCs w:val="24"/>
        </w:rPr>
        <w:t>includ</w:t>
      </w:r>
      <w:r w:rsidRPr="00533AD2" w:rsidR="2FD4EECD">
        <w:rPr>
          <w:sz w:val="24"/>
          <w:szCs w:val="24"/>
        </w:rPr>
        <w:t>e</w:t>
      </w:r>
      <w:r w:rsidRPr="00533AD2">
        <w:rPr>
          <w:sz w:val="24"/>
          <w:szCs w:val="24"/>
        </w:rPr>
        <w:t xml:space="preserve"> representatives from FDIC, </w:t>
      </w:r>
      <w:r w:rsidRPr="00533AD2" w:rsidR="004B18E7">
        <w:rPr>
          <w:sz w:val="24"/>
          <w:szCs w:val="24"/>
        </w:rPr>
        <w:t>Financial Institution Regulatory Authority (FINRA)</w:t>
      </w:r>
      <w:r w:rsidRPr="00533AD2">
        <w:rPr>
          <w:sz w:val="24"/>
          <w:szCs w:val="24"/>
        </w:rPr>
        <w:t>, Wisconsin Dept of Financial Institutions, Stanford Longevity Center, AARP, University of Minnesota, and</w:t>
      </w:r>
      <w:r w:rsidRPr="00533AD2" w:rsidR="004B18E7">
        <w:rPr>
          <w:sz w:val="24"/>
          <w:szCs w:val="24"/>
        </w:rPr>
        <w:t xml:space="preserve"> the National </w:t>
      </w:r>
      <w:r w:rsidRPr="00533AD2" w:rsidR="00D2260C">
        <w:rPr>
          <w:sz w:val="24"/>
          <w:szCs w:val="24"/>
        </w:rPr>
        <w:t>Asian Pacific Center on Aging</w:t>
      </w:r>
      <w:r w:rsidRPr="00533AD2">
        <w:rPr>
          <w:sz w:val="24"/>
          <w:szCs w:val="24"/>
        </w:rPr>
        <w:t xml:space="preserve"> </w:t>
      </w:r>
      <w:r w:rsidRPr="00533AD2" w:rsidR="004B18E7">
        <w:rPr>
          <w:sz w:val="24"/>
          <w:szCs w:val="24"/>
        </w:rPr>
        <w:t>(</w:t>
      </w:r>
      <w:r w:rsidRPr="00533AD2">
        <w:rPr>
          <w:sz w:val="24"/>
          <w:szCs w:val="24"/>
        </w:rPr>
        <w:t>NAPCA</w:t>
      </w:r>
      <w:r w:rsidRPr="00533AD2" w:rsidR="004B18E7">
        <w:rPr>
          <w:sz w:val="24"/>
          <w:szCs w:val="24"/>
        </w:rPr>
        <w:t>)</w:t>
      </w:r>
      <w:r w:rsidRPr="00533AD2">
        <w:rPr>
          <w:sz w:val="24"/>
          <w:szCs w:val="24"/>
        </w:rPr>
        <w:t xml:space="preserve">, as well as expert methodologists. </w:t>
      </w:r>
    </w:p>
    <w:p w:rsidR="1827C004" w:rsidRPr="00533AD2" w:rsidP="1827C004" w14:paraId="1F994074" w14:textId="456D008C">
      <w:pPr>
        <w:rPr>
          <w:sz w:val="24"/>
          <w:szCs w:val="24"/>
        </w:rPr>
      </w:pPr>
    </w:p>
    <w:p w:rsidR="3244D439" w:rsidRPr="00533AD2" w:rsidP="2101B6B6" w14:paraId="13AAC9DD" w14:textId="4BC7CF4B">
      <w:pPr>
        <w:rPr>
          <w:sz w:val="24"/>
          <w:szCs w:val="24"/>
        </w:rPr>
      </w:pPr>
      <w:r w:rsidRPr="00533AD2">
        <w:rPr>
          <w:sz w:val="24"/>
          <w:szCs w:val="24"/>
        </w:rPr>
        <w:t xml:space="preserve">Lastly, the CFPB </w:t>
      </w:r>
      <w:r w:rsidRPr="00533AD2" w:rsidR="004B2272">
        <w:rPr>
          <w:sz w:val="24"/>
          <w:szCs w:val="24"/>
        </w:rPr>
        <w:t>will</w:t>
      </w:r>
      <w:r w:rsidRPr="00533AD2">
        <w:rPr>
          <w:sz w:val="24"/>
          <w:szCs w:val="24"/>
        </w:rPr>
        <w:t xml:space="preserve"> </w:t>
      </w:r>
      <w:r w:rsidRPr="00533AD2" w:rsidR="004B2272">
        <w:rPr>
          <w:sz w:val="24"/>
          <w:szCs w:val="24"/>
        </w:rPr>
        <w:t>field</w:t>
      </w:r>
      <w:r w:rsidRPr="00533AD2">
        <w:rPr>
          <w:sz w:val="24"/>
          <w:szCs w:val="24"/>
        </w:rPr>
        <w:t xml:space="preserve"> the </w:t>
      </w:r>
      <w:r w:rsidRPr="00533AD2" w:rsidR="44617C4E">
        <w:rPr>
          <w:sz w:val="24"/>
          <w:szCs w:val="24"/>
        </w:rPr>
        <w:t>survey</w:t>
      </w:r>
      <w:r w:rsidRPr="00533AD2">
        <w:rPr>
          <w:sz w:val="24"/>
          <w:szCs w:val="24"/>
        </w:rPr>
        <w:t xml:space="preserve"> using an </w:t>
      </w:r>
      <w:r w:rsidRPr="00533AD2" w:rsidR="0C2BC363">
        <w:rPr>
          <w:sz w:val="24"/>
          <w:szCs w:val="24"/>
        </w:rPr>
        <w:t>existing survey</w:t>
      </w:r>
      <w:r w:rsidRPr="00533AD2">
        <w:rPr>
          <w:sz w:val="24"/>
          <w:szCs w:val="24"/>
        </w:rPr>
        <w:t xml:space="preserve"> panel.</w:t>
      </w:r>
      <w:r w:rsidRPr="00533AD2" w:rsidR="00116502">
        <w:rPr>
          <w:sz w:val="24"/>
          <w:szCs w:val="24"/>
        </w:rPr>
        <w:t xml:space="preserve"> </w:t>
      </w:r>
      <w:r w:rsidRPr="00533AD2">
        <w:rPr>
          <w:sz w:val="24"/>
          <w:szCs w:val="24"/>
        </w:rPr>
        <w:t xml:space="preserve"> In doing so, the CFPB will </w:t>
      </w:r>
      <w:r w:rsidRPr="00533AD2" w:rsidR="0215858E">
        <w:rPr>
          <w:sz w:val="24"/>
          <w:szCs w:val="24"/>
        </w:rPr>
        <w:t>minimize</w:t>
      </w:r>
      <w:r w:rsidRPr="00533AD2">
        <w:rPr>
          <w:sz w:val="24"/>
          <w:szCs w:val="24"/>
        </w:rPr>
        <w:t xml:space="preserve"> the </w:t>
      </w:r>
      <w:r w:rsidRPr="00533AD2" w:rsidR="7518D790">
        <w:rPr>
          <w:sz w:val="24"/>
          <w:szCs w:val="24"/>
        </w:rPr>
        <w:t>b</w:t>
      </w:r>
      <w:r w:rsidRPr="00533AD2">
        <w:rPr>
          <w:sz w:val="24"/>
          <w:szCs w:val="24"/>
        </w:rPr>
        <w:t xml:space="preserve">urden </w:t>
      </w:r>
      <w:r w:rsidRPr="00533AD2" w:rsidR="16273025">
        <w:rPr>
          <w:sz w:val="24"/>
          <w:szCs w:val="24"/>
        </w:rPr>
        <w:t>on consumers</w:t>
      </w:r>
      <w:r w:rsidRPr="00533AD2" w:rsidR="0063359E">
        <w:rPr>
          <w:sz w:val="24"/>
          <w:szCs w:val="24"/>
        </w:rPr>
        <w:t>,</w:t>
      </w:r>
      <w:r w:rsidRPr="00533AD2">
        <w:rPr>
          <w:sz w:val="24"/>
          <w:szCs w:val="24"/>
        </w:rPr>
        <w:t xml:space="preserve"> as </w:t>
      </w:r>
      <w:r w:rsidRPr="00533AD2" w:rsidR="2BB4B5EF">
        <w:rPr>
          <w:sz w:val="24"/>
          <w:szCs w:val="24"/>
        </w:rPr>
        <w:t>numerous</w:t>
      </w:r>
      <w:r w:rsidRPr="00533AD2">
        <w:rPr>
          <w:sz w:val="24"/>
          <w:szCs w:val="24"/>
        </w:rPr>
        <w:t xml:space="preserve"> basic </w:t>
      </w:r>
      <w:r w:rsidRPr="00533AD2" w:rsidR="0EB1685E">
        <w:rPr>
          <w:sz w:val="24"/>
          <w:szCs w:val="24"/>
        </w:rPr>
        <w:t>demographic</w:t>
      </w:r>
      <w:r w:rsidRPr="00533AD2">
        <w:rPr>
          <w:sz w:val="24"/>
          <w:szCs w:val="24"/>
        </w:rPr>
        <w:t xml:space="preserve"> and </w:t>
      </w:r>
      <w:r w:rsidRPr="00533AD2" w:rsidR="1505C391">
        <w:rPr>
          <w:sz w:val="24"/>
          <w:szCs w:val="24"/>
        </w:rPr>
        <w:t>financial</w:t>
      </w:r>
      <w:r w:rsidRPr="00533AD2">
        <w:rPr>
          <w:sz w:val="24"/>
          <w:szCs w:val="24"/>
        </w:rPr>
        <w:t xml:space="preserve"> </w:t>
      </w:r>
      <w:r w:rsidRPr="00533AD2" w:rsidR="74A06997">
        <w:rPr>
          <w:sz w:val="24"/>
          <w:szCs w:val="24"/>
        </w:rPr>
        <w:t>questions</w:t>
      </w:r>
      <w:r w:rsidRPr="00533AD2">
        <w:rPr>
          <w:sz w:val="24"/>
          <w:szCs w:val="24"/>
        </w:rPr>
        <w:t xml:space="preserve"> are collected for all panel </w:t>
      </w:r>
      <w:r w:rsidRPr="00533AD2" w:rsidR="0D8FFBCA">
        <w:rPr>
          <w:sz w:val="24"/>
          <w:szCs w:val="24"/>
        </w:rPr>
        <w:t>participants</w:t>
      </w:r>
      <w:r w:rsidRPr="00533AD2">
        <w:rPr>
          <w:sz w:val="24"/>
          <w:szCs w:val="24"/>
        </w:rPr>
        <w:t xml:space="preserve"> and can be </w:t>
      </w:r>
      <w:r w:rsidRPr="00533AD2" w:rsidR="2FC41920">
        <w:rPr>
          <w:sz w:val="24"/>
          <w:szCs w:val="24"/>
        </w:rPr>
        <w:t>appended</w:t>
      </w:r>
      <w:r w:rsidRPr="00533AD2" w:rsidR="4D542EB5">
        <w:rPr>
          <w:sz w:val="24"/>
          <w:szCs w:val="24"/>
        </w:rPr>
        <w:t xml:space="preserve"> to the dataset. </w:t>
      </w:r>
    </w:p>
    <w:p w:rsidR="00381635" w:rsidRPr="00533AD2" w:rsidP="005F1FFC" w14:paraId="2DB7EE08" w14:textId="6980B2D1">
      <w:pPr>
        <w:rPr>
          <w:sz w:val="24"/>
        </w:rPr>
      </w:pPr>
      <w:r w:rsidRPr="00533AD2">
        <w:rPr>
          <w:sz w:val="24"/>
        </w:rPr>
        <w:t>+</w:t>
      </w:r>
    </w:p>
    <w:p w:rsidR="00092D91" w:rsidRPr="00533AD2" w:rsidP="00092D91" w14:paraId="78977288" w14:textId="77777777">
      <w:pPr>
        <w:pStyle w:val="BodyText"/>
        <w:rPr>
          <w:b/>
        </w:rPr>
      </w:pPr>
      <w:r w:rsidRPr="00533AD2">
        <w:rPr>
          <w:b/>
        </w:rPr>
        <w:t xml:space="preserve">5.  </w:t>
      </w:r>
      <w:r w:rsidRPr="00533AD2">
        <w:rPr>
          <w:b/>
          <w:bCs/>
        </w:rPr>
        <w:t>If the collection of information impacts small businesses or other small entities, describe any methods used to minimize burden.</w:t>
      </w:r>
    </w:p>
    <w:p w:rsidR="005F1FFC" w:rsidRPr="00533AD2" w:rsidP="00092D91" w14:paraId="6511B9A0" w14:textId="73B095D8">
      <w:pPr>
        <w:pStyle w:val="BodyText"/>
      </w:pPr>
    </w:p>
    <w:p w:rsidR="00B86D34" w:rsidRPr="00533AD2" w:rsidP="00092D91" w14:paraId="58717E79" w14:textId="55CCFDD6">
      <w:pPr>
        <w:pStyle w:val="BodyText"/>
      </w:pPr>
      <w:r w:rsidRPr="00533AD2">
        <w:t>Not applicable.</w:t>
      </w:r>
    </w:p>
    <w:p w:rsidR="00E939D3" w:rsidRPr="00533AD2" w:rsidP="005F1FFC" w14:paraId="2EE74F06" w14:textId="77777777">
      <w:pPr>
        <w:pStyle w:val="BodyText"/>
      </w:pPr>
    </w:p>
    <w:p w:rsidR="00F660E8" w:rsidRPr="00533AD2" w:rsidP="00F660E8" w14:paraId="7ACF7470" w14:textId="77777777">
      <w:pPr>
        <w:rPr>
          <w:b/>
          <w:sz w:val="24"/>
          <w:szCs w:val="24"/>
        </w:rPr>
      </w:pPr>
      <w:r w:rsidRPr="00533AD2">
        <w:rPr>
          <w:b/>
          <w:sz w:val="24"/>
          <w:szCs w:val="24"/>
        </w:rPr>
        <w:t xml:space="preserve">6.  </w:t>
      </w:r>
      <w:r w:rsidRPr="00533AD2">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RPr="00533AD2" w:rsidP="005F1FFC" w14:paraId="039568CD" w14:textId="3A629536">
      <w:pPr>
        <w:rPr>
          <w:sz w:val="24"/>
        </w:rPr>
      </w:pPr>
    </w:p>
    <w:p w:rsidR="00017AB4" w:rsidRPr="00533AD2" w:rsidP="530CEFF7" w14:paraId="29FB3A5B" w14:textId="3EF88AF3">
      <w:pPr>
        <w:rPr>
          <w:sz w:val="24"/>
          <w:szCs w:val="24"/>
        </w:rPr>
      </w:pPr>
      <w:r w:rsidRPr="00533AD2">
        <w:rPr>
          <w:sz w:val="24"/>
          <w:szCs w:val="24"/>
        </w:rPr>
        <w:t>Access</w:t>
      </w:r>
      <w:r w:rsidRPr="00533AD2" w:rsidR="0063359E">
        <w:rPr>
          <w:sz w:val="24"/>
          <w:szCs w:val="24"/>
        </w:rPr>
        <w:t xml:space="preserve"> to</w:t>
      </w:r>
      <w:r w:rsidRPr="00533AD2">
        <w:rPr>
          <w:sz w:val="24"/>
          <w:szCs w:val="24"/>
        </w:rPr>
        <w:t xml:space="preserve"> and use of banking services and transactional accounts is </w:t>
      </w:r>
      <w:r w:rsidRPr="00533AD2" w:rsidR="62ADD449">
        <w:rPr>
          <w:sz w:val="24"/>
          <w:szCs w:val="24"/>
        </w:rPr>
        <w:t xml:space="preserve">the most basic component of financial inclusion, and the most common </w:t>
      </w:r>
      <w:r w:rsidRPr="00533AD2" w:rsidR="052E62C2">
        <w:rPr>
          <w:sz w:val="24"/>
          <w:szCs w:val="24"/>
        </w:rPr>
        <w:t xml:space="preserve">form of </w:t>
      </w:r>
      <w:r w:rsidRPr="00533AD2" w:rsidR="62ADD449">
        <w:rPr>
          <w:sz w:val="24"/>
          <w:szCs w:val="24"/>
        </w:rPr>
        <w:t xml:space="preserve">engagement </w:t>
      </w:r>
      <w:r w:rsidRPr="00533AD2" w:rsidR="6B1F82D5">
        <w:rPr>
          <w:sz w:val="24"/>
          <w:szCs w:val="24"/>
        </w:rPr>
        <w:t>between consumers</w:t>
      </w:r>
      <w:r w:rsidRPr="00533AD2" w:rsidR="62ADD449">
        <w:rPr>
          <w:sz w:val="24"/>
          <w:szCs w:val="24"/>
        </w:rPr>
        <w:t xml:space="preserve"> </w:t>
      </w:r>
      <w:r w:rsidRPr="00533AD2" w:rsidR="0063359E">
        <w:rPr>
          <w:sz w:val="24"/>
          <w:szCs w:val="24"/>
        </w:rPr>
        <w:t xml:space="preserve">and </w:t>
      </w:r>
      <w:r w:rsidRPr="00533AD2" w:rsidR="62ADD449">
        <w:rPr>
          <w:sz w:val="24"/>
          <w:szCs w:val="24"/>
        </w:rPr>
        <w:t>financial products and services</w:t>
      </w:r>
      <w:r w:rsidRPr="00533AD2" w:rsidR="0063359E">
        <w:rPr>
          <w:sz w:val="24"/>
          <w:szCs w:val="24"/>
        </w:rPr>
        <w:t xml:space="preserve">. </w:t>
      </w:r>
      <w:r w:rsidRPr="00533AD2" w:rsidR="000D5DA8">
        <w:rPr>
          <w:sz w:val="24"/>
          <w:szCs w:val="24"/>
        </w:rPr>
        <w:t xml:space="preserve"> </w:t>
      </w:r>
      <w:r w:rsidRPr="00533AD2" w:rsidR="0063359E">
        <w:rPr>
          <w:sz w:val="24"/>
          <w:szCs w:val="24"/>
        </w:rPr>
        <w:t>This is also</w:t>
      </w:r>
      <w:r w:rsidRPr="00533AD2" w:rsidR="6E5AFA01">
        <w:rPr>
          <w:sz w:val="24"/>
          <w:szCs w:val="24"/>
        </w:rPr>
        <w:t xml:space="preserve"> a </w:t>
      </w:r>
      <w:r w:rsidRPr="00533AD2" w:rsidR="5D36369A">
        <w:rPr>
          <w:sz w:val="24"/>
          <w:szCs w:val="24"/>
        </w:rPr>
        <w:t>long</w:t>
      </w:r>
      <w:r w:rsidRPr="00533AD2" w:rsidR="6D792AF9">
        <w:rPr>
          <w:sz w:val="24"/>
          <w:szCs w:val="24"/>
        </w:rPr>
        <w:t>-</w:t>
      </w:r>
      <w:r w:rsidRPr="00533AD2" w:rsidR="5D36369A">
        <w:rPr>
          <w:sz w:val="24"/>
          <w:szCs w:val="24"/>
        </w:rPr>
        <w:t xml:space="preserve">standing </w:t>
      </w:r>
      <w:r w:rsidRPr="00533AD2" w:rsidR="0063359E">
        <w:rPr>
          <w:sz w:val="24"/>
          <w:szCs w:val="24"/>
        </w:rPr>
        <w:t>focus</w:t>
      </w:r>
      <w:r w:rsidRPr="00533AD2">
        <w:rPr>
          <w:sz w:val="24"/>
          <w:szCs w:val="24"/>
        </w:rPr>
        <w:t xml:space="preserve"> area</w:t>
      </w:r>
      <w:r w:rsidRPr="00533AD2" w:rsidR="0063359E">
        <w:rPr>
          <w:sz w:val="24"/>
          <w:szCs w:val="24"/>
        </w:rPr>
        <w:t xml:space="preserve"> </w:t>
      </w:r>
      <w:r w:rsidRPr="00533AD2" w:rsidR="5D36369A">
        <w:rPr>
          <w:sz w:val="24"/>
          <w:szCs w:val="24"/>
        </w:rPr>
        <w:t xml:space="preserve">of work </w:t>
      </w:r>
      <w:r w:rsidRPr="00533AD2" w:rsidR="00672754">
        <w:rPr>
          <w:sz w:val="24"/>
          <w:szCs w:val="24"/>
        </w:rPr>
        <w:t>for</w:t>
      </w:r>
      <w:r w:rsidRPr="00533AD2" w:rsidR="6E5AFA01">
        <w:rPr>
          <w:sz w:val="24"/>
          <w:szCs w:val="24"/>
        </w:rPr>
        <w:t xml:space="preserve"> the </w:t>
      </w:r>
      <w:r w:rsidRPr="00533AD2" w:rsidR="5D36369A">
        <w:rPr>
          <w:sz w:val="24"/>
          <w:szCs w:val="24"/>
        </w:rPr>
        <w:t>CFPB’s Office for Older Americans</w:t>
      </w:r>
      <w:r w:rsidRPr="00533AD2" w:rsidR="52CE761F">
        <w:rPr>
          <w:sz w:val="24"/>
          <w:szCs w:val="24"/>
        </w:rPr>
        <w:t xml:space="preserve">. </w:t>
      </w:r>
    </w:p>
    <w:p w:rsidR="00017AB4" w:rsidRPr="00533AD2" w:rsidP="530CEFF7" w14:paraId="13AE5441" w14:textId="77777777">
      <w:pPr>
        <w:rPr>
          <w:sz w:val="24"/>
          <w:szCs w:val="24"/>
        </w:rPr>
      </w:pPr>
    </w:p>
    <w:p w:rsidR="002379D8" w:rsidRPr="00533AD2" w:rsidP="530CEFF7" w14:paraId="29C16DE3" w14:textId="37A04A2A">
      <w:pPr>
        <w:rPr>
          <w:sz w:val="24"/>
          <w:szCs w:val="24"/>
        </w:rPr>
      </w:pPr>
      <w:r w:rsidRPr="00533AD2">
        <w:rPr>
          <w:sz w:val="24"/>
          <w:szCs w:val="24"/>
        </w:rPr>
        <w:t>Because</w:t>
      </w:r>
      <w:r w:rsidRPr="00533AD2" w:rsidR="0D73050A">
        <w:rPr>
          <w:sz w:val="24"/>
          <w:szCs w:val="24"/>
        </w:rPr>
        <w:t xml:space="preserve"> this survey provides foundation</w:t>
      </w:r>
      <w:r w:rsidRPr="00533AD2" w:rsidR="1CCFD233">
        <w:rPr>
          <w:sz w:val="24"/>
          <w:szCs w:val="24"/>
        </w:rPr>
        <w:t>al</w:t>
      </w:r>
      <w:r w:rsidRPr="00533AD2" w:rsidR="0D73050A">
        <w:rPr>
          <w:sz w:val="24"/>
          <w:szCs w:val="24"/>
        </w:rPr>
        <w:t xml:space="preserve"> data on </w:t>
      </w:r>
      <w:r w:rsidRPr="00533AD2" w:rsidR="00017AB4">
        <w:rPr>
          <w:sz w:val="24"/>
          <w:szCs w:val="24"/>
        </w:rPr>
        <w:t xml:space="preserve">many </w:t>
      </w:r>
      <w:r w:rsidRPr="00533AD2" w:rsidR="50E60B96">
        <w:rPr>
          <w:sz w:val="24"/>
          <w:szCs w:val="24"/>
        </w:rPr>
        <w:t>topics related to banking needs of people as they age</w:t>
      </w:r>
      <w:r w:rsidRPr="00533AD2" w:rsidR="0D73050A">
        <w:rPr>
          <w:sz w:val="24"/>
          <w:szCs w:val="24"/>
        </w:rPr>
        <w:t xml:space="preserve">, </w:t>
      </w:r>
      <w:r w:rsidRPr="00533AD2" w:rsidR="5C411CF4">
        <w:rPr>
          <w:sz w:val="24"/>
          <w:szCs w:val="24"/>
        </w:rPr>
        <w:t>i</w:t>
      </w:r>
      <w:r w:rsidRPr="00533AD2" w:rsidR="5E091A61">
        <w:rPr>
          <w:sz w:val="24"/>
          <w:szCs w:val="24"/>
        </w:rPr>
        <w:t>f</w:t>
      </w:r>
      <w:r w:rsidRPr="00533AD2" w:rsidR="00C6344E">
        <w:rPr>
          <w:sz w:val="24"/>
          <w:szCs w:val="24"/>
        </w:rPr>
        <w:t xml:space="preserve"> the collection is not conducted,</w:t>
      </w:r>
      <w:r w:rsidRPr="00533AD2" w:rsidR="00575037">
        <w:rPr>
          <w:sz w:val="24"/>
          <w:szCs w:val="24"/>
        </w:rPr>
        <w:t xml:space="preserve"> CFPB will be </w:t>
      </w:r>
      <w:r w:rsidRPr="00533AD2" w:rsidR="29A26696">
        <w:rPr>
          <w:sz w:val="24"/>
          <w:szCs w:val="24"/>
        </w:rPr>
        <w:t xml:space="preserve">without critical data to support and guide </w:t>
      </w:r>
      <w:r w:rsidRPr="00533AD2" w:rsidR="00792D79">
        <w:rPr>
          <w:sz w:val="24"/>
          <w:szCs w:val="24"/>
        </w:rPr>
        <w:t>its</w:t>
      </w:r>
      <w:r w:rsidRPr="00533AD2" w:rsidR="29A26696">
        <w:rPr>
          <w:sz w:val="24"/>
          <w:szCs w:val="24"/>
        </w:rPr>
        <w:t xml:space="preserve"> educational, regulatory, and policy work.</w:t>
      </w:r>
      <w:r w:rsidRPr="00533AD2" w:rsidR="00CF6AD9">
        <w:rPr>
          <w:sz w:val="24"/>
          <w:szCs w:val="24"/>
        </w:rPr>
        <w:t xml:space="preserve"> </w:t>
      </w:r>
    </w:p>
    <w:p w:rsidR="002379D8" w:rsidRPr="00533AD2" w:rsidP="530CEFF7" w14:paraId="396DE1DF" w14:textId="77777777">
      <w:pPr>
        <w:rPr>
          <w:sz w:val="24"/>
          <w:szCs w:val="24"/>
        </w:rPr>
      </w:pPr>
    </w:p>
    <w:p w:rsidR="00E939D3" w:rsidRPr="00533AD2" w:rsidP="530CEFF7" w14:paraId="60F2BB8B" w14:textId="3179FA0C">
      <w:pPr>
        <w:rPr>
          <w:sz w:val="24"/>
          <w:szCs w:val="24"/>
        </w:rPr>
      </w:pPr>
      <w:r w:rsidRPr="00533AD2">
        <w:rPr>
          <w:sz w:val="24"/>
          <w:szCs w:val="24"/>
        </w:rPr>
        <w:t>Similarly</w:t>
      </w:r>
      <w:r w:rsidRPr="00533AD2" w:rsidR="29A26696">
        <w:rPr>
          <w:sz w:val="24"/>
          <w:szCs w:val="24"/>
        </w:rPr>
        <w:t xml:space="preserve">, other entities who play a role in this space and don’t have the </w:t>
      </w:r>
      <w:r w:rsidRPr="00533AD2" w:rsidR="201A5649">
        <w:rPr>
          <w:sz w:val="24"/>
          <w:szCs w:val="24"/>
        </w:rPr>
        <w:t>capacity</w:t>
      </w:r>
      <w:r w:rsidRPr="00533AD2" w:rsidR="29A26696">
        <w:rPr>
          <w:sz w:val="24"/>
          <w:szCs w:val="24"/>
        </w:rPr>
        <w:t xml:space="preserve"> or </w:t>
      </w:r>
      <w:r w:rsidRPr="00533AD2" w:rsidR="51F53CF9">
        <w:rPr>
          <w:sz w:val="24"/>
          <w:szCs w:val="24"/>
        </w:rPr>
        <w:t>expertise</w:t>
      </w:r>
      <w:r w:rsidRPr="00533AD2" w:rsidR="29A26696">
        <w:rPr>
          <w:sz w:val="24"/>
          <w:szCs w:val="24"/>
        </w:rPr>
        <w:t xml:space="preserve"> </w:t>
      </w:r>
      <w:r w:rsidRPr="00533AD2" w:rsidR="31357461">
        <w:rPr>
          <w:sz w:val="24"/>
          <w:szCs w:val="24"/>
        </w:rPr>
        <w:t>to collect similar data</w:t>
      </w:r>
      <w:r w:rsidRPr="00533AD2" w:rsidR="29A26696">
        <w:rPr>
          <w:sz w:val="24"/>
          <w:szCs w:val="24"/>
        </w:rPr>
        <w:t>, including s</w:t>
      </w:r>
      <w:r w:rsidRPr="00533AD2" w:rsidR="08A57563">
        <w:rPr>
          <w:sz w:val="24"/>
          <w:szCs w:val="24"/>
        </w:rPr>
        <w:t>t</w:t>
      </w:r>
      <w:r w:rsidRPr="00533AD2" w:rsidR="29A26696">
        <w:rPr>
          <w:sz w:val="24"/>
          <w:szCs w:val="24"/>
        </w:rPr>
        <w:t xml:space="preserve">ate </w:t>
      </w:r>
      <w:r w:rsidRPr="00533AD2" w:rsidR="6F9D30F7">
        <w:rPr>
          <w:sz w:val="24"/>
          <w:szCs w:val="24"/>
        </w:rPr>
        <w:t>regulators</w:t>
      </w:r>
      <w:r w:rsidRPr="00533AD2" w:rsidR="0E748F07">
        <w:rPr>
          <w:sz w:val="24"/>
          <w:szCs w:val="24"/>
        </w:rPr>
        <w:t xml:space="preserve"> and localities that implement financial inclusion initiatives and age-friendly plans for cities and loca</w:t>
      </w:r>
      <w:r w:rsidRPr="00533AD2" w:rsidR="0024197D">
        <w:rPr>
          <w:sz w:val="24"/>
          <w:szCs w:val="24"/>
        </w:rPr>
        <w:t>li</w:t>
      </w:r>
      <w:r w:rsidRPr="00533AD2" w:rsidR="0E748F07">
        <w:rPr>
          <w:sz w:val="24"/>
          <w:szCs w:val="24"/>
        </w:rPr>
        <w:t>ties</w:t>
      </w:r>
      <w:r w:rsidRPr="00533AD2" w:rsidR="0413FEEA">
        <w:rPr>
          <w:sz w:val="24"/>
          <w:szCs w:val="24"/>
        </w:rPr>
        <w:t>,</w:t>
      </w:r>
      <w:r w:rsidRPr="00533AD2" w:rsidR="29A26696">
        <w:rPr>
          <w:sz w:val="24"/>
          <w:szCs w:val="24"/>
        </w:rPr>
        <w:t xml:space="preserve"> will also lack </w:t>
      </w:r>
      <w:r w:rsidRPr="00533AD2" w:rsidR="1894722B">
        <w:rPr>
          <w:sz w:val="24"/>
          <w:szCs w:val="24"/>
        </w:rPr>
        <w:t>foundational</w:t>
      </w:r>
      <w:r w:rsidRPr="00533AD2" w:rsidR="2F7C34F6">
        <w:rPr>
          <w:sz w:val="24"/>
          <w:szCs w:val="24"/>
        </w:rPr>
        <w:t xml:space="preserve"> data to </w:t>
      </w:r>
      <w:r w:rsidRPr="00533AD2" w:rsidR="50C085C7">
        <w:rPr>
          <w:sz w:val="24"/>
          <w:szCs w:val="24"/>
        </w:rPr>
        <w:t>s</w:t>
      </w:r>
      <w:r w:rsidRPr="00533AD2" w:rsidR="2F7C34F6">
        <w:rPr>
          <w:sz w:val="24"/>
          <w:szCs w:val="24"/>
        </w:rPr>
        <w:t>upport and guide the</w:t>
      </w:r>
      <w:r w:rsidRPr="00533AD2" w:rsidR="00CF6AD9">
        <w:rPr>
          <w:sz w:val="24"/>
          <w:szCs w:val="24"/>
        </w:rPr>
        <w:t>ir</w:t>
      </w:r>
      <w:r w:rsidRPr="00533AD2" w:rsidR="2F7C34F6">
        <w:rPr>
          <w:sz w:val="24"/>
          <w:szCs w:val="24"/>
        </w:rPr>
        <w:t xml:space="preserve"> educational, regulatory, and policy work</w:t>
      </w:r>
      <w:r w:rsidRPr="00533AD2" w:rsidR="1E75C700">
        <w:rPr>
          <w:sz w:val="24"/>
          <w:szCs w:val="24"/>
        </w:rPr>
        <w:t>.</w:t>
      </w:r>
      <w:r w:rsidRPr="00533AD2" w:rsidR="00226DD8">
        <w:rPr>
          <w:sz w:val="24"/>
          <w:szCs w:val="24"/>
        </w:rPr>
        <w:t xml:space="preserve"> </w:t>
      </w:r>
      <w:r w:rsidRPr="00533AD2" w:rsidR="000D5DA8">
        <w:rPr>
          <w:sz w:val="24"/>
          <w:szCs w:val="24"/>
        </w:rPr>
        <w:t xml:space="preserve"> </w:t>
      </w:r>
      <w:r w:rsidRPr="00533AD2" w:rsidR="00A95DA8">
        <w:rPr>
          <w:sz w:val="24"/>
          <w:szCs w:val="24"/>
        </w:rPr>
        <w:t xml:space="preserve">Again, existing studies related to age-friendly banking have </w:t>
      </w:r>
      <w:r w:rsidRPr="00533AD2" w:rsidR="00A41A8B">
        <w:rPr>
          <w:sz w:val="24"/>
          <w:szCs w:val="24"/>
        </w:rPr>
        <w:t xml:space="preserve">limited samples and are topically limited, and </w:t>
      </w:r>
      <w:r w:rsidRPr="00533AD2" w:rsidR="00A95DA8">
        <w:rPr>
          <w:sz w:val="24"/>
          <w:szCs w:val="24"/>
        </w:rPr>
        <w:t xml:space="preserve">typically do not make their datasets </w:t>
      </w:r>
      <w:r w:rsidRPr="00533AD2" w:rsidR="00431624">
        <w:rPr>
          <w:sz w:val="24"/>
          <w:szCs w:val="24"/>
        </w:rPr>
        <w:t>available for public use.</w:t>
      </w:r>
      <w:r w:rsidRPr="00533AD2" w:rsidR="000D5DA8">
        <w:rPr>
          <w:sz w:val="24"/>
          <w:szCs w:val="24"/>
        </w:rPr>
        <w:t xml:space="preserve"> </w:t>
      </w:r>
      <w:r w:rsidRPr="00533AD2" w:rsidR="00A95DA8">
        <w:rPr>
          <w:sz w:val="24"/>
          <w:szCs w:val="24"/>
        </w:rPr>
        <w:t xml:space="preserve"> </w:t>
      </w:r>
      <w:r w:rsidRPr="00533AD2" w:rsidR="00431624">
        <w:rPr>
          <w:sz w:val="24"/>
          <w:szCs w:val="24"/>
        </w:rPr>
        <w:t>The CFPB’s new</w:t>
      </w:r>
      <w:r w:rsidRPr="00533AD2" w:rsidR="00226DD8">
        <w:rPr>
          <w:sz w:val="24"/>
          <w:szCs w:val="24"/>
        </w:rPr>
        <w:t xml:space="preserve"> dataset will empower many other </w:t>
      </w:r>
      <w:r w:rsidRPr="00533AD2" w:rsidR="001B4E93">
        <w:rPr>
          <w:sz w:val="24"/>
          <w:szCs w:val="24"/>
        </w:rPr>
        <w:t xml:space="preserve">governmental, nonprofit, and other </w:t>
      </w:r>
      <w:r w:rsidRPr="00533AD2" w:rsidR="00226DD8">
        <w:rPr>
          <w:sz w:val="24"/>
          <w:szCs w:val="24"/>
        </w:rPr>
        <w:t xml:space="preserve">entities to </w:t>
      </w:r>
      <w:r w:rsidRPr="00533AD2" w:rsidR="001B4E93">
        <w:rPr>
          <w:sz w:val="24"/>
          <w:szCs w:val="24"/>
        </w:rPr>
        <w:t xml:space="preserve">conduct analysis on topics of interest relevant to their work and </w:t>
      </w:r>
      <w:r w:rsidRPr="00533AD2" w:rsidR="007452F7">
        <w:rPr>
          <w:sz w:val="24"/>
          <w:szCs w:val="24"/>
        </w:rPr>
        <w:t xml:space="preserve">apply their findings to enhance </w:t>
      </w:r>
      <w:r w:rsidRPr="00533AD2" w:rsidR="00431624">
        <w:rPr>
          <w:sz w:val="24"/>
          <w:szCs w:val="24"/>
        </w:rPr>
        <w:t xml:space="preserve">consumer protections and expand </w:t>
      </w:r>
      <w:r w:rsidRPr="00533AD2" w:rsidR="007452F7">
        <w:rPr>
          <w:sz w:val="24"/>
          <w:szCs w:val="24"/>
        </w:rPr>
        <w:t>age-friendly banking products and services nationwide</w:t>
      </w:r>
      <w:r w:rsidRPr="00533AD2" w:rsidR="001B4E93">
        <w:rPr>
          <w:sz w:val="24"/>
          <w:szCs w:val="24"/>
        </w:rPr>
        <w:t xml:space="preserve">. </w:t>
      </w:r>
    </w:p>
    <w:p w:rsidR="00790ED5" w:rsidRPr="00533AD2" w:rsidP="00BE61FE" w14:paraId="4A96FEF4" w14:textId="77777777">
      <w:pPr>
        <w:rPr>
          <w:sz w:val="24"/>
        </w:rPr>
      </w:pPr>
    </w:p>
    <w:p w:rsidR="00F660E8" w:rsidRPr="00533AD2"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33AD2">
        <w:rPr>
          <w:b/>
          <w:sz w:val="24"/>
          <w:szCs w:val="24"/>
        </w:rPr>
        <w:t xml:space="preserve">7.  </w:t>
      </w:r>
      <w:r w:rsidRPr="00533AD2">
        <w:rPr>
          <w:b/>
          <w:bCs/>
          <w:sz w:val="24"/>
          <w:szCs w:val="24"/>
        </w:rPr>
        <w:t>Explain any special circumstances that would cause an information collection to be conducted in a manner:</w:t>
      </w:r>
    </w:p>
    <w:p w:rsidR="00F660E8" w:rsidRPr="00533AD2" w:rsidP="00F660E8" w14:paraId="1E4D6E0A" w14:textId="3F1B3E08">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33AD2">
        <w:rPr>
          <w:b/>
          <w:bCs/>
          <w:sz w:val="24"/>
          <w:szCs w:val="24"/>
        </w:rPr>
        <w:t xml:space="preserve">requiring respondents to report information to the agency more often than </w:t>
      </w:r>
      <w:r w:rsidRPr="00533AD2">
        <w:rPr>
          <w:b/>
          <w:bCs/>
          <w:sz w:val="24"/>
          <w:szCs w:val="24"/>
        </w:rPr>
        <w:t>quarterly;</w:t>
      </w:r>
      <w:r w:rsidRPr="00533AD2" w:rsidR="00790ED5">
        <w:rPr>
          <w:b/>
          <w:bCs/>
          <w:sz w:val="24"/>
          <w:szCs w:val="24"/>
        </w:rPr>
        <w:t xml:space="preserve"> </w:t>
      </w:r>
    </w:p>
    <w:p w:rsidR="00F660E8" w:rsidRPr="00533AD2"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33AD2">
        <w:rPr>
          <w:b/>
          <w:bCs/>
          <w:sz w:val="24"/>
          <w:szCs w:val="24"/>
        </w:rPr>
        <w:t xml:space="preserve">requiring respondents to prepare a written response to a collection of information in fewer than 30 days after receipt of </w:t>
      </w:r>
      <w:r w:rsidRPr="00533AD2">
        <w:rPr>
          <w:b/>
          <w:bCs/>
          <w:sz w:val="24"/>
          <w:szCs w:val="24"/>
        </w:rPr>
        <w:t>it;</w:t>
      </w:r>
    </w:p>
    <w:p w:rsidR="00F660E8" w:rsidRPr="00533AD2"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33AD2">
        <w:rPr>
          <w:b/>
          <w:bCs/>
          <w:sz w:val="24"/>
          <w:szCs w:val="24"/>
        </w:rPr>
        <w:t xml:space="preserve">requiring respondents to submit more than an original and two copies of any </w:t>
      </w:r>
      <w:r w:rsidRPr="00533AD2">
        <w:rPr>
          <w:b/>
          <w:bCs/>
          <w:sz w:val="24"/>
          <w:szCs w:val="24"/>
        </w:rPr>
        <w:t>document;</w:t>
      </w:r>
    </w:p>
    <w:p w:rsidR="00F660E8" w:rsidRPr="00533AD2"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33AD2">
        <w:rPr>
          <w:b/>
          <w:bCs/>
          <w:sz w:val="24"/>
          <w:szCs w:val="24"/>
        </w:rPr>
        <w:t xml:space="preserve">requiring respondents to retain records, other than health, medical, government contract, grant-in-aid, or tax records for more than three </w:t>
      </w:r>
      <w:r w:rsidRPr="00533AD2">
        <w:rPr>
          <w:b/>
          <w:bCs/>
          <w:sz w:val="24"/>
          <w:szCs w:val="24"/>
        </w:rPr>
        <w:t>years;</w:t>
      </w:r>
    </w:p>
    <w:p w:rsidR="00F660E8" w:rsidRPr="00533AD2"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33AD2">
        <w:rPr>
          <w:b/>
          <w:bCs/>
        </w:rPr>
        <w:t xml:space="preserve">in connection with a statistical survey, that is not designed to produce valid and reliable results that can be generalized to the universe of </w:t>
      </w:r>
      <w:r w:rsidRPr="00533AD2">
        <w:rPr>
          <w:b/>
          <w:bCs/>
        </w:rPr>
        <w:t>study;</w:t>
      </w:r>
    </w:p>
    <w:p w:rsidR="00F660E8" w:rsidRPr="00533AD2"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33AD2">
        <w:rPr>
          <w:b/>
          <w:bCs/>
        </w:rPr>
        <w:t xml:space="preserve">requiring the use of statistical data classification that has not been reviewed and approved by </w:t>
      </w:r>
      <w:r w:rsidRPr="00533AD2">
        <w:rPr>
          <w:b/>
          <w:bCs/>
        </w:rPr>
        <w:t>OMB;</w:t>
      </w:r>
    </w:p>
    <w:p w:rsidR="00F660E8" w:rsidRPr="00533AD2"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33AD2">
        <w:rPr>
          <w:b/>
          <w:bCs/>
        </w:rPr>
        <w:t xml:space="preserve">that includes a pledge of confidentially that is not supported by authority established in statute or regulation, that is not supported by disclosure and </w:t>
      </w:r>
      <w:r w:rsidRPr="00533AD2">
        <w:rPr>
          <w:b/>
          <w:bCs/>
        </w:rPr>
        <w:t>data security policies that are consistent with the pledge, or which unnecessarily impedes sharing of data with other agencies for compatible confidential use; or</w:t>
      </w:r>
    </w:p>
    <w:p w:rsidR="00F660E8" w:rsidRPr="00533AD2"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3AD2">
        <w:rPr>
          <w:b/>
          <w:bCs/>
        </w:rPr>
        <w:t>requiring respondents to submit proprietary trade secret, or other confidential information unless the agency can demonstrate that it has instituted procedures to protect the information's confidentially to the extent permitted by law.</w:t>
      </w:r>
    </w:p>
    <w:p w:rsidR="00790ED5" w:rsidRPr="00533AD2" w:rsidP="00790ED5" w14:paraId="6CCBA25F" w14:textId="789BD547">
      <w:pPr>
        <w:ind w:left="360"/>
        <w:rPr>
          <w:sz w:val="24"/>
        </w:rPr>
      </w:pPr>
    </w:p>
    <w:p w:rsidR="00790ED5" w:rsidRPr="00533AD2" w:rsidP="00790ED5" w14:paraId="1AA2A9E9" w14:textId="0511134C">
      <w:pPr>
        <w:pStyle w:val="BodyText"/>
      </w:pPr>
      <w:r w:rsidRPr="00533AD2">
        <w:t xml:space="preserve">Not applicable. </w:t>
      </w:r>
      <w:r w:rsidRPr="00533AD2" w:rsidR="00484111">
        <w:t>The are no special circumstances.</w:t>
      </w:r>
    </w:p>
    <w:p w:rsidR="00E939D3" w:rsidRPr="00533AD2" w:rsidP="005F1FFC" w14:paraId="630F2A4B" w14:textId="77777777">
      <w:pPr>
        <w:ind w:left="720"/>
        <w:rPr>
          <w:sz w:val="24"/>
        </w:rPr>
      </w:pPr>
    </w:p>
    <w:p w:rsidR="00F660E8" w:rsidRPr="00533AD2"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533AD2">
        <w:rPr>
          <w:b/>
          <w:sz w:val="24"/>
          <w:szCs w:val="24"/>
        </w:rPr>
        <w:t xml:space="preserve">8.  </w:t>
      </w:r>
      <w:r w:rsidRPr="00533AD2">
        <w:rPr>
          <w:b/>
          <w:bCs/>
          <w:sz w:val="24"/>
          <w:szCs w:val="24"/>
        </w:rPr>
        <w:t xml:space="preserve">If applicable, provide a copy and identify the date and page number of </w:t>
      </w:r>
      <w:r w:rsidRPr="00533AD2">
        <w:rPr>
          <w:b/>
          <w:bCs/>
          <w:sz w:val="24"/>
          <w:szCs w:val="24"/>
        </w:rPr>
        <w:t>publication</w:t>
      </w:r>
      <w:r w:rsidRPr="00533AD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533AD2"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533AD2"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533AD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B4819" w:rsidRPr="00533AD2" w:rsidP="000B4819" w14:paraId="5403F45C" w14:textId="77777777">
      <w:pPr>
        <w:rPr>
          <w:bCs/>
          <w:sz w:val="24"/>
        </w:rPr>
      </w:pPr>
    </w:p>
    <w:p w:rsidR="00F660E8" w:rsidRPr="00533AD2"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33AD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533AD2" w:rsidP="005F1FFC" w14:paraId="3454479C" w14:textId="77777777">
      <w:pPr>
        <w:rPr>
          <w:sz w:val="24"/>
        </w:rPr>
      </w:pPr>
    </w:p>
    <w:p w:rsidR="00BC56A2" w:rsidRPr="00533AD2" w:rsidP="00BC56A2" w14:paraId="4EF51BBA" w14:textId="3A2A25A5">
      <w:pPr>
        <w:rPr>
          <w:bCs/>
          <w:sz w:val="24"/>
        </w:rPr>
      </w:pPr>
      <w:r w:rsidRPr="00533AD2">
        <w:rPr>
          <w:bCs/>
          <w:sz w:val="24"/>
        </w:rPr>
        <w:t xml:space="preserve">In accordance with 5 CFR §1320.8(d)(1), </w:t>
      </w:r>
      <w:r w:rsidRPr="00533AD2" w:rsidR="00533AD2">
        <w:rPr>
          <w:bCs/>
          <w:sz w:val="24"/>
        </w:rPr>
        <w:t>CFPB</w:t>
      </w:r>
      <w:r w:rsidRPr="00533AD2">
        <w:rPr>
          <w:bCs/>
          <w:sz w:val="24"/>
        </w:rPr>
        <w:t xml:space="preserve"> has published a notice in </w:t>
      </w:r>
      <w:r w:rsidRPr="00533AD2">
        <w:rPr>
          <w:bCs/>
          <w:iCs/>
          <w:sz w:val="24"/>
        </w:rPr>
        <w:t>Federal Register</w:t>
      </w:r>
      <w:r w:rsidRPr="00533AD2">
        <w:rPr>
          <w:bCs/>
          <w:sz w:val="24"/>
        </w:rPr>
        <w:t xml:space="preserve"> that provides the public 60 calendar days to comment on the reporting requirements </w:t>
      </w:r>
      <w:r w:rsidRPr="00533AD2" w:rsidR="00C06DAD">
        <w:rPr>
          <w:bCs/>
          <w:sz w:val="24"/>
        </w:rPr>
        <w:t>of this new collection.</w:t>
      </w:r>
      <w:r>
        <w:rPr>
          <w:rStyle w:val="FootnoteReference"/>
          <w:bCs/>
          <w:sz w:val="24"/>
        </w:rPr>
        <w:footnoteReference w:id="3"/>
      </w:r>
      <w:r w:rsidRPr="00533AD2" w:rsidR="00127115">
        <w:rPr>
          <w:bCs/>
          <w:sz w:val="24"/>
        </w:rPr>
        <w:t xml:space="preserve"> No comments were received.</w:t>
      </w:r>
    </w:p>
    <w:p w:rsidR="004E1F5B" w:rsidRPr="00533AD2" w:rsidP="00BC56A2" w14:paraId="13830F01" w14:textId="77777777">
      <w:pPr>
        <w:rPr>
          <w:bCs/>
          <w:sz w:val="24"/>
        </w:rPr>
      </w:pPr>
    </w:p>
    <w:p w:rsidR="00BE61FE" w:rsidRPr="00533AD2" w:rsidP="00BC56A2" w14:paraId="18A7A451" w14:textId="47C37DC8">
      <w:pPr>
        <w:rPr>
          <w:bCs/>
          <w:sz w:val="24"/>
        </w:rPr>
      </w:pPr>
      <w:r w:rsidRPr="00533AD2">
        <w:rPr>
          <w:bCs/>
          <w:sz w:val="24"/>
        </w:rPr>
        <w:t xml:space="preserve">Also, </w:t>
      </w:r>
      <w:r w:rsidRPr="00533AD2" w:rsidR="00BC56A2">
        <w:rPr>
          <w:bCs/>
          <w:sz w:val="24"/>
        </w:rPr>
        <w:t xml:space="preserve">in accordance with 5 CFR §1320.5(a)(1)(iv), </w:t>
      </w:r>
      <w:r w:rsidRPr="00533AD2" w:rsidR="00533AD2">
        <w:rPr>
          <w:bCs/>
          <w:sz w:val="24"/>
        </w:rPr>
        <w:t>CFPB</w:t>
      </w:r>
      <w:r w:rsidRPr="00533AD2" w:rsidR="00BC56A2">
        <w:rPr>
          <w:bCs/>
          <w:sz w:val="24"/>
        </w:rPr>
        <w:t xml:space="preserve"> has also published a notice in the </w:t>
      </w:r>
      <w:r w:rsidRPr="00533AD2" w:rsidR="00BC56A2">
        <w:rPr>
          <w:bCs/>
          <w:iCs/>
          <w:sz w:val="24"/>
        </w:rPr>
        <w:t>Federal Register</w:t>
      </w:r>
      <w:r w:rsidRPr="00533AD2" w:rsidR="00BC56A2">
        <w:rPr>
          <w:bCs/>
          <w:sz w:val="24"/>
        </w:rPr>
        <w:t xml:space="preserve"> </w:t>
      </w:r>
      <w:r w:rsidRPr="00533AD2">
        <w:rPr>
          <w:bCs/>
          <w:sz w:val="24"/>
        </w:rPr>
        <w:t>providing</w:t>
      </w:r>
      <w:r w:rsidRPr="00533AD2" w:rsidR="00BC56A2">
        <w:rPr>
          <w:bCs/>
          <w:sz w:val="24"/>
        </w:rPr>
        <w:t xml:space="preserve"> the public 30 days to comment </w:t>
      </w:r>
      <w:r w:rsidRPr="00533AD2">
        <w:rPr>
          <w:bCs/>
          <w:sz w:val="24"/>
        </w:rPr>
        <w:t>on reporting requirements contained within th</w:t>
      </w:r>
      <w:r w:rsidRPr="00533AD2" w:rsidR="009D7886">
        <w:rPr>
          <w:bCs/>
          <w:sz w:val="24"/>
        </w:rPr>
        <w:t>is</w:t>
      </w:r>
      <w:r w:rsidRPr="00533AD2">
        <w:rPr>
          <w:bCs/>
          <w:sz w:val="24"/>
        </w:rPr>
        <w:t xml:space="preserve"> information collection request.</w:t>
      </w:r>
      <w:r>
        <w:rPr>
          <w:rStyle w:val="FootnoteReference"/>
          <w:bCs/>
          <w:sz w:val="24"/>
        </w:rPr>
        <w:footnoteReference w:id="4"/>
      </w:r>
    </w:p>
    <w:p w:rsidR="00E939D3" w:rsidRPr="00533AD2" w:rsidP="005F1FFC" w14:paraId="6891C959" w14:textId="77777777">
      <w:pPr>
        <w:rPr>
          <w:sz w:val="24"/>
        </w:rPr>
      </w:pPr>
    </w:p>
    <w:p w:rsidR="00F660E8" w:rsidRPr="00533AD2" w:rsidP="00F660E8" w14:paraId="3BE65949" w14:textId="77777777">
      <w:pPr>
        <w:autoSpaceDE w:val="0"/>
        <w:autoSpaceDN w:val="0"/>
        <w:adjustRightInd w:val="0"/>
        <w:rPr>
          <w:b/>
          <w:sz w:val="24"/>
          <w:szCs w:val="24"/>
        </w:rPr>
      </w:pPr>
      <w:r w:rsidRPr="00533AD2">
        <w:rPr>
          <w:b/>
          <w:sz w:val="24"/>
          <w:szCs w:val="24"/>
        </w:rPr>
        <w:t xml:space="preserve">9.  </w:t>
      </w:r>
      <w:r w:rsidRPr="00533AD2">
        <w:rPr>
          <w:b/>
          <w:bCs/>
          <w:sz w:val="24"/>
          <w:szCs w:val="24"/>
        </w:rPr>
        <w:t>Explain any decision to provide any payments or gifts to respondents, other than remuneration of contractors or grantees.</w:t>
      </w:r>
    </w:p>
    <w:p w:rsidR="005F1FFC" w:rsidRPr="00533AD2" w:rsidP="005F1FFC" w14:paraId="0EFC2C53" w14:textId="77777777">
      <w:pPr>
        <w:rPr>
          <w:sz w:val="24"/>
        </w:rPr>
      </w:pPr>
    </w:p>
    <w:p w:rsidR="00932202" w:rsidRPr="00533AD2" w:rsidP="009E1042" w14:paraId="668EEAC1" w14:textId="4D44A667">
      <w:pPr>
        <w:rPr>
          <w:sz w:val="24"/>
          <w:szCs w:val="24"/>
        </w:rPr>
      </w:pPr>
      <w:r w:rsidRPr="00533AD2">
        <w:rPr>
          <w:sz w:val="24"/>
          <w:szCs w:val="24"/>
        </w:rPr>
        <w:t xml:space="preserve">This collection </w:t>
      </w:r>
      <w:r w:rsidRPr="00533AD2">
        <w:rPr>
          <w:sz w:val="24"/>
          <w:szCs w:val="24"/>
        </w:rPr>
        <w:t xml:space="preserve">will employ the use of incentives to encourage responses. </w:t>
      </w:r>
      <w:r w:rsidRPr="00533AD2">
        <w:rPr>
          <w:sz w:val="24"/>
          <w:szCs w:val="24"/>
        </w:rPr>
        <w:t>AmeriSpeak</w:t>
      </w:r>
      <w:r w:rsidRPr="00533AD2">
        <w:rPr>
          <w:sz w:val="24"/>
          <w:szCs w:val="24"/>
        </w:rPr>
        <w:t xml:space="preserve"> panel members who complete the survey will receive an incentive in the form of </w:t>
      </w:r>
      <w:r w:rsidRPr="00533AD2">
        <w:rPr>
          <w:sz w:val="24"/>
          <w:szCs w:val="24"/>
        </w:rPr>
        <w:t>AmeriSpeak</w:t>
      </w:r>
      <w:r w:rsidRPr="00533AD2">
        <w:rPr>
          <w:sz w:val="24"/>
          <w:szCs w:val="24"/>
        </w:rPr>
        <w:t xml:space="preserve"> points that can be redeemed for prizes and have a cash value. A panel member will be credited with earned points once they complete the survey. </w:t>
      </w:r>
    </w:p>
    <w:p w:rsidR="00932202" w:rsidRPr="00533AD2" w:rsidP="009E1042" w14:paraId="4E738C34" w14:textId="77777777"/>
    <w:p w:rsidR="00F660E8" w:rsidRPr="00533AD2" w:rsidP="00F660E8" w14:paraId="00FF3777" w14:textId="77777777">
      <w:pPr>
        <w:rPr>
          <w:b/>
          <w:sz w:val="24"/>
          <w:szCs w:val="24"/>
        </w:rPr>
      </w:pPr>
      <w:r w:rsidRPr="00533AD2">
        <w:rPr>
          <w:b/>
          <w:sz w:val="24"/>
          <w:szCs w:val="24"/>
        </w:rPr>
        <w:t xml:space="preserve">10.  </w:t>
      </w:r>
      <w:r w:rsidRPr="00533AD2">
        <w:rPr>
          <w:b/>
          <w:bCs/>
          <w:sz w:val="24"/>
          <w:szCs w:val="24"/>
        </w:rPr>
        <w:t>Describe any assurance of confidentiality provided to respondents and the basis for the assurance in statute, regulation, or agency policy.</w:t>
      </w:r>
    </w:p>
    <w:p w:rsidR="005F1FFC" w:rsidRPr="00533AD2" w:rsidP="005F1FFC" w14:paraId="59FF77B7" w14:textId="446E6545">
      <w:pPr>
        <w:ind w:left="720"/>
        <w:rPr>
          <w:sz w:val="24"/>
        </w:rPr>
      </w:pPr>
    </w:p>
    <w:p w:rsidR="00790ED5" w:rsidRPr="00533AD2" w:rsidP="008D1FF9" w14:paraId="5A2FDD09" w14:textId="5D32F68B">
      <w:pPr>
        <w:rPr>
          <w:sz w:val="24"/>
        </w:rPr>
      </w:pPr>
      <w:r w:rsidRPr="00533AD2">
        <w:rPr>
          <w:sz w:val="24"/>
        </w:rPr>
        <w:t>The survey informed consent will contain a Privacy Act Statement.</w:t>
      </w:r>
    </w:p>
    <w:p w:rsidR="008D1FF9" w:rsidRPr="00533AD2" w:rsidP="008D1FF9" w14:paraId="6BF03B52" w14:textId="77777777">
      <w:pPr>
        <w:rPr>
          <w:sz w:val="24"/>
        </w:rPr>
      </w:pPr>
    </w:p>
    <w:p w:rsidR="00790ED5" w:rsidRPr="00533AD2" w:rsidP="00790ED5" w14:paraId="4BCF6777" w14:textId="712B0DFD">
      <w:pPr>
        <w:ind w:left="720"/>
        <w:rPr>
          <w:sz w:val="24"/>
        </w:rPr>
      </w:pPr>
      <w:r w:rsidRPr="00533AD2">
        <w:rPr>
          <w:sz w:val="24"/>
        </w:rPr>
        <w:t xml:space="preserve">Privacy Act Statement: </w:t>
      </w:r>
    </w:p>
    <w:p w:rsidR="00B62F4C" w:rsidRPr="00533AD2" w:rsidP="00B62F4C" w14:paraId="07FCB997" w14:textId="77777777">
      <w:pPr>
        <w:widowControl w:val="0"/>
        <w:autoSpaceDE w:val="0"/>
        <w:autoSpaceDN w:val="0"/>
        <w:spacing w:after="180" w:line="264" w:lineRule="auto"/>
        <w:ind w:firstLine="720"/>
        <w:rPr>
          <w:sz w:val="24"/>
          <w:szCs w:val="24"/>
        </w:rPr>
      </w:pPr>
      <w:r w:rsidRPr="00533AD2">
        <w:rPr>
          <w:sz w:val="24"/>
          <w:szCs w:val="24"/>
        </w:rPr>
        <w:t>5 U.S.C. 552a(e)(3)</w:t>
      </w:r>
    </w:p>
    <w:p w:rsidR="00B62F4C" w:rsidRPr="00533AD2" w:rsidP="00B62F4C" w14:paraId="0568940D" w14:textId="77777777">
      <w:pPr>
        <w:pStyle w:val="pf0"/>
        <w:ind w:left="720"/>
        <w:rPr>
          <w:bCs/>
          <w:szCs w:val="20"/>
        </w:rPr>
      </w:pPr>
      <w:r w:rsidRPr="00533AD2">
        <w:rPr>
          <w:bCs/>
          <w:szCs w:val="20"/>
        </w:rPr>
        <w:t>National Opinion Research Center (NORC) is assisting the survey sponsor, the Consumer Financial Protection Bureau (CFPB), in collecting survey data to understand consumers’ experiences and preferences with banking to improve resources to help and protect consumers.</w:t>
      </w:r>
    </w:p>
    <w:p w:rsidR="00B62F4C" w:rsidRPr="00533AD2" w:rsidP="00B62F4C" w14:paraId="1804610F" w14:textId="77777777">
      <w:pPr>
        <w:ind w:left="720" w:right="591"/>
        <w:rPr>
          <w:bCs/>
          <w:sz w:val="24"/>
        </w:rPr>
      </w:pPr>
      <w:r w:rsidRPr="00533AD2">
        <w:rPr>
          <w:bCs/>
          <w:sz w:val="24"/>
        </w:rPr>
        <w:t xml:space="preserve">NORC will link your survey responses with demographic information that you have submitted for NORC panel participation. However, your demographic information will not be used to re-identify you.   The CFPB will obtain, and access, de-identified </w:t>
      </w:r>
      <w:r w:rsidRPr="00533AD2">
        <w:rPr>
          <w:bCs/>
          <w:sz w:val="24"/>
        </w:rPr>
        <w:t>results</w:t>
      </w:r>
      <w:r w:rsidRPr="00533AD2">
        <w:rPr>
          <w:bCs/>
          <w:sz w:val="24"/>
        </w:rPr>
        <w:t xml:space="preserve"> and aggregated analyses of the survey results. You may provide your name and contact information at the end of this survey if you are interested in participating in a follow-up interview but submitting your personally identifiable information (PII) is optional.</w:t>
      </w:r>
    </w:p>
    <w:p w:rsidR="00B62F4C" w:rsidRPr="00533AD2" w:rsidP="00B62F4C" w14:paraId="7B0C47F9" w14:textId="77777777">
      <w:pPr>
        <w:ind w:left="720" w:right="591"/>
        <w:rPr>
          <w:bCs/>
          <w:sz w:val="24"/>
        </w:rPr>
      </w:pPr>
    </w:p>
    <w:p w:rsidR="00B62F4C" w:rsidRPr="00533AD2" w:rsidP="00B62F4C" w14:paraId="21321F42" w14:textId="7623582E">
      <w:pPr>
        <w:ind w:left="720" w:right="591"/>
        <w:rPr>
          <w:bCs/>
          <w:sz w:val="24"/>
        </w:rPr>
      </w:pPr>
      <w:r w:rsidRPr="00533AD2">
        <w:rPr>
          <w:bCs/>
          <w:sz w:val="24"/>
        </w:rPr>
        <w:t xml:space="preserve">Information collected will be treated in accordance with the System of Records Notice (SORN), </w:t>
      </w:r>
      <w:r w:rsidRPr="00533AD2" w:rsidR="0080216C">
        <w:rPr>
          <w:bCs/>
          <w:sz w:val="24"/>
        </w:rPr>
        <w:t xml:space="preserve">CFPB.021 – CFPB Consumer Education and Engagement Records. </w:t>
      </w:r>
      <w:r w:rsidRPr="00533AD2">
        <w:rPr>
          <w:bCs/>
          <w:sz w:val="24"/>
        </w:rPr>
        <w:t>Although the CFPB does not anticipate further disclosing the information provided, it may be disclosed as indicated in the Routine Uses described in the SORN. Direct identifying information will only be used to facilitate follow-up interviews and will be kept private except as required by law.</w:t>
      </w:r>
    </w:p>
    <w:p w:rsidR="00B62F4C" w:rsidRPr="00533AD2" w:rsidP="00B62F4C" w14:paraId="1AE5EDF0" w14:textId="77777777">
      <w:pPr>
        <w:ind w:left="720" w:right="591"/>
        <w:rPr>
          <w:bCs/>
          <w:sz w:val="24"/>
        </w:rPr>
      </w:pPr>
    </w:p>
    <w:p w:rsidR="00B62F4C" w:rsidRPr="00533AD2" w:rsidP="00B62F4C" w14:paraId="01E5C431" w14:textId="77777777">
      <w:pPr>
        <w:ind w:left="720" w:right="591"/>
        <w:rPr>
          <w:bCs/>
          <w:sz w:val="24"/>
        </w:rPr>
      </w:pPr>
      <w:r w:rsidRPr="00533AD2">
        <w:rPr>
          <w:bCs/>
          <w:sz w:val="24"/>
        </w:rPr>
        <w:t xml:space="preserve">This collection of information is authorized by Pub. L. No. 111-203, Title X, Sections 1013 and 1022, codified at 12 U.S.C. §§ 5493 and 5512. </w:t>
      </w:r>
    </w:p>
    <w:p w:rsidR="00B62F4C" w:rsidRPr="00533AD2" w:rsidP="00B62F4C" w14:paraId="66A44186" w14:textId="77777777">
      <w:pPr>
        <w:ind w:left="720" w:right="591"/>
        <w:rPr>
          <w:bCs/>
          <w:sz w:val="24"/>
        </w:rPr>
      </w:pPr>
    </w:p>
    <w:p w:rsidR="00B62F4C" w:rsidRPr="00533AD2" w:rsidP="00B62F4C" w14:paraId="46729496" w14:textId="77777777">
      <w:pPr>
        <w:ind w:left="720" w:right="591"/>
        <w:rPr>
          <w:bCs/>
          <w:sz w:val="24"/>
        </w:rPr>
      </w:pPr>
      <w:r w:rsidRPr="00533AD2">
        <w:rPr>
          <w:bCs/>
          <w:sz w:val="24"/>
        </w:rPr>
        <w:t xml:space="preserve">Participation is voluntary, and you may withdraw participation at any time. </w:t>
      </w:r>
    </w:p>
    <w:p w:rsidR="00A93967" w:rsidRPr="00533AD2" w:rsidP="005F1FFC" w14:paraId="2A4F7C4C" w14:textId="77777777">
      <w:pPr>
        <w:ind w:left="720"/>
        <w:rPr>
          <w:sz w:val="24"/>
        </w:rPr>
      </w:pPr>
    </w:p>
    <w:p w:rsidR="00F660E8" w:rsidRPr="00533AD2" w:rsidP="00F660E8" w14:paraId="466038D0" w14:textId="77777777">
      <w:pPr>
        <w:rPr>
          <w:sz w:val="24"/>
        </w:rPr>
      </w:pPr>
      <w:r w:rsidRPr="00533AD2">
        <w:rPr>
          <w:b/>
          <w:sz w:val="24"/>
          <w:szCs w:val="24"/>
        </w:rPr>
        <w:t xml:space="preserve">11.  </w:t>
      </w:r>
      <w:r w:rsidRPr="00533AD2">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533AD2" w:rsidP="005F1FFC" w14:paraId="74706F28" w14:textId="77777777">
      <w:pPr>
        <w:ind w:left="720"/>
        <w:rPr>
          <w:sz w:val="24"/>
        </w:rPr>
      </w:pPr>
    </w:p>
    <w:p w:rsidR="00EA615E" w:rsidRPr="00533AD2" w:rsidP="00EA615E" w14:paraId="4D912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533AD2">
        <w:rPr>
          <w:sz w:val="24"/>
          <w:szCs w:val="24"/>
        </w:rPr>
        <w:t>Not applicable.</w:t>
      </w:r>
      <w:r w:rsidRPr="00533AD2">
        <w:rPr>
          <w:sz w:val="24"/>
          <w:szCs w:val="24"/>
        </w:rPr>
        <w:t xml:space="preserve"> </w:t>
      </w:r>
      <w:r w:rsidRPr="00533AD2">
        <w:rPr>
          <w:color w:val="000000" w:themeColor="text1"/>
          <w:sz w:val="24"/>
          <w:szCs w:val="24"/>
        </w:rPr>
        <w:t>This information collection does not include questions of a sensitive nature.</w:t>
      </w:r>
    </w:p>
    <w:p w:rsidR="00790ED5" w:rsidRPr="00533AD2" w:rsidP="005F1FFC" w14:paraId="5D19BFC0" w14:textId="77777777">
      <w:pPr>
        <w:pStyle w:val="BodyText"/>
      </w:pPr>
    </w:p>
    <w:p w:rsidR="00F660E8" w:rsidRPr="00533AD2" w:rsidP="00F660E8" w14:paraId="7F32CD21" w14:textId="77777777">
      <w:pPr>
        <w:contextualSpacing/>
        <w:rPr>
          <w:b/>
          <w:sz w:val="24"/>
          <w:szCs w:val="24"/>
        </w:rPr>
      </w:pPr>
      <w:r w:rsidRPr="00533AD2">
        <w:rPr>
          <w:b/>
          <w:sz w:val="24"/>
          <w:szCs w:val="24"/>
        </w:rPr>
        <w:t>12.  Provide estimates of the hour burden of the collection of information.  The statement should:</w:t>
      </w:r>
    </w:p>
    <w:p w:rsidR="00F660E8" w:rsidRPr="00533AD2"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33AD2">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533AD2"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33AD2">
        <w:rPr>
          <w:b/>
          <w:bCs/>
          <w:sz w:val="24"/>
          <w:szCs w:val="24"/>
        </w:rPr>
        <w:t>If this request for approval covers more than one form, provide separate hour burden estimates for each form.</w:t>
      </w:r>
    </w:p>
    <w:p w:rsidR="00F660E8" w:rsidRPr="00533AD2"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533AD2">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RPr="00533AD2" w:rsidP="005F1FFC" w14:paraId="18388E76" w14:textId="23CF03E1">
      <w:pPr>
        <w:rPr>
          <w:bCs/>
          <w:sz w:val="24"/>
        </w:rPr>
      </w:pPr>
    </w:p>
    <w:p w:rsidR="005F1FFC" w:rsidRPr="00533AD2" w:rsidP="005F1FFC" w14:paraId="3717194D" w14:textId="75C86B90">
      <w:pPr>
        <w:rPr>
          <w:bCs/>
          <w:sz w:val="24"/>
        </w:rPr>
      </w:pPr>
      <w:r w:rsidRPr="00533AD2">
        <w:rPr>
          <w:bCs/>
          <w:sz w:val="24"/>
        </w:rPr>
        <w:t>CFPB</w:t>
      </w:r>
      <w:r w:rsidRPr="00533AD2" w:rsidR="0090025B">
        <w:rPr>
          <w:bCs/>
          <w:sz w:val="24"/>
        </w:rPr>
        <w:t xml:space="preserve"> estimates the burden of this information collection as follows:</w:t>
      </w:r>
    </w:p>
    <w:p w:rsidR="0090025B" w:rsidRPr="00533AD2" w:rsidP="005F1FFC" w14:paraId="17C41B7D" w14:textId="77777777">
      <w:pPr>
        <w:rPr>
          <w:bCs/>
          <w:sz w:val="24"/>
        </w:rPr>
      </w:pPr>
    </w:p>
    <w:tbl>
      <w:tblPr>
        <w:tblStyle w:val="TableGrid"/>
        <w:tblW w:w="8758" w:type="dxa"/>
        <w:tblLook w:val="04A0"/>
      </w:tblPr>
      <w:tblGrid>
        <w:gridCol w:w="1338"/>
        <w:gridCol w:w="1228"/>
        <w:gridCol w:w="1228"/>
        <w:gridCol w:w="1094"/>
        <w:gridCol w:w="986"/>
        <w:gridCol w:w="861"/>
        <w:gridCol w:w="903"/>
        <w:gridCol w:w="1120"/>
      </w:tblGrid>
      <w:tr w14:paraId="74497FBE" w14:textId="77777777" w:rsidTr="002313FA">
        <w:tblPrEx>
          <w:tblW w:w="8758" w:type="dxa"/>
          <w:tblLook w:val="04A0"/>
        </w:tblPrEx>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2105" w:rsidRPr="00533AD2" w14:paraId="40AEF3B8" w14:textId="77777777">
            <w:pPr>
              <w:rPr>
                <w:b/>
                <w:bCs/>
              </w:rPr>
            </w:pPr>
            <w:r w:rsidRPr="00533AD2">
              <w:rPr>
                <w:b/>
                <w:bCs/>
              </w:rPr>
              <w:t>Information Collection Requirement</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2105" w:rsidRPr="00533AD2" w14:paraId="12C8A945" w14:textId="77777777">
            <w:pPr>
              <w:rPr>
                <w:b/>
                <w:bCs/>
              </w:rPr>
            </w:pPr>
            <w:r w:rsidRPr="00533AD2">
              <w:rPr>
                <w:b/>
                <w:bCs/>
              </w:rPr>
              <w:t>Number of Respondent</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2105" w:rsidRPr="00533AD2" w14:paraId="37128439" w14:textId="77777777">
            <w:pPr>
              <w:rPr>
                <w:b/>
                <w:bCs/>
              </w:rPr>
            </w:pPr>
            <w:r w:rsidRPr="00533AD2">
              <w:rPr>
                <w:b/>
                <w:bCs/>
              </w:rPr>
              <w:t>Number of Responses per Respondent</w:t>
            </w:r>
          </w:p>
        </w:tc>
        <w:tc>
          <w:tcPr>
            <w:tcW w:w="1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2105" w:rsidRPr="00533AD2" w14:paraId="5C675579" w14:textId="77777777">
            <w:pPr>
              <w:rPr>
                <w:b/>
                <w:bCs/>
              </w:rPr>
            </w:pPr>
            <w:r w:rsidRPr="00533AD2">
              <w:rPr>
                <w:b/>
                <w:bCs/>
              </w:rPr>
              <w:t>Total Responses</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2105" w:rsidRPr="00533AD2" w14:paraId="0346E9D6" w14:textId="77777777">
            <w:pPr>
              <w:rPr>
                <w:b/>
                <w:bCs/>
              </w:rPr>
            </w:pPr>
            <w:r w:rsidRPr="00533AD2">
              <w:rPr>
                <w:b/>
                <w:bCs/>
              </w:rPr>
              <w:t>Average Burden Hours</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2105" w:rsidRPr="00533AD2" w14:paraId="52857947" w14:textId="3D2EF532">
            <w:pPr>
              <w:rPr>
                <w:b/>
                <w:bCs/>
              </w:rPr>
            </w:pPr>
            <w:r w:rsidRPr="00533AD2">
              <w:rPr>
                <w:b/>
                <w:bCs/>
              </w:rPr>
              <w:t>Annual Burden Hours</w:t>
            </w:r>
          </w:p>
        </w:tc>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2105" w:rsidRPr="00533AD2" w14:paraId="658A7E05" w14:textId="77777777">
            <w:pPr>
              <w:rPr>
                <w:b/>
                <w:bCs/>
              </w:rPr>
            </w:pPr>
            <w:r w:rsidRPr="00533AD2">
              <w:rPr>
                <w:b/>
                <w:bCs/>
              </w:rPr>
              <w:t>Wage Rate</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2105" w:rsidRPr="00533AD2" w14:paraId="0D1185DF" w14:textId="77777777">
            <w:pPr>
              <w:rPr>
                <w:b/>
                <w:bCs/>
              </w:rPr>
            </w:pPr>
            <w:r w:rsidRPr="00533AD2">
              <w:rPr>
                <w:b/>
                <w:bCs/>
              </w:rPr>
              <w:t>Total Burden Cost</w:t>
            </w:r>
          </w:p>
        </w:tc>
      </w:tr>
      <w:tr w14:paraId="0E77829D" w14:textId="77777777" w:rsidTr="002313FA">
        <w:tblPrEx>
          <w:tblW w:w="8758" w:type="dxa"/>
          <w:tblLook w:val="04A0"/>
        </w:tblPrEx>
        <w:tc>
          <w:tcPr>
            <w:tcW w:w="1338" w:type="dxa"/>
            <w:tcBorders>
              <w:top w:val="single" w:sz="4" w:space="0" w:color="auto"/>
              <w:left w:val="single" w:sz="4" w:space="0" w:color="auto"/>
              <w:bottom w:val="single" w:sz="4" w:space="0" w:color="auto"/>
              <w:right w:val="single" w:sz="4" w:space="0" w:color="auto"/>
            </w:tcBorders>
            <w:hideMark/>
          </w:tcPr>
          <w:p w:rsidR="006C2105" w:rsidRPr="00533AD2" w14:paraId="42B6A405" w14:textId="77777777">
            <w:r w:rsidRPr="00533AD2">
              <w:t>Screening survey (pilot)</w:t>
            </w:r>
          </w:p>
        </w:tc>
        <w:tc>
          <w:tcPr>
            <w:tcW w:w="1228" w:type="dxa"/>
            <w:tcBorders>
              <w:top w:val="single" w:sz="4" w:space="0" w:color="auto"/>
              <w:left w:val="single" w:sz="4" w:space="0" w:color="auto"/>
              <w:bottom w:val="single" w:sz="4" w:space="0" w:color="auto"/>
              <w:right w:val="single" w:sz="4" w:space="0" w:color="auto"/>
            </w:tcBorders>
            <w:hideMark/>
          </w:tcPr>
          <w:p w:rsidR="006C2105" w:rsidRPr="00533AD2" w14:paraId="73BF215D" w14:textId="77777777">
            <w:pPr>
              <w:jc w:val="right"/>
            </w:pPr>
            <w:r w:rsidRPr="00533AD2">
              <w:t>210</w:t>
            </w:r>
          </w:p>
        </w:tc>
        <w:tc>
          <w:tcPr>
            <w:tcW w:w="1228" w:type="dxa"/>
            <w:tcBorders>
              <w:top w:val="single" w:sz="4" w:space="0" w:color="auto"/>
              <w:left w:val="single" w:sz="4" w:space="0" w:color="auto"/>
              <w:bottom w:val="single" w:sz="4" w:space="0" w:color="auto"/>
              <w:right w:val="single" w:sz="4" w:space="0" w:color="auto"/>
            </w:tcBorders>
            <w:hideMark/>
          </w:tcPr>
          <w:p w:rsidR="006C2105" w:rsidRPr="00533AD2" w14:paraId="066FECEB" w14:textId="77777777">
            <w:pPr>
              <w:jc w:val="right"/>
            </w:pPr>
            <w:r w:rsidRPr="00533AD2">
              <w:t>1</w:t>
            </w:r>
          </w:p>
        </w:tc>
        <w:tc>
          <w:tcPr>
            <w:tcW w:w="1094" w:type="dxa"/>
            <w:tcBorders>
              <w:top w:val="single" w:sz="4" w:space="0" w:color="auto"/>
              <w:left w:val="single" w:sz="4" w:space="0" w:color="auto"/>
              <w:bottom w:val="single" w:sz="4" w:space="0" w:color="auto"/>
              <w:right w:val="single" w:sz="4" w:space="0" w:color="auto"/>
            </w:tcBorders>
            <w:hideMark/>
          </w:tcPr>
          <w:p w:rsidR="006C2105" w:rsidRPr="00533AD2" w14:paraId="0EE097DD" w14:textId="77777777">
            <w:pPr>
              <w:jc w:val="right"/>
            </w:pPr>
            <w:r w:rsidRPr="00533AD2">
              <w:t>210</w:t>
            </w:r>
          </w:p>
        </w:tc>
        <w:tc>
          <w:tcPr>
            <w:tcW w:w="986" w:type="dxa"/>
            <w:tcBorders>
              <w:top w:val="single" w:sz="4" w:space="0" w:color="auto"/>
              <w:left w:val="single" w:sz="4" w:space="0" w:color="auto"/>
              <w:bottom w:val="single" w:sz="4" w:space="0" w:color="auto"/>
              <w:right w:val="single" w:sz="4" w:space="0" w:color="auto"/>
            </w:tcBorders>
            <w:hideMark/>
          </w:tcPr>
          <w:p w:rsidR="006C2105" w:rsidRPr="00533AD2" w14:paraId="592EBE5E" w14:textId="04C4E48B">
            <w:pPr>
              <w:jc w:val="right"/>
            </w:pPr>
            <w:r w:rsidRPr="00533AD2">
              <w:t>0.05</w:t>
            </w:r>
          </w:p>
        </w:tc>
        <w:tc>
          <w:tcPr>
            <w:tcW w:w="861" w:type="dxa"/>
            <w:tcBorders>
              <w:top w:val="single" w:sz="4" w:space="0" w:color="auto"/>
              <w:left w:val="single" w:sz="4" w:space="0" w:color="auto"/>
              <w:bottom w:val="single" w:sz="4" w:space="0" w:color="auto"/>
              <w:right w:val="single" w:sz="4" w:space="0" w:color="auto"/>
            </w:tcBorders>
            <w:hideMark/>
          </w:tcPr>
          <w:p w:rsidR="006C2105" w:rsidRPr="00533AD2" w14:paraId="714A081E" w14:textId="4B6DD1DD">
            <w:pPr>
              <w:jc w:val="right"/>
            </w:pPr>
            <w:r w:rsidRPr="00533AD2">
              <w:t>1</w:t>
            </w:r>
            <w:r w:rsidR="009D7AC9">
              <w:t>0.9</w:t>
            </w:r>
          </w:p>
        </w:tc>
        <w:tc>
          <w:tcPr>
            <w:tcW w:w="903" w:type="dxa"/>
            <w:tcBorders>
              <w:top w:val="single" w:sz="4" w:space="0" w:color="auto"/>
              <w:left w:val="single" w:sz="4" w:space="0" w:color="auto"/>
              <w:bottom w:val="single" w:sz="4" w:space="0" w:color="auto"/>
              <w:right w:val="single" w:sz="4" w:space="0" w:color="auto"/>
            </w:tcBorders>
            <w:hideMark/>
          </w:tcPr>
          <w:p w:rsidR="006C2105" w:rsidRPr="00533AD2" w14:paraId="40265D49" w14:textId="0B5D4EB3">
            <w:pPr>
              <w:jc w:val="right"/>
            </w:pPr>
            <w:r w:rsidRPr="00533AD2">
              <w:t>$2</w:t>
            </w:r>
            <w:r w:rsidRPr="00533AD2" w:rsidR="00F63952">
              <w:t>9.76</w:t>
            </w:r>
          </w:p>
        </w:tc>
        <w:tc>
          <w:tcPr>
            <w:tcW w:w="1120" w:type="dxa"/>
            <w:tcBorders>
              <w:top w:val="single" w:sz="4" w:space="0" w:color="auto"/>
              <w:left w:val="single" w:sz="4" w:space="0" w:color="auto"/>
              <w:bottom w:val="single" w:sz="4" w:space="0" w:color="auto"/>
              <w:right w:val="single" w:sz="4" w:space="0" w:color="auto"/>
            </w:tcBorders>
            <w:hideMark/>
          </w:tcPr>
          <w:p w:rsidR="006C2105" w:rsidRPr="00533AD2" w14:paraId="1AD59310" w14:textId="699C675C">
            <w:pPr>
              <w:jc w:val="right"/>
            </w:pPr>
            <w:r w:rsidRPr="00533AD2">
              <w:t>$</w:t>
            </w:r>
            <w:r w:rsidRPr="00533AD2" w:rsidR="00165066">
              <w:t>312.48</w:t>
            </w:r>
          </w:p>
        </w:tc>
      </w:tr>
      <w:tr w14:paraId="0DEE8EDD" w14:textId="77777777" w:rsidTr="002313FA">
        <w:tblPrEx>
          <w:tblW w:w="8758" w:type="dxa"/>
          <w:tblLook w:val="04A0"/>
        </w:tblPrEx>
        <w:tc>
          <w:tcPr>
            <w:tcW w:w="1338" w:type="dxa"/>
            <w:tcBorders>
              <w:top w:val="single" w:sz="4" w:space="0" w:color="auto"/>
              <w:left w:val="single" w:sz="4" w:space="0" w:color="auto"/>
              <w:bottom w:val="single" w:sz="4" w:space="0" w:color="auto"/>
              <w:right w:val="single" w:sz="4" w:space="0" w:color="auto"/>
            </w:tcBorders>
            <w:hideMark/>
          </w:tcPr>
          <w:p w:rsidR="006C2105" w:rsidRPr="00533AD2" w14:paraId="19DA848C" w14:textId="77777777">
            <w:r w:rsidRPr="00533AD2">
              <w:t>Pilot survey</w:t>
            </w:r>
          </w:p>
        </w:tc>
        <w:tc>
          <w:tcPr>
            <w:tcW w:w="1228" w:type="dxa"/>
            <w:tcBorders>
              <w:top w:val="single" w:sz="4" w:space="0" w:color="auto"/>
              <w:left w:val="single" w:sz="4" w:space="0" w:color="auto"/>
              <w:bottom w:val="single" w:sz="4" w:space="0" w:color="auto"/>
              <w:right w:val="single" w:sz="4" w:space="0" w:color="auto"/>
            </w:tcBorders>
            <w:hideMark/>
          </w:tcPr>
          <w:p w:rsidR="006C2105" w:rsidRPr="00533AD2" w14:paraId="6F1BBB95" w14:textId="77777777">
            <w:pPr>
              <w:jc w:val="right"/>
            </w:pPr>
            <w:r w:rsidRPr="00533AD2">
              <w:t>200</w:t>
            </w:r>
          </w:p>
        </w:tc>
        <w:tc>
          <w:tcPr>
            <w:tcW w:w="1228" w:type="dxa"/>
            <w:tcBorders>
              <w:top w:val="single" w:sz="4" w:space="0" w:color="auto"/>
              <w:left w:val="single" w:sz="4" w:space="0" w:color="auto"/>
              <w:bottom w:val="single" w:sz="4" w:space="0" w:color="auto"/>
              <w:right w:val="single" w:sz="4" w:space="0" w:color="auto"/>
            </w:tcBorders>
            <w:hideMark/>
          </w:tcPr>
          <w:p w:rsidR="006C2105" w:rsidRPr="00533AD2" w14:paraId="15F84356" w14:textId="77777777">
            <w:pPr>
              <w:jc w:val="right"/>
            </w:pPr>
            <w:r w:rsidRPr="00533AD2">
              <w:t>1</w:t>
            </w:r>
          </w:p>
        </w:tc>
        <w:tc>
          <w:tcPr>
            <w:tcW w:w="1094" w:type="dxa"/>
            <w:tcBorders>
              <w:top w:val="single" w:sz="4" w:space="0" w:color="auto"/>
              <w:left w:val="single" w:sz="4" w:space="0" w:color="auto"/>
              <w:bottom w:val="single" w:sz="4" w:space="0" w:color="auto"/>
              <w:right w:val="single" w:sz="4" w:space="0" w:color="auto"/>
            </w:tcBorders>
            <w:hideMark/>
          </w:tcPr>
          <w:p w:rsidR="006C2105" w:rsidRPr="00533AD2" w14:paraId="703BE5A0" w14:textId="77777777">
            <w:pPr>
              <w:jc w:val="right"/>
            </w:pPr>
            <w:r w:rsidRPr="00533AD2">
              <w:t>200</w:t>
            </w:r>
          </w:p>
        </w:tc>
        <w:tc>
          <w:tcPr>
            <w:tcW w:w="986" w:type="dxa"/>
            <w:tcBorders>
              <w:top w:val="single" w:sz="4" w:space="0" w:color="auto"/>
              <w:left w:val="single" w:sz="4" w:space="0" w:color="auto"/>
              <w:bottom w:val="single" w:sz="4" w:space="0" w:color="auto"/>
              <w:right w:val="single" w:sz="4" w:space="0" w:color="auto"/>
            </w:tcBorders>
            <w:hideMark/>
          </w:tcPr>
          <w:p w:rsidR="006C2105" w:rsidRPr="00533AD2" w14:paraId="44E50B7C" w14:textId="64861D7B">
            <w:pPr>
              <w:jc w:val="right"/>
            </w:pPr>
            <w:r w:rsidRPr="00533AD2">
              <w:t>0.25</w:t>
            </w:r>
          </w:p>
        </w:tc>
        <w:tc>
          <w:tcPr>
            <w:tcW w:w="861" w:type="dxa"/>
            <w:tcBorders>
              <w:top w:val="single" w:sz="4" w:space="0" w:color="auto"/>
              <w:left w:val="single" w:sz="4" w:space="0" w:color="auto"/>
              <w:bottom w:val="single" w:sz="4" w:space="0" w:color="auto"/>
              <w:right w:val="single" w:sz="4" w:space="0" w:color="auto"/>
            </w:tcBorders>
            <w:hideMark/>
          </w:tcPr>
          <w:p w:rsidR="006C2105" w:rsidRPr="00533AD2" w14:paraId="21F65E4E" w14:textId="2913F022">
            <w:pPr>
              <w:jc w:val="right"/>
            </w:pPr>
            <w:r w:rsidRPr="00533AD2">
              <w:t>50</w:t>
            </w:r>
          </w:p>
        </w:tc>
        <w:tc>
          <w:tcPr>
            <w:tcW w:w="903" w:type="dxa"/>
            <w:tcBorders>
              <w:top w:val="single" w:sz="4" w:space="0" w:color="auto"/>
              <w:left w:val="single" w:sz="4" w:space="0" w:color="auto"/>
              <w:bottom w:val="single" w:sz="4" w:space="0" w:color="auto"/>
              <w:right w:val="single" w:sz="4" w:space="0" w:color="auto"/>
            </w:tcBorders>
            <w:hideMark/>
          </w:tcPr>
          <w:p w:rsidR="006C2105" w:rsidRPr="00533AD2" w14:paraId="038C8A0A" w14:textId="2C29799B">
            <w:pPr>
              <w:jc w:val="right"/>
            </w:pPr>
            <w:r w:rsidRPr="00533AD2">
              <w:t>$2</w:t>
            </w:r>
            <w:r w:rsidRPr="00533AD2" w:rsidR="009F753A">
              <w:t>9.76</w:t>
            </w:r>
          </w:p>
        </w:tc>
        <w:tc>
          <w:tcPr>
            <w:tcW w:w="1120" w:type="dxa"/>
            <w:tcBorders>
              <w:top w:val="single" w:sz="4" w:space="0" w:color="auto"/>
              <w:left w:val="single" w:sz="4" w:space="0" w:color="auto"/>
              <w:bottom w:val="single" w:sz="4" w:space="0" w:color="auto"/>
              <w:right w:val="single" w:sz="4" w:space="0" w:color="auto"/>
            </w:tcBorders>
            <w:hideMark/>
          </w:tcPr>
          <w:p w:rsidR="006C2105" w:rsidRPr="00533AD2" w14:paraId="419861D9" w14:textId="3C79CC1F">
            <w:pPr>
              <w:jc w:val="right"/>
            </w:pPr>
            <w:r w:rsidRPr="00533AD2">
              <w:t>$1,4</w:t>
            </w:r>
            <w:r w:rsidRPr="00533AD2" w:rsidR="00406AFF">
              <w:t>88</w:t>
            </w:r>
          </w:p>
        </w:tc>
      </w:tr>
      <w:tr w14:paraId="74ED3291" w14:textId="77777777" w:rsidTr="006C2105">
        <w:tblPrEx>
          <w:tblW w:w="8758" w:type="dxa"/>
          <w:tblLook w:val="04A0"/>
        </w:tblPrEx>
        <w:tc>
          <w:tcPr>
            <w:tcW w:w="1338" w:type="dxa"/>
            <w:tcBorders>
              <w:top w:val="single" w:sz="4" w:space="0" w:color="auto"/>
              <w:left w:val="single" w:sz="4" w:space="0" w:color="auto"/>
              <w:bottom w:val="single" w:sz="4" w:space="0" w:color="auto"/>
              <w:right w:val="single" w:sz="4" w:space="0" w:color="auto"/>
            </w:tcBorders>
            <w:hideMark/>
          </w:tcPr>
          <w:p w:rsidR="006C2105" w:rsidRPr="00533AD2" w14:paraId="13EB5D46" w14:textId="77777777">
            <w:r w:rsidRPr="00533AD2">
              <w:t>Screening survey</w:t>
            </w:r>
          </w:p>
        </w:tc>
        <w:tc>
          <w:tcPr>
            <w:tcW w:w="1228" w:type="dxa"/>
            <w:tcBorders>
              <w:top w:val="single" w:sz="4" w:space="0" w:color="auto"/>
              <w:left w:val="single" w:sz="4" w:space="0" w:color="auto"/>
              <w:bottom w:val="single" w:sz="4" w:space="0" w:color="auto"/>
              <w:right w:val="single" w:sz="4" w:space="0" w:color="auto"/>
            </w:tcBorders>
            <w:hideMark/>
          </w:tcPr>
          <w:p w:rsidR="006C2105" w:rsidRPr="00533AD2" w14:paraId="4766079E" w14:textId="77777777">
            <w:pPr>
              <w:jc w:val="right"/>
            </w:pPr>
            <w:r w:rsidRPr="00533AD2">
              <w:t>2,618</w:t>
            </w:r>
          </w:p>
        </w:tc>
        <w:tc>
          <w:tcPr>
            <w:tcW w:w="1228" w:type="dxa"/>
            <w:tcBorders>
              <w:top w:val="single" w:sz="4" w:space="0" w:color="auto"/>
              <w:left w:val="single" w:sz="4" w:space="0" w:color="auto"/>
              <w:bottom w:val="single" w:sz="4" w:space="0" w:color="auto"/>
              <w:right w:val="single" w:sz="4" w:space="0" w:color="auto"/>
            </w:tcBorders>
            <w:hideMark/>
          </w:tcPr>
          <w:p w:rsidR="006C2105" w:rsidRPr="00533AD2" w14:paraId="303F134A" w14:textId="77777777">
            <w:pPr>
              <w:jc w:val="right"/>
            </w:pPr>
            <w:r w:rsidRPr="00533AD2">
              <w:t>1</w:t>
            </w:r>
          </w:p>
        </w:tc>
        <w:tc>
          <w:tcPr>
            <w:tcW w:w="1094" w:type="dxa"/>
            <w:tcBorders>
              <w:top w:val="single" w:sz="4" w:space="0" w:color="auto"/>
              <w:left w:val="single" w:sz="4" w:space="0" w:color="auto"/>
              <w:bottom w:val="single" w:sz="4" w:space="0" w:color="auto"/>
              <w:right w:val="single" w:sz="4" w:space="0" w:color="auto"/>
            </w:tcBorders>
            <w:hideMark/>
          </w:tcPr>
          <w:p w:rsidR="006C2105" w:rsidRPr="00533AD2" w14:paraId="7ED3BE05" w14:textId="77777777">
            <w:pPr>
              <w:jc w:val="right"/>
            </w:pPr>
            <w:r w:rsidRPr="00533AD2">
              <w:t>2,618</w:t>
            </w:r>
          </w:p>
        </w:tc>
        <w:tc>
          <w:tcPr>
            <w:tcW w:w="986" w:type="dxa"/>
            <w:tcBorders>
              <w:top w:val="single" w:sz="4" w:space="0" w:color="auto"/>
              <w:left w:val="single" w:sz="4" w:space="0" w:color="auto"/>
              <w:bottom w:val="single" w:sz="4" w:space="0" w:color="auto"/>
              <w:right w:val="single" w:sz="4" w:space="0" w:color="auto"/>
            </w:tcBorders>
            <w:hideMark/>
          </w:tcPr>
          <w:p w:rsidR="006C2105" w:rsidRPr="00533AD2" w14:paraId="1C2DB23D" w14:textId="17EE7A7A">
            <w:pPr>
              <w:jc w:val="right"/>
            </w:pPr>
            <w:r w:rsidRPr="00533AD2">
              <w:t>0.05</w:t>
            </w:r>
          </w:p>
        </w:tc>
        <w:tc>
          <w:tcPr>
            <w:tcW w:w="861" w:type="dxa"/>
            <w:tcBorders>
              <w:top w:val="single" w:sz="4" w:space="0" w:color="auto"/>
              <w:left w:val="single" w:sz="4" w:space="0" w:color="auto"/>
              <w:bottom w:val="single" w:sz="4" w:space="0" w:color="auto"/>
              <w:right w:val="single" w:sz="4" w:space="0" w:color="auto"/>
            </w:tcBorders>
            <w:hideMark/>
          </w:tcPr>
          <w:p w:rsidR="006C2105" w:rsidRPr="00533AD2" w14:paraId="201BA1B5" w14:textId="4515AC0F">
            <w:pPr>
              <w:jc w:val="right"/>
            </w:pPr>
            <w:r w:rsidRPr="00533AD2">
              <w:t>13</w:t>
            </w:r>
            <w:r w:rsidR="00520C35">
              <w:t>0.9</w:t>
            </w:r>
          </w:p>
        </w:tc>
        <w:tc>
          <w:tcPr>
            <w:tcW w:w="903" w:type="dxa"/>
            <w:tcBorders>
              <w:top w:val="single" w:sz="4" w:space="0" w:color="auto"/>
              <w:left w:val="single" w:sz="4" w:space="0" w:color="auto"/>
              <w:bottom w:val="single" w:sz="4" w:space="0" w:color="auto"/>
              <w:right w:val="single" w:sz="4" w:space="0" w:color="auto"/>
            </w:tcBorders>
            <w:hideMark/>
          </w:tcPr>
          <w:p w:rsidR="006C2105" w:rsidRPr="00533AD2" w14:paraId="5F176489" w14:textId="05E15470">
            <w:pPr>
              <w:jc w:val="right"/>
            </w:pPr>
            <w:r w:rsidRPr="00533AD2">
              <w:t>$2</w:t>
            </w:r>
            <w:r w:rsidRPr="00533AD2" w:rsidR="009F753A">
              <w:t>9.76</w:t>
            </w:r>
          </w:p>
        </w:tc>
        <w:tc>
          <w:tcPr>
            <w:tcW w:w="1120" w:type="dxa"/>
            <w:tcBorders>
              <w:top w:val="single" w:sz="4" w:space="0" w:color="auto"/>
              <w:left w:val="single" w:sz="4" w:space="0" w:color="auto"/>
              <w:bottom w:val="single" w:sz="4" w:space="0" w:color="auto"/>
              <w:right w:val="single" w:sz="4" w:space="0" w:color="auto"/>
            </w:tcBorders>
            <w:hideMark/>
          </w:tcPr>
          <w:p w:rsidR="006C2105" w:rsidRPr="00533AD2" w14:paraId="1F78B60F" w14:textId="0238B939">
            <w:pPr>
              <w:jc w:val="right"/>
            </w:pPr>
            <w:r w:rsidRPr="00533AD2">
              <w:t>$3,</w:t>
            </w:r>
            <w:r w:rsidRPr="00533AD2" w:rsidR="00406AFF">
              <w:t>898.56</w:t>
            </w:r>
          </w:p>
        </w:tc>
      </w:tr>
      <w:tr w14:paraId="686C9EDB" w14:textId="77777777" w:rsidTr="006C2105">
        <w:tblPrEx>
          <w:tblW w:w="8758" w:type="dxa"/>
          <w:tblLook w:val="04A0"/>
        </w:tblPrEx>
        <w:tc>
          <w:tcPr>
            <w:tcW w:w="1338" w:type="dxa"/>
            <w:tcBorders>
              <w:top w:val="single" w:sz="4" w:space="0" w:color="auto"/>
              <w:left w:val="single" w:sz="4" w:space="0" w:color="auto"/>
              <w:bottom w:val="single" w:sz="4" w:space="0" w:color="auto"/>
              <w:right w:val="single" w:sz="4" w:space="0" w:color="auto"/>
            </w:tcBorders>
            <w:hideMark/>
          </w:tcPr>
          <w:p w:rsidR="006C2105" w:rsidRPr="00533AD2" w14:paraId="4AB9CBB4" w14:textId="77777777">
            <w:r w:rsidRPr="00533AD2">
              <w:t>Main survey</w:t>
            </w:r>
          </w:p>
        </w:tc>
        <w:tc>
          <w:tcPr>
            <w:tcW w:w="1228" w:type="dxa"/>
            <w:tcBorders>
              <w:top w:val="single" w:sz="4" w:space="0" w:color="auto"/>
              <w:left w:val="single" w:sz="4" w:space="0" w:color="auto"/>
              <w:bottom w:val="single" w:sz="4" w:space="0" w:color="auto"/>
              <w:right w:val="single" w:sz="4" w:space="0" w:color="auto"/>
            </w:tcBorders>
            <w:hideMark/>
          </w:tcPr>
          <w:p w:rsidR="006C2105" w:rsidRPr="00533AD2" w14:paraId="54C888F0" w14:textId="77777777">
            <w:pPr>
              <w:jc w:val="right"/>
            </w:pPr>
            <w:r w:rsidRPr="00533AD2">
              <w:t>2,500</w:t>
            </w:r>
          </w:p>
        </w:tc>
        <w:tc>
          <w:tcPr>
            <w:tcW w:w="1228" w:type="dxa"/>
            <w:tcBorders>
              <w:top w:val="single" w:sz="4" w:space="0" w:color="auto"/>
              <w:left w:val="single" w:sz="4" w:space="0" w:color="auto"/>
              <w:bottom w:val="single" w:sz="4" w:space="0" w:color="auto"/>
              <w:right w:val="single" w:sz="4" w:space="0" w:color="auto"/>
            </w:tcBorders>
            <w:hideMark/>
          </w:tcPr>
          <w:p w:rsidR="006C2105" w:rsidRPr="00533AD2" w14:paraId="2C3A4325" w14:textId="77777777">
            <w:pPr>
              <w:jc w:val="right"/>
            </w:pPr>
            <w:r w:rsidRPr="00533AD2">
              <w:t>1</w:t>
            </w:r>
          </w:p>
        </w:tc>
        <w:tc>
          <w:tcPr>
            <w:tcW w:w="1094" w:type="dxa"/>
            <w:tcBorders>
              <w:top w:val="single" w:sz="4" w:space="0" w:color="auto"/>
              <w:left w:val="single" w:sz="4" w:space="0" w:color="auto"/>
              <w:bottom w:val="single" w:sz="4" w:space="0" w:color="auto"/>
              <w:right w:val="single" w:sz="4" w:space="0" w:color="auto"/>
            </w:tcBorders>
            <w:hideMark/>
          </w:tcPr>
          <w:p w:rsidR="006C2105" w:rsidRPr="00533AD2" w14:paraId="522EA1C1" w14:textId="77777777">
            <w:pPr>
              <w:jc w:val="right"/>
            </w:pPr>
            <w:r w:rsidRPr="00533AD2">
              <w:t>2,500</w:t>
            </w:r>
          </w:p>
        </w:tc>
        <w:tc>
          <w:tcPr>
            <w:tcW w:w="986" w:type="dxa"/>
            <w:tcBorders>
              <w:top w:val="single" w:sz="4" w:space="0" w:color="auto"/>
              <w:left w:val="single" w:sz="4" w:space="0" w:color="auto"/>
              <w:bottom w:val="single" w:sz="4" w:space="0" w:color="auto"/>
              <w:right w:val="single" w:sz="4" w:space="0" w:color="auto"/>
            </w:tcBorders>
            <w:hideMark/>
          </w:tcPr>
          <w:p w:rsidR="006C2105" w:rsidRPr="00533AD2" w14:paraId="6200559C" w14:textId="3BD72AE0">
            <w:pPr>
              <w:jc w:val="right"/>
            </w:pPr>
            <w:r w:rsidRPr="00533AD2">
              <w:t>0.25</w:t>
            </w:r>
            <w:r>
              <w:rPr>
                <w:rStyle w:val="FootnoteReference"/>
              </w:rPr>
              <w:footnoteReference w:id="5"/>
            </w:r>
          </w:p>
        </w:tc>
        <w:tc>
          <w:tcPr>
            <w:tcW w:w="861" w:type="dxa"/>
            <w:tcBorders>
              <w:top w:val="single" w:sz="4" w:space="0" w:color="auto"/>
              <w:left w:val="single" w:sz="4" w:space="0" w:color="auto"/>
              <w:bottom w:val="single" w:sz="4" w:space="0" w:color="auto"/>
              <w:right w:val="single" w:sz="4" w:space="0" w:color="auto"/>
            </w:tcBorders>
            <w:hideMark/>
          </w:tcPr>
          <w:p w:rsidR="006C2105" w:rsidRPr="00533AD2" w14:paraId="41E11C1C" w14:textId="189B79B1">
            <w:pPr>
              <w:jc w:val="right"/>
            </w:pPr>
            <w:r w:rsidRPr="00533AD2">
              <w:t>625</w:t>
            </w:r>
          </w:p>
        </w:tc>
        <w:tc>
          <w:tcPr>
            <w:tcW w:w="903" w:type="dxa"/>
            <w:tcBorders>
              <w:top w:val="single" w:sz="4" w:space="0" w:color="auto"/>
              <w:left w:val="single" w:sz="4" w:space="0" w:color="auto"/>
              <w:bottom w:val="single" w:sz="4" w:space="0" w:color="auto"/>
              <w:right w:val="single" w:sz="4" w:space="0" w:color="auto"/>
            </w:tcBorders>
            <w:hideMark/>
          </w:tcPr>
          <w:p w:rsidR="006C2105" w:rsidRPr="00533AD2" w14:paraId="74004139" w14:textId="7DD29B21">
            <w:pPr>
              <w:jc w:val="right"/>
            </w:pPr>
            <w:r w:rsidRPr="00533AD2">
              <w:t>$2</w:t>
            </w:r>
            <w:r w:rsidRPr="00533AD2" w:rsidR="009F753A">
              <w:t>9.76</w:t>
            </w:r>
          </w:p>
        </w:tc>
        <w:tc>
          <w:tcPr>
            <w:tcW w:w="1120" w:type="dxa"/>
            <w:tcBorders>
              <w:top w:val="single" w:sz="4" w:space="0" w:color="auto"/>
              <w:left w:val="single" w:sz="4" w:space="0" w:color="auto"/>
              <w:bottom w:val="single" w:sz="4" w:space="0" w:color="auto"/>
              <w:right w:val="single" w:sz="4" w:space="0" w:color="auto"/>
            </w:tcBorders>
            <w:hideMark/>
          </w:tcPr>
          <w:p w:rsidR="006C2105" w:rsidRPr="00533AD2" w14:paraId="48D32CDB" w14:textId="1339E72A">
            <w:pPr>
              <w:jc w:val="right"/>
            </w:pPr>
            <w:r w:rsidRPr="00533AD2">
              <w:t>$</w:t>
            </w:r>
            <w:r w:rsidRPr="00533AD2" w:rsidR="006C0773">
              <w:t>18,600</w:t>
            </w:r>
          </w:p>
        </w:tc>
      </w:tr>
      <w:tr w14:paraId="10AD5E77" w14:textId="77777777" w:rsidTr="002313FA">
        <w:tblPrEx>
          <w:tblW w:w="8758" w:type="dxa"/>
          <w:tblLook w:val="04A0"/>
        </w:tblPrEx>
        <w:tc>
          <w:tcPr>
            <w:tcW w:w="1338" w:type="dxa"/>
            <w:tcBorders>
              <w:top w:val="single" w:sz="4" w:space="0" w:color="auto"/>
              <w:left w:val="single" w:sz="4" w:space="0" w:color="auto"/>
              <w:bottom w:val="single" w:sz="4" w:space="0" w:color="auto"/>
              <w:right w:val="single" w:sz="4" w:space="0" w:color="auto"/>
            </w:tcBorders>
          </w:tcPr>
          <w:p w:rsidR="006C2105" w:rsidRPr="00AD2CB9" w14:paraId="293C0BE5" w14:textId="10E7C5D2">
            <w:pPr>
              <w:rPr>
                <w:b/>
                <w:bCs/>
              </w:rPr>
            </w:pPr>
            <w:r w:rsidRPr="00AD2CB9">
              <w:rPr>
                <w:b/>
                <w:bCs/>
              </w:rPr>
              <w:t>TOTAL</w:t>
            </w:r>
          </w:p>
        </w:tc>
        <w:tc>
          <w:tcPr>
            <w:tcW w:w="1228" w:type="dxa"/>
            <w:tcBorders>
              <w:top w:val="single" w:sz="4" w:space="0" w:color="auto"/>
              <w:left w:val="single" w:sz="4" w:space="0" w:color="auto"/>
              <w:bottom w:val="single" w:sz="4" w:space="0" w:color="auto"/>
              <w:right w:val="single" w:sz="4" w:space="0" w:color="auto"/>
            </w:tcBorders>
          </w:tcPr>
          <w:p w:rsidR="006C2105" w:rsidRPr="00533AD2" w14:paraId="7FA1284E" w14:textId="287BF20D">
            <w:pPr>
              <w:jc w:val="right"/>
            </w:pPr>
            <w:r w:rsidRPr="00533AD2">
              <w:t>5,528</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105" w:rsidRPr="00533AD2" w14:paraId="6494298D" w14:textId="77777777">
            <w:pPr>
              <w:jc w:val="right"/>
            </w:pPr>
          </w:p>
        </w:tc>
        <w:tc>
          <w:tcPr>
            <w:tcW w:w="1094" w:type="dxa"/>
            <w:tcBorders>
              <w:top w:val="single" w:sz="4" w:space="0" w:color="auto"/>
              <w:left w:val="single" w:sz="4" w:space="0" w:color="auto"/>
              <w:bottom w:val="single" w:sz="4" w:space="0" w:color="auto"/>
              <w:right w:val="single" w:sz="4" w:space="0" w:color="auto"/>
            </w:tcBorders>
          </w:tcPr>
          <w:p w:rsidR="006C2105" w:rsidRPr="00533AD2" w14:paraId="230AF1BF" w14:textId="5A152112">
            <w:pPr>
              <w:jc w:val="right"/>
            </w:pPr>
            <w:r w:rsidRPr="00533AD2">
              <w:t>5,528</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105" w:rsidRPr="00533AD2" w14:paraId="75E8F8F6" w14:textId="77777777">
            <w:pPr>
              <w:jc w:val="right"/>
            </w:pPr>
          </w:p>
        </w:tc>
        <w:tc>
          <w:tcPr>
            <w:tcW w:w="861" w:type="dxa"/>
            <w:tcBorders>
              <w:top w:val="single" w:sz="4" w:space="0" w:color="auto"/>
              <w:left w:val="single" w:sz="4" w:space="0" w:color="auto"/>
              <w:bottom w:val="single" w:sz="4" w:space="0" w:color="auto"/>
              <w:right w:val="single" w:sz="4" w:space="0" w:color="auto"/>
            </w:tcBorders>
          </w:tcPr>
          <w:p w:rsidR="006C2105" w:rsidRPr="00533AD2" w14:paraId="7BFA0BD6" w14:textId="6999B4CD">
            <w:pPr>
              <w:jc w:val="right"/>
            </w:pPr>
            <w:r w:rsidRPr="00533AD2">
              <w:t>817</w:t>
            </w:r>
          </w:p>
        </w:tc>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105" w:rsidRPr="00533AD2" w14:paraId="42A516B7" w14:textId="77777777">
            <w:pPr>
              <w:jc w:val="right"/>
            </w:pPr>
          </w:p>
        </w:tc>
        <w:tc>
          <w:tcPr>
            <w:tcW w:w="1120" w:type="dxa"/>
            <w:tcBorders>
              <w:top w:val="single" w:sz="4" w:space="0" w:color="auto"/>
              <w:left w:val="single" w:sz="4" w:space="0" w:color="auto"/>
              <w:bottom w:val="single" w:sz="4" w:space="0" w:color="auto"/>
              <w:right w:val="single" w:sz="4" w:space="0" w:color="auto"/>
            </w:tcBorders>
          </w:tcPr>
          <w:p w:rsidR="006C2105" w:rsidRPr="00533AD2" w14:paraId="52653BA1" w14:textId="25FDE69A">
            <w:pPr>
              <w:jc w:val="right"/>
            </w:pPr>
            <w:r w:rsidRPr="00533AD2">
              <w:t>$24,299</w:t>
            </w:r>
          </w:p>
        </w:tc>
      </w:tr>
    </w:tbl>
    <w:p w:rsidR="00790ED5" w:rsidRPr="00533AD2" w:rsidP="005F1FFC" w14:paraId="43AE85AC" w14:textId="77777777">
      <w:pPr>
        <w:rPr>
          <w:bCs/>
          <w:sz w:val="24"/>
          <w:szCs w:val="24"/>
        </w:rPr>
      </w:pPr>
    </w:p>
    <w:p w:rsidR="00A93967" w:rsidRPr="00533AD2" w:rsidP="005F1FFC" w14:paraId="0D6A5C78" w14:textId="297F3BCC">
      <w:pPr>
        <w:rPr>
          <w:bCs/>
          <w:sz w:val="24"/>
          <w:szCs w:val="24"/>
        </w:rPr>
      </w:pPr>
      <w:r w:rsidRPr="00533AD2">
        <w:rPr>
          <w:bCs/>
          <w:sz w:val="24"/>
          <w:szCs w:val="24"/>
        </w:rPr>
        <w:t>Please note that the estimate wage rate is taken from the U.S. Bureau of Labor Statistics, May 202</w:t>
      </w:r>
      <w:r w:rsidRPr="00533AD2" w:rsidR="00F63952">
        <w:rPr>
          <w:bCs/>
          <w:sz w:val="24"/>
          <w:szCs w:val="24"/>
        </w:rPr>
        <w:t>2</w:t>
      </w:r>
      <w:r w:rsidRPr="00533AD2">
        <w:rPr>
          <w:bCs/>
          <w:sz w:val="24"/>
          <w:szCs w:val="24"/>
        </w:rPr>
        <w:t xml:space="preserve"> National Occupational Employment and Wage Estimates, found at: </w:t>
      </w:r>
      <w:hyperlink r:id="rId10" w:anchor="00-0000" w:history="1">
        <w:r w:rsidRPr="00533AD2" w:rsidR="00DB34CA">
          <w:rPr>
            <w:rStyle w:val="Hyperlink"/>
            <w:bCs/>
            <w:sz w:val="24"/>
            <w:szCs w:val="24"/>
          </w:rPr>
          <w:t>https://www.bls.gov/oes/current/oes_nat.htm#00-0000</w:t>
        </w:r>
      </w:hyperlink>
    </w:p>
    <w:p w:rsidR="007E2175" w:rsidRPr="00533AD2" w:rsidP="005F1FFC" w14:paraId="23FE15A2" w14:textId="77777777">
      <w:pPr>
        <w:rPr>
          <w:b/>
          <w:sz w:val="24"/>
          <w:szCs w:val="24"/>
        </w:rPr>
      </w:pPr>
    </w:p>
    <w:p w:rsidR="00F660E8" w:rsidRPr="00533AD2" w:rsidP="00F660E8" w14:paraId="446A24E3" w14:textId="77777777">
      <w:pPr>
        <w:rPr>
          <w:b/>
          <w:sz w:val="24"/>
          <w:szCs w:val="24"/>
        </w:rPr>
      </w:pPr>
      <w:r w:rsidRPr="00533AD2">
        <w:rPr>
          <w:b/>
          <w:sz w:val="24"/>
          <w:szCs w:val="24"/>
        </w:rPr>
        <w:t>13.  Provide an estimate of the total annual cost burden to respondents or record</w:t>
      </w:r>
      <w:r w:rsidRPr="00533AD2" w:rsidR="007E7E37">
        <w:rPr>
          <w:b/>
          <w:sz w:val="24"/>
          <w:szCs w:val="24"/>
        </w:rPr>
        <w:t xml:space="preserve"> </w:t>
      </w:r>
      <w:r w:rsidRPr="00533AD2">
        <w:rPr>
          <w:b/>
          <w:sz w:val="24"/>
          <w:szCs w:val="24"/>
        </w:rPr>
        <w:t>keepers resulting from the collection of information.  (Do not include the cost of any hour burden shown in Items 12 and 14).</w:t>
      </w:r>
    </w:p>
    <w:p w:rsidR="005F1FFC" w:rsidRPr="00533AD2" w:rsidP="005F1FFC" w14:paraId="3715E245" w14:textId="527C4CAB">
      <w:pPr>
        <w:rPr>
          <w:b/>
          <w:sz w:val="24"/>
        </w:rPr>
      </w:pPr>
    </w:p>
    <w:p w:rsidR="007E2175" w:rsidRPr="00533AD2" w:rsidP="005F1FFC" w14:paraId="05961ECE" w14:textId="420BAFC1">
      <w:pPr>
        <w:rPr>
          <w:b/>
          <w:sz w:val="32"/>
          <w:szCs w:val="24"/>
        </w:rPr>
      </w:pPr>
      <w:r w:rsidRPr="00533AD2">
        <w:rPr>
          <w:rStyle w:val="ui-provider"/>
          <w:sz w:val="24"/>
          <w:szCs w:val="24"/>
        </w:rPr>
        <w:t>Participation in this study is voluntary, and there are no costs to respondents beyond the time spent completing the questionnaire.</w:t>
      </w:r>
    </w:p>
    <w:p w:rsidR="00A93967" w:rsidRPr="00533AD2" w:rsidP="005F1FFC" w14:paraId="7426A13C" w14:textId="77777777">
      <w:pPr>
        <w:ind w:left="720"/>
        <w:rPr>
          <w:sz w:val="24"/>
        </w:rPr>
      </w:pPr>
    </w:p>
    <w:p w:rsidR="00F660E8" w:rsidRPr="00533AD2"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33AD2">
        <w:rPr>
          <w:b/>
          <w:sz w:val="24"/>
          <w:szCs w:val="24"/>
        </w:rPr>
        <w:t xml:space="preserve">14.  </w:t>
      </w:r>
      <w:r w:rsidRPr="00533AD2">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533AD2">
        <w:rPr>
          <w:sz w:val="24"/>
          <w:szCs w:val="24"/>
        </w:rPr>
        <w:t xml:space="preserve"> </w:t>
      </w:r>
      <w:r w:rsidRPr="00533AD2">
        <w:rPr>
          <w:b/>
          <w:bCs/>
          <w:sz w:val="24"/>
          <w:szCs w:val="24"/>
        </w:rPr>
        <w:t>without this collection of information.  Agencies also may aggregate cost estimates from Items 12, 13, and 14 into a single table.</w:t>
      </w:r>
    </w:p>
    <w:p w:rsidR="007E2175" w:rsidRPr="00533AD2" w:rsidP="007E2175" w14:paraId="4928EFEC" w14:textId="428904F4">
      <w:pPr>
        <w:rPr>
          <w:sz w:val="28"/>
          <w:szCs w:val="22"/>
        </w:rPr>
      </w:pPr>
    </w:p>
    <w:p w:rsidR="007E2175" w:rsidRPr="00533AD2" w:rsidP="007E2175" w14:paraId="09436E4F" w14:textId="4DC01179">
      <w:pPr>
        <w:rPr>
          <w:rStyle w:val="ui-provider"/>
          <w:sz w:val="22"/>
          <w:szCs w:val="22"/>
        </w:rPr>
      </w:pPr>
      <w:r w:rsidRPr="00533AD2">
        <w:rPr>
          <w:rStyle w:val="ui-provider"/>
          <w:sz w:val="22"/>
          <w:szCs w:val="22"/>
        </w:rPr>
        <w:t xml:space="preserve">This is </w:t>
      </w:r>
      <w:r w:rsidRPr="00533AD2" w:rsidR="00240B3F">
        <w:rPr>
          <w:rStyle w:val="ui-provider"/>
          <w:sz w:val="22"/>
          <w:szCs w:val="22"/>
        </w:rPr>
        <w:t xml:space="preserve">a </w:t>
      </w:r>
      <w:r w:rsidRPr="00533AD2">
        <w:rPr>
          <w:rStyle w:val="ui-provider"/>
          <w:sz w:val="22"/>
          <w:szCs w:val="22"/>
        </w:rPr>
        <w:t xml:space="preserve">one-time data collection. </w:t>
      </w:r>
      <w:r w:rsidRPr="00533AD2" w:rsidR="00C15E50">
        <w:rPr>
          <w:rStyle w:val="ui-provider"/>
          <w:sz w:val="22"/>
          <w:szCs w:val="22"/>
        </w:rPr>
        <w:t xml:space="preserve"> </w:t>
      </w:r>
      <w:r w:rsidRPr="00533AD2">
        <w:rPr>
          <w:rStyle w:val="ui-provider"/>
          <w:sz w:val="22"/>
          <w:szCs w:val="22"/>
        </w:rPr>
        <w:t>The total cost to the Federal Government for this study is $</w:t>
      </w:r>
      <w:r w:rsidRPr="00533AD2" w:rsidR="002D4BF9">
        <w:rPr>
          <w:rStyle w:val="ui-provider"/>
          <w:sz w:val="22"/>
          <w:szCs w:val="22"/>
        </w:rPr>
        <w:t>386,024.05</w:t>
      </w:r>
      <w:r w:rsidRPr="00533AD2">
        <w:rPr>
          <w:rStyle w:val="ui-provider"/>
          <w:sz w:val="22"/>
          <w:szCs w:val="22"/>
        </w:rPr>
        <w:t xml:space="preserve">. Since data collection will take less than a year, the annualized cost is the same. </w:t>
      </w:r>
    </w:p>
    <w:p w:rsidR="007E2175" w:rsidRPr="00533AD2" w:rsidP="007E2175" w14:paraId="38A0E483" w14:textId="77777777">
      <w:pPr>
        <w:rPr>
          <w:rStyle w:val="ui-provider"/>
          <w:sz w:val="22"/>
          <w:szCs w:val="22"/>
        </w:rPr>
      </w:pPr>
    </w:p>
    <w:p w:rsidR="007E2175" w:rsidRPr="00533AD2" w:rsidP="007E2175" w14:paraId="56EAC943" w14:textId="0CB50039">
      <w:pPr>
        <w:rPr>
          <w:rStyle w:val="ui-provider"/>
          <w:sz w:val="22"/>
          <w:szCs w:val="22"/>
        </w:rPr>
      </w:pPr>
      <w:r w:rsidRPr="00533AD2">
        <w:rPr>
          <w:rStyle w:val="ui-provider"/>
          <w:sz w:val="22"/>
          <w:szCs w:val="22"/>
        </w:rPr>
        <w:t xml:space="preserve">The estimated cost in terms of government time is approximately </w:t>
      </w:r>
      <w:r w:rsidRPr="00533AD2" w:rsidR="00590E74">
        <w:rPr>
          <w:rStyle w:val="ui-provider"/>
          <w:sz w:val="22"/>
          <w:szCs w:val="22"/>
        </w:rPr>
        <w:t xml:space="preserve">20 </w:t>
      </w:r>
      <w:r w:rsidRPr="00533AD2">
        <w:rPr>
          <w:rStyle w:val="ui-provider"/>
          <w:sz w:val="22"/>
          <w:szCs w:val="22"/>
        </w:rPr>
        <w:t>hours for the Contracting Officer’s Representative (COR)</w:t>
      </w:r>
      <w:r w:rsidRPr="00533AD2" w:rsidR="00590E74">
        <w:rPr>
          <w:rStyle w:val="ui-provider"/>
          <w:sz w:val="22"/>
          <w:szCs w:val="22"/>
        </w:rPr>
        <w:t xml:space="preserve">, </w:t>
      </w:r>
      <w:r w:rsidRPr="00533AD2" w:rsidR="007E510D">
        <w:rPr>
          <w:rStyle w:val="ui-provider"/>
          <w:sz w:val="22"/>
          <w:szCs w:val="22"/>
        </w:rPr>
        <w:t>80</w:t>
      </w:r>
      <w:r w:rsidRPr="00533AD2" w:rsidR="00590E74">
        <w:rPr>
          <w:rStyle w:val="ui-provider"/>
          <w:sz w:val="22"/>
          <w:szCs w:val="22"/>
        </w:rPr>
        <w:t xml:space="preserve"> hours for the project managers,</w:t>
      </w:r>
      <w:r w:rsidRPr="00533AD2">
        <w:rPr>
          <w:rStyle w:val="ui-provider"/>
          <w:sz w:val="22"/>
          <w:szCs w:val="22"/>
        </w:rPr>
        <w:t xml:space="preserve"> </w:t>
      </w:r>
      <w:r w:rsidRPr="00533AD2" w:rsidR="00590E74">
        <w:rPr>
          <w:rStyle w:val="ui-provider"/>
          <w:sz w:val="22"/>
          <w:szCs w:val="22"/>
        </w:rPr>
        <w:t xml:space="preserve">40 hours for different labor categories accounting </w:t>
      </w:r>
      <w:r w:rsidRPr="00533AD2" w:rsidR="007E510D">
        <w:rPr>
          <w:rStyle w:val="ui-provider"/>
          <w:sz w:val="22"/>
          <w:szCs w:val="22"/>
        </w:rPr>
        <w:t>f</w:t>
      </w:r>
      <w:r w:rsidRPr="00533AD2" w:rsidR="00590E74">
        <w:rPr>
          <w:rStyle w:val="ui-provider"/>
          <w:sz w:val="22"/>
          <w:szCs w:val="22"/>
        </w:rPr>
        <w:t>o</w:t>
      </w:r>
      <w:r w:rsidRPr="00533AD2" w:rsidR="007E510D">
        <w:rPr>
          <w:rStyle w:val="ui-provider"/>
          <w:sz w:val="22"/>
          <w:szCs w:val="22"/>
        </w:rPr>
        <w:t>r</w:t>
      </w:r>
      <w:r w:rsidRPr="00533AD2" w:rsidR="00590E74">
        <w:rPr>
          <w:rStyle w:val="ui-provider"/>
          <w:sz w:val="22"/>
          <w:szCs w:val="22"/>
        </w:rPr>
        <w:t xml:space="preserve"> the support and review</w:t>
      </w:r>
      <w:r w:rsidRPr="00533AD2" w:rsidR="007E510D">
        <w:rPr>
          <w:rStyle w:val="ui-provider"/>
          <w:sz w:val="22"/>
          <w:szCs w:val="22"/>
        </w:rPr>
        <w:t xml:space="preserve"> of the collection package</w:t>
      </w:r>
      <w:r w:rsidRPr="00533AD2" w:rsidR="00590E74">
        <w:rPr>
          <w:rStyle w:val="ui-provider"/>
          <w:sz w:val="22"/>
          <w:szCs w:val="22"/>
        </w:rPr>
        <w:t xml:space="preserve"> provided by </w:t>
      </w:r>
      <w:r w:rsidRPr="00533AD2">
        <w:rPr>
          <w:rStyle w:val="ui-provider"/>
          <w:sz w:val="22"/>
          <w:szCs w:val="22"/>
        </w:rPr>
        <w:t>supervisor</w:t>
      </w:r>
      <w:r w:rsidRPr="00533AD2" w:rsidR="00590E74">
        <w:rPr>
          <w:rStyle w:val="ui-provider"/>
          <w:sz w:val="22"/>
          <w:szCs w:val="22"/>
        </w:rPr>
        <w:t>s, privacy officers, cybersecurity</w:t>
      </w:r>
      <w:r w:rsidR="00A12688">
        <w:rPr>
          <w:rStyle w:val="ui-provider"/>
          <w:sz w:val="22"/>
          <w:szCs w:val="22"/>
        </w:rPr>
        <w:t>,</w:t>
      </w:r>
      <w:r w:rsidRPr="00533AD2" w:rsidR="00590E74">
        <w:rPr>
          <w:rStyle w:val="ui-provider"/>
          <w:sz w:val="22"/>
          <w:szCs w:val="22"/>
        </w:rPr>
        <w:t xml:space="preserve"> and others. </w:t>
      </w:r>
      <w:r w:rsidRPr="00533AD2" w:rsidR="00C15E50">
        <w:rPr>
          <w:rStyle w:val="ui-provider"/>
          <w:sz w:val="22"/>
          <w:szCs w:val="22"/>
        </w:rPr>
        <w:t xml:space="preserve"> </w:t>
      </w:r>
      <w:r w:rsidRPr="00533AD2" w:rsidR="00590E74">
        <w:rPr>
          <w:rStyle w:val="ui-provider"/>
          <w:sz w:val="22"/>
          <w:szCs w:val="22"/>
        </w:rPr>
        <w:t>The total estimated cost of the collection is</w:t>
      </w:r>
      <w:r w:rsidRPr="00533AD2">
        <w:rPr>
          <w:rStyle w:val="ui-provider"/>
          <w:sz w:val="22"/>
          <w:szCs w:val="22"/>
        </w:rPr>
        <w:t xml:space="preserve"> $</w:t>
      </w:r>
      <w:r w:rsidRPr="00533AD2" w:rsidR="007E510D">
        <w:rPr>
          <w:rStyle w:val="ui-provider"/>
          <w:sz w:val="22"/>
          <w:szCs w:val="22"/>
        </w:rPr>
        <w:t>10,560</w:t>
      </w:r>
      <w:r w:rsidRPr="00533AD2">
        <w:rPr>
          <w:rStyle w:val="ui-provider"/>
          <w:sz w:val="22"/>
          <w:szCs w:val="22"/>
        </w:rPr>
        <w:t xml:space="preserve"> in wages.</w:t>
      </w:r>
      <w:r w:rsidRPr="00533AD2" w:rsidR="007E510D">
        <w:rPr>
          <w:rStyle w:val="ui-provider"/>
          <w:sz w:val="22"/>
          <w:szCs w:val="22"/>
        </w:rPr>
        <w:t xml:space="preserve"> Salaries are estimated at the mid-point of each range.</w:t>
      </w:r>
    </w:p>
    <w:p w:rsidR="00CC5C93" w:rsidRPr="00533AD2" w:rsidP="007E2175" w14:paraId="748C1C0F" w14:textId="77777777">
      <w:pPr>
        <w:rPr>
          <w:rStyle w:val="ui-provider"/>
          <w:sz w:val="22"/>
          <w:szCs w:val="22"/>
        </w:rPr>
      </w:pPr>
    </w:p>
    <w:p w:rsidR="00CC5C93" w:rsidRPr="00533AD2" w:rsidP="007E2175" w14:paraId="0AA92C8E" w14:textId="6DE71774">
      <w:pPr>
        <w:rPr>
          <w:rStyle w:val="ui-provider"/>
          <w:sz w:val="22"/>
          <w:szCs w:val="22"/>
        </w:rPr>
      </w:pPr>
      <w:r w:rsidRPr="00533AD2">
        <w:rPr>
          <w:rStyle w:val="ui-provider"/>
          <w:sz w:val="22"/>
          <w:szCs w:val="22"/>
        </w:rPr>
        <w:t>The total Federal Government cost</w:t>
      </w:r>
      <w:r w:rsidRPr="00533AD2" w:rsidR="00B9310D">
        <w:rPr>
          <w:rStyle w:val="ui-provider"/>
          <w:sz w:val="22"/>
          <w:szCs w:val="22"/>
        </w:rPr>
        <w:t xml:space="preserve"> for this collection</w:t>
      </w:r>
      <w:r w:rsidRPr="00533AD2" w:rsidR="00A01CB9">
        <w:rPr>
          <w:rStyle w:val="ui-provider"/>
          <w:sz w:val="22"/>
          <w:szCs w:val="22"/>
        </w:rPr>
        <w:t xml:space="preserve"> is </w:t>
      </w:r>
      <w:r w:rsidRPr="00533AD2" w:rsidR="00B9310D">
        <w:rPr>
          <w:rStyle w:val="ui-provider"/>
          <w:sz w:val="22"/>
          <w:szCs w:val="22"/>
        </w:rPr>
        <w:t>$396,584.05</w:t>
      </w:r>
      <w:r w:rsidR="00C14887">
        <w:rPr>
          <w:rStyle w:val="ui-provider"/>
          <w:sz w:val="22"/>
          <w:szCs w:val="22"/>
        </w:rPr>
        <w:t xml:space="preserve"> ($386,024.05 + $10,560).</w:t>
      </w:r>
    </w:p>
    <w:p w:rsidR="00A2753B" w:rsidRPr="00533AD2" w:rsidP="00A2753B" w14:paraId="06416D60" w14:textId="77777777"/>
    <w:p w:rsidR="00F660E8" w:rsidRPr="00533AD2" w:rsidP="00F660E8" w14:paraId="2B232019" w14:textId="7462B17E">
      <w:pPr>
        <w:rPr>
          <w:b/>
          <w:sz w:val="24"/>
          <w:szCs w:val="24"/>
        </w:rPr>
      </w:pPr>
      <w:r w:rsidRPr="00533AD2">
        <w:rPr>
          <w:b/>
          <w:sz w:val="24"/>
          <w:szCs w:val="24"/>
        </w:rPr>
        <w:t xml:space="preserve">15.  </w:t>
      </w:r>
      <w:r w:rsidRPr="00533AD2">
        <w:rPr>
          <w:b/>
          <w:bCs/>
          <w:sz w:val="24"/>
          <w:szCs w:val="24"/>
        </w:rPr>
        <w:t>Explain the reasons for any program changes or adjustments.</w:t>
      </w:r>
    </w:p>
    <w:p w:rsidR="005F1FFC" w:rsidRPr="00533AD2" w:rsidP="005F1FFC" w14:paraId="7D933924" w14:textId="77777777">
      <w:pPr>
        <w:numPr>
          <w:ilvl w:val="12"/>
          <w:numId w:val="0"/>
        </w:numPr>
        <w:rPr>
          <w:sz w:val="24"/>
        </w:rPr>
      </w:pPr>
    </w:p>
    <w:p w:rsidR="00A93967" w:rsidRPr="00533AD2" w:rsidP="00253FF0" w14:paraId="52F188B0" w14:textId="669BB5A3">
      <w:pPr>
        <w:rPr>
          <w:sz w:val="24"/>
        </w:rPr>
      </w:pPr>
      <w:r w:rsidRPr="00533AD2">
        <w:rPr>
          <w:sz w:val="24"/>
        </w:rPr>
        <w:t xml:space="preserve">This is a new </w:t>
      </w:r>
      <w:r w:rsidR="00C14887">
        <w:rPr>
          <w:sz w:val="24"/>
        </w:rPr>
        <w:t xml:space="preserve">information </w:t>
      </w:r>
      <w:r w:rsidRPr="00533AD2">
        <w:rPr>
          <w:sz w:val="24"/>
        </w:rPr>
        <w:t>collection.</w:t>
      </w:r>
    </w:p>
    <w:p w:rsidR="007E2175" w:rsidRPr="00533AD2" w:rsidP="00253FF0" w14:paraId="5086159F" w14:textId="77777777">
      <w:pPr>
        <w:rPr>
          <w:sz w:val="24"/>
        </w:rPr>
      </w:pPr>
    </w:p>
    <w:p w:rsidR="00F660E8" w:rsidRPr="00533AD2" w:rsidP="00F660E8" w14:paraId="1715AB5F" w14:textId="77777777">
      <w:pPr>
        <w:rPr>
          <w:b/>
          <w:sz w:val="24"/>
          <w:szCs w:val="24"/>
        </w:rPr>
      </w:pPr>
      <w:r w:rsidRPr="00533AD2">
        <w:rPr>
          <w:b/>
          <w:sz w:val="24"/>
          <w:szCs w:val="24"/>
        </w:rPr>
        <w:t>16.  F</w:t>
      </w:r>
      <w:r w:rsidRPr="00533AD2">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533AD2">
        <w:rPr>
          <w:sz w:val="24"/>
          <w:szCs w:val="24"/>
        </w:rPr>
        <w:t>.</w:t>
      </w:r>
    </w:p>
    <w:p w:rsidR="00B34745" w:rsidRPr="00533AD2" w:rsidP="00B34745" w14:paraId="23ECDD98" w14:textId="77777777">
      <w:pPr>
        <w:rPr>
          <w:sz w:val="24"/>
        </w:rPr>
      </w:pPr>
    </w:p>
    <w:p w:rsidR="00445B1D" w:rsidRPr="00533AD2" w:rsidP="00B34745" w14:paraId="4E8C1892" w14:textId="779BDE7B">
      <w:pPr>
        <w:rPr>
          <w:rStyle w:val="cf01"/>
          <w:rFonts w:ascii="Times New Roman" w:hAnsi="Times New Roman" w:cs="Times New Roman"/>
          <w:sz w:val="24"/>
          <w:szCs w:val="20"/>
        </w:rPr>
      </w:pPr>
      <w:r w:rsidRPr="00533AD2">
        <w:rPr>
          <w:rStyle w:val="cf01"/>
          <w:rFonts w:ascii="Times New Roman" w:hAnsi="Times New Roman" w:cs="Times New Roman"/>
          <w:sz w:val="24"/>
          <w:szCs w:val="24"/>
        </w:rPr>
        <w:t xml:space="preserve">An array of analyses will be conducted on survey data, depending on the </w:t>
      </w:r>
      <w:r w:rsidRPr="00533AD2" w:rsidR="000E5360">
        <w:rPr>
          <w:rStyle w:val="cf01"/>
          <w:rFonts w:ascii="Times New Roman" w:hAnsi="Times New Roman" w:cs="Times New Roman"/>
          <w:sz w:val="24"/>
          <w:szCs w:val="24"/>
        </w:rPr>
        <w:t xml:space="preserve">final </w:t>
      </w:r>
      <w:r w:rsidRPr="00533AD2">
        <w:rPr>
          <w:rStyle w:val="cf01"/>
          <w:rFonts w:ascii="Times New Roman" w:hAnsi="Times New Roman" w:cs="Times New Roman"/>
          <w:sz w:val="24"/>
          <w:szCs w:val="24"/>
        </w:rPr>
        <w:t xml:space="preserve">survey content and question structure. </w:t>
      </w:r>
      <w:r w:rsidRPr="00533AD2" w:rsidR="00390C1C">
        <w:rPr>
          <w:rStyle w:val="cf01"/>
          <w:rFonts w:ascii="Times New Roman" w:hAnsi="Times New Roman" w:cs="Times New Roman"/>
          <w:sz w:val="24"/>
          <w:szCs w:val="24"/>
        </w:rPr>
        <w:t xml:space="preserve"> </w:t>
      </w:r>
      <w:r w:rsidRPr="00533AD2">
        <w:rPr>
          <w:rStyle w:val="cf01"/>
          <w:rFonts w:ascii="Times New Roman" w:hAnsi="Times New Roman" w:cs="Times New Roman"/>
          <w:sz w:val="24"/>
          <w:szCs w:val="24"/>
        </w:rPr>
        <w:t>At a minimum, we will examine:</w:t>
      </w:r>
    </w:p>
    <w:p w:rsidR="00445B1D" w:rsidRPr="00533AD2" w:rsidP="00B34745" w14:paraId="20A04D98" w14:textId="77777777">
      <w:pPr>
        <w:pStyle w:val="pf0"/>
        <w:numPr>
          <w:ilvl w:val="0"/>
          <w:numId w:val="23"/>
        </w:numPr>
        <w:rPr>
          <w:rStyle w:val="cf01"/>
          <w:rFonts w:ascii="Times New Roman" w:hAnsi="Times New Roman" w:cs="Times New Roman"/>
          <w:sz w:val="24"/>
          <w:szCs w:val="24"/>
        </w:rPr>
      </w:pPr>
      <w:r w:rsidRPr="00533AD2">
        <w:rPr>
          <w:rStyle w:val="cf01"/>
          <w:rFonts w:ascii="Times New Roman" w:hAnsi="Times New Roman" w:cs="Times New Roman"/>
          <w:sz w:val="24"/>
          <w:szCs w:val="24"/>
        </w:rPr>
        <w:t>Operational data, including sample sizes, number of respondents overall and by subpopulations, sampling error, and response rate calculations.</w:t>
      </w:r>
    </w:p>
    <w:p w:rsidR="00445B1D" w:rsidRPr="00533AD2" w:rsidP="00B34745" w14:paraId="61D21DE6" w14:textId="31B30441">
      <w:pPr>
        <w:pStyle w:val="pf0"/>
        <w:numPr>
          <w:ilvl w:val="0"/>
          <w:numId w:val="23"/>
        </w:numPr>
        <w:rPr>
          <w:rStyle w:val="cf01"/>
          <w:rFonts w:ascii="Times New Roman" w:hAnsi="Times New Roman" w:cs="Times New Roman"/>
          <w:sz w:val="24"/>
          <w:szCs w:val="24"/>
        </w:rPr>
      </w:pPr>
      <w:r w:rsidRPr="00533AD2">
        <w:rPr>
          <w:rStyle w:val="cf01"/>
          <w:rFonts w:ascii="Times New Roman" w:hAnsi="Times New Roman" w:cs="Times New Roman"/>
          <w:sz w:val="24"/>
          <w:szCs w:val="24"/>
        </w:rPr>
        <w:t xml:space="preserve">Descriptive statistics (e.g., means, frequencies) for each survey item, focusing on topics of interest, including customer service experiences, satisfaction with banking services, and access to banking services. </w:t>
      </w:r>
      <w:r w:rsidRPr="00533AD2" w:rsidR="00390C1C">
        <w:rPr>
          <w:rStyle w:val="cf01"/>
          <w:rFonts w:ascii="Times New Roman" w:hAnsi="Times New Roman" w:cs="Times New Roman"/>
          <w:sz w:val="24"/>
          <w:szCs w:val="24"/>
        </w:rPr>
        <w:t xml:space="preserve"> </w:t>
      </w:r>
      <w:r w:rsidRPr="00533AD2">
        <w:rPr>
          <w:rStyle w:val="cf01"/>
          <w:rFonts w:ascii="Times New Roman" w:hAnsi="Times New Roman" w:cs="Times New Roman"/>
          <w:sz w:val="24"/>
          <w:szCs w:val="24"/>
        </w:rPr>
        <w:t>The analysis will focus on overall descriptive statistics, as well as comparisons between subpopulations defined by age group, gender, race/ethnicity, income, urbanicity, and bank type.</w:t>
      </w:r>
    </w:p>
    <w:p w:rsidR="002D4BF9" w:rsidRPr="00533AD2" w:rsidP="00445B1D" w14:paraId="4BEC46DB" w14:textId="3BB6F6EC">
      <w:pPr>
        <w:pStyle w:val="pf0"/>
        <w:rPr>
          <w:rStyle w:val="cf01"/>
          <w:rFonts w:ascii="Times New Roman" w:hAnsi="Times New Roman" w:cs="Times New Roman"/>
          <w:sz w:val="24"/>
          <w:szCs w:val="24"/>
        </w:rPr>
      </w:pPr>
      <w:r w:rsidRPr="00533AD2">
        <w:rPr>
          <w:rStyle w:val="cf01"/>
          <w:rFonts w:ascii="Times New Roman" w:hAnsi="Times New Roman" w:cs="Times New Roman"/>
          <w:sz w:val="24"/>
          <w:szCs w:val="24"/>
        </w:rPr>
        <w:t xml:space="preserve">Since the </w:t>
      </w:r>
      <w:r w:rsidRPr="00533AD2">
        <w:rPr>
          <w:rStyle w:val="cf01"/>
          <w:rFonts w:ascii="Times New Roman" w:hAnsi="Times New Roman" w:cs="Times New Roman"/>
          <w:sz w:val="24"/>
          <w:szCs w:val="24"/>
        </w:rPr>
        <w:t>AmeriSpeak</w:t>
      </w:r>
      <w:r w:rsidRPr="00533AD2">
        <w:rPr>
          <w:rStyle w:val="cf01"/>
          <w:rFonts w:ascii="Times New Roman" w:hAnsi="Times New Roman" w:cs="Times New Roman"/>
          <w:sz w:val="24"/>
          <w:szCs w:val="24"/>
        </w:rPr>
        <w:t xml:space="preserve"> panel is based on a probability sample, </w:t>
      </w:r>
      <w:r w:rsidRPr="00533AD2" w:rsidR="00B34745">
        <w:rPr>
          <w:rStyle w:val="cf01"/>
          <w:rFonts w:ascii="Times New Roman" w:hAnsi="Times New Roman" w:cs="Times New Roman"/>
          <w:sz w:val="24"/>
          <w:szCs w:val="24"/>
        </w:rPr>
        <w:t xml:space="preserve">we </w:t>
      </w:r>
      <w:r w:rsidRPr="00533AD2">
        <w:rPr>
          <w:rStyle w:val="cf01"/>
          <w:rFonts w:ascii="Times New Roman" w:hAnsi="Times New Roman" w:cs="Times New Roman"/>
          <w:sz w:val="24"/>
          <w:szCs w:val="24"/>
        </w:rPr>
        <w:t>will incorporate the design features (</w:t>
      </w:r>
      <w:r w:rsidRPr="00533AD2">
        <w:rPr>
          <w:rStyle w:val="cf01"/>
          <w:rFonts w:ascii="Times New Roman" w:hAnsi="Times New Roman" w:cs="Times New Roman"/>
          <w:sz w:val="24"/>
          <w:szCs w:val="24"/>
        </w:rPr>
        <w:t>e.g</w:t>
      </w:r>
      <w:r w:rsidRPr="00533AD2">
        <w:rPr>
          <w:rStyle w:val="cf01"/>
          <w:rFonts w:ascii="Times New Roman" w:hAnsi="Times New Roman" w:cs="Times New Roman"/>
          <w:sz w:val="24"/>
          <w:szCs w:val="24"/>
        </w:rPr>
        <w:t xml:space="preserve">, sampling weights and strata) throughout the analysis using Stata’s </w:t>
      </w:r>
      <w:r w:rsidRPr="00533AD2">
        <w:rPr>
          <w:rStyle w:val="cf01"/>
          <w:rFonts w:ascii="Times New Roman" w:hAnsi="Times New Roman" w:cs="Times New Roman"/>
          <w:sz w:val="24"/>
          <w:szCs w:val="24"/>
        </w:rPr>
        <w:t>Svy</w:t>
      </w:r>
      <w:r w:rsidRPr="00533AD2">
        <w:rPr>
          <w:rStyle w:val="cf01"/>
          <w:rFonts w:ascii="Times New Roman" w:hAnsi="Times New Roman" w:cs="Times New Roman"/>
          <w:sz w:val="24"/>
          <w:szCs w:val="24"/>
        </w:rPr>
        <w:t xml:space="preserve"> commands for complex surveys.</w:t>
      </w:r>
      <w:r w:rsidRPr="00533AD2" w:rsidR="00390C1C">
        <w:rPr>
          <w:rStyle w:val="cf01"/>
          <w:rFonts w:ascii="Times New Roman" w:hAnsi="Times New Roman" w:cs="Times New Roman"/>
          <w:sz w:val="24"/>
          <w:szCs w:val="24"/>
        </w:rPr>
        <w:t xml:space="preserve"> </w:t>
      </w:r>
      <w:r w:rsidRPr="00533AD2" w:rsidR="00B34745">
        <w:rPr>
          <w:rStyle w:val="cf01"/>
          <w:rFonts w:ascii="Times New Roman" w:hAnsi="Times New Roman" w:cs="Times New Roman"/>
          <w:sz w:val="24"/>
          <w:szCs w:val="24"/>
        </w:rPr>
        <w:t xml:space="preserve"> </w:t>
      </w:r>
      <w:r w:rsidRPr="00533AD2">
        <w:rPr>
          <w:rStyle w:val="cf01"/>
          <w:rFonts w:ascii="Times New Roman" w:hAnsi="Times New Roman" w:cs="Times New Roman"/>
          <w:sz w:val="24"/>
          <w:szCs w:val="24"/>
        </w:rPr>
        <w:t xml:space="preserve">Design information must be considered to obtain accurate inference (such as standard errors, confidence intervals, or p-values). </w:t>
      </w:r>
    </w:p>
    <w:p w:rsidR="008950DB" w:rsidRPr="00533AD2" w:rsidP="00445B1D" w14:paraId="02D24194" w14:textId="752B963F">
      <w:pPr>
        <w:pStyle w:val="pf0"/>
      </w:pPr>
      <w:r w:rsidRPr="00533AD2">
        <w:t xml:space="preserve">Reporting will include a </w:t>
      </w:r>
      <w:r w:rsidRPr="00533AD2" w:rsidR="00A2354C">
        <w:t xml:space="preserve">public </w:t>
      </w:r>
      <w:r w:rsidRPr="00533AD2">
        <w:t>report of survey results and an in-depth methodological report.</w:t>
      </w:r>
      <w:r w:rsidRPr="00533AD2" w:rsidR="001D7D54">
        <w:t xml:space="preserve"> </w:t>
      </w:r>
      <w:r w:rsidRPr="00533AD2" w:rsidR="00390C1C">
        <w:t xml:space="preserve"> </w:t>
      </w:r>
      <w:r w:rsidRPr="00533AD2" w:rsidR="001D7D54">
        <w:t xml:space="preserve">Reporting may also include </w:t>
      </w:r>
      <w:r w:rsidRPr="00533AD2" w:rsidR="00B47B18">
        <w:t>additional brief</w:t>
      </w:r>
      <w:r w:rsidRPr="00533AD2" w:rsidR="001D7D54">
        <w:t xml:space="preserve"> analyses on specific topics, </w:t>
      </w:r>
      <w:r w:rsidRPr="00533AD2" w:rsidR="00B47B18">
        <w:t>depending</w:t>
      </w:r>
      <w:r w:rsidRPr="00533AD2" w:rsidR="001D7D54">
        <w:t xml:space="preserve"> on </w:t>
      </w:r>
      <w:r w:rsidRPr="00533AD2" w:rsidR="00B47B18">
        <w:t xml:space="preserve">findings from the </w:t>
      </w:r>
      <w:r w:rsidRPr="00533AD2" w:rsidR="001D7D54">
        <w:t>survey.</w:t>
      </w:r>
      <w:r w:rsidRPr="00533AD2" w:rsidR="0BC95143">
        <w:t xml:space="preserve"> </w:t>
      </w:r>
    </w:p>
    <w:p w:rsidR="00B34745" w:rsidRPr="00533AD2" w:rsidP="00445B1D" w14:paraId="4671C117" w14:textId="5AA13D62">
      <w:pPr>
        <w:pStyle w:val="pf0"/>
      </w:pPr>
      <w:r w:rsidRPr="00533AD2">
        <w:t xml:space="preserve">Aligned with federal </w:t>
      </w:r>
      <w:r w:rsidRPr="00533AD2" w:rsidR="46FF2081">
        <w:t>initiatives</w:t>
      </w:r>
      <w:r w:rsidRPr="00533AD2">
        <w:t xml:space="preserve"> supporting </w:t>
      </w:r>
      <w:r w:rsidRPr="00533AD2" w:rsidR="78DC260B">
        <w:t>transparency</w:t>
      </w:r>
      <w:r w:rsidRPr="00533AD2">
        <w:t xml:space="preserve"> and open data, and to </w:t>
      </w:r>
      <w:r w:rsidRPr="00533AD2" w:rsidR="404E37D5">
        <w:t>encourage</w:t>
      </w:r>
      <w:r w:rsidRPr="00533AD2">
        <w:t xml:space="preserve"> use of the </w:t>
      </w:r>
      <w:r w:rsidRPr="00533AD2" w:rsidR="2A0468D2">
        <w:t xml:space="preserve">collection by </w:t>
      </w:r>
      <w:r w:rsidRPr="00533AD2" w:rsidR="463931F9">
        <w:t>researchers</w:t>
      </w:r>
      <w:r w:rsidRPr="00533AD2" w:rsidR="2A0468D2">
        <w:t xml:space="preserve"> and other </w:t>
      </w:r>
      <w:r w:rsidRPr="00533AD2" w:rsidR="27B7EA5B">
        <w:t>stakeholders</w:t>
      </w:r>
      <w:r w:rsidRPr="00533AD2" w:rsidR="2A0468D2">
        <w:t>,</w:t>
      </w:r>
      <w:r w:rsidRPr="00533AD2">
        <w:t xml:space="preserve"> t</w:t>
      </w:r>
      <w:r w:rsidRPr="00533AD2" w:rsidR="40C62173">
        <w:t xml:space="preserve">he resulting dataset will be reviewed and modified into a public use file </w:t>
      </w:r>
      <w:r w:rsidRPr="00533AD2" w:rsidR="6DA14D5B">
        <w:t xml:space="preserve">(PUF) </w:t>
      </w:r>
      <w:r w:rsidRPr="00533AD2" w:rsidR="6AACEE9C">
        <w:t xml:space="preserve">to prevent reidentification of respondents. </w:t>
      </w:r>
      <w:r w:rsidRPr="00533AD2" w:rsidR="00390C1C">
        <w:t xml:space="preserve"> </w:t>
      </w:r>
      <w:r w:rsidRPr="00533AD2" w:rsidR="6AACEE9C">
        <w:t>The</w:t>
      </w:r>
      <w:r w:rsidRPr="00533AD2" w:rsidR="43A16951">
        <w:t xml:space="preserve"> limited version of the data</w:t>
      </w:r>
      <w:r w:rsidRPr="00533AD2" w:rsidR="62F408EC">
        <w:t xml:space="preserve"> will be made public </w:t>
      </w:r>
      <w:r w:rsidRPr="00533AD2" w:rsidR="08675EC1">
        <w:t xml:space="preserve">along </w:t>
      </w:r>
      <w:r w:rsidRPr="00533AD2" w:rsidR="62F408EC">
        <w:t xml:space="preserve">with </w:t>
      </w:r>
      <w:r w:rsidRPr="00533AD2" w:rsidR="1F2EF877">
        <w:t xml:space="preserve">a </w:t>
      </w:r>
      <w:r w:rsidRPr="00533AD2" w:rsidR="62F408EC">
        <w:t>codebook and other technical documentation</w:t>
      </w:r>
      <w:r w:rsidRPr="00533AD2" w:rsidR="74270631">
        <w:t xml:space="preserve">. </w:t>
      </w:r>
      <w:r w:rsidRPr="00533AD2" w:rsidR="00390C1C">
        <w:t xml:space="preserve"> </w:t>
      </w:r>
      <w:r w:rsidRPr="00533AD2" w:rsidR="008950DB">
        <w:t xml:space="preserve">This will enable additional use and analysis of the data by other government agencies, nonprofit organizations, and other stakeholders to further the goals of consumer protection and </w:t>
      </w:r>
      <w:r w:rsidRPr="00533AD2" w:rsidR="002511F8">
        <w:t xml:space="preserve">expansion and improvement of </w:t>
      </w:r>
      <w:r w:rsidRPr="00533AD2" w:rsidR="008950DB">
        <w:t>age-friendly banking</w:t>
      </w:r>
      <w:r w:rsidRPr="00533AD2" w:rsidR="002511F8">
        <w:t xml:space="preserve"> products and services</w:t>
      </w:r>
      <w:r w:rsidRPr="00533AD2" w:rsidR="008950DB">
        <w:t>.</w:t>
      </w:r>
    </w:p>
    <w:p w:rsidR="00F660E8" w:rsidRPr="00533AD2" w:rsidP="00F660E8" w14:paraId="7F4F1EB6" w14:textId="77777777">
      <w:pPr>
        <w:rPr>
          <w:b/>
          <w:sz w:val="24"/>
          <w:szCs w:val="24"/>
        </w:rPr>
      </w:pPr>
      <w:r w:rsidRPr="00533AD2">
        <w:rPr>
          <w:b/>
          <w:sz w:val="24"/>
        </w:rPr>
        <w:t xml:space="preserve">17.  </w:t>
      </w:r>
      <w:r w:rsidRPr="00533AD2">
        <w:rPr>
          <w:b/>
          <w:sz w:val="24"/>
          <w:szCs w:val="24"/>
        </w:rPr>
        <w:t>I</w:t>
      </w:r>
      <w:r w:rsidRPr="00533AD2">
        <w:rPr>
          <w:b/>
          <w:bCs/>
          <w:sz w:val="24"/>
          <w:szCs w:val="24"/>
        </w:rPr>
        <w:t>f seeking approval to not display the expiration date for OMB approval of the information collection, explain the reasons that display would be inappropriate</w:t>
      </w:r>
      <w:r w:rsidRPr="00533AD2">
        <w:rPr>
          <w:b/>
          <w:sz w:val="24"/>
          <w:szCs w:val="24"/>
        </w:rPr>
        <w:t>.</w:t>
      </w:r>
    </w:p>
    <w:p w:rsidR="005F1FFC" w:rsidRPr="00533AD2" w:rsidP="005F1FFC" w14:paraId="195A2521" w14:textId="77777777">
      <w:pPr>
        <w:rPr>
          <w:sz w:val="24"/>
        </w:rPr>
      </w:pPr>
    </w:p>
    <w:p w:rsidR="00791AC9" w:rsidRPr="00533AD2" w:rsidP="005F1FFC" w14:paraId="2449748D" w14:textId="36D86858">
      <w:pPr>
        <w:rPr>
          <w:sz w:val="24"/>
        </w:rPr>
      </w:pPr>
      <w:r w:rsidRPr="00533AD2">
        <w:rPr>
          <w:sz w:val="24"/>
        </w:rPr>
        <w:t xml:space="preserve">The information collection is not collected in a manner that allows the display of the current expiration date.  However, the expiration date can be found under the “Information Collections under Review” section of </w:t>
      </w:r>
      <w:hyperlink r:id="rId11" w:history="1">
        <w:r w:rsidRPr="00533AD2">
          <w:rPr>
            <w:rStyle w:val="Hyperlink"/>
            <w:sz w:val="24"/>
          </w:rPr>
          <w:t>www.reginfo.gov</w:t>
        </w:r>
      </w:hyperlink>
      <w:r w:rsidRPr="00533AD2">
        <w:rPr>
          <w:sz w:val="24"/>
        </w:rPr>
        <w:t xml:space="preserve"> (</w:t>
      </w:r>
      <w:hyperlink r:id="rId12" w:history="1">
        <w:r w:rsidRPr="00533AD2">
          <w:rPr>
            <w:rStyle w:val="Hyperlink"/>
            <w:sz w:val="24"/>
          </w:rPr>
          <w:t>https://www.reginfo.gov/public/do/PRAMain</w:t>
        </w:r>
      </w:hyperlink>
      <w:r w:rsidRPr="00533AD2">
        <w:rPr>
          <w:sz w:val="24"/>
        </w:rPr>
        <w:t>).</w:t>
      </w:r>
    </w:p>
    <w:p w:rsidR="002D4BF9" w:rsidRPr="00533AD2" w:rsidP="003E083F" w14:paraId="7B93C3C5" w14:textId="77777777">
      <w:pPr>
        <w:rPr>
          <w:sz w:val="24"/>
        </w:rPr>
      </w:pPr>
    </w:p>
    <w:p w:rsidR="00F660E8" w:rsidRPr="00533AD2" w:rsidP="00F660E8" w14:paraId="0503086D" w14:textId="77777777">
      <w:pPr>
        <w:rPr>
          <w:b/>
          <w:sz w:val="24"/>
        </w:rPr>
      </w:pPr>
      <w:r w:rsidRPr="00533AD2">
        <w:rPr>
          <w:b/>
          <w:sz w:val="24"/>
        </w:rPr>
        <w:t>18.  Explain each exception to the certification statement.</w:t>
      </w:r>
    </w:p>
    <w:p w:rsidR="005F1FFC" w:rsidRPr="00533AD2" w:rsidP="005F1FFC" w14:paraId="6066F545" w14:textId="77777777">
      <w:pPr>
        <w:pStyle w:val="BodyText"/>
      </w:pPr>
    </w:p>
    <w:p w:rsidR="00CA6DAB" w:rsidRPr="00A637BE" w:rsidP="00A0364C" w14:paraId="235F0EA3" w14:textId="18ABAF23">
      <w:pPr>
        <w:rPr>
          <w:sz w:val="24"/>
        </w:rPr>
      </w:pPr>
      <w:bookmarkStart w:id="0" w:name="_Hlk70680085"/>
      <w:r w:rsidRPr="00533AD2">
        <w:rPr>
          <w:sz w:val="24"/>
        </w:rPr>
        <w:t>CFPB</w:t>
      </w:r>
      <w:r w:rsidRPr="00533AD2" w:rsidR="00A55416">
        <w:rPr>
          <w:sz w:val="24"/>
        </w:rPr>
        <w:t xml:space="preserve"> certifies that this collection of information is consistent with the requirements of 5 CFR 1320.9 and the related provisions of 5 CFR 1320.8(b)(3).  </w:t>
      </w:r>
      <w:bookmarkEnd w:id="0"/>
      <w:r w:rsidRPr="00533AD2">
        <w:rPr>
          <w:sz w:val="24"/>
        </w:rPr>
        <w:t>CFPB</w:t>
      </w:r>
      <w:r w:rsidRPr="00533AD2" w:rsidR="00A55416">
        <w:rPr>
          <w:sz w:val="24"/>
        </w:rPr>
        <w:t xml:space="preserve"> is not seeking an exemption to these certification requirements.</w:t>
      </w:r>
    </w:p>
    <w:sectPr w:rsidSect="0079547E">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5CC" w14:paraId="7F31A5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5CC" w14:paraId="5C3E8C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788A" w:rsidP="0079547E" w14:paraId="1534AFB4" w14:textId="77777777">
      <w:r>
        <w:separator/>
      </w:r>
    </w:p>
  </w:footnote>
  <w:footnote w:type="continuationSeparator" w:id="1">
    <w:p w:rsidR="0006788A" w:rsidP="0079547E" w14:paraId="77B304B3" w14:textId="77777777">
      <w:r>
        <w:continuationSeparator/>
      </w:r>
    </w:p>
  </w:footnote>
  <w:footnote w:type="continuationNotice" w:id="2">
    <w:p w:rsidR="0006788A" w14:paraId="002B592C" w14:textId="77777777"/>
  </w:footnote>
  <w:footnote w:id="3">
    <w:p w:rsidR="00BC56A2" w:rsidRPr="005D714C" w14:paraId="1F586CAA" w14:textId="483ACCB4">
      <w:pPr>
        <w:pStyle w:val="FootnoteText"/>
      </w:pPr>
      <w:r w:rsidRPr="005D714C">
        <w:rPr>
          <w:rStyle w:val="FootnoteReference"/>
        </w:rPr>
        <w:footnoteRef/>
      </w:r>
      <w:r w:rsidRPr="005D714C">
        <w:t xml:space="preserve"> </w:t>
      </w:r>
      <w:r w:rsidRPr="005D714C" w:rsidR="008173FA">
        <w:t>88</w:t>
      </w:r>
      <w:r w:rsidRPr="005D714C">
        <w:t xml:space="preserve"> FR </w:t>
      </w:r>
      <w:r w:rsidRPr="005D714C" w:rsidR="008173FA">
        <w:t>32757</w:t>
      </w:r>
      <w:r w:rsidRPr="005D714C">
        <w:t xml:space="preserve"> (published on </w:t>
      </w:r>
      <w:r w:rsidRPr="005D714C" w:rsidR="008173FA">
        <w:t>5/22/2023</w:t>
      </w:r>
      <w:r w:rsidRPr="005D714C">
        <w:t>)</w:t>
      </w:r>
      <w:r w:rsidRPr="005D714C" w:rsidR="009D7886">
        <w:t>.</w:t>
      </w:r>
    </w:p>
  </w:footnote>
  <w:footnote w:id="4">
    <w:p w:rsidR="009D7886" w:rsidRPr="005D714C" w14:paraId="1530F2D0" w14:textId="6C6E2A45">
      <w:pPr>
        <w:pStyle w:val="FootnoteText"/>
      </w:pPr>
      <w:r w:rsidRPr="005D714C">
        <w:rPr>
          <w:rStyle w:val="FootnoteReference"/>
        </w:rPr>
        <w:footnoteRef/>
      </w:r>
      <w:r w:rsidRPr="005D714C">
        <w:t xml:space="preserve"> </w:t>
      </w:r>
      <w:r w:rsidRPr="005D714C" w:rsidR="00045D87">
        <w:t>88</w:t>
      </w:r>
      <w:r w:rsidRPr="005D714C">
        <w:t xml:space="preserve"> FR </w:t>
      </w:r>
      <w:r w:rsidRPr="005D714C" w:rsidR="00647FC3">
        <w:t>58252</w:t>
      </w:r>
      <w:r w:rsidRPr="005D714C" w:rsidR="001650D5">
        <w:t xml:space="preserve"> </w:t>
      </w:r>
      <w:r w:rsidRPr="005D714C">
        <w:t xml:space="preserve">(published on </w:t>
      </w:r>
      <w:r w:rsidRPr="005D714C" w:rsidR="00647FC3">
        <w:t>8/25/2023</w:t>
      </w:r>
      <w:r w:rsidRPr="005D714C">
        <w:t xml:space="preserve">; comment period ends on </w:t>
      </w:r>
      <w:r w:rsidRPr="005D714C" w:rsidR="00F301C3">
        <w:t>9/25/2023</w:t>
      </w:r>
      <w:r w:rsidRPr="005D714C">
        <w:t>).</w:t>
      </w:r>
    </w:p>
  </w:footnote>
  <w:footnote w:id="5">
    <w:p w:rsidR="00A12688" w:rsidRPr="005D714C" w:rsidP="00A12688" w14:paraId="080B0A53" w14:textId="77777777">
      <w:pPr>
        <w:rPr>
          <w:rFonts w:eastAsia="Calibri"/>
          <w:color w:val="000000"/>
          <w:sz w:val="18"/>
          <w:szCs w:val="18"/>
        </w:rPr>
      </w:pPr>
      <w:r w:rsidRPr="005D714C">
        <w:rPr>
          <w:rStyle w:val="FootnoteReference"/>
        </w:rPr>
        <w:footnoteRef/>
      </w:r>
      <w:r w:rsidRPr="005D714C">
        <w:t xml:space="preserve"> </w:t>
      </w:r>
      <w:r w:rsidRPr="005D714C">
        <w:rPr>
          <w:color w:val="000000"/>
        </w:rPr>
        <w:t>Participants who meet the criteria for survey participation in the Screening Survey are presented with the Pilot or Main survey.</w:t>
      </w:r>
    </w:p>
    <w:p w:rsidR="00A12688" w:rsidRPr="005D714C" w:rsidP="00A12688" w14:paraId="4894A905" w14:textId="2C4422DF">
      <w:pPr>
        <w:pStyle w:val="ICFText"/>
        <w:spacing w:before="0" w:after="0"/>
        <w:rPr>
          <w:rFonts w:ascii="Times New Roman" w:hAnsi="Times New Roman" w:eastAsiaTheme="minorHAnsi" w:cs="Times New Roman"/>
          <w:sz w:val="20"/>
        </w:rPr>
      </w:pPr>
      <w:r w:rsidRPr="005D714C">
        <w:rPr>
          <w:rFonts w:ascii="Times New Roman" w:hAnsi="Times New Roman" w:cs="Times New Roman"/>
          <w:sz w:val="20"/>
        </w:rPr>
        <w:t>For the screening portion of the survey, which asks if the respondent has one or more checking, savings, or money market accounts at a bank or credit union in the U.S., we estimate that 4.5% of the population is unbanked based on statistics from the 2019 FDIC Unbanked and Underbanked Households survey and therefore will screen out. (https://www.fdic.gov/analysis/household-survey/index.html)</w:t>
      </w:r>
      <w:r w:rsidRPr="005D714C">
        <w:rPr>
          <w:rFonts w:ascii="Times New Roman" w:hAnsi="Times New Roman" w:cs="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5CC" w14:paraId="278FEC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31A9F6AC">
    <w:pPr>
      <w:pStyle w:val="Header"/>
    </w:pPr>
    <w:r>
      <w:t>CFPB National Age-Friendly Banking Survey</w:t>
    </w:r>
  </w:p>
  <w:p w:rsidR="00B35205" w14:paraId="55C694D9" w14:textId="09EB416F">
    <w:pPr>
      <w:pStyle w:val="Header"/>
    </w:pPr>
    <w:r>
      <w:t>OMB Control Number</w:t>
    </w:r>
    <w:r w:rsidR="004D6F7D">
      <w:t>:</w:t>
    </w:r>
    <w:r>
      <w:t xml:space="preserve"> </w:t>
    </w:r>
    <w:r w:rsidR="00E81562">
      <w:t>3170-</w:t>
    </w:r>
    <w:r w:rsidR="0049246F">
      <w:t>00</w:t>
    </w:r>
    <w:r w:rsidR="001650D5">
      <w:t>XX</w:t>
    </w:r>
  </w:p>
  <w:p w:rsidR="00B35205" w14:paraId="3E4932DB" w14:textId="58E5D1B5">
    <w:pPr>
      <w:pStyle w:val="Header"/>
    </w:pPr>
    <w:r>
      <w:t xml:space="preserve">OMB Expiration Date: </w:t>
    </w:r>
    <w:r w:rsidR="001650D5">
      <w:t>XX/XX/XXXX</w:t>
    </w:r>
  </w:p>
  <w:p w:rsidR="00B35205" w:rsidP="00F52D42" w14:paraId="1930D639" w14:textId="2A5E0A42">
    <w:pPr>
      <w:pStyle w:val="Header"/>
      <w:tabs>
        <w:tab w:val="clear" w:pos="4680"/>
        <w:tab w:val="left" w:pos="6526"/>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5CC" w14:paraId="5CAC40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ACD2646"/>
    <w:multiLevelType w:val="hybridMultilevel"/>
    <w:tmpl w:val="0076F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0460E4"/>
    <w:multiLevelType w:val="hybridMultilevel"/>
    <w:tmpl w:val="49A47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9">
    <w:nsid w:val="30C82506"/>
    <w:multiLevelType w:val="hybridMultilevel"/>
    <w:tmpl w:val="094603B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8E73DC9"/>
    <w:multiLevelType w:val="hybridMultilevel"/>
    <w:tmpl w:val="132A7B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0A5AA4"/>
    <w:multiLevelType w:val="hybridMultilevel"/>
    <w:tmpl w:val="77C64468"/>
    <w:lvl w:ilvl="0">
      <w:start w:val="5"/>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3">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4">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6">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8">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9">
    <w:nsid w:val="5C625899"/>
    <w:multiLevelType w:val="hybridMultilevel"/>
    <w:tmpl w:val="C640231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51772BC"/>
    <w:multiLevelType w:val="hybridMultilevel"/>
    <w:tmpl w:val="ADF2C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FE3102"/>
    <w:multiLevelType w:val="hybridMultilevel"/>
    <w:tmpl w:val="BE681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5">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9705900">
    <w:abstractNumId w:val="15"/>
  </w:num>
  <w:num w:numId="2" w16cid:durableId="658922164">
    <w:abstractNumId w:val="13"/>
  </w:num>
  <w:num w:numId="3" w16cid:durableId="355469220">
    <w:abstractNumId w:val="24"/>
  </w:num>
  <w:num w:numId="4" w16cid:durableId="1974753710">
    <w:abstractNumId w:val="12"/>
  </w:num>
  <w:num w:numId="5" w16cid:durableId="1538658513">
    <w:abstractNumId w:val="18"/>
  </w:num>
  <w:num w:numId="6" w16cid:durableId="1105223953">
    <w:abstractNumId w:val="17"/>
  </w:num>
  <w:num w:numId="7" w16cid:durableId="113718900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869168">
    <w:abstractNumId w:val="21"/>
  </w:num>
  <w:num w:numId="9" w16cid:durableId="968167001">
    <w:abstractNumId w:val="20"/>
  </w:num>
  <w:num w:numId="10" w16cid:durableId="405735531">
    <w:abstractNumId w:val="4"/>
  </w:num>
  <w:num w:numId="11" w16cid:durableId="732241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73798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0895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379944">
    <w:abstractNumId w:val="5"/>
  </w:num>
  <w:num w:numId="15" w16cid:durableId="954795867">
    <w:abstractNumId w:val="1"/>
  </w:num>
  <w:num w:numId="16" w16cid:durableId="1847818548">
    <w:abstractNumId w:val="25"/>
  </w:num>
  <w:num w:numId="17" w16cid:durableId="136842056">
    <w:abstractNumId w:val="2"/>
  </w:num>
  <w:num w:numId="18" w16cid:durableId="1016613660">
    <w:abstractNumId w:val="8"/>
  </w:num>
  <w:num w:numId="19" w16cid:durableId="1146626309">
    <w:abstractNumId w:val="3"/>
  </w:num>
  <w:num w:numId="20" w16cid:durableId="1869485820">
    <w:abstractNumId w:val="14"/>
  </w:num>
  <w:num w:numId="21" w16cid:durableId="1839226514">
    <w:abstractNumId w:val="0"/>
  </w:num>
  <w:num w:numId="22" w16cid:durableId="712851432">
    <w:abstractNumId w:val="19"/>
  </w:num>
  <w:num w:numId="23" w16cid:durableId="1935938603">
    <w:abstractNumId w:val="22"/>
  </w:num>
  <w:num w:numId="24" w16cid:durableId="1943143121">
    <w:abstractNumId w:val="10"/>
  </w:num>
  <w:num w:numId="25" w16cid:durableId="1504315187">
    <w:abstractNumId w:val="23"/>
  </w:num>
  <w:num w:numId="26" w16cid:durableId="1820728453">
    <w:abstractNumId w:val="11"/>
  </w:num>
  <w:num w:numId="27" w16cid:durableId="1891500589">
    <w:abstractNumId w:val="6"/>
  </w:num>
  <w:num w:numId="28" w16cid:durableId="1143543527">
    <w:abstractNumId w:val="7"/>
  </w:num>
  <w:num w:numId="29" w16cid:durableId="807092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00D6D"/>
    <w:rsid w:val="0000203E"/>
    <w:rsid w:val="00004FE8"/>
    <w:rsid w:val="000062D5"/>
    <w:rsid w:val="0001380B"/>
    <w:rsid w:val="00014936"/>
    <w:rsid w:val="0001645A"/>
    <w:rsid w:val="00017AB4"/>
    <w:rsid w:val="00021B6A"/>
    <w:rsid w:val="00024991"/>
    <w:rsid w:val="000267DB"/>
    <w:rsid w:val="00032848"/>
    <w:rsid w:val="0003287B"/>
    <w:rsid w:val="00032C14"/>
    <w:rsid w:val="00034C49"/>
    <w:rsid w:val="00035E5E"/>
    <w:rsid w:val="0004229D"/>
    <w:rsid w:val="000438F1"/>
    <w:rsid w:val="000446D9"/>
    <w:rsid w:val="00045D87"/>
    <w:rsid w:val="0005070D"/>
    <w:rsid w:val="000510DC"/>
    <w:rsid w:val="000533A4"/>
    <w:rsid w:val="00055B38"/>
    <w:rsid w:val="0005687E"/>
    <w:rsid w:val="00057B87"/>
    <w:rsid w:val="0006788A"/>
    <w:rsid w:val="0007006A"/>
    <w:rsid w:val="00071845"/>
    <w:rsid w:val="00071C66"/>
    <w:rsid w:val="000737FD"/>
    <w:rsid w:val="0007577A"/>
    <w:rsid w:val="000763B3"/>
    <w:rsid w:val="00080781"/>
    <w:rsid w:val="00081109"/>
    <w:rsid w:val="00091AE1"/>
    <w:rsid w:val="00092D91"/>
    <w:rsid w:val="0009401F"/>
    <w:rsid w:val="000A13FA"/>
    <w:rsid w:val="000A24CE"/>
    <w:rsid w:val="000A44E3"/>
    <w:rsid w:val="000B299E"/>
    <w:rsid w:val="000B44BF"/>
    <w:rsid w:val="000B4819"/>
    <w:rsid w:val="000B6B1F"/>
    <w:rsid w:val="000C141B"/>
    <w:rsid w:val="000C1729"/>
    <w:rsid w:val="000C39BD"/>
    <w:rsid w:val="000D0B4D"/>
    <w:rsid w:val="000D3E1A"/>
    <w:rsid w:val="000D5DA8"/>
    <w:rsid w:val="000D74D0"/>
    <w:rsid w:val="000E15F3"/>
    <w:rsid w:val="000E5360"/>
    <w:rsid w:val="000F0DD6"/>
    <w:rsid w:val="000F5117"/>
    <w:rsid w:val="00100120"/>
    <w:rsid w:val="00105CAD"/>
    <w:rsid w:val="00110F8E"/>
    <w:rsid w:val="00116502"/>
    <w:rsid w:val="00117808"/>
    <w:rsid w:val="00127115"/>
    <w:rsid w:val="001315CF"/>
    <w:rsid w:val="00133E0E"/>
    <w:rsid w:val="00134398"/>
    <w:rsid w:val="001345AE"/>
    <w:rsid w:val="001346E6"/>
    <w:rsid w:val="00135A84"/>
    <w:rsid w:val="00141E34"/>
    <w:rsid w:val="00141E98"/>
    <w:rsid w:val="00143C38"/>
    <w:rsid w:val="00143D87"/>
    <w:rsid w:val="0016191D"/>
    <w:rsid w:val="00162371"/>
    <w:rsid w:val="001639C2"/>
    <w:rsid w:val="00165066"/>
    <w:rsid w:val="001650D5"/>
    <w:rsid w:val="00166D3B"/>
    <w:rsid w:val="00166FBE"/>
    <w:rsid w:val="0017363E"/>
    <w:rsid w:val="00177293"/>
    <w:rsid w:val="00187617"/>
    <w:rsid w:val="001878F8"/>
    <w:rsid w:val="001912C5"/>
    <w:rsid w:val="00194264"/>
    <w:rsid w:val="00197E94"/>
    <w:rsid w:val="001A487E"/>
    <w:rsid w:val="001A65CE"/>
    <w:rsid w:val="001B12AF"/>
    <w:rsid w:val="001B3C63"/>
    <w:rsid w:val="001B46AF"/>
    <w:rsid w:val="001B4E93"/>
    <w:rsid w:val="001B50EB"/>
    <w:rsid w:val="001C1DAC"/>
    <w:rsid w:val="001C4457"/>
    <w:rsid w:val="001C59A8"/>
    <w:rsid w:val="001C5E34"/>
    <w:rsid w:val="001D0B1D"/>
    <w:rsid w:val="001D5558"/>
    <w:rsid w:val="001D7D54"/>
    <w:rsid w:val="001E3CE7"/>
    <w:rsid w:val="001E418A"/>
    <w:rsid w:val="001F0989"/>
    <w:rsid w:val="001F4C19"/>
    <w:rsid w:val="00200AF7"/>
    <w:rsid w:val="002029FA"/>
    <w:rsid w:val="00203425"/>
    <w:rsid w:val="002063CD"/>
    <w:rsid w:val="00210B73"/>
    <w:rsid w:val="00211F72"/>
    <w:rsid w:val="002153B7"/>
    <w:rsid w:val="002164B6"/>
    <w:rsid w:val="002215EA"/>
    <w:rsid w:val="00226237"/>
    <w:rsid w:val="00226DD8"/>
    <w:rsid w:val="002313FA"/>
    <w:rsid w:val="002341FB"/>
    <w:rsid w:val="00235BD3"/>
    <w:rsid w:val="002379D8"/>
    <w:rsid w:val="00240B3F"/>
    <w:rsid w:val="0024197D"/>
    <w:rsid w:val="0025091D"/>
    <w:rsid w:val="002511F8"/>
    <w:rsid w:val="00253FF0"/>
    <w:rsid w:val="00255107"/>
    <w:rsid w:val="002553CB"/>
    <w:rsid w:val="00256325"/>
    <w:rsid w:val="002678C2"/>
    <w:rsid w:val="00273891"/>
    <w:rsid w:val="00274CC0"/>
    <w:rsid w:val="0027682D"/>
    <w:rsid w:val="00294DF4"/>
    <w:rsid w:val="0029506E"/>
    <w:rsid w:val="002B0AB2"/>
    <w:rsid w:val="002B341A"/>
    <w:rsid w:val="002B667D"/>
    <w:rsid w:val="002B7700"/>
    <w:rsid w:val="002C0A4D"/>
    <w:rsid w:val="002C126F"/>
    <w:rsid w:val="002C5F25"/>
    <w:rsid w:val="002C6BC6"/>
    <w:rsid w:val="002D1431"/>
    <w:rsid w:val="002D19AD"/>
    <w:rsid w:val="002D2C81"/>
    <w:rsid w:val="002D3017"/>
    <w:rsid w:val="002D4BF9"/>
    <w:rsid w:val="002D5173"/>
    <w:rsid w:val="002D5AA6"/>
    <w:rsid w:val="002D789D"/>
    <w:rsid w:val="002E0E6B"/>
    <w:rsid w:val="002E65EF"/>
    <w:rsid w:val="002E7B73"/>
    <w:rsid w:val="002F05CC"/>
    <w:rsid w:val="002F14EF"/>
    <w:rsid w:val="002F17DC"/>
    <w:rsid w:val="002F4F70"/>
    <w:rsid w:val="00302B1C"/>
    <w:rsid w:val="003105AC"/>
    <w:rsid w:val="00312C7C"/>
    <w:rsid w:val="003161D3"/>
    <w:rsid w:val="00316F7F"/>
    <w:rsid w:val="00316FE0"/>
    <w:rsid w:val="00317441"/>
    <w:rsid w:val="0031B6D7"/>
    <w:rsid w:val="003225D2"/>
    <w:rsid w:val="00323E3C"/>
    <w:rsid w:val="003252C5"/>
    <w:rsid w:val="00327A0B"/>
    <w:rsid w:val="0033632B"/>
    <w:rsid w:val="003372E9"/>
    <w:rsid w:val="00340510"/>
    <w:rsid w:val="00341ABE"/>
    <w:rsid w:val="003427C8"/>
    <w:rsid w:val="00345720"/>
    <w:rsid w:val="00347008"/>
    <w:rsid w:val="00350484"/>
    <w:rsid w:val="00353682"/>
    <w:rsid w:val="00353E9B"/>
    <w:rsid w:val="003560DF"/>
    <w:rsid w:val="003567A7"/>
    <w:rsid w:val="0036198E"/>
    <w:rsid w:val="00366EAF"/>
    <w:rsid w:val="00381635"/>
    <w:rsid w:val="0038607F"/>
    <w:rsid w:val="0038749E"/>
    <w:rsid w:val="00390C1C"/>
    <w:rsid w:val="00390E72"/>
    <w:rsid w:val="00393736"/>
    <w:rsid w:val="003A18F2"/>
    <w:rsid w:val="003A1CBC"/>
    <w:rsid w:val="003A55B3"/>
    <w:rsid w:val="003A66A4"/>
    <w:rsid w:val="003B200E"/>
    <w:rsid w:val="003B4917"/>
    <w:rsid w:val="003C30A7"/>
    <w:rsid w:val="003C4F2E"/>
    <w:rsid w:val="003D1A46"/>
    <w:rsid w:val="003D3ED3"/>
    <w:rsid w:val="003D6C6B"/>
    <w:rsid w:val="003D6EA7"/>
    <w:rsid w:val="003E083F"/>
    <w:rsid w:val="003E34FA"/>
    <w:rsid w:val="003F223D"/>
    <w:rsid w:val="004009BC"/>
    <w:rsid w:val="00406AFF"/>
    <w:rsid w:val="004246FB"/>
    <w:rsid w:val="00426D4F"/>
    <w:rsid w:val="00427149"/>
    <w:rsid w:val="00430CBC"/>
    <w:rsid w:val="00431624"/>
    <w:rsid w:val="004318BF"/>
    <w:rsid w:val="00432D21"/>
    <w:rsid w:val="00433D35"/>
    <w:rsid w:val="004342CA"/>
    <w:rsid w:val="004367E2"/>
    <w:rsid w:val="00441BED"/>
    <w:rsid w:val="00445B1D"/>
    <w:rsid w:val="004460F3"/>
    <w:rsid w:val="004506AE"/>
    <w:rsid w:val="00461841"/>
    <w:rsid w:val="00466463"/>
    <w:rsid w:val="00473ADB"/>
    <w:rsid w:val="00473D82"/>
    <w:rsid w:val="0047444F"/>
    <w:rsid w:val="00475305"/>
    <w:rsid w:val="00477376"/>
    <w:rsid w:val="00481A62"/>
    <w:rsid w:val="00484111"/>
    <w:rsid w:val="00486C34"/>
    <w:rsid w:val="00487A05"/>
    <w:rsid w:val="0049246F"/>
    <w:rsid w:val="0049477B"/>
    <w:rsid w:val="00494898"/>
    <w:rsid w:val="0049767C"/>
    <w:rsid w:val="0049772F"/>
    <w:rsid w:val="004A0C5F"/>
    <w:rsid w:val="004A5D8F"/>
    <w:rsid w:val="004A7AE4"/>
    <w:rsid w:val="004A7DC4"/>
    <w:rsid w:val="004B18E7"/>
    <w:rsid w:val="004B2272"/>
    <w:rsid w:val="004B45A2"/>
    <w:rsid w:val="004B7532"/>
    <w:rsid w:val="004C0E57"/>
    <w:rsid w:val="004C3D5C"/>
    <w:rsid w:val="004C77CB"/>
    <w:rsid w:val="004D665B"/>
    <w:rsid w:val="004D6F7D"/>
    <w:rsid w:val="004E1F5B"/>
    <w:rsid w:val="004E62B0"/>
    <w:rsid w:val="004E69E6"/>
    <w:rsid w:val="004F5164"/>
    <w:rsid w:val="004F783A"/>
    <w:rsid w:val="00506102"/>
    <w:rsid w:val="00511C92"/>
    <w:rsid w:val="00512C47"/>
    <w:rsid w:val="00513334"/>
    <w:rsid w:val="00513ACA"/>
    <w:rsid w:val="005148FE"/>
    <w:rsid w:val="0051614E"/>
    <w:rsid w:val="005168DD"/>
    <w:rsid w:val="00516CC6"/>
    <w:rsid w:val="005202D1"/>
    <w:rsid w:val="00520C35"/>
    <w:rsid w:val="00520CB5"/>
    <w:rsid w:val="00521D4A"/>
    <w:rsid w:val="005270DF"/>
    <w:rsid w:val="00532872"/>
    <w:rsid w:val="00533076"/>
    <w:rsid w:val="005339D5"/>
    <w:rsid w:val="00533AD2"/>
    <w:rsid w:val="00536912"/>
    <w:rsid w:val="0054251A"/>
    <w:rsid w:val="005465E4"/>
    <w:rsid w:val="00553771"/>
    <w:rsid w:val="00557167"/>
    <w:rsid w:val="00560964"/>
    <w:rsid w:val="00566774"/>
    <w:rsid w:val="005721A5"/>
    <w:rsid w:val="0057278C"/>
    <w:rsid w:val="00573509"/>
    <w:rsid w:val="00575037"/>
    <w:rsid w:val="0057551F"/>
    <w:rsid w:val="00576C6A"/>
    <w:rsid w:val="00580712"/>
    <w:rsid w:val="005872F2"/>
    <w:rsid w:val="00590E74"/>
    <w:rsid w:val="00594C60"/>
    <w:rsid w:val="00594F6D"/>
    <w:rsid w:val="00595988"/>
    <w:rsid w:val="00596014"/>
    <w:rsid w:val="00597609"/>
    <w:rsid w:val="005A1AE0"/>
    <w:rsid w:val="005A7B86"/>
    <w:rsid w:val="005B3933"/>
    <w:rsid w:val="005B532A"/>
    <w:rsid w:val="005B6341"/>
    <w:rsid w:val="005D2099"/>
    <w:rsid w:val="005D2B19"/>
    <w:rsid w:val="005D6DBE"/>
    <w:rsid w:val="005D714C"/>
    <w:rsid w:val="005E0D2F"/>
    <w:rsid w:val="005E5175"/>
    <w:rsid w:val="005F1CC3"/>
    <w:rsid w:val="005F1FFC"/>
    <w:rsid w:val="005F2325"/>
    <w:rsid w:val="005F249F"/>
    <w:rsid w:val="005F5E03"/>
    <w:rsid w:val="00600A9A"/>
    <w:rsid w:val="006108EE"/>
    <w:rsid w:val="006213DD"/>
    <w:rsid w:val="0062398E"/>
    <w:rsid w:val="00625395"/>
    <w:rsid w:val="00626F36"/>
    <w:rsid w:val="0063359E"/>
    <w:rsid w:val="0063362C"/>
    <w:rsid w:val="00634112"/>
    <w:rsid w:val="00634142"/>
    <w:rsid w:val="00635204"/>
    <w:rsid w:val="00637913"/>
    <w:rsid w:val="00641707"/>
    <w:rsid w:val="00643848"/>
    <w:rsid w:val="00647FC3"/>
    <w:rsid w:val="00650767"/>
    <w:rsid w:val="0065680E"/>
    <w:rsid w:val="00664D05"/>
    <w:rsid w:val="00665C34"/>
    <w:rsid w:val="0067228A"/>
    <w:rsid w:val="00672754"/>
    <w:rsid w:val="0067305B"/>
    <w:rsid w:val="00681507"/>
    <w:rsid w:val="0068349A"/>
    <w:rsid w:val="00687793"/>
    <w:rsid w:val="00690B79"/>
    <w:rsid w:val="006A46DE"/>
    <w:rsid w:val="006A5577"/>
    <w:rsid w:val="006B7AD2"/>
    <w:rsid w:val="006C0773"/>
    <w:rsid w:val="006C2105"/>
    <w:rsid w:val="006C511F"/>
    <w:rsid w:val="006C7C21"/>
    <w:rsid w:val="006D1327"/>
    <w:rsid w:val="006D1E8C"/>
    <w:rsid w:val="006D37FD"/>
    <w:rsid w:val="006D4E10"/>
    <w:rsid w:val="006E2197"/>
    <w:rsid w:val="006E6951"/>
    <w:rsid w:val="006F0810"/>
    <w:rsid w:val="006F0A01"/>
    <w:rsid w:val="006F13DD"/>
    <w:rsid w:val="006F2252"/>
    <w:rsid w:val="007011FA"/>
    <w:rsid w:val="007013D5"/>
    <w:rsid w:val="007059EE"/>
    <w:rsid w:val="00706218"/>
    <w:rsid w:val="00710CC5"/>
    <w:rsid w:val="00715C7F"/>
    <w:rsid w:val="00717BDF"/>
    <w:rsid w:val="007319B7"/>
    <w:rsid w:val="00732F4F"/>
    <w:rsid w:val="00733C46"/>
    <w:rsid w:val="007355AA"/>
    <w:rsid w:val="00744ECB"/>
    <w:rsid w:val="007452F7"/>
    <w:rsid w:val="0074629B"/>
    <w:rsid w:val="00746DDA"/>
    <w:rsid w:val="00747188"/>
    <w:rsid w:val="00750852"/>
    <w:rsid w:val="00751358"/>
    <w:rsid w:val="00763D5B"/>
    <w:rsid w:val="0076471D"/>
    <w:rsid w:val="00765C7B"/>
    <w:rsid w:val="00767FA6"/>
    <w:rsid w:val="0077291E"/>
    <w:rsid w:val="007815AF"/>
    <w:rsid w:val="00790ED5"/>
    <w:rsid w:val="00791AC9"/>
    <w:rsid w:val="00792D79"/>
    <w:rsid w:val="0079339F"/>
    <w:rsid w:val="00793479"/>
    <w:rsid w:val="0079441C"/>
    <w:rsid w:val="007948ED"/>
    <w:rsid w:val="0079547E"/>
    <w:rsid w:val="007954E6"/>
    <w:rsid w:val="007A30EB"/>
    <w:rsid w:val="007A6EE8"/>
    <w:rsid w:val="007B0B3D"/>
    <w:rsid w:val="007B50FE"/>
    <w:rsid w:val="007C0923"/>
    <w:rsid w:val="007C125C"/>
    <w:rsid w:val="007C3C35"/>
    <w:rsid w:val="007C51BF"/>
    <w:rsid w:val="007C5C67"/>
    <w:rsid w:val="007C7E60"/>
    <w:rsid w:val="007D3634"/>
    <w:rsid w:val="007D3D93"/>
    <w:rsid w:val="007E2175"/>
    <w:rsid w:val="007E3114"/>
    <w:rsid w:val="007E510D"/>
    <w:rsid w:val="007E5270"/>
    <w:rsid w:val="007E6237"/>
    <w:rsid w:val="007E7E37"/>
    <w:rsid w:val="007F3057"/>
    <w:rsid w:val="007F35B6"/>
    <w:rsid w:val="007F4556"/>
    <w:rsid w:val="007F49B4"/>
    <w:rsid w:val="007F58D3"/>
    <w:rsid w:val="0080216C"/>
    <w:rsid w:val="00802C6A"/>
    <w:rsid w:val="00810FF4"/>
    <w:rsid w:val="0081330B"/>
    <w:rsid w:val="00814193"/>
    <w:rsid w:val="00816792"/>
    <w:rsid w:val="00816AA8"/>
    <w:rsid w:val="008173FA"/>
    <w:rsid w:val="00823FDC"/>
    <w:rsid w:val="008254EA"/>
    <w:rsid w:val="00832131"/>
    <w:rsid w:val="0083561E"/>
    <w:rsid w:val="008365D9"/>
    <w:rsid w:val="00855662"/>
    <w:rsid w:val="00855E15"/>
    <w:rsid w:val="008573A2"/>
    <w:rsid w:val="008576C7"/>
    <w:rsid w:val="00862D82"/>
    <w:rsid w:val="0086509B"/>
    <w:rsid w:val="00866427"/>
    <w:rsid w:val="008671F9"/>
    <w:rsid w:val="00875B65"/>
    <w:rsid w:val="0087668E"/>
    <w:rsid w:val="00880580"/>
    <w:rsid w:val="0088222A"/>
    <w:rsid w:val="00882935"/>
    <w:rsid w:val="00887578"/>
    <w:rsid w:val="008950DB"/>
    <w:rsid w:val="008964E9"/>
    <w:rsid w:val="008970DC"/>
    <w:rsid w:val="008A6525"/>
    <w:rsid w:val="008A71BE"/>
    <w:rsid w:val="008B001F"/>
    <w:rsid w:val="008B2CB9"/>
    <w:rsid w:val="008B40CD"/>
    <w:rsid w:val="008B54DF"/>
    <w:rsid w:val="008C1C3D"/>
    <w:rsid w:val="008C44A7"/>
    <w:rsid w:val="008C7818"/>
    <w:rsid w:val="008C794B"/>
    <w:rsid w:val="008D1FB5"/>
    <w:rsid w:val="008D1FF9"/>
    <w:rsid w:val="008D3161"/>
    <w:rsid w:val="008D38AE"/>
    <w:rsid w:val="008D3940"/>
    <w:rsid w:val="008E164F"/>
    <w:rsid w:val="008E25FC"/>
    <w:rsid w:val="008E3E92"/>
    <w:rsid w:val="008E5D30"/>
    <w:rsid w:val="008E777F"/>
    <w:rsid w:val="0090025B"/>
    <w:rsid w:val="00900AF7"/>
    <w:rsid w:val="00904477"/>
    <w:rsid w:val="00905C3F"/>
    <w:rsid w:val="0092092B"/>
    <w:rsid w:val="00923029"/>
    <w:rsid w:val="00931BA6"/>
    <w:rsid w:val="00932202"/>
    <w:rsid w:val="009336CF"/>
    <w:rsid w:val="00936D68"/>
    <w:rsid w:val="00952CB4"/>
    <w:rsid w:val="00954684"/>
    <w:rsid w:val="00955CDF"/>
    <w:rsid w:val="0096415E"/>
    <w:rsid w:val="009664D0"/>
    <w:rsid w:val="00967432"/>
    <w:rsid w:val="0097154F"/>
    <w:rsid w:val="00973293"/>
    <w:rsid w:val="00974AC1"/>
    <w:rsid w:val="00977470"/>
    <w:rsid w:val="00990CFC"/>
    <w:rsid w:val="009936CA"/>
    <w:rsid w:val="00994943"/>
    <w:rsid w:val="0099673F"/>
    <w:rsid w:val="00996A0D"/>
    <w:rsid w:val="00997562"/>
    <w:rsid w:val="00997617"/>
    <w:rsid w:val="009A13BD"/>
    <w:rsid w:val="009A5160"/>
    <w:rsid w:val="009A641F"/>
    <w:rsid w:val="009A74B5"/>
    <w:rsid w:val="009B30FA"/>
    <w:rsid w:val="009B3CA2"/>
    <w:rsid w:val="009B5E30"/>
    <w:rsid w:val="009C10E1"/>
    <w:rsid w:val="009C5ABF"/>
    <w:rsid w:val="009C6994"/>
    <w:rsid w:val="009C7539"/>
    <w:rsid w:val="009C7FE5"/>
    <w:rsid w:val="009D195A"/>
    <w:rsid w:val="009D33D2"/>
    <w:rsid w:val="009D412E"/>
    <w:rsid w:val="009D7886"/>
    <w:rsid w:val="009D7AC9"/>
    <w:rsid w:val="009E07CF"/>
    <w:rsid w:val="009E1042"/>
    <w:rsid w:val="009E47CC"/>
    <w:rsid w:val="009E76E0"/>
    <w:rsid w:val="009F0BC4"/>
    <w:rsid w:val="009F3A08"/>
    <w:rsid w:val="009F3D40"/>
    <w:rsid w:val="009F4469"/>
    <w:rsid w:val="009F49A3"/>
    <w:rsid w:val="009F5FE3"/>
    <w:rsid w:val="009F62B6"/>
    <w:rsid w:val="009F6E69"/>
    <w:rsid w:val="009F753A"/>
    <w:rsid w:val="009F7E64"/>
    <w:rsid w:val="00A01CB9"/>
    <w:rsid w:val="00A0364C"/>
    <w:rsid w:val="00A0474C"/>
    <w:rsid w:val="00A05DAC"/>
    <w:rsid w:val="00A06C9A"/>
    <w:rsid w:val="00A12688"/>
    <w:rsid w:val="00A13C84"/>
    <w:rsid w:val="00A2354C"/>
    <w:rsid w:val="00A26893"/>
    <w:rsid w:val="00A2728D"/>
    <w:rsid w:val="00A2753B"/>
    <w:rsid w:val="00A30AA0"/>
    <w:rsid w:val="00A358CE"/>
    <w:rsid w:val="00A36144"/>
    <w:rsid w:val="00A372DB"/>
    <w:rsid w:val="00A41A8B"/>
    <w:rsid w:val="00A4452C"/>
    <w:rsid w:val="00A472D9"/>
    <w:rsid w:val="00A51F06"/>
    <w:rsid w:val="00A55416"/>
    <w:rsid w:val="00A55878"/>
    <w:rsid w:val="00A57FE4"/>
    <w:rsid w:val="00A603C6"/>
    <w:rsid w:val="00A622E9"/>
    <w:rsid w:val="00A637BE"/>
    <w:rsid w:val="00A67A6C"/>
    <w:rsid w:val="00A71151"/>
    <w:rsid w:val="00A72001"/>
    <w:rsid w:val="00A735F1"/>
    <w:rsid w:val="00A7483E"/>
    <w:rsid w:val="00A818AE"/>
    <w:rsid w:val="00A83ED2"/>
    <w:rsid w:val="00A84128"/>
    <w:rsid w:val="00A853CC"/>
    <w:rsid w:val="00A904DA"/>
    <w:rsid w:val="00A90DA3"/>
    <w:rsid w:val="00A92A19"/>
    <w:rsid w:val="00A93967"/>
    <w:rsid w:val="00A95DA8"/>
    <w:rsid w:val="00AA03C1"/>
    <w:rsid w:val="00AA633C"/>
    <w:rsid w:val="00AA66A0"/>
    <w:rsid w:val="00AA6EC1"/>
    <w:rsid w:val="00AB13A9"/>
    <w:rsid w:val="00AB1D34"/>
    <w:rsid w:val="00AC2DFF"/>
    <w:rsid w:val="00AD0BCB"/>
    <w:rsid w:val="00AD2890"/>
    <w:rsid w:val="00AD2CB9"/>
    <w:rsid w:val="00AD77E1"/>
    <w:rsid w:val="00AD7C75"/>
    <w:rsid w:val="00AE7822"/>
    <w:rsid w:val="00AF1678"/>
    <w:rsid w:val="00AF29B9"/>
    <w:rsid w:val="00AF4BC6"/>
    <w:rsid w:val="00AF51D0"/>
    <w:rsid w:val="00B0041E"/>
    <w:rsid w:val="00B02F1E"/>
    <w:rsid w:val="00B03988"/>
    <w:rsid w:val="00B07D28"/>
    <w:rsid w:val="00B10271"/>
    <w:rsid w:val="00B117ED"/>
    <w:rsid w:val="00B16815"/>
    <w:rsid w:val="00B258FB"/>
    <w:rsid w:val="00B30BA4"/>
    <w:rsid w:val="00B34745"/>
    <w:rsid w:val="00B35205"/>
    <w:rsid w:val="00B43E7B"/>
    <w:rsid w:val="00B46804"/>
    <w:rsid w:val="00B46BCC"/>
    <w:rsid w:val="00B46C23"/>
    <w:rsid w:val="00B47B18"/>
    <w:rsid w:val="00B57291"/>
    <w:rsid w:val="00B62F4C"/>
    <w:rsid w:val="00B6374B"/>
    <w:rsid w:val="00B64146"/>
    <w:rsid w:val="00B6448F"/>
    <w:rsid w:val="00B7194A"/>
    <w:rsid w:val="00B76BED"/>
    <w:rsid w:val="00B804F3"/>
    <w:rsid w:val="00B85F31"/>
    <w:rsid w:val="00B860C7"/>
    <w:rsid w:val="00B86D34"/>
    <w:rsid w:val="00B92BDE"/>
    <w:rsid w:val="00B9310D"/>
    <w:rsid w:val="00B96DD6"/>
    <w:rsid w:val="00B974E3"/>
    <w:rsid w:val="00BA1433"/>
    <w:rsid w:val="00BA16FC"/>
    <w:rsid w:val="00BA4383"/>
    <w:rsid w:val="00BA78C8"/>
    <w:rsid w:val="00BC10FD"/>
    <w:rsid w:val="00BC16BB"/>
    <w:rsid w:val="00BC1E82"/>
    <w:rsid w:val="00BC56A2"/>
    <w:rsid w:val="00BC5B56"/>
    <w:rsid w:val="00BD42E6"/>
    <w:rsid w:val="00BD440C"/>
    <w:rsid w:val="00BD596F"/>
    <w:rsid w:val="00BD634B"/>
    <w:rsid w:val="00BD789B"/>
    <w:rsid w:val="00BD7D0B"/>
    <w:rsid w:val="00BE02B5"/>
    <w:rsid w:val="00BE0F54"/>
    <w:rsid w:val="00BE4034"/>
    <w:rsid w:val="00BE414D"/>
    <w:rsid w:val="00BE61FE"/>
    <w:rsid w:val="00BE792C"/>
    <w:rsid w:val="00BF022D"/>
    <w:rsid w:val="00BF3B8E"/>
    <w:rsid w:val="00BF63FE"/>
    <w:rsid w:val="00BF6688"/>
    <w:rsid w:val="00BF6D43"/>
    <w:rsid w:val="00C01BBE"/>
    <w:rsid w:val="00C05B3E"/>
    <w:rsid w:val="00C06DAD"/>
    <w:rsid w:val="00C12B1C"/>
    <w:rsid w:val="00C14887"/>
    <w:rsid w:val="00C15E50"/>
    <w:rsid w:val="00C1749B"/>
    <w:rsid w:val="00C26D14"/>
    <w:rsid w:val="00C278BA"/>
    <w:rsid w:val="00C3225C"/>
    <w:rsid w:val="00C34282"/>
    <w:rsid w:val="00C34CD3"/>
    <w:rsid w:val="00C37D4E"/>
    <w:rsid w:val="00C40CD8"/>
    <w:rsid w:val="00C41186"/>
    <w:rsid w:val="00C4132E"/>
    <w:rsid w:val="00C41820"/>
    <w:rsid w:val="00C44DA9"/>
    <w:rsid w:val="00C47E8B"/>
    <w:rsid w:val="00C51760"/>
    <w:rsid w:val="00C54EFC"/>
    <w:rsid w:val="00C602F5"/>
    <w:rsid w:val="00C62364"/>
    <w:rsid w:val="00C6344E"/>
    <w:rsid w:val="00C63D32"/>
    <w:rsid w:val="00C6633F"/>
    <w:rsid w:val="00C701D2"/>
    <w:rsid w:val="00C70859"/>
    <w:rsid w:val="00C70C49"/>
    <w:rsid w:val="00C73A18"/>
    <w:rsid w:val="00C7631A"/>
    <w:rsid w:val="00C801D4"/>
    <w:rsid w:val="00C812E5"/>
    <w:rsid w:val="00C82CED"/>
    <w:rsid w:val="00C86DD8"/>
    <w:rsid w:val="00C8745F"/>
    <w:rsid w:val="00C94E36"/>
    <w:rsid w:val="00C97CD4"/>
    <w:rsid w:val="00CA1A0F"/>
    <w:rsid w:val="00CA1BA0"/>
    <w:rsid w:val="00CA2173"/>
    <w:rsid w:val="00CA6DAB"/>
    <w:rsid w:val="00CB33D0"/>
    <w:rsid w:val="00CB4415"/>
    <w:rsid w:val="00CB5026"/>
    <w:rsid w:val="00CB6B31"/>
    <w:rsid w:val="00CB6D80"/>
    <w:rsid w:val="00CC2D48"/>
    <w:rsid w:val="00CC384D"/>
    <w:rsid w:val="00CC45DE"/>
    <w:rsid w:val="00CC50CA"/>
    <w:rsid w:val="00CC5231"/>
    <w:rsid w:val="00CC5C93"/>
    <w:rsid w:val="00CC7299"/>
    <w:rsid w:val="00CC7831"/>
    <w:rsid w:val="00CD5F33"/>
    <w:rsid w:val="00CD73D2"/>
    <w:rsid w:val="00CE13C5"/>
    <w:rsid w:val="00CE2CA6"/>
    <w:rsid w:val="00CE36FF"/>
    <w:rsid w:val="00CE65D6"/>
    <w:rsid w:val="00CE6EF6"/>
    <w:rsid w:val="00CE781E"/>
    <w:rsid w:val="00CF1807"/>
    <w:rsid w:val="00CF54AB"/>
    <w:rsid w:val="00CF6AD9"/>
    <w:rsid w:val="00CF6E73"/>
    <w:rsid w:val="00CF75D9"/>
    <w:rsid w:val="00CF7DFB"/>
    <w:rsid w:val="00D03654"/>
    <w:rsid w:val="00D03762"/>
    <w:rsid w:val="00D03C48"/>
    <w:rsid w:val="00D049BF"/>
    <w:rsid w:val="00D07A58"/>
    <w:rsid w:val="00D13CC0"/>
    <w:rsid w:val="00D152D6"/>
    <w:rsid w:val="00D1640B"/>
    <w:rsid w:val="00D1702D"/>
    <w:rsid w:val="00D21CAF"/>
    <w:rsid w:val="00D2260C"/>
    <w:rsid w:val="00D2680E"/>
    <w:rsid w:val="00D27EE7"/>
    <w:rsid w:val="00D30993"/>
    <w:rsid w:val="00D31015"/>
    <w:rsid w:val="00D3226F"/>
    <w:rsid w:val="00D35E81"/>
    <w:rsid w:val="00D41323"/>
    <w:rsid w:val="00D44CC8"/>
    <w:rsid w:val="00D47942"/>
    <w:rsid w:val="00D51A8E"/>
    <w:rsid w:val="00D5266A"/>
    <w:rsid w:val="00D54E06"/>
    <w:rsid w:val="00D561AD"/>
    <w:rsid w:val="00D65049"/>
    <w:rsid w:val="00D72CC7"/>
    <w:rsid w:val="00D80CA4"/>
    <w:rsid w:val="00D81A99"/>
    <w:rsid w:val="00D83B14"/>
    <w:rsid w:val="00D83CF0"/>
    <w:rsid w:val="00D84541"/>
    <w:rsid w:val="00D86091"/>
    <w:rsid w:val="00D954C9"/>
    <w:rsid w:val="00DA0582"/>
    <w:rsid w:val="00DA0CF0"/>
    <w:rsid w:val="00DA62F9"/>
    <w:rsid w:val="00DB34CA"/>
    <w:rsid w:val="00DC64F7"/>
    <w:rsid w:val="00DD1FDE"/>
    <w:rsid w:val="00DD20FC"/>
    <w:rsid w:val="00DD3EB0"/>
    <w:rsid w:val="00DD40BE"/>
    <w:rsid w:val="00DD6F06"/>
    <w:rsid w:val="00DE1632"/>
    <w:rsid w:val="00DE251D"/>
    <w:rsid w:val="00DE2E05"/>
    <w:rsid w:val="00DE3025"/>
    <w:rsid w:val="00DE41B7"/>
    <w:rsid w:val="00DE4B07"/>
    <w:rsid w:val="00DE6849"/>
    <w:rsid w:val="00DE70D6"/>
    <w:rsid w:val="00DF0981"/>
    <w:rsid w:val="00DF2DAA"/>
    <w:rsid w:val="00E0047E"/>
    <w:rsid w:val="00E0306E"/>
    <w:rsid w:val="00E207E5"/>
    <w:rsid w:val="00E22A8C"/>
    <w:rsid w:val="00E2598F"/>
    <w:rsid w:val="00E30F77"/>
    <w:rsid w:val="00E31546"/>
    <w:rsid w:val="00E31770"/>
    <w:rsid w:val="00E33D22"/>
    <w:rsid w:val="00E34C47"/>
    <w:rsid w:val="00E35C99"/>
    <w:rsid w:val="00E365FF"/>
    <w:rsid w:val="00E44531"/>
    <w:rsid w:val="00E509E8"/>
    <w:rsid w:val="00E577E0"/>
    <w:rsid w:val="00E6073A"/>
    <w:rsid w:val="00E60E1C"/>
    <w:rsid w:val="00E621CC"/>
    <w:rsid w:val="00E63DE1"/>
    <w:rsid w:val="00E66CDA"/>
    <w:rsid w:val="00E725A5"/>
    <w:rsid w:val="00E764CD"/>
    <w:rsid w:val="00E81562"/>
    <w:rsid w:val="00E81DA1"/>
    <w:rsid w:val="00E8498C"/>
    <w:rsid w:val="00E85B4C"/>
    <w:rsid w:val="00E8608B"/>
    <w:rsid w:val="00E939D3"/>
    <w:rsid w:val="00E94287"/>
    <w:rsid w:val="00E95827"/>
    <w:rsid w:val="00EA04D1"/>
    <w:rsid w:val="00EA1984"/>
    <w:rsid w:val="00EA615E"/>
    <w:rsid w:val="00EA669E"/>
    <w:rsid w:val="00EB0A8A"/>
    <w:rsid w:val="00EB4DF0"/>
    <w:rsid w:val="00EB554A"/>
    <w:rsid w:val="00EC0048"/>
    <w:rsid w:val="00EC2804"/>
    <w:rsid w:val="00ED26B5"/>
    <w:rsid w:val="00ED575E"/>
    <w:rsid w:val="00EE176B"/>
    <w:rsid w:val="00EE31E1"/>
    <w:rsid w:val="00EE6C88"/>
    <w:rsid w:val="00F04735"/>
    <w:rsid w:val="00F07733"/>
    <w:rsid w:val="00F07C26"/>
    <w:rsid w:val="00F10718"/>
    <w:rsid w:val="00F10F75"/>
    <w:rsid w:val="00F13A08"/>
    <w:rsid w:val="00F1588B"/>
    <w:rsid w:val="00F213B5"/>
    <w:rsid w:val="00F2419A"/>
    <w:rsid w:val="00F26141"/>
    <w:rsid w:val="00F301C3"/>
    <w:rsid w:val="00F307E5"/>
    <w:rsid w:val="00F32331"/>
    <w:rsid w:val="00F32901"/>
    <w:rsid w:val="00F348C5"/>
    <w:rsid w:val="00F374B1"/>
    <w:rsid w:val="00F43FAC"/>
    <w:rsid w:val="00F449B5"/>
    <w:rsid w:val="00F50D5F"/>
    <w:rsid w:val="00F52081"/>
    <w:rsid w:val="00F52D42"/>
    <w:rsid w:val="00F561CC"/>
    <w:rsid w:val="00F60B0E"/>
    <w:rsid w:val="00F62EE2"/>
    <w:rsid w:val="00F63952"/>
    <w:rsid w:val="00F660E8"/>
    <w:rsid w:val="00F66D03"/>
    <w:rsid w:val="00F70BBC"/>
    <w:rsid w:val="00F7353F"/>
    <w:rsid w:val="00F74A10"/>
    <w:rsid w:val="00F804DD"/>
    <w:rsid w:val="00F82FC4"/>
    <w:rsid w:val="00F85F5D"/>
    <w:rsid w:val="00F93865"/>
    <w:rsid w:val="00F9485D"/>
    <w:rsid w:val="00F9488F"/>
    <w:rsid w:val="00F95F7C"/>
    <w:rsid w:val="00F97A0C"/>
    <w:rsid w:val="00FA729A"/>
    <w:rsid w:val="00FB10E8"/>
    <w:rsid w:val="00FB4384"/>
    <w:rsid w:val="00FB4B0E"/>
    <w:rsid w:val="00FB531D"/>
    <w:rsid w:val="00FC21CC"/>
    <w:rsid w:val="00FC727B"/>
    <w:rsid w:val="00FD39F0"/>
    <w:rsid w:val="00FD45EB"/>
    <w:rsid w:val="00FD4BBE"/>
    <w:rsid w:val="00FD666D"/>
    <w:rsid w:val="00FE04AD"/>
    <w:rsid w:val="00FF6C53"/>
    <w:rsid w:val="01B48154"/>
    <w:rsid w:val="0215858E"/>
    <w:rsid w:val="023C9883"/>
    <w:rsid w:val="024AF504"/>
    <w:rsid w:val="02C395AD"/>
    <w:rsid w:val="02C5B487"/>
    <w:rsid w:val="0413FEEA"/>
    <w:rsid w:val="04226343"/>
    <w:rsid w:val="052E62C2"/>
    <w:rsid w:val="063ACFF0"/>
    <w:rsid w:val="065E2C7B"/>
    <w:rsid w:val="06E7D0A2"/>
    <w:rsid w:val="06FC80C4"/>
    <w:rsid w:val="08675EC1"/>
    <w:rsid w:val="08A57563"/>
    <w:rsid w:val="0A1A9117"/>
    <w:rsid w:val="0A75D9E1"/>
    <w:rsid w:val="0B18D542"/>
    <w:rsid w:val="0BABA92C"/>
    <w:rsid w:val="0BBA5C8C"/>
    <w:rsid w:val="0BC95143"/>
    <w:rsid w:val="0BDA685F"/>
    <w:rsid w:val="0C2BC363"/>
    <w:rsid w:val="0CA1D653"/>
    <w:rsid w:val="0D206D3C"/>
    <w:rsid w:val="0D73050A"/>
    <w:rsid w:val="0D8FFBCA"/>
    <w:rsid w:val="0DD50712"/>
    <w:rsid w:val="0E748F07"/>
    <w:rsid w:val="0EB1685E"/>
    <w:rsid w:val="0F117E9F"/>
    <w:rsid w:val="103271E5"/>
    <w:rsid w:val="10DF0CD8"/>
    <w:rsid w:val="11C42B74"/>
    <w:rsid w:val="11F0F55D"/>
    <w:rsid w:val="127A7B5E"/>
    <w:rsid w:val="127FDB69"/>
    <w:rsid w:val="133F4ACC"/>
    <w:rsid w:val="14F75C02"/>
    <w:rsid w:val="1505C391"/>
    <w:rsid w:val="156DBFDF"/>
    <w:rsid w:val="16273025"/>
    <w:rsid w:val="1669FBF8"/>
    <w:rsid w:val="174203EE"/>
    <w:rsid w:val="177D4F1D"/>
    <w:rsid w:val="1827C004"/>
    <w:rsid w:val="1894722B"/>
    <w:rsid w:val="18BEE1DC"/>
    <w:rsid w:val="1999D69D"/>
    <w:rsid w:val="1AE27FDA"/>
    <w:rsid w:val="1CCFD233"/>
    <w:rsid w:val="1E75C700"/>
    <w:rsid w:val="1EF6E641"/>
    <w:rsid w:val="1F2EF877"/>
    <w:rsid w:val="201A5649"/>
    <w:rsid w:val="202F066B"/>
    <w:rsid w:val="2101B6B6"/>
    <w:rsid w:val="220681AF"/>
    <w:rsid w:val="23FA176D"/>
    <w:rsid w:val="24424022"/>
    <w:rsid w:val="25D6E578"/>
    <w:rsid w:val="273EC9DF"/>
    <w:rsid w:val="27B7EA5B"/>
    <w:rsid w:val="29A26696"/>
    <w:rsid w:val="29FDD9EF"/>
    <w:rsid w:val="2A0468D2"/>
    <w:rsid w:val="2BB4B5EF"/>
    <w:rsid w:val="2BE16AE6"/>
    <w:rsid w:val="2E0E0129"/>
    <w:rsid w:val="2F2B8F3D"/>
    <w:rsid w:val="2F4A6D45"/>
    <w:rsid w:val="2F530327"/>
    <w:rsid w:val="2F7C34F6"/>
    <w:rsid w:val="2FC41920"/>
    <w:rsid w:val="2FD4EECD"/>
    <w:rsid w:val="30FC2706"/>
    <w:rsid w:val="31357461"/>
    <w:rsid w:val="3244D439"/>
    <w:rsid w:val="33DCEC58"/>
    <w:rsid w:val="34EE7AA9"/>
    <w:rsid w:val="3770B62E"/>
    <w:rsid w:val="3A31478B"/>
    <w:rsid w:val="3AE31150"/>
    <w:rsid w:val="3CB45655"/>
    <w:rsid w:val="3D714C2D"/>
    <w:rsid w:val="3E8A08C2"/>
    <w:rsid w:val="404E37D5"/>
    <w:rsid w:val="40C62173"/>
    <w:rsid w:val="40EECF03"/>
    <w:rsid w:val="42A6514B"/>
    <w:rsid w:val="42C034DC"/>
    <w:rsid w:val="439FA3E4"/>
    <w:rsid w:val="43A16951"/>
    <w:rsid w:val="441EE1B5"/>
    <w:rsid w:val="44617C4E"/>
    <w:rsid w:val="44D7937D"/>
    <w:rsid w:val="45EA721F"/>
    <w:rsid w:val="463931F9"/>
    <w:rsid w:val="46FF2081"/>
    <w:rsid w:val="47F1AB2C"/>
    <w:rsid w:val="4A7BE1AB"/>
    <w:rsid w:val="4AC21963"/>
    <w:rsid w:val="4B0998C7"/>
    <w:rsid w:val="4C0BD6CE"/>
    <w:rsid w:val="4C2E49B8"/>
    <w:rsid w:val="4C6489D2"/>
    <w:rsid w:val="4C97394E"/>
    <w:rsid w:val="4D51680D"/>
    <w:rsid w:val="4D542EB5"/>
    <w:rsid w:val="4D873448"/>
    <w:rsid w:val="4F4374CC"/>
    <w:rsid w:val="50C085C7"/>
    <w:rsid w:val="50E60B96"/>
    <w:rsid w:val="51747736"/>
    <w:rsid w:val="51F53CF9"/>
    <w:rsid w:val="52CE761F"/>
    <w:rsid w:val="530A2D70"/>
    <w:rsid w:val="530CEFF7"/>
    <w:rsid w:val="536D1219"/>
    <w:rsid w:val="54E79029"/>
    <w:rsid w:val="554D125E"/>
    <w:rsid w:val="55FBE2A6"/>
    <w:rsid w:val="5686F7F2"/>
    <w:rsid w:val="56E07CB6"/>
    <w:rsid w:val="5778F47D"/>
    <w:rsid w:val="5797DE56"/>
    <w:rsid w:val="590A0A39"/>
    <w:rsid w:val="596272A1"/>
    <w:rsid w:val="5B654AF8"/>
    <w:rsid w:val="5B97A54F"/>
    <w:rsid w:val="5C0B91FE"/>
    <w:rsid w:val="5C2C4CD7"/>
    <w:rsid w:val="5C411CF4"/>
    <w:rsid w:val="5D36369A"/>
    <w:rsid w:val="5E091A61"/>
    <w:rsid w:val="5E3114C5"/>
    <w:rsid w:val="5E9862CB"/>
    <w:rsid w:val="5EAA351A"/>
    <w:rsid w:val="5ED2B48D"/>
    <w:rsid w:val="5FF42121"/>
    <w:rsid w:val="60CCCC2B"/>
    <w:rsid w:val="624DC945"/>
    <w:rsid w:val="62ADD449"/>
    <w:rsid w:val="62F408EC"/>
    <w:rsid w:val="63CB94DD"/>
    <w:rsid w:val="64134A92"/>
    <w:rsid w:val="64255E21"/>
    <w:rsid w:val="6448BE43"/>
    <w:rsid w:val="652144E6"/>
    <w:rsid w:val="65270FC0"/>
    <w:rsid w:val="66511236"/>
    <w:rsid w:val="69635F85"/>
    <w:rsid w:val="6A474867"/>
    <w:rsid w:val="6AACEE9C"/>
    <w:rsid w:val="6B110CCD"/>
    <w:rsid w:val="6B171B68"/>
    <w:rsid w:val="6B1F82D5"/>
    <w:rsid w:val="6D792AF9"/>
    <w:rsid w:val="6DA14D5B"/>
    <w:rsid w:val="6DB8DC90"/>
    <w:rsid w:val="6E4E9744"/>
    <w:rsid w:val="6E5AFA01"/>
    <w:rsid w:val="6E644668"/>
    <w:rsid w:val="6E98296F"/>
    <w:rsid w:val="6F8DB9FB"/>
    <w:rsid w:val="6F9D30F7"/>
    <w:rsid w:val="6FD78E8A"/>
    <w:rsid w:val="7183A448"/>
    <w:rsid w:val="73ABDAD2"/>
    <w:rsid w:val="74270631"/>
    <w:rsid w:val="74A06997"/>
    <w:rsid w:val="7518D790"/>
    <w:rsid w:val="7539802C"/>
    <w:rsid w:val="759BCBD0"/>
    <w:rsid w:val="7702A79D"/>
    <w:rsid w:val="78816A3E"/>
    <w:rsid w:val="78DC260B"/>
    <w:rsid w:val="7909E550"/>
    <w:rsid w:val="792F1508"/>
    <w:rsid w:val="7AB09373"/>
    <w:rsid w:val="7B3433E1"/>
    <w:rsid w:val="7B37B16C"/>
    <w:rsid w:val="7B8F1ED4"/>
    <w:rsid w:val="7F3F8875"/>
    <w:rsid w:val="7F9F5D24"/>
    <w:rsid w:val="7FE674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4BF9"/>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aliases w:val="Bullets,Ha,List Bullet Mary,List Paragraph (numbered (a)),List Paragraph nowy,List Paragraph1,List Paragraph_Table bullets,Liste 1,Medium Grid 1 - Accent 21,Numbered List Paragraph,References,ReferencesCxSpLast,Resume Title,Texte Général"/>
    <w:basedOn w:val="Normal"/>
    <w:link w:val="ListParagraphChar"/>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unhideWhenUsed/>
    <w:rsid w:val="00E81562"/>
    <w:rPr>
      <w:color w:val="605E5C"/>
      <w:shd w:val="clear" w:color="auto" w:fill="E1DFDD"/>
    </w:rPr>
  </w:style>
  <w:style w:type="character" w:customStyle="1" w:styleId="cf01">
    <w:name w:val="cf01"/>
    <w:basedOn w:val="DefaultParagraphFont"/>
    <w:rsid w:val="007E2175"/>
    <w:rPr>
      <w:rFonts w:ascii="Segoe UI" w:hAnsi="Segoe UI" w:cs="Segoe UI" w:hint="default"/>
      <w:sz w:val="18"/>
      <w:szCs w:val="18"/>
    </w:rPr>
  </w:style>
  <w:style w:type="character" w:customStyle="1" w:styleId="ui-provider">
    <w:name w:val="ui-provider"/>
    <w:basedOn w:val="DefaultParagraphFont"/>
    <w:rsid w:val="007E2175"/>
  </w:style>
  <w:style w:type="character" w:customStyle="1" w:styleId="BodyTextChar">
    <w:name w:val="Body Text Char"/>
    <w:basedOn w:val="DefaultParagraphFont"/>
    <w:link w:val="BodyText"/>
    <w:rsid w:val="00790ED5"/>
    <w:rPr>
      <w:sz w:val="24"/>
    </w:rPr>
  </w:style>
  <w:style w:type="paragraph" w:customStyle="1" w:styleId="pf0">
    <w:name w:val="pf0"/>
    <w:basedOn w:val="Normal"/>
    <w:rsid w:val="002D4BF9"/>
    <w:pPr>
      <w:spacing w:before="100" w:beforeAutospacing="1" w:after="100" w:afterAutospacing="1"/>
    </w:pPr>
    <w:rPr>
      <w:sz w:val="24"/>
      <w:szCs w:val="24"/>
    </w:rPr>
  </w:style>
  <w:style w:type="character" w:styleId="Mention">
    <w:name w:val="Mention"/>
    <w:basedOn w:val="DefaultParagraphFont"/>
    <w:uiPriority w:val="99"/>
    <w:unhideWhenUsed/>
    <w:rsid w:val="00931BA6"/>
    <w:rPr>
      <w:color w:val="2B579A"/>
      <w:shd w:val="clear" w:color="auto" w:fill="E1DFDD"/>
    </w:rPr>
  </w:style>
  <w:style w:type="character" w:customStyle="1" w:styleId="ICFTextChar">
    <w:name w:val="ICF Text Char"/>
    <w:basedOn w:val="DefaultParagraphFont"/>
    <w:link w:val="ICFText"/>
    <w:locked/>
    <w:rsid w:val="00CA2173"/>
    <w:rPr>
      <w:rFonts w:ascii="Calibri" w:hAnsi="Calibri" w:cs="Calibri"/>
      <w:sz w:val="24"/>
    </w:rPr>
  </w:style>
  <w:style w:type="paragraph" w:customStyle="1" w:styleId="ICFText">
    <w:name w:val="ICF Text"/>
    <w:basedOn w:val="BodyText"/>
    <w:link w:val="ICFTextChar"/>
    <w:qFormat/>
    <w:rsid w:val="00CA2173"/>
    <w:pPr>
      <w:spacing w:before="120" w:after="120"/>
    </w:pPr>
    <w:rPr>
      <w:rFonts w:ascii="Calibri" w:hAnsi="Calibri" w:cs="Calibri"/>
    </w:rPr>
  </w:style>
  <w:style w:type="character" w:customStyle="1" w:styleId="ListParagraphChar">
    <w:name w:val="List Paragraph Char"/>
    <w:aliases w:val="Bullets Char,Ha Char,List Bullet Mary Char,List Paragraph (numbered (a)) Char,List Paragraph nowy Char,List Paragraph1 Char,List Paragraph_Table bullets Char,Liste 1 Char,References Char,ReferencesCxSpLast Char,Resume Title Char"/>
    <w:basedOn w:val="DefaultParagraphFont"/>
    <w:link w:val="ListParagraph"/>
    <w:uiPriority w:val="34"/>
    <w:locked/>
    <w:rsid w:val="00A2753B"/>
    <w:rPr>
      <w:rFonts w:ascii="Calibri" w:eastAsia="Calibri" w:hAnsi="Calibri"/>
      <w:sz w:val="22"/>
      <w:szCs w:val="22"/>
    </w:rPr>
  </w:style>
  <w:style w:type="paragraph" w:styleId="NoSpacing">
    <w:name w:val="No Spacing"/>
    <w:uiPriority w:val="1"/>
    <w:qFormat/>
    <w:rsid w:val="00A55416"/>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www.reginfo.gov" TargetMode="External" /><Relationship Id="rId12" Type="http://schemas.openxmlformats.org/officeDocument/2006/relationships/hyperlink" Target="https://www.reginfo.gov/public/do/PRAMain"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OPSOCDOPRA-2116056712-2136956</_dlc_DocId>
    <_dlc_DocIdUrl xmlns="8097749c-35e3-4292-9c41-d352b303d2cf">
      <Url>https://bcfp365.sharepoint.com/sites/ops-ocdo-pra/_layouts/15/DocIdRedir.aspx?ID=OPSOCDOPRA-2116056712-2136956</Url>
      <Description>OPSOCDOPRA-2116056712-2136956</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09156-2BEC-4CA5-8442-59D39469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63515-9552-4602-80A9-3E25B9B29895}">
  <ds:schemaRefs>
    <ds:schemaRef ds:uri="http://www.w3.org/XML/1998/namespace"/>
    <ds:schemaRef ds:uri="http://schemas.microsoft.com/office/2006/metadata/properties"/>
    <ds:schemaRef ds:uri="http://schemas.microsoft.com/sharepoint/v3"/>
    <ds:schemaRef ds:uri="8097749c-35e3-4292-9c41-d352b303d2cf"/>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3c358492-2927-472d-85d8-14627d068203"/>
    <ds:schemaRef ds:uri="http://purl.org/dc/terms/"/>
    <ds:schemaRef ds:uri="http://purl.org/dc/elements/1.1/"/>
  </ds:schemaRefs>
</ds:datastoreItem>
</file>

<file path=customXml/itemProps3.xml><?xml version="1.0" encoding="utf-8"?>
<ds:datastoreItem xmlns:ds="http://schemas.openxmlformats.org/officeDocument/2006/customXml" ds:itemID="{FC97FF08-BB38-41B2-8E00-C66D6DF5EA8A}">
  <ds:schemaRefs>
    <ds:schemaRef ds:uri="http://schemas.microsoft.com/sharepoint/events"/>
  </ds:schemaRefs>
</ds:datastoreItem>
</file>

<file path=customXml/itemProps4.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5.xml><?xml version="1.0" encoding="utf-8"?>
<ds:datastoreItem xmlns:ds="http://schemas.openxmlformats.org/officeDocument/2006/customXml" ds:itemID="{42CED0D3-7229-43BB-8AFC-48D9FD45E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3348</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3</cp:revision>
  <cp:lastPrinted>2017-07-25T10:39:00Z</cp:lastPrinted>
  <dcterms:created xsi:type="dcterms:W3CDTF">2023-09-01T18:19:00Z</dcterms:created>
  <dcterms:modified xsi:type="dcterms:W3CDTF">2023-09-01T18:20:00Z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9aa8efc0-3849-4c55-a7bd-f24835894e19</vt:lpwstr>
  </property>
  <property fmtid="{D5CDD505-2E9C-101B-9397-08002B2CF9AE}" pid="7" name="_NewReviewCycle">
    <vt:lpwstr/>
  </property>
</Properties>
</file>