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2435" w:rsidRPr="00952435" w:rsidP="00952435" w14:paraId="319AA6C2" w14:textId="77777777">
      <w:pPr>
        <w:widowControl w:val="0"/>
        <w:suppressAutoHyphens w:val="0"/>
        <w:overflowPunct w:val="0"/>
        <w:autoSpaceDE w:val="0"/>
        <w:autoSpaceDN w:val="0"/>
        <w:adjustRightInd w:val="0"/>
        <w:jc w:val="center"/>
        <w:textAlignment w:val="baseline"/>
        <w:rPr>
          <w:caps/>
          <w:kern w:val="0"/>
          <w:szCs w:val="22"/>
          <w:lang w:eastAsia="en-US"/>
        </w:rPr>
      </w:pPr>
      <w:r w:rsidRPr="00952435">
        <w:rPr>
          <w:kern w:val="0"/>
          <w:szCs w:val="22"/>
          <w:lang w:eastAsia="en-US"/>
        </w:rPr>
        <w:t>U. S. Small Business Administration (SB</w:t>
      </w:r>
      <w:r w:rsidRPr="00952435">
        <w:rPr>
          <w:caps/>
          <w:kern w:val="0"/>
          <w:szCs w:val="22"/>
          <w:lang w:eastAsia="en-US"/>
        </w:rPr>
        <w:t>A)</w:t>
      </w:r>
    </w:p>
    <w:p w:rsidR="008E4D5D" w:rsidP="008E4D5D" w14:paraId="6197F728" w14:textId="1A5E7270">
      <w:pPr>
        <w:widowControl w:val="0"/>
        <w:suppressAutoHyphens w:val="0"/>
        <w:overflowPunct w:val="0"/>
        <w:autoSpaceDE w:val="0"/>
        <w:autoSpaceDN w:val="0"/>
        <w:adjustRightInd w:val="0"/>
        <w:jc w:val="center"/>
        <w:textAlignment w:val="baseline"/>
        <w:rPr>
          <w:kern w:val="0"/>
          <w:szCs w:val="22"/>
          <w:lang w:eastAsia="en-US"/>
        </w:rPr>
      </w:pPr>
      <w:r w:rsidRPr="008E4D5D">
        <w:rPr>
          <w:kern w:val="0"/>
          <w:szCs w:val="22"/>
          <w:lang w:eastAsia="en-US"/>
        </w:rPr>
        <w:t>SBIC Management Assessment</w:t>
      </w:r>
      <w:r>
        <w:rPr>
          <w:kern w:val="0"/>
          <w:szCs w:val="22"/>
          <w:lang w:eastAsia="en-US"/>
        </w:rPr>
        <w:t xml:space="preserve"> </w:t>
      </w:r>
      <w:r w:rsidRPr="008E4D5D">
        <w:rPr>
          <w:kern w:val="0"/>
          <w:szCs w:val="22"/>
          <w:lang w:eastAsia="en-US"/>
        </w:rPr>
        <w:t xml:space="preserve">Questionnaire </w:t>
      </w:r>
      <w:r>
        <w:rPr>
          <w:kern w:val="0"/>
          <w:szCs w:val="22"/>
          <w:lang w:eastAsia="en-US"/>
        </w:rPr>
        <w:t>and</w:t>
      </w:r>
      <w:r w:rsidRPr="008E4D5D">
        <w:rPr>
          <w:kern w:val="0"/>
          <w:szCs w:val="22"/>
          <w:lang w:eastAsia="en-US"/>
        </w:rPr>
        <w:t xml:space="preserve"> License Application</w:t>
      </w:r>
    </w:p>
    <w:p w:rsidR="00952435" w:rsidRPr="00952435" w:rsidP="008E4D5D" w14:paraId="2B72C5CE" w14:textId="0E90BC64">
      <w:pPr>
        <w:widowControl w:val="0"/>
        <w:suppressAutoHyphens w:val="0"/>
        <w:overflowPunct w:val="0"/>
        <w:autoSpaceDE w:val="0"/>
        <w:autoSpaceDN w:val="0"/>
        <w:adjustRightInd w:val="0"/>
        <w:jc w:val="center"/>
        <w:textAlignment w:val="baseline"/>
        <w:rPr>
          <w:kern w:val="0"/>
          <w:szCs w:val="22"/>
          <w:lang w:eastAsia="en-US"/>
        </w:rPr>
      </w:pPr>
      <w:r w:rsidRPr="00952435">
        <w:rPr>
          <w:kern w:val="0"/>
          <w:szCs w:val="22"/>
          <w:lang w:eastAsia="en-US"/>
        </w:rPr>
        <w:t>OMB Control Number 3245-006</w:t>
      </w:r>
      <w:r>
        <w:rPr>
          <w:kern w:val="0"/>
          <w:szCs w:val="22"/>
          <w:lang w:eastAsia="en-US"/>
        </w:rPr>
        <w:t>2</w:t>
      </w:r>
      <w:r w:rsidRPr="00952435">
        <w:rPr>
          <w:kern w:val="0"/>
          <w:szCs w:val="22"/>
          <w:lang w:eastAsia="en-US"/>
        </w:rPr>
        <w:t xml:space="preserve"> </w:t>
      </w:r>
    </w:p>
    <w:p w:rsidR="00952435" w:rsidRPr="00952435" w:rsidP="00952435" w14:paraId="6D1B4660" w14:textId="77777777">
      <w:pPr>
        <w:widowControl w:val="0"/>
        <w:suppressAutoHyphens w:val="0"/>
        <w:overflowPunct w:val="0"/>
        <w:autoSpaceDE w:val="0"/>
        <w:autoSpaceDN w:val="0"/>
        <w:adjustRightInd w:val="0"/>
        <w:jc w:val="center"/>
        <w:textAlignment w:val="baseline"/>
        <w:rPr>
          <w:kern w:val="0"/>
          <w:szCs w:val="22"/>
          <w:lang w:eastAsia="en-US"/>
        </w:rPr>
      </w:pPr>
      <w:r w:rsidRPr="00952435">
        <w:rPr>
          <w:kern w:val="0"/>
          <w:szCs w:val="22"/>
          <w:lang w:eastAsia="en-US"/>
        </w:rPr>
        <w:t>Justification – Part A Supporting Statement</w:t>
      </w:r>
    </w:p>
    <w:p w:rsidR="00387136" w14:paraId="02AB9E83" w14:textId="77777777"/>
    <w:p w:rsidR="00956F4D" w14:paraId="70C3A4DE" w14:textId="77777777"/>
    <w:p w:rsidR="00733C7F" w:rsidP="00CD14A3" w14:paraId="27B0FC70" w14:textId="4EB270A5">
      <w:pPr>
        <w:widowControl w:val="0"/>
        <w:suppressAutoHyphens w:val="0"/>
        <w:overflowPunct w:val="0"/>
        <w:autoSpaceDE w:val="0"/>
        <w:autoSpaceDN w:val="0"/>
        <w:adjustRightInd w:val="0"/>
        <w:jc w:val="both"/>
        <w:textAlignment w:val="baseline"/>
        <w:rPr>
          <w:kern w:val="0"/>
          <w:szCs w:val="20"/>
          <w:lang w:eastAsia="en-US"/>
        </w:rPr>
      </w:pPr>
      <w:r w:rsidRPr="00CD14A3">
        <w:rPr>
          <w:kern w:val="0"/>
          <w:szCs w:val="20"/>
          <w:u w:val="single"/>
          <w:lang w:eastAsia="en-US"/>
        </w:rPr>
        <w:t>Overview of Information Collection:</w:t>
      </w:r>
      <w:r w:rsidRPr="00CD14A3">
        <w:rPr>
          <w:kern w:val="0"/>
          <w:szCs w:val="20"/>
          <w:lang w:eastAsia="en-US"/>
        </w:rPr>
        <w:t xml:space="preserve"> The U.S. Small Business Administration (SBA) is seeking reinstatement, with change, of a previously approved collection for which approval has expired</w:t>
      </w:r>
      <w:r w:rsidR="00E6054A">
        <w:rPr>
          <w:kern w:val="0"/>
          <w:szCs w:val="20"/>
          <w:lang w:eastAsia="en-US"/>
        </w:rPr>
        <w:t xml:space="preserve">, </w:t>
      </w:r>
      <w:r w:rsidR="00956F4D">
        <w:rPr>
          <w:kern w:val="0"/>
          <w:szCs w:val="20"/>
          <w:lang w:eastAsia="en-US"/>
        </w:rPr>
        <w:t xml:space="preserve">for </w:t>
      </w:r>
      <w:r w:rsidR="00E6054A">
        <w:rPr>
          <w:kern w:val="0"/>
          <w:szCs w:val="20"/>
          <w:lang w:eastAsia="en-US"/>
        </w:rPr>
        <w:t xml:space="preserve">the </w:t>
      </w:r>
      <w:r w:rsidRPr="00CA7851" w:rsidR="00526B41">
        <w:rPr>
          <w:kern w:val="0"/>
          <w:szCs w:val="20"/>
          <w:lang w:eastAsia="en-US"/>
        </w:rPr>
        <w:t>Small Business Investment Company (SBIC)</w:t>
      </w:r>
      <w:r w:rsidR="00526B41">
        <w:rPr>
          <w:kern w:val="0"/>
          <w:szCs w:val="20"/>
          <w:lang w:eastAsia="en-US"/>
        </w:rPr>
        <w:t xml:space="preserve"> program</w:t>
      </w:r>
      <w:r w:rsidR="00F52205">
        <w:rPr>
          <w:kern w:val="0"/>
          <w:szCs w:val="20"/>
          <w:lang w:eastAsia="en-US"/>
        </w:rPr>
        <w:t>’s</w:t>
      </w:r>
      <w:r w:rsidR="00526B41">
        <w:rPr>
          <w:kern w:val="0"/>
          <w:szCs w:val="20"/>
          <w:lang w:eastAsia="en-US"/>
        </w:rPr>
        <w:t xml:space="preserve"> </w:t>
      </w:r>
      <w:r w:rsidRPr="00956F4D" w:rsidR="00956F4D">
        <w:rPr>
          <w:kern w:val="0"/>
          <w:szCs w:val="20"/>
          <w:lang w:eastAsia="en-US"/>
        </w:rPr>
        <w:t>Management Assessment Questionnaire</w:t>
      </w:r>
      <w:r w:rsidR="00D16E90">
        <w:rPr>
          <w:kern w:val="0"/>
          <w:szCs w:val="20"/>
          <w:lang w:eastAsia="en-US"/>
        </w:rPr>
        <w:t xml:space="preserve"> </w:t>
      </w:r>
      <w:r w:rsidR="00136B6E">
        <w:rPr>
          <w:kern w:val="0"/>
          <w:szCs w:val="20"/>
          <w:lang w:eastAsia="en-US"/>
        </w:rPr>
        <w:t xml:space="preserve">and License Application </w:t>
      </w:r>
      <w:r w:rsidR="00F52205">
        <w:rPr>
          <w:kern w:val="0"/>
          <w:szCs w:val="20"/>
          <w:lang w:eastAsia="en-US"/>
        </w:rPr>
        <w:t>used by</w:t>
      </w:r>
      <w:r w:rsidRPr="00956F4D" w:rsidR="00956F4D">
        <w:rPr>
          <w:kern w:val="0"/>
          <w:szCs w:val="20"/>
          <w:lang w:eastAsia="en-US"/>
        </w:rPr>
        <w:t xml:space="preserve"> </w:t>
      </w:r>
      <w:r w:rsidR="00526B41">
        <w:rPr>
          <w:kern w:val="0"/>
          <w:szCs w:val="20"/>
          <w:lang w:eastAsia="en-US"/>
        </w:rPr>
        <w:t>applicants seeking a license to operate as an SBIC.</w:t>
      </w:r>
      <w:r w:rsidR="00B31C27">
        <w:rPr>
          <w:kern w:val="0"/>
          <w:szCs w:val="20"/>
          <w:lang w:eastAsia="en-US"/>
        </w:rPr>
        <w:t xml:space="preserve"> </w:t>
      </w:r>
    </w:p>
    <w:p w:rsidR="00733C7F" w:rsidP="00CD14A3" w14:paraId="61167556" w14:textId="77777777">
      <w:pPr>
        <w:widowControl w:val="0"/>
        <w:suppressAutoHyphens w:val="0"/>
        <w:overflowPunct w:val="0"/>
        <w:autoSpaceDE w:val="0"/>
        <w:autoSpaceDN w:val="0"/>
        <w:adjustRightInd w:val="0"/>
        <w:jc w:val="both"/>
        <w:textAlignment w:val="baseline"/>
        <w:rPr>
          <w:kern w:val="0"/>
          <w:szCs w:val="20"/>
          <w:lang w:eastAsia="en-US"/>
        </w:rPr>
      </w:pPr>
    </w:p>
    <w:p w:rsidR="00F469D3" w:rsidP="007B444F" w14:paraId="4ECEE741" w14:textId="08E22F1F">
      <w:pPr>
        <w:widowControl w:val="0"/>
        <w:suppressAutoHyphens w:val="0"/>
        <w:overflowPunct w:val="0"/>
        <w:autoSpaceDE w:val="0"/>
        <w:autoSpaceDN w:val="0"/>
        <w:adjustRightInd w:val="0"/>
        <w:jc w:val="both"/>
        <w:textAlignment w:val="baseline"/>
        <w:rPr>
          <w:kern w:val="0"/>
          <w:szCs w:val="20"/>
          <w:lang w:eastAsia="en-US"/>
        </w:rPr>
      </w:pPr>
      <w:r>
        <w:rPr>
          <w:kern w:val="0"/>
          <w:szCs w:val="20"/>
          <w:lang w:eastAsia="en-US"/>
        </w:rPr>
        <w:t>In order to reduce burden</w:t>
      </w:r>
      <w:r w:rsidR="00CF04BD">
        <w:rPr>
          <w:kern w:val="0"/>
          <w:szCs w:val="20"/>
          <w:lang w:eastAsia="en-US"/>
        </w:rPr>
        <w:t xml:space="preserve"> and confusion on the part of applicants, </w:t>
      </w:r>
      <w:r w:rsidRPr="00C6288C" w:rsidR="00C6288C">
        <w:rPr>
          <w:kern w:val="0"/>
          <w:szCs w:val="20"/>
          <w:lang w:eastAsia="en-US"/>
        </w:rPr>
        <w:t xml:space="preserve">SBA proposes </w:t>
      </w:r>
      <w:r w:rsidR="000E6301">
        <w:rPr>
          <w:kern w:val="0"/>
          <w:szCs w:val="20"/>
          <w:lang w:eastAsia="en-US"/>
        </w:rPr>
        <w:t xml:space="preserve">significant </w:t>
      </w:r>
      <w:r w:rsidRPr="00C6288C" w:rsidR="00C6288C">
        <w:rPr>
          <w:kern w:val="0"/>
          <w:szCs w:val="20"/>
          <w:lang w:eastAsia="en-US"/>
        </w:rPr>
        <w:t xml:space="preserve">changes to the previously approved </w:t>
      </w:r>
      <w:r w:rsidR="00BF6DE6">
        <w:rPr>
          <w:kern w:val="0"/>
          <w:szCs w:val="20"/>
          <w:lang w:eastAsia="en-US"/>
        </w:rPr>
        <w:t xml:space="preserve">MAQ </w:t>
      </w:r>
      <w:r w:rsidRPr="00C6288C" w:rsidR="00C6288C">
        <w:rPr>
          <w:kern w:val="0"/>
          <w:szCs w:val="20"/>
          <w:lang w:eastAsia="en-US"/>
        </w:rPr>
        <w:t xml:space="preserve">collection, which </w:t>
      </w:r>
      <w:r w:rsidR="00B00DFB">
        <w:rPr>
          <w:kern w:val="0"/>
          <w:szCs w:val="20"/>
          <w:lang w:eastAsia="en-US"/>
        </w:rPr>
        <w:t>was comprised of t</w:t>
      </w:r>
      <w:r w:rsidR="00C6288C">
        <w:rPr>
          <w:kern w:val="0"/>
          <w:szCs w:val="20"/>
          <w:lang w:eastAsia="en-US"/>
        </w:rPr>
        <w:t xml:space="preserve">hree </w:t>
      </w:r>
      <w:r w:rsidR="00FA3592">
        <w:rPr>
          <w:kern w:val="0"/>
          <w:szCs w:val="20"/>
          <w:lang w:eastAsia="en-US"/>
        </w:rPr>
        <w:t xml:space="preserve">separate </w:t>
      </w:r>
      <w:r w:rsidR="00C6288C">
        <w:rPr>
          <w:kern w:val="0"/>
          <w:szCs w:val="20"/>
          <w:lang w:eastAsia="en-US"/>
        </w:rPr>
        <w:t>forms in Word format</w:t>
      </w:r>
      <w:r w:rsidR="00843415">
        <w:rPr>
          <w:kern w:val="0"/>
          <w:szCs w:val="20"/>
          <w:lang w:eastAsia="en-US"/>
        </w:rPr>
        <w:t xml:space="preserve"> (</w:t>
      </w:r>
      <w:r w:rsidRPr="00C6288C" w:rsidR="00C6288C">
        <w:rPr>
          <w:kern w:val="0"/>
          <w:szCs w:val="20"/>
          <w:lang w:eastAsia="en-US"/>
        </w:rPr>
        <w:t>SBA Form</w:t>
      </w:r>
      <w:r w:rsidR="00843415">
        <w:rPr>
          <w:kern w:val="0"/>
          <w:szCs w:val="20"/>
          <w:lang w:eastAsia="en-US"/>
        </w:rPr>
        <w:t>s 2181, 2182, and 2183)</w:t>
      </w:r>
      <w:r w:rsidR="00E6054A">
        <w:rPr>
          <w:kern w:val="0"/>
          <w:szCs w:val="20"/>
          <w:lang w:eastAsia="en-US"/>
        </w:rPr>
        <w:t xml:space="preserve"> </w:t>
      </w:r>
      <w:r w:rsidRPr="00C6288C" w:rsidR="00C6288C">
        <w:rPr>
          <w:kern w:val="0"/>
          <w:szCs w:val="20"/>
          <w:lang w:eastAsia="en-US"/>
        </w:rPr>
        <w:t xml:space="preserve">into </w:t>
      </w:r>
      <w:r w:rsidR="00FA3592">
        <w:rPr>
          <w:kern w:val="0"/>
          <w:szCs w:val="20"/>
          <w:lang w:eastAsia="en-US"/>
        </w:rPr>
        <w:t xml:space="preserve">three </w:t>
      </w:r>
      <w:r w:rsidR="00337022">
        <w:rPr>
          <w:kern w:val="0"/>
          <w:szCs w:val="20"/>
          <w:lang w:eastAsia="en-US"/>
        </w:rPr>
        <w:t>versions of the same</w:t>
      </w:r>
      <w:r w:rsidRPr="00C6288C" w:rsidR="00C6288C">
        <w:rPr>
          <w:kern w:val="0"/>
          <w:szCs w:val="20"/>
          <w:lang w:eastAsia="en-US"/>
        </w:rPr>
        <w:t xml:space="preserve"> form in Excel format: 1) SBA Form </w:t>
      </w:r>
      <w:r w:rsidR="00C71F2F">
        <w:rPr>
          <w:kern w:val="0"/>
          <w:szCs w:val="20"/>
          <w:lang w:eastAsia="en-US"/>
        </w:rPr>
        <w:t>2181</w:t>
      </w:r>
      <w:r w:rsidRPr="00C6288C" w:rsidR="00C6288C">
        <w:rPr>
          <w:kern w:val="0"/>
          <w:szCs w:val="20"/>
          <w:lang w:eastAsia="en-US"/>
        </w:rPr>
        <w:t xml:space="preserve"> (Short Form) </w:t>
      </w:r>
      <w:r w:rsidR="00F602A7">
        <w:rPr>
          <w:kern w:val="0"/>
          <w:szCs w:val="20"/>
          <w:lang w:eastAsia="en-US"/>
        </w:rPr>
        <w:t>for</w:t>
      </w:r>
      <w:r w:rsidR="00C71F2F">
        <w:rPr>
          <w:kern w:val="0"/>
          <w:szCs w:val="20"/>
          <w:lang w:eastAsia="en-US"/>
        </w:rPr>
        <w:t xml:space="preserve"> ‘prescreening’ </w:t>
      </w:r>
      <w:r w:rsidR="00F602A7">
        <w:rPr>
          <w:kern w:val="0"/>
          <w:szCs w:val="20"/>
          <w:lang w:eastAsia="en-US"/>
        </w:rPr>
        <w:t xml:space="preserve">interested </w:t>
      </w:r>
      <w:r w:rsidR="00C71F2F">
        <w:rPr>
          <w:kern w:val="0"/>
          <w:szCs w:val="20"/>
          <w:lang w:eastAsia="en-US"/>
        </w:rPr>
        <w:t>applicants</w:t>
      </w:r>
      <w:r w:rsidR="00FE3000">
        <w:rPr>
          <w:kern w:val="0"/>
          <w:szCs w:val="20"/>
          <w:lang w:eastAsia="en-US"/>
        </w:rPr>
        <w:t xml:space="preserve">, </w:t>
      </w:r>
      <w:r w:rsidRPr="00C6288C" w:rsidR="00C6288C">
        <w:rPr>
          <w:kern w:val="0"/>
          <w:szCs w:val="20"/>
          <w:lang w:eastAsia="en-US"/>
        </w:rPr>
        <w:t xml:space="preserve">2) SBA Form </w:t>
      </w:r>
      <w:r w:rsidR="00FE3000">
        <w:rPr>
          <w:kern w:val="0"/>
          <w:szCs w:val="20"/>
          <w:lang w:eastAsia="en-US"/>
        </w:rPr>
        <w:t>2181</w:t>
      </w:r>
      <w:r w:rsidRPr="00C6288C" w:rsidR="00C6288C">
        <w:rPr>
          <w:kern w:val="0"/>
          <w:szCs w:val="20"/>
          <w:lang w:eastAsia="en-US"/>
        </w:rPr>
        <w:t xml:space="preserve"> (Long Form</w:t>
      </w:r>
      <w:r w:rsidR="00532745">
        <w:rPr>
          <w:kern w:val="0"/>
          <w:szCs w:val="20"/>
          <w:lang w:eastAsia="en-US"/>
        </w:rPr>
        <w:t>)</w:t>
      </w:r>
      <w:r w:rsidR="00232E1C">
        <w:rPr>
          <w:kern w:val="0"/>
          <w:szCs w:val="20"/>
          <w:lang w:eastAsia="en-US"/>
        </w:rPr>
        <w:t xml:space="preserve"> </w:t>
      </w:r>
      <w:r w:rsidR="005C190A">
        <w:rPr>
          <w:kern w:val="0"/>
          <w:szCs w:val="20"/>
          <w:lang w:eastAsia="en-US"/>
        </w:rPr>
        <w:t>for first time applicants</w:t>
      </w:r>
      <w:r w:rsidR="00942F66">
        <w:rPr>
          <w:kern w:val="0"/>
          <w:szCs w:val="20"/>
          <w:lang w:eastAsia="en-US"/>
        </w:rPr>
        <w:t>,</w:t>
      </w:r>
      <w:r w:rsidR="002B5C26">
        <w:rPr>
          <w:kern w:val="0"/>
          <w:szCs w:val="20"/>
          <w:lang w:eastAsia="en-US"/>
        </w:rPr>
        <w:t xml:space="preserve"> and 3)</w:t>
      </w:r>
      <w:r w:rsidR="00C239F0">
        <w:rPr>
          <w:kern w:val="0"/>
          <w:szCs w:val="20"/>
          <w:lang w:eastAsia="en-US"/>
        </w:rPr>
        <w:t xml:space="preserve"> SBA Form 2181 (Sub</w:t>
      </w:r>
      <w:r w:rsidR="005C190A">
        <w:rPr>
          <w:kern w:val="0"/>
          <w:szCs w:val="20"/>
          <w:lang w:eastAsia="en-US"/>
        </w:rPr>
        <w:t>se</w:t>
      </w:r>
      <w:r w:rsidR="000244B4">
        <w:rPr>
          <w:kern w:val="0"/>
          <w:szCs w:val="20"/>
          <w:lang w:eastAsia="en-US"/>
        </w:rPr>
        <w:t>quent</w:t>
      </w:r>
      <w:r w:rsidR="00C239F0">
        <w:rPr>
          <w:kern w:val="0"/>
          <w:szCs w:val="20"/>
          <w:lang w:eastAsia="en-US"/>
        </w:rPr>
        <w:t xml:space="preserve"> Fund </w:t>
      </w:r>
      <w:r w:rsidRPr="00C6288C" w:rsidR="00C6288C">
        <w:rPr>
          <w:kern w:val="0"/>
          <w:szCs w:val="20"/>
          <w:lang w:eastAsia="en-US"/>
        </w:rPr>
        <w:t>App</w:t>
      </w:r>
      <w:r w:rsidR="000244B4">
        <w:rPr>
          <w:kern w:val="0"/>
          <w:szCs w:val="20"/>
          <w:lang w:eastAsia="en-US"/>
        </w:rPr>
        <w:t>lication</w:t>
      </w:r>
      <w:r w:rsidR="00F602A7">
        <w:rPr>
          <w:kern w:val="0"/>
          <w:szCs w:val="20"/>
          <w:lang w:eastAsia="en-US"/>
        </w:rPr>
        <w:t xml:space="preserve">) </w:t>
      </w:r>
      <w:r w:rsidR="001C478B">
        <w:rPr>
          <w:kern w:val="0"/>
          <w:szCs w:val="20"/>
          <w:lang w:eastAsia="en-US"/>
        </w:rPr>
        <w:t xml:space="preserve">for </w:t>
      </w:r>
      <w:r w:rsidR="003735BD">
        <w:rPr>
          <w:kern w:val="0"/>
          <w:szCs w:val="20"/>
          <w:lang w:eastAsia="en-US"/>
        </w:rPr>
        <w:t xml:space="preserve">existing </w:t>
      </w:r>
      <w:r w:rsidR="001C478B">
        <w:rPr>
          <w:kern w:val="0"/>
          <w:szCs w:val="20"/>
          <w:lang w:eastAsia="en-US"/>
        </w:rPr>
        <w:t>SBIC</w:t>
      </w:r>
      <w:r w:rsidR="003735BD">
        <w:rPr>
          <w:kern w:val="0"/>
          <w:szCs w:val="20"/>
          <w:lang w:eastAsia="en-US"/>
        </w:rPr>
        <w:t xml:space="preserve"> licensees </w:t>
      </w:r>
      <w:r w:rsidR="001C478B">
        <w:rPr>
          <w:kern w:val="0"/>
          <w:szCs w:val="20"/>
          <w:lang w:eastAsia="en-US"/>
        </w:rPr>
        <w:t>applying for an additional</w:t>
      </w:r>
      <w:r w:rsidR="0023147C">
        <w:rPr>
          <w:kern w:val="0"/>
          <w:szCs w:val="20"/>
          <w:lang w:eastAsia="en-US"/>
        </w:rPr>
        <w:t>, subsequent</w:t>
      </w:r>
      <w:r w:rsidR="001C478B">
        <w:rPr>
          <w:kern w:val="0"/>
          <w:szCs w:val="20"/>
          <w:lang w:eastAsia="en-US"/>
        </w:rPr>
        <w:t xml:space="preserve"> SBIC license</w:t>
      </w:r>
      <w:r w:rsidR="008E44E5">
        <w:rPr>
          <w:kern w:val="0"/>
          <w:szCs w:val="20"/>
          <w:lang w:eastAsia="en-US"/>
        </w:rPr>
        <w:t>s</w:t>
      </w:r>
      <w:r w:rsidR="001C478B">
        <w:rPr>
          <w:kern w:val="0"/>
          <w:szCs w:val="20"/>
          <w:lang w:eastAsia="en-US"/>
        </w:rPr>
        <w:t xml:space="preserve">. </w:t>
      </w:r>
      <w:r w:rsidR="00997306">
        <w:rPr>
          <w:kern w:val="0"/>
          <w:szCs w:val="20"/>
          <w:lang w:eastAsia="en-US"/>
        </w:rPr>
        <w:t>As part of</w:t>
      </w:r>
      <w:r w:rsidR="00EB63E4">
        <w:rPr>
          <w:kern w:val="0"/>
          <w:szCs w:val="20"/>
          <w:lang w:eastAsia="en-US"/>
        </w:rPr>
        <w:t xml:space="preserve"> the SBA Form 2181 Long Form and Subsequent Fund Application</w:t>
      </w:r>
      <w:r w:rsidR="005B0315">
        <w:rPr>
          <w:kern w:val="0"/>
          <w:szCs w:val="20"/>
          <w:lang w:eastAsia="en-US"/>
        </w:rPr>
        <w:t>s</w:t>
      </w:r>
      <w:r w:rsidR="00997306">
        <w:rPr>
          <w:kern w:val="0"/>
          <w:szCs w:val="20"/>
          <w:lang w:eastAsia="en-US"/>
        </w:rPr>
        <w:t xml:space="preserve">, there are seven individual Exhibits </w:t>
      </w:r>
      <w:r w:rsidR="005B0315">
        <w:rPr>
          <w:kern w:val="0"/>
          <w:szCs w:val="20"/>
          <w:lang w:eastAsia="en-US"/>
        </w:rPr>
        <w:t>that have been separated for ease of use</w:t>
      </w:r>
      <w:r w:rsidR="008E44E5">
        <w:rPr>
          <w:kern w:val="0"/>
          <w:szCs w:val="20"/>
          <w:lang w:eastAsia="en-US"/>
        </w:rPr>
        <w:t xml:space="preserve"> by both applicants and SBA Licensing Analysts. </w:t>
      </w:r>
    </w:p>
    <w:p w:rsidR="00F469D3" w:rsidP="007B444F" w14:paraId="1E1F2A4C" w14:textId="77777777">
      <w:pPr>
        <w:widowControl w:val="0"/>
        <w:suppressAutoHyphens w:val="0"/>
        <w:overflowPunct w:val="0"/>
        <w:autoSpaceDE w:val="0"/>
        <w:autoSpaceDN w:val="0"/>
        <w:adjustRightInd w:val="0"/>
        <w:jc w:val="both"/>
        <w:textAlignment w:val="baseline"/>
        <w:rPr>
          <w:kern w:val="0"/>
          <w:szCs w:val="20"/>
          <w:lang w:eastAsia="en-US"/>
        </w:rPr>
      </w:pPr>
    </w:p>
    <w:p w:rsidR="00913400" w:rsidRPr="00E30145" w:rsidP="00E30145" w14:paraId="209F33E9" w14:textId="5990C23D">
      <w:pPr>
        <w:pStyle w:val="ListParagraph"/>
        <w:numPr>
          <w:ilvl w:val="0"/>
          <w:numId w:val="21"/>
        </w:numPr>
        <w:suppressAutoHyphens w:val="0"/>
        <w:ind w:left="0"/>
        <w:jc w:val="both"/>
        <w:rPr>
          <w:u w:val="single"/>
        </w:rPr>
      </w:pPr>
      <w:r w:rsidRPr="00E54370">
        <w:rPr>
          <w:kern w:val="0"/>
          <w:szCs w:val="20"/>
          <w:u w:val="single"/>
          <w:lang w:eastAsia="en-US"/>
        </w:rPr>
        <w:t>Need &amp; Method for the Information Collection.</w:t>
      </w:r>
      <w:r w:rsidRPr="00E54370" w:rsidR="007B444F">
        <w:rPr>
          <w:kern w:val="0"/>
          <w:szCs w:val="20"/>
          <w:u w:val="single"/>
          <w:lang w:eastAsia="en-US"/>
        </w:rPr>
        <w:t xml:space="preserve"> </w:t>
      </w:r>
      <w:r>
        <w:t xml:space="preserve">The Small Business Investment Act of 1958, as amended (the “Act”), authorizes SBA to license, regulate, and provide leverage to Small Business Investment Companies (“SBICs”) for the purpose of providing financial and management assistance to eligible small business concerns. Section 301(c) of the Act requires that SBA consider certain factors in its evaluation of a license application, including adequate capital; diversification of ownership; whether management is qualified and has the knowledge, </w:t>
      </w:r>
      <w:r>
        <w:t>experience</w:t>
      </w:r>
      <w:r>
        <w:t xml:space="preserve"> and capability necessary to comply with the Act; the need for and availability of financing in the applicant’s proposed service area; the general business reputation of the applicant’s owners and managers; and the probability of successful operations. SBA Form 2181</w:t>
      </w:r>
      <w:r w:rsidR="00B401F7">
        <w:t xml:space="preserve"> and</w:t>
      </w:r>
      <w:r w:rsidR="003E6874">
        <w:t xml:space="preserve"> Exhibits</w:t>
      </w:r>
      <w:r w:rsidR="006C5577">
        <w:t xml:space="preserve">, </w:t>
      </w:r>
      <w:r w:rsidR="00E30145">
        <w:t xml:space="preserve"> </w:t>
      </w:r>
      <w:r w:rsidR="006C5577">
        <w:t xml:space="preserve">referred to collectively as the Management Assessment Questionnaire (MAQ), </w:t>
      </w:r>
      <w:r w:rsidR="00D541AA">
        <w:t>comprise</w:t>
      </w:r>
      <w:r>
        <w:t xml:space="preserve"> the application documents used in the SBIC licensing process</w:t>
      </w:r>
      <w:r w:rsidR="00E30145">
        <w:t>.</w:t>
      </w:r>
      <w:r w:rsidR="00D541AA">
        <w:t xml:space="preserve"> </w:t>
      </w:r>
    </w:p>
    <w:p w:rsidR="001218D6" w:rsidRPr="001218D6" w:rsidP="0001183D" w14:paraId="36EDE49A" w14:textId="77777777">
      <w:pPr>
        <w:suppressAutoHyphens w:val="0"/>
        <w:ind w:hanging="360"/>
      </w:pPr>
    </w:p>
    <w:p w:rsidR="00E21877" w:rsidP="00CB5545" w14:paraId="78D577DB" w14:textId="77777777">
      <w:pPr>
        <w:numPr>
          <w:ilvl w:val="0"/>
          <w:numId w:val="16"/>
        </w:numPr>
        <w:suppressAutoHyphens w:val="0"/>
        <w:spacing w:after="120"/>
        <w:ind w:left="0"/>
        <w:jc w:val="both"/>
      </w:pPr>
      <w:r>
        <w:rPr>
          <w:u w:val="single"/>
        </w:rPr>
        <w:t>Use of</w:t>
      </w:r>
      <w:r w:rsidRPr="002B73C4" w:rsidR="00913400">
        <w:rPr>
          <w:u w:val="single"/>
        </w:rPr>
        <w:t xml:space="preserve"> information.</w:t>
      </w:r>
      <w:r w:rsidRPr="00E30145">
        <w:t xml:space="preserve"> </w:t>
      </w:r>
      <w:r>
        <w:t>The MAQ</w:t>
      </w:r>
      <w:r w:rsidR="00E30145">
        <w:t xml:space="preserve"> </w:t>
      </w:r>
      <w:r w:rsidR="00913400">
        <w:t>provide</w:t>
      </w:r>
      <w:r w:rsidR="00E30145">
        <w:t>s</w:t>
      </w:r>
      <w:r w:rsidR="00913400">
        <w:t xml:space="preserve"> SBA with the information necessary to make informed and proper decisions regarding the approval or denial of an applicant for an SBIC license. </w:t>
      </w:r>
      <w:r w:rsidR="006C5577">
        <w:t xml:space="preserve">The </w:t>
      </w:r>
      <w:r w:rsidR="00E30145">
        <w:t xml:space="preserve">SBA </w:t>
      </w:r>
      <w:r w:rsidR="00913400">
        <w:t xml:space="preserve">Form 2181 </w:t>
      </w:r>
      <w:r w:rsidRPr="00763E03" w:rsidR="00763E03">
        <w:t xml:space="preserve">requests qualitative and quantitative information on </w:t>
      </w:r>
      <w:r>
        <w:t>a proposed</w:t>
      </w:r>
      <w:r w:rsidRPr="00763E03" w:rsidR="00763E03">
        <w:t xml:space="preserve"> management team, the proposed strategy for the SBIC, and the principals’ investment track record. </w:t>
      </w:r>
      <w:r w:rsidR="00913400">
        <w:t>SBA analyzes the information provided to determine whethe</w:t>
      </w:r>
      <w:r w:rsidRPr="002B73C4" w:rsidR="00913400">
        <w:t>r the potential applicant i</w:t>
      </w:r>
      <w:r w:rsidR="00913400">
        <w:t xml:space="preserve">s qualified for an SBIC license. </w:t>
      </w:r>
    </w:p>
    <w:p w:rsidR="00913400" w:rsidP="00CB5545" w14:paraId="2B6AE338" w14:textId="73356983">
      <w:pPr>
        <w:suppressAutoHyphens w:val="0"/>
        <w:spacing w:after="120"/>
        <w:jc w:val="both"/>
      </w:pPr>
      <w:r>
        <w:t xml:space="preserve">Using the newly proposed </w:t>
      </w:r>
      <w:r w:rsidRPr="00E21877">
        <w:t xml:space="preserve">SBA Form 2181 (Short Form) for ‘prescreening’ interested applicants </w:t>
      </w:r>
      <w:r>
        <w:t>allows a potential applicant to have made a relatively modest investment of time and money, i</w:t>
      </w:r>
      <w:r>
        <w:t xml:space="preserve">f SBA does not believe the prospective management team is qualified. If SBA determines that the management team is qualified, the </w:t>
      </w:r>
      <w:r>
        <w:t>applicant</w:t>
      </w:r>
      <w:r>
        <w:t xml:space="preserve"> </w:t>
      </w:r>
      <w:r>
        <w:t>will</w:t>
      </w:r>
      <w:r>
        <w:t xml:space="preserve"> </w:t>
      </w:r>
      <w:r>
        <w:t xml:space="preserve">be </w:t>
      </w:r>
      <w:r>
        <w:t xml:space="preserve">invited to submit </w:t>
      </w:r>
      <w:r w:rsidRPr="00E21877">
        <w:t>SBA Form 2181 (</w:t>
      </w:r>
      <w:r>
        <w:t>Long</w:t>
      </w:r>
      <w:r w:rsidRPr="00E21877">
        <w:t xml:space="preserve"> Form)</w:t>
      </w:r>
      <w:r w:rsidR="002A2152">
        <w:t>, where much of the information used in the Pre</w:t>
      </w:r>
      <w:r w:rsidR="00D22AD8">
        <w:t>-screen MAQ may be repurposed</w:t>
      </w:r>
      <w:r w:rsidR="0001701F">
        <w:t xml:space="preserve"> with little effort</w:t>
      </w:r>
      <w:r>
        <w:t xml:space="preserve">. </w:t>
      </w:r>
    </w:p>
    <w:p w:rsidR="00355CA8" w:rsidP="00CB5545" w14:paraId="6DCA5467" w14:textId="62D04B89">
      <w:pPr>
        <w:jc w:val="both"/>
      </w:pPr>
      <w:r>
        <w:t>SBA’s licensing and legal staff use the information collected</w:t>
      </w:r>
      <w:r w:rsidR="00E21877">
        <w:t xml:space="preserve"> in the MAQ</w:t>
      </w:r>
      <w:r>
        <w:t xml:space="preserve"> about an applicant to evaluate whether the applicant’s structure, capitalization, ownership, and investment strategy are </w:t>
      </w:r>
      <w:r>
        <w:t xml:space="preserve">consistent with SBA’s regulatory requirements. The staff also reviews the business plan for consistency with private equity industry norms to evaluate the probability of successful operations. </w:t>
      </w:r>
      <w:r w:rsidR="00E21877">
        <w:t xml:space="preserve">SBA staff evaluates </w:t>
      </w:r>
      <w:r w:rsidR="00687BB2">
        <w:t xml:space="preserve">the information collected in the MAQ about proposed SBIC fund managers </w:t>
      </w:r>
      <w:r w:rsidR="00E21877">
        <w:t>to determine whether they have the professional qualifications to operate an SBIC and are of good character</w:t>
      </w:r>
      <w:r>
        <w:t xml:space="preserve">. This process includes reference checks, independent verification of résumé information, review of any involvement in bankruptcy or litigation, and searches of public records for tax liens, judgments, etc. SBA uses all </w:t>
      </w:r>
      <w:r w:rsidR="006C32FA">
        <w:t>the</w:t>
      </w:r>
      <w:r>
        <w:t xml:space="preserve"> information</w:t>
      </w:r>
      <w:r w:rsidR="006C32FA">
        <w:t xml:space="preserve"> collected</w:t>
      </w:r>
      <w:r>
        <w:t xml:space="preserve"> </w:t>
      </w:r>
      <w:r w:rsidR="002B4B64">
        <w:t>in the M</w:t>
      </w:r>
      <w:r w:rsidR="00CB5545">
        <w:t xml:space="preserve">AQ </w:t>
      </w:r>
      <w:r>
        <w:t>to determine whether to approve an applicant for an SBIC license.</w:t>
      </w:r>
    </w:p>
    <w:p w:rsidR="00355CA8" w:rsidP="00355CA8" w14:paraId="58E17B00" w14:textId="77777777"/>
    <w:p w:rsidR="001218D6" w:rsidP="00355CA8" w14:paraId="0AB32383" w14:textId="4FF3D744">
      <w:pPr>
        <w:numPr>
          <w:ilvl w:val="1"/>
          <w:numId w:val="14"/>
        </w:numPr>
        <w:suppressAutoHyphens w:val="0"/>
        <w:ind w:left="0"/>
        <w:jc w:val="both"/>
      </w:pPr>
      <w:r w:rsidRPr="00385E7B">
        <w:rPr>
          <w:u w:val="single"/>
        </w:rPr>
        <w:t xml:space="preserve">Use of Information </w:t>
      </w:r>
      <w:r w:rsidRPr="00385E7B" w:rsidR="00891D70">
        <w:rPr>
          <w:u w:val="single"/>
        </w:rPr>
        <w:t>Technolog</w:t>
      </w:r>
      <w:r w:rsidRPr="00385E7B">
        <w:rPr>
          <w:u w:val="single"/>
        </w:rPr>
        <w:t>y</w:t>
      </w:r>
      <w:r w:rsidRPr="00385E7B" w:rsidR="00891D70">
        <w:rPr>
          <w:u w:val="single"/>
        </w:rPr>
        <w:t>.</w:t>
      </w:r>
      <w:r w:rsidRPr="00385E7B">
        <w:t xml:space="preserve"> </w:t>
      </w:r>
      <w:r w:rsidR="00891D70">
        <w:t xml:space="preserve">SBA application forms are made available for download </w:t>
      </w:r>
      <w:r w:rsidR="00763335">
        <w:t xml:space="preserve">from the SBIC Program webpage at </w:t>
      </w:r>
      <w:r w:rsidRPr="00763335" w:rsidR="00763335">
        <w:rPr>
          <w:rStyle w:val="Hyperlink"/>
        </w:rPr>
        <w:t>https://www.sba.gov/partners/sbics/apply-be-sbic</w:t>
      </w:r>
      <w:r w:rsidR="00891D70">
        <w:t>. All application materials are prepared using Microsoft Excel</w:t>
      </w:r>
      <w:r w:rsidR="00691378">
        <w:t xml:space="preserve"> and</w:t>
      </w:r>
      <w:r w:rsidR="00891D70">
        <w:t xml:space="preserve"> accepted </w:t>
      </w:r>
      <w:r w:rsidR="00095092">
        <w:t xml:space="preserve">only </w:t>
      </w:r>
      <w:r w:rsidR="00891D70">
        <w:t xml:space="preserve">in electronic format </w:t>
      </w:r>
      <w:r w:rsidR="00691378">
        <w:t xml:space="preserve">to </w:t>
      </w:r>
      <w:r w:rsidR="00BE3F5D">
        <w:t>reduce burden and</w:t>
      </w:r>
      <w:r w:rsidR="00891D70">
        <w:t xml:space="preserve"> speed the preparation and review process. </w:t>
      </w:r>
      <w:r w:rsidR="0017598A">
        <w:t>SBA Form 2181</w:t>
      </w:r>
      <w:r w:rsidR="000F3246">
        <w:t xml:space="preserve"> prepared in Excel will provide applicants and SBA with the greatest flexibility to manipulate and analyze quantitative information.</w:t>
      </w:r>
      <w:r w:rsidR="00891D70">
        <w:t xml:space="preserve"> Applicants </w:t>
      </w:r>
      <w:r w:rsidR="0017598A">
        <w:t>may</w:t>
      </w:r>
      <w:r w:rsidR="00891D70">
        <w:t xml:space="preserve"> still be required to submit </w:t>
      </w:r>
      <w:r w:rsidR="000F3246">
        <w:t xml:space="preserve">portions of </w:t>
      </w:r>
      <w:r w:rsidR="00891D70">
        <w:t xml:space="preserve">their </w:t>
      </w:r>
      <w:r w:rsidR="00355CA8">
        <w:t>final l</w:t>
      </w:r>
      <w:r w:rsidR="00891D70">
        <w:t>icens</w:t>
      </w:r>
      <w:r w:rsidR="00355CA8">
        <w:t>ing documents</w:t>
      </w:r>
      <w:r w:rsidR="00891D70">
        <w:t xml:space="preserve"> in hard copy so SBA may maintain a record of signed originals.</w:t>
      </w:r>
    </w:p>
    <w:p w:rsidR="001218D6" w:rsidP="00856586" w14:paraId="15661163" w14:textId="77777777">
      <w:pPr>
        <w:suppressAutoHyphens w:val="0"/>
        <w:ind w:hanging="360"/>
      </w:pPr>
    </w:p>
    <w:p w:rsidR="00F25956" w:rsidP="00385E7B" w14:paraId="22C5FE55" w14:textId="25804F37">
      <w:pPr>
        <w:numPr>
          <w:ilvl w:val="1"/>
          <w:numId w:val="14"/>
        </w:numPr>
        <w:suppressAutoHyphens w:val="0"/>
        <w:ind w:left="0"/>
        <w:jc w:val="both"/>
      </w:pPr>
      <w:r w:rsidRPr="002206DA">
        <w:rPr>
          <w:u w:val="single"/>
        </w:rPr>
        <w:t>Non</w:t>
      </w:r>
      <w:r w:rsidRPr="002206DA" w:rsidR="002206DA">
        <w:rPr>
          <w:u w:val="single"/>
        </w:rPr>
        <w:t>-d</w:t>
      </w:r>
      <w:r w:rsidRPr="002206DA" w:rsidR="001218D6">
        <w:rPr>
          <w:u w:val="single"/>
        </w:rPr>
        <w:t>uplication.</w:t>
      </w:r>
      <w:r w:rsidRPr="002206DA" w:rsidR="001218D6">
        <w:t xml:space="preserve"> </w:t>
      </w:r>
      <w:r w:rsidR="00E92171">
        <w:t xml:space="preserve">The MAQ </w:t>
      </w:r>
      <w:r>
        <w:t>require</w:t>
      </w:r>
      <w:r w:rsidR="002206DA">
        <w:t>s</w:t>
      </w:r>
      <w:r>
        <w:t xml:space="preserve"> information that is relevant to the formation and operation of an SBIC. Companies are newly formed for the specific purpose of seeking an SBIC license and have not previously reported the required information to SBA or any other </w:t>
      </w:r>
      <w:r w:rsidR="002206DA">
        <w:t>g</w:t>
      </w:r>
      <w:r>
        <w:t xml:space="preserve">overnmental entity. Another SBA form (Form 912) entitled “Statement of Personal History” has some questions </w:t>
      </w:r>
      <w:r>
        <w:t>similar to</w:t>
      </w:r>
      <w:r>
        <w:t xml:space="preserve"> those in </w:t>
      </w:r>
      <w:r w:rsidR="002206DA">
        <w:t>SBA</w:t>
      </w:r>
      <w:r>
        <w:t xml:space="preserve"> Form 218</w:t>
      </w:r>
      <w:r w:rsidR="002206DA">
        <w:t>1</w:t>
      </w:r>
      <w:r>
        <w:t xml:space="preserve">, </w:t>
      </w:r>
      <w:r w:rsidR="002206DA">
        <w:t>but SBA</w:t>
      </w:r>
      <w:r>
        <w:t xml:space="preserve"> Form 912 was designed for use in SBA lending programs and does not collect the same information as </w:t>
      </w:r>
      <w:r w:rsidR="002206DA">
        <w:t>SBA</w:t>
      </w:r>
      <w:r>
        <w:t xml:space="preserve"> Form 218</w:t>
      </w:r>
      <w:r w:rsidR="002206DA">
        <w:t>1</w:t>
      </w:r>
      <w:r>
        <w:t>.</w:t>
      </w:r>
    </w:p>
    <w:p w:rsidR="00F25956" w:rsidP="00385E7B" w14:paraId="20BABAC7" w14:textId="77777777">
      <w:pPr>
        <w:suppressAutoHyphens w:val="0"/>
        <w:ind w:hanging="360"/>
        <w:jc w:val="both"/>
      </w:pPr>
    </w:p>
    <w:p w:rsidR="00F25956" w:rsidP="00385E7B" w14:paraId="369C2B1A" w14:textId="4AA60F6D">
      <w:pPr>
        <w:jc w:val="both"/>
      </w:pPr>
      <w:r>
        <w:t xml:space="preserve">In some cases, SBIC applicants may have already prepared some of the information requested in </w:t>
      </w:r>
      <w:r w:rsidR="00E92171">
        <w:t>in the MAQ</w:t>
      </w:r>
      <w:r>
        <w:t xml:space="preserve"> </w:t>
      </w:r>
      <w:r w:rsidR="00E92171">
        <w:t xml:space="preserve">for </w:t>
      </w:r>
      <w:r>
        <w:t>private investors. Where appropriate, these applicants are encouraged to use pre-existing materials to satisfy SBA’s information requests and thus limit the amount of new material that must be produced.</w:t>
      </w:r>
    </w:p>
    <w:p w:rsidR="00F25956" w:rsidP="00856586" w14:paraId="202E50E0" w14:textId="77777777">
      <w:pPr>
        <w:suppressAutoHyphens w:val="0"/>
        <w:ind w:hanging="360"/>
        <w:rPr>
          <w:u w:val="single"/>
        </w:rPr>
      </w:pPr>
    </w:p>
    <w:p w:rsidR="00F25956" w:rsidP="00CE1FCA" w14:paraId="048D06BC" w14:textId="74221B7D">
      <w:pPr>
        <w:numPr>
          <w:ilvl w:val="1"/>
          <w:numId w:val="14"/>
        </w:numPr>
        <w:suppressAutoHyphens w:val="0"/>
        <w:ind w:left="0"/>
        <w:jc w:val="both"/>
      </w:pPr>
      <w:r w:rsidRPr="00CE1FCA">
        <w:rPr>
          <w:u w:val="single"/>
        </w:rPr>
        <w:t>Burden</w:t>
      </w:r>
      <w:r w:rsidRPr="00CE1FCA">
        <w:rPr>
          <w:u w:val="single"/>
        </w:rPr>
        <w:t xml:space="preserve"> on </w:t>
      </w:r>
      <w:r w:rsidRPr="00CE1FCA">
        <w:rPr>
          <w:u w:val="single"/>
        </w:rPr>
        <w:t>S</w:t>
      </w:r>
      <w:r w:rsidRPr="00CE1FCA">
        <w:rPr>
          <w:u w:val="single"/>
        </w:rPr>
        <w:t xml:space="preserve">mall </w:t>
      </w:r>
      <w:r w:rsidRPr="00CE1FCA">
        <w:rPr>
          <w:u w:val="single"/>
        </w:rPr>
        <w:t>B</w:t>
      </w:r>
      <w:r w:rsidRPr="00CE1FCA">
        <w:rPr>
          <w:u w:val="single"/>
        </w:rPr>
        <w:t>usiness.</w:t>
      </w:r>
      <w:r>
        <w:t xml:space="preserve"> The majority of applicants for an SBIC license </w:t>
      </w:r>
      <w:r>
        <w:t>are</w:t>
      </w:r>
      <w:r>
        <w:t xml:space="preserve"> small entities. These entities typically are newly formed for the purpose of seeking an SBIC license. This information collection will not have a significant impact on a substantial number of these entities. The one-time burden of completing </w:t>
      </w:r>
      <w:r w:rsidR="0075071A">
        <w:t>the MAQ</w:t>
      </w:r>
      <w:r>
        <w:t xml:space="preserve"> </w:t>
      </w:r>
      <w:r>
        <w:t xml:space="preserve">is part of the overall process of organizing and capitalizing the </w:t>
      </w:r>
      <w:r w:rsidR="0001570E">
        <w:t>SBIC applicant</w:t>
      </w:r>
      <w:r>
        <w:t>.</w:t>
      </w:r>
      <w:r w:rsidR="004D2915">
        <w:t xml:space="preserve"> SBA has taken significant steps in reducing the overall burden on both entities and individuals by streamlining both licensing process a</w:t>
      </w:r>
      <w:r w:rsidR="00987A94">
        <w:t xml:space="preserve">nd the MAQ, to include eliminating need for </w:t>
      </w:r>
      <w:r w:rsidR="00024CFA">
        <w:t>certain portions of the current requirements such as</w:t>
      </w:r>
      <w:r w:rsidR="001D1178">
        <w:t xml:space="preserve"> </w:t>
      </w:r>
      <w:r w:rsidRPr="001D1178" w:rsidR="001D1178">
        <w:t>no longer requiring monthly cash flow detail</w:t>
      </w:r>
      <w:r w:rsidR="001D1178">
        <w:t>s</w:t>
      </w:r>
      <w:r w:rsidRPr="001D1178" w:rsidR="001D1178">
        <w:t xml:space="preserve"> on individual investments</w:t>
      </w:r>
      <w:r w:rsidR="00D724F0">
        <w:t xml:space="preserve"> and</w:t>
      </w:r>
      <w:r w:rsidR="001B19E3">
        <w:t xml:space="preserve"> </w:t>
      </w:r>
      <w:r w:rsidRPr="001B19E3" w:rsidR="001B19E3">
        <w:t>individual portfolio company investment terms and debt-related provisions</w:t>
      </w:r>
      <w:r w:rsidR="00D724F0">
        <w:t xml:space="preserve">. </w:t>
      </w:r>
      <w:bookmarkStart w:id="0" w:name="_Hlk137535067"/>
      <w:r w:rsidR="00B51CEA">
        <w:t>Additionally, c</w:t>
      </w:r>
      <w:r w:rsidRPr="00B51CEA" w:rsidR="00B51CEA">
        <w:t xml:space="preserve">onsolidation </w:t>
      </w:r>
      <w:r w:rsidR="00B51CEA">
        <w:t>of the previous three-form</w:t>
      </w:r>
      <w:r w:rsidR="00E37365">
        <w:t xml:space="preserve"> application </w:t>
      </w:r>
      <w:r w:rsidR="0054775C">
        <w:t xml:space="preserve">process </w:t>
      </w:r>
      <w:r w:rsidRPr="00B51CEA" w:rsidR="00B51CEA">
        <w:t xml:space="preserve">into </w:t>
      </w:r>
      <w:r w:rsidR="00E37365">
        <w:t xml:space="preserve">the use of </w:t>
      </w:r>
      <w:r w:rsidRPr="00B51CEA" w:rsidR="00B51CEA">
        <w:t xml:space="preserve">one form with attachments aligns with proposed changes in </w:t>
      </w:r>
      <w:r w:rsidR="00E37365">
        <w:t xml:space="preserve">SBA’s </w:t>
      </w:r>
      <w:r w:rsidRPr="00B51CEA" w:rsidR="00B51CEA">
        <w:t>licens</w:t>
      </w:r>
      <w:r w:rsidR="00E37365">
        <w:t>e</w:t>
      </w:r>
      <w:r w:rsidRPr="00B51CEA" w:rsidR="00B51CEA">
        <w:t xml:space="preserve"> application process, </w:t>
      </w:r>
      <w:r w:rsidR="00E37365">
        <w:t>to allow the</w:t>
      </w:r>
      <w:r w:rsidRPr="00B51CEA" w:rsidR="00B51CEA">
        <w:t xml:space="preserve"> submission of </w:t>
      </w:r>
      <w:r w:rsidR="00E37365">
        <w:t xml:space="preserve">a </w:t>
      </w:r>
      <w:r w:rsidRPr="00B51CEA" w:rsidR="00B51CEA">
        <w:t>complete MAQ with draft legal documents</w:t>
      </w:r>
      <w:r w:rsidR="00E37365">
        <w:t>,</w:t>
      </w:r>
      <w:r w:rsidRPr="00B51CEA" w:rsidR="00B51CEA">
        <w:t xml:space="preserve"> up-front</w:t>
      </w:r>
      <w:r w:rsidR="006572C0">
        <w:t>,</w:t>
      </w:r>
      <w:r w:rsidRPr="00B51CEA" w:rsidR="00B51CEA">
        <w:t xml:space="preserve"> as part of green-light approval</w:t>
      </w:r>
      <w:r w:rsidR="006572C0">
        <w:t xml:space="preserve">, which </w:t>
      </w:r>
      <w:r w:rsidR="0054775C">
        <w:t xml:space="preserve">provides for an </w:t>
      </w:r>
      <w:r w:rsidRPr="006572C0" w:rsidR="006572C0">
        <w:t>overall data collection burden to be a net reduction</w:t>
      </w:r>
      <w:r w:rsidR="0054775C">
        <w:t>.</w:t>
      </w:r>
    </w:p>
    <w:p w:rsidR="00F25956" w:rsidP="00CE1FCA" w14:paraId="3148103F" w14:textId="77777777">
      <w:pPr>
        <w:suppressAutoHyphens w:val="0"/>
        <w:ind w:hanging="360"/>
        <w:jc w:val="both"/>
      </w:pPr>
    </w:p>
    <w:bookmarkEnd w:id="0"/>
    <w:p w:rsidR="00A40757" w:rsidP="00CE1FCA" w14:paraId="2800B1C4" w14:textId="76E24F8E">
      <w:pPr>
        <w:numPr>
          <w:ilvl w:val="1"/>
          <w:numId w:val="14"/>
        </w:numPr>
        <w:suppressAutoHyphens w:val="0"/>
        <w:ind w:left="0"/>
        <w:jc w:val="both"/>
      </w:pPr>
      <w:r w:rsidRPr="00C96CC7">
        <w:rPr>
          <w:u w:val="single"/>
        </w:rPr>
        <w:t xml:space="preserve">Less Frequent </w:t>
      </w:r>
      <w:r w:rsidRPr="00C96CC7" w:rsidR="00C96CC7">
        <w:rPr>
          <w:u w:val="single"/>
        </w:rPr>
        <w:t>C</w:t>
      </w:r>
      <w:r w:rsidRPr="00C96CC7" w:rsidR="00F25956">
        <w:rPr>
          <w:u w:val="single"/>
        </w:rPr>
        <w:t>ollection.</w:t>
      </w:r>
      <w:r w:rsidRPr="00C96CC7" w:rsidR="00C96CC7">
        <w:t xml:space="preserve"> </w:t>
      </w:r>
      <w:r w:rsidR="0075071A">
        <w:t>The MAQ</w:t>
      </w:r>
      <w:r w:rsidR="001E6103">
        <w:t xml:space="preserve"> </w:t>
      </w:r>
      <w:r w:rsidR="00CE1FCA">
        <w:t>is</w:t>
      </w:r>
      <w:r w:rsidR="001E6103">
        <w:t xml:space="preserve"> critical to the integrity of the SBIC licensing process.  There is no similar information available that can be used to accomplish the purposes of this collection. If the information were not collected, SBA would be unable to meet its statutory responsibilities </w:t>
      </w:r>
      <w:r w:rsidR="001E6103">
        <w:t xml:space="preserve">with respect to the licensing and oversight of SBICs. </w:t>
      </w:r>
      <w:r w:rsidR="00CE1FCA">
        <w:t>Because</w:t>
      </w:r>
      <w:r w:rsidR="001E6103">
        <w:t xml:space="preserve"> </w:t>
      </w:r>
      <w:r w:rsidR="00CE1FCA">
        <w:t>SBA</w:t>
      </w:r>
      <w:r w:rsidR="001E6103">
        <w:t xml:space="preserve"> only collect</w:t>
      </w:r>
      <w:r w:rsidR="00CE1FCA">
        <w:t>s</w:t>
      </w:r>
      <w:r w:rsidR="001E6103">
        <w:t xml:space="preserve"> this information once per respondent it cannot be conducted less frequently.</w:t>
      </w:r>
    </w:p>
    <w:p w:rsidR="00A40757" w:rsidRPr="00A40757" w:rsidP="00C96CC7" w14:paraId="3DB07901" w14:textId="77777777">
      <w:pPr>
        <w:suppressAutoHyphens w:val="0"/>
        <w:ind w:hanging="360"/>
        <w:jc w:val="both"/>
      </w:pPr>
    </w:p>
    <w:p w:rsidR="0064144A" w:rsidP="003614B2" w14:paraId="62B68D0B" w14:textId="3EC543E8">
      <w:pPr>
        <w:numPr>
          <w:ilvl w:val="1"/>
          <w:numId w:val="14"/>
        </w:numPr>
        <w:suppressAutoHyphens w:val="0"/>
        <w:ind w:left="0"/>
        <w:jc w:val="both"/>
      </w:pPr>
      <w:r w:rsidRPr="00375928">
        <w:rPr>
          <w:u w:val="single"/>
        </w:rPr>
        <w:t xml:space="preserve">Paperwork Reduction Act Guidelines. </w:t>
      </w:r>
      <w:r w:rsidR="00623C6F">
        <w:t xml:space="preserve">SBIC applicants </w:t>
      </w:r>
      <w:r w:rsidR="00F25956">
        <w:t>are required to submit confidential business information. Without this information, SBA could not satisfy its statutory obligation to evaluate an applicant’s probability of successful operations, as well as the qualifications, experience</w:t>
      </w:r>
      <w:r w:rsidR="00623C6F">
        <w:t>,</w:t>
      </w:r>
      <w:r w:rsidR="00F25956">
        <w:t xml:space="preserve"> and business reputation of prospective SBIC managers. The information collected will be protected to the extent permitted by law.</w:t>
      </w:r>
      <w:r w:rsidR="00A86E8D">
        <w:t xml:space="preserve"> </w:t>
      </w:r>
      <w:r w:rsidRPr="00A86E8D" w:rsidR="00A86E8D">
        <w:t xml:space="preserve">There are no </w:t>
      </w:r>
      <w:r w:rsidR="005512F3">
        <w:t xml:space="preserve">other </w:t>
      </w:r>
      <w:r w:rsidRPr="00A86E8D" w:rsidR="00A86E8D">
        <w:t>special circumstances that would cause the conditions described.</w:t>
      </w:r>
    </w:p>
    <w:p w:rsidR="0064144A" w:rsidP="0001183D" w14:paraId="2EFA0A11" w14:textId="77777777">
      <w:pPr>
        <w:suppressAutoHyphens w:val="0"/>
        <w:jc w:val="both"/>
      </w:pPr>
    </w:p>
    <w:p w:rsidR="003614B2" w:rsidRPr="0001183D" w:rsidP="0001183D" w14:paraId="4C157627" w14:textId="1F546F93">
      <w:pPr>
        <w:numPr>
          <w:ilvl w:val="1"/>
          <w:numId w:val="14"/>
        </w:numPr>
        <w:suppressAutoHyphens w:val="0"/>
        <w:ind w:left="0"/>
        <w:jc w:val="both"/>
        <w:rPr>
          <w:u w:val="single"/>
        </w:rPr>
      </w:pPr>
      <w:r w:rsidRPr="0001183D">
        <w:rPr>
          <w:u w:val="single"/>
        </w:rPr>
        <w:t>Consultation and Public Comments.</w:t>
      </w:r>
      <w:r w:rsidRPr="0001183D">
        <w:t xml:space="preserve"> </w:t>
      </w:r>
      <w:r w:rsidRPr="0064144A">
        <w:t>A 60-day notice was published in the Federal Register on Monday, November 28, 2022</w:t>
      </w:r>
      <w:r w:rsidR="00252D28">
        <w:t>,</w:t>
      </w:r>
      <w:r w:rsidRPr="00252D28" w:rsidR="00252D28">
        <w:rPr>
          <w:rFonts w:ascii="Tms Rmn" w:hAnsi="Tms Rmn"/>
          <w:kern w:val="0"/>
          <w:szCs w:val="20"/>
          <w:lang w:eastAsia="en-US"/>
        </w:rPr>
        <w:t xml:space="preserve"> </w:t>
      </w:r>
      <w:hyperlink r:id="rId8">
        <w:r w:rsidRPr="009E4D3B" w:rsidR="00252D28">
          <w:rPr>
            <w:color w:val="0000FF"/>
            <w:kern w:val="0"/>
            <w:szCs w:val="20"/>
            <w:u w:val="single"/>
            <w:lang w:eastAsia="en-US"/>
          </w:rPr>
          <w:t xml:space="preserve">87 FR </w:t>
        </w:r>
        <w:r w:rsidRPr="006B2851" w:rsidR="00252D28">
          <w:rPr>
            <w:color w:val="0000FF"/>
            <w:kern w:val="0"/>
            <w:szCs w:val="20"/>
            <w:u w:val="single"/>
            <w:lang w:eastAsia="en-US"/>
          </w:rPr>
          <w:t>73062</w:t>
        </w:r>
      </w:hyperlink>
      <w:r w:rsidRPr="0064144A">
        <w:t>. The comment period closed on Friday, January 27, 2023.</w:t>
      </w:r>
    </w:p>
    <w:p w:rsidR="0064144A" w:rsidP="0064144A" w14:paraId="38CCFDA8" w14:textId="77777777">
      <w:pPr>
        <w:suppressAutoHyphens w:val="0"/>
        <w:jc w:val="both"/>
      </w:pPr>
    </w:p>
    <w:p w:rsidR="0064144A" w:rsidP="0064144A" w14:paraId="2B2BE9A7" w14:textId="2155FF60">
      <w:pPr>
        <w:suppressAutoHyphens w:val="0"/>
        <w:jc w:val="both"/>
      </w:pPr>
      <w:r w:rsidRPr="00A61BDF">
        <w:t xml:space="preserve">SBA received comments from the leading industry trade group </w:t>
      </w:r>
      <w:r>
        <w:t xml:space="preserve">falling into the following categories: 1) </w:t>
      </w:r>
      <w:r w:rsidRPr="00A96260">
        <w:t>support</w:t>
      </w:r>
      <w:r>
        <w:t>ing</w:t>
      </w:r>
      <w:r w:rsidRPr="00A96260">
        <w:t xml:space="preserve"> continued use</w:t>
      </w:r>
      <w:r>
        <w:t xml:space="preserve"> of the MAQ, 2) requesting SBA </w:t>
      </w:r>
      <w:r w:rsidRPr="00A96260">
        <w:t>streamline both the MAQ format and completion process to mitigate time and cost burdens on applicants</w:t>
      </w:r>
      <w:r>
        <w:t xml:space="preserve">, 3) asking SBA to stay within the bounds of the Act on the specific information collected, and 4) recommending </w:t>
      </w:r>
      <w:r w:rsidRPr="00A70B85">
        <w:t>SBA exempt the MAQ requirement for qualifying SBICs applying for a repeat license.</w:t>
      </w:r>
      <w:r w:rsidRPr="00A70B85">
        <w:t xml:space="preserve"> </w:t>
      </w:r>
    </w:p>
    <w:p w:rsidR="0064144A" w:rsidP="0064144A" w14:paraId="4EAF7A6B" w14:textId="77777777">
      <w:pPr>
        <w:suppressAutoHyphens w:val="0"/>
        <w:ind w:hanging="360"/>
        <w:jc w:val="both"/>
      </w:pPr>
    </w:p>
    <w:p w:rsidR="00CE2507" w:rsidP="0001183D" w14:paraId="57A89495" w14:textId="28684168">
      <w:pPr>
        <w:suppressAutoHyphens w:val="0"/>
        <w:jc w:val="both"/>
      </w:pPr>
      <w:r w:rsidRPr="00B91624">
        <w:t xml:space="preserve">All comments were </w:t>
      </w:r>
      <w:r>
        <w:t xml:space="preserve">considered and incorporated except for exempting MAQ requirements for subsequent funds. </w:t>
      </w:r>
      <w:r w:rsidRPr="00F62C8F" w:rsidR="00F62C8F">
        <w:t>Under the Act and under 13 CFR 107.410 and 107.680, SBA has the same responsibility to review and approve the qualifications of these individuals as it does for proposed managers and owners of new license applicants.</w:t>
      </w:r>
      <w:r w:rsidRPr="00B91624">
        <w:t xml:space="preserve"> </w:t>
      </w:r>
      <w:r w:rsidR="007B2C03">
        <w:t xml:space="preserve">However, </w:t>
      </w:r>
      <w:r w:rsidR="00961E14">
        <w:t xml:space="preserve">in the spirit </w:t>
      </w:r>
      <w:r w:rsidR="0001183D">
        <w:t xml:space="preserve">of </w:t>
      </w:r>
      <w:r w:rsidRPr="0001183D" w:rsidR="0001183D">
        <w:t>streamlin</w:t>
      </w:r>
      <w:r w:rsidR="0001183D">
        <w:t>ing</w:t>
      </w:r>
      <w:r w:rsidRPr="0001183D" w:rsidR="0001183D">
        <w:t xml:space="preserve"> the MAQ format and completion process</w:t>
      </w:r>
      <w:r w:rsidR="0001183D">
        <w:t>,</w:t>
      </w:r>
      <w:r w:rsidR="00961E14">
        <w:t xml:space="preserve"> </w:t>
      </w:r>
      <w:r w:rsidR="007B2C03">
        <w:t xml:space="preserve">SBA </w:t>
      </w:r>
      <w:r w:rsidR="00113C1C">
        <w:t>has developed a shorter, more streamlined MAQ specifically for subsequent funds</w:t>
      </w:r>
      <w:r w:rsidR="00961E14">
        <w:t xml:space="preserve">. </w:t>
      </w:r>
      <w:r w:rsidR="007B2C03">
        <w:t xml:space="preserve"> </w:t>
      </w:r>
    </w:p>
    <w:p w:rsidR="00952281" w:rsidP="00617ACD" w14:paraId="217C8A3F" w14:textId="77777777">
      <w:pPr>
        <w:suppressAutoHyphens w:val="0"/>
        <w:jc w:val="both"/>
      </w:pPr>
    </w:p>
    <w:p w:rsidR="00A40757" w:rsidP="005C3122" w14:paraId="2A32D1F6" w14:textId="57EAC48C">
      <w:pPr>
        <w:numPr>
          <w:ilvl w:val="1"/>
          <w:numId w:val="14"/>
        </w:numPr>
        <w:suppressAutoHyphens w:val="0"/>
        <w:ind w:left="0"/>
        <w:jc w:val="both"/>
      </w:pPr>
      <w:r w:rsidRPr="0017304C">
        <w:rPr>
          <w:u w:val="single"/>
        </w:rPr>
        <w:t xml:space="preserve">Gifts or </w:t>
      </w:r>
      <w:r w:rsidRPr="0017304C" w:rsidR="00952281">
        <w:rPr>
          <w:u w:val="single"/>
        </w:rPr>
        <w:t>Payment.</w:t>
      </w:r>
      <w:r w:rsidRPr="0017304C">
        <w:t xml:space="preserve"> </w:t>
      </w:r>
      <w:r w:rsidRPr="006665C7" w:rsidR="006665C7">
        <w:t>No payments or gifts are provided to respondents.</w:t>
      </w:r>
    </w:p>
    <w:p w:rsidR="00A40757" w:rsidP="0017304C" w14:paraId="7AAD97C4" w14:textId="77777777">
      <w:pPr>
        <w:suppressAutoHyphens w:val="0"/>
        <w:ind w:hanging="360"/>
        <w:jc w:val="both"/>
      </w:pPr>
    </w:p>
    <w:p w:rsidR="00595B1E" w:rsidP="0017304C" w14:paraId="4CD943B1" w14:textId="7F727A5F">
      <w:pPr>
        <w:numPr>
          <w:ilvl w:val="1"/>
          <w:numId w:val="14"/>
        </w:numPr>
        <w:ind w:left="0"/>
        <w:jc w:val="both"/>
      </w:pPr>
      <w:r w:rsidRPr="00053C3C">
        <w:rPr>
          <w:u w:val="single"/>
        </w:rPr>
        <w:t>Privacy and</w:t>
      </w:r>
      <w:r w:rsidRPr="00053C3C" w:rsidR="00952281">
        <w:rPr>
          <w:u w:val="single"/>
        </w:rPr>
        <w:t xml:space="preserve"> </w:t>
      </w:r>
      <w:r w:rsidRPr="00053C3C">
        <w:rPr>
          <w:u w:val="single"/>
        </w:rPr>
        <w:t>C</w:t>
      </w:r>
      <w:r w:rsidRPr="00053C3C" w:rsidR="00952281">
        <w:rPr>
          <w:u w:val="single"/>
        </w:rPr>
        <w:t>onfidentiality.</w:t>
      </w:r>
      <w:r w:rsidRPr="00053C3C" w:rsidR="00053C3C">
        <w:t xml:space="preserve"> </w:t>
      </w:r>
      <w:r w:rsidR="00952281">
        <w:t xml:space="preserve">The information collected in SBA Form 2181 includes personal data concerning managers of the proposed SBIC, financial data for companies with which the managers are or have been associated, and projected financial data for the proposed SBIC. </w:t>
      </w:r>
      <w:r w:rsidRPr="003068CD" w:rsidR="003068CD">
        <w:t xml:space="preserve">SBA Form </w:t>
      </w:r>
      <w:r w:rsidR="003068CD">
        <w:t>218</w:t>
      </w:r>
      <w:r w:rsidRPr="003068CD" w:rsidR="003068CD">
        <w:t xml:space="preserve">1 also requests </w:t>
      </w:r>
      <w:r w:rsidR="009D3065">
        <w:t xml:space="preserve">personal </w:t>
      </w:r>
      <w:r w:rsidR="003068CD">
        <w:t xml:space="preserve">background </w:t>
      </w:r>
      <w:r w:rsidRPr="003068CD" w:rsidR="003068CD">
        <w:t>information</w:t>
      </w:r>
      <w:r w:rsidR="009D3116">
        <w:t xml:space="preserve"> (such as, </w:t>
      </w:r>
      <w:r w:rsidR="00615833">
        <w:t xml:space="preserve">name, date of birth, address, social security number, </w:t>
      </w:r>
      <w:r w:rsidR="00D84488">
        <w:t>tax EINs,</w:t>
      </w:r>
      <w:r w:rsidR="000B3898">
        <w:t xml:space="preserve"> contact information</w:t>
      </w:r>
      <w:r w:rsidR="009D3116">
        <w:t>)</w:t>
      </w:r>
      <w:r w:rsidR="00D55513">
        <w:t>,</w:t>
      </w:r>
      <w:r w:rsidRPr="003068CD" w:rsidR="003068CD">
        <w:t xml:space="preserve"> which is needed to fulfill SBA’s statutory responsibilities with respect to </w:t>
      </w:r>
      <w:r w:rsidR="00EC098D">
        <w:t xml:space="preserve">oversight and risk management under the Act </w:t>
      </w:r>
      <w:r w:rsidRPr="003068CD" w:rsidR="003068CD">
        <w:t xml:space="preserve">to </w:t>
      </w:r>
      <w:r w:rsidRPr="007E6DC5" w:rsidR="007E6DC5">
        <w:t>make decisions regarding the approval or denial of an applicant for an SBIC license</w:t>
      </w:r>
      <w:r w:rsidR="007E6DC5">
        <w:t>.</w:t>
      </w:r>
      <w:r w:rsidR="00D55513">
        <w:t xml:space="preserve"> This system is associated </w:t>
      </w:r>
      <w:r w:rsidR="00B45448">
        <w:t xml:space="preserve">with </w:t>
      </w:r>
      <w:r w:rsidR="00247015">
        <w:t xml:space="preserve">the </w:t>
      </w:r>
      <w:r w:rsidR="00B45448">
        <w:t>OII C</w:t>
      </w:r>
      <w:r w:rsidR="00B60CC2">
        <w:t xml:space="preserve">ustomer </w:t>
      </w:r>
      <w:r w:rsidR="00B45448">
        <w:t>R</w:t>
      </w:r>
      <w:r w:rsidR="00B60CC2">
        <w:t xml:space="preserve">elationship </w:t>
      </w:r>
      <w:r w:rsidR="00B45448">
        <w:t>M</w:t>
      </w:r>
      <w:r w:rsidR="00B60CC2">
        <w:t>anagement (CRM)</w:t>
      </w:r>
      <w:r w:rsidR="00B45448">
        <w:t xml:space="preserve"> system</w:t>
      </w:r>
      <w:r w:rsidR="00B60CC2">
        <w:t>.</w:t>
      </w:r>
      <w:r w:rsidR="00965737">
        <w:t xml:space="preserve"> Additional details may be found</w:t>
      </w:r>
      <w:r w:rsidR="00AE6355">
        <w:t xml:space="preserve"> in the OII CRM Privacy Impact Assessment</w:t>
      </w:r>
      <w:r w:rsidR="00247015">
        <w:t>, s</w:t>
      </w:r>
      <w:r w:rsidR="00AE6355">
        <w:t xml:space="preserve">upported by </w:t>
      </w:r>
      <w:r w:rsidRPr="00247015" w:rsidR="00247015">
        <w:t xml:space="preserve">SBA 40, System of Records Notice, </w:t>
      </w:r>
      <w:hyperlink r:id="rId9" w:tgtFrame="_blank" w:history="1">
        <w:r w:rsidRPr="00247015" w:rsidR="00247015">
          <w:rPr>
            <w:rStyle w:val="Hyperlink"/>
          </w:rPr>
          <w:t>2019-19153.pdf (govinfo.gov)</w:t>
        </w:r>
      </w:hyperlink>
      <w:r w:rsidRPr="00247015" w:rsidR="00247015">
        <w:t>. </w:t>
      </w:r>
    </w:p>
    <w:p w:rsidR="00595B1E" w:rsidP="00595B1E" w14:paraId="4606CB12" w14:textId="77777777">
      <w:pPr>
        <w:pStyle w:val="ListParagraph"/>
      </w:pPr>
    </w:p>
    <w:p w:rsidR="00952281" w:rsidP="00595B1E" w14:paraId="140DD70E" w14:textId="590C6DB3">
      <w:pPr>
        <w:jc w:val="both"/>
      </w:pPr>
      <w:r>
        <w:t xml:space="preserve">The information provided is </w:t>
      </w:r>
      <w:r w:rsidRPr="00666F9F" w:rsidR="00666F9F">
        <w:t>protected from disclosure under the Freedom of Information Act; specifically, exemptions 4, 6 and 8 allow SBA to withhold financial data on individual companies. The information collected will be protected to the extent permitted by law. Records are maintained under conditions designed to preclude access by persons other than Agency personnel with a need to know.</w:t>
      </w:r>
      <w:r>
        <w:t xml:space="preserve"> </w:t>
      </w:r>
    </w:p>
    <w:p w:rsidR="00952281" w:rsidP="0017304C" w14:paraId="71FFE995" w14:textId="77777777">
      <w:pPr>
        <w:suppressAutoHyphens w:val="0"/>
        <w:ind w:hanging="360"/>
        <w:jc w:val="both"/>
        <w:rPr>
          <w:u w:val="single"/>
        </w:rPr>
      </w:pPr>
    </w:p>
    <w:p w:rsidR="006A0036" w:rsidP="0017304C" w14:paraId="71D496C2" w14:textId="177C7320">
      <w:pPr>
        <w:numPr>
          <w:ilvl w:val="1"/>
          <w:numId w:val="14"/>
        </w:numPr>
        <w:suppressAutoHyphens w:val="0"/>
        <w:ind w:left="0"/>
        <w:jc w:val="both"/>
      </w:pPr>
      <w:r w:rsidRPr="00A11E69">
        <w:rPr>
          <w:u w:val="single"/>
        </w:rPr>
        <w:t xml:space="preserve">Sensitive </w:t>
      </w:r>
      <w:r w:rsidRPr="00A11E69" w:rsidR="00952281">
        <w:rPr>
          <w:u w:val="single"/>
        </w:rPr>
        <w:t>Questions.</w:t>
      </w:r>
      <w:r w:rsidRPr="006A0036" w:rsidR="00952281">
        <w:t xml:space="preserve"> </w:t>
      </w:r>
      <w:r w:rsidR="00A11E69">
        <w:t xml:space="preserve">SBA Form 2181 requests </w:t>
      </w:r>
      <w:r w:rsidR="001E6103">
        <w:t>information that may be considered sensitive (employment and professional history, professional affiliations, education, and criminal history).  SBA considers this information essential to the fulfillment of its obligations under the Act</w:t>
      </w:r>
      <w:r w:rsidR="00A11E69">
        <w:t>, which</w:t>
      </w:r>
      <w:r w:rsidR="001E6103">
        <w:t xml:space="preserve"> requires SBA, in its evaluation of a license application, to determine whether management has the professional qualifications needed to operate an SBIC and the knowledge, experience and capability necessary to comply with the Act</w:t>
      </w:r>
      <w:r w:rsidR="00837FC8">
        <w:t>,</w:t>
      </w:r>
      <w:r w:rsidR="001E6103">
        <w:t xml:space="preserve"> and to consider the general business reputation of the applicant’s owners and managers as well as the probability of an applicant’s successful operations.</w:t>
      </w:r>
    </w:p>
    <w:p w:rsidR="006A0036" w:rsidP="0017304C" w14:paraId="03A88332" w14:textId="77777777">
      <w:pPr>
        <w:suppressAutoHyphens w:val="0"/>
        <w:ind w:hanging="360"/>
        <w:jc w:val="both"/>
      </w:pPr>
    </w:p>
    <w:p w:rsidR="00AC7873" w:rsidP="006F419C" w14:paraId="4A78DA54" w14:textId="77777777">
      <w:pPr>
        <w:pStyle w:val="BodyTextIndent"/>
        <w:tabs>
          <w:tab w:val="left" w:pos="-2790"/>
          <w:tab w:val="clear" w:pos="450"/>
        </w:tabs>
        <w:ind w:left="0" w:hanging="360"/>
        <w:jc w:val="both"/>
        <w:rPr>
          <w:szCs w:val="24"/>
        </w:rPr>
      </w:pPr>
      <w:r>
        <w:rPr>
          <w:szCs w:val="24"/>
        </w:rPr>
        <w:tab/>
      </w:r>
      <w:r w:rsidRPr="00AC7873">
        <w:rPr>
          <w:szCs w:val="24"/>
        </w:rPr>
        <w:t xml:space="preserve">SBA safeguards business proprietary information in compliance to federal laws, guidelines and SBA's Cybersecurity and Privacy Policy. Data in transit and at rest is encrypted to mitigate the potential of data spillage. Access controls and role-based permissions are just some of the other security precautions in safeguarding our customer's data.  </w:t>
      </w:r>
    </w:p>
    <w:p w:rsidR="00AC7873" w:rsidP="006F419C" w14:paraId="4B1F27EB" w14:textId="77777777">
      <w:pPr>
        <w:pStyle w:val="BodyTextIndent"/>
        <w:tabs>
          <w:tab w:val="left" w:pos="-2790"/>
          <w:tab w:val="clear" w:pos="450"/>
        </w:tabs>
        <w:ind w:left="0" w:hanging="360"/>
        <w:jc w:val="both"/>
        <w:rPr>
          <w:szCs w:val="24"/>
        </w:rPr>
      </w:pPr>
    </w:p>
    <w:p w:rsidR="00025A7E" w:rsidP="006F419C" w14:paraId="0D7FCF83" w14:textId="0C701E22">
      <w:pPr>
        <w:numPr>
          <w:ilvl w:val="1"/>
          <w:numId w:val="14"/>
        </w:numPr>
        <w:suppressAutoHyphens w:val="0"/>
        <w:ind w:left="0"/>
        <w:jc w:val="both"/>
      </w:pPr>
      <w:r w:rsidRPr="00252D28">
        <w:rPr>
          <w:u w:val="single"/>
        </w:rPr>
        <w:t xml:space="preserve">Burden </w:t>
      </w:r>
      <w:r w:rsidRPr="00252D28" w:rsidR="001E6103">
        <w:rPr>
          <w:u w:val="single"/>
        </w:rPr>
        <w:t>Estimate</w:t>
      </w:r>
      <w:r w:rsidRPr="00252D28" w:rsidR="00A044F5">
        <w:rPr>
          <w:u w:val="single"/>
        </w:rPr>
        <w:t>.</w:t>
      </w:r>
      <w:r w:rsidRPr="00252D28">
        <w:t xml:space="preserve"> </w:t>
      </w:r>
      <w:r w:rsidRPr="000F5B7E" w:rsidR="000F5B7E">
        <w:t xml:space="preserve">SBA identified </w:t>
      </w:r>
      <w:r w:rsidR="00132EA6">
        <w:t>three</w:t>
      </w:r>
      <w:r w:rsidRPr="000F5B7E" w:rsidR="000F5B7E">
        <w:t xml:space="preserve"> major factors affecting burden: </w:t>
      </w:r>
      <w:r w:rsidR="00132EA6">
        <w:t xml:space="preserve">1) </w:t>
      </w:r>
      <w:r w:rsidR="00F43A4E">
        <w:t xml:space="preserve">first-time applicants </w:t>
      </w:r>
      <w:r w:rsidR="00307F8C">
        <w:t>that</w:t>
      </w:r>
      <w:r w:rsidR="009222FA">
        <w:t xml:space="preserve"> may or may not be a good fit for the SBIC program, 2) </w:t>
      </w:r>
      <w:r w:rsidR="00307F8C">
        <w:t>first-time applicants with</w:t>
      </w:r>
      <w:r w:rsidR="00520337">
        <w:t xml:space="preserve"> familiarity of the SBIC program, and 3) licensed SBICs </w:t>
      </w:r>
      <w:r>
        <w:t xml:space="preserve">applying for a subsequent SBIC license. </w:t>
      </w:r>
      <w:r w:rsidRPr="00CE1EDC" w:rsidR="00CE1EDC">
        <w:t xml:space="preserve">Because of these variations in reporting requirements, SBA has developed separate </w:t>
      </w:r>
      <w:r w:rsidR="00DA7BD0">
        <w:t xml:space="preserve">MAQ versions </w:t>
      </w:r>
      <w:r w:rsidR="006846CE">
        <w:t xml:space="preserve">to reduce overall </w:t>
      </w:r>
      <w:r w:rsidRPr="00CE1EDC" w:rsidR="00CE1EDC">
        <w:t xml:space="preserve">burden </w:t>
      </w:r>
      <w:r w:rsidR="006846CE">
        <w:t>an</w:t>
      </w:r>
      <w:r w:rsidR="00C53E13">
        <w:t>d</w:t>
      </w:r>
      <w:r w:rsidR="006846CE">
        <w:t xml:space="preserve"> prevent confusion on the part of applicants. </w:t>
      </w:r>
    </w:p>
    <w:p w:rsidR="00025A7E" w:rsidP="00025A7E" w14:paraId="2EF1B668" w14:textId="77777777">
      <w:pPr>
        <w:suppressAutoHyphens w:val="0"/>
      </w:pPr>
    </w:p>
    <w:p w:rsidR="00AC21FB" w:rsidP="003F501C" w14:paraId="4FD395DF" w14:textId="09449B34">
      <w:pPr>
        <w:pStyle w:val="BodyTextIndent"/>
        <w:tabs>
          <w:tab w:val="left" w:pos="-2790"/>
          <w:tab w:val="clear" w:pos="450"/>
        </w:tabs>
        <w:ind w:left="0" w:firstLine="0"/>
        <w:jc w:val="both"/>
      </w:pPr>
      <w:r>
        <w:t xml:space="preserve">SBA believes the total number of </w:t>
      </w:r>
      <w:r w:rsidR="002A4FE0">
        <w:t>first-time applicants</w:t>
      </w:r>
      <w:r>
        <w:t xml:space="preserve"> submitting </w:t>
      </w:r>
      <w:r w:rsidR="005C6053">
        <w:t>MAQs</w:t>
      </w:r>
      <w:r>
        <w:t xml:space="preserve"> will remain in line with previous estimates. SBA has observed a shift in recent years to a higher proportion of subsequent applicants</w:t>
      </w:r>
      <w:r w:rsidR="002A4FE0">
        <w:t>, and SBA believes</w:t>
      </w:r>
      <w:r>
        <w:t xml:space="preserve"> </w:t>
      </w:r>
      <w:r w:rsidR="00C56046">
        <w:t>those</w:t>
      </w:r>
      <w:r>
        <w:t xml:space="preserve"> applicant</w:t>
      </w:r>
      <w:r w:rsidR="00BD1A1A">
        <w:t>s</w:t>
      </w:r>
      <w:r>
        <w:t xml:space="preserve"> </w:t>
      </w:r>
      <w:r w:rsidR="00BD1A1A">
        <w:t xml:space="preserve">will be able to </w:t>
      </w:r>
      <w:r>
        <w:t xml:space="preserve">complete the </w:t>
      </w:r>
      <w:r w:rsidR="0087038E">
        <w:t>new</w:t>
      </w:r>
      <w:r w:rsidR="008330DA">
        <w:t xml:space="preserve"> </w:t>
      </w:r>
      <w:r w:rsidRPr="003F2B1C" w:rsidR="003F2B1C">
        <w:t>SBA Form 2181, SBIC Subsequent Fund Application</w:t>
      </w:r>
      <w:r w:rsidR="003F2B1C">
        <w:t>,</w:t>
      </w:r>
      <w:r>
        <w:t xml:space="preserve"> in less time than a new applicant</w:t>
      </w:r>
      <w:r w:rsidR="00BD1A1A">
        <w:t xml:space="preserve">, </w:t>
      </w:r>
      <w:r>
        <w:t>because</w:t>
      </w:r>
      <w:r w:rsidR="00BD1A1A">
        <w:t xml:space="preserve">: 1) </w:t>
      </w:r>
      <w:r w:rsidR="000239DC">
        <w:t xml:space="preserve">SBA has streamlined the information requested, and 2) </w:t>
      </w:r>
      <w:r>
        <w:t xml:space="preserve">substantial portions </w:t>
      </w:r>
      <w:r w:rsidR="000239DC">
        <w:t xml:space="preserve">of </w:t>
      </w:r>
      <w:r w:rsidR="00C56046">
        <w:t xml:space="preserve">information </w:t>
      </w:r>
      <w:r w:rsidR="000239DC">
        <w:t>may still be applicable from</w:t>
      </w:r>
      <w:r>
        <w:t xml:space="preserve"> the previously licensed SBIC. </w:t>
      </w:r>
      <w:r w:rsidR="003F501C">
        <w:t>However, s</w:t>
      </w:r>
      <w:r>
        <w:t xml:space="preserve">ubsequent applicants </w:t>
      </w:r>
      <w:r w:rsidR="003F501C">
        <w:t>may</w:t>
      </w:r>
      <w:r>
        <w:t xml:space="preserve"> undergo significant changes (in strategy, personnel, etc.)</w:t>
      </w:r>
      <w:r w:rsidR="003F501C">
        <w:t xml:space="preserve">, so </w:t>
      </w:r>
      <w:r>
        <w:t>SBA does not have a basis to assign a lower burden estimate to these applicants.</w:t>
      </w:r>
    </w:p>
    <w:p w:rsidR="00D34897" w:rsidP="00876F90" w14:paraId="17C5A221" w14:textId="77777777">
      <w:pPr>
        <w:pStyle w:val="BodyTextIndent"/>
        <w:tabs>
          <w:tab w:val="left" w:pos="-2790"/>
          <w:tab w:val="clear" w:pos="450"/>
        </w:tabs>
        <w:ind w:left="0" w:firstLine="0"/>
        <w:jc w:val="both"/>
      </w:pPr>
    </w:p>
    <w:p w:rsidR="00D34897" w:rsidRPr="00D34897" w:rsidP="00876F90" w14:paraId="5DE1B5E2" w14:textId="1EF43A29">
      <w:pPr>
        <w:jc w:val="both"/>
        <w:rPr>
          <w:szCs w:val="20"/>
        </w:rPr>
      </w:pPr>
      <w:r>
        <w:t>As noted previously, the</w:t>
      </w:r>
      <w:r w:rsidRPr="00D34897">
        <w:rPr>
          <w:szCs w:val="20"/>
        </w:rPr>
        <w:t xml:space="preserve"> consolidation of the previous three-form application process into the use of one form with attachments aligns with proposed changes in SBA’s license application process, to allow the submission of a complete MAQ with draft legal documents, up-front, as part of green-light approval, which provides for an overall data collection burden to be a net reduction.</w:t>
      </w:r>
      <w:r w:rsidRPr="00876F90" w:rsidR="00876F90">
        <w:t xml:space="preserve"> </w:t>
      </w:r>
      <w:r w:rsidRPr="00876F90" w:rsidR="00876F90">
        <w:rPr>
          <w:szCs w:val="20"/>
        </w:rPr>
        <w:t xml:space="preserve">The new </w:t>
      </w:r>
      <w:r w:rsidR="00876F90">
        <w:rPr>
          <w:szCs w:val="20"/>
        </w:rPr>
        <w:t xml:space="preserve">licensing </w:t>
      </w:r>
      <w:r w:rsidRPr="00876F90" w:rsidR="00876F90">
        <w:rPr>
          <w:szCs w:val="20"/>
        </w:rPr>
        <w:t xml:space="preserve">process will entail a submission of the proposed new </w:t>
      </w:r>
      <w:r w:rsidR="00876F90">
        <w:rPr>
          <w:szCs w:val="20"/>
        </w:rPr>
        <w:t>MAQ</w:t>
      </w:r>
      <w:r w:rsidRPr="00876F90" w:rsidR="00876F90">
        <w:rPr>
          <w:szCs w:val="20"/>
        </w:rPr>
        <w:t xml:space="preserve">, in </w:t>
      </w:r>
      <w:r w:rsidR="00876F90">
        <w:rPr>
          <w:szCs w:val="20"/>
        </w:rPr>
        <w:t>its</w:t>
      </w:r>
      <w:r w:rsidRPr="00876F90" w:rsidR="00876F90">
        <w:rPr>
          <w:szCs w:val="20"/>
        </w:rPr>
        <w:t xml:space="preserve"> entirety, up front.  While this is a front-loading of burden that was historically divided between two phases, the net burden will be less,</w:t>
      </w:r>
      <w:r w:rsidR="00DD5F28">
        <w:rPr>
          <w:szCs w:val="20"/>
        </w:rPr>
        <w:t xml:space="preserve"> because</w:t>
      </w:r>
      <w:r w:rsidRPr="00876F90" w:rsidR="00876F90">
        <w:rPr>
          <w:szCs w:val="20"/>
        </w:rPr>
        <w:t xml:space="preserve"> under the </w:t>
      </w:r>
      <w:r w:rsidR="00DD5F28">
        <w:rPr>
          <w:szCs w:val="20"/>
        </w:rPr>
        <w:t>historic</w:t>
      </w:r>
      <w:r w:rsidRPr="00876F90" w:rsidR="00876F90">
        <w:rPr>
          <w:szCs w:val="20"/>
        </w:rPr>
        <w:t xml:space="preserve"> process, many applicants </w:t>
      </w:r>
      <w:r w:rsidR="00DD5F28">
        <w:rPr>
          <w:szCs w:val="20"/>
        </w:rPr>
        <w:t>are required</w:t>
      </w:r>
      <w:r w:rsidRPr="00876F90" w:rsidR="00876F90">
        <w:rPr>
          <w:szCs w:val="20"/>
        </w:rPr>
        <w:t xml:space="preserve"> to update their MAQ responses from </w:t>
      </w:r>
      <w:r w:rsidR="002933F6">
        <w:rPr>
          <w:szCs w:val="20"/>
        </w:rPr>
        <w:t xml:space="preserve">initial submission </w:t>
      </w:r>
      <w:r w:rsidR="00FF5AB3">
        <w:rPr>
          <w:szCs w:val="20"/>
        </w:rPr>
        <w:t xml:space="preserve">due </w:t>
      </w:r>
      <w:r w:rsidRPr="00876F90" w:rsidR="00876F90">
        <w:rPr>
          <w:szCs w:val="20"/>
        </w:rPr>
        <w:t xml:space="preserve">to the passage of time before they reach </w:t>
      </w:r>
      <w:r w:rsidRPr="00FF5AB3" w:rsidR="00FF5AB3">
        <w:rPr>
          <w:szCs w:val="20"/>
        </w:rPr>
        <w:t>the final licensing stage</w:t>
      </w:r>
      <w:r w:rsidRPr="00876F90" w:rsidR="00876F90">
        <w:rPr>
          <w:szCs w:val="20"/>
        </w:rPr>
        <w:t>.</w:t>
      </w:r>
    </w:p>
    <w:p w:rsidR="00AC21FB" w:rsidP="00242A15" w14:paraId="3EADBCDB" w14:textId="77777777">
      <w:pPr>
        <w:pStyle w:val="BodyTextIndent"/>
        <w:tabs>
          <w:tab w:val="left" w:pos="-2790"/>
          <w:tab w:val="clear" w:pos="450"/>
        </w:tabs>
        <w:ind w:left="0" w:hanging="360"/>
        <w:jc w:val="both"/>
      </w:pPr>
    </w:p>
    <w:p w:rsidR="00AC21FB" w:rsidP="00731B32" w14:paraId="7D5E7759" w14:textId="2DC41EE0">
      <w:pPr>
        <w:pStyle w:val="BodyTextIndent"/>
        <w:tabs>
          <w:tab w:val="left" w:pos="-2790"/>
          <w:tab w:val="clear" w:pos="450"/>
        </w:tabs>
        <w:ind w:left="0" w:hanging="360"/>
        <w:jc w:val="both"/>
      </w:pPr>
      <w:r>
        <w:tab/>
      </w:r>
      <w:r w:rsidRPr="008A3818" w:rsidR="008A3818">
        <w:t xml:space="preserve">The estimated hour burden for </w:t>
      </w:r>
      <w:r w:rsidR="008A3818">
        <w:t>the MAQ</w:t>
      </w:r>
      <w:r w:rsidRPr="008A3818" w:rsidR="008A3818">
        <w:t xml:space="preserve">, including instructions, is calculated </w:t>
      </w:r>
      <w:r>
        <w:t xml:space="preserve">in the following table </w:t>
      </w:r>
      <w:r w:rsidR="007F7B9F">
        <w:t xml:space="preserve">with the </w:t>
      </w:r>
      <w:r>
        <w:t xml:space="preserve">assumption that each applicant will be managed by an average of four individual principals, each of whom will be required to complete </w:t>
      </w:r>
      <w:r w:rsidR="00242A15">
        <w:t xml:space="preserve">portions of the MAQ collectively and individually. </w:t>
      </w:r>
    </w:p>
    <w:p w:rsidR="00B510AC" w:rsidP="008A6077" w14:paraId="00B3209F" w14:textId="77777777">
      <w:pPr>
        <w:pStyle w:val="BodyTextIndent"/>
        <w:tabs>
          <w:tab w:val="left" w:pos="-2790"/>
          <w:tab w:val="clear" w:pos="450"/>
        </w:tabs>
        <w:ind w:left="360" w:firstLine="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5"/>
        <w:gridCol w:w="1350"/>
        <w:gridCol w:w="270"/>
        <w:gridCol w:w="1080"/>
        <w:gridCol w:w="270"/>
        <w:gridCol w:w="1080"/>
        <w:gridCol w:w="360"/>
        <w:gridCol w:w="1103"/>
      </w:tblGrid>
      <w:tr w14:paraId="3D070CE5" w14:textId="77777777" w:rsidTr="00730EE8">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865" w:type="dxa"/>
            <w:shd w:val="clear" w:color="auto" w:fill="3333CC"/>
          </w:tcPr>
          <w:p w:rsidR="00FC4446" w:rsidRPr="00FC4446" w:rsidP="00FC4446" w14:paraId="7C00A24A" w14:textId="77777777">
            <w:pPr>
              <w:tabs>
                <w:tab w:val="left" w:pos="540"/>
              </w:tabs>
              <w:suppressAutoHyphens w:val="0"/>
              <w:overflowPunct w:val="0"/>
              <w:autoSpaceDE w:val="0"/>
              <w:autoSpaceDN w:val="0"/>
              <w:adjustRightInd w:val="0"/>
              <w:ind w:left="1080" w:hanging="653"/>
              <w:jc w:val="center"/>
              <w:textAlignment w:val="baseline"/>
              <w:rPr>
                <w:b/>
                <w:color w:val="FFFFFF"/>
                <w:kern w:val="0"/>
                <w:sz w:val="18"/>
                <w:szCs w:val="18"/>
                <w:lang w:eastAsia="en-US"/>
              </w:rPr>
            </w:pPr>
          </w:p>
          <w:p w:rsidR="00FC4446" w:rsidRPr="00FC4446" w:rsidP="00FC4446" w14:paraId="3F5EDA62" w14:textId="77777777">
            <w:pPr>
              <w:tabs>
                <w:tab w:val="left" w:pos="540"/>
              </w:tabs>
              <w:suppressAutoHyphens w:val="0"/>
              <w:overflowPunct w:val="0"/>
              <w:autoSpaceDE w:val="0"/>
              <w:autoSpaceDN w:val="0"/>
              <w:adjustRightInd w:val="0"/>
              <w:ind w:left="522" w:hanging="653"/>
              <w:jc w:val="center"/>
              <w:textAlignment w:val="baseline"/>
              <w:rPr>
                <w:b/>
                <w:color w:val="FFFFFF"/>
                <w:kern w:val="0"/>
                <w:sz w:val="18"/>
                <w:szCs w:val="18"/>
                <w:lang w:eastAsia="en-US"/>
              </w:rPr>
            </w:pPr>
            <w:r w:rsidRPr="00FC4446">
              <w:rPr>
                <w:b/>
                <w:color w:val="FFFFFF"/>
                <w:kern w:val="0"/>
                <w:sz w:val="18"/>
                <w:szCs w:val="18"/>
                <w:lang w:eastAsia="en-US"/>
              </w:rPr>
              <w:t>Respondent Type</w:t>
            </w:r>
          </w:p>
        </w:tc>
        <w:tc>
          <w:tcPr>
            <w:tcW w:w="1350" w:type="dxa"/>
            <w:shd w:val="clear" w:color="auto" w:fill="3333CC"/>
          </w:tcPr>
          <w:p w:rsidR="00FC4446" w:rsidRPr="00FC4446" w:rsidP="00FC4446" w14:paraId="34ECB1DA" w14:textId="77777777">
            <w:pPr>
              <w:suppressAutoHyphens w:val="0"/>
              <w:overflowPunct w:val="0"/>
              <w:autoSpaceDE w:val="0"/>
              <w:autoSpaceDN w:val="0"/>
              <w:adjustRightInd w:val="0"/>
              <w:ind w:left="130" w:right="72"/>
              <w:jc w:val="center"/>
              <w:textAlignment w:val="baseline"/>
              <w:rPr>
                <w:b/>
                <w:color w:val="FFFFFF"/>
                <w:kern w:val="0"/>
                <w:sz w:val="18"/>
                <w:szCs w:val="18"/>
                <w:lang w:eastAsia="en-US"/>
              </w:rPr>
            </w:pPr>
            <w:r w:rsidRPr="00FC4446">
              <w:rPr>
                <w:b/>
                <w:color w:val="FFFFFF"/>
                <w:kern w:val="0"/>
                <w:sz w:val="18"/>
                <w:szCs w:val="18"/>
                <w:lang w:eastAsia="en-US"/>
              </w:rPr>
              <w:t>Number of respondents</w:t>
            </w:r>
          </w:p>
        </w:tc>
        <w:tc>
          <w:tcPr>
            <w:tcW w:w="270" w:type="dxa"/>
            <w:shd w:val="clear" w:color="auto" w:fill="3333CC"/>
            <w:vAlign w:val="center"/>
          </w:tcPr>
          <w:p w:rsidR="00FC4446" w:rsidRPr="00FC4446" w:rsidP="00FC4446" w14:paraId="776FC046" w14:textId="77777777">
            <w:pPr>
              <w:tabs>
                <w:tab w:val="left" w:pos="-6930"/>
              </w:tabs>
              <w:suppressAutoHyphens w:val="0"/>
              <w:overflowPunct w:val="0"/>
              <w:autoSpaceDE w:val="0"/>
              <w:autoSpaceDN w:val="0"/>
              <w:adjustRightInd w:val="0"/>
              <w:ind w:left="-109" w:firstLine="90"/>
              <w:jc w:val="center"/>
              <w:textAlignment w:val="baseline"/>
              <w:rPr>
                <w:b/>
                <w:color w:val="FFFFFF"/>
                <w:kern w:val="0"/>
                <w:sz w:val="18"/>
                <w:szCs w:val="18"/>
                <w:lang w:eastAsia="en-US"/>
              </w:rPr>
            </w:pPr>
            <w:r w:rsidRPr="00FC4446">
              <w:rPr>
                <w:b/>
                <w:color w:val="FFFFFF"/>
                <w:kern w:val="0"/>
                <w:sz w:val="18"/>
                <w:szCs w:val="18"/>
                <w:lang w:eastAsia="en-US"/>
              </w:rPr>
              <w:t>×</w:t>
            </w:r>
          </w:p>
        </w:tc>
        <w:tc>
          <w:tcPr>
            <w:tcW w:w="1080" w:type="dxa"/>
            <w:shd w:val="clear" w:color="auto" w:fill="3333CC"/>
          </w:tcPr>
          <w:p w:rsidR="00FC4446" w:rsidRPr="00FC4446" w:rsidP="00FC4446" w14:paraId="15303398"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753812ED" w14:textId="77777777">
            <w:pPr>
              <w:tabs>
                <w:tab w:val="left" w:pos="972"/>
              </w:tabs>
              <w:suppressAutoHyphens w:val="0"/>
              <w:overflowPunct w:val="0"/>
              <w:autoSpaceDE w:val="0"/>
              <w:autoSpaceDN w:val="0"/>
              <w:adjustRightInd w:val="0"/>
              <w:jc w:val="center"/>
              <w:textAlignment w:val="baseline"/>
              <w:rPr>
                <w:b/>
                <w:color w:val="FFFFFF"/>
                <w:kern w:val="0"/>
                <w:sz w:val="18"/>
                <w:szCs w:val="18"/>
                <w:lang w:eastAsia="en-US"/>
              </w:rPr>
            </w:pPr>
            <w:r w:rsidRPr="00FC4446">
              <w:rPr>
                <w:b/>
                <w:color w:val="FFFFFF"/>
                <w:kern w:val="0"/>
                <w:sz w:val="18"/>
                <w:szCs w:val="18"/>
                <w:lang w:eastAsia="en-US"/>
              </w:rPr>
              <w:t>Frequency</w:t>
            </w:r>
          </w:p>
        </w:tc>
        <w:tc>
          <w:tcPr>
            <w:tcW w:w="270" w:type="dxa"/>
            <w:shd w:val="clear" w:color="auto" w:fill="3333CC"/>
          </w:tcPr>
          <w:p w:rsidR="00FC4446" w:rsidRPr="00FC4446" w:rsidP="00FC4446" w14:paraId="033AFD98"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091F6E7D" w14:textId="77777777">
            <w:pPr>
              <w:tabs>
                <w:tab w:val="left" w:pos="-8568"/>
              </w:tabs>
              <w:suppressAutoHyphens w:val="0"/>
              <w:overflowPunct w:val="0"/>
              <w:autoSpaceDE w:val="0"/>
              <w:autoSpaceDN w:val="0"/>
              <w:adjustRightInd w:val="0"/>
              <w:ind w:right="350"/>
              <w:jc w:val="center"/>
              <w:textAlignment w:val="baseline"/>
              <w:rPr>
                <w:b/>
                <w:color w:val="FFFFFF"/>
                <w:kern w:val="0"/>
                <w:sz w:val="18"/>
                <w:szCs w:val="18"/>
                <w:lang w:eastAsia="en-US"/>
              </w:rPr>
            </w:pPr>
            <w:r w:rsidRPr="00FC4446">
              <w:rPr>
                <w:b/>
                <w:color w:val="FFFFFF"/>
                <w:kern w:val="0"/>
                <w:sz w:val="18"/>
                <w:szCs w:val="18"/>
                <w:lang w:eastAsia="en-US"/>
              </w:rPr>
              <w:t>×</w:t>
            </w:r>
          </w:p>
        </w:tc>
        <w:tc>
          <w:tcPr>
            <w:tcW w:w="1080" w:type="dxa"/>
            <w:shd w:val="clear" w:color="auto" w:fill="3333CC"/>
          </w:tcPr>
          <w:p w:rsidR="00FC4446" w:rsidRPr="00FC4446" w:rsidP="00FC4446" w14:paraId="15DE62B8" w14:textId="77777777">
            <w:pPr>
              <w:tabs>
                <w:tab w:val="left" w:pos="-9018"/>
              </w:tabs>
              <w:suppressAutoHyphens w:val="0"/>
              <w:overflowPunct w:val="0"/>
              <w:autoSpaceDE w:val="0"/>
              <w:autoSpaceDN w:val="0"/>
              <w:adjustRightInd w:val="0"/>
              <w:ind w:left="-18" w:right="162"/>
              <w:jc w:val="center"/>
              <w:textAlignment w:val="baseline"/>
              <w:rPr>
                <w:b/>
                <w:color w:val="FFFFFF"/>
                <w:kern w:val="0"/>
                <w:sz w:val="18"/>
                <w:szCs w:val="18"/>
                <w:lang w:eastAsia="en-US"/>
              </w:rPr>
            </w:pPr>
            <w:r w:rsidRPr="00FC4446">
              <w:rPr>
                <w:b/>
                <w:color w:val="FFFFFF"/>
                <w:kern w:val="0"/>
                <w:sz w:val="18"/>
                <w:szCs w:val="18"/>
                <w:lang w:eastAsia="en-US"/>
              </w:rPr>
              <w:t>Hours per response</w:t>
            </w:r>
          </w:p>
        </w:tc>
        <w:tc>
          <w:tcPr>
            <w:tcW w:w="360" w:type="dxa"/>
            <w:shd w:val="clear" w:color="auto" w:fill="3333CC"/>
          </w:tcPr>
          <w:p w:rsidR="00FC4446" w:rsidRPr="00FC4446" w:rsidP="00FC4446" w14:paraId="0F7DE4E2"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6BC27798"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FC4446">
              <w:rPr>
                <w:b/>
                <w:color w:val="FFFFFF"/>
                <w:kern w:val="0"/>
                <w:sz w:val="18"/>
                <w:szCs w:val="18"/>
                <w:lang w:eastAsia="en-US"/>
              </w:rPr>
              <w:t>=</w:t>
            </w:r>
          </w:p>
        </w:tc>
        <w:tc>
          <w:tcPr>
            <w:tcW w:w="1103" w:type="dxa"/>
            <w:shd w:val="clear" w:color="auto" w:fill="3333CC"/>
          </w:tcPr>
          <w:p w:rsidR="00FC4446" w:rsidRPr="00FC4446" w:rsidP="00FC4446" w14:paraId="1E730156" w14:textId="77777777">
            <w:pPr>
              <w:tabs>
                <w:tab w:val="left" w:pos="540"/>
              </w:tabs>
              <w:suppressAutoHyphens w:val="0"/>
              <w:overflowPunct w:val="0"/>
              <w:autoSpaceDE w:val="0"/>
              <w:autoSpaceDN w:val="0"/>
              <w:adjustRightInd w:val="0"/>
              <w:ind w:right="149"/>
              <w:jc w:val="center"/>
              <w:textAlignment w:val="baseline"/>
              <w:rPr>
                <w:b/>
                <w:color w:val="FFFFFF"/>
                <w:kern w:val="0"/>
                <w:sz w:val="18"/>
                <w:szCs w:val="18"/>
                <w:lang w:eastAsia="en-US"/>
              </w:rPr>
            </w:pPr>
            <w:r w:rsidRPr="00FC4446">
              <w:rPr>
                <w:b/>
                <w:color w:val="FFFFFF"/>
                <w:kern w:val="0"/>
                <w:sz w:val="18"/>
                <w:szCs w:val="18"/>
                <w:lang w:eastAsia="en-US"/>
              </w:rPr>
              <w:t>Total Hour Burden</w:t>
            </w:r>
          </w:p>
        </w:tc>
      </w:tr>
      <w:tr w14:paraId="669CF541" w14:textId="77777777" w:rsidTr="00730EE8">
        <w:tblPrEx>
          <w:tblW w:w="9378" w:type="dxa"/>
          <w:tblLayout w:type="fixed"/>
          <w:tblLook w:val="01E0"/>
        </w:tblPrEx>
        <w:tc>
          <w:tcPr>
            <w:tcW w:w="3865" w:type="dxa"/>
          </w:tcPr>
          <w:p w:rsidR="00FC4446" w:rsidRPr="00FC4446" w:rsidP="00FC4446" w14:paraId="52868010" w14:textId="236E4734">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 xml:space="preserve">Pre-screen </w:t>
            </w: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w:t>
            </w:r>
            <w:r w:rsidR="00584DF7">
              <w:rPr>
                <w:kern w:val="0"/>
                <w:sz w:val="20"/>
                <w:szCs w:val="20"/>
                <w:lang w:eastAsia="en-US"/>
              </w:rPr>
              <w:t>(Short Form)</w:t>
            </w:r>
          </w:p>
        </w:tc>
        <w:tc>
          <w:tcPr>
            <w:tcW w:w="1350" w:type="dxa"/>
          </w:tcPr>
          <w:p w:rsidR="00FC4446" w:rsidRPr="00FC4446" w:rsidP="00FC4446" w14:paraId="0CEBBB9C" w14:textId="3E9C2B9A">
            <w:pPr>
              <w:tabs>
                <w:tab w:val="left" w:pos="-2070"/>
              </w:tabs>
              <w:suppressAutoHyphens w:val="0"/>
              <w:overflowPunct w:val="0"/>
              <w:autoSpaceDE w:val="0"/>
              <w:autoSpaceDN w:val="0"/>
              <w:adjustRightInd w:val="0"/>
              <w:jc w:val="center"/>
              <w:textAlignment w:val="baseline"/>
              <w:rPr>
                <w:kern w:val="0"/>
                <w:sz w:val="20"/>
                <w:szCs w:val="20"/>
                <w:highlight w:val="yellow"/>
                <w:lang w:eastAsia="en-US"/>
              </w:rPr>
            </w:pPr>
            <w:r>
              <w:rPr>
                <w:kern w:val="0"/>
                <w:sz w:val="20"/>
                <w:szCs w:val="20"/>
                <w:lang w:eastAsia="en-US"/>
              </w:rPr>
              <w:t>7</w:t>
            </w:r>
            <w:r w:rsidR="00773035">
              <w:rPr>
                <w:kern w:val="0"/>
                <w:sz w:val="20"/>
                <w:szCs w:val="20"/>
                <w:lang w:eastAsia="en-US"/>
              </w:rPr>
              <w:t>5</w:t>
            </w:r>
          </w:p>
        </w:tc>
        <w:tc>
          <w:tcPr>
            <w:tcW w:w="270" w:type="dxa"/>
          </w:tcPr>
          <w:p w:rsidR="00FC4446" w:rsidRPr="00FC4446" w:rsidP="00FC4446" w14:paraId="4A890253"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052AFBE7" w14:textId="77777777">
            <w:pPr>
              <w:tabs>
                <w:tab w:val="left" w:pos="-2070"/>
              </w:tabs>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00FC4446" w14:paraId="5D0E86E9"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115A891D" w14:textId="450A85E7">
            <w:pPr>
              <w:tabs>
                <w:tab w:val="left" w:pos="-9018"/>
                <w:tab w:val="left" w:pos="-2070"/>
              </w:tabs>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6</w:t>
            </w:r>
            <w:r w:rsidRPr="00FC4446">
              <w:rPr>
                <w:kern w:val="0"/>
                <w:sz w:val="20"/>
                <w:szCs w:val="20"/>
                <w:lang w:eastAsia="en-US"/>
              </w:rPr>
              <w:t>0</w:t>
            </w:r>
          </w:p>
        </w:tc>
        <w:tc>
          <w:tcPr>
            <w:tcW w:w="360" w:type="dxa"/>
          </w:tcPr>
          <w:p w:rsidR="00FC4446" w:rsidRPr="00FC4446" w:rsidP="00FC4446" w14:paraId="594AE9A9"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shd w:val="clear" w:color="auto" w:fill="auto"/>
            <w:vAlign w:val="center"/>
          </w:tcPr>
          <w:p w:rsidR="00FC4446" w:rsidRPr="00FC4446" w:rsidP="00FC4446" w14:paraId="29F2E737" w14:textId="71E236A9">
            <w:pPr>
              <w:tabs>
                <w:tab w:val="left" w:pos="-2070"/>
              </w:tabs>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3,250</w:t>
            </w:r>
          </w:p>
        </w:tc>
      </w:tr>
      <w:tr w14:paraId="2693D32B" w14:textId="77777777" w:rsidTr="00730EE8">
        <w:tblPrEx>
          <w:tblW w:w="9378" w:type="dxa"/>
          <w:tblLayout w:type="fixed"/>
          <w:tblLook w:val="01E0"/>
        </w:tblPrEx>
        <w:tc>
          <w:tcPr>
            <w:tcW w:w="3865" w:type="dxa"/>
          </w:tcPr>
          <w:p w:rsidR="00FC4446" w:rsidRPr="00FC4446" w:rsidP="00FC4446" w14:paraId="2E79BB5F" w14:textId="6E044250">
            <w:pPr>
              <w:tabs>
                <w:tab w:val="left" w:pos="-2070"/>
              </w:tabs>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SBIC</w:t>
            </w:r>
            <w:r w:rsidR="00E71987">
              <w:rPr>
                <w:kern w:val="0"/>
                <w:sz w:val="20"/>
                <w:szCs w:val="20"/>
                <w:lang w:eastAsia="en-US"/>
              </w:rPr>
              <w:t xml:space="preserve"> MAQ</w:t>
            </w:r>
            <w:r w:rsidRPr="00FC4446">
              <w:rPr>
                <w:kern w:val="0"/>
                <w:sz w:val="20"/>
                <w:szCs w:val="20"/>
                <w:lang w:eastAsia="en-US"/>
              </w:rPr>
              <w:t xml:space="preserve"> (Long Form)</w:t>
            </w:r>
            <w:r w:rsidR="00CE0503">
              <w:rPr>
                <w:kern w:val="0"/>
                <w:sz w:val="20"/>
                <w:szCs w:val="20"/>
                <w:lang w:eastAsia="en-US"/>
              </w:rPr>
              <w:t xml:space="preserve"> </w:t>
            </w:r>
          </w:p>
        </w:tc>
        <w:tc>
          <w:tcPr>
            <w:tcW w:w="1350" w:type="dxa"/>
          </w:tcPr>
          <w:p w:rsidR="00FC4446" w:rsidRPr="00FC4446" w:rsidP="00FC4446" w14:paraId="0F15EF8D" w14:textId="4104BA9F">
            <w:pPr>
              <w:tabs>
                <w:tab w:val="left" w:pos="-2070"/>
              </w:tabs>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1</w:t>
            </w:r>
            <w:r w:rsidR="00233836">
              <w:rPr>
                <w:kern w:val="0"/>
                <w:sz w:val="20"/>
                <w:szCs w:val="20"/>
                <w:lang w:eastAsia="en-US"/>
              </w:rPr>
              <w:t>50</w:t>
            </w:r>
          </w:p>
        </w:tc>
        <w:tc>
          <w:tcPr>
            <w:tcW w:w="270" w:type="dxa"/>
          </w:tcPr>
          <w:p w:rsidR="00FC4446" w:rsidRPr="00FC4446" w:rsidP="00FC4446" w14:paraId="5793A500"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562DD45B" w14:textId="77777777">
            <w:pPr>
              <w:tabs>
                <w:tab w:val="left" w:pos="-2070"/>
              </w:tabs>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00FC4446" w14:paraId="37387B5B"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0CE112CD" w14:textId="5BBE4196">
            <w:pPr>
              <w:tabs>
                <w:tab w:val="left" w:pos="-9018"/>
                <w:tab w:val="left" w:pos="-2070"/>
              </w:tabs>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80</w:t>
            </w:r>
          </w:p>
        </w:tc>
        <w:tc>
          <w:tcPr>
            <w:tcW w:w="360" w:type="dxa"/>
          </w:tcPr>
          <w:p w:rsidR="00FC4446" w:rsidRPr="00FC4446" w:rsidP="00FC4446" w14:paraId="319AF38D"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shd w:val="clear" w:color="auto" w:fill="auto"/>
            <w:vAlign w:val="center"/>
          </w:tcPr>
          <w:p w:rsidR="00FC4446" w:rsidRPr="00FC4446" w:rsidP="00FC4446" w14:paraId="207E4117" w14:textId="1F27965F">
            <w:pPr>
              <w:tabs>
                <w:tab w:val="left" w:pos="-2070"/>
              </w:tabs>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1</w:t>
            </w:r>
            <w:r w:rsidR="00312974">
              <w:rPr>
                <w:color w:val="000000"/>
                <w:kern w:val="0"/>
                <w:sz w:val="20"/>
                <w:szCs w:val="20"/>
                <w:lang w:eastAsia="en-US"/>
              </w:rPr>
              <w:t>2</w:t>
            </w:r>
            <w:r w:rsidR="00DB4B79">
              <w:rPr>
                <w:color w:val="000000"/>
                <w:kern w:val="0"/>
                <w:sz w:val="20"/>
                <w:szCs w:val="20"/>
                <w:lang w:eastAsia="en-US"/>
              </w:rPr>
              <w:t>,</w:t>
            </w:r>
            <w:r>
              <w:rPr>
                <w:color w:val="000000"/>
                <w:kern w:val="0"/>
                <w:sz w:val="20"/>
                <w:szCs w:val="20"/>
                <w:lang w:eastAsia="en-US"/>
              </w:rPr>
              <w:t>0</w:t>
            </w:r>
            <w:r w:rsidR="00312974">
              <w:rPr>
                <w:color w:val="000000"/>
                <w:kern w:val="0"/>
                <w:sz w:val="20"/>
                <w:szCs w:val="20"/>
                <w:lang w:eastAsia="en-US"/>
              </w:rPr>
              <w:t>00</w:t>
            </w:r>
          </w:p>
        </w:tc>
      </w:tr>
      <w:tr w14:paraId="35060E52" w14:textId="77777777" w:rsidTr="00730EE8">
        <w:tblPrEx>
          <w:tblW w:w="9378" w:type="dxa"/>
          <w:tblLayout w:type="fixed"/>
          <w:tblLook w:val="01E0"/>
        </w:tblPrEx>
        <w:tc>
          <w:tcPr>
            <w:tcW w:w="3865" w:type="dxa"/>
          </w:tcPr>
          <w:p w:rsidR="00FC4446" w:rsidRPr="00FC4446" w:rsidP="00FC4446" w14:paraId="1018DADC" w14:textId="77F70F5F">
            <w:pPr>
              <w:tabs>
                <w:tab w:val="left" w:pos="-2070"/>
              </w:tabs>
              <w:suppressAutoHyphens w:val="0"/>
              <w:overflowPunct w:val="0"/>
              <w:autoSpaceDE w:val="0"/>
              <w:autoSpaceDN w:val="0"/>
              <w:adjustRightInd w:val="0"/>
              <w:textAlignment w:val="baseline"/>
              <w:rPr>
                <w:kern w:val="0"/>
                <w:sz w:val="20"/>
                <w:szCs w:val="20"/>
                <w:lang w:eastAsia="en-US"/>
              </w:rPr>
            </w:pPr>
            <w:r w:rsidRPr="00FE0215">
              <w:rPr>
                <w:kern w:val="0"/>
                <w:sz w:val="20"/>
                <w:szCs w:val="20"/>
                <w:lang w:eastAsia="en-US"/>
              </w:rPr>
              <w:t xml:space="preserve">SBIC Subsequent Fund </w:t>
            </w:r>
            <w:r>
              <w:rPr>
                <w:kern w:val="0"/>
                <w:sz w:val="20"/>
                <w:szCs w:val="20"/>
                <w:lang w:eastAsia="en-US"/>
              </w:rPr>
              <w:t>MAQ</w:t>
            </w:r>
          </w:p>
        </w:tc>
        <w:tc>
          <w:tcPr>
            <w:tcW w:w="1350" w:type="dxa"/>
          </w:tcPr>
          <w:p w:rsidR="00FC4446" w:rsidRPr="00FC4446" w:rsidP="00FC4446" w14:paraId="2490F347" w14:textId="529DF2DB">
            <w:pPr>
              <w:tabs>
                <w:tab w:val="left" w:pos="-2070"/>
              </w:tabs>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50</w:t>
            </w:r>
          </w:p>
        </w:tc>
        <w:tc>
          <w:tcPr>
            <w:tcW w:w="270" w:type="dxa"/>
          </w:tcPr>
          <w:p w:rsidR="00FC4446" w:rsidRPr="00FC4446" w:rsidP="00FC4446" w14:paraId="67D1BDF6"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74717808" w14:textId="77777777">
            <w:pPr>
              <w:tabs>
                <w:tab w:val="left" w:pos="-2070"/>
              </w:tabs>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00FC4446" w14:paraId="4016B9CD"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42E2C0B8" w14:textId="72A3B583">
            <w:pPr>
              <w:tabs>
                <w:tab w:val="left" w:pos="-9018"/>
                <w:tab w:val="left" w:pos="-2070"/>
              </w:tabs>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w:t>
            </w:r>
            <w:r w:rsidRPr="00FC4446">
              <w:rPr>
                <w:kern w:val="0"/>
                <w:sz w:val="20"/>
                <w:szCs w:val="20"/>
                <w:lang w:eastAsia="en-US"/>
              </w:rPr>
              <w:t>0</w:t>
            </w:r>
          </w:p>
        </w:tc>
        <w:tc>
          <w:tcPr>
            <w:tcW w:w="360" w:type="dxa"/>
          </w:tcPr>
          <w:p w:rsidR="00FC4446" w:rsidRPr="00FC4446" w:rsidP="00FC4446" w14:paraId="1008251E"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shd w:val="clear" w:color="auto" w:fill="auto"/>
            <w:vAlign w:val="center"/>
          </w:tcPr>
          <w:p w:rsidR="00FC4446" w:rsidRPr="00FC4446" w:rsidP="00FC4446" w14:paraId="2384B44F" w14:textId="378EBF49">
            <w:pPr>
              <w:tabs>
                <w:tab w:val="left" w:pos="-2070"/>
              </w:tabs>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2,</w:t>
            </w:r>
            <w:r w:rsidR="00D0273B">
              <w:rPr>
                <w:color w:val="000000"/>
                <w:kern w:val="0"/>
                <w:sz w:val="20"/>
                <w:szCs w:val="20"/>
                <w:lang w:eastAsia="en-US"/>
              </w:rPr>
              <w:t>5</w:t>
            </w:r>
            <w:r>
              <w:rPr>
                <w:color w:val="000000"/>
                <w:kern w:val="0"/>
                <w:sz w:val="20"/>
                <w:szCs w:val="20"/>
                <w:lang w:eastAsia="en-US"/>
              </w:rPr>
              <w:t>00</w:t>
            </w:r>
          </w:p>
        </w:tc>
      </w:tr>
      <w:tr w14:paraId="5A986C8D" w14:textId="77777777" w:rsidTr="00730EE8">
        <w:tblPrEx>
          <w:tblW w:w="9378" w:type="dxa"/>
          <w:tblLayout w:type="fixed"/>
          <w:tblLook w:val="01E0"/>
        </w:tblPrEx>
        <w:tc>
          <w:tcPr>
            <w:tcW w:w="3865" w:type="dxa"/>
          </w:tcPr>
          <w:p w:rsidR="00FC4446" w:rsidRPr="00FC4446" w:rsidP="00FC4446" w14:paraId="77B1EC4E" w14:textId="77777777">
            <w:pPr>
              <w:tabs>
                <w:tab w:val="left" w:pos="-2070"/>
              </w:tabs>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 xml:space="preserve"> TOTAL COLLECTION</w:t>
            </w:r>
          </w:p>
        </w:tc>
        <w:tc>
          <w:tcPr>
            <w:tcW w:w="1350" w:type="dxa"/>
          </w:tcPr>
          <w:p w:rsidR="00FC4446" w:rsidRPr="00FC4446" w:rsidP="00FC4446" w14:paraId="7FC35C33" w14:textId="79A94238">
            <w:pPr>
              <w:tabs>
                <w:tab w:val="left" w:pos="-2070"/>
              </w:tabs>
              <w:suppressAutoHyphens w:val="0"/>
              <w:overflowPunct w:val="0"/>
              <w:autoSpaceDE w:val="0"/>
              <w:autoSpaceDN w:val="0"/>
              <w:adjustRightInd w:val="0"/>
              <w:jc w:val="right"/>
              <w:textAlignment w:val="baseline"/>
              <w:rPr>
                <w:kern w:val="0"/>
                <w:sz w:val="20"/>
                <w:szCs w:val="20"/>
                <w:lang w:eastAsia="en-US"/>
              </w:rPr>
            </w:pPr>
            <w:r>
              <w:rPr>
                <w:kern w:val="0"/>
                <w:sz w:val="20"/>
                <w:szCs w:val="20"/>
                <w:lang w:eastAsia="en-US"/>
              </w:rPr>
              <w:t>275</w:t>
            </w:r>
          </w:p>
        </w:tc>
        <w:tc>
          <w:tcPr>
            <w:tcW w:w="270" w:type="dxa"/>
          </w:tcPr>
          <w:p w:rsidR="00FC4446" w:rsidRPr="00FC4446" w:rsidP="00FC4446" w14:paraId="04B51814"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32695B02" w14:textId="77777777">
            <w:pPr>
              <w:tabs>
                <w:tab w:val="left" w:pos="-2070"/>
              </w:tabs>
              <w:suppressAutoHyphens w:val="0"/>
              <w:overflowPunct w:val="0"/>
              <w:autoSpaceDE w:val="0"/>
              <w:autoSpaceDN w:val="0"/>
              <w:adjustRightInd w:val="0"/>
              <w:jc w:val="center"/>
              <w:textAlignment w:val="baseline"/>
              <w:rPr>
                <w:kern w:val="0"/>
                <w:sz w:val="20"/>
                <w:szCs w:val="20"/>
                <w:lang w:eastAsia="en-US"/>
              </w:rPr>
            </w:pPr>
          </w:p>
        </w:tc>
        <w:tc>
          <w:tcPr>
            <w:tcW w:w="270" w:type="dxa"/>
          </w:tcPr>
          <w:p w:rsidR="00FC4446" w:rsidRPr="00FC4446" w:rsidP="00FC4446" w14:paraId="0ED527DB"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2266C504" w14:textId="77777777">
            <w:pPr>
              <w:tabs>
                <w:tab w:val="left" w:pos="-9018"/>
                <w:tab w:val="left" w:pos="-2070"/>
              </w:tabs>
              <w:suppressAutoHyphens w:val="0"/>
              <w:overflowPunct w:val="0"/>
              <w:autoSpaceDE w:val="0"/>
              <w:autoSpaceDN w:val="0"/>
              <w:adjustRightInd w:val="0"/>
              <w:jc w:val="right"/>
              <w:textAlignment w:val="baseline"/>
              <w:rPr>
                <w:kern w:val="0"/>
                <w:sz w:val="20"/>
                <w:szCs w:val="20"/>
                <w:lang w:eastAsia="en-US"/>
              </w:rPr>
            </w:pPr>
          </w:p>
        </w:tc>
        <w:tc>
          <w:tcPr>
            <w:tcW w:w="360" w:type="dxa"/>
          </w:tcPr>
          <w:p w:rsidR="00FC4446" w:rsidRPr="00FC4446" w:rsidP="00FC4446" w14:paraId="5BA0F6BB"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103" w:type="dxa"/>
          </w:tcPr>
          <w:p w:rsidR="00FC4446" w:rsidRPr="00FC4446" w:rsidP="00FC4446" w14:paraId="49263A53" w14:textId="3F1EEE9B">
            <w:pPr>
              <w:tabs>
                <w:tab w:val="left" w:pos="-2070"/>
              </w:tabs>
              <w:suppressAutoHyphens w:val="0"/>
              <w:overflowPunct w:val="0"/>
              <w:autoSpaceDE w:val="0"/>
              <w:autoSpaceDN w:val="0"/>
              <w:adjustRightInd w:val="0"/>
              <w:jc w:val="right"/>
              <w:textAlignment w:val="baseline"/>
              <w:rPr>
                <w:kern w:val="0"/>
                <w:sz w:val="20"/>
                <w:szCs w:val="20"/>
                <w:lang w:eastAsia="en-US"/>
              </w:rPr>
            </w:pPr>
            <w:r>
              <w:rPr>
                <w:kern w:val="0"/>
                <w:sz w:val="20"/>
                <w:szCs w:val="20"/>
                <w:lang w:eastAsia="en-US"/>
              </w:rPr>
              <w:t>1</w:t>
            </w:r>
            <w:r w:rsidR="00D0273B">
              <w:rPr>
                <w:kern w:val="0"/>
                <w:sz w:val="20"/>
                <w:szCs w:val="20"/>
                <w:lang w:eastAsia="en-US"/>
              </w:rPr>
              <w:t>7</w:t>
            </w:r>
            <w:r w:rsidRPr="00FC4446">
              <w:rPr>
                <w:kern w:val="0"/>
                <w:sz w:val="20"/>
                <w:szCs w:val="20"/>
                <w:lang w:eastAsia="en-US"/>
              </w:rPr>
              <w:t>,</w:t>
            </w:r>
            <w:r w:rsidR="00D0273B">
              <w:rPr>
                <w:kern w:val="0"/>
                <w:sz w:val="20"/>
                <w:szCs w:val="20"/>
                <w:lang w:eastAsia="en-US"/>
              </w:rPr>
              <w:t>750</w:t>
            </w:r>
          </w:p>
        </w:tc>
      </w:tr>
    </w:tbl>
    <w:p w:rsidR="00B510AC" w:rsidP="001A25A1" w14:paraId="0FE5529C" w14:textId="77777777">
      <w:pPr>
        <w:pStyle w:val="BodyTextIndent"/>
        <w:tabs>
          <w:tab w:val="left" w:pos="-2790"/>
          <w:tab w:val="clear" w:pos="450"/>
        </w:tabs>
      </w:pPr>
    </w:p>
    <w:p w:rsidR="001A25A1" w:rsidP="00803893" w14:paraId="68AD6637" w14:textId="16E64CA4">
      <w:pPr>
        <w:pStyle w:val="BodyTextIndent"/>
        <w:tabs>
          <w:tab w:val="left" w:pos="-2790"/>
          <w:tab w:val="clear" w:pos="450"/>
        </w:tabs>
        <w:ind w:left="0" w:firstLine="0"/>
      </w:pPr>
      <w:bookmarkStart w:id="1" w:name="_Hlk137540981"/>
      <w:r>
        <w:t xml:space="preserve">The total hour burden previously </w:t>
      </w:r>
      <w:r w:rsidR="00FD66E8">
        <w:t>approved by OMB</w:t>
      </w:r>
      <w:r>
        <w:t xml:space="preserve"> for</w:t>
      </w:r>
      <w:r w:rsidR="00FD66E8">
        <w:t xml:space="preserve"> this information collection is </w:t>
      </w:r>
      <w:r w:rsidR="00803893">
        <w:t xml:space="preserve">24,625, so the new </w:t>
      </w:r>
      <w:r w:rsidR="00836378">
        <w:t xml:space="preserve">burden estimate resulting from SBA’s </w:t>
      </w:r>
      <w:r w:rsidR="007F0D16">
        <w:t>streamlining</w:t>
      </w:r>
      <w:r w:rsidR="00836378">
        <w:t xml:space="preserve"> efforts </w:t>
      </w:r>
      <w:r w:rsidR="007F0D16">
        <w:t xml:space="preserve">is projected to have a net </w:t>
      </w:r>
      <w:r w:rsidR="00327B9D">
        <w:t xml:space="preserve">burden </w:t>
      </w:r>
      <w:r w:rsidR="007F0D16">
        <w:t xml:space="preserve">reduction </w:t>
      </w:r>
      <w:r w:rsidRPr="00F840E6" w:rsidR="00F840E6">
        <w:t>6,875</w:t>
      </w:r>
      <w:r w:rsidR="00327B9D">
        <w:t xml:space="preserve"> hours</w:t>
      </w:r>
      <w:r w:rsidR="00001694">
        <w:t xml:space="preserve"> – approximately </w:t>
      </w:r>
      <w:r w:rsidR="004B175A">
        <w:t>28 percent less</w:t>
      </w:r>
      <w:r w:rsidR="00327B9D">
        <w:t xml:space="preserve">. </w:t>
      </w:r>
      <w:r w:rsidR="00803893">
        <w:t xml:space="preserve"> </w:t>
      </w:r>
    </w:p>
    <w:bookmarkEnd w:id="1"/>
    <w:p w:rsidR="00AC21FB" w:rsidP="00B111ED" w14:paraId="03A70DDA" w14:textId="77777777">
      <w:pPr>
        <w:pStyle w:val="BodyTextIndent"/>
        <w:tabs>
          <w:tab w:val="clear" w:pos="450"/>
          <w:tab w:val="left" w:pos="540"/>
        </w:tabs>
        <w:ind w:left="0" w:firstLine="0"/>
      </w:pPr>
    </w:p>
    <w:p w:rsidR="00AC21FB" w:rsidP="004B175A" w14:paraId="516C4A73" w14:textId="77777777">
      <w:pPr>
        <w:pStyle w:val="BodyTextIndent"/>
        <w:tabs>
          <w:tab w:val="clear" w:pos="450"/>
        </w:tabs>
        <w:ind w:left="0" w:firstLine="0"/>
      </w:pPr>
      <w:r>
        <w:t>The cost to respondents of the estimated hour burden is shown in the following table:</w:t>
      </w:r>
    </w:p>
    <w:p w:rsidR="00AC21FB" w:rsidP="008A6077" w14:paraId="4270F66B" w14:textId="77777777">
      <w:pPr>
        <w:pStyle w:val="BodyTextIndent"/>
        <w:tabs>
          <w:tab w:val="clear" w:pos="450"/>
          <w:tab w:val="left" w:pos="540"/>
        </w:tabs>
        <w:ind w:left="1080" w:firstLine="0"/>
      </w:pPr>
    </w:p>
    <w:p w:rsidR="00AC21FB" w:rsidP="008A6077" w14:paraId="55BA1187" w14:textId="77777777">
      <w:pPr>
        <w:pStyle w:val="BodyTextIndent"/>
        <w:tabs>
          <w:tab w:val="clear" w:pos="450"/>
          <w:tab w:val="left" w:pos="540"/>
        </w:tabs>
        <w:ind w:left="1080" w:firstLine="0"/>
      </w:pPr>
    </w:p>
    <w:tbl>
      <w:tblPr>
        <w:tblW w:w="87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1065"/>
        <w:gridCol w:w="236"/>
        <w:gridCol w:w="1062"/>
        <w:gridCol w:w="288"/>
        <w:gridCol w:w="990"/>
        <w:gridCol w:w="450"/>
        <w:gridCol w:w="1170"/>
      </w:tblGrid>
      <w:tr w14:paraId="6C7B91FB" w14:textId="77777777" w:rsidTr="00213F11">
        <w:tblPrEx>
          <w:tblW w:w="87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510" w:type="dxa"/>
            <w:shd w:val="clear" w:color="auto" w:fill="3333CC"/>
          </w:tcPr>
          <w:p w:rsidR="00DA5AC1" w:rsidRPr="00DA5AC1" w:rsidP="00DA5AC1" w14:paraId="69DB20A3" w14:textId="77777777">
            <w:pPr>
              <w:tabs>
                <w:tab w:val="left" w:pos="540"/>
              </w:tabs>
              <w:suppressAutoHyphens w:val="0"/>
              <w:overflowPunct w:val="0"/>
              <w:autoSpaceDE w:val="0"/>
              <w:autoSpaceDN w:val="0"/>
              <w:adjustRightInd w:val="0"/>
              <w:ind w:right="-98"/>
              <w:jc w:val="center"/>
              <w:textAlignment w:val="baseline"/>
              <w:rPr>
                <w:b/>
                <w:color w:val="FFFFFF"/>
                <w:kern w:val="0"/>
                <w:sz w:val="18"/>
                <w:szCs w:val="18"/>
                <w:lang w:eastAsia="en-US"/>
              </w:rPr>
            </w:pPr>
            <w:bookmarkStart w:id="2" w:name="_Hlk137547445"/>
          </w:p>
          <w:p w:rsidR="00DA5AC1" w:rsidRPr="00DA5AC1" w:rsidP="00DA5AC1" w14:paraId="167FF49E" w14:textId="72891BAC">
            <w:pPr>
              <w:tabs>
                <w:tab w:val="left" w:pos="-2790"/>
              </w:tabs>
              <w:suppressAutoHyphens w:val="0"/>
              <w:overflowPunct w:val="0"/>
              <w:autoSpaceDE w:val="0"/>
              <w:autoSpaceDN w:val="0"/>
              <w:adjustRightInd w:val="0"/>
              <w:ind w:right="-98"/>
              <w:jc w:val="center"/>
              <w:textAlignment w:val="baseline"/>
              <w:rPr>
                <w:b/>
                <w:color w:val="FFFFFF"/>
                <w:kern w:val="0"/>
                <w:sz w:val="18"/>
                <w:szCs w:val="18"/>
                <w:lang w:eastAsia="en-US"/>
              </w:rPr>
            </w:pPr>
            <w:r>
              <w:rPr>
                <w:b/>
                <w:color w:val="FFFFFF"/>
                <w:kern w:val="0"/>
                <w:sz w:val="18"/>
                <w:szCs w:val="18"/>
                <w:lang w:eastAsia="en-US"/>
              </w:rPr>
              <w:t>Respondent Type</w:t>
            </w:r>
          </w:p>
        </w:tc>
        <w:tc>
          <w:tcPr>
            <w:tcW w:w="1065" w:type="dxa"/>
            <w:shd w:val="clear" w:color="auto" w:fill="3333CC"/>
          </w:tcPr>
          <w:p w:rsidR="00DA5AC1" w:rsidRPr="00DA5AC1" w:rsidP="00DA5AC1" w14:paraId="45D81E5A" w14:textId="77777777">
            <w:pPr>
              <w:tabs>
                <w:tab w:val="left" w:pos="-6229"/>
              </w:tabs>
              <w:suppressAutoHyphens w:val="0"/>
              <w:overflowPunct w:val="0"/>
              <w:autoSpaceDE w:val="0"/>
              <w:autoSpaceDN w:val="0"/>
              <w:adjustRightInd w:val="0"/>
              <w:ind w:right="73"/>
              <w:jc w:val="center"/>
              <w:textAlignment w:val="baseline"/>
              <w:rPr>
                <w:b/>
                <w:color w:val="FFFFFF"/>
                <w:kern w:val="0"/>
                <w:sz w:val="18"/>
                <w:szCs w:val="18"/>
                <w:lang w:eastAsia="en-US"/>
              </w:rPr>
            </w:pPr>
            <w:r w:rsidRPr="00DA5AC1">
              <w:rPr>
                <w:b/>
                <w:color w:val="FFFFFF"/>
                <w:kern w:val="0"/>
                <w:sz w:val="18"/>
                <w:szCs w:val="18"/>
                <w:lang w:eastAsia="en-US"/>
              </w:rPr>
              <w:t>Number of responses</w:t>
            </w:r>
          </w:p>
        </w:tc>
        <w:tc>
          <w:tcPr>
            <w:tcW w:w="236" w:type="dxa"/>
            <w:shd w:val="clear" w:color="auto" w:fill="3333CC"/>
            <w:vAlign w:val="center"/>
          </w:tcPr>
          <w:p w:rsidR="00DA5AC1" w:rsidRPr="00DA5AC1" w:rsidP="00DA5AC1" w14:paraId="0F112B14"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1062" w:type="dxa"/>
            <w:shd w:val="clear" w:color="auto" w:fill="3333CC"/>
          </w:tcPr>
          <w:p w:rsidR="00DA5AC1" w:rsidRPr="00DA5AC1" w:rsidP="00DA5AC1" w14:paraId="20AE6394" w14:textId="1B11F68A">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 xml:space="preserve">Hours per response </w:t>
            </w:r>
          </w:p>
        </w:tc>
        <w:tc>
          <w:tcPr>
            <w:tcW w:w="288" w:type="dxa"/>
            <w:shd w:val="clear" w:color="auto" w:fill="3333CC"/>
            <w:vAlign w:val="center"/>
          </w:tcPr>
          <w:p w:rsidR="00DA5AC1" w:rsidRPr="00DA5AC1" w:rsidP="00DA5AC1" w14:paraId="5D2ED8EA"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990" w:type="dxa"/>
            <w:shd w:val="clear" w:color="auto" w:fill="3333CC"/>
          </w:tcPr>
          <w:p w:rsidR="00DA5AC1" w:rsidRPr="00DA5AC1" w:rsidP="00DA5AC1" w14:paraId="69447307" w14:textId="77777777">
            <w:pPr>
              <w:tabs>
                <w:tab w:val="left" w:pos="-9925"/>
                <w:tab w:val="left" w:pos="-9808"/>
              </w:tabs>
              <w:suppressAutoHyphens w:val="0"/>
              <w:overflowPunct w:val="0"/>
              <w:autoSpaceDE w:val="0"/>
              <w:autoSpaceDN w:val="0"/>
              <w:adjustRightInd w:val="0"/>
              <w:ind w:left="2" w:right="72"/>
              <w:jc w:val="center"/>
              <w:textAlignment w:val="baseline"/>
              <w:rPr>
                <w:b/>
                <w:color w:val="FFFFFF"/>
                <w:kern w:val="0"/>
                <w:sz w:val="18"/>
                <w:szCs w:val="18"/>
                <w:lang w:eastAsia="en-US"/>
              </w:rPr>
            </w:pPr>
            <w:r w:rsidRPr="00DA5AC1">
              <w:rPr>
                <w:b/>
                <w:color w:val="FFFFFF"/>
                <w:kern w:val="0"/>
                <w:sz w:val="18"/>
                <w:szCs w:val="18"/>
                <w:lang w:eastAsia="en-US"/>
              </w:rPr>
              <w:t>Cost per hour</w:t>
            </w:r>
          </w:p>
        </w:tc>
        <w:tc>
          <w:tcPr>
            <w:tcW w:w="450" w:type="dxa"/>
            <w:shd w:val="clear" w:color="auto" w:fill="3333CC"/>
          </w:tcPr>
          <w:p w:rsidR="00DA5AC1" w:rsidRPr="00DA5AC1" w:rsidP="00DA5AC1" w14:paraId="01FDD493" w14:textId="77777777">
            <w:pPr>
              <w:suppressAutoHyphens w:val="0"/>
              <w:overflowPunct w:val="0"/>
              <w:autoSpaceDE w:val="0"/>
              <w:autoSpaceDN w:val="0"/>
              <w:adjustRightInd w:val="0"/>
              <w:jc w:val="center"/>
              <w:textAlignment w:val="baseline"/>
              <w:rPr>
                <w:b/>
                <w:color w:val="FFFFFF"/>
                <w:kern w:val="0"/>
                <w:sz w:val="18"/>
                <w:szCs w:val="18"/>
                <w:lang w:eastAsia="en-US"/>
              </w:rPr>
            </w:pPr>
          </w:p>
          <w:p w:rsidR="00DA5AC1" w:rsidRPr="00DA5AC1" w:rsidP="00DA5AC1" w14:paraId="01D0B6A4"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1170" w:type="dxa"/>
            <w:shd w:val="clear" w:color="auto" w:fill="3333CC"/>
          </w:tcPr>
          <w:p w:rsidR="00DA5AC1" w:rsidRPr="00DA5AC1" w:rsidP="00DA5AC1" w14:paraId="3EFB5DA4" w14:textId="77777777">
            <w:pPr>
              <w:suppressAutoHyphens w:val="0"/>
              <w:overflowPunct w:val="0"/>
              <w:autoSpaceDE w:val="0"/>
              <w:autoSpaceDN w:val="0"/>
              <w:adjustRightInd w:val="0"/>
              <w:ind w:left="34"/>
              <w:jc w:val="center"/>
              <w:textAlignment w:val="baseline"/>
              <w:rPr>
                <w:b/>
                <w:color w:val="FFFFFF"/>
                <w:kern w:val="0"/>
                <w:sz w:val="18"/>
                <w:szCs w:val="18"/>
                <w:lang w:eastAsia="en-US"/>
              </w:rPr>
            </w:pPr>
          </w:p>
          <w:p w:rsidR="00DA5AC1" w:rsidRPr="00DA5AC1" w:rsidP="00DA5AC1" w14:paraId="4C441F8F" w14:textId="77777777">
            <w:pPr>
              <w:suppressAutoHyphens w:val="0"/>
              <w:overflowPunct w:val="0"/>
              <w:autoSpaceDE w:val="0"/>
              <w:autoSpaceDN w:val="0"/>
              <w:adjustRightInd w:val="0"/>
              <w:ind w:left="34"/>
              <w:jc w:val="center"/>
              <w:textAlignment w:val="baseline"/>
              <w:rPr>
                <w:b/>
                <w:color w:val="FFFFFF"/>
                <w:kern w:val="0"/>
                <w:sz w:val="18"/>
                <w:szCs w:val="18"/>
                <w:lang w:eastAsia="en-US"/>
              </w:rPr>
            </w:pPr>
            <w:r w:rsidRPr="00DA5AC1">
              <w:rPr>
                <w:b/>
                <w:color w:val="FFFFFF"/>
                <w:kern w:val="0"/>
                <w:sz w:val="18"/>
                <w:szCs w:val="18"/>
                <w:lang w:eastAsia="en-US"/>
              </w:rPr>
              <w:t>Total Cost</w:t>
            </w:r>
          </w:p>
        </w:tc>
      </w:tr>
      <w:tr w14:paraId="1198D08A" w14:textId="77777777" w:rsidTr="00213F11">
        <w:tblPrEx>
          <w:tblW w:w="8771" w:type="dxa"/>
          <w:tblInd w:w="85" w:type="dxa"/>
          <w:tblLayout w:type="fixed"/>
          <w:tblLook w:val="01E0"/>
        </w:tblPrEx>
        <w:tc>
          <w:tcPr>
            <w:tcW w:w="3510" w:type="dxa"/>
          </w:tcPr>
          <w:p w:rsidR="00473073" w:rsidRPr="00DA5AC1" w:rsidP="00473073" w14:paraId="5B9C2CA3" w14:textId="71D4B3EA">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 xml:space="preserve">Pre-screen </w:t>
            </w: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w:t>
            </w:r>
            <w:r>
              <w:rPr>
                <w:kern w:val="0"/>
                <w:sz w:val="20"/>
                <w:szCs w:val="20"/>
                <w:lang w:eastAsia="en-US"/>
              </w:rPr>
              <w:t>(Short Form)</w:t>
            </w:r>
          </w:p>
        </w:tc>
        <w:tc>
          <w:tcPr>
            <w:tcW w:w="1065" w:type="dxa"/>
          </w:tcPr>
          <w:p w:rsidR="00473073" w:rsidRPr="00DA5AC1" w:rsidP="00473073" w14:paraId="11695D22" w14:textId="039B451B">
            <w:pPr>
              <w:tabs>
                <w:tab w:val="left" w:pos="-6229"/>
              </w:tabs>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75</w:t>
            </w:r>
          </w:p>
        </w:tc>
        <w:tc>
          <w:tcPr>
            <w:tcW w:w="236" w:type="dxa"/>
          </w:tcPr>
          <w:p w:rsidR="00473073" w:rsidRPr="00DA5AC1" w:rsidP="00473073" w14:paraId="122694C1"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6D257AD0" w14:textId="44F8E264">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60</w:t>
            </w:r>
          </w:p>
        </w:tc>
        <w:tc>
          <w:tcPr>
            <w:tcW w:w="288" w:type="dxa"/>
          </w:tcPr>
          <w:p w:rsidR="00473073" w:rsidRPr="00DA5AC1" w:rsidP="00473073" w14:paraId="51E5816F"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00473073" w14:paraId="6CA37389" w14:textId="66F3FB6A">
            <w:pPr>
              <w:tabs>
                <w:tab w:val="left" w:pos="-9925"/>
                <w:tab w:val="left" w:pos="-9808"/>
              </w:tabs>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55944468"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34112A84" w14:textId="66EB36F8">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Pr="00DC3C36" w:rsidR="00DC3C36">
              <w:rPr>
                <w:kern w:val="0"/>
                <w:sz w:val="20"/>
                <w:szCs w:val="20"/>
                <w:lang w:eastAsia="en-US"/>
              </w:rPr>
              <w:t>533,160</w:t>
            </w:r>
          </w:p>
        </w:tc>
      </w:tr>
      <w:tr w14:paraId="6256D09D" w14:textId="77777777" w:rsidTr="00213F11">
        <w:tblPrEx>
          <w:tblW w:w="8771" w:type="dxa"/>
          <w:tblInd w:w="85" w:type="dxa"/>
          <w:tblLayout w:type="fixed"/>
          <w:tblLook w:val="01E0"/>
        </w:tblPrEx>
        <w:tc>
          <w:tcPr>
            <w:tcW w:w="3510" w:type="dxa"/>
          </w:tcPr>
          <w:p w:rsidR="00473073" w:rsidRPr="00DA5AC1" w:rsidP="00473073" w14:paraId="2E84F5A8" w14:textId="13949D3B">
            <w:pPr>
              <w:tabs>
                <w:tab w:val="left" w:pos="-2070"/>
              </w:tabs>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(Long Form)</w:t>
            </w:r>
            <w:r>
              <w:rPr>
                <w:kern w:val="0"/>
                <w:sz w:val="20"/>
                <w:szCs w:val="20"/>
                <w:lang w:eastAsia="en-US"/>
              </w:rPr>
              <w:t xml:space="preserve"> </w:t>
            </w:r>
          </w:p>
        </w:tc>
        <w:tc>
          <w:tcPr>
            <w:tcW w:w="1065" w:type="dxa"/>
          </w:tcPr>
          <w:p w:rsidR="00473073" w:rsidRPr="00DA5AC1" w:rsidP="00473073" w14:paraId="3DD0F85C" w14:textId="71D705B1">
            <w:pPr>
              <w:tabs>
                <w:tab w:val="left" w:pos="-6229"/>
              </w:tabs>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150</w:t>
            </w:r>
          </w:p>
        </w:tc>
        <w:tc>
          <w:tcPr>
            <w:tcW w:w="236" w:type="dxa"/>
          </w:tcPr>
          <w:p w:rsidR="00473073" w:rsidRPr="00DA5AC1" w:rsidP="00473073" w14:paraId="14D4C275"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4134BE99" w14:textId="47312B5C">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80</w:t>
            </w:r>
          </w:p>
        </w:tc>
        <w:tc>
          <w:tcPr>
            <w:tcW w:w="288" w:type="dxa"/>
          </w:tcPr>
          <w:p w:rsidR="00473073" w:rsidRPr="00DA5AC1" w:rsidP="00473073" w14:paraId="1F80C0FC"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00473073" w14:paraId="29784F60" w14:textId="23CA6545">
            <w:pPr>
              <w:tabs>
                <w:tab w:val="left" w:pos="-9925"/>
                <w:tab w:val="left" w:pos="-9808"/>
              </w:tabs>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0789E8D3"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50B59D0D" w14:textId="6C29159C">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Pr="005F4FB5" w:rsidR="005F4FB5">
              <w:rPr>
                <w:kern w:val="0"/>
                <w:sz w:val="20"/>
                <w:szCs w:val="20"/>
                <w:lang w:eastAsia="en-US"/>
              </w:rPr>
              <w:t>1,421,760</w:t>
            </w:r>
          </w:p>
        </w:tc>
      </w:tr>
      <w:tr w14:paraId="6BD7649C" w14:textId="77777777" w:rsidTr="00213F11">
        <w:tblPrEx>
          <w:tblW w:w="8771" w:type="dxa"/>
          <w:tblInd w:w="85" w:type="dxa"/>
          <w:tblLayout w:type="fixed"/>
          <w:tblLook w:val="01E0"/>
        </w:tblPrEx>
        <w:tc>
          <w:tcPr>
            <w:tcW w:w="3510" w:type="dxa"/>
          </w:tcPr>
          <w:p w:rsidR="00473073" w:rsidRPr="00DA5AC1" w:rsidP="00473073" w14:paraId="378E0F85" w14:textId="5D8D5508">
            <w:pPr>
              <w:tabs>
                <w:tab w:val="left" w:pos="-2070"/>
              </w:tabs>
              <w:suppressAutoHyphens w:val="0"/>
              <w:overflowPunct w:val="0"/>
              <w:autoSpaceDE w:val="0"/>
              <w:autoSpaceDN w:val="0"/>
              <w:adjustRightInd w:val="0"/>
              <w:textAlignment w:val="baseline"/>
              <w:rPr>
                <w:kern w:val="0"/>
                <w:sz w:val="20"/>
                <w:szCs w:val="20"/>
                <w:lang w:eastAsia="en-US"/>
              </w:rPr>
            </w:pPr>
            <w:r w:rsidRPr="00FE0215">
              <w:rPr>
                <w:kern w:val="0"/>
                <w:sz w:val="20"/>
                <w:szCs w:val="20"/>
                <w:lang w:eastAsia="en-US"/>
              </w:rPr>
              <w:t xml:space="preserve">SBIC Subsequent Fund </w:t>
            </w:r>
            <w:r>
              <w:rPr>
                <w:kern w:val="0"/>
                <w:sz w:val="20"/>
                <w:szCs w:val="20"/>
                <w:lang w:eastAsia="en-US"/>
              </w:rPr>
              <w:t>MAQ</w:t>
            </w:r>
          </w:p>
        </w:tc>
        <w:tc>
          <w:tcPr>
            <w:tcW w:w="1065" w:type="dxa"/>
          </w:tcPr>
          <w:p w:rsidR="00473073" w:rsidRPr="00DA5AC1" w:rsidP="00473073" w14:paraId="5FF63E27" w14:textId="2FBEBA3D">
            <w:pPr>
              <w:tabs>
                <w:tab w:val="left" w:pos="-6229"/>
              </w:tabs>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50</w:t>
            </w:r>
          </w:p>
        </w:tc>
        <w:tc>
          <w:tcPr>
            <w:tcW w:w="236" w:type="dxa"/>
          </w:tcPr>
          <w:p w:rsidR="00473073" w:rsidRPr="00DA5AC1" w:rsidP="00473073" w14:paraId="04BB3A09"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1DAE12E9" w14:textId="30AE863C">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50</w:t>
            </w:r>
          </w:p>
        </w:tc>
        <w:tc>
          <w:tcPr>
            <w:tcW w:w="288" w:type="dxa"/>
          </w:tcPr>
          <w:p w:rsidR="00473073" w:rsidRPr="00DA5AC1" w:rsidP="00473073" w14:paraId="3A182B7E"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00473073" w14:paraId="4C49591D" w14:textId="5545CA70">
            <w:pPr>
              <w:tabs>
                <w:tab w:val="left" w:pos="-9925"/>
                <w:tab w:val="left" w:pos="-9808"/>
              </w:tabs>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34EC8D4B"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71F55554" w14:textId="772A6427">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Pr="00D823EB" w:rsidR="00D823EB">
              <w:rPr>
                <w:kern w:val="0"/>
                <w:sz w:val="20"/>
                <w:szCs w:val="20"/>
                <w:lang w:eastAsia="en-US"/>
              </w:rPr>
              <w:t>296,200</w:t>
            </w:r>
          </w:p>
        </w:tc>
      </w:tr>
      <w:tr w14:paraId="436F3E94" w14:textId="77777777" w:rsidTr="00213F11">
        <w:tblPrEx>
          <w:tblW w:w="8771" w:type="dxa"/>
          <w:tblInd w:w="85" w:type="dxa"/>
          <w:tblLayout w:type="fixed"/>
          <w:tblLook w:val="01E0"/>
        </w:tblPrEx>
        <w:tc>
          <w:tcPr>
            <w:tcW w:w="3510" w:type="dxa"/>
          </w:tcPr>
          <w:p w:rsidR="00DA5AC1" w:rsidRPr="00DA5AC1" w:rsidP="00DA5AC1" w14:paraId="6578FB08" w14:textId="77777777">
            <w:pPr>
              <w:tabs>
                <w:tab w:val="left" w:pos="-2070"/>
              </w:tabs>
              <w:suppressAutoHyphens w:val="0"/>
              <w:overflowPunct w:val="0"/>
              <w:autoSpaceDE w:val="0"/>
              <w:autoSpaceDN w:val="0"/>
              <w:adjustRightInd w:val="0"/>
              <w:textAlignment w:val="baseline"/>
              <w:rPr>
                <w:kern w:val="0"/>
                <w:sz w:val="20"/>
                <w:szCs w:val="20"/>
                <w:lang w:eastAsia="en-US"/>
              </w:rPr>
            </w:pPr>
            <w:r w:rsidRPr="00DA5AC1">
              <w:rPr>
                <w:kern w:val="0"/>
                <w:sz w:val="20"/>
                <w:szCs w:val="20"/>
                <w:lang w:eastAsia="en-US"/>
              </w:rPr>
              <w:t>TOTAL COLLECTION</w:t>
            </w:r>
          </w:p>
        </w:tc>
        <w:tc>
          <w:tcPr>
            <w:tcW w:w="1065" w:type="dxa"/>
          </w:tcPr>
          <w:p w:rsidR="00DA5AC1" w:rsidRPr="00DA5AC1" w:rsidP="00DA5AC1" w14:paraId="6D433C0B" w14:textId="77777777">
            <w:pPr>
              <w:tabs>
                <w:tab w:val="left" w:pos="-6229"/>
              </w:tabs>
              <w:suppressAutoHyphens w:val="0"/>
              <w:overflowPunct w:val="0"/>
              <w:autoSpaceDE w:val="0"/>
              <w:autoSpaceDN w:val="0"/>
              <w:adjustRightInd w:val="0"/>
              <w:ind w:right="73"/>
              <w:jc w:val="center"/>
              <w:textAlignment w:val="baseline"/>
              <w:rPr>
                <w:kern w:val="0"/>
                <w:sz w:val="20"/>
                <w:szCs w:val="20"/>
                <w:lang w:eastAsia="en-US"/>
              </w:rPr>
            </w:pPr>
          </w:p>
        </w:tc>
        <w:tc>
          <w:tcPr>
            <w:tcW w:w="236" w:type="dxa"/>
          </w:tcPr>
          <w:p w:rsidR="00DA5AC1" w:rsidRPr="00DA5AC1" w:rsidP="00DA5AC1" w14:paraId="47635F8B"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DA5AC1" w:rsidRPr="00DA5AC1" w:rsidP="00DA5AC1" w14:paraId="4A55208D" w14:textId="77777777">
            <w:pPr>
              <w:suppressAutoHyphens w:val="0"/>
              <w:overflowPunct w:val="0"/>
              <w:autoSpaceDE w:val="0"/>
              <w:autoSpaceDN w:val="0"/>
              <w:adjustRightInd w:val="0"/>
              <w:jc w:val="center"/>
              <w:textAlignment w:val="baseline"/>
              <w:rPr>
                <w:kern w:val="0"/>
                <w:sz w:val="20"/>
                <w:szCs w:val="20"/>
                <w:lang w:eastAsia="en-US"/>
              </w:rPr>
            </w:pPr>
          </w:p>
        </w:tc>
        <w:tc>
          <w:tcPr>
            <w:tcW w:w="288" w:type="dxa"/>
          </w:tcPr>
          <w:p w:rsidR="00DA5AC1" w:rsidRPr="00DA5AC1" w:rsidP="00DA5AC1" w14:paraId="3ECE9EE2"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DA5AC1" w:rsidRPr="00DA5AC1" w:rsidP="00DA5AC1" w14:paraId="17B21FE4" w14:textId="77777777">
            <w:pPr>
              <w:tabs>
                <w:tab w:val="left" w:pos="-9925"/>
                <w:tab w:val="left" w:pos="-9808"/>
              </w:tabs>
              <w:suppressAutoHyphens w:val="0"/>
              <w:overflowPunct w:val="0"/>
              <w:autoSpaceDE w:val="0"/>
              <w:autoSpaceDN w:val="0"/>
              <w:adjustRightInd w:val="0"/>
              <w:ind w:left="2" w:right="72"/>
              <w:jc w:val="center"/>
              <w:textAlignment w:val="baseline"/>
              <w:rPr>
                <w:kern w:val="0"/>
                <w:sz w:val="20"/>
                <w:szCs w:val="20"/>
                <w:lang w:eastAsia="en-US"/>
              </w:rPr>
            </w:pPr>
          </w:p>
        </w:tc>
        <w:tc>
          <w:tcPr>
            <w:tcW w:w="450" w:type="dxa"/>
          </w:tcPr>
          <w:p w:rsidR="00DA5AC1" w:rsidRPr="00DA5AC1" w:rsidP="00DA5AC1" w14:paraId="277E34DD"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DA5AC1" w:rsidRPr="00DA5AC1" w:rsidP="00DA5AC1" w14:paraId="2FBEBD41" w14:textId="32D110AF">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Pr="0094170A" w:rsidR="0094170A">
              <w:rPr>
                <w:kern w:val="0"/>
                <w:sz w:val="20"/>
                <w:szCs w:val="20"/>
                <w:lang w:eastAsia="en-US"/>
              </w:rPr>
              <w:t>2,251,120</w:t>
            </w:r>
          </w:p>
        </w:tc>
      </w:tr>
      <w:bookmarkEnd w:id="2"/>
    </w:tbl>
    <w:p w:rsidR="003270DB" w:rsidP="003270DB" w14:paraId="4CF828A9" w14:textId="77777777">
      <w:pPr>
        <w:pStyle w:val="BodyTextIndent"/>
        <w:tabs>
          <w:tab w:val="clear" w:pos="450"/>
          <w:tab w:val="left" w:pos="540"/>
        </w:tabs>
        <w:ind w:left="0" w:firstLine="0"/>
      </w:pPr>
    </w:p>
    <w:p w:rsidR="00213F11" w:rsidP="0094170A" w14:paraId="749A63EC" w14:textId="3B94F2DF">
      <w:pPr>
        <w:widowControl w:val="0"/>
        <w:overflowPunct w:val="0"/>
        <w:autoSpaceDE w:val="0"/>
        <w:autoSpaceDN w:val="0"/>
        <w:adjustRightInd w:val="0"/>
        <w:jc w:val="both"/>
        <w:textAlignment w:val="baseline"/>
        <w:rPr>
          <w:kern w:val="0"/>
          <w:szCs w:val="20"/>
          <w:lang w:eastAsia="en-US"/>
        </w:rPr>
      </w:pPr>
      <w:r w:rsidRPr="00213F11">
        <w:rPr>
          <w:kern w:val="0"/>
          <w:szCs w:val="20"/>
          <w:lang w:eastAsia="en-US"/>
        </w:rPr>
        <w:t>The estimated hourly cost to respondents is calculated using the mean hourly wage of $</w:t>
      </w:r>
      <w:r w:rsidRPr="00571591" w:rsidR="00571591">
        <w:rPr>
          <w:kern w:val="0"/>
          <w:szCs w:val="20"/>
          <w:lang w:eastAsia="en-US"/>
        </w:rPr>
        <w:t xml:space="preserve">118.48 </w:t>
      </w:r>
      <w:r w:rsidRPr="00213F11">
        <w:rPr>
          <w:kern w:val="0"/>
          <w:szCs w:val="20"/>
          <w:lang w:eastAsia="en-US"/>
        </w:rPr>
        <w:t>(mean annual wage of $</w:t>
      </w:r>
      <w:r w:rsidRPr="00D13E61" w:rsidR="00D13E61">
        <w:rPr>
          <w:kern w:val="0"/>
          <w:szCs w:val="20"/>
          <w:lang w:eastAsia="en-US"/>
        </w:rPr>
        <w:t>246,440</w:t>
      </w:r>
      <w:r w:rsidRPr="00213F11">
        <w:rPr>
          <w:kern w:val="0"/>
          <w:szCs w:val="20"/>
          <w:lang w:eastAsia="en-US"/>
        </w:rPr>
        <w:t xml:space="preserve">) </w:t>
      </w:r>
      <w:r w:rsidR="00633B29">
        <w:rPr>
          <w:kern w:val="0"/>
          <w:szCs w:val="20"/>
          <w:lang w:eastAsia="en-US"/>
        </w:rPr>
        <w:t xml:space="preserve">for </w:t>
      </w:r>
      <w:r w:rsidR="00D13E61">
        <w:rPr>
          <w:kern w:val="0"/>
          <w:szCs w:val="20"/>
          <w:lang w:eastAsia="en-US"/>
        </w:rPr>
        <w:t>Chief Executives</w:t>
      </w:r>
      <w:r w:rsidRPr="00213F11">
        <w:rPr>
          <w:kern w:val="0"/>
          <w:szCs w:val="20"/>
          <w:lang w:eastAsia="en-US"/>
        </w:rPr>
        <w:t xml:space="preserve"> (rate obtained from the most recently available 2022 Bureau of Labor Statistics, Occupational Employment Statistics, </w:t>
      </w:r>
      <w:hyperlink r:id="rId10" w:history="1">
        <w:r w:rsidR="003B693A">
          <w:rPr>
            <w:color w:val="0000FF"/>
            <w:u w:val="single"/>
          </w:rPr>
          <w:t>Chief Executives</w:t>
        </w:r>
      </w:hyperlink>
      <w:r w:rsidRPr="00213F11">
        <w:rPr>
          <w:kern w:val="0"/>
          <w:szCs w:val="20"/>
          <w:lang w:eastAsia="en-US"/>
        </w:rPr>
        <w:t xml:space="preserve">). </w:t>
      </w:r>
    </w:p>
    <w:p w:rsidR="0094170A" w:rsidP="0094170A" w14:paraId="5070CDF6" w14:textId="77777777">
      <w:pPr>
        <w:widowControl w:val="0"/>
        <w:overflowPunct w:val="0"/>
        <w:autoSpaceDE w:val="0"/>
        <w:autoSpaceDN w:val="0"/>
        <w:adjustRightInd w:val="0"/>
        <w:jc w:val="both"/>
        <w:textAlignment w:val="baseline"/>
        <w:rPr>
          <w:kern w:val="0"/>
          <w:szCs w:val="20"/>
          <w:lang w:eastAsia="en-US"/>
        </w:rPr>
      </w:pPr>
    </w:p>
    <w:p w:rsidR="0094170A" w:rsidRPr="00213F11" w:rsidP="00E87C86" w14:paraId="411E2894" w14:textId="4A103A95">
      <w:pPr>
        <w:pStyle w:val="BodyTextIndent"/>
        <w:tabs>
          <w:tab w:val="left" w:pos="-2790"/>
          <w:tab w:val="clear" w:pos="450"/>
        </w:tabs>
        <w:ind w:left="0" w:firstLine="0"/>
        <w:jc w:val="both"/>
      </w:pPr>
      <w:r>
        <w:t xml:space="preserve">The total </w:t>
      </w:r>
      <w:r w:rsidRPr="0094170A">
        <w:t xml:space="preserve">estimated hourly cost </w:t>
      </w:r>
      <w:r>
        <w:t xml:space="preserve">previously approved by OMB for this information collection is </w:t>
      </w:r>
      <w:r w:rsidRPr="0094170A">
        <w:t>$3,078,125</w:t>
      </w:r>
      <w:r>
        <w:t xml:space="preserve">, so the new burden estimate resulting from SBA’s streamlining efforts is projected to have a net burden reduction </w:t>
      </w:r>
      <w:r w:rsidR="00FC3EC8">
        <w:t>of $</w:t>
      </w:r>
      <w:r w:rsidRPr="00FC3EC8" w:rsidR="00FC3EC8">
        <w:t>827,005</w:t>
      </w:r>
      <w:r w:rsidR="00FC3EC8">
        <w:t xml:space="preserve"> </w:t>
      </w:r>
      <w:r>
        <w:t>– approximately 2</w:t>
      </w:r>
      <w:r w:rsidR="00E87C86">
        <w:t>7</w:t>
      </w:r>
      <w:r>
        <w:t xml:space="preserve"> percent less.  </w:t>
      </w:r>
    </w:p>
    <w:p w:rsidR="00AC21FB" w:rsidP="001E4CB9" w14:paraId="3E41F095" w14:textId="77777777">
      <w:pPr>
        <w:suppressAutoHyphens w:val="0"/>
        <w:ind w:hanging="360"/>
      </w:pPr>
    </w:p>
    <w:p w:rsidR="00893B06" w:rsidP="00746626" w14:paraId="4D246138" w14:textId="7B32C842">
      <w:pPr>
        <w:numPr>
          <w:ilvl w:val="1"/>
          <w:numId w:val="14"/>
        </w:numPr>
        <w:suppressAutoHyphens w:val="0"/>
        <w:ind w:left="0"/>
      </w:pPr>
      <w:r w:rsidRPr="00261E48">
        <w:rPr>
          <w:u w:val="single"/>
        </w:rPr>
        <w:t>Estimate</w:t>
      </w:r>
      <w:r w:rsidR="00633B29">
        <w:rPr>
          <w:u w:val="single"/>
        </w:rPr>
        <w:t>d</w:t>
      </w:r>
      <w:r w:rsidRPr="00261E48">
        <w:rPr>
          <w:u w:val="single"/>
        </w:rPr>
        <w:t xml:space="preserve"> </w:t>
      </w:r>
      <w:r w:rsidR="00C53E13">
        <w:rPr>
          <w:u w:val="single"/>
        </w:rPr>
        <w:t>nonrecurring</w:t>
      </w:r>
      <w:r w:rsidR="00633B29">
        <w:rPr>
          <w:u w:val="single"/>
        </w:rPr>
        <w:t xml:space="preserve"> costs</w:t>
      </w:r>
      <w:r w:rsidRPr="00261E48">
        <w:rPr>
          <w:u w:val="single"/>
        </w:rPr>
        <w:t>.</w:t>
      </w:r>
    </w:p>
    <w:p w:rsidR="00893B06" w:rsidP="00E371C6" w14:paraId="07B26CA7" w14:textId="77777777">
      <w:pPr>
        <w:pStyle w:val="BodyTextIndent"/>
        <w:numPr>
          <w:ilvl w:val="0"/>
          <w:numId w:val="6"/>
        </w:numPr>
        <w:tabs>
          <w:tab w:val="left" w:pos="-2790"/>
          <w:tab w:val="clear" w:pos="450"/>
        </w:tabs>
        <w:spacing w:after="120"/>
        <w:ind w:left="900" w:hanging="450"/>
        <w:jc w:val="both"/>
      </w:pPr>
      <w:r>
        <w:t>There are no capital or start-up costs to respondents.</w:t>
      </w:r>
    </w:p>
    <w:p w:rsidR="00893B06" w:rsidP="00E371C6" w14:paraId="62FEFBD6" w14:textId="7260DB4B">
      <w:pPr>
        <w:pStyle w:val="BodyTextIndent"/>
        <w:numPr>
          <w:ilvl w:val="0"/>
          <w:numId w:val="6"/>
        </w:numPr>
        <w:tabs>
          <w:tab w:val="left" w:pos="-2790"/>
          <w:tab w:val="clear" w:pos="450"/>
        </w:tabs>
        <w:spacing w:after="120"/>
        <w:ind w:left="900" w:hanging="450"/>
        <w:jc w:val="both"/>
      </w:pPr>
      <w:r>
        <w:t xml:space="preserve">The annual cost burden for the purchase of services </w:t>
      </w:r>
      <w:r w:rsidR="00E371C6">
        <w:t xml:space="preserve">and fees </w:t>
      </w:r>
      <w:r>
        <w:t>resulting from the collection of information is estimated as follows:</w:t>
      </w:r>
    </w:p>
    <w:tbl>
      <w:tblPr>
        <w:tblW w:w="0" w:type="auto"/>
        <w:tblInd w:w="58" w:type="dxa"/>
        <w:tblLayout w:type="fixed"/>
        <w:tblLook w:val="0000"/>
      </w:tblPr>
      <w:tblGrid>
        <w:gridCol w:w="4527"/>
        <w:gridCol w:w="1080"/>
      </w:tblGrid>
      <w:tr w14:paraId="69657DCC" w14:textId="77777777" w:rsidTr="0073038C">
        <w:tblPrEx>
          <w:tblW w:w="0" w:type="auto"/>
          <w:tblInd w:w="58" w:type="dxa"/>
          <w:tblLayout w:type="fixed"/>
          <w:tblLook w:val="0000"/>
        </w:tblPrEx>
        <w:trPr>
          <w:trHeight w:val="255"/>
        </w:trPr>
        <w:tc>
          <w:tcPr>
            <w:tcW w:w="4527" w:type="dxa"/>
            <w:tcBorders>
              <w:top w:val="single" w:sz="4" w:space="0" w:color="000000"/>
              <w:left w:val="single" w:sz="4" w:space="0" w:color="000000"/>
              <w:bottom w:val="single" w:sz="4" w:space="0" w:color="000000"/>
            </w:tcBorders>
            <w:shd w:val="clear" w:color="auto" w:fill="3333CC"/>
            <w:vAlign w:val="bottom"/>
          </w:tcPr>
          <w:p w:rsidR="004A31D2" w:rsidRPr="00CB6648" w:rsidP="008A6077" w14:paraId="6B103148" w14:textId="32009859">
            <w:pPr>
              <w:snapToGrid w:val="0"/>
              <w:rPr>
                <w:b/>
                <w:bCs/>
                <w:color w:val="FFFFFF" w:themeColor="background1"/>
                <w:sz w:val="18"/>
                <w:szCs w:val="18"/>
              </w:rPr>
            </w:pPr>
            <w:r w:rsidRPr="00CB6648">
              <w:rPr>
                <w:b/>
                <w:bCs/>
                <w:color w:val="FFFFFF" w:themeColor="background1"/>
                <w:sz w:val="18"/>
                <w:szCs w:val="18"/>
              </w:rPr>
              <w:t>Estimated Expense</w:t>
            </w:r>
            <w:r w:rsidR="0073038C">
              <w:rPr>
                <w:b/>
                <w:bCs/>
                <w:color w:val="FFFFFF" w:themeColor="background1"/>
                <w:sz w:val="18"/>
                <w:szCs w:val="18"/>
              </w:rPr>
              <w:t>s</w:t>
            </w:r>
          </w:p>
        </w:tc>
        <w:tc>
          <w:tcPr>
            <w:tcW w:w="1080" w:type="dxa"/>
            <w:tcBorders>
              <w:top w:val="single" w:sz="4" w:space="0" w:color="000000"/>
              <w:left w:val="single" w:sz="4" w:space="0" w:color="000000"/>
              <w:bottom w:val="single" w:sz="4" w:space="0" w:color="000000"/>
              <w:right w:val="single" w:sz="4" w:space="0" w:color="000000"/>
            </w:tcBorders>
            <w:shd w:val="clear" w:color="auto" w:fill="3333CC"/>
            <w:vAlign w:val="bottom"/>
          </w:tcPr>
          <w:p w:rsidR="004A31D2" w:rsidRPr="00CB6648" w:rsidP="008A6077" w14:paraId="5EF1480A" w14:textId="77777777">
            <w:pPr>
              <w:snapToGrid w:val="0"/>
              <w:jc w:val="center"/>
              <w:rPr>
                <w:b/>
                <w:bCs/>
                <w:color w:val="FFFFFF" w:themeColor="background1"/>
                <w:sz w:val="18"/>
                <w:szCs w:val="18"/>
              </w:rPr>
            </w:pPr>
            <w:r w:rsidRPr="00CB6648">
              <w:rPr>
                <w:b/>
                <w:bCs/>
                <w:color w:val="FFFFFF" w:themeColor="background1"/>
                <w:sz w:val="18"/>
                <w:szCs w:val="18"/>
              </w:rPr>
              <w:t>Total</w:t>
            </w:r>
          </w:p>
        </w:tc>
      </w:tr>
      <w:tr w14:paraId="10D8F53E" w14:textId="77777777" w:rsidTr="0073038C">
        <w:tblPrEx>
          <w:tblW w:w="0" w:type="auto"/>
          <w:tblInd w:w="58" w:type="dxa"/>
          <w:tblLayout w:type="fixed"/>
          <w:tblLook w:val="0000"/>
        </w:tblPrEx>
        <w:trPr>
          <w:trHeight w:val="255"/>
        </w:trPr>
        <w:tc>
          <w:tcPr>
            <w:tcW w:w="4527" w:type="dxa"/>
            <w:tcBorders>
              <w:left w:val="single" w:sz="4" w:space="0" w:color="000000"/>
              <w:bottom w:val="single" w:sz="4" w:space="0" w:color="000000"/>
            </w:tcBorders>
            <w:shd w:val="clear" w:color="auto" w:fill="FFFFFF"/>
            <w:vAlign w:val="bottom"/>
          </w:tcPr>
          <w:p w:rsidR="004A31D2" w:rsidRPr="00CB6648" w:rsidP="008A6077" w14:paraId="7597F6F7" w14:textId="23B103F9">
            <w:pPr>
              <w:snapToGrid w:val="0"/>
              <w:rPr>
                <w:color w:val="000000"/>
                <w:sz w:val="18"/>
                <w:szCs w:val="18"/>
              </w:rPr>
            </w:pPr>
            <w:r w:rsidRPr="00CB6648">
              <w:rPr>
                <w:color w:val="000000"/>
                <w:sz w:val="18"/>
                <w:szCs w:val="18"/>
              </w:rPr>
              <w:t>Attorney Fees</w:t>
            </w:r>
          </w:p>
        </w:tc>
        <w:tc>
          <w:tcPr>
            <w:tcW w:w="1080" w:type="dxa"/>
            <w:tcBorders>
              <w:left w:val="single" w:sz="4" w:space="0" w:color="000000"/>
              <w:bottom w:val="single" w:sz="4" w:space="0" w:color="000000"/>
              <w:right w:val="single" w:sz="4" w:space="0" w:color="000000"/>
            </w:tcBorders>
            <w:shd w:val="clear" w:color="auto" w:fill="FFFFFF"/>
            <w:vAlign w:val="bottom"/>
          </w:tcPr>
          <w:p w:rsidR="004A31D2" w:rsidRPr="00CB6648" w:rsidP="008A6077" w14:paraId="5914DFC2" w14:textId="77777777">
            <w:pPr>
              <w:snapToGrid w:val="0"/>
              <w:jc w:val="right"/>
              <w:rPr>
                <w:color w:val="000000"/>
                <w:sz w:val="18"/>
                <w:szCs w:val="18"/>
              </w:rPr>
            </w:pPr>
            <w:r w:rsidRPr="00CB6648">
              <w:rPr>
                <w:color w:val="000000"/>
                <w:sz w:val="18"/>
                <w:szCs w:val="18"/>
              </w:rPr>
              <w:t xml:space="preserve">$210,500 </w:t>
            </w:r>
          </w:p>
        </w:tc>
      </w:tr>
      <w:tr w14:paraId="45E4CF94" w14:textId="77777777" w:rsidTr="0073038C">
        <w:tblPrEx>
          <w:tblW w:w="0" w:type="auto"/>
          <w:tblInd w:w="58" w:type="dxa"/>
          <w:tblLayout w:type="fixed"/>
          <w:tblLook w:val="0000"/>
        </w:tblPrEx>
        <w:trPr>
          <w:trHeight w:val="255"/>
        </w:trPr>
        <w:tc>
          <w:tcPr>
            <w:tcW w:w="4527" w:type="dxa"/>
            <w:tcBorders>
              <w:left w:val="single" w:sz="4" w:space="0" w:color="000000"/>
              <w:bottom w:val="single" w:sz="4" w:space="0" w:color="000000"/>
            </w:tcBorders>
            <w:shd w:val="clear" w:color="auto" w:fill="FFFFFF"/>
            <w:vAlign w:val="bottom"/>
          </w:tcPr>
          <w:p w:rsidR="004A31D2" w:rsidRPr="00CB6648" w:rsidP="008A6077" w14:paraId="6E44F4E2" w14:textId="77777777">
            <w:pPr>
              <w:snapToGrid w:val="0"/>
              <w:rPr>
                <w:color w:val="000000"/>
                <w:sz w:val="18"/>
                <w:szCs w:val="18"/>
              </w:rPr>
            </w:pPr>
            <w:r w:rsidRPr="00CB6648">
              <w:rPr>
                <w:color w:val="000000"/>
                <w:sz w:val="18"/>
                <w:szCs w:val="18"/>
              </w:rPr>
              <w:t>Accounting/financial advisory fees</w:t>
            </w:r>
          </w:p>
        </w:tc>
        <w:tc>
          <w:tcPr>
            <w:tcW w:w="1080" w:type="dxa"/>
            <w:tcBorders>
              <w:left w:val="single" w:sz="4" w:space="0" w:color="000000"/>
              <w:bottom w:val="single" w:sz="4" w:space="0" w:color="000000"/>
              <w:right w:val="single" w:sz="4" w:space="0" w:color="000000"/>
            </w:tcBorders>
            <w:shd w:val="clear" w:color="auto" w:fill="FFFFFF"/>
            <w:vAlign w:val="bottom"/>
          </w:tcPr>
          <w:p w:rsidR="004A31D2" w:rsidRPr="00CB6648" w:rsidP="008A6077" w14:paraId="38B654ED" w14:textId="77777777">
            <w:pPr>
              <w:snapToGrid w:val="0"/>
              <w:jc w:val="right"/>
              <w:rPr>
                <w:color w:val="000000"/>
                <w:sz w:val="18"/>
                <w:szCs w:val="18"/>
              </w:rPr>
            </w:pPr>
            <w:r w:rsidRPr="00CB6648">
              <w:rPr>
                <w:color w:val="000000"/>
                <w:sz w:val="18"/>
                <w:szCs w:val="18"/>
              </w:rPr>
              <w:t xml:space="preserve">$10,000 </w:t>
            </w:r>
          </w:p>
        </w:tc>
      </w:tr>
      <w:tr w14:paraId="4D9432D7" w14:textId="77777777" w:rsidTr="0073038C">
        <w:tblPrEx>
          <w:tblW w:w="0" w:type="auto"/>
          <w:tblInd w:w="58" w:type="dxa"/>
          <w:tblLayout w:type="fixed"/>
          <w:tblLook w:val="0000"/>
        </w:tblPrEx>
        <w:trPr>
          <w:trHeight w:val="255"/>
        </w:trPr>
        <w:tc>
          <w:tcPr>
            <w:tcW w:w="4527" w:type="dxa"/>
            <w:tcBorders>
              <w:left w:val="single" w:sz="4" w:space="0" w:color="000000"/>
              <w:bottom w:val="single" w:sz="4" w:space="0" w:color="000000"/>
            </w:tcBorders>
            <w:shd w:val="clear" w:color="auto" w:fill="FFFFFF"/>
            <w:vAlign w:val="bottom"/>
          </w:tcPr>
          <w:p w:rsidR="004A31D2" w:rsidRPr="00CB6648" w:rsidP="008A6077" w14:paraId="75FC458B" w14:textId="41BD2E4C">
            <w:pPr>
              <w:snapToGrid w:val="0"/>
              <w:rPr>
                <w:color w:val="000000"/>
                <w:sz w:val="18"/>
                <w:szCs w:val="18"/>
              </w:rPr>
            </w:pPr>
            <w:r w:rsidRPr="00CB6648">
              <w:rPr>
                <w:color w:val="000000"/>
                <w:sz w:val="18"/>
                <w:szCs w:val="18"/>
              </w:rPr>
              <w:t>Estimated State Filing Fees</w:t>
            </w:r>
          </w:p>
        </w:tc>
        <w:tc>
          <w:tcPr>
            <w:tcW w:w="1080" w:type="dxa"/>
            <w:tcBorders>
              <w:left w:val="single" w:sz="4" w:space="0" w:color="000000"/>
              <w:bottom w:val="single" w:sz="4" w:space="0" w:color="000000"/>
              <w:right w:val="single" w:sz="4" w:space="0" w:color="000000"/>
            </w:tcBorders>
            <w:shd w:val="clear" w:color="auto" w:fill="FFFFFF"/>
            <w:vAlign w:val="bottom"/>
          </w:tcPr>
          <w:p w:rsidR="004A31D2" w:rsidRPr="00CB6648" w:rsidP="008A6077" w14:paraId="5F6F581D" w14:textId="2836E068">
            <w:pPr>
              <w:snapToGrid w:val="0"/>
              <w:jc w:val="right"/>
              <w:rPr>
                <w:color w:val="000000"/>
                <w:sz w:val="18"/>
                <w:szCs w:val="18"/>
              </w:rPr>
            </w:pPr>
            <w:r w:rsidRPr="00CB6648">
              <w:rPr>
                <w:color w:val="000000"/>
                <w:sz w:val="18"/>
                <w:szCs w:val="18"/>
              </w:rPr>
              <w:t xml:space="preserve">$4,000 </w:t>
            </w:r>
          </w:p>
        </w:tc>
      </w:tr>
      <w:tr w14:paraId="79C1FD25" w14:textId="77777777" w:rsidTr="0073038C">
        <w:tblPrEx>
          <w:tblW w:w="0" w:type="auto"/>
          <w:tblInd w:w="58" w:type="dxa"/>
          <w:tblLayout w:type="fixed"/>
          <w:tblLook w:val="0000"/>
        </w:tblPrEx>
        <w:trPr>
          <w:trHeight w:val="270"/>
        </w:trPr>
        <w:tc>
          <w:tcPr>
            <w:tcW w:w="4527" w:type="dxa"/>
            <w:tcBorders>
              <w:top w:val="single" w:sz="4" w:space="0" w:color="000000"/>
              <w:left w:val="single" w:sz="4" w:space="0" w:color="000000"/>
              <w:bottom w:val="double" w:sz="4" w:space="0" w:color="auto"/>
            </w:tcBorders>
            <w:shd w:val="clear" w:color="auto" w:fill="FFFFFF"/>
            <w:vAlign w:val="bottom"/>
          </w:tcPr>
          <w:p w:rsidR="004A31D2" w:rsidRPr="00CB6648" w:rsidP="008A6077" w14:paraId="496F47EF" w14:textId="40323C67">
            <w:pPr>
              <w:snapToGrid w:val="0"/>
              <w:rPr>
                <w:color w:val="000000"/>
                <w:sz w:val="18"/>
                <w:szCs w:val="18"/>
              </w:rPr>
            </w:pPr>
            <w:r w:rsidRPr="00CB6648">
              <w:rPr>
                <w:color w:val="000000"/>
                <w:sz w:val="18"/>
                <w:szCs w:val="18"/>
              </w:rPr>
              <w:t>*SBA Fee</w:t>
            </w:r>
            <w:r>
              <w:rPr>
                <w:color w:val="000000"/>
                <w:sz w:val="18"/>
                <w:szCs w:val="18"/>
              </w:rPr>
              <w:t>s</w:t>
            </w:r>
          </w:p>
        </w:tc>
        <w:tc>
          <w:tcPr>
            <w:tcW w:w="1080" w:type="dxa"/>
            <w:tcBorders>
              <w:top w:val="single" w:sz="4" w:space="0" w:color="000000"/>
              <w:left w:val="single" w:sz="4" w:space="0" w:color="000000"/>
              <w:bottom w:val="double" w:sz="4" w:space="0" w:color="auto"/>
              <w:right w:val="single" w:sz="4" w:space="0" w:color="000000"/>
            </w:tcBorders>
            <w:shd w:val="clear" w:color="auto" w:fill="FFFFFF"/>
            <w:vAlign w:val="bottom"/>
          </w:tcPr>
          <w:p w:rsidR="004A31D2" w:rsidRPr="00CB6648" w:rsidP="008A6077" w14:paraId="2109384F" w14:textId="7F632ECC">
            <w:pPr>
              <w:snapToGrid w:val="0"/>
              <w:jc w:val="right"/>
              <w:rPr>
                <w:color w:val="000000"/>
                <w:sz w:val="18"/>
                <w:szCs w:val="18"/>
              </w:rPr>
            </w:pPr>
            <w:r w:rsidRPr="00CB6648">
              <w:rPr>
                <w:color w:val="000000"/>
                <w:sz w:val="18"/>
                <w:szCs w:val="18"/>
              </w:rPr>
              <w:t>$25,625</w:t>
            </w:r>
          </w:p>
        </w:tc>
      </w:tr>
      <w:tr w14:paraId="175794FC" w14:textId="77777777" w:rsidTr="0073038C">
        <w:tblPrEx>
          <w:tblW w:w="0" w:type="auto"/>
          <w:tblInd w:w="58" w:type="dxa"/>
          <w:tblLayout w:type="fixed"/>
          <w:tblLook w:val="0000"/>
        </w:tblPrEx>
        <w:trPr>
          <w:trHeight w:val="255"/>
        </w:trPr>
        <w:tc>
          <w:tcPr>
            <w:tcW w:w="4527" w:type="dxa"/>
            <w:tcBorders>
              <w:top w:val="double" w:sz="4" w:space="0" w:color="auto"/>
              <w:left w:val="single" w:sz="4" w:space="0" w:color="000000"/>
              <w:bottom w:val="single" w:sz="4" w:space="0" w:color="000000"/>
            </w:tcBorders>
            <w:shd w:val="clear" w:color="auto" w:fill="FFFFFF"/>
            <w:vAlign w:val="bottom"/>
          </w:tcPr>
          <w:p w:rsidR="004A31D2" w:rsidRPr="00CB6648" w:rsidP="008A6077" w14:paraId="22197B77" w14:textId="52CE06F0">
            <w:pPr>
              <w:snapToGrid w:val="0"/>
              <w:rPr>
                <w:color w:val="000000"/>
                <w:sz w:val="18"/>
                <w:szCs w:val="18"/>
              </w:rPr>
            </w:pPr>
            <w:r w:rsidRPr="00CB6648">
              <w:rPr>
                <w:color w:val="000000"/>
                <w:sz w:val="18"/>
                <w:szCs w:val="18"/>
              </w:rPr>
              <w:t xml:space="preserve">Total </w:t>
            </w:r>
            <w:r>
              <w:rPr>
                <w:color w:val="000000"/>
                <w:sz w:val="18"/>
                <w:szCs w:val="18"/>
              </w:rPr>
              <w:t>C</w:t>
            </w:r>
            <w:r w:rsidRPr="00CB6648">
              <w:rPr>
                <w:color w:val="000000"/>
                <w:sz w:val="18"/>
                <w:szCs w:val="18"/>
              </w:rPr>
              <w:t xml:space="preserve">ost </w:t>
            </w:r>
            <w:r>
              <w:rPr>
                <w:color w:val="000000"/>
                <w:sz w:val="18"/>
                <w:szCs w:val="18"/>
              </w:rPr>
              <w:t>P</w:t>
            </w:r>
            <w:r w:rsidRPr="00CB6648">
              <w:rPr>
                <w:color w:val="000000"/>
                <w:sz w:val="18"/>
                <w:szCs w:val="18"/>
              </w:rPr>
              <w:t xml:space="preserve">er </w:t>
            </w:r>
            <w:r>
              <w:rPr>
                <w:color w:val="000000"/>
                <w:sz w:val="18"/>
                <w:szCs w:val="18"/>
              </w:rPr>
              <w:t>R</w:t>
            </w:r>
            <w:r w:rsidRPr="00CB6648">
              <w:rPr>
                <w:color w:val="000000"/>
                <w:sz w:val="18"/>
                <w:szCs w:val="18"/>
              </w:rPr>
              <w:t>esponse</w:t>
            </w:r>
          </w:p>
        </w:tc>
        <w:tc>
          <w:tcPr>
            <w:tcW w:w="1080" w:type="dxa"/>
            <w:tcBorders>
              <w:top w:val="double" w:sz="4" w:space="0" w:color="auto"/>
              <w:left w:val="single" w:sz="4" w:space="0" w:color="000000"/>
              <w:bottom w:val="single" w:sz="4" w:space="0" w:color="000000"/>
              <w:right w:val="single" w:sz="4" w:space="0" w:color="000000"/>
            </w:tcBorders>
            <w:shd w:val="clear" w:color="auto" w:fill="FFFFFF"/>
            <w:vAlign w:val="bottom"/>
          </w:tcPr>
          <w:p w:rsidR="004A31D2" w:rsidRPr="00CB6648" w:rsidP="008A6077" w14:paraId="75F01B63" w14:textId="7AA7ACC3">
            <w:pPr>
              <w:snapToGrid w:val="0"/>
              <w:jc w:val="right"/>
              <w:rPr>
                <w:color w:val="000000"/>
                <w:sz w:val="18"/>
                <w:szCs w:val="18"/>
              </w:rPr>
            </w:pPr>
            <w:r w:rsidRPr="00CB6648">
              <w:rPr>
                <w:color w:val="000000"/>
                <w:sz w:val="18"/>
                <w:szCs w:val="18"/>
              </w:rPr>
              <w:t>$2</w:t>
            </w:r>
            <w:r w:rsidR="006B69E8">
              <w:rPr>
                <w:color w:val="000000"/>
                <w:sz w:val="18"/>
                <w:szCs w:val="18"/>
              </w:rPr>
              <w:t>50,125</w:t>
            </w:r>
          </w:p>
        </w:tc>
      </w:tr>
      <w:tr w14:paraId="2BD03AFD" w14:textId="77777777" w:rsidTr="0073038C">
        <w:tblPrEx>
          <w:tblW w:w="0" w:type="auto"/>
          <w:tblInd w:w="58" w:type="dxa"/>
          <w:tblLayout w:type="fixed"/>
          <w:tblLook w:val="0000"/>
        </w:tblPrEx>
        <w:trPr>
          <w:trHeight w:val="270"/>
        </w:trPr>
        <w:tc>
          <w:tcPr>
            <w:tcW w:w="4527" w:type="dxa"/>
            <w:tcBorders>
              <w:left w:val="single" w:sz="4" w:space="0" w:color="000000"/>
              <w:bottom w:val="double" w:sz="1" w:space="0" w:color="000000"/>
            </w:tcBorders>
            <w:shd w:val="clear" w:color="auto" w:fill="FFFFFF"/>
            <w:vAlign w:val="bottom"/>
          </w:tcPr>
          <w:p w:rsidR="004A31D2" w:rsidRPr="00CB6648" w:rsidP="008A6077" w14:paraId="15FB504E" w14:textId="41B1420E">
            <w:pPr>
              <w:snapToGrid w:val="0"/>
              <w:rPr>
                <w:color w:val="000000"/>
                <w:sz w:val="18"/>
                <w:szCs w:val="18"/>
              </w:rPr>
            </w:pPr>
            <w:r>
              <w:rPr>
                <w:color w:val="000000"/>
                <w:sz w:val="18"/>
                <w:szCs w:val="18"/>
              </w:rPr>
              <w:t>SBIC Licenses Per Year</w:t>
            </w:r>
            <w:r w:rsidR="0073038C">
              <w:rPr>
                <w:color w:val="000000"/>
                <w:sz w:val="18"/>
                <w:szCs w:val="18"/>
              </w:rPr>
              <w:t xml:space="preserve"> (average 4-year lookback)</w:t>
            </w:r>
          </w:p>
        </w:tc>
        <w:tc>
          <w:tcPr>
            <w:tcW w:w="1080" w:type="dxa"/>
            <w:tcBorders>
              <w:left w:val="single" w:sz="4" w:space="0" w:color="000000"/>
              <w:bottom w:val="double" w:sz="1" w:space="0" w:color="000000"/>
              <w:right w:val="single" w:sz="4" w:space="0" w:color="000000"/>
            </w:tcBorders>
            <w:shd w:val="clear" w:color="auto" w:fill="FFFFFF"/>
            <w:vAlign w:val="bottom"/>
          </w:tcPr>
          <w:p w:rsidR="004A31D2" w:rsidRPr="00CB6648" w:rsidP="008A6077" w14:paraId="755DD563" w14:textId="40A59996">
            <w:pPr>
              <w:snapToGrid w:val="0"/>
              <w:jc w:val="right"/>
              <w:rPr>
                <w:color w:val="000000"/>
                <w:sz w:val="18"/>
                <w:szCs w:val="18"/>
              </w:rPr>
            </w:pPr>
            <w:r w:rsidRPr="00CB6648">
              <w:rPr>
                <w:color w:val="000000"/>
                <w:sz w:val="18"/>
                <w:szCs w:val="18"/>
              </w:rPr>
              <w:t>2</w:t>
            </w:r>
            <w:r w:rsidR="0073038C">
              <w:rPr>
                <w:color w:val="000000"/>
                <w:sz w:val="18"/>
                <w:szCs w:val="18"/>
              </w:rPr>
              <w:t>6</w:t>
            </w:r>
          </w:p>
        </w:tc>
      </w:tr>
      <w:tr w14:paraId="1820336F" w14:textId="77777777" w:rsidTr="0073038C">
        <w:tblPrEx>
          <w:tblW w:w="0" w:type="auto"/>
          <w:tblInd w:w="58" w:type="dxa"/>
          <w:tblLayout w:type="fixed"/>
          <w:tblLook w:val="0000"/>
        </w:tblPrEx>
        <w:trPr>
          <w:trHeight w:val="270"/>
        </w:trPr>
        <w:tc>
          <w:tcPr>
            <w:tcW w:w="4527" w:type="dxa"/>
            <w:tcBorders>
              <w:left w:val="single" w:sz="4" w:space="0" w:color="000000"/>
              <w:bottom w:val="single" w:sz="4" w:space="0" w:color="000000"/>
            </w:tcBorders>
            <w:shd w:val="clear" w:color="auto" w:fill="FFFFFF"/>
            <w:vAlign w:val="bottom"/>
          </w:tcPr>
          <w:p w:rsidR="004A31D2" w:rsidRPr="00CB6648" w:rsidP="008A6077" w14:paraId="6E73D7D8" w14:textId="61FC7BD5">
            <w:pPr>
              <w:snapToGrid w:val="0"/>
              <w:rPr>
                <w:color w:val="000000"/>
                <w:sz w:val="18"/>
                <w:szCs w:val="18"/>
              </w:rPr>
            </w:pPr>
            <w:r w:rsidRPr="00CB6648">
              <w:rPr>
                <w:color w:val="000000"/>
                <w:sz w:val="18"/>
                <w:szCs w:val="18"/>
              </w:rPr>
              <w:t xml:space="preserve">Total </w:t>
            </w:r>
          </w:p>
        </w:tc>
        <w:tc>
          <w:tcPr>
            <w:tcW w:w="1080" w:type="dxa"/>
            <w:tcBorders>
              <w:left w:val="single" w:sz="4" w:space="0" w:color="000000"/>
              <w:bottom w:val="single" w:sz="4" w:space="0" w:color="000000"/>
              <w:right w:val="single" w:sz="4" w:space="0" w:color="000000"/>
            </w:tcBorders>
            <w:shd w:val="clear" w:color="auto" w:fill="FFFFFF"/>
            <w:vAlign w:val="bottom"/>
          </w:tcPr>
          <w:p w:rsidR="004A31D2" w:rsidRPr="00CB6648" w:rsidP="008A6077" w14:paraId="160D526F" w14:textId="229AFF7D">
            <w:pPr>
              <w:snapToGrid w:val="0"/>
              <w:jc w:val="right"/>
              <w:rPr>
                <w:color w:val="000000"/>
                <w:sz w:val="18"/>
                <w:szCs w:val="18"/>
              </w:rPr>
            </w:pPr>
            <w:r w:rsidRPr="00CB6648">
              <w:rPr>
                <w:color w:val="000000"/>
                <w:sz w:val="18"/>
                <w:szCs w:val="18"/>
              </w:rPr>
              <w:t>$</w:t>
            </w:r>
            <w:r w:rsidR="008032DB">
              <w:rPr>
                <w:color w:val="000000"/>
                <w:sz w:val="18"/>
                <w:szCs w:val="18"/>
              </w:rPr>
              <w:t>6</w:t>
            </w:r>
            <w:r w:rsidRPr="00CB6648">
              <w:rPr>
                <w:color w:val="000000"/>
                <w:sz w:val="18"/>
                <w:szCs w:val="18"/>
              </w:rPr>
              <w:t>,</w:t>
            </w:r>
            <w:r w:rsidR="008032DB">
              <w:rPr>
                <w:color w:val="000000"/>
                <w:sz w:val="18"/>
                <w:szCs w:val="18"/>
              </w:rPr>
              <w:t>503,25</w:t>
            </w:r>
            <w:r w:rsidRPr="00CB6648">
              <w:rPr>
                <w:color w:val="000000"/>
                <w:sz w:val="18"/>
                <w:szCs w:val="18"/>
              </w:rPr>
              <w:t xml:space="preserve">0 </w:t>
            </w:r>
          </w:p>
        </w:tc>
      </w:tr>
    </w:tbl>
    <w:p w:rsidR="00893B06" w:rsidP="00F53F31" w14:paraId="2661EB43" w14:textId="77777777">
      <w:pPr>
        <w:pStyle w:val="BodyTextIndent"/>
        <w:tabs>
          <w:tab w:val="left" w:pos="-2790"/>
          <w:tab w:val="clear" w:pos="450"/>
        </w:tabs>
        <w:jc w:val="both"/>
      </w:pPr>
    </w:p>
    <w:p w:rsidR="00893B06" w:rsidP="00F53F31" w14:paraId="158B3D30" w14:textId="74DB69A3">
      <w:pPr>
        <w:pStyle w:val="BodyTextIndent"/>
        <w:tabs>
          <w:tab w:val="left" w:pos="-2790"/>
          <w:tab w:val="clear" w:pos="450"/>
        </w:tabs>
        <w:ind w:left="0" w:firstLine="0"/>
        <w:contextualSpacing/>
        <w:jc w:val="both"/>
        <w:rPr>
          <w:sz w:val="18"/>
          <w:szCs w:val="18"/>
        </w:rPr>
      </w:pPr>
      <w:r>
        <w:rPr>
          <w:sz w:val="18"/>
          <w:szCs w:val="18"/>
        </w:rPr>
        <w:t xml:space="preserve">*Depending on an applicant’s form of organization and application type, the SBA </w:t>
      </w:r>
      <w:r w:rsidR="003C6C20">
        <w:rPr>
          <w:sz w:val="18"/>
          <w:szCs w:val="18"/>
        </w:rPr>
        <w:t>I</w:t>
      </w:r>
      <w:r w:rsidR="00F94617">
        <w:rPr>
          <w:sz w:val="18"/>
          <w:szCs w:val="18"/>
        </w:rPr>
        <w:t xml:space="preserve">nitial </w:t>
      </w:r>
      <w:r w:rsidR="003C6C20">
        <w:rPr>
          <w:sz w:val="18"/>
          <w:szCs w:val="18"/>
        </w:rPr>
        <w:t>Licensing</w:t>
      </w:r>
      <w:r>
        <w:rPr>
          <w:sz w:val="18"/>
          <w:szCs w:val="18"/>
        </w:rPr>
        <w:t xml:space="preserve"> </w:t>
      </w:r>
      <w:r w:rsidR="003C6C20">
        <w:rPr>
          <w:sz w:val="18"/>
          <w:szCs w:val="18"/>
        </w:rPr>
        <w:t>F</w:t>
      </w:r>
      <w:r>
        <w:rPr>
          <w:sz w:val="18"/>
          <w:szCs w:val="18"/>
        </w:rPr>
        <w:t>ee may be $</w:t>
      </w:r>
      <w:r w:rsidR="009164A6">
        <w:rPr>
          <w:sz w:val="18"/>
          <w:szCs w:val="18"/>
        </w:rPr>
        <w:t>5</w:t>
      </w:r>
      <w:r>
        <w:rPr>
          <w:sz w:val="18"/>
          <w:szCs w:val="18"/>
        </w:rPr>
        <w:t>,000, $1</w:t>
      </w:r>
      <w:r w:rsidR="009164A6">
        <w:rPr>
          <w:sz w:val="18"/>
          <w:szCs w:val="18"/>
        </w:rPr>
        <w:t>0</w:t>
      </w:r>
      <w:r>
        <w:rPr>
          <w:sz w:val="18"/>
          <w:szCs w:val="18"/>
        </w:rPr>
        <w:t>,000</w:t>
      </w:r>
      <w:r w:rsidR="00C63507">
        <w:rPr>
          <w:sz w:val="18"/>
          <w:szCs w:val="18"/>
        </w:rPr>
        <w:t>,</w:t>
      </w:r>
      <w:r>
        <w:rPr>
          <w:sz w:val="18"/>
          <w:szCs w:val="18"/>
        </w:rPr>
        <w:t xml:space="preserve"> $</w:t>
      </w:r>
      <w:r w:rsidR="009164A6">
        <w:rPr>
          <w:sz w:val="18"/>
          <w:szCs w:val="18"/>
        </w:rPr>
        <w:t>1</w:t>
      </w:r>
      <w:r>
        <w:rPr>
          <w:sz w:val="18"/>
          <w:szCs w:val="18"/>
        </w:rPr>
        <w:t>5,000</w:t>
      </w:r>
      <w:r w:rsidR="00C63507">
        <w:rPr>
          <w:sz w:val="18"/>
          <w:szCs w:val="18"/>
        </w:rPr>
        <w:t>, or $20,000</w:t>
      </w:r>
      <w:r w:rsidR="00F94617">
        <w:rPr>
          <w:sz w:val="18"/>
          <w:szCs w:val="18"/>
        </w:rPr>
        <w:t>, and</w:t>
      </w:r>
      <w:r>
        <w:rPr>
          <w:sz w:val="18"/>
          <w:szCs w:val="18"/>
        </w:rPr>
        <w:t xml:space="preserve"> </w:t>
      </w:r>
      <w:r w:rsidRPr="00F94617" w:rsidR="00F94617">
        <w:rPr>
          <w:sz w:val="18"/>
          <w:szCs w:val="18"/>
        </w:rPr>
        <w:t xml:space="preserve">the </w:t>
      </w:r>
      <w:r w:rsidR="00F94617">
        <w:rPr>
          <w:sz w:val="18"/>
          <w:szCs w:val="18"/>
        </w:rPr>
        <w:t xml:space="preserve">Final </w:t>
      </w:r>
      <w:r w:rsidR="003C6C20">
        <w:rPr>
          <w:sz w:val="18"/>
          <w:szCs w:val="18"/>
        </w:rPr>
        <w:t xml:space="preserve">Licensing Fee </w:t>
      </w:r>
      <w:r w:rsidRPr="00F94617" w:rsidR="00F94617">
        <w:rPr>
          <w:sz w:val="18"/>
          <w:szCs w:val="18"/>
        </w:rPr>
        <w:t>may be</w:t>
      </w:r>
      <w:r w:rsidR="001B0C36">
        <w:rPr>
          <w:sz w:val="18"/>
          <w:szCs w:val="18"/>
        </w:rPr>
        <w:t xml:space="preserve"> based at</w:t>
      </w:r>
      <w:r w:rsidRPr="00F94617" w:rsidR="00F94617">
        <w:rPr>
          <w:sz w:val="18"/>
          <w:szCs w:val="18"/>
        </w:rPr>
        <w:t xml:space="preserve"> $</w:t>
      </w:r>
      <w:r w:rsidR="003C6C20">
        <w:rPr>
          <w:sz w:val="18"/>
          <w:szCs w:val="18"/>
        </w:rPr>
        <w:t>10</w:t>
      </w:r>
      <w:r w:rsidRPr="00F94617" w:rsidR="00F94617">
        <w:rPr>
          <w:sz w:val="18"/>
          <w:szCs w:val="18"/>
        </w:rPr>
        <w:t>,000, $1</w:t>
      </w:r>
      <w:r w:rsidR="003C6C20">
        <w:rPr>
          <w:sz w:val="18"/>
          <w:szCs w:val="18"/>
        </w:rPr>
        <w:t>5</w:t>
      </w:r>
      <w:r w:rsidRPr="00F94617" w:rsidR="00F94617">
        <w:rPr>
          <w:sz w:val="18"/>
          <w:szCs w:val="18"/>
        </w:rPr>
        <w:t>,000, $</w:t>
      </w:r>
      <w:r w:rsidR="007A1497">
        <w:rPr>
          <w:sz w:val="18"/>
          <w:szCs w:val="18"/>
        </w:rPr>
        <w:t>2</w:t>
      </w:r>
      <w:r w:rsidRPr="00F94617" w:rsidR="00F94617">
        <w:rPr>
          <w:sz w:val="18"/>
          <w:szCs w:val="18"/>
        </w:rPr>
        <w:t>5,000, or $</w:t>
      </w:r>
      <w:r w:rsidR="007A1497">
        <w:rPr>
          <w:sz w:val="18"/>
          <w:szCs w:val="18"/>
        </w:rPr>
        <w:t>3</w:t>
      </w:r>
      <w:r w:rsidRPr="00F94617" w:rsidR="00F94617">
        <w:rPr>
          <w:sz w:val="18"/>
          <w:szCs w:val="18"/>
        </w:rPr>
        <w:t>0,000</w:t>
      </w:r>
      <w:r w:rsidR="009E1C13">
        <w:t xml:space="preserve">, </w:t>
      </w:r>
      <w:r w:rsidRPr="009E1C13" w:rsidR="009E1C13">
        <w:rPr>
          <w:sz w:val="18"/>
          <w:szCs w:val="18"/>
        </w:rPr>
        <w:t>plus 1.25 basis points multiplied by the Leverage dollar amount requested by the applicant</w:t>
      </w:r>
      <w:r w:rsidRPr="00F94617" w:rsidR="00F94617">
        <w:rPr>
          <w:sz w:val="18"/>
          <w:szCs w:val="18"/>
        </w:rPr>
        <w:t xml:space="preserve">. </w:t>
      </w:r>
      <w:r>
        <w:rPr>
          <w:sz w:val="18"/>
          <w:szCs w:val="18"/>
        </w:rPr>
        <w:t xml:space="preserve">For the purposes of </w:t>
      </w:r>
      <w:r w:rsidR="00677F44">
        <w:rPr>
          <w:sz w:val="18"/>
          <w:szCs w:val="18"/>
        </w:rPr>
        <w:t xml:space="preserve">estimating </w:t>
      </w:r>
      <w:r>
        <w:rPr>
          <w:sz w:val="18"/>
          <w:szCs w:val="18"/>
        </w:rPr>
        <w:t>the annualized cost estimate, a</w:t>
      </w:r>
      <w:r w:rsidR="001B0C36">
        <w:rPr>
          <w:sz w:val="18"/>
          <w:szCs w:val="18"/>
        </w:rPr>
        <w:t xml:space="preserve"> blended</w:t>
      </w:r>
      <w:r w:rsidR="0075116A">
        <w:rPr>
          <w:sz w:val="18"/>
          <w:szCs w:val="18"/>
        </w:rPr>
        <w:t xml:space="preserve"> average </w:t>
      </w:r>
      <w:r w:rsidR="00677F44">
        <w:rPr>
          <w:sz w:val="18"/>
          <w:szCs w:val="18"/>
        </w:rPr>
        <w:t xml:space="preserve">fee </w:t>
      </w:r>
      <w:r w:rsidR="0075116A">
        <w:rPr>
          <w:sz w:val="18"/>
          <w:szCs w:val="18"/>
        </w:rPr>
        <w:t>of</w:t>
      </w:r>
      <w:r>
        <w:rPr>
          <w:sz w:val="18"/>
          <w:szCs w:val="18"/>
        </w:rPr>
        <w:t xml:space="preserve"> $1</w:t>
      </w:r>
      <w:r w:rsidR="00677F44">
        <w:rPr>
          <w:sz w:val="18"/>
          <w:szCs w:val="18"/>
        </w:rPr>
        <w:t>6</w:t>
      </w:r>
      <w:r>
        <w:rPr>
          <w:sz w:val="18"/>
          <w:szCs w:val="18"/>
        </w:rPr>
        <w:t>,</w:t>
      </w:r>
      <w:r w:rsidR="00677F44">
        <w:rPr>
          <w:sz w:val="18"/>
          <w:szCs w:val="18"/>
        </w:rPr>
        <w:t>25</w:t>
      </w:r>
      <w:r>
        <w:rPr>
          <w:sz w:val="18"/>
          <w:szCs w:val="18"/>
        </w:rPr>
        <w:t>0 was used</w:t>
      </w:r>
      <w:r w:rsidR="003D23F4">
        <w:rPr>
          <w:sz w:val="18"/>
          <w:szCs w:val="18"/>
        </w:rPr>
        <w:t>,</w:t>
      </w:r>
      <w:r w:rsidR="005A14F8">
        <w:rPr>
          <w:sz w:val="18"/>
          <w:szCs w:val="18"/>
        </w:rPr>
        <w:t xml:space="preserve"> </w:t>
      </w:r>
      <w:r w:rsidR="003D23F4">
        <w:rPr>
          <w:sz w:val="18"/>
          <w:szCs w:val="18"/>
        </w:rPr>
        <w:t xml:space="preserve">plus </w:t>
      </w:r>
      <w:r w:rsidR="005A14F8">
        <w:rPr>
          <w:sz w:val="18"/>
          <w:szCs w:val="18"/>
        </w:rPr>
        <w:t xml:space="preserve">an additional </w:t>
      </w:r>
      <w:r w:rsidR="00496C71">
        <w:rPr>
          <w:sz w:val="18"/>
          <w:szCs w:val="18"/>
        </w:rPr>
        <w:t xml:space="preserve">1.25 basis points </w:t>
      </w:r>
      <w:r w:rsidR="00FD46E1">
        <w:rPr>
          <w:sz w:val="18"/>
          <w:szCs w:val="18"/>
        </w:rPr>
        <w:t xml:space="preserve">(or .0125 percent) </w:t>
      </w:r>
      <w:r w:rsidR="0090660D">
        <w:rPr>
          <w:sz w:val="18"/>
          <w:szCs w:val="18"/>
        </w:rPr>
        <w:t>on an assumed amount of</w:t>
      </w:r>
      <w:r w:rsidR="00FD46E1">
        <w:rPr>
          <w:sz w:val="18"/>
          <w:szCs w:val="18"/>
        </w:rPr>
        <w:t xml:space="preserve"> $75 million</w:t>
      </w:r>
      <w:r w:rsidR="0090660D">
        <w:rPr>
          <w:sz w:val="18"/>
          <w:szCs w:val="18"/>
        </w:rPr>
        <w:t xml:space="preserve"> in leverage</w:t>
      </w:r>
      <w:r w:rsidR="00890B2F">
        <w:rPr>
          <w:sz w:val="18"/>
          <w:szCs w:val="18"/>
        </w:rPr>
        <w:t xml:space="preserve"> </w:t>
      </w:r>
      <w:r w:rsidR="00CB449B">
        <w:rPr>
          <w:sz w:val="18"/>
          <w:szCs w:val="18"/>
        </w:rPr>
        <w:t>at</w:t>
      </w:r>
      <w:r w:rsidR="00890B2F">
        <w:rPr>
          <w:sz w:val="18"/>
          <w:szCs w:val="18"/>
        </w:rPr>
        <w:t xml:space="preserve"> a</w:t>
      </w:r>
      <w:r w:rsidR="00C96B81">
        <w:rPr>
          <w:sz w:val="18"/>
          <w:szCs w:val="18"/>
        </w:rPr>
        <w:t xml:space="preserve">n additional </w:t>
      </w:r>
      <w:r w:rsidR="00997B1B">
        <w:rPr>
          <w:sz w:val="18"/>
          <w:szCs w:val="18"/>
        </w:rPr>
        <w:t>$</w:t>
      </w:r>
      <w:r w:rsidR="0072338C">
        <w:rPr>
          <w:sz w:val="18"/>
          <w:szCs w:val="18"/>
        </w:rPr>
        <w:t>9,375</w:t>
      </w:r>
      <w:r w:rsidR="00CB449B">
        <w:rPr>
          <w:sz w:val="18"/>
          <w:szCs w:val="18"/>
        </w:rPr>
        <w:t xml:space="preserve">, for a total estimated Licensing Fee of </w:t>
      </w:r>
      <w:r w:rsidR="00A05BFB">
        <w:rPr>
          <w:sz w:val="18"/>
          <w:szCs w:val="18"/>
        </w:rPr>
        <w:t>$</w:t>
      </w:r>
      <w:r w:rsidR="004A31D2">
        <w:rPr>
          <w:sz w:val="18"/>
          <w:szCs w:val="18"/>
        </w:rPr>
        <w:t>25</w:t>
      </w:r>
      <w:r w:rsidRPr="00A05BFB" w:rsidR="00A05BFB">
        <w:rPr>
          <w:sz w:val="18"/>
          <w:szCs w:val="18"/>
        </w:rPr>
        <w:t>,</w:t>
      </w:r>
      <w:r w:rsidR="004A31D2">
        <w:rPr>
          <w:sz w:val="18"/>
          <w:szCs w:val="18"/>
        </w:rPr>
        <w:t>6</w:t>
      </w:r>
      <w:r w:rsidRPr="00A05BFB" w:rsidR="00A05BFB">
        <w:rPr>
          <w:sz w:val="18"/>
          <w:szCs w:val="18"/>
        </w:rPr>
        <w:t>25</w:t>
      </w:r>
      <w:r w:rsidR="000E6D83">
        <w:rPr>
          <w:sz w:val="18"/>
          <w:szCs w:val="18"/>
        </w:rPr>
        <w:t xml:space="preserve">. </w:t>
      </w:r>
    </w:p>
    <w:p w:rsidR="00893B06" w:rsidRPr="00893B06" w:rsidP="00F53F31" w14:paraId="19B717BB" w14:textId="77777777">
      <w:pPr>
        <w:suppressAutoHyphens w:val="0"/>
        <w:ind w:hanging="360"/>
      </w:pPr>
    </w:p>
    <w:p w:rsidR="00893B06" w:rsidP="00F53F31" w14:paraId="0D726B48" w14:textId="254DCB23">
      <w:pPr>
        <w:numPr>
          <w:ilvl w:val="1"/>
          <w:numId w:val="14"/>
        </w:numPr>
        <w:suppressAutoHyphens w:val="0"/>
        <w:ind w:left="0"/>
      </w:pPr>
      <w:r w:rsidRPr="00893B06">
        <w:rPr>
          <w:u w:val="single"/>
        </w:rPr>
        <w:t xml:space="preserve">Estimated </w:t>
      </w:r>
      <w:r w:rsidR="00DA3876">
        <w:rPr>
          <w:u w:val="single"/>
        </w:rPr>
        <w:t>c</w:t>
      </w:r>
      <w:r w:rsidRPr="00893B06">
        <w:rPr>
          <w:u w:val="single"/>
        </w:rPr>
        <w:t xml:space="preserve">ost to the </w:t>
      </w:r>
      <w:r w:rsidR="00EE07D9">
        <w:rPr>
          <w:u w:val="single"/>
        </w:rPr>
        <w:t>G</w:t>
      </w:r>
      <w:r w:rsidRPr="00893B06">
        <w:rPr>
          <w:u w:val="single"/>
        </w:rPr>
        <w:t>overnment.</w:t>
      </w:r>
      <w:r>
        <w:t xml:space="preserve"> </w:t>
      </w:r>
      <w:r w:rsidRPr="004D0712" w:rsidR="004D0712">
        <w:t xml:space="preserve">The Federal Government’s cost to review and analyze each </w:t>
      </w:r>
      <w:r w:rsidR="00C711F1">
        <w:t>MAQ</w:t>
      </w:r>
      <w:r w:rsidRPr="004D0712" w:rsidR="004D0712">
        <w:t xml:space="preserve"> </w:t>
      </w:r>
      <w:r w:rsidR="00DA3876">
        <w:t>submi</w:t>
      </w:r>
      <w:r w:rsidR="00C711F1">
        <w:t>ssion</w:t>
      </w:r>
      <w:r w:rsidR="00DA3876">
        <w:t xml:space="preserve"> </w:t>
      </w:r>
      <w:r w:rsidRPr="004D0712" w:rsidR="004D0712">
        <w:t xml:space="preserve">is estimated at </w:t>
      </w:r>
      <w:r w:rsidRPr="00334D8F" w:rsidR="004D0712">
        <w:t>$</w:t>
      </w:r>
      <w:r w:rsidRPr="00334D8F" w:rsidR="00334D8F">
        <w:t>705,042</w:t>
      </w:r>
      <w:r w:rsidRPr="004D0712" w:rsidR="004D0712">
        <w:t xml:space="preserve">. The aggregate cost is computed </w:t>
      </w:r>
      <w:r w:rsidR="00B75365">
        <w:t xml:space="preserve">using </w:t>
      </w:r>
      <w:r w:rsidRPr="00B75365" w:rsidR="00B75365">
        <w:t>FY</w:t>
      </w:r>
      <w:r w:rsidR="00B75365">
        <w:t xml:space="preserve"> 20</w:t>
      </w:r>
      <w:r w:rsidRPr="00B75365" w:rsidR="00B75365">
        <w:t>23 hourly rate</w:t>
      </w:r>
      <w:r w:rsidR="00B75365">
        <w:t>s</w:t>
      </w:r>
      <w:r w:rsidRPr="00B75365" w:rsidR="00B75365">
        <w:t xml:space="preserve"> for </w:t>
      </w:r>
      <w:r w:rsidR="00B75365">
        <w:t xml:space="preserve">Washington, </w:t>
      </w:r>
      <w:r w:rsidRPr="00B75365" w:rsidR="00B75365">
        <w:t>DC</w:t>
      </w:r>
      <w:r w:rsidRPr="004D0712" w:rsidR="004D0712">
        <w:t>:</w:t>
      </w:r>
    </w:p>
    <w:p w:rsidR="00893B06" w:rsidRPr="00797EE6" w:rsidP="00F53F31" w14:paraId="4BEE0613" w14:textId="77777777">
      <w:pPr>
        <w:pStyle w:val="BodyTextIndent"/>
        <w:tabs>
          <w:tab w:val="left" w:pos="-2790"/>
          <w:tab w:val="clear" w:pos="450"/>
        </w:tabs>
        <w:ind w:left="720" w:firstLine="0"/>
        <w:rPr>
          <w:u w:val="single"/>
        </w:rPr>
      </w:pPr>
    </w:p>
    <w:tbl>
      <w:tblPr>
        <w:tblW w:w="0" w:type="auto"/>
        <w:tblInd w:w="108" w:type="dxa"/>
        <w:tblLayout w:type="fixed"/>
        <w:tblLook w:val="0000"/>
      </w:tblPr>
      <w:tblGrid>
        <w:gridCol w:w="5287"/>
        <w:gridCol w:w="990"/>
        <w:gridCol w:w="862"/>
        <w:gridCol w:w="1122"/>
      </w:tblGrid>
      <w:tr w14:paraId="760C60F3" w14:textId="77777777" w:rsidTr="00B21FDB">
        <w:tblPrEx>
          <w:tblW w:w="0" w:type="auto"/>
          <w:tblInd w:w="108" w:type="dxa"/>
          <w:tblLayout w:type="fixed"/>
          <w:tblLook w:val="0000"/>
        </w:tblPrEx>
        <w:trPr>
          <w:trHeight w:val="255"/>
        </w:trPr>
        <w:tc>
          <w:tcPr>
            <w:tcW w:w="5287" w:type="dxa"/>
            <w:tcBorders>
              <w:top w:val="single" w:sz="4" w:space="0" w:color="000000"/>
              <w:left w:val="single" w:sz="4" w:space="0" w:color="000000"/>
              <w:bottom w:val="single" w:sz="4" w:space="0" w:color="000000"/>
            </w:tcBorders>
            <w:shd w:val="clear" w:color="auto" w:fill="3333CC"/>
            <w:vAlign w:val="bottom"/>
          </w:tcPr>
          <w:p w:rsidR="00893B06" w:rsidRPr="00B21FDB" w:rsidP="008A6077" w14:paraId="056BEB89" w14:textId="4575124E">
            <w:pPr>
              <w:snapToGrid w:val="0"/>
              <w:rPr>
                <w:b/>
                <w:bCs/>
                <w:color w:val="FFFFFF" w:themeColor="background1"/>
                <w:sz w:val="18"/>
                <w:szCs w:val="18"/>
              </w:rPr>
            </w:pPr>
            <w:r w:rsidRPr="00B21FDB">
              <w:rPr>
                <w:b/>
                <w:bCs/>
                <w:color w:val="FFFFFF" w:themeColor="background1"/>
                <w:sz w:val="18"/>
                <w:szCs w:val="18"/>
              </w:rPr>
              <w:t>MAQ</w:t>
            </w:r>
            <w:r w:rsidRPr="00B21FDB" w:rsidR="00B21FDB">
              <w:rPr>
                <w:b/>
                <w:bCs/>
                <w:color w:val="FFFFFF" w:themeColor="background1"/>
                <w:sz w:val="18"/>
                <w:szCs w:val="18"/>
              </w:rPr>
              <w:t xml:space="preserve"> Review</w:t>
            </w:r>
          </w:p>
        </w:tc>
        <w:tc>
          <w:tcPr>
            <w:tcW w:w="990" w:type="dxa"/>
            <w:tcBorders>
              <w:top w:val="single" w:sz="4" w:space="0" w:color="000000"/>
              <w:left w:val="single" w:sz="4" w:space="0" w:color="000000"/>
              <w:bottom w:val="single" w:sz="4" w:space="0" w:color="000000"/>
            </w:tcBorders>
            <w:shd w:val="clear" w:color="auto" w:fill="3333CC"/>
            <w:vAlign w:val="bottom"/>
          </w:tcPr>
          <w:p w:rsidR="00893B06" w:rsidRPr="00B21FDB" w:rsidP="008A6077" w14:paraId="18379813" w14:textId="77777777">
            <w:pPr>
              <w:snapToGrid w:val="0"/>
              <w:rPr>
                <w:b/>
                <w:bCs/>
                <w:color w:val="FFFFFF" w:themeColor="background1"/>
                <w:sz w:val="18"/>
                <w:szCs w:val="18"/>
              </w:rPr>
            </w:pPr>
            <w:r w:rsidRPr="00B21FDB">
              <w:rPr>
                <w:b/>
                <w:bCs/>
                <w:color w:val="FFFFFF" w:themeColor="background1"/>
                <w:sz w:val="18"/>
                <w:szCs w:val="18"/>
              </w:rPr>
              <w:t>Hours</w:t>
            </w:r>
          </w:p>
        </w:tc>
        <w:tc>
          <w:tcPr>
            <w:tcW w:w="862" w:type="dxa"/>
            <w:tcBorders>
              <w:top w:val="single" w:sz="4" w:space="0" w:color="000000"/>
              <w:left w:val="single" w:sz="4" w:space="0" w:color="000000"/>
              <w:bottom w:val="single" w:sz="4" w:space="0" w:color="000000"/>
            </w:tcBorders>
            <w:shd w:val="clear" w:color="auto" w:fill="3333CC"/>
            <w:vAlign w:val="bottom"/>
          </w:tcPr>
          <w:p w:rsidR="00893B06" w:rsidRPr="00B21FDB" w:rsidP="008A6077" w14:paraId="27D1D850" w14:textId="77777777">
            <w:pPr>
              <w:snapToGrid w:val="0"/>
              <w:rPr>
                <w:b/>
                <w:bCs/>
                <w:color w:val="FFFFFF" w:themeColor="background1"/>
                <w:sz w:val="18"/>
                <w:szCs w:val="18"/>
              </w:rPr>
            </w:pPr>
            <w:r w:rsidRPr="00B21FDB">
              <w:rPr>
                <w:b/>
                <w:bCs/>
                <w:color w:val="FFFFFF" w:themeColor="background1"/>
                <w:sz w:val="18"/>
                <w:szCs w:val="18"/>
              </w:rPr>
              <w:t>Rate</w:t>
            </w:r>
          </w:p>
        </w:tc>
        <w:tc>
          <w:tcPr>
            <w:tcW w:w="1122" w:type="dxa"/>
            <w:tcBorders>
              <w:top w:val="single" w:sz="4" w:space="0" w:color="000000"/>
              <w:left w:val="single" w:sz="4" w:space="0" w:color="000000"/>
              <w:bottom w:val="single" w:sz="4" w:space="0" w:color="000000"/>
              <w:right w:val="single" w:sz="4" w:space="0" w:color="000000"/>
            </w:tcBorders>
            <w:shd w:val="clear" w:color="auto" w:fill="3333CC"/>
            <w:vAlign w:val="bottom"/>
          </w:tcPr>
          <w:p w:rsidR="00893B06" w:rsidRPr="00B21FDB" w:rsidP="008A6077" w14:paraId="38642C83" w14:textId="77777777">
            <w:pPr>
              <w:snapToGrid w:val="0"/>
              <w:rPr>
                <w:b/>
                <w:bCs/>
                <w:color w:val="FFFFFF" w:themeColor="background1"/>
                <w:sz w:val="18"/>
                <w:szCs w:val="18"/>
              </w:rPr>
            </w:pPr>
            <w:r w:rsidRPr="00B21FDB">
              <w:rPr>
                <w:b/>
                <w:bCs/>
                <w:color w:val="FFFFFF" w:themeColor="background1"/>
                <w:sz w:val="18"/>
                <w:szCs w:val="18"/>
              </w:rPr>
              <w:t>Total</w:t>
            </w:r>
          </w:p>
        </w:tc>
      </w:tr>
      <w:tr w14:paraId="084F43F4" w14:textId="77777777" w:rsidTr="00B21FDB">
        <w:tblPrEx>
          <w:tblW w:w="0" w:type="auto"/>
          <w:tblInd w:w="108" w:type="dxa"/>
          <w:tblLayout w:type="fixed"/>
          <w:tblLook w:val="0000"/>
        </w:tblPrEx>
        <w:trPr>
          <w:trHeight w:val="255"/>
        </w:trPr>
        <w:tc>
          <w:tcPr>
            <w:tcW w:w="5287" w:type="dxa"/>
            <w:tcBorders>
              <w:left w:val="single" w:sz="4" w:space="0" w:color="000000"/>
              <w:bottom w:val="single" w:sz="4" w:space="0" w:color="000000"/>
            </w:tcBorders>
            <w:shd w:val="clear" w:color="auto" w:fill="FFFFFF"/>
            <w:vAlign w:val="bottom"/>
          </w:tcPr>
          <w:p w:rsidR="00893B06" w:rsidRPr="00B21FDB" w:rsidP="008A6077" w14:paraId="51FF3368" w14:textId="6FA74EFD">
            <w:pPr>
              <w:snapToGrid w:val="0"/>
              <w:rPr>
                <w:color w:val="000000"/>
                <w:sz w:val="18"/>
                <w:szCs w:val="18"/>
              </w:rPr>
            </w:pPr>
            <w:r w:rsidRPr="00B21FDB">
              <w:rPr>
                <w:color w:val="000000"/>
                <w:sz w:val="18"/>
                <w:szCs w:val="18"/>
              </w:rPr>
              <w:t>Analysis by Licensing Analyst (GS-13)</w:t>
            </w:r>
          </w:p>
        </w:tc>
        <w:tc>
          <w:tcPr>
            <w:tcW w:w="990" w:type="dxa"/>
            <w:tcBorders>
              <w:left w:val="single" w:sz="4" w:space="0" w:color="000000"/>
              <w:bottom w:val="single" w:sz="4" w:space="0" w:color="000000"/>
            </w:tcBorders>
            <w:shd w:val="clear" w:color="auto" w:fill="FFFFFF"/>
            <w:vAlign w:val="bottom"/>
          </w:tcPr>
          <w:p w:rsidR="00893B06" w:rsidRPr="00B21FDB" w:rsidP="008A6077" w14:paraId="46640814" w14:textId="39738CC3">
            <w:pPr>
              <w:snapToGrid w:val="0"/>
              <w:jc w:val="right"/>
              <w:rPr>
                <w:color w:val="000000"/>
                <w:sz w:val="18"/>
                <w:szCs w:val="18"/>
              </w:rPr>
            </w:pPr>
            <w:r w:rsidRPr="00B21FDB">
              <w:rPr>
                <w:color w:val="000000"/>
                <w:sz w:val="18"/>
                <w:szCs w:val="18"/>
              </w:rPr>
              <w:t>20</w:t>
            </w:r>
            <w:r w:rsidRPr="00B21FDB">
              <w:rPr>
                <w:color w:val="000000"/>
                <w:sz w:val="18"/>
                <w:szCs w:val="18"/>
              </w:rPr>
              <w:t xml:space="preserve">0 </w:t>
            </w:r>
          </w:p>
        </w:tc>
        <w:tc>
          <w:tcPr>
            <w:tcW w:w="862" w:type="dxa"/>
            <w:tcBorders>
              <w:left w:val="single" w:sz="4" w:space="0" w:color="000000"/>
              <w:bottom w:val="single" w:sz="4" w:space="0" w:color="000000"/>
            </w:tcBorders>
            <w:shd w:val="clear" w:color="auto" w:fill="FFFFFF"/>
            <w:vAlign w:val="bottom"/>
          </w:tcPr>
          <w:p w:rsidR="00893B06" w:rsidRPr="00B21FDB" w:rsidP="008A6077" w14:paraId="0696C54E" w14:textId="6380D183">
            <w:pPr>
              <w:snapToGrid w:val="0"/>
              <w:jc w:val="right"/>
              <w:rPr>
                <w:color w:val="000000"/>
                <w:sz w:val="18"/>
                <w:szCs w:val="18"/>
              </w:rPr>
            </w:pPr>
            <w:r w:rsidRPr="00B21FDB">
              <w:rPr>
                <w:color w:val="000000"/>
                <w:sz w:val="18"/>
                <w:szCs w:val="18"/>
              </w:rPr>
              <w:t>$</w:t>
            </w:r>
            <w:r w:rsidRPr="00B21FDB" w:rsidR="00D940F6">
              <w:rPr>
                <w:color w:val="000000"/>
                <w:sz w:val="18"/>
                <w:szCs w:val="18"/>
              </w:rPr>
              <w:t>60.83</w:t>
            </w:r>
            <w:r w:rsidRPr="00B21FDB">
              <w:rPr>
                <w:color w:val="000000"/>
                <w:sz w:val="18"/>
                <w:szCs w:val="18"/>
              </w:rPr>
              <w:t xml:space="preserve"> </w:t>
            </w:r>
          </w:p>
        </w:tc>
        <w:tc>
          <w:tcPr>
            <w:tcW w:w="1122" w:type="dxa"/>
            <w:tcBorders>
              <w:left w:val="single" w:sz="4" w:space="0" w:color="000000"/>
              <w:bottom w:val="single" w:sz="4" w:space="0" w:color="000000"/>
              <w:right w:val="single" w:sz="4" w:space="0" w:color="000000"/>
            </w:tcBorders>
            <w:shd w:val="clear" w:color="auto" w:fill="FFFFFF"/>
            <w:vAlign w:val="bottom"/>
          </w:tcPr>
          <w:p w:rsidR="00893B06" w:rsidRPr="00B21FDB" w:rsidP="008A6077" w14:paraId="611BF33D" w14:textId="58C792F4">
            <w:pPr>
              <w:snapToGrid w:val="0"/>
              <w:jc w:val="right"/>
              <w:rPr>
                <w:color w:val="000000"/>
                <w:sz w:val="18"/>
                <w:szCs w:val="18"/>
              </w:rPr>
            </w:pPr>
            <w:r w:rsidRPr="00B21FDB">
              <w:rPr>
                <w:color w:val="000000"/>
                <w:sz w:val="18"/>
                <w:szCs w:val="18"/>
              </w:rPr>
              <w:t>$</w:t>
            </w:r>
            <w:r w:rsidRPr="00D841DC" w:rsidR="00D841DC">
              <w:rPr>
                <w:color w:val="000000"/>
                <w:sz w:val="18"/>
                <w:szCs w:val="18"/>
              </w:rPr>
              <w:t>12,166</w:t>
            </w:r>
            <w:r w:rsidRPr="00B21FDB">
              <w:rPr>
                <w:color w:val="000000"/>
                <w:sz w:val="18"/>
                <w:szCs w:val="18"/>
              </w:rPr>
              <w:t xml:space="preserve"> </w:t>
            </w:r>
          </w:p>
        </w:tc>
      </w:tr>
      <w:tr w14:paraId="35D32D51" w14:textId="77777777" w:rsidTr="00B21FDB">
        <w:tblPrEx>
          <w:tblW w:w="0" w:type="auto"/>
          <w:tblInd w:w="108" w:type="dxa"/>
          <w:tblLayout w:type="fixed"/>
          <w:tblLook w:val="0000"/>
        </w:tblPrEx>
        <w:trPr>
          <w:trHeight w:val="255"/>
        </w:trPr>
        <w:tc>
          <w:tcPr>
            <w:tcW w:w="5287" w:type="dxa"/>
            <w:tcBorders>
              <w:left w:val="single" w:sz="4" w:space="0" w:color="000000"/>
              <w:bottom w:val="single" w:sz="4" w:space="0" w:color="000000"/>
            </w:tcBorders>
            <w:shd w:val="clear" w:color="auto" w:fill="FFFFFF"/>
            <w:vAlign w:val="bottom"/>
          </w:tcPr>
          <w:p w:rsidR="00893B06" w:rsidRPr="00B21FDB" w:rsidP="008A6077" w14:paraId="63EEA47B" w14:textId="62A9C05E">
            <w:pPr>
              <w:snapToGrid w:val="0"/>
              <w:rPr>
                <w:color w:val="000000"/>
                <w:sz w:val="18"/>
                <w:szCs w:val="18"/>
              </w:rPr>
            </w:pPr>
            <w:r w:rsidRPr="00B21FDB">
              <w:rPr>
                <w:color w:val="000000"/>
                <w:sz w:val="18"/>
                <w:szCs w:val="18"/>
              </w:rPr>
              <w:t>Supervisory Review (GS-14</w:t>
            </w:r>
            <w:r w:rsidRPr="00B21FDB" w:rsidR="00BF0170">
              <w:rPr>
                <w:color w:val="000000"/>
                <w:sz w:val="18"/>
                <w:szCs w:val="18"/>
              </w:rPr>
              <w:t>, Step 5</w:t>
            </w:r>
            <w:r w:rsidRPr="00B21FDB">
              <w:rPr>
                <w:color w:val="000000"/>
                <w:sz w:val="18"/>
                <w:szCs w:val="18"/>
              </w:rPr>
              <w:t>)</w:t>
            </w:r>
            <w:r w:rsidRPr="00B21FDB" w:rsidR="00BF0170">
              <w:rPr>
                <w:color w:val="000000"/>
                <w:sz w:val="18"/>
                <w:szCs w:val="18"/>
              </w:rPr>
              <w:t xml:space="preserve"> </w:t>
            </w:r>
          </w:p>
        </w:tc>
        <w:tc>
          <w:tcPr>
            <w:tcW w:w="990" w:type="dxa"/>
            <w:tcBorders>
              <w:left w:val="single" w:sz="4" w:space="0" w:color="000000"/>
              <w:bottom w:val="single" w:sz="4" w:space="0" w:color="000000"/>
            </w:tcBorders>
            <w:shd w:val="clear" w:color="auto" w:fill="FFFFFF"/>
            <w:vAlign w:val="bottom"/>
          </w:tcPr>
          <w:p w:rsidR="00893B06" w:rsidRPr="00B21FDB" w:rsidP="008A6077" w14:paraId="5528EF67" w14:textId="177AEC03">
            <w:pPr>
              <w:snapToGrid w:val="0"/>
              <w:jc w:val="right"/>
              <w:rPr>
                <w:color w:val="000000"/>
                <w:sz w:val="18"/>
                <w:szCs w:val="18"/>
              </w:rPr>
            </w:pPr>
            <w:r w:rsidRPr="00B21FDB">
              <w:rPr>
                <w:color w:val="000000"/>
                <w:sz w:val="18"/>
                <w:szCs w:val="18"/>
              </w:rPr>
              <w:t>6</w:t>
            </w:r>
            <w:r w:rsidRPr="00B21FDB">
              <w:rPr>
                <w:color w:val="000000"/>
                <w:sz w:val="18"/>
                <w:szCs w:val="18"/>
              </w:rPr>
              <w:t xml:space="preserve">0 </w:t>
            </w:r>
          </w:p>
        </w:tc>
        <w:tc>
          <w:tcPr>
            <w:tcW w:w="862" w:type="dxa"/>
            <w:tcBorders>
              <w:left w:val="single" w:sz="4" w:space="0" w:color="000000"/>
              <w:bottom w:val="single" w:sz="4" w:space="0" w:color="000000"/>
            </w:tcBorders>
            <w:shd w:val="clear" w:color="auto" w:fill="FFFFFF"/>
            <w:vAlign w:val="bottom"/>
          </w:tcPr>
          <w:p w:rsidR="00893B06" w:rsidRPr="00B21FDB" w:rsidP="008A6077" w14:paraId="1E7531C4" w14:textId="56A3568C">
            <w:pPr>
              <w:snapToGrid w:val="0"/>
              <w:jc w:val="right"/>
              <w:rPr>
                <w:color w:val="000000"/>
                <w:sz w:val="18"/>
                <w:szCs w:val="18"/>
              </w:rPr>
            </w:pPr>
            <w:r w:rsidRPr="00B21FDB">
              <w:rPr>
                <w:color w:val="000000"/>
                <w:sz w:val="18"/>
                <w:szCs w:val="18"/>
              </w:rPr>
              <w:t>$</w:t>
            </w:r>
            <w:r w:rsidRPr="00B21FDB" w:rsidR="00D940F6">
              <w:rPr>
                <w:color w:val="000000"/>
                <w:sz w:val="18"/>
                <w:szCs w:val="18"/>
              </w:rPr>
              <w:t>71.88</w:t>
            </w:r>
            <w:r w:rsidRPr="00B21FDB">
              <w:rPr>
                <w:color w:val="000000"/>
                <w:sz w:val="18"/>
                <w:szCs w:val="18"/>
              </w:rPr>
              <w:t xml:space="preserve"> </w:t>
            </w:r>
          </w:p>
        </w:tc>
        <w:tc>
          <w:tcPr>
            <w:tcW w:w="1122" w:type="dxa"/>
            <w:tcBorders>
              <w:left w:val="single" w:sz="4" w:space="0" w:color="000000"/>
              <w:bottom w:val="single" w:sz="4" w:space="0" w:color="000000"/>
              <w:right w:val="single" w:sz="4" w:space="0" w:color="000000"/>
            </w:tcBorders>
            <w:shd w:val="clear" w:color="auto" w:fill="FFFFFF"/>
            <w:vAlign w:val="bottom"/>
          </w:tcPr>
          <w:p w:rsidR="00893B06" w:rsidRPr="00B21FDB" w:rsidP="008A6077" w14:paraId="1102DC89" w14:textId="6F0DA224">
            <w:pPr>
              <w:snapToGrid w:val="0"/>
              <w:jc w:val="right"/>
              <w:rPr>
                <w:color w:val="000000"/>
                <w:sz w:val="18"/>
                <w:szCs w:val="18"/>
              </w:rPr>
            </w:pPr>
            <w:r w:rsidRPr="00B21FDB">
              <w:rPr>
                <w:color w:val="000000"/>
                <w:sz w:val="18"/>
                <w:szCs w:val="18"/>
              </w:rPr>
              <w:t>$</w:t>
            </w:r>
            <w:r w:rsidRPr="006E2486" w:rsidR="006E2486">
              <w:rPr>
                <w:color w:val="000000"/>
                <w:sz w:val="18"/>
                <w:szCs w:val="18"/>
              </w:rPr>
              <w:t>4,31</w:t>
            </w:r>
            <w:r w:rsidR="006E2486">
              <w:rPr>
                <w:color w:val="000000"/>
                <w:sz w:val="18"/>
                <w:szCs w:val="18"/>
              </w:rPr>
              <w:t>3</w:t>
            </w:r>
            <w:r w:rsidRPr="00B21FDB">
              <w:rPr>
                <w:color w:val="000000"/>
                <w:sz w:val="18"/>
                <w:szCs w:val="18"/>
              </w:rPr>
              <w:t xml:space="preserve"> </w:t>
            </w:r>
          </w:p>
        </w:tc>
      </w:tr>
      <w:tr w14:paraId="588E85F6" w14:textId="77777777" w:rsidTr="00B21FDB">
        <w:tblPrEx>
          <w:tblW w:w="0" w:type="auto"/>
          <w:tblInd w:w="108" w:type="dxa"/>
          <w:tblLayout w:type="fixed"/>
          <w:tblLook w:val="0000"/>
        </w:tblPrEx>
        <w:trPr>
          <w:trHeight w:val="255"/>
        </w:trPr>
        <w:tc>
          <w:tcPr>
            <w:tcW w:w="5287" w:type="dxa"/>
            <w:tcBorders>
              <w:left w:val="single" w:sz="4" w:space="0" w:color="000000"/>
              <w:bottom w:val="single" w:sz="4" w:space="0" w:color="000000"/>
            </w:tcBorders>
            <w:shd w:val="clear" w:color="auto" w:fill="FFFFFF"/>
            <w:vAlign w:val="bottom"/>
          </w:tcPr>
          <w:p w:rsidR="00893B06" w:rsidRPr="00B21FDB" w:rsidP="008A6077" w14:paraId="017E4316" w14:textId="5A5E121E">
            <w:pPr>
              <w:snapToGrid w:val="0"/>
              <w:rPr>
                <w:color w:val="000000"/>
                <w:sz w:val="18"/>
                <w:szCs w:val="18"/>
              </w:rPr>
            </w:pPr>
            <w:r w:rsidRPr="00B21FDB">
              <w:rPr>
                <w:color w:val="000000"/>
                <w:sz w:val="18"/>
                <w:szCs w:val="18"/>
              </w:rPr>
              <w:t>Supervisory Review (GS-15</w:t>
            </w:r>
            <w:r w:rsidRPr="00B21FDB" w:rsidR="00BF0170">
              <w:rPr>
                <w:color w:val="000000"/>
                <w:sz w:val="18"/>
                <w:szCs w:val="18"/>
              </w:rPr>
              <w:t>,</w:t>
            </w:r>
            <w:r w:rsidRPr="00B21FDB" w:rsidR="00BF0170">
              <w:rPr>
                <w:sz w:val="18"/>
                <w:szCs w:val="18"/>
              </w:rPr>
              <w:t xml:space="preserve"> </w:t>
            </w:r>
            <w:r w:rsidRPr="00B21FDB" w:rsidR="00BF0170">
              <w:rPr>
                <w:color w:val="000000"/>
                <w:sz w:val="18"/>
                <w:szCs w:val="18"/>
              </w:rPr>
              <w:t xml:space="preserve">Step 5) </w:t>
            </w:r>
          </w:p>
        </w:tc>
        <w:tc>
          <w:tcPr>
            <w:tcW w:w="990" w:type="dxa"/>
            <w:tcBorders>
              <w:left w:val="single" w:sz="4" w:space="0" w:color="000000"/>
              <w:bottom w:val="single" w:sz="4" w:space="0" w:color="000000"/>
            </w:tcBorders>
            <w:shd w:val="clear" w:color="auto" w:fill="FFFFFF"/>
            <w:vAlign w:val="bottom"/>
          </w:tcPr>
          <w:p w:rsidR="00893B06" w:rsidRPr="00B21FDB" w:rsidP="008A6077" w14:paraId="63E0617B" w14:textId="64FAEC2F">
            <w:pPr>
              <w:snapToGrid w:val="0"/>
              <w:jc w:val="right"/>
              <w:rPr>
                <w:color w:val="000000"/>
                <w:sz w:val="18"/>
                <w:szCs w:val="18"/>
              </w:rPr>
            </w:pPr>
            <w:r w:rsidRPr="00B21FDB">
              <w:rPr>
                <w:color w:val="000000"/>
                <w:sz w:val="18"/>
                <w:szCs w:val="18"/>
              </w:rPr>
              <w:t>20</w:t>
            </w:r>
            <w:r w:rsidRPr="00B21FDB">
              <w:rPr>
                <w:color w:val="000000"/>
                <w:sz w:val="18"/>
                <w:szCs w:val="18"/>
              </w:rPr>
              <w:t xml:space="preserve"> </w:t>
            </w:r>
          </w:p>
        </w:tc>
        <w:tc>
          <w:tcPr>
            <w:tcW w:w="862" w:type="dxa"/>
            <w:tcBorders>
              <w:left w:val="single" w:sz="4" w:space="0" w:color="000000"/>
              <w:bottom w:val="single" w:sz="4" w:space="0" w:color="000000"/>
            </w:tcBorders>
            <w:shd w:val="clear" w:color="auto" w:fill="FFFFFF"/>
            <w:vAlign w:val="bottom"/>
          </w:tcPr>
          <w:p w:rsidR="00893B06" w:rsidRPr="00B21FDB" w:rsidP="008A6077" w14:paraId="32089842" w14:textId="7783798D">
            <w:pPr>
              <w:snapToGrid w:val="0"/>
              <w:jc w:val="right"/>
              <w:rPr>
                <w:color w:val="000000"/>
                <w:sz w:val="18"/>
                <w:szCs w:val="18"/>
              </w:rPr>
            </w:pPr>
            <w:r w:rsidRPr="00B21FDB">
              <w:rPr>
                <w:color w:val="000000"/>
                <w:sz w:val="18"/>
                <w:szCs w:val="18"/>
              </w:rPr>
              <w:t>$</w:t>
            </w:r>
            <w:r w:rsidRPr="00B21FDB" w:rsidR="00D940F6">
              <w:rPr>
                <w:color w:val="000000"/>
                <w:sz w:val="18"/>
                <w:szCs w:val="18"/>
              </w:rPr>
              <w:t>84.55</w:t>
            </w:r>
          </w:p>
        </w:tc>
        <w:tc>
          <w:tcPr>
            <w:tcW w:w="1122" w:type="dxa"/>
            <w:tcBorders>
              <w:left w:val="single" w:sz="4" w:space="0" w:color="000000"/>
              <w:bottom w:val="single" w:sz="4" w:space="0" w:color="000000"/>
              <w:right w:val="single" w:sz="4" w:space="0" w:color="000000"/>
            </w:tcBorders>
            <w:shd w:val="clear" w:color="auto" w:fill="FFFFFF"/>
            <w:vAlign w:val="bottom"/>
          </w:tcPr>
          <w:p w:rsidR="00893B06" w:rsidRPr="00B21FDB" w:rsidP="008A6077" w14:paraId="0EC5E27D" w14:textId="617C110C">
            <w:pPr>
              <w:snapToGrid w:val="0"/>
              <w:jc w:val="right"/>
              <w:rPr>
                <w:color w:val="000000"/>
                <w:sz w:val="18"/>
                <w:szCs w:val="18"/>
              </w:rPr>
            </w:pPr>
            <w:r w:rsidRPr="00B21FDB">
              <w:rPr>
                <w:color w:val="000000"/>
                <w:sz w:val="18"/>
                <w:szCs w:val="18"/>
              </w:rPr>
              <w:t>$</w:t>
            </w:r>
            <w:r w:rsidRPr="00057ED4" w:rsidR="00057ED4">
              <w:rPr>
                <w:color w:val="000000"/>
                <w:sz w:val="18"/>
                <w:szCs w:val="18"/>
              </w:rPr>
              <w:t>1,691</w:t>
            </w:r>
            <w:r w:rsidRPr="00B21FDB">
              <w:rPr>
                <w:color w:val="000000"/>
                <w:sz w:val="18"/>
                <w:szCs w:val="18"/>
              </w:rPr>
              <w:t xml:space="preserve"> </w:t>
            </w:r>
          </w:p>
        </w:tc>
      </w:tr>
      <w:tr w14:paraId="081A0597" w14:textId="77777777" w:rsidTr="00B21FDB">
        <w:tblPrEx>
          <w:tblW w:w="0" w:type="auto"/>
          <w:tblInd w:w="108" w:type="dxa"/>
          <w:tblLayout w:type="fixed"/>
          <w:tblLook w:val="0000"/>
        </w:tblPrEx>
        <w:trPr>
          <w:trHeight w:val="255"/>
        </w:trPr>
        <w:tc>
          <w:tcPr>
            <w:tcW w:w="5287" w:type="dxa"/>
            <w:tcBorders>
              <w:left w:val="single" w:sz="4" w:space="0" w:color="000000"/>
              <w:bottom w:val="single" w:sz="4" w:space="0" w:color="000000"/>
            </w:tcBorders>
            <w:shd w:val="clear" w:color="auto" w:fill="FFFFFF"/>
            <w:vAlign w:val="bottom"/>
          </w:tcPr>
          <w:p w:rsidR="00893B06" w:rsidRPr="00B21FDB" w:rsidP="008A6077" w14:paraId="6EB6232E" w14:textId="21DA0EF0">
            <w:pPr>
              <w:snapToGrid w:val="0"/>
              <w:rPr>
                <w:color w:val="000000"/>
                <w:sz w:val="18"/>
                <w:szCs w:val="18"/>
              </w:rPr>
            </w:pPr>
            <w:r w:rsidRPr="00B21FDB">
              <w:rPr>
                <w:color w:val="000000"/>
                <w:sz w:val="18"/>
                <w:szCs w:val="18"/>
              </w:rPr>
              <w:t>Review by SBA Attorney</w:t>
            </w:r>
            <w:r w:rsidRPr="00B21FDB" w:rsidR="00F55326">
              <w:rPr>
                <w:color w:val="000000"/>
                <w:sz w:val="18"/>
                <w:szCs w:val="18"/>
              </w:rPr>
              <w:t xml:space="preserve"> (GS-14, Step 5)</w:t>
            </w:r>
          </w:p>
        </w:tc>
        <w:tc>
          <w:tcPr>
            <w:tcW w:w="990" w:type="dxa"/>
            <w:tcBorders>
              <w:left w:val="single" w:sz="4" w:space="0" w:color="000000"/>
              <w:bottom w:val="single" w:sz="4" w:space="0" w:color="000000"/>
            </w:tcBorders>
            <w:shd w:val="clear" w:color="auto" w:fill="FFFFFF"/>
            <w:vAlign w:val="bottom"/>
          </w:tcPr>
          <w:p w:rsidR="00893B06" w:rsidRPr="00B21FDB" w:rsidP="008A6077" w14:paraId="5C707C5E" w14:textId="77777777">
            <w:pPr>
              <w:snapToGrid w:val="0"/>
              <w:jc w:val="right"/>
              <w:rPr>
                <w:color w:val="000000"/>
                <w:sz w:val="18"/>
                <w:szCs w:val="18"/>
              </w:rPr>
            </w:pPr>
            <w:r w:rsidRPr="00B21FDB">
              <w:rPr>
                <w:color w:val="000000"/>
                <w:sz w:val="18"/>
                <w:szCs w:val="18"/>
              </w:rPr>
              <w:t xml:space="preserve">100 </w:t>
            </w:r>
          </w:p>
        </w:tc>
        <w:tc>
          <w:tcPr>
            <w:tcW w:w="862" w:type="dxa"/>
            <w:tcBorders>
              <w:left w:val="single" w:sz="4" w:space="0" w:color="000000"/>
              <w:bottom w:val="single" w:sz="4" w:space="0" w:color="000000"/>
            </w:tcBorders>
            <w:shd w:val="clear" w:color="auto" w:fill="FFFFFF"/>
            <w:vAlign w:val="bottom"/>
          </w:tcPr>
          <w:p w:rsidR="00893B06" w:rsidRPr="00B21FDB" w:rsidP="008A6077" w14:paraId="62600846" w14:textId="13380801">
            <w:pPr>
              <w:snapToGrid w:val="0"/>
              <w:jc w:val="right"/>
              <w:rPr>
                <w:color w:val="000000"/>
                <w:sz w:val="18"/>
                <w:szCs w:val="18"/>
              </w:rPr>
            </w:pPr>
            <w:r w:rsidRPr="00B21FDB">
              <w:rPr>
                <w:color w:val="000000"/>
                <w:sz w:val="18"/>
                <w:szCs w:val="18"/>
              </w:rPr>
              <w:t>$</w:t>
            </w:r>
            <w:r w:rsidRPr="00B21FDB" w:rsidR="00B21FDB">
              <w:rPr>
                <w:color w:val="000000"/>
                <w:sz w:val="18"/>
                <w:szCs w:val="18"/>
              </w:rPr>
              <w:t xml:space="preserve">71.88 </w:t>
            </w:r>
            <w:r w:rsidRPr="00B21FDB">
              <w:rPr>
                <w:color w:val="000000"/>
                <w:sz w:val="18"/>
                <w:szCs w:val="18"/>
              </w:rPr>
              <w:t xml:space="preserve"> </w:t>
            </w:r>
          </w:p>
        </w:tc>
        <w:tc>
          <w:tcPr>
            <w:tcW w:w="1122" w:type="dxa"/>
            <w:tcBorders>
              <w:left w:val="single" w:sz="4" w:space="0" w:color="000000"/>
              <w:bottom w:val="single" w:sz="4" w:space="0" w:color="000000"/>
              <w:right w:val="single" w:sz="4" w:space="0" w:color="000000"/>
            </w:tcBorders>
            <w:shd w:val="clear" w:color="auto" w:fill="FFFFFF"/>
            <w:vAlign w:val="bottom"/>
          </w:tcPr>
          <w:p w:rsidR="00893B06" w:rsidRPr="00B21FDB" w:rsidP="008A6077" w14:paraId="192A5560" w14:textId="4860AE97">
            <w:pPr>
              <w:snapToGrid w:val="0"/>
              <w:jc w:val="right"/>
              <w:rPr>
                <w:color w:val="000000"/>
                <w:sz w:val="18"/>
                <w:szCs w:val="18"/>
              </w:rPr>
            </w:pPr>
            <w:r w:rsidRPr="00B21FDB">
              <w:rPr>
                <w:color w:val="000000"/>
                <w:sz w:val="18"/>
                <w:szCs w:val="18"/>
              </w:rPr>
              <w:t>$</w:t>
            </w:r>
            <w:r w:rsidRPr="00480B6F" w:rsidR="00480B6F">
              <w:rPr>
                <w:color w:val="000000"/>
                <w:sz w:val="18"/>
                <w:szCs w:val="18"/>
              </w:rPr>
              <w:t>7,188</w:t>
            </w:r>
            <w:r w:rsidRPr="00B21FDB">
              <w:rPr>
                <w:color w:val="000000"/>
                <w:sz w:val="18"/>
                <w:szCs w:val="18"/>
              </w:rPr>
              <w:t xml:space="preserve"> </w:t>
            </w:r>
          </w:p>
        </w:tc>
      </w:tr>
      <w:tr w14:paraId="1619320C" w14:textId="77777777" w:rsidTr="00B21FDB">
        <w:tblPrEx>
          <w:tblW w:w="0" w:type="auto"/>
          <w:tblInd w:w="108" w:type="dxa"/>
          <w:tblLayout w:type="fixed"/>
          <w:tblLook w:val="0000"/>
        </w:tblPrEx>
        <w:trPr>
          <w:trHeight w:val="255"/>
        </w:trPr>
        <w:tc>
          <w:tcPr>
            <w:tcW w:w="5287" w:type="dxa"/>
            <w:tcBorders>
              <w:left w:val="single" w:sz="4" w:space="0" w:color="000000"/>
              <w:bottom w:val="single" w:sz="4" w:space="0" w:color="000000"/>
            </w:tcBorders>
            <w:shd w:val="clear" w:color="auto" w:fill="FFFFFF"/>
            <w:vAlign w:val="bottom"/>
          </w:tcPr>
          <w:p w:rsidR="00D940F6" w:rsidRPr="00B21FDB" w:rsidP="008A6077" w14:paraId="6F847ECC" w14:textId="0524D825">
            <w:pPr>
              <w:snapToGrid w:val="0"/>
              <w:rPr>
                <w:color w:val="000000"/>
                <w:sz w:val="18"/>
                <w:szCs w:val="18"/>
              </w:rPr>
            </w:pPr>
            <w:r w:rsidRPr="00B21FDB">
              <w:rPr>
                <w:color w:val="000000"/>
                <w:sz w:val="18"/>
                <w:szCs w:val="18"/>
              </w:rPr>
              <w:t>Review by Investment</w:t>
            </w:r>
            <w:r w:rsidRPr="00B21FDB" w:rsidR="00667EB1">
              <w:rPr>
                <w:color w:val="000000"/>
                <w:sz w:val="18"/>
                <w:szCs w:val="18"/>
              </w:rPr>
              <w:t xml:space="preserve"> </w:t>
            </w:r>
            <w:r w:rsidRPr="00B21FDB">
              <w:rPr>
                <w:color w:val="000000"/>
                <w:sz w:val="18"/>
                <w:szCs w:val="18"/>
              </w:rPr>
              <w:t>(</w:t>
            </w:r>
            <w:r w:rsidRPr="00B21FDB" w:rsidR="002B0D9F">
              <w:rPr>
                <w:color w:val="000000"/>
                <w:sz w:val="18"/>
                <w:szCs w:val="18"/>
              </w:rPr>
              <w:t>8</w:t>
            </w:r>
            <w:r w:rsidRPr="00B21FDB">
              <w:rPr>
                <w:color w:val="000000"/>
                <w:sz w:val="18"/>
                <w:szCs w:val="18"/>
              </w:rPr>
              <w:t xml:space="preserve"> Members at GS-15/SES)</w:t>
            </w:r>
          </w:p>
        </w:tc>
        <w:tc>
          <w:tcPr>
            <w:tcW w:w="990" w:type="dxa"/>
            <w:tcBorders>
              <w:left w:val="single" w:sz="4" w:space="0" w:color="000000"/>
              <w:bottom w:val="single" w:sz="4" w:space="0" w:color="000000"/>
            </w:tcBorders>
            <w:shd w:val="clear" w:color="auto" w:fill="FFFFFF"/>
            <w:vAlign w:val="bottom"/>
          </w:tcPr>
          <w:p w:rsidR="00D940F6" w:rsidRPr="00B21FDB" w:rsidP="008A6077" w14:paraId="490155F4" w14:textId="61720A45">
            <w:pPr>
              <w:snapToGrid w:val="0"/>
              <w:jc w:val="right"/>
              <w:rPr>
                <w:color w:val="000000"/>
                <w:sz w:val="18"/>
                <w:szCs w:val="18"/>
              </w:rPr>
            </w:pPr>
            <w:r w:rsidRPr="00B21FDB">
              <w:rPr>
                <w:color w:val="000000"/>
                <w:sz w:val="18"/>
                <w:szCs w:val="18"/>
              </w:rPr>
              <w:t>1</w:t>
            </w:r>
          </w:p>
        </w:tc>
        <w:tc>
          <w:tcPr>
            <w:tcW w:w="862" w:type="dxa"/>
            <w:tcBorders>
              <w:left w:val="single" w:sz="4" w:space="0" w:color="000000"/>
              <w:bottom w:val="single" w:sz="4" w:space="0" w:color="000000"/>
            </w:tcBorders>
            <w:shd w:val="clear" w:color="auto" w:fill="FFFFFF"/>
            <w:vAlign w:val="bottom"/>
          </w:tcPr>
          <w:p w:rsidR="00D940F6" w:rsidRPr="00B21FDB" w:rsidP="008A6077" w14:paraId="534B51EC" w14:textId="15741681">
            <w:pPr>
              <w:snapToGrid w:val="0"/>
              <w:jc w:val="right"/>
              <w:rPr>
                <w:color w:val="000000"/>
                <w:sz w:val="18"/>
                <w:szCs w:val="18"/>
              </w:rPr>
            </w:pPr>
            <w:r w:rsidRPr="00B21FDB">
              <w:rPr>
                <w:color w:val="000000"/>
                <w:sz w:val="18"/>
                <w:szCs w:val="18"/>
              </w:rPr>
              <w:t>$87.93</w:t>
            </w:r>
          </w:p>
        </w:tc>
        <w:tc>
          <w:tcPr>
            <w:tcW w:w="1122" w:type="dxa"/>
            <w:tcBorders>
              <w:left w:val="single" w:sz="4" w:space="0" w:color="000000"/>
              <w:bottom w:val="single" w:sz="4" w:space="0" w:color="000000"/>
              <w:right w:val="single" w:sz="4" w:space="0" w:color="000000"/>
            </w:tcBorders>
            <w:shd w:val="clear" w:color="auto" w:fill="FFFFFF"/>
            <w:vAlign w:val="bottom"/>
          </w:tcPr>
          <w:p w:rsidR="00D940F6" w:rsidRPr="00B21FDB" w:rsidP="008A6077" w14:paraId="0B92B43D" w14:textId="11E136B7">
            <w:pPr>
              <w:snapToGrid w:val="0"/>
              <w:jc w:val="right"/>
              <w:rPr>
                <w:color w:val="000000"/>
                <w:sz w:val="18"/>
                <w:szCs w:val="18"/>
              </w:rPr>
            </w:pPr>
            <w:r>
              <w:rPr>
                <w:color w:val="000000"/>
                <w:sz w:val="18"/>
                <w:szCs w:val="18"/>
              </w:rPr>
              <w:t>$</w:t>
            </w:r>
            <w:r w:rsidR="001C3CB0">
              <w:rPr>
                <w:color w:val="000000"/>
                <w:sz w:val="18"/>
                <w:szCs w:val="18"/>
              </w:rPr>
              <w:t>703</w:t>
            </w:r>
          </w:p>
        </w:tc>
      </w:tr>
      <w:tr w14:paraId="0EBAB548" w14:textId="77777777" w:rsidTr="00B21FDB">
        <w:tblPrEx>
          <w:tblW w:w="0" w:type="auto"/>
          <w:tblInd w:w="108" w:type="dxa"/>
          <w:tblLayout w:type="fixed"/>
          <w:tblLook w:val="0000"/>
        </w:tblPrEx>
        <w:trPr>
          <w:trHeight w:val="255"/>
        </w:trPr>
        <w:tc>
          <w:tcPr>
            <w:tcW w:w="5287" w:type="dxa"/>
            <w:tcBorders>
              <w:left w:val="single" w:sz="4" w:space="0" w:color="000000"/>
              <w:bottom w:val="single" w:sz="4" w:space="0" w:color="000000"/>
            </w:tcBorders>
            <w:shd w:val="clear" w:color="auto" w:fill="FFFFFF"/>
            <w:vAlign w:val="bottom"/>
          </w:tcPr>
          <w:p w:rsidR="00C63335" w:rsidRPr="00B21FDB" w:rsidP="008A6077" w14:paraId="5C6B6222" w14:textId="7597F3D4">
            <w:pPr>
              <w:snapToGrid w:val="0"/>
              <w:rPr>
                <w:color w:val="000000"/>
                <w:sz w:val="18"/>
                <w:szCs w:val="18"/>
              </w:rPr>
            </w:pPr>
            <w:r w:rsidRPr="00B21FDB">
              <w:rPr>
                <w:color w:val="000000"/>
                <w:sz w:val="18"/>
                <w:szCs w:val="18"/>
              </w:rPr>
              <w:t>Divisional Committee (6 Members at GS-</w:t>
            </w:r>
            <w:r w:rsidRPr="00B21FDB" w:rsidR="001C7074">
              <w:rPr>
                <w:color w:val="000000"/>
                <w:sz w:val="18"/>
                <w:szCs w:val="18"/>
              </w:rPr>
              <w:t>15/SES)</w:t>
            </w:r>
          </w:p>
        </w:tc>
        <w:tc>
          <w:tcPr>
            <w:tcW w:w="990" w:type="dxa"/>
            <w:tcBorders>
              <w:left w:val="single" w:sz="4" w:space="0" w:color="000000"/>
              <w:bottom w:val="single" w:sz="4" w:space="0" w:color="000000"/>
            </w:tcBorders>
            <w:shd w:val="clear" w:color="auto" w:fill="FFFFFF"/>
            <w:vAlign w:val="bottom"/>
          </w:tcPr>
          <w:p w:rsidR="00C63335" w:rsidRPr="00B21FDB" w:rsidP="008A6077" w14:paraId="1EA09FAD" w14:textId="5C3FE53E">
            <w:pPr>
              <w:snapToGrid w:val="0"/>
              <w:jc w:val="right"/>
              <w:rPr>
                <w:color w:val="000000"/>
                <w:sz w:val="18"/>
                <w:szCs w:val="18"/>
              </w:rPr>
            </w:pPr>
            <w:r w:rsidRPr="00B21FDB">
              <w:rPr>
                <w:color w:val="000000"/>
                <w:sz w:val="18"/>
                <w:szCs w:val="18"/>
              </w:rPr>
              <w:t>1</w:t>
            </w:r>
          </w:p>
        </w:tc>
        <w:tc>
          <w:tcPr>
            <w:tcW w:w="862" w:type="dxa"/>
            <w:tcBorders>
              <w:left w:val="single" w:sz="4" w:space="0" w:color="000000"/>
              <w:bottom w:val="single" w:sz="4" w:space="0" w:color="000000"/>
            </w:tcBorders>
            <w:shd w:val="clear" w:color="auto" w:fill="FFFFFF"/>
            <w:vAlign w:val="bottom"/>
          </w:tcPr>
          <w:p w:rsidR="00C63335" w:rsidRPr="00B21FDB" w:rsidP="008A6077" w14:paraId="131A63DA" w14:textId="1D29FDAD">
            <w:pPr>
              <w:snapToGrid w:val="0"/>
              <w:jc w:val="right"/>
              <w:rPr>
                <w:color w:val="000000"/>
                <w:sz w:val="18"/>
                <w:szCs w:val="18"/>
              </w:rPr>
            </w:pPr>
            <w:r w:rsidRPr="00B21FDB">
              <w:rPr>
                <w:color w:val="000000"/>
                <w:sz w:val="18"/>
                <w:szCs w:val="18"/>
              </w:rPr>
              <w:t>$87.93</w:t>
            </w:r>
          </w:p>
        </w:tc>
        <w:tc>
          <w:tcPr>
            <w:tcW w:w="1122" w:type="dxa"/>
            <w:tcBorders>
              <w:left w:val="single" w:sz="4" w:space="0" w:color="000000"/>
              <w:bottom w:val="single" w:sz="4" w:space="0" w:color="000000"/>
              <w:right w:val="single" w:sz="4" w:space="0" w:color="000000"/>
            </w:tcBorders>
            <w:shd w:val="clear" w:color="auto" w:fill="FFFFFF"/>
            <w:vAlign w:val="bottom"/>
          </w:tcPr>
          <w:p w:rsidR="00C63335" w:rsidRPr="00B21FDB" w:rsidP="008A6077" w14:paraId="767557EA" w14:textId="00E396B3">
            <w:pPr>
              <w:snapToGrid w:val="0"/>
              <w:jc w:val="right"/>
              <w:rPr>
                <w:color w:val="000000"/>
                <w:sz w:val="18"/>
                <w:szCs w:val="18"/>
              </w:rPr>
            </w:pPr>
            <w:r>
              <w:rPr>
                <w:color w:val="000000"/>
                <w:sz w:val="18"/>
                <w:szCs w:val="18"/>
              </w:rPr>
              <w:t>$</w:t>
            </w:r>
            <w:r w:rsidR="001C3CB0">
              <w:rPr>
                <w:color w:val="000000"/>
                <w:sz w:val="18"/>
                <w:szCs w:val="18"/>
              </w:rPr>
              <w:t>528</w:t>
            </w:r>
          </w:p>
        </w:tc>
      </w:tr>
      <w:tr w14:paraId="241DB38D" w14:textId="77777777" w:rsidTr="00B21FDB">
        <w:tblPrEx>
          <w:tblW w:w="0" w:type="auto"/>
          <w:tblInd w:w="108" w:type="dxa"/>
          <w:tblLayout w:type="fixed"/>
          <w:tblLook w:val="0000"/>
        </w:tblPrEx>
        <w:trPr>
          <w:trHeight w:val="255"/>
        </w:trPr>
        <w:tc>
          <w:tcPr>
            <w:tcW w:w="5287" w:type="dxa"/>
            <w:tcBorders>
              <w:top w:val="single" w:sz="4" w:space="0" w:color="000000"/>
              <w:left w:val="single" w:sz="4" w:space="0" w:color="000000"/>
              <w:bottom w:val="single" w:sz="8" w:space="0" w:color="000000"/>
            </w:tcBorders>
            <w:shd w:val="clear" w:color="auto" w:fill="FFFFFF"/>
            <w:vAlign w:val="bottom"/>
          </w:tcPr>
          <w:p w:rsidR="00893B06" w:rsidRPr="00B21FDB" w:rsidP="008A6077" w14:paraId="695530CB" w14:textId="546DA5DC">
            <w:pPr>
              <w:snapToGrid w:val="0"/>
              <w:rPr>
                <w:color w:val="000000"/>
                <w:sz w:val="18"/>
                <w:szCs w:val="18"/>
              </w:rPr>
            </w:pPr>
            <w:r w:rsidRPr="00B21FDB">
              <w:rPr>
                <w:color w:val="000000"/>
                <w:sz w:val="18"/>
                <w:szCs w:val="18"/>
              </w:rPr>
              <w:t xml:space="preserve">Review by </w:t>
            </w:r>
            <w:r w:rsidRPr="00B21FDB" w:rsidR="00C462F7">
              <w:rPr>
                <w:color w:val="000000"/>
                <w:sz w:val="18"/>
                <w:szCs w:val="18"/>
              </w:rPr>
              <w:t xml:space="preserve">Agency </w:t>
            </w:r>
            <w:r w:rsidRPr="00B21FDB">
              <w:rPr>
                <w:color w:val="000000"/>
                <w:sz w:val="18"/>
                <w:szCs w:val="18"/>
              </w:rPr>
              <w:t>Licensing Committee (</w:t>
            </w:r>
            <w:r w:rsidRPr="00B21FDB" w:rsidR="00143D43">
              <w:rPr>
                <w:color w:val="000000"/>
                <w:sz w:val="18"/>
                <w:szCs w:val="18"/>
              </w:rPr>
              <w:t>6</w:t>
            </w:r>
            <w:r w:rsidRPr="00B21FDB">
              <w:rPr>
                <w:color w:val="000000"/>
                <w:sz w:val="18"/>
                <w:szCs w:val="18"/>
              </w:rPr>
              <w:t xml:space="preserve"> Members at GS-15/SES)</w:t>
            </w:r>
            <w:r w:rsidRPr="00B21FDB" w:rsidR="003C4CF8">
              <w:rPr>
                <w:color w:val="000000"/>
                <w:sz w:val="18"/>
                <w:szCs w:val="18"/>
              </w:rPr>
              <w:t xml:space="preserve"> </w:t>
            </w:r>
          </w:p>
        </w:tc>
        <w:tc>
          <w:tcPr>
            <w:tcW w:w="990" w:type="dxa"/>
            <w:tcBorders>
              <w:top w:val="single" w:sz="4" w:space="0" w:color="000000"/>
              <w:left w:val="single" w:sz="4" w:space="0" w:color="000000"/>
              <w:bottom w:val="single" w:sz="8" w:space="0" w:color="000000"/>
            </w:tcBorders>
            <w:shd w:val="clear" w:color="auto" w:fill="FFFFFF"/>
            <w:vAlign w:val="bottom"/>
          </w:tcPr>
          <w:p w:rsidR="00893B06" w:rsidRPr="00B21FDB" w:rsidP="008A6077" w14:paraId="043DCBC5" w14:textId="77777777">
            <w:pPr>
              <w:snapToGrid w:val="0"/>
              <w:jc w:val="right"/>
              <w:rPr>
                <w:color w:val="000000"/>
                <w:sz w:val="18"/>
                <w:szCs w:val="18"/>
              </w:rPr>
            </w:pPr>
            <w:r w:rsidRPr="00B21FDB">
              <w:rPr>
                <w:color w:val="000000"/>
                <w:sz w:val="18"/>
                <w:szCs w:val="18"/>
              </w:rPr>
              <w:t xml:space="preserve">1 </w:t>
            </w:r>
          </w:p>
        </w:tc>
        <w:tc>
          <w:tcPr>
            <w:tcW w:w="862" w:type="dxa"/>
            <w:tcBorders>
              <w:top w:val="single" w:sz="4" w:space="0" w:color="000000"/>
              <w:left w:val="single" w:sz="4" w:space="0" w:color="000000"/>
              <w:bottom w:val="single" w:sz="8" w:space="0" w:color="000000"/>
            </w:tcBorders>
            <w:shd w:val="clear" w:color="auto" w:fill="FFFFFF"/>
            <w:vAlign w:val="bottom"/>
          </w:tcPr>
          <w:p w:rsidR="00893B06" w:rsidRPr="00B21FDB" w:rsidP="008A6077" w14:paraId="51BEE6E2" w14:textId="25109586">
            <w:pPr>
              <w:snapToGrid w:val="0"/>
              <w:jc w:val="right"/>
              <w:rPr>
                <w:color w:val="000000"/>
                <w:sz w:val="18"/>
                <w:szCs w:val="18"/>
              </w:rPr>
            </w:pPr>
            <w:r w:rsidRPr="00B21FDB">
              <w:rPr>
                <w:color w:val="000000"/>
                <w:sz w:val="18"/>
                <w:szCs w:val="18"/>
              </w:rPr>
              <w:t>$</w:t>
            </w:r>
            <w:r w:rsidRPr="00B21FDB" w:rsidR="00D940F6">
              <w:rPr>
                <w:color w:val="000000"/>
                <w:sz w:val="18"/>
                <w:szCs w:val="18"/>
              </w:rPr>
              <w:t>87.93</w:t>
            </w:r>
            <w:r w:rsidRPr="00B21FDB">
              <w:rPr>
                <w:color w:val="000000"/>
                <w:sz w:val="18"/>
                <w:szCs w:val="18"/>
              </w:rPr>
              <w:t xml:space="preserve"> </w:t>
            </w:r>
          </w:p>
        </w:tc>
        <w:tc>
          <w:tcPr>
            <w:tcW w:w="1122" w:type="dxa"/>
            <w:tcBorders>
              <w:top w:val="single" w:sz="4" w:space="0" w:color="000000"/>
              <w:left w:val="single" w:sz="4" w:space="0" w:color="000000"/>
              <w:bottom w:val="single" w:sz="8" w:space="0" w:color="000000"/>
              <w:right w:val="single" w:sz="4" w:space="0" w:color="000000"/>
            </w:tcBorders>
            <w:shd w:val="clear" w:color="auto" w:fill="FFFFFF"/>
            <w:vAlign w:val="bottom"/>
          </w:tcPr>
          <w:p w:rsidR="00893B06" w:rsidRPr="00B21FDB" w:rsidP="008A6077" w14:paraId="23AC4D49" w14:textId="391FA3CC">
            <w:pPr>
              <w:snapToGrid w:val="0"/>
              <w:jc w:val="right"/>
              <w:rPr>
                <w:color w:val="000000"/>
                <w:sz w:val="18"/>
                <w:szCs w:val="18"/>
              </w:rPr>
            </w:pPr>
            <w:r w:rsidRPr="00B21FDB">
              <w:rPr>
                <w:color w:val="000000"/>
                <w:sz w:val="18"/>
                <w:szCs w:val="18"/>
              </w:rPr>
              <w:t>$</w:t>
            </w:r>
            <w:r w:rsidR="006A1476">
              <w:rPr>
                <w:color w:val="000000"/>
                <w:sz w:val="18"/>
                <w:szCs w:val="18"/>
              </w:rPr>
              <w:t>528</w:t>
            </w:r>
            <w:r w:rsidRPr="00B21FDB">
              <w:rPr>
                <w:color w:val="000000"/>
                <w:sz w:val="18"/>
                <w:szCs w:val="18"/>
              </w:rPr>
              <w:t xml:space="preserve"> </w:t>
            </w:r>
          </w:p>
        </w:tc>
      </w:tr>
      <w:tr w14:paraId="20A03BEB" w14:textId="77777777" w:rsidTr="00B21FDB">
        <w:tblPrEx>
          <w:tblW w:w="0" w:type="auto"/>
          <w:tblInd w:w="108" w:type="dxa"/>
          <w:tblLayout w:type="fixed"/>
          <w:tblLook w:val="0000"/>
        </w:tblPrEx>
        <w:trPr>
          <w:trHeight w:val="255"/>
        </w:trPr>
        <w:tc>
          <w:tcPr>
            <w:tcW w:w="5287" w:type="dxa"/>
            <w:tcBorders>
              <w:top w:val="single" w:sz="8" w:space="0" w:color="000000"/>
              <w:left w:val="single" w:sz="4" w:space="0" w:color="000000"/>
              <w:bottom w:val="single" w:sz="4" w:space="0" w:color="000000"/>
            </w:tcBorders>
            <w:shd w:val="clear" w:color="auto" w:fill="FFFFFF"/>
            <w:vAlign w:val="bottom"/>
          </w:tcPr>
          <w:p w:rsidR="00893B06" w:rsidRPr="00B21FDB" w:rsidP="008A6077" w14:paraId="227DED62" w14:textId="6AD19565">
            <w:pPr>
              <w:snapToGrid w:val="0"/>
              <w:rPr>
                <w:color w:val="000000"/>
                <w:sz w:val="18"/>
                <w:szCs w:val="18"/>
              </w:rPr>
            </w:pPr>
            <w:r w:rsidRPr="00B21FDB">
              <w:rPr>
                <w:color w:val="000000"/>
                <w:sz w:val="18"/>
                <w:szCs w:val="18"/>
              </w:rPr>
              <w:t xml:space="preserve">Total Cost per </w:t>
            </w:r>
            <w:r w:rsidR="00A56B36">
              <w:rPr>
                <w:color w:val="000000"/>
                <w:sz w:val="18"/>
                <w:szCs w:val="18"/>
              </w:rPr>
              <w:t>MAQ</w:t>
            </w:r>
          </w:p>
        </w:tc>
        <w:tc>
          <w:tcPr>
            <w:tcW w:w="990" w:type="dxa"/>
            <w:tcBorders>
              <w:top w:val="single" w:sz="8" w:space="0" w:color="000000"/>
              <w:bottom w:val="single" w:sz="4" w:space="0" w:color="000000"/>
            </w:tcBorders>
            <w:shd w:val="clear" w:color="auto" w:fill="FFFFFF"/>
            <w:vAlign w:val="bottom"/>
          </w:tcPr>
          <w:p w:rsidR="00893B06" w:rsidRPr="00B21FDB" w:rsidP="008A6077" w14:paraId="5408952D" w14:textId="77777777">
            <w:pPr>
              <w:snapToGrid w:val="0"/>
              <w:rPr>
                <w:color w:val="000000"/>
                <w:sz w:val="18"/>
                <w:szCs w:val="18"/>
              </w:rPr>
            </w:pPr>
            <w:r w:rsidRPr="00B21FDB">
              <w:rPr>
                <w:color w:val="000000"/>
                <w:sz w:val="18"/>
                <w:szCs w:val="18"/>
              </w:rPr>
              <w:t> </w:t>
            </w:r>
          </w:p>
        </w:tc>
        <w:tc>
          <w:tcPr>
            <w:tcW w:w="862" w:type="dxa"/>
            <w:tcBorders>
              <w:top w:val="single" w:sz="8" w:space="0" w:color="000000"/>
              <w:bottom w:val="single" w:sz="4" w:space="0" w:color="000000"/>
            </w:tcBorders>
            <w:shd w:val="clear" w:color="auto" w:fill="FFFFFF"/>
            <w:vAlign w:val="bottom"/>
          </w:tcPr>
          <w:p w:rsidR="00893B06" w:rsidRPr="00B21FDB" w:rsidP="008A6077" w14:paraId="684FD19C" w14:textId="77777777">
            <w:pPr>
              <w:snapToGrid w:val="0"/>
              <w:rPr>
                <w:color w:val="000000"/>
                <w:sz w:val="18"/>
                <w:szCs w:val="18"/>
              </w:rPr>
            </w:pPr>
            <w:r w:rsidRPr="00B21FDB">
              <w:rPr>
                <w:color w:val="000000"/>
                <w:sz w:val="18"/>
                <w:szCs w:val="18"/>
              </w:rPr>
              <w:t> </w:t>
            </w:r>
          </w:p>
        </w:tc>
        <w:tc>
          <w:tcPr>
            <w:tcW w:w="1122" w:type="dxa"/>
            <w:tcBorders>
              <w:top w:val="single" w:sz="8" w:space="0" w:color="000000"/>
              <w:left w:val="single" w:sz="4" w:space="0" w:color="000000"/>
              <w:bottom w:val="single" w:sz="4" w:space="0" w:color="000000"/>
              <w:right w:val="single" w:sz="4" w:space="0" w:color="000000"/>
            </w:tcBorders>
            <w:shd w:val="clear" w:color="auto" w:fill="FFFFFF"/>
            <w:vAlign w:val="bottom"/>
          </w:tcPr>
          <w:p w:rsidR="00893B06" w:rsidRPr="00B21FDB" w:rsidP="008A6077" w14:paraId="59294DF3" w14:textId="1B6BF3BE">
            <w:pPr>
              <w:snapToGrid w:val="0"/>
              <w:jc w:val="right"/>
              <w:rPr>
                <w:color w:val="000000"/>
                <w:sz w:val="18"/>
                <w:szCs w:val="18"/>
              </w:rPr>
            </w:pPr>
            <w:r w:rsidRPr="00A56B36">
              <w:rPr>
                <w:color w:val="000000"/>
                <w:sz w:val="18"/>
                <w:szCs w:val="18"/>
              </w:rPr>
              <w:t>$27,117</w:t>
            </w:r>
          </w:p>
        </w:tc>
      </w:tr>
      <w:tr w14:paraId="60966346" w14:textId="77777777" w:rsidTr="00B21FDB">
        <w:tblPrEx>
          <w:tblW w:w="0" w:type="auto"/>
          <w:tblInd w:w="108" w:type="dxa"/>
          <w:tblLayout w:type="fixed"/>
          <w:tblLook w:val="0000"/>
        </w:tblPrEx>
        <w:trPr>
          <w:trHeight w:val="255"/>
        </w:trPr>
        <w:tc>
          <w:tcPr>
            <w:tcW w:w="5287" w:type="dxa"/>
            <w:tcBorders>
              <w:top w:val="single" w:sz="4" w:space="0" w:color="000000"/>
              <w:left w:val="single" w:sz="4" w:space="0" w:color="000000"/>
              <w:bottom w:val="double" w:sz="1" w:space="0" w:color="000000"/>
            </w:tcBorders>
            <w:shd w:val="clear" w:color="auto" w:fill="FFFFFF"/>
            <w:vAlign w:val="bottom"/>
          </w:tcPr>
          <w:p w:rsidR="00893B06" w:rsidRPr="00B21FDB" w:rsidP="008A6077" w14:paraId="3E277BA4" w14:textId="72B3381B">
            <w:pPr>
              <w:snapToGrid w:val="0"/>
              <w:rPr>
                <w:color w:val="000000"/>
                <w:sz w:val="18"/>
                <w:szCs w:val="18"/>
              </w:rPr>
            </w:pPr>
            <w:r w:rsidRPr="00B21FDB">
              <w:rPr>
                <w:color w:val="000000"/>
                <w:sz w:val="18"/>
                <w:szCs w:val="18"/>
              </w:rPr>
              <w:t>Estimated N</w:t>
            </w:r>
            <w:r w:rsidR="00A56B36">
              <w:rPr>
                <w:color w:val="000000"/>
                <w:sz w:val="18"/>
                <w:szCs w:val="18"/>
              </w:rPr>
              <w:t>umber</w:t>
            </w:r>
            <w:r w:rsidRPr="00B21FDB">
              <w:rPr>
                <w:color w:val="000000"/>
                <w:sz w:val="18"/>
                <w:szCs w:val="18"/>
              </w:rPr>
              <w:t xml:space="preserve"> of </w:t>
            </w:r>
            <w:r w:rsidR="00A56B36">
              <w:rPr>
                <w:color w:val="000000"/>
                <w:sz w:val="18"/>
                <w:szCs w:val="18"/>
              </w:rPr>
              <w:t>MAQ</w:t>
            </w:r>
            <w:r w:rsidRPr="00B21FDB">
              <w:rPr>
                <w:color w:val="000000"/>
                <w:sz w:val="18"/>
                <w:szCs w:val="18"/>
              </w:rPr>
              <w:t>s</w:t>
            </w:r>
            <w:r w:rsidR="00A56B36">
              <w:rPr>
                <w:color w:val="000000"/>
                <w:sz w:val="18"/>
                <w:szCs w:val="18"/>
              </w:rPr>
              <w:t xml:space="preserve"> </w:t>
            </w:r>
          </w:p>
        </w:tc>
        <w:tc>
          <w:tcPr>
            <w:tcW w:w="990" w:type="dxa"/>
            <w:tcBorders>
              <w:top w:val="single" w:sz="4" w:space="0" w:color="000000"/>
              <w:bottom w:val="double" w:sz="1" w:space="0" w:color="000000"/>
            </w:tcBorders>
            <w:shd w:val="clear" w:color="auto" w:fill="FFFFFF"/>
            <w:vAlign w:val="bottom"/>
          </w:tcPr>
          <w:p w:rsidR="00893B06" w:rsidRPr="00B21FDB" w:rsidP="008A6077" w14:paraId="0BBF112E" w14:textId="77777777">
            <w:pPr>
              <w:snapToGrid w:val="0"/>
              <w:rPr>
                <w:color w:val="000000"/>
                <w:sz w:val="18"/>
                <w:szCs w:val="18"/>
              </w:rPr>
            </w:pPr>
            <w:r w:rsidRPr="00B21FDB">
              <w:rPr>
                <w:color w:val="000000"/>
                <w:sz w:val="18"/>
                <w:szCs w:val="18"/>
              </w:rPr>
              <w:t> </w:t>
            </w:r>
          </w:p>
        </w:tc>
        <w:tc>
          <w:tcPr>
            <w:tcW w:w="862" w:type="dxa"/>
            <w:tcBorders>
              <w:top w:val="single" w:sz="4" w:space="0" w:color="000000"/>
              <w:bottom w:val="double" w:sz="1" w:space="0" w:color="000000"/>
            </w:tcBorders>
            <w:shd w:val="clear" w:color="auto" w:fill="FFFFFF"/>
            <w:vAlign w:val="bottom"/>
          </w:tcPr>
          <w:p w:rsidR="00893B06" w:rsidRPr="00B21FDB" w:rsidP="008A6077" w14:paraId="3C02D9F1" w14:textId="77777777">
            <w:pPr>
              <w:snapToGrid w:val="0"/>
              <w:rPr>
                <w:color w:val="000000"/>
                <w:sz w:val="18"/>
                <w:szCs w:val="18"/>
              </w:rPr>
            </w:pPr>
            <w:r w:rsidRPr="00B21FDB">
              <w:rPr>
                <w:color w:val="000000"/>
                <w:sz w:val="18"/>
                <w:szCs w:val="18"/>
              </w:rPr>
              <w:t> </w:t>
            </w:r>
          </w:p>
        </w:tc>
        <w:tc>
          <w:tcPr>
            <w:tcW w:w="1122" w:type="dxa"/>
            <w:tcBorders>
              <w:top w:val="single" w:sz="4" w:space="0" w:color="000000"/>
              <w:left w:val="single" w:sz="4" w:space="0" w:color="000000"/>
              <w:bottom w:val="double" w:sz="1" w:space="0" w:color="000000"/>
              <w:right w:val="single" w:sz="4" w:space="0" w:color="000000"/>
            </w:tcBorders>
            <w:shd w:val="clear" w:color="auto" w:fill="FFFFFF"/>
            <w:vAlign w:val="bottom"/>
          </w:tcPr>
          <w:p w:rsidR="00893B06" w:rsidRPr="00B21FDB" w:rsidP="008A6077" w14:paraId="546FD049" w14:textId="323EAC33">
            <w:pPr>
              <w:snapToGrid w:val="0"/>
              <w:jc w:val="right"/>
              <w:rPr>
                <w:color w:val="000000"/>
                <w:sz w:val="18"/>
                <w:szCs w:val="18"/>
              </w:rPr>
            </w:pPr>
            <w:r>
              <w:rPr>
                <w:color w:val="000000"/>
                <w:sz w:val="18"/>
                <w:szCs w:val="18"/>
              </w:rPr>
              <w:t>26</w:t>
            </w:r>
          </w:p>
        </w:tc>
      </w:tr>
      <w:tr w14:paraId="20FA460C" w14:textId="77777777" w:rsidTr="00B21FDB">
        <w:tblPrEx>
          <w:tblW w:w="0" w:type="auto"/>
          <w:tblInd w:w="108" w:type="dxa"/>
          <w:tblLayout w:type="fixed"/>
          <w:tblLook w:val="0000"/>
        </w:tblPrEx>
        <w:trPr>
          <w:trHeight w:val="255"/>
        </w:trPr>
        <w:tc>
          <w:tcPr>
            <w:tcW w:w="5287" w:type="dxa"/>
            <w:tcBorders>
              <w:top w:val="double" w:sz="1" w:space="0" w:color="000000"/>
              <w:left w:val="single" w:sz="4" w:space="0" w:color="000000"/>
              <w:bottom w:val="double" w:sz="1" w:space="0" w:color="000000"/>
            </w:tcBorders>
            <w:shd w:val="clear" w:color="auto" w:fill="FFFFFF"/>
            <w:vAlign w:val="bottom"/>
          </w:tcPr>
          <w:p w:rsidR="00893B06" w:rsidRPr="00B21FDB" w:rsidP="008A6077" w14:paraId="046B5DB5" w14:textId="374C00FF">
            <w:pPr>
              <w:snapToGrid w:val="0"/>
              <w:rPr>
                <w:color w:val="000000"/>
                <w:sz w:val="18"/>
                <w:szCs w:val="18"/>
              </w:rPr>
            </w:pPr>
            <w:r w:rsidRPr="00B21FDB">
              <w:rPr>
                <w:color w:val="000000"/>
                <w:sz w:val="18"/>
                <w:szCs w:val="18"/>
              </w:rPr>
              <w:t xml:space="preserve">Total Annual Cost </w:t>
            </w:r>
          </w:p>
        </w:tc>
        <w:tc>
          <w:tcPr>
            <w:tcW w:w="990" w:type="dxa"/>
            <w:tcBorders>
              <w:top w:val="double" w:sz="1" w:space="0" w:color="000000"/>
              <w:bottom w:val="double" w:sz="1" w:space="0" w:color="000000"/>
            </w:tcBorders>
            <w:shd w:val="clear" w:color="auto" w:fill="FFFFFF"/>
            <w:vAlign w:val="bottom"/>
          </w:tcPr>
          <w:p w:rsidR="00893B06" w:rsidRPr="00B21FDB" w:rsidP="008A6077" w14:paraId="25F6A419" w14:textId="77777777">
            <w:pPr>
              <w:snapToGrid w:val="0"/>
              <w:rPr>
                <w:color w:val="000000"/>
                <w:sz w:val="18"/>
                <w:szCs w:val="18"/>
              </w:rPr>
            </w:pPr>
            <w:r w:rsidRPr="00B21FDB">
              <w:rPr>
                <w:color w:val="000000"/>
                <w:sz w:val="18"/>
                <w:szCs w:val="18"/>
              </w:rPr>
              <w:t> </w:t>
            </w:r>
          </w:p>
        </w:tc>
        <w:tc>
          <w:tcPr>
            <w:tcW w:w="862" w:type="dxa"/>
            <w:tcBorders>
              <w:top w:val="double" w:sz="1" w:space="0" w:color="000000"/>
              <w:bottom w:val="double" w:sz="1" w:space="0" w:color="000000"/>
            </w:tcBorders>
            <w:shd w:val="clear" w:color="auto" w:fill="FFFFFF"/>
            <w:vAlign w:val="bottom"/>
          </w:tcPr>
          <w:p w:rsidR="00893B06" w:rsidRPr="00B21FDB" w:rsidP="008A6077" w14:paraId="02022788" w14:textId="77777777">
            <w:pPr>
              <w:snapToGrid w:val="0"/>
              <w:rPr>
                <w:color w:val="000000"/>
                <w:sz w:val="18"/>
                <w:szCs w:val="18"/>
              </w:rPr>
            </w:pPr>
            <w:r w:rsidRPr="00B21FDB">
              <w:rPr>
                <w:color w:val="000000"/>
                <w:sz w:val="18"/>
                <w:szCs w:val="18"/>
              </w:rPr>
              <w:t> </w:t>
            </w:r>
          </w:p>
        </w:tc>
        <w:tc>
          <w:tcPr>
            <w:tcW w:w="1122" w:type="dxa"/>
            <w:tcBorders>
              <w:top w:val="double" w:sz="1" w:space="0" w:color="000000"/>
              <w:left w:val="single" w:sz="4" w:space="0" w:color="000000"/>
              <w:bottom w:val="double" w:sz="1" w:space="0" w:color="000000"/>
              <w:right w:val="single" w:sz="4" w:space="0" w:color="000000"/>
            </w:tcBorders>
            <w:shd w:val="clear" w:color="auto" w:fill="FFFFFF"/>
            <w:vAlign w:val="bottom"/>
          </w:tcPr>
          <w:p w:rsidR="00893B06" w:rsidRPr="00B21FDB" w:rsidP="008A6077" w14:paraId="27B334B8" w14:textId="26058A3D">
            <w:pPr>
              <w:snapToGrid w:val="0"/>
              <w:jc w:val="right"/>
              <w:rPr>
                <w:color w:val="000000"/>
                <w:sz w:val="18"/>
                <w:szCs w:val="18"/>
              </w:rPr>
            </w:pPr>
            <w:r w:rsidRPr="00B21FDB">
              <w:rPr>
                <w:color w:val="000000"/>
                <w:sz w:val="18"/>
                <w:szCs w:val="18"/>
              </w:rPr>
              <w:t>$</w:t>
            </w:r>
            <w:r w:rsidR="00334D8F">
              <w:rPr>
                <w:color w:val="000000"/>
                <w:sz w:val="18"/>
                <w:szCs w:val="18"/>
              </w:rPr>
              <w:t>705,042</w:t>
            </w:r>
            <w:r w:rsidRPr="00B21FDB">
              <w:rPr>
                <w:color w:val="000000"/>
                <w:sz w:val="18"/>
                <w:szCs w:val="18"/>
              </w:rPr>
              <w:t xml:space="preserve"> </w:t>
            </w:r>
          </w:p>
        </w:tc>
      </w:tr>
    </w:tbl>
    <w:p w:rsidR="007F5038" w:rsidP="00EE07D9" w14:paraId="569878CB" w14:textId="77777777">
      <w:pPr>
        <w:suppressAutoHyphens w:val="0"/>
        <w:ind w:hanging="360"/>
        <w:jc w:val="both"/>
      </w:pPr>
    </w:p>
    <w:p w:rsidR="00F85097" w:rsidRPr="00F53F31" w:rsidP="00EE07D9" w14:paraId="75E70D74" w14:textId="12E20E87">
      <w:pPr>
        <w:numPr>
          <w:ilvl w:val="1"/>
          <w:numId w:val="14"/>
        </w:numPr>
        <w:suppressAutoHyphens w:val="0"/>
        <w:ind w:left="0"/>
        <w:jc w:val="both"/>
      </w:pPr>
      <w:r w:rsidRPr="00F53F31">
        <w:rPr>
          <w:u w:val="single"/>
        </w:rPr>
        <w:t>Reasons for changes.</w:t>
      </w:r>
      <w:r w:rsidRPr="00F53F31">
        <w:t xml:space="preserve"> The </w:t>
      </w:r>
      <w:r w:rsidRPr="00F53F31" w:rsidR="006A28B4">
        <w:t>de</w:t>
      </w:r>
      <w:r w:rsidRPr="00F53F31">
        <w:t>crease in the annual hour burden estimate reflects</w:t>
      </w:r>
      <w:r w:rsidRPr="00F53F31" w:rsidR="00285C1C">
        <w:t xml:space="preserve"> </w:t>
      </w:r>
      <w:r w:rsidRPr="00F53F31" w:rsidR="00137361">
        <w:t xml:space="preserve">structural </w:t>
      </w:r>
      <w:r w:rsidRPr="00F53F31" w:rsidR="00F53F31">
        <w:t xml:space="preserve">and streamlining </w:t>
      </w:r>
      <w:r w:rsidRPr="00F53F31" w:rsidR="00285C1C">
        <w:t>changes</w:t>
      </w:r>
      <w:r w:rsidRPr="00F53F31" w:rsidR="00137361">
        <w:t xml:space="preserve"> to both the MAQ and the SBIC </w:t>
      </w:r>
      <w:r w:rsidRPr="00F53F31" w:rsidR="00F53F31">
        <w:t>Licensing</w:t>
      </w:r>
      <w:r w:rsidRPr="00F53F31" w:rsidR="00137361">
        <w:t xml:space="preserve"> process</w:t>
      </w:r>
      <w:r w:rsidRPr="00F53F31">
        <w:t>.</w:t>
      </w:r>
    </w:p>
    <w:p w:rsidR="00F85097" w:rsidP="00EE07D9" w14:paraId="51055879" w14:textId="77777777">
      <w:pPr>
        <w:suppressAutoHyphens w:val="0"/>
        <w:ind w:hanging="360"/>
        <w:jc w:val="both"/>
      </w:pPr>
    </w:p>
    <w:p w:rsidR="00F85097" w:rsidP="00EE07D9" w14:paraId="064F0E76" w14:textId="77FE9A93">
      <w:pPr>
        <w:numPr>
          <w:ilvl w:val="1"/>
          <w:numId w:val="14"/>
        </w:numPr>
        <w:suppressAutoHyphens w:val="0"/>
        <w:ind w:left="0"/>
        <w:jc w:val="both"/>
      </w:pPr>
      <w:r w:rsidRPr="007B25E8">
        <w:rPr>
          <w:u w:val="single"/>
        </w:rPr>
        <w:t>Publicizing Results.</w:t>
      </w:r>
      <w:r w:rsidRPr="007B25E8">
        <w:t xml:space="preserve"> Not applicable. Results of this collection of information will not be published. </w:t>
      </w:r>
    </w:p>
    <w:p w:rsidR="007B25E8" w:rsidRPr="007B25E8" w:rsidP="00EE07D9" w14:paraId="243FE68B" w14:textId="77777777">
      <w:pPr>
        <w:suppressAutoHyphens w:val="0"/>
        <w:jc w:val="both"/>
        <w:rPr>
          <w:kern w:val="0"/>
          <w:szCs w:val="20"/>
          <w:lang w:eastAsia="en-US"/>
        </w:rPr>
      </w:pPr>
    </w:p>
    <w:p w:rsidR="000D71C3" w:rsidRPr="000D71C3" w:rsidP="00EE07D9" w14:paraId="6A60D629" w14:textId="095F334E">
      <w:pPr>
        <w:numPr>
          <w:ilvl w:val="1"/>
          <w:numId w:val="14"/>
        </w:numPr>
        <w:suppressAutoHyphens w:val="0"/>
        <w:ind w:left="0"/>
        <w:jc w:val="both"/>
        <w:rPr>
          <w:kern w:val="0"/>
          <w:szCs w:val="20"/>
          <w:lang w:eastAsia="en-US"/>
        </w:rPr>
      </w:pPr>
      <w:r w:rsidRPr="000D71C3">
        <w:rPr>
          <w:kern w:val="0"/>
          <w:szCs w:val="20"/>
          <w:u w:val="single"/>
          <w:lang w:eastAsia="en-US"/>
        </w:rPr>
        <w:t>OMB Not to Display Approval.</w:t>
      </w:r>
      <w:r w:rsidRPr="000D71C3">
        <w:rPr>
          <w:kern w:val="0"/>
          <w:szCs w:val="20"/>
          <w:lang w:eastAsia="en-US"/>
        </w:rPr>
        <w:t xml:space="preserve"> Not applicable. The expiration date will be displayed.  </w:t>
      </w:r>
    </w:p>
    <w:p w:rsidR="00F85097" w:rsidP="00EE07D9" w14:paraId="2014E7EC" w14:textId="77777777">
      <w:pPr>
        <w:suppressAutoHyphens w:val="0"/>
        <w:ind w:hanging="360"/>
        <w:jc w:val="both"/>
      </w:pPr>
    </w:p>
    <w:p w:rsidR="001E6103" w:rsidRPr="00E805AF" w:rsidP="00EE07D9" w14:paraId="6C777271" w14:textId="57EB6FBC">
      <w:pPr>
        <w:pStyle w:val="ListParagraph"/>
        <w:numPr>
          <w:ilvl w:val="1"/>
          <w:numId w:val="14"/>
        </w:numPr>
        <w:ind w:left="0"/>
        <w:jc w:val="both"/>
      </w:pPr>
      <w:r w:rsidRPr="002D078F">
        <w:rPr>
          <w:u w:val="single"/>
        </w:rPr>
        <w:t xml:space="preserve">Exceptions to </w:t>
      </w:r>
      <w:r w:rsidRPr="002D078F" w:rsidR="002D078F">
        <w:rPr>
          <w:u w:val="single"/>
        </w:rPr>
        <w:t xml:space="preserve">“Certification for Paperwork Reduction Submissions.” </w:t>
      </w:r>
      <w:r w:rsidRPr="0064659C">
        <w:t>Not applicable.</w:t>
      </w:r>
      <w:r w:rsidRPr="00E805AF" w:rsidR="00E805AF">
        <w:t xml:space="preserve"> There are no exceptions to the certification statement identified in Item 19, “Certification for Paperwork Reduction Act Submissions,” of OMB 83-1. </w:t>
      </w:r>
    </w:p>
    <w:p w:rsidR="002D078F" w:rsidRPr="0064659C" w:rsidP="00EE07D9" w14:paraId="6B1D70EC" w14:textId="77777777">
      <w:pPr>
        <w:pStyle w:val="BodyTextIndent"/>
        <w:tabs>
          <w:tab w:val="left" w:pos="-2790"/>
          <w:tab w:val="clear" w:pos="450"/>
        </w:tabs>
        <w:ind w:left="0" w:hanging="360"/>
        <w:jc w:val="both"/>
      </w:pPr>
    </w:p>
    <w:p w:rsidR="00E805AF" w:rsidP="00EE07D9" w14:paraId="2C6060AA" w14:textId="3166FD15">
      <w:pPr>
        <w:pStyle w:val="BodyTextIndent"/>
        <w:numPr>
          <w:ilvl w:val="0"/>
          <w:numId w:val="14"/>
        </w:numPr>
        <w:tabs>
          <w:tab w:val="left" w:pos="-2790"/>
          <w:tab w:val="clear" w:pos="450"/>
        </w:tabs>
        <w:spacing w:after="120"/>
        <w:ind w:left="0"/>
        <w:jc w:val="both"/>
      </w:pPr>
      <w:r>
        <w:rPr>
          <w:u w:val="single"/>
        </w:rPr>
        <w:t>Collection of Information Employing Statistical Methods.</w:t>
      </w:r>
      <w:r>
        <w:t xml:space="preserve"> This collection of information </w:t>
      </w:r>
      <w:r w:rsidR="002D078F">
        <w:t xml:space="preserve">is not a survey and </w:t>
      </w:r>
      <w:r>
        <w:t>does not employ statistical methods.</w:t>
      </w:r>
    </w:p>
    <w:p w:rsidR="00E805AF" w:rsidP="00E805AF" w14:paraId="5462B160" w14:textId="77777777">
      <w:pPr>
        <w:pStyle w:val="BodyTextIndent"/>
        <w:tabs>
          <w:tab w:val="left" w:pos="-2790"/>
          <w:tab w:val="clear" w:pos="450"/>
        </w:tabs>
        <w:spacing w:after="120"/>
        <w:ind w:left="0" w:firstLine="0"/>
        <w:jc w:val="both"/>
        <w:rPr>
          <w:u w:val="single"/>
        </w:rPr>
      </w:pPr>
    </w:p>
    <w:p w:rsidR="00E805AF" w:rsidP="00E805AF" w14:paraId="437C8D11" w14:textId="503E41EC">
      <w:pPr>
        <w:pStyle w:val="BodyTextIndent"/>
        <w:tabs>
          <w:tab w:val="left" w:pos="-2790"/>
          <w:tab w:val="clear" w:pos="450"/>
        </w:tabs>
        <w:spacing w:after="120"/>
        <w:ind w:left="-270" w:firstLine="0"/>
        <w:jc w:val="both"/>
        <w:rPr>
          <w:u w:val="single"/>
        </w:rPr>
      </w:pPr>
      <w:r>
        <w:rPr>
          <w:u w:val="single"/>
        </w:rPr>
        <w:t>Attachments:</w:t>
      </w:r>
    </w:p>
    <w:p w:rsidR="00790013" w:rsidP="009E4D3B" w14:paraId="57056048" w14:textId="5B811EE1">
      <w:pPr>
        <w:widowControl w:val="0"/>
        <w:ind w:hanging="270"/>
        <w:jc w:val="both"/>
        <w:rPr>
          <w:spacing w:val="-3"/>
          <w:kern w:val="0"/>
          <w:szCs w:val="20"/>
          <w:lang w:eastAsia="en-US"/>
        </w:rPr>
      </w:pPr>
      <w:r w:rsidRPr="00790013">
        <w:rPr>
          <w:spacing w:val="-3"/>
          <w:kern w:val="0"/>
          <w:szCs w:val="20"/>
          <w:lang w:eastAsia="en-US"/>
        </w:rPr>
        <w:t xml:space="preserve">SBA Form 2181, </w:t>
      </w:r>
      <w:r w:rsidRPr="00B702A7" w:rsidR="00B702A7">
        <w:rPr>
          <w:spacing w:val="-3"/>
          <w:kern w:val="0"/>
          <w:szCs w:val="20"/>
          <w:lang w:eastAsia="en-US"/>
        </w:rPr>
        <w:t>SBIC Program Application Instructions</w:t>
      </w:r>
    </w:p>
    <w:p w:rsidR="009E4D3B" w:rsidRPr="009E4D3B" w:rsidP="009E4D3B" w14:paraId="6CEBAA80" w14:textId="5C237326">
      <w:pPr>
        <w:widowControl w:val="0"/>
        <w:ind w:hanging="270"/>
        <w:jc w:val="both"/>
        <w:rPr>
          <w:spacing w:val="-3"/>
          <w:kern w:val="0"/>
          <w:szCs w:val="20"/>
          <w:lang w:eastAsia="en-US"/>
        </w:rPr>
      </w:pPr>
      <w:r w:rsidRPr="009E4D3B">
        <w:rPr>
          <w:spacing w:val="-3"/>
          <w:kern w:val="0"/>
          <w:szCs w:val="20"/>
          <w:lang w:eastAsia="en-US"/>
        </w:rPr>
        <w:t xml:space="preserve">SBA Form </w:t>
      </w:r>
      <w:r>
        <w:rPr>
          <w:spacing w:val="-3"/>
          <w:kern w:val="0"/>
          <w:szCs w:val="20"/>
          <w:lang w:eastAsia="en-US"/>
        </w:rPr>
        <w:t>2181</w:t>
      </w:r>
      <w:r w:rsidRPr="009E4D3B">
        <w:rPr>
          <w:spacing w:val="-3"/>
          <w:kern w:val="0"/>
          <w:szCs w:val="20"/>
          <w:lang w:eastAsia="en-US"/>
        </w:rPr>
        <w:t xml:space="preserve"> </w:t>
      </w:r>
      <w:r w:rsidR="0085176F">
        <w:rPr>
          <w:spacing w:val="-3"/>
          <w:kern w:val="0"/>
          <w:szCs w:val="20"/>
          <w:lang w:eastAsia="en-US"/>
        </w:rPr>
        <w:t>Pre</w:t>
      </w:r>
      <w:r w:rsidR="00FF11DB">
        <w:rPr>
          <w:spacing w:val="-3"/>
          <w:kern w:val="0"/>
          <w:szCs w:val="20"/>
          <w:lang w:eastAsia="en-US"/>
        </w:rPr>
        <w:t xml:space="preserve">-screen SBIC </w:t>
      </w:r>
      <w:r w:rsidR="00335571">
        <w:rPr>
          <w:spacing w:val="-3"/>
          <w:kern w:val="0"/>
          <w:szCs w:val="20"/>
          <w:lang w:eastAsia="en-US"/>
        </w:rPr>
        <w:t>MAQ</w:t>
      </w:r>
      <w:r w:rsidR="00FF11DB">
        <w:rPr>
          <w:spacing w:val="-3"/>
          <w:kern w:val="0"/>
          <w:szCs w:val="20"/>
          <w:lang w:eastAsia="en-US"/>
        </w:rPr>
        <w:t xml:space="preserve"> (Short Form)</w:t>
      </w:r>
    </w:p>
    <w:p w:rsidR="009E4D3B" w:rsidRPr="009E4D3B" w:rsidP="009E4D3B" w14:paraId="27F8ED42" w14:textId="1170C043">
      <w:pPr>
        <w:widowControl w:val="0"/>
        <w:ind w:hanging="270"/>
        <w:jc w:val="both"/>
        <w:rPr>
          <w:spacing w:val="-3"/>
          <w:kern w:val="0"/>
          <w:szCs w:val="20"/>
          <w:lang w:eastAsia="en-US"/>
        </w:rPr>
      </w:pPr>
      <w:bookmarkStart w:id="3" w:name="_Hlk134711932"/>
      <w:r w:rsidRPr="009E4D3B">
        <w:rPr>
          <w:spacing w:val="-3"/>
          <w:kern w:val="0"/>
          <w:szCs w:val="20"/>
          <w:lang w:eastAsia="en-US"/>
        </w:rPr>
        <w:t xml:space="preserve">SBA Form </w:t>
      </w:r>
      <w:r w:rsidR="00166623">
        <w:rPr>
          <w:spacing w:val="-3"/>
          <w:kern w:val="0"/>
          <w:szCs w:val="20"/>
          <w:lang w:eastAsia="en-US"/>
        </w:rPr>
        <w:t>2181</w:t>
      </w:r>
      <w:r w:rsidRPr="009E4D3B">
        <w:rPr>
          <w:spacing w:val="-3"/>
          <w:kern w:val="0"/>
          <w:szCs w:val="20"/>
          <w:lang w:eastAsia="en-US"/>
        </w:rPr>
        <w:t xml:space="preserve">, </w:t>
      </w:r>
      <w:r w:rsidRPr="00FF11DB" w:rsidR="00FF11DB">
        <w:rPr>
          <w:spacing w:val="-3"/>
          <w:kern w:val="0"/>
          <w:szCs w:val="20"/>
          <w:lang w:eastAsia="en-US"/>
        </w:rPr>
        <w:t xml:space="preserve">SBIC </w:t>
      </w:r>
      <w:r w:rsidR="00FF11DB">
        <w:rPr>
          <w:spacing w:val="-3"/>
          <w:kern w:val="0"/>
          <w:szCs w:val="20"/>
          <w:lang w:eastAsia="en-US"/>
        </w:rPr>
        <w:t>MA</w:t>
      </w:r>
      <w:r w:rsidR="00335571">
        <w:rPr>
          <w:spacing w:val="-3"/>
          <w:kern w:val="0"/>
          <w:szCs w:val="20"/>
          <w:lang w:eastAsia="en-US"/>
        </w:rPr>
        <w:t>Q</w:t>
      </w:r>
      <w:r w:rsidRPr="00FF11DB" w:rsidR="00FF11DB">
        <w:rPr>
          <w:spacing w:val="-3"/>
          <w:kern w:val="0"/>
          <w:szCs w:val="20"/>
          <w:lang w:eastAsia="en-US"/>
        </w:rPr>
        <w:t xml:space="preserve"> </w:t>
      </w:r>
      <w:r w:rsidRPr="009E4D3B">
        <w:rPr>
          <w:spacing w:val="-3"/>
          <w:kern w:val="0"/>
          <w:szCs w:val="20"/>
          <w:lang w:eastAsia="en-US"/>
        </w:rPr>
        <w:t xml:space="preserve">(Long Form)  </w:t>
      </w:r>
      <w:bookmarkEnd w:id="3"/>
    </w:p>
    <w:p w:rsidR="00307B31" w:rsidP="00307B31" w14:paraId="2D7565AE" w14:textId="77777777">
      <w:pPr>
        <w:widowControl w:val="0"/>
        <w:ind w:hanging="270"/>
        <w:jc w:val="both"/>
        <w:rPr>
          <w:spacing w:val="-3"/>
          <w:kern w:val="0"/>
          <w:szCs w:val="20"/>
          <w:lang w:eastAsia="en-US"/>
        </w:rPr>
      </w:pPr>
      <w:r>
        <w:rPr>
          <w:spacing w:val="-3"/>
          <w:kern w:val="0"/>
          <w:szCs w:val="20"/>
          <w:lang w:eastAsia="en-US"/>
        </w:rPr>
        <w:t>SBA Form 2181, SBIC Subsequent Fund MAQ</w:t>
      </w:r>
    </w:p>
    <w:p w:rsidR="00335571" w:rsidP="009E4D3B" w14:paraId="3ECBBE61" w14:textId="29C99F55">
      <w:pPr>
        <w:widowControl w:val="0"/>
        <w:ind w:hanging="270"/>
        <w:jc w:val="both"/>
        <w:rPr>
          <w:spacing w:val="-3"/>
          <w:kern w:val="0"/>
          <w:szCs w:val="20"/>
          <w:lang w:eastAsia="en-US"/>
        </w:rPr>
      </w:pPr>
      <w:r w:rsidRPr="00335571">
        <w:rPr>
          <w:spacing w:val="-3"/>
          <w:kern w:val="0"/>
          <w:szCs w:val="20"/>
          <w:lang w:eastAsia="en-US"/>
        </w:rPr>
        <w:t xml:space="preserve">SBA Form 2181, SBIC MAQ </w:t>
      </w:r>
      <w:r>
        <w:rPr>
          <w:spacing w:val="-3"/>
          <w:kern w:val="0"/>
          <w:szCs w:val="20"/>
          <w:lang w:eastAsia="en-US"/>
        </w:rPr>
        <w:t>Exhibit A</w:t>
      </w:r>
      <w:r w:rsidR="00FB4A1F">
        <w:rPr>
          <w:spacing w:val="-3"/>
          <w:kern w:val="0"/>
          <w:szCs w:val="20"/>
          <w:lang w:eastAsia="en-US"/>
        </w:rPr>
        <w:t xml:space="preserve">, </w:t>
      </w:r>
      <w:r w:rsidR="00755619">
        <w:rPr>
          <w:spacing w:val="-3"/>
          <w:kern w:val="0"/>
          <w:szCs w:val="20"/>
          <w:lang w:eastAsia="en-US"/>
        </w:rPr>
        <w:t>Activities Relationship Certification</w:t>
      </w:r>
    </w:p>
    <w:p w:rsidR="00335571" w:rsidP="00335571" w14:paraId="33CEB2D1" w14:textId="03F8FBA6">
      <w:pPr>
        <w:widowControl w:val="0"/>
        <w:ind w:hanging="270"/>
        <w:jc w:val="both"/>
        <w:rPr>
          <w:spacing w:val="-3"/>
          <w:kern w:val="0"/>
          <w:szCs w:val="20"/>
          <w:lang w:eastAsia="en-US"/>
        </w:rPr>
      </w:pPr>
      <w:r w:rsidRPr="00335571">
        <w:rPr>
          <w:spacing w:val="-3"/>
          <w:kern w:val="0"/>
          <w:szCs w:val="20"/>
          <w:lang w:eastAsia="en-US"/>
        </w:rPr>
        <w:t xml:space="preserve">SBA Form 2181, SBIC MAQ </w:t>
      </w:r>
      <w:r>
        <w:rPr>
          <w:spacing w:val="-3"/>
          <w:kern w:val="0"/>
          <w:szCs w:val="20"/>
          <w:lang w:eastAsia="en-US"/>
        </w:rPr>
        <w:t xml:space="preserve">Exhibit </w:t>
      </w:r>
      <w:r w:rsidR="00535CF0">
        <w:rPr>
          <w:spacing w:val="-3"/>
          <w:kern w:val="0"/>
          <w:szCs w:val="20"/>
          <w:lang w:eastAsia="en-US"/>
        </w:rPr>
        <w:t>B</w:t>
      </w:r>
      <w:r w:rsidR="00755619">
        <w:rPr>
          <w:spacing w:val="-3"/>
          <w:kern w:val="0"/>
          <w:szCs w:val="20"/>
          <w:lang w:eastAsia="en-US"/>
        </w:rPr>
        <w:t>, Individual Declarations</w:t>
      </w:r>
    </w:p>
    <w:p w:rsidR="00755619" w:rsidP="00335571" w14:paraId="47DFDA66" w14:textId="3C4BE319">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C</w:t>
      </w:r>
      <w:r w:rsidR="003C6719">
        <w:rPr>
          <w:spacing w:val="-3"/>
          <w:kern w:val="0"/>
          <w:szCs w:val="20"/>
          <w:lang w:eastAsia="en-US"/>
        </w:rPr>
        <w:t>, Significant Investor Declarations</w:t>
      </w:r>
    </w:p>
    <w:p w:rsidR="003C6719" w:rsidP="00335571" w14:paraId="18E6C255" w14:textId="0F5245E5">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D, Individual Legal Question</w:t>
      </w:r>
      <w:r w:rsidR="00DB4B20">
        <w:rPr>
          <w:spacing w:val="-3"/>
          <w:kern w:val="0"/>
          <w:szCs w:val="20"/>
          <w:lang w:eastAsia="en-US"/>
        </w:rPr>
        <w:t>naire</w:t>
      </w:r>
    </w:p>
    <w:p w:rsidR="00DB4B20" w:rsidP="00335571" w14:paraId="2C207F65" w14:textId="280A28E2">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E, Legal Document Certification</w:t>
      </w:r>
    </w:p>
    <w:p w:rsidR="00535CF0" w:rsidP="00335571" w14:paraId="5B496FB6" w14:textId="0FAB6F68">
      <w:pPr>
        <w:widowControl w:val="0"/>
        <w:ind w:hanging="270"/>
        <w:jc w:val="both"/>
        <w:rPr>
          <w:spacing w:val="-3"/>
          <w:kern w:val="0"/>
          <w:szCs w:val="20"/>
          <w:lang w:eastAsia="en-US"/>
        </w:rPr>
      </w:pPr>
      <w:r>
        <w:rPr>
          <w:spacing w:val="-3"/>
          <w:kern w:val="0"/>
          <w:szCs w:val="20"/>
          <w:lang w:eastAsia="en-US"/>
        </w:rPr>
        <w:t xml:space="preserve">SBA Form 2181, </w:t>
      </w:r>
      <w:r w:rsidR="00DB4B20">
        <w:rPr>
          <w:spacing w:val="-3"/>
          <w:kern w:val="0"/>
          <w:szCs w:val="20"/>
          <w:lang w:eastAsia="en-US"/>
        </w:rPr>
        <w:t xml:space="preserve">SBIC MAQ, Exhibit F, </w:t>
      </w:r>
      <w:r>
        <w:rPr>
          <w:spacing w:val="-3"/>
          <w:kern w:val="0"/>
          <w:szCs w:val="20"/>
          <w:lang w:eastAsia="en-US"/>
        </w:rPr>
        <w:t>Capital Certificate</w:t>
      </w:r>
    </w:p>
    <w:p w:rsidR="00DB4B20" w:rsidP="00335571" w14:paraId="22A9BC34" w14:textId="07D4ECD5">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G, </w:t>
      </w:r>
      <w:r w:rsidR="00307B31">
        <w:rPr>
          <w:spacing w:val="-3"/>
          <w:kern w:val="0"/>
          <w:szCs w:val="20"/>
          <w:lang w:eastAsia="en-US"/>
        </w:rPr>
        <w:t>Transferors Liability Contract</w:t>
      </w:r>
    </w:p>
    <w:bookmarkStart w:id="4" w:name="_Hlk137526693"/>
    <w:p w:rsidR="009E4D3B" w:rsidRPr="009E4D3B" w:rsidP="009E4D3B" w14:paraId="45028FAE" w14:textId="676B0B21">
      <w:pPr>
        <w:widowControl w:val="0"/>
        <w:ind w:hanging="270"/>
        <w:jc w:val="both"/>
        <w:rPr>
          <w:spacing w:val="-3"/>
          <w:kern w:val="0"/>
          <w:szCs w:val="20"/>
          <w:lang w:eastAsia="en-US"/>
        </w:rPr>
      </w:pPr>
      <w:r w:rsidRPr="009E4D3B">
        <w:rPr>
          <w:rFonts w:ascii="Tms Rmn" w:hAnsi="Tms Rmn"/>
          <w:kern w:val="0"/>
          <w:szCs w:val="20"/>
          <w:lang w:eastAsia="en-US"/>
        </w:rPr>
        <w:fldChar w:fldCharType="begin"/>
      </w:r>
      <w:r w:rsidR="00A90FD2">
        <w:rPr>
          <w:rFonts w:ascii="Tms Rmn" w:hAnsi="Tms Rmn"/>
          <w:kern w:val="0"/>
          <w:szCs w:val="20"/>
          <w:lang w:eastAsia="en-US"/>
        </w:rPr>
        <w:instrText xml:space="preserve">HYPERLINK "https://www.federalregister.gov/documents/2022/11/28/2022-25785/data-collection-available-for-public-comments" \h </w:instrText>
      </w:r>
      <w:r w:rsidRPr="009E4D3B">
        <w:rPr>
          <w:rFonts w:ascii="Tms Rmn" w:hAnsi="Tms Rmn"/>
          <w:kern w:val="0"/>
          <w:szCs w:val="20"/>
          <w:lang w:eastAsia="en-US"/>
        </w:rPr>
        <w:fldChar w:fldCharType="separate"/>
      </w:r>
      <w:bookmarkStart w:id="5" w:name="_Hlk137521260"/>
      <w:r w:rsidRPr="009E4D3B">
        <w:rPr>
          <w:color w:val="0000FF"/>
          <w:kern w:val="0"/>
          <w:szCs w:val="20"/>
          <w:u w:val="single"/>
          <w:lang w:eastAsia="en-US"/>
        </w:rPr>
        <w:t xml:space="preserve">87 FR </w:t>
      </w:r>
      <w:r w:rsidRPr="006B2851" w:rsidR="006B2851">
        <w:rPr>
          <w:color w:val="0000FF"/>
          <w:kern w:val="0"/>
          <w:szCs w:val="20"/>
          <w:u w:val="single"/>
          <w:lang w:eastAsia="en-US"/>
        </w:rPr>
        <w:t>73062</w:t>
      </w:r>
      <w:bookmarkEnd w:id="5"/>
      <w:r w:rsidRPr="006B2851" w:rsidR="006B2851">
        <w:rPr>
          <w:color w:val="0000FF"/>
          <w:kern w:val="0"/>
          <w:szCs w:val="20"/>
          <w:u w:val="single"/>
          <w:lang w:eastAsia="en-US"/>
        </w:rPr>
        <w:t xml:space="preserve"> </w:t>
      </w:r>
      <w:r w:rsidRPr="009E4D3B">
        <w:rPr>
          <w:color w:val="0000FF"/>
          <w:kern w:val="0"/>
          <w:szCs w:val="20"/>
          <w:u w:val="single"/>
          <w:lang w:eastAsia="en-US"/>
        </w:rPr>
        <w:fldChar w:fldCharType="end"/>
      </w:r>
      <w:bookmarkEnd w:id="4"/>
      <w:r w:rsidRPr="000E28C9" w:rsidR="000E28C9">
        <w:rPr>
          <w:kern w:val="0"/>
          <w:szCs w:val="20"/>
          <w:lang w:eastAsia="en-US"/>
        </w:rPr>
        <w:t>Federal Register 60-Day Notice</w:t>
      </w:r>
    </w:p>
    <w:p w:rsidR="009E4D3B" w:rsidRPr="009E4D3B" w:rsidP="009E4D3B" w14:paraId="022FCD52" w14:textId="77777777">
      <w:pPr>
        <w:widowControl w:val="0"/>
        <w:ind w:hanging="270"/>
        <w:jc w:val="both"/>
        <w:rPr>
          <w:spacing w:val="-3"/>
          <w:kern w:val="0"/>
          <w:szCs w:val="20"/>
          <w:lang w:eastAsia="en-US"/>
        </w:rPr>
      </w:pPr>
      <w:r w:rsidRPr="009E4D3B">
        <w:rPr>
          <w:spacing w:val="-3"/>
          <w:kern w:val="0"/>
          <w:szCs w:val="20"/>
          <w:lang w:eastAsia="en-US"/>
        </w:rPr>
        <w:t>Authorizing Statutory and Regulatory Provisions</w:t>
      </w:r>
    </w:p>
    <w:p w:rsidR="00E805AF" w:rsidP="007B25E8" w14:paraId="0E25BEC0" w14:textId="77777777">
      <w:pPr>
        <w:pStyle w:val="BodyTextIndent"/>
        <w:tabs>
          <w:tab w:val="left" w:pos="-2790"/>
          <w:tab w:val="clear" w:pos="450"/>
        </w:tabs>
        <w:spacing w:after="120"/>
        <w:ind w:left="-270" w:firstLine="0"/>
        <w:jc w:val="both"/>
      </w:pPr>
    </w:p>
    <w:sectPr>
      <w:footerReference w:type="default" r:id="rId11"/>
      <w:pgSz w:w="12240" w:h="15840"/>
      <w:pgMar w:top="1440" w:right="1440" w:bottom="1440" w:left="1440"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0">
    <w:charset w:val="00"/>
    <w:family w:val="auto"/>
    <w:pitch w:val="variable"/>
  </w:font>
  <w:font w:name="Cambria">
    <w:panose1 w:val="02040503050406030204"/>
    <w:charset w:val="00"/>
    <w:family w:val="roman"/>
    <w:pitch w:val="variable"/>
    <w:sig w:usb0="E00006FF" w:usb1="420024FF" w:usb2="02000000" w:usb3="00000000" w:csb0="0000019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103" w14:paraId="62765D7F" w14:textId="77777777">
    <w:pPr>
      <w:pStyle w:val="Footer"/>
      <w:jc w:val="right"/>
    </w:pPr>
    <w:r>
      <w:fldChar w:fldCharType="begin"/>
    </w:r>
    <w:r>
      <w:instrText xml:space="preserve"> PAGE \*Arabic </w:instrText>
    </w:r>
    <w:r>
      <w:fldChar w:fldCharType="separate"/>
    </w:r>
    <w:r w:rsidR="00972B3C">
      <w:rPr>
        <w:noProof/>
      </w:rPr>
      <w:t>3</w:t>
    </w:r>
    <w:r>
      <w:fldChar w:fldCharType="end"/>
    </w:r>
    <w:r>
      <w:t xml:space="preserve"> of </w:t>
    </w:r>
    <w:r>
      <w:fldChar w:fldCharType="begin"/>
    </w:r>
    <w:r>
      <w:instrText xml:space="preserve"> NUMPAGES \*Arabic </w:instrText>
    </w:r>
    <w:r>
      <w:fldChar w:fldCharType="separate"/>
    </w:r>
    <w:r w:rsidR="00972B3C">
      <w:rPr>
        <w:noProof/>
      </w:rPr>
      <w:t>9</w:t>
    </w:r>
    <w:r w:rsidR="00972B3C">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pStyle w:val="Heading2"/>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0" w:firstLine="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upperLetter"/>
      <w:lvlText w:val="%1."/>
      <w:lvlJc w:val="left"/>
      <w:pPr>
        <w:tabs>
          <w:tab w:val="num" w:pos="0"/>
        </w:tabs>
        <w:ind w:left="720" w:hanging="360"/>
      </w:pPr>
    </w:lvl>
    <w:lvl w:ilvl="1">
      <w:start w:val="1"/>
      <w:numFmt w:val="decimal"/>
      <w:lvlText w:val="%2."/>
      <w:lvlJc w:val="left"/>
      <w:pPr>
        <w:tabs>
          <w:tab w:val="num" w:pos="-810"/>
        </w:tabs>
        <w:ind w:left="630" w:hanging="360"/>
      </w:pPr>
    </w:lvl>
    <w:lvl w:ilvl="2">
      <w:start w:val="5"/>
      <w:numFmt w:val="bullet"/>
      <w:lvlText w:val="-"/>
      <w:lvlJc w:val="left"/>
      <w:pPr>
        <w:tabs>
          <w:tab w:val="num" w:pos="0"/>
        </w:tabs>
        <w:ind w:left="2340" w:hanging="36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bullet"/>
      <w:lvlText w:val=""/>
      <w:lvlJc w:val="left"/>
      <w:pPr>
        <w:tabs>
          <w:tab w:val="num" w:pos="180"/>
        </w:tabs>
        <w:ind w:left="1260" w:hanging="360"/>
      </w:pPr>
      <w:rPr>
        <w:rFonts w:ascii="Symbol" w:hAnsi="Symbol"/>
      </w:rPr>
    </w:lvl>
    <w:lvl w:ilvl="1">
      <w:start w:val="1"/>
      <w:numFmt w:val="bullet"/>
      <w:lvlText w:val="o"/>
      <w:lvlJc w:val="left"/>
      <w:pPr>
        <w:tabs>
          <w:tab w:val="num" w:pos="180"/>
        </w:tabs>
        <w:ind w:left="1980" w:hanging="360"/>
      </w:pPr>
      <w:rPr>
        <w:rFonts w:ascii="Courier New" w:hAnsi="Courier New" w:cs="Courier New"/>
      </w:rPr>
    </w:lvl>
    <w:lvl w:ilvl="2">
      <w:start w:val="1"/>
      <w:numFmt w:val="bullet"/>
      <w:lvlText w:val=""/>
      <w:lvlJc w:val="left"/>
      <w:pPr>
        <w:tabs>
          <w:tab w:val="num" w:pos="180"/>
        </w:tabs>
        <w:ind w:left="2700" w:hanging="360"/>
      </w:pPr>
      <w:rPr>
        <w:rFonts w:ascii="Wingdings" w:hAnsi="Wingdings"/>
      </w:rPr>
    </w:lvl>
    <w:lvl w:ilvl="3">
      <w:start w:val="1"/>
      <w:numFmt w:val="bullet"/>
      <w:lvlText w:val=""/>
      <w:lvlJc w:val="left"/>
      <w:pPr>
        <w:tabs>
          <w:tab w:val="num" w:pos="180"/>
        </w:tabs>
        <w:ind w:left="3420" w:hanging="360"/>
      </w:pPr>
      <w:rPr>
        <w:rFonts w:ascii="Symbol" w:hAnsi="Symbol"/>
      </w:rPr>
    </w:lvl>
    <w:lvl w:ilvl="4">
      <w:start w:val="1"/>
      <w:numFmt w:val="bullet"/>
      <w:lvlText w:val="o"/>
      <w:lvlJc w:val="left"/>
      <w:pPr>
        <w:tabs>
          <w:tab w:val="num" w:pos="180"/>
        </w:tabs>
        <w:ind w:left="4140" w:hanging="360"/>
      </w:pPr>
      <w:rPr>
        <w:rFonts w:ascii="Courier New" w:hAnsi="Courier New" w:cs="Courier New"/>
      </w:rPr>
    </w:lvl>
    <w:lvl w:ilvl="5">
      <w:start w:val="1"/>
      <w:numFmt w:val="bullet"/>
      <w:lvlText w:val=""/>
      <w:lvlJc w:val="left"/>
      <w:pPr>
        <w:tabs>
          <w:tab w:val="num" w:pos="180"/>
        </w:tabs>
        <w:ind w:left="4860" w:hanging="360"/>
      </w:pPr>
      <w:rPr>
        <w:rFonts w:ascii="Wingdings" w:hAnsi="Wingdings"/>
      </w:rPr>
    </w:lvl>
    <w:lvl w:ilvl="6">
      <w:start w:val="1"/>
      <w:numFmt w:val="bullet"/>
      <w:lvlText w:val=""/>
      <w:lvlJc w:val="left"/>
      <w:pPr>
        <w:tabs>
          <w:tab w:val="num" w:pos="180"/>
        </w:tabs>
        <w:ind w:left="5580" w:hanging="360"/>
      </w:pPr>
      <w:rPr>
        <w:rFonts w:ascii="Symbol" w:hAnsi="Symbol"/>
      </w:rPr>
    </w:lvl>
    <w:lvl w:ilvl="7">
      <w:start w:val="1"/>
      <w:numFmt w:val="bullet"/>
      <w:lvlText w:val="o"/>
      <w:lvlJc w:val="left"/>
      <w:pPr>
        <w:tabs>
          <w:tab w:val="num" w:pos="180"/>
        </w:tabs>
        <w:ind w:left="6300" w:hanging="360"/>
      </w:pPr>
      <w:rPr>
        <w:rFonts w:ascii="Courier New" w:hAnsi="Courier New" w:cs="Courier New"/>
      </w:rPr>
    </w:lvl>
    <w:lvl w:ilvl="8">
      <w:start w:val="1"/>
      <w:numFmt w:val="bullet"/>
      <w:lvlText w:val=""/>
      <w:lvlJc w:val="left"/>
      <w:pPr>
        <w:tabs>
          <w:tab w:val="num" w:pos="180"/>
        </w:tabs>
        <w:ind w:left="7020" w:hanging="360"/>
      </w:pPr>
      <w:rPr>
        <w:rFonts w:ascii="Wingdings" w:hAnsi="Wingdings"/>
      </w:rPr>
    </w:lvl>
  </w:abstractNum>
  <w:abstractNum w:abstractNumId="4">
    <w:nsid w:val="00000005"/>
    <w:multiLevelType w:val="multilevel"/>
    <w:tmpl w:val="00000005"/>
    <w:name w:val="WW8Num5"/>
    <w:lvl w:ilvl="0">
      <w:start w:val="10"/>
      <w:numFmt w:val="bullet"/>
      <w:lvlText w:val="-"/>
      <w:lvlJc w:val="left"/>
      <w:pPr>
        <w:tabs>
          <w:tab w:val="num" w:pos="0"/>
        </w:tabs>
        <w:ind w:left="720" w:hanging="360"/>
      </w:pPr>
      <w:rPr>
        <w:rFonts w:ascii="Calibri" w:hAnsi="Calibri" w:cs="font29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lowerLetter"/>
      <w:lvlText w:val="%1."/>
      <w:lvlJc w:val="left"/>
      <w:pPr>
        <w:tabs>
          <w:tab w:val="num" w:pos="-11"/>
        </w:tabs>
        <w:ind w:left="709" w:hanging="360"/>
      </w:pPr>
    </w:lvl>
    <w:lvl w:ilvl="1">
      <w:start w:val="1"/>
      <w:numFmt w:val="lowerLetter"/>
      <w:lvlText w:val="%2."/>
      <w:lvlJc w:val="left"/>
      <w:pPr>
        <w:tabs>
          <w:tab w:val="num" w:pos="-11"/>
        </w:tabs>
        <w:ind w:left="1429" w:hanging="360"/>
      </w:pPr>
    </w:lvl>
    <w:lvl w:ilvl="2">
      <w:start w:val="1"/>
      <w:numFmt w:val="lowerRoman"/>
      <w:lvlText w:val="%3."/>
      <w:lvlJc w:val="left"/>
      <w:pPr>
        <w:tabs>
          <w:tab w:val="num" w:pos="-11"/>
        </w:tabs>
        <w:ind w:left="2149" w:hanging="180"/>
      </w:pPr>
    </w:lvl>
    <w:lvl w:ilvl="3">
      <w:start w:val="1"/>
      <w:numFmt w:val="decimal"/>
      <w:lvlText w:val="%4."/>
      <w:lvlJc w:val="left"/>
      <w:pPr>
        <w:tabs>
          <w:tab w:val="num" w:pos="-11"/>
        </w:tabs>
        <w:ind w:left="2869" w:hanging="360"/>
      </w:pPr>
    </w:lvl>
    <w:lvl w:ilvl="4">
      <w:start w:val="1"/>
      <w:numFmt w:val="lowerLetter"/>
      <w:lvlText w:val="%5."/>
      <w:lvlJc w:val="left"/>
      <w:pPr>
        <w:tabs>
          <w:tab w:val="num" w:pos="-11"/>
        </w:tabs>
        <w:ind w:left="3589" w:hanging="360"/>
      </w:pPr>
    </w:lvl>
    <w:lvl w:ilvl="5">
      <w:start w:val="1"/>
      <w:numFmt w:val="lowerRoman"/>
      <w:lvlText w:val="%6."/>
      <w:lvlJc w:val="left"/>
      <w:pPr>
        <w:tabs>
          <w:tab w:val="num" w:pos="-11"/>
        </w:tabs>
        <w:ind w:left="4309" w:hanging="180"/>
      </w:pPr>
    </w:lvl>
    <w:lvl w:ilvl="6">
      <w:start w:val="1"/>
      <w:numFmt w:val="decimal"/>
      <w:lvlText w:val="%7."/>
      <w:lvlJc w:val="left"/>
      <w:pPr>
        <w:tabs>
          <w:tab w:val="num" w:pos="-11"/>
        </w:tabs>
        <w:ind w:left="5029" w:hanging="360"/>
      </w:pPr>
    </w:lvl>
    <w:lvl w:ilvl="7">
      <w:start w:val="1"/>
      <w:numFmt w:val="lowerLetter"/>
      <w:lvlText w:val="%8."/>
      <w:lvlJc w:val="left"/>
      <w:pPr>
        <w:tabs>
          <w:tab w:val="num" w:pos="-11"/>
        </w:tabs>
        <w:ind w:left="5749" w:hanging="360"/>
      </w:pPr>
    </w:lvl>
    <w:lvl w:ilvl="8">
      <w:start w:val="1"/>
      <w:numFmt w:val="lowerRoman"/>
      <w:lvlText w:val="%9."/>
      <w:lvlJc w:val="left"/>
      <w:pPr>
        <w:tabs>
          <w:tab w:val="num" w:pos="-11"/>
        </w:tabs>
        <w:ind w:left="6469" w:hanging="180"/>
      </w:pPr>
    </w:lvl>
  </w:abstractNum>
  <w:abstractNum w:abstractNumId="6">
    <w:nsid w:val="00000007"/>
    <w:multiLevelType w:val="multilevel"/>
    <w:tmpl w:val="B492F752"/>
    <w:name w:val="WW8Num7"/>
    <w:lvl w:ilvl="0">
      <w:start w:val="14"/>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0000008"/>
    <w:multiLevelType w:val="multilevel"/>
    <w:tmpl w:val="00000008"/>
    <w:name w:val="WW8Num8"/>
    <w:lvl w:ilvl="0">
      <w:start w:val="1"/>
      <w:numFmt w:val="decimal"/>
      <w:lvlText w:val="%1."/>
      <w:lvlJc w:val="left"/>
      <w:pPr>
        <w:tabs>
          <w:tab w:val="num" w:pos="2138"/>
        </w:tabs>
        <w:ind w:left="213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2858"/>
        </w:tabs>
        <w:ind w:left="2858" w:hanging="360"/>
      </w:pPr>
    </w:lvl>
    <w:lvl w:ilvl="3">
      <w:start w:val="1"/>
      <w:numFmt w:val="decimal"/>
      <w:lvlText w:val="%4."/>
      <w:lvlJc w:val="left"/>
      <w:pPr>
        <w:tabs>
          <w:tab w:val="num" w:pos="3218"/>
        </w:tabs>
        <w:ind w:left="3218" w:hanging="360"/>
      </w:pPr>
    </w:lvl>
    <w:lvl w:ilvl="4">
      <w:start w:val="1"/>
      <w:numFmt w:val="decimal"/>
      <w:lvlText w:val="%5."/>
      <w:lvlJc w:val="left"/>
      <w:pPr>
        <w:tabs>
          <w:tab w:val="num" w:pos="3578"/>
        </w:tabs>
        <w:ind w:left="3578" w:hanging="360"/>
      </w:pPr>
    </w:lvl>
    <w:lvl w:ilvl="5">
      <w:start w:val="1"/>
      <w:numFmt w:val="decimal"/>
      <w:lvlText w:val="%6."/>
      <w:lvlJc w:val="left"/>
      <w:pPr>
        <w:tabs>
          <w:tab w:val="num" w:pos="3938"/>
        </w:tabs>
        <w:ind w:left="3938" w:hanging="360"/>
      </w:pPr>
    </w:lvl>
    <w:lvl w:ilvl="6">
      <w:start w:val="1"/>
      <w:numFmt w:val="decimal"/>
      <w:lvlText w:val="%7."/>
      <w:lvlJc w:val="left"/>
      <w:pPr>
        <w:tabs>
          <w:tab w:val="num" w:pos="4298"/>
        </w:tabs>
        <w:ind w:left="4298" w:hanging="360"/>
      </w:pPr>
    </w:lvl>
    <w:lvl w:ilvl="7">
      <w:start w:val="1"/>
      <w:numFmt w:val="decimal"/>
      <w:lvlText w:val="%8."/>
      <w:lvlJc w:val="left"/>
      <w:pPr>
        <w:tabs>
          <w:tab w:val="num" w:pos="4658"/>
        </w:tabs>
        <w:ind w:left="4658" w:hanging="360"/>
      </w:pPr>
    </w:lvl>
    <w:lvl w:ilvl="8">
      <w:start w:val="1"/>
      <w:numFmt w:val="decimal"/>
      <w:lvlText w:val="%9."/>
      <w:lvlJc w:val="left"/>
      <w:pPr>
        <w:tabs>
          <w:tab w:val="num" w:pos="5018"/>
        </w:tabs>
        <w:ind w:left="5018" w:hanging="360"/>
      </w:pPr>
    </w:lvl>
  </w:abstractNum>
  <w:abstractNum w:abstractNumId="8">
    <w:nsid w:val="0EA2165C"/>
    <w:multiLevelType w:val="hybridMultilevel"/>
    <w:tmpl w:val="FE5484A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3B96315"/>
    <w:multiLevelType w:val="hybridMultilevel"/>
    <w:tmpl w:val="B4BE8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36346D"/>
    <w:multiLevelType w:val="hybridMultilevel"/>
    <w:tmpl w:val="0B2AA7F8"/>
    <w:name w:val="WW8Num32"/>
    <w:lvl w:ilvl="0">
      <w:start w:val="2"/>
      <w:numFmt w:val="decimal"/>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5B83ED8"/>
    <w:multiLevelType w:val="hybridMultilevel"/>
    <w:tmpl w:val="799CDC4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EF47D2"/>
    <w:multiLevelType w:val="hybridMultilevel"/>
    <w:tmpl w:val="4614ED0A"/>
    <w:lvl w:ilvl="0">
      <w:start w:val="1"/>
      <w:numFmt w:val="upperLetter"/>
      <w:lvlText w:val="%1."/>
      <w:lvlJc w:val="left"/>
      <w:pPr>
        <w:ind w:left="720" w:hanging="360"/>
      </w:pPr>
    </w:lvl>
    <w:lvl w:ilvl="1">
      <w:start w:val="3"/>
      <w:numFmt w:val="decimal"/>
      <w:lvlText w:val="%2."/>
      <w:lvlJc w:val="left"/>
      <w:pPr>
        <w:ind w:left="1440" w:hanging="360"/>
      </w:pPr>
      <w:rPr>
        <w:rFonts w:hint="default"/>
      </w:rPr>
    </w:lvl>
    <w:lvl w:ilvl="2">
      <w:start w:val="5"/>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293239E"/>
    <w:multiLevelType w:val="hybridMultilevel"/>
    <w:tmpl w:val="1276B0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FE62D1"/>
    <w:multiLevelType w:val="hybridMultilevel"/>
    <w:tmpl w:val="20CEE1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22E0DF0"/>
    <w:multiLevelType w:val="multilevel"/>
    <w:tmpl w:val="55F4F8CA"/>
    <w:name w:val="WW8Num72"/>
    <w:lvl w:ilvl="0">
      <w:start w:val="15"/>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78DB4E22"/>
    <w:multiLevelType w:val="singleLevel"/>
    <w:tmpl w:val="6FC8A70C"/>
    <w:lvl w:ilvl="0">
      <w:start w:val="10"/>
      <w:numFmt w:val="decimal"/>
      <w:lvlText w:val="%1."/>
      <w:lvlJc w:val="left"/>
      <w:pPr>
        <w:tabs>
          <w:tab w:val="num" w:pos="450"/>
        </w:tabs>
        <w:ind w:left="450" w:hanging="450"/>
      </w:pPr>
      <w:rPr>
        <w:rFonts w:hint="default"/>
      </w:rPr>
    </w:lvl>
  </w:abstractNum>
  <w:num w:numId="1" w16cid:durableId="1573390280">
    <w:abstractNumId w:val="0"/>
  </w:num>
  <w:num w:numId="2" w16cid:durableId="34887688">
    <w:abstractNumId w:val="1"/>
  </w:num>
  <w:num w:numId="3" w16cid:durableId="1504051670">
    <w:abstractNumId w:val="2"/>
  </w:num>
  <w:num w:numId="4" w16cid:durableId="278729241">
    <w:abstractNumId w:val="3"/>
  </w:num>
  <w:num w:numId="5" w16cid:durableId="1981688904">
    <w:abstractNumId w:val="4"/>
  </w:num>
  <w:num w:numId="6" w16cid:durableId="900478110">
    <w:abstractNumId w:val="5"/>
  </w:num>
  <w:num w:numId="7" w16cid:durableId="1553078604">
    <w:abstractNumId w:val="6"/>
  </w:num>
  <w:num w:numId="8" w16cid:durableId="360126680">
    <w:abstractNumId w:val="7"/>
  </w:num>
  <w:num w:numId="9" w16cid:durableId="1657956969">
    <w:abstractNumId w:val="17"/>
  </w:num>
  <w:num w:numId="10" w16cid:durableId="897129707">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991865">
    <w:abstractNumId w:val="9"/>
  </w:num>
  <w:num w:numId="12" w16cid:durableId="10223206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049046">
    <w:abstractNumId w:val="9"/>
  </w:num>
  <w:num w:numId="14" w16cid:durableId="1985507417">
    <w:abstractNumId w:val="12"/>
  </w:num>
  <w:num w:numId="15" w16cid:durableId="1867597420">
    <w:abstractNumId w:val="17"/>
  </w:num>
  <w:num w:numId="16" w16cid:durableId="1358317032">
    <w:abstractNumId w:val="10"/>
  </w:num>
  <w:num w:numId="17" w16cid:durableId="1796636612">
    <w:abstractNumId w:val="16"/>
  </w:num>
  <w:num w:numId="18" w16cid:durableId="1640571716">
    <w:abstractNumId w:val="8"/>
  </w:num>
  <w:num w:numId="19" w16cid:durableId="1393115019">
    <w:abstractNumId w:val="11"/>
  </w:num>
  <w:num w:numId="20" w16cid:durableId="1575747927">
    <w:abstractNumId w:val="13"/>
  </w:num>
  <w:num w:numId="21" w16cid:durableId="342559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A8"/>
    <w:rsid w:val="00001694"/>
    <w:rsid w:val="00002149"/>
    <w:rsid w:val="00010B65"/>
    <w:rsid w:val="0001183D"/>
    <w:rsid w:val="0001570E"/>
    <w:rsid w:val="0001701F"/>
    <w:rsid w:val="000239DC"/>
    <w:rsid w:val="000244B4"/>
    <w:rsid w:val="00024CFA"/>
    <w:rsid w:val="00025A7E"/>
    <w:rsid w:val="00053C3C"/>
    <w:rsid w:val="00057ED4"/>
    <w:rsid w:val="00070F40"/>
    <w:rsid w:val="000752B8"/>
    <w:rsid w:val="0008265E"/>
    <w:rsid w:val="00083091"/>
    <w:rsid w:val="00084F2C"/>
    <w:rsid w:val="00095092"/>
    <w:rsid w:val="000A124A"/>
    <w:rsid w:val="000A176A"/>
    <w:rsid w:val="000A488C"/>
    <w:rsid w:val="000A60F9"/>
    <w:rsid w:val="000B3898"/>
    <w:rsid w:val="000C0B9F"/>
    <w:rsid w:val="000C1C98"/>
    <w:rsid w:val="000D71C3"/>
    <w:rsid w:val="000E28C9"/>
    <w:rsid w:val="000E6301"/>
    <w:rsid w:val="000E6D83"/>
    <w:rsid w:val="000F3246"/>
    <w:rsid w:val="000F5B7E"/>
    <w:rsid w:val="00102A81"/>
    <w:rsid w:val="00113C1C"/>
    <w:rsid w:val="001218D6"/>
    <w:rsid w:val="00132EA6"/>
    <w:rsid w:val="00136B6E"/>
    <w:rsid w:val="00137361"/>
    <w:rsid w:val="0014127B"/>
    <w:rsid w:val="00143D43"/>
    <w:rsid w:val="00152FAF"/>
    <w:rsid w:val="00161087"/>
    <w:rsid w:val="00166623"/>
    <w:rsid w:val="00170D93"/>
    <w:rsid w:val="0017304C"/>
    <w:rsid w:val="00174740"/>
    <w:rsid w:val="0017598A"/>
    <w:rsid w:val="00180A40"/>
    <w:rsid w:val="00183509"/>
    <w:rsid w:val="00196FAC"/>
    <w:rsid w:val="001A25A1"/>
    <w:rsid w:val="001B0C36"/>
    <w:rsid w:val="001B19E3"/>
    <w:rsid w:val="001C13B1"/>
    <w:rsid w:val="001C3CB0"/>
    <w:rsid w:val="001C478B"/>
    <w:rsid w:val="001C7074"/>
    <w:rsid w:val="001D1178"/>
    <w:rsid w:val="001E4CB9"/>
    <w:rsid w:val="001E6103"/>
    <w:rsid w:val="001F4E25"/>
    <w:rsid w:val="00201044"/>
    <w:rsid w:val="00213F11"/>
    <w:rsid w:val="002206DA"/>
    <w:rsid w:val="002206EF"/>
    <w:rsid w:val="00226007"/>
    <w:rsid w:val="0023147C"/>
    <w:rsid w:val="00232E1C"/>
    <w:rsid w:val="00233836"/>
    <w:rsid w:val="00234493"/>
    <w:rsid w:val="00242A15"/>
    <w:rsid w:val="00247015"/>
    <w:rsid w:val="00252D28"/>
    <w:rsid w:val="00253CAD"/>
    <w:rsid w:val="00261E48"/>
    <w:rsid w:val="00283945"/>
    <w:rsid w:val="00283E60"/>
    <w:rsid w:val="00285C1C"/>
    <w:rsid w:val="002933F6"/>
    <w:rsid w:val="002A2152"/>
    <w:rsid w:val="002A4FE0"/>
    <w:rsid w:val="002B0D9F"/>
    <w:rsid w:val="002B4B64"/>
    <w:rsid w:val="002B5C26"/>
    <w:rsid w:val="002B73C4"/>
    <w:rsid w:val="002C08BE"/>
    <w:rsid w:val="002D078F"/>
    <w:rsid w:val="002D0FA4"/>
    <w:rsid w:val="002E4AF3"/>
    <w:rsid w:val="003068CD"/>
    <w:rsid w:val="00306B36"/>
    <w:rsid w:val="00307B31"/>
    <w:rsid w:val="00307F8C"/>
    <w:rsid w:val="00311737"/>
    <w:rsid w:val="00312974"/>
    <w:rsid w:val="00313E81"/>
    <w:rsid w:val="00326BD2"/>
    <w:rsid w:val="003270DB"/>
    <w:rsid w:val="00327B9D"/>
    <w:rsid w:val="00334D8F"/>
    <w:rsid w:val="00335571"/>
    <w:rsid w:val="00337022"/>
    <w:rsid w:val="0034038A"/>
    <w:rsid w:val="00355CA8"/>
    <w:rsid w:val="003614B2"/>
    <w:rsid w:val="0037005D"/>
    <w:rsid w:val="003735BD"/>
    <w:rsid w:val="00375928"/>
    <w:rsid w:val="00382851"/>
    <w:rsid w:val="00385E7B"/>
    <w:rsid w:val="00387136"/>
    <w:rsid w:val="00392314"/>
    <w:rsid w:val="003A3002"/>
    <w:rsid w:val="003B693A"/>
    <w:rsid w:val="003C2DC1"/>
    <w:rsid w:val="003C4CF8"/>
    <w:rsid w:val="003C6719"/>
    <w:rsid w:val="003C6A41"/>
    <w:rsid w:val="003C6C20"/>
    <w:rsid w:val="003D23F4"/>
    <w:rsid w:val="003E31F6"/>
    <w:rsid w:val="003E6874"/>
    <w:rsid w:val="003F24CB"/>
    <w:rsid w:val="003F2B1C"/>
    <w:rsid w:val="003F501C"/>
    <w:rsid w:val="003F7242"/>
    <w:rsid w:val="00401043"/>
    <w:rsid w:val="00435A78"/>
    <w:rsid w:val="00444F24"/>
    <w:rsid w:val="00467491"/>
    <w:rsid w:val="00473073"/>
    <w:rsid w:val="00480B6F"/>
    <w:rsid w:val="00496C71"/>
    <w:rsid w:val="004A31D2"/>
    <w:rsid w:val="004A4652"/>
    <w:rsid w:val="004B175A"/>
    <w:rsid w:val="004C165E"/>
    <w:rsid w:val="004C1EE6"/>
    <w:rsid w:val="004C593E"/>
    <w:rsid w:val="004D0712"/>
    <w:rsid w:val="004D2915"/>
    <w:rsid w:val="004E2635"/>
    <w:rsid w:val="00501D17"/>
    <w:rsid w:val="00517DC6"/>
    <w:rsid w:val="00520337"/>
    <w:rsid w:val="00525412"/>
    <w:rsid w:val="00526088"/>
    <w:rsid w:val="00526B41"/>
    <w:rsid w:val="00532745"/>
    <w:rsid w:val="005343A5"/>
    <w:rsid w:val="00535CF0"/>
    <w:rsid w:val="0054775C"/>
    <w:rsid w:val="005512F3"/>
    <w:rsid w:val="005522E6"/>
    <w:rsid w:val="00556BB6"/>
    <w:rsid w:val="005608E9"/>
    <w:rsid w:val="00561155"/>
    <w:rsid w:val="005640A8"/>
    <w:rsid w:val="00571591"/>
    <w:rsid w:val="00584DF7"/>
    <w:rsid w:val="00595B1E"/>
    <w:rsid w:val="005A1223"/>
    <w:rsid w:val="005A14F8"/>
    <w:rsid w:val="005A3E9A"/>
    <w:rsid w:val="005B0315"/>
    <w:rsid w:val="005B5988"/>
    <w:rsid w:val="005B67F1"/>
    <w:rsid w:val="005C190A"/>
    <w:rsid w:val="005C3122"/>
    <w:rsid w:val="005C6053"/>
    <w:rsid w:val="005C7E22"/>
    <w:rsid w:val="005D31E3"/>
    <w:rsid w:val="005F4FB5"/>
    <w:rsid w:val="005F7124"/>
    <w:rsid w:val="005F773C"/>
    <w:rsid w:val="00601FE4"/>
    <w:rsid w:val="00602715"/>
    <w:rsid w:val="006045F5"/>
    <w:rsid w:val="006156BD"/>
    <w:rsid w:val="00615833"/>
    <w:rsid w:val="00617652"/>
    <w:rsid w:val="00617ACD"/>
    <w:rsid w:val="00620988"/>
    <w:rsid w:val="00621D40"/>
    <w:rsid w:val="00623C6F"/>
    <w:rsid w:val="00633B29"/>
    <w:rsid w:val="0064144A"/>
    <w:rsid w:val="00643818"/>
    <w:rsid w:val="0064659C"/>
    <w:rsid w:val="006572C0"/>
    <w:rsid w:val="00663ECD"/>
    <w:rsid w:val="006665C7"/>
    <w:rsid w:val="00666F9F"/>
    <w:rsid w:val="00667EB1"/>
    <w:rsid w:val="00674DE9"/>
    <w:rsid w:val="00675685"/>
    <w:rsid w:val="00677F44"/>
    <w:rsid w:val="006846CE"/>
    <w:rsid w:val="00687BB2"/>
    <w:rsid w:val="00691378"/>
    <w:rsid w:val="00693BD1"/>
    <w:rsid w:val="00697413"/>
    <w:rsid w:val="006A0036"/>
    <w:rsid w:val="006A0E7A"/>
    <w:rsid w:val="006A1476"/>
    <w:rsid w:val="006A28B4"/>
    <w:rsid w:val="006B2851"/>
    <w:rsid w:val="006B6196"/>
    <w:rsid w:val="006B69E8"/>
    <w:rsid w:val="006C16CA"/>
    <w:rsid w:val="006C32FA"/>
    <w:rsid w:val="006C4094"/>
    <w:rsid w:val="006C5577"/>
    <w:rsid w:val="006E2486"/>
    <w:rsid w:val="006F419C"/>
    <w:rsid w:val="006F63F5"/>
    <w:rsid w:val="006F76C6"/>
    <w:rsid w:val="006F7D4A"/>
    <w:rsid w:val="00722665"/>
    <w:rsid w:val="0072338C"/>
    <w:rsid w:val="0073038C"/>
    <w:rsid w:val="00731B32"/>
    <w:rsid w:val="00733C7F"/>
    <w:rsid w:val="0073732D"/>
    <w:rsid w:val="00743D8C"/>
    <w:rsid w:val="007449A4"/>
    <w:rsid w:val="00746626"/>
    <w:rsid w:val="0075071A"/>
    <w:rsid w:val="0075116A"/>
    <w:rsid w:val="00755619"/>
    <w:rsid w:val="00763335"/>
    <w:rsid w:val="00763E03"/>
    <w:rsid w:val="00765098"/>
    <w:rsid w:val="00766D11"/>
    <w:rsid w:val="00767F88"/>
    <w:rsid w:val="00773035"/>
    <w:rsid w:val="00781359"/>
    <w:rsid w:val="007871C5"/>
    <w:rsid w:val="00790013"/>
    <w:rsid w:val="00792F50"/>
    <w:rsid w:val="00797EE6"/>
    <w:rsid w:val="007A1497"/>
    <w:rsid w:val="007A1543"/>
    <w:rsid w:val="007A330B"/>
    <w:rsid w:val="007A6A42"/>
    <w:rsid w:val="007A7A00"/>
    <w:rsid w:val="007B25E8"/>
    <w:rsid w:val="007B2C03"/>
    <w:rsid w:val="007B444F"/>
    <w:rsid w:val="007C104B"/>
    <w:rsid w:val="007C6213"/>
    <w:rsid w:val="007D7302"/>
    <w:rsid w:val="007E6DC5"/>
    <w:rsid w:val="007F07F2"/>
    <w:rsid w:val="007F0D16"/>
    <w:rsid w:val="007F45C1"/>
    <w:rsid w:val="007F5038"/>
    <w:rsid w:val="007F7B9F"/>
    <w:rsid w:val="008032DB"/>
    <w:rsid w:val="00803893"/>
    <w:rsid w:val="00810D13"/>
    <w:rsid w:val="00811921"/>
    <w:rsid w:val="0082080F"/>
    <w:rsid w:val="00822F9C"/>
    <w:rsid w:val="00826B78"/>
    <w:rsid w:val="008330DA"/>
    <w:rsid w:val="00836378"/>
    <w:rsid w:val="00837FC8"/>
    <w:rsid w:val="00843415"/>
    <w:rsid w:val="008434D5"/>
    <w:rsid w:val="0085176F"/>
    <w:rsid w:val="00856586"/>
    <w:rsid w:val="0087038E"/>
    <w:rsid w:val="00876F90"/>
    <w:rsid w:val="00890B2F"/>
    <w:rsid w:val="00891D70"/>
    <w:rsid w:val="00893B06"/>
    <w:rsid w:val="008A3818"/>
    <w:rsid w:val="008A4811"/>
    <w:rsid w:val="008A6077"/>
    <w:rsid w:val="008C1B67"/>
    <w:rsid w:val="008D590B"/>
    <w:rsid w:val="008E072D"/>
    <w:rsid w:val="008E412C"/>
    <w:rsid w:val="008E44E5"/>
    <w:rsid w:val="008E4D5D"/>
    <w:rsid w:val="008F4EF6"/>
    <w:rsid w:val="0090660D"/>
    <w:rsid w:val="00913400"/>
    <w:rsid w:val="009164A6"/>
    <w:rsid w:val="009222FA"/>
    <w:rsid w:val="00936DD5"/>
    <w:rsid w:val="0094170A"/>
    <w:rsid w:val="00942F66"/>
    <w:rsid w:val="00952281"/>
    <w:rsid w:val="00952435"/>
    <w:rsid w:val="00955732"/>
    <w:rsid w:val="00956F4D"/>
    <w:rsid w:val="00961E14"/>
    <w:rsid w:val="00965737"/>
    <w:rsid w:val="00967A84"/>
    <w:rsid w:val="00970CE7"/>
    <w:rsid w:val="00972B3C"/>
    <w:rsid w:val="0098277B"/>
    <w:rsid w:val="00985435"/>
    <w:rsid w:val="0098583F"/>
    <w:rsid w:val="0098649B"/>
    <w:rsid w:val="00987A94"/>
    <w:rsid w:val="00991117"/>
    <w:rsid w:val="00997306"/>
    <w:rsid w:val="00997B1B"/>
    <w:rsid w:val="009A0EA7"/>
    <w:rsid w:val="009A3203"/>
    <w:rsid w:val="009A74FA"/>
    <w:rsid w:val="009B498F"/>
    <w:rsid w:val="009B49E1"/>
    <w:rsid w:val="009B59AB"/>
    <w:rsid w:val="009B6BF4"/>
    <w:rsid w:val="009C3B85"/>
    <w:rsid w:val="009D3065"/>
    <w:rsid w:val="009D3116"/>
    <w:rsid w:val="009E1C13"/>
    <w:rsid w:val="009E2917"/>
    <w:rsid w:val="009E4D3B"/>
    <w:rsid w:val="009F0330"/>
    <w:rsid w:val="009F3786"/>
    <w:rsid w:val="009F719F"/>
    <w:rsid w:val="00A00226"/>
    <w:rsid w:val="00A0035B"/>
    <w:rsid w:val="00A044F5"/>
    <w:rsid w:val="00A05BFB"/>
    <w:rsid w:val="00A07FBD"/>
    <w:rsid w:val="00A11E69"/>
    <w:rsid w:val="00A15FF6"/>
    <w:rsid w:val="00A22F19"/>
    <w:rsid w:val="00A30E70"/>
    <w:rsid w:val="00A322BF"/>
    <w:rsid w:val="00A40757"/>
    <w:rsid w:val="00A50ECD"/>
    <w:rsid w:val="00A56B36"/>
    <w:rsid w:val="00A61BDF"/>
    <w:rsid w:val="00A6732D"/>
    <w:rsid w:val="00A70B85"/>
    <w:rsid w:val="00A72006"/>
    <w:rsid w:val="00A801A5"/>
    <w:rsid w:val="00A86E8D"/>
    <w:rsid w:val="00A90FD2"/>
    <w:rsid w:val="00A96260"/>
    <w:rsid w:val="00AB4EA8"/>
    <w:rsid w:val="00AB7DD7"/>
    <w:rsid w:val="00AC1625"/>
    <w:rsid w:val="00AC21FB"/>
    <w:rsid w:val="00AC3721"/>
    <w:rsid w:val="00AC6E40"/>
    <w:rsid w:val="00AC7873"/>
    <w:rsid w:val="00AC7BE4"/>
    <w:rsid w:val="00AD1709"/>
    <w:rsid w:val="00AD2176"/>
    <w:rsid w:val="00AD53A1"/>
    <w:rsid w:val="00AD7D76"/>
    <w:rsid w:val="00AE0417"/>
    <w:rsid w:val="00AE6355"/>
    <w:rsid w:val="00AF6CFB"/>
    <w:rsid w:val="00B00DFB"/>
    <w:rsid w:val="00B111ED"/>
    <w:rsid w:val="00B21FDB"/>
    <w:rsid w:val="00B31C27"/>
    <w:rsid w:val="00B401F7"/>
    <w:rsid w:val="00B45448"/>
    <w:rsid w:val="00B510AC"/>
    <w:rsid w:val="00B51CEA"/>
    <w:rsid w:val="00B52B5D"/>
    <w:rsid w:val="00B56E2E"/>
    <w:rsid w:val="00B60CC2"/>
    <w:rsid w:val="00B702A7"/>
    <w:rsid w:val="00B75365"/>
    <w:rsid w:val="00B7694D"/>
    <w:rsid w:val="00B77083"/>
    <w:rsid w:val="00B91624"/>
    <w:rsid w:val="00B97716"/>
    <w:rsid w:val="00BA4217"/>
    <w:rsid w:val="00BC7F7B"/>
    <w:rsid w:val="00BD1A1A"/>
    <w:rsid w:val="00BD4F0E"/>
    <w:rsid w:val="00BE210A"/>
    <w:rsid w:val="00BE3F5D"/>
    <w:rsid w:val="00BF0170"/>
    <w:rsid w:val="00BF2BEF"/>
    <w:rsid w:val="00BF4FCF"/>
    <w:rsid w:val="00BF6DE6"/>
    <w:rsid w:val="00C002B1"/>
    <w:rsid w:val="00C04A8E"/>
    <w:rsid w:val="00C1356C"/>
    <w:rsid w:val="00C239F0"/>
    <w:rsid w:val="00C31E98"/>
    <w:rsid w:val="00C41A44"/>
    <w:rsid w:val="00C462F7"/>
    <w:rsid w:val="00C53328"/>
    <w:rsid w:val="00C53E13"/>
    <w:rsid w:val="00C56046"/>
    <w:rsid w:val="00C6288C"/>
    <w:rsid w:val="00C63335"/>
    <w:rsid w:val="00C63507"/>
    <w:rsid w:val="00C63962"/>
    <w:rsid w:val="00C711F1"/>
    <w:rsid w:val="00C71F2F"/>
    <w:rsid w:val="00C96B81"/>
    <w:rsid w:val="00C96CC7"/>
    <w:rsid w:val="00CA44F7"/>
    <w:rsid w:val="00CA7851"/>
    <w:rsid w:val="00CB449B"/>
    <w:rsid w:val="00CB4BD9"/>
    <w:rsid w:val="00CB5545"/>
    <w:rsid w:val="00CB6648"/>
    <w:rsid w:val="00CB7B65"/>
    <w:rsid w:val="00CD14A3"/>
    <w:rsid w:val="00CE008D"/>
    <w:rsid w:val="00CE0503"/>
    <w:rsid w:val="00CE1EDC"/>
    <w:rsid w:val="00CE1FCA"/>
    <w:rsid w:val="00CE2507"/>
    <w:rsid w:val="00CF04BD"/>
    <w:rsid w:val="00CF25C0"/>
    <w:rsid w:val="00D0273B"/>
    <w:rsid w:val="00D13E61"/>
    <w:rsid w:val="00D16E90"/>
    <w:rsid w:val="00D22AD8"/>
    <w:rsid w:val="00D27664"/>
    <w:rsid w:val="00D340BA"/>
    <w:rsid w:val="00D34897"/>
    <w:rsid w:val="00D35549"/>
    <w:rsid w:val="00D36792"/>
    <w:rsid w:val="00D428EC"/>
    <w:rsid w:val="00D541AA"/>
    <w:rsid w:val="00D55513"/>
    <w:rsid w:val="00D724F0"/>
    <w:rsid w:val="00D823EB"/>
    <w:rsid w:val="00D841DC"/>
    <w:rsid w:val="00D84488"/>
    <w:rsid w:val="00D940F6"/>
    <w:rsid w:val="00DA3876"/>
    <w:rsid w:val="00DA5AC1"/>
    <w:rsid w:val="00DA7BD0"/>
    <w:rsid w:val="00DB4B20"/>
    <w:rsid w:val="00DB4B79"/>
    <w:rsid w:val="00DC15E3"/>
    <w:rsid w:val="00DC3C36"/>
    <w:rsid w:val="00DC5EE8"/>
    <w:rsid w:val="00DD2644"/>
    <w:rsid w:val="00DD454E"/>
    <w:rsid w:val="00DD5F28"/>
    <w:rsid w:val="00DE28B9"/>
    <w:rsid w:val="00DF1763"/>
    <w:rsid w:val="00E13BBC"/>
    <w:rsid w:val="00E21877"/>
    <w:rsid w:val="00E30145"/>
    <w:rsid w:val="00E33675"/>
    <w:rsid w:val="00E35348"/>
    <w:rsid w:val="00E35C24"/>
    <w:rsid w:val="00E371C6"/>
    <w:rsid w:val="00E37365"/>
    <w:rsid w:val="00E54370"/>
    <w:rsid w:val="00E6054A"/>
    <w:rsid w:val="00E622EB"/>
    <w:rsid w:val="00E6774E"/>
    <w:rsid w:val="00E71987"/>
    <w:rsid w:val="00E71C25"/>
    <w:rsid w:val="00E77482"/>
    <w:rsid w:val="00E805AF"/>
    <w:rsid w:val="00E87C86"/>
    <w:rsid w:val="00E92171"/>
    <w:rsid w:val="00EA697E"/>
    <w:rsid w:val="00EB2B06"/>
    <w:rsid w:val="00EB63E4"/>
    <w:rsid w:val="00EC098D"/>
    <w:rsid w:val="00ED7717"/>
    <w:rsid w:val="00EE07D9"/>
    <w:rsid w:val="00EE10E5"/>
    <w:rsid w:val="00EE490D"/>
    <w:rsid w:val="00EF10A2"/>
    <w:rsid w:val="00EF14EC"/>
    <w:rsid w:val="00EF2305"/>
    <w:rsid w:val="00F0047E"/>
    <w:rsid w:val="00F132B0"/>
    <w:rsid w:val="00F25956"/>
    <w:rsid w:val="00F32303"/>
    <w:rsid w:val="00F354BD"/>
    <w:rsid w:val="00F41CF1"/>
    <w:rsid w:val="00F43A4E"/>
    <w:rsid w:val="00F469D3"/>
    <w:rsid w:val="00F520A7"/>
    <w:rsid w:val="00F52205"/>
    <w:rsid w:val="00F53F31"/>
    <w:rsid w:val="00F55326"/>
    <w:rsid w:val="00F5659C"/>
    <w:rsid w:val="00F602A7"/>
    <w:rsid w:val="00F62C8F"/>
    <w:rsid w:val="00F7047D"/>
    <w:rsid w:val="00F72E00"/>
    <w:rsid w:val="00F840E6"/>
    <w:rsid w:val="00F845C5"/>
    <w:rsid w:val="00F85097"/>
    <w:rsid w:val="00F94617"/>
    <w:rsid w:val="00FA11A4"/>
    <w:rsid w:val="00FA192B"/>
    <w:rsid w:val="00FA3592"/>
    <w:rsid w:val="00FB4A1F"/>
    <w:rsid w:val="00FC3EC8"/>
    <w:rsid w:val="00FC4446"/>
    <w:rsid w:val="00FC49ED"/>
    <w:rsid w:val="00FD0ADC"/>
    <w:rsid w:val="00FD0C4D"/>
    <w:rsid w:val="00FD3310"/>
    <w:rsid w:val="00FD46E1"/>
    <w:rsid w:val="00FD66E8"/>
    <w:rsid w:val="00FE0215"/>
    <w:rsid w:val="00FE3000"/>
    <w:rsid w:val="00FF11DB"/>
    <w:rsid w:val="00FF5A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3E6EBFF0"/>
  <w15:docId w15:val="{C8257B87-78A0-4ED1-81FD-2E7B9E5D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sz w:val="24"/>
      <w:szCs w:val="24"/>
      <w:lang w:eastAsia="ar-SA"/>
    </w:rPr>
  </w:style>
  <w:style w:type="paragraph" w:styleId="Heading1">
    <w:name w:val="heading 1"/>
    <w:basedOn w:val="Normal"/>
    <w:next w:val="BodyText"/>
    <w:qFormat/>
    <w:pPr>
      <w:keepNext/>
      <w:numPr>
        <w:numId w:val="1"/>
      </w:numPr>
      <w:spacing w:before="240" w:after="60"/>
      <w:outlineLvl w:val="0"/>
    </w:pPr>
    <w:rPr>
      <w:rFonts w:ascii="Cambria" w:hAnsi="Cambria" w:cs="Cambria"/>
      <w:b/>
      <w:bCs/>
      <w:sz w:val="32"/>
      <w:szCs w:val="32"/>
    </w:rPr>
  </w:style>
  <w:style w:type="paragraph" w:styleId="Heading2">
    <w:name w:val="heading 2"/>
    <w:basedOn w:val="Normal"/>
    <w:next w:val="BodyText"/>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2">
    <w:name w:val="WW8Num3z2"/>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Calibri" w:hAnsi="Calibri" w:cs="font29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font290"/>
    </w:rPr>
  </w:style>
  <w:style w:type="character" w:customStyle="1" w:styleId="Heading1Char">
    <w:name w:val="Heading 1 Char"/>
    <w:basedOn w:val="DefaultParagraphFont"/>
  </w:style>
  <w:style w:type="character" w:customStyle="1" w:styleId="Heading2Char">
    <w:name w:val="Heading 2 Char"/>
    <w:basedOn w:val="DefaultParagraphFont"/>
  </w:style>
  <w:style w:type="character" w:styleId="Strong">
    <w:name w:val="Strong"/>
    <w:qFormat/>
    <w:rPr>
      <w:b/>
      <w:bCs/>
    </w:rPr>
  </w:style>
  <w:style w:type="character" w:styleId="SubtleEmphasis">
    <w:name w:val="Subtle Emphasis"/>
    <w:basedOn w:val="DefaultParagraphFont"/>
    <w:qFormat/>
  </w:style>
  <w:style w:type="character" w:styleId="IntenseEmphasis">
    <w:name w:val="Intense Emphasis"/>
    <w:basedOn w:val="DefaultParagraphFont"/>
    <w:qFormat/>
  </w:style>
  <w:style w:type="character" w:styleId="SubtleReference">
    <w:name w:val="Subtle Reference"/>
    <w:basedOn w:val="DefaultParagraphFont"/>
    <w:qFormat/>
  </w:style>
  <w:style w:type="character" w:customStyle="1" w:styleId="BodyTextIndentChar">
    <w:name w:val="Body Text Indent Char"/>
    <w:basedOn w:val="DefaultParagraphFont"/>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PlaceholderText">
    <w:name w:val="Placeholder Text"/>
    <w:basedOn w:val="DefaultParagraphFont"/>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style>
  <w:style w:type="paragraph" w:styleId="ListParagraph">
    <w:name w:val="List Paragraph"/>
    <w:basedOn w:val="Normal"/>
    <w:qFormat/>
  </w:style>
  <w:style w:type="paragraph" w:styleId="BodyTextIndent">
    <w:name w:val="Body Text Indent"/>
    <w:basedOn w:val="Normal"/>
    <w:pPr>
      <w:tabs>
        <w:tab w:val="left" w:pos="450"/>
      </w:tabs>
      <w:ind w:left="810" w:hanging="810"/>
    </w:pPr>
    <w:rPr>
      <w:szCs w:val="20"/>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BalloonText">
    <w:name w:val="Balloon Text"/>
    <w:basedOn w:val="Normal"/>
  </w:style>
  <w:style w:type="paragraph" w:customStyle="1" w:styleId="Instructions">
    <w:name w:val="Instruction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AD53A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08BE"/>
    <w:rPr>
      <w:sz w:val="16"/>
      <w:szCs w:val="16"/>
    </w:rPr>
  </w:style>
  <w:style w:type="paragraph" w:styleId="CommentText">
    <w:name w:val="annotation text"/>
    <w:basedOn w:val="Normal"/>
    <w:link w:val="CommentTextChar"/>
    <w:uiPriority w:val="99"/>
    <w:unhideWhenUsed/>
    <w:rsid w:val="002C08BE"/>
    <w:rPr>
      <w:sz w:val="20"/>
      <w:szCs w:val="20"/>
    </w:rPr>
  </w:style>
  <w:style w:type="character" w:customStyle="1" w:styleId="CommentTextChar">
    <w:name w:val="Comment Text Char"/>
    <w:link w:val="CommentText"/>
    <w:uiPriority w:val="99"/>
    <w:rsid w:val="002C08BE"/>
    <w:rPr>
      <w:kern w:val="1"/>
      <w:lang w:eastAsia="ar-SA"/>
    </w:rPr>
  </w:style>
  <w:style w:type="paragraph" w:styleId="CommentSubject">
    <w:name w:val="annotation subject"/>
    <w:basedOn w:val="CommentText"/>
    <w:next w:val="CommentText"/>
    <w:link w:val="CommentSubjectChar"/>
    <w:uiPriority w:val="99"/>
    <w:semiHidden/>
    <w:unhideWhenUsed/>
    <w:rsid w:val="002C08BE"/>
    <w:rPr>
      <w:b/>
      <w:bCs/>
    </w:rPr>
  </w:style>
  <w:style w:type="character" w:customStyle="1" w:styleId="CommentSubjectChar">
    <w:name w:val="Comment Subject Char"/>
    <w:link w:val="CommentSubject"/>
    <w:uiPriority w:val="99"/>
    <w:semiHidden/>
    <w:rsid w:val="002C08BE"/>
    <w:rPr>
      <w:b/>
      <w:bCs/>
      <w:kern w:val="1"/>
      <w:lang w:eastAsia="ar-SA"/>
    </w:rPr>
  </w:style>
  <w:style w:type="paragraph" w:styleId="Revision">
    <w:name w:val="Revision"/>
    <w:hidden/>
    <w:uiPriority w:val="99"/>
    <w:semiHidden/>
    <w:rsid w:val="00972B3C"/>
    <w:rPr>
      <w:kern w:val="1"/>
      <w:sz w:val="24"/>
      <w:szCs w:val="24"/>
      <w:lang w:eastAsia="ar-SA"/>
    </w:rPr>
  </w:style>
  <w:style w:type="paragraph" w:styleId="NormalWeb">
    <w:name w:val="Normal (Web)"/>
    <w:basedOn w:val="Normal"/>
    <w:uiPriority w:val="99"/>
    <w:semiHidden/>
    <w:unhideWhenUsed/>
    <w:rsid w:val="00666F9F"/>
  </w:style>
  <w:style w:type="character" w:styleId="UnresolvedMention">
    <w:name w:val="Unresolved Mention"/>
    <w:basedOn w:val="DefaultParagraphFont"/>
    <w:uiPriority w:val="99"/>
    <w:semiHidden/>
    <w:unhideWhenUsed/>
    <w:rsid w:val="00AF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11011.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2/11/28/2022-25785/data-collection-available-for-public-comments" TargetMode="External" /><Relationship Id="rId9" Type="http://schemas.openxmlformats.org/officeDocument/2006/relationships/hyperlink" Target="https://www.govinfo.gov/content/pkg/FR-2019-09-05/pdf/2019-191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9A6AF6-E48E-40BB-A426-3139E4D6BFD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7" ma:contentTypeDescription="Create a new document." ma:contentTypeScope="" ma:versionID="f16691c263ad211019b36928c724cdea">
  <xsd:schema xmlns:xsd="http://www.w3.org/2001/XMLSchema" xmlns:xs="http://www.w3.org/2001/XMLSchema" xmlns:p="http://schemas.microsoft.com/office/2006/metadata/properties" xmlns:ns3="0d901001-692d-4413-8712-4f02d67fbc31" targetNamespace="http://schemas.microsoft.com/office/2006/metadata/properties" ma:root="true" ma:fieldsID="e63e7e29441d5be335132bd0d3308d44" ns3:_="">
    <xsd:import namespace="0d901001-692d-4413-8712-4f02d67fbc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41815-B6BA-4424-B456-987E159CED4C}">
  <ds:schemaRefs>
    <ds:schemaRef ds:uri="http://schemas.microsoft.com/sharepoint/v3/contenttype/forms"/>
  </ds:schemaRefs>
</ds:datastoreItem>
</file>

<file path=customXml/itemProps2.xml><?xml version="1.0" encoding="utf-8"?>
<ds:datastoreItem xmlns:ds="http://schemas.openxmlformats.org/officeDocument/2006/customXml" ds:itemID="{30F8DF20-B7B4-416D-A597-24818CE35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56031-3510-4DBD-99AB-DD69A7379D4B}">
  <ds:schemaRefs>
    <ds:schemaRef ds:uri="http://schemas.openxmlformats.org/officeDocument/2006/bibliography"/>
  </ds:schemaRefs>
</ds:datastoreItem>
</file>

<file path=customXml/itemProps4.xml><?xml version="1.0" encoding="utf-8"?>
<ds:datastoreItem xmlns:ds="http://schemas.openxmlformats.org/officeDocument/2006/customXml" ds:itemID="{593F04BA-DADD-4FE7-A4DB-0B3A34C6A2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Louis.Cupp@sba.gov</dc:creator>
  <cp:lastModifiedBy>Rich, Curtis B.</cp:lastModifiedBy>
  <cp:revision>2</cp:revision>
  <cp:lastPrinted>2023-06-13T07:32:00Z</cp:lastPrinted>
  <dcterms:created xsi:type="dcterms:W3CDTF">2023-08-08T14:51:00Z</dcterms:created>
  <dcterms:modified xsi:type="dcterms:W3CDTF">2023-08-08T14:51:00Z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0x0101006BC31C2496CB454F9CC6EC44003A6E3A</vt:lpwstr>
  </property>
</Properties>
</file>