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A0F2D" w14:paraId="54CDBABA" w14:textId="0F925751">
      <w:pPr>
        <w:pStyle w:val="BodyText"/>
        <w:rPr>
          <w:sz w:val="14"/>
        </w:rPr>
      </w:pPr>
      <w:r>
        <w:rPr>
          <w:noProof/>
          <w:sz w:val="14"/>
        </w:rPr>
        <w:drawing>
          <wp:inline distT="0" distB="0" distL="0" distR="0">
            <wp:extent cx="885825" cy="7331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9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87180" cy="734277"/>
                    </a:xfrm>
                    <a:prstGeom prst="rect">
                      <a:avLst/>
                    </a:prstGeom>
                    <a:noFill/>
                  </pic:spPr>
                </pic:pic>
              </a:graphicData>
            </a:graphic>
          </wp:inline>
        </w:drawing>
      </w:r>
    </w:p>
    <w:p w:rsidR="000A0F2D" w14:paraId="73814989" w14:textId="4DA215C1">
      <w:pPr>
        <w:pStyle w:val="BodyText"/>
        <w:ind w:left="180"/>
        <w:rPr>
          <w:sz w:val="20"/>
        </w:rPr>
      </w:pPr>
    </w:p>
    <w:p w:rsidR="000A0F2D" w14:paraId="41EEF00D" w14:textId="77777777">
      <w:pPr>
        <w:pStyle w:val="BodyText"/>
        <w:spacing w:before="3"/>
        <w:rPr>
          <w:sz w:val="26"/>
        </w:rPr>
      </w:pPr>
    </w:p>
    <w:p w:rsidR="000A0F2D" w14:paraId="067BF021" w14:textId="77777777">
      <w:pPr>
        <w:ind w:left="100" w:right="675"/>
        <w:rPr>
          <w:b/>
          <w:sz w:val="20"/>
        </w:rPr>
      </w:pPr>
      <w:r>
        <w:rPr>
          <w:b/>
          <w:sz w:val="20"/>
        </w:rPr>
        <w:t>United States</w:t>
      </w:r>
      <w:r>
        <w:rPr>
          <w:b/>
          <w:spacing w:val="1"/>
          <w:sz w:val="20"/>
        </w:rPr>
        <w:t xml:space="preserve"> </w:t>
      </w:r>
      <w:r>
        <w:rPr>
          <w:b/>
          <w:spacing w:val="-1"/>
          <w:sz w:val="20"/>
        </w:rPr>
        <w:t xml:space="preserve">Department </w:t>
      </w:r>
      <w:r>
        <w:rPr>
          <w:b/>
          <w:sz w:val="20"/>
        </w:rPr>
        <w:t>of</w:t>
      </w:r>
      <w:r>
        <w:rPr>
          <w:b/>
          <w:spacing w:val="-47"/>
          <w:sz w:val="20"/>
        </w:rPr>
        <w:t xml:space="preserve"> </w:t>
      </w:r>
      <w:r>
        <w:rPr>
          <w:b/>
          <w:sz w:val="20"/>
        </w:rPr>
        <w:t>Agriculture</w:t>
      </w:r>
    </w:p>
    <w:p w:rsidR="000A0F2D" w14:paraId="5BB7C773" w14:textId="1E824E8A">
      <w:pPr>
        <w:pStyle w:val="BodyText"/>
        <w:spacing w:before="2"/>
        <w:rPr>
          <w:b/>
          <w:sz w:val="18"/>
        </w:rPr>
      </w:pPr>
    </w:p>
    <w:p w:rsidR="000A0F2D" w14:paraId="346B8016" w14:textId="4F5E73F6">
      <w:pPr>
        <w:pStyle w:val="BodyText"/>
        <w:spacing w:before="6"/>
        <w:rPr>
          <w:b/>
          <w:sz w:val="20"/>
        </w:rPr>
      </w:pPr>
      <w:r>
        <w:rPr>
          <w:b/>
          <w:noProof/>
          <w:sz w:val="20"/>
        </w:rPr>
        <w:drawing>
          <wp:inline distT="0" distB="0" distL="0" distR="0">
            <wp:extent cx="885825" cy="885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85825" cy="885825"/>
                    </a:xfrm>
                    <a:prstGeom prst="rect">
                      <a:avLst/>
                    </a:prstGeom>
                    <a:noFill/>
                    <a:ln>
                      <a:noFill/>
                    </a:ln>
                  </pic:spPr>
                </pic:pic>
              </a:graphicData>
            </a:graphic>
          </wp:inline>
        </w:drawing>
      </w:r>
    </w:p>
    <w:p w:rsidR="004D71D4" w14:paraId="75937DE7" w14:textId="77777777">
      <w:pPr>
        <w:pStyle w:val="BodyText"/>
        <w:spacing w:before="6"/>
        <w:rPr>
          <w:b/>
          <w:sz w:val="20"/>
        </w:rPr>
      </w:pPr>
    </w:p>
    <w:p w:rsidR="000A0F2D" w14:paraId="1B1DA8C2" w14:textId="611193DB">
      <w:pPr>
        <w:ind w:left="150" w:right="797"/>
        <w:rPr>
          <w:b/>
          <w:sz w:val="20"/>
        </w:rPr>
      </w:pPr>
      <w:r>
        <w:rPr>
          <w:b/>
          <w:sz w:val="20"/>
        </w:rPr>
        <w:t>National</w:t>
      </w:r>
      <w:r>
        <w:rPr>
          <w:b/>
          <w:spacing w:val="1"/>
          <w:sz w:val="20"/>
        </w:rPr>
        <w:t xml:space="preserve"> </w:t>
      </w:r>
      <w:r>
        <w:rPr>
          <w:b/>
          <w:sz w:val="20"/>
        </w:rPr>
        <w:t>Agricultural</w:t>
      </w:r>
      <w:r>
        <w:rPr>
          <w:b/>
          <w:spacing w:val="-48"/>
          <w:sz w:val="20"/>
        </w:rPr>
        <w:t xml:space="preserve"> </w:t>
      </w:r>
      <w:r>
        <w:rPr>
          <w:b/>
          <w:sz w:val="20"/>
        </w:rPr>
        <w:t>Statistics</w:t>
      </w:r>
      <w:r>
        <w:rPr>
          <w:b/>
          <w:spacing w:val="1"/>
          <w:sz w:val="20"/>
        </w:rPr>
        <w:t xml:space="preserve"> </w:t>
      </w:r>
      <w:r>
        <w:rPr>
          <w:b/>
          <w:sz w:val="20"/>
        </w:rPr>
        <w:t>Service</w:t>
      </w:r>
    </w:p>
    <w:p w:rsidR="000A0F2D" w:rsidP="0083529A" w14:paraId="10F1188D" w14:textId="5EE7A2D8">
      <w:pPr>
        <w:pStyle w:val="Title"/>
        <w:spacing w:before="60"/>
      </w:pPr>
      <w:r>
        <w:rPr>
          <w:b w:val="0"/>
        </w:rPr>
        <w:br w:type="column"/>
      </w:r>
      <w:bookmarkStart w:id="0" w:name="_Hlk102110612"/>
      <w:r w:rsidRPr="00DD665F" w:rsidR="00DD665F">
        <w:rPr>
          <w:bCs w:val="0"/>
        </w:rPr>
        <w:t>Reassessing</w:t>
      </w:r>
      <w:r w:rsidR="00DD665F">
        <w:rPr>
          <w:b w:val="0"/>
        </w:rPr>
        <w:t xml:space="preserve"> N</w:t>
      </w:r>
      <w:r w:rsidR="0083529A">
        <w:t>onr</w:t>
      </w:r>
      <w:r>
        <w:t>esponse</w:t>
      </w:r>
      <w:r>
        <w:rPr>
          <w:spacing w:val="-7"/>
        </w:rPr>
        <w:t xml:space="preserve"> </w:t>
      </w:r>
      <w:r>
        <w:t>Bias</w:t>
      </w:r>
      <w:r w:rsidR="00DD665F">
        <w:t xml:space="preserve"> and Calibration in 2020 ARMS Phase III</w:t>
      </w:r>
      <w:bookmarkEnd w:id="0"/>
    </w:p>
    <w:p w:rsidR="000A0F2D" w14:paraId="0C479013" w14:textId="77777777">
      <w:pPr>
        <w:pStyle w:val="BodyText"/>
        <w:spacing w:before="2"/>
        <w:rPr>
          <w:b/>
          <w:sz w:val="51"/>
        </w:rPr>
      </w:pPr>
    </w:p>
    <w:p w:rsidR="000A0F2D" w:rsidRPr="00FB0BED" w14:paraId="306EDAE1" w14:textId="7CCB5B23">
      <w:pPr>
        <w:ind w:left="100" w:right="3329"/>
        <w:rPr>
          <w:sz w:val="36"/>
          <w:vertAlign w:val="superscript"/>
        </w:rPr>
      </w:pPr>
      <w:r>
        <w:rPr>
          <w:sz w:val="36"/>
        </w:rPr>
        <w:t>Fatou Thiam</w:t>
      </w:r>
    </w:p>
    <w:p w:rsidR="000A0F2D" w14:paraId="27CFC980" w14:textId="77777777">
      <w:pPr>
        <w:rPr>
          <w:sz w:val="36"/>
        </w:rPr>
        <w:sectPr>
          <w:footerReference w:type="default" r:id="rId11"/>
          <w:type w:val="continuous"/>
          <w:pgSz w:w="12240" w:h="15840"/>
          <w:pgMar w:top="1380" w:right="1580" w:bottom="280" w:left="1340" w:header="0" w:footer="0" w:gutter="0"/>
          <w:pgNumType w:start="5"/>
          <w:cols w:num="2" w:space="720" w:equalWidth="0">
            <w:col w:w="2034" w:space="1327"/>
            <w:col w:w="5959"/>
          </w:cols>
        </w:sectPr>
      </w:pPr>
    </w:p>
    <w:p w:rsidR="000A0F2D" w14:paraId="6971EC38" w14:textId="77777777">
      <w:pPr>
        <w:pStyle w:val="BodyText"/>
        <w:rPr>
          <w:sz w:val="20"/>
        </w:rPr>
      </w:pPr>
    </w:p>
    <w:p w:rsidR="004D71D4" w:rsidRPr="004D71D4" w:rsidP="004D71D4" w14:paraId="14ADA74F" w14:textId="77777777">
      <w:pPr>
        <w:pStyle w:val="BodyText"/>
        <w:spacing w:before="7"/>
        <w:rPr>
          <w:b/>
        </w:rPr>
      </w:pPr>
    </w:p>
    <w:p w:rsidR="004D71D4" w:rsidRPr="004D71D4" w:rsidP="004D71D4" w14:paraId="417F18C2" w14:textId="5D8CF5F9">
      <w:pPr>
        <w:ind w:left="150" w:right="35"/>
        <w:rPr>
          <w:spacing w:val="-47"/>
          <w:sz w:val="24"/>
          <w:szCs w:val="24"/>
        </w:rPr>
      </w:pPr>
      <w:r w:rsidRPr="004D71D4">
        <w:rPr>
          <w:sz w:val="24"/>
          <w:szCs w:val="24"/>
        </w:rPr>
        <w:t>Methodology Division</w:t>
      </w:r>
    </w:p>
    <w:p w:rsidR="004D71D4" w:rsidRPr="004D71D4" w:rsidP="004D71D4" w14:paraId="42C2CC5C" w14:textId="241D0E8B">
      <w:pPr>
        <w:ind w:left="150" w:right="35"/>
        <w:rPr>
          <w:sz w:val="24"/>
          <w:szCs w:val="24"/>
        </w:rPr>
      </w:pPr>
      <w:r w:rsidRPr="004D71D4">
        <w:rPr>
          <w:sz w:val="24"/>
          <w:szCs w:val="24"/>
        </w:rPr>
        <w:t>Washington, DC</w:t>
      </w:r>
      <w:r w:rsidRPr="004D71D4">
        <w:rPr>
          <w:spacing w:val="-8"/>
          <w:sz w:val="24"/>
          <w:szCs w:val="24"/>
        </w:rPr>
        <w:t xml:space="preserve"> </w:t>
      </w:r>
      <w:r w:rsidRPr="004D71D4">
        <w:rPr>
          <w:sz w:val="24"/>
          <w:szCs w:val="24"/>
        </w:rPr>
        <w:t>20250</w:t>
      </w:r>
    </w:p>
    <w:p w:rsidR="004D71D4" w:rsidRPr="004D71D4" w:rsidP="004D71D4" w14:paraId="4626AAE1" w14:textId="77777777">
      <w:pPr>
        <w:pStyle w:val="BodyText"/>
        <w:spacing w:before="11"/>
      </w:pPr>
    </w:p>
    <w:p w:rsidR="004D71D4" w:rsidRPr="004D71D4" w:rsidP="004D71D4" w14:paraId="54766230" w14:textId="630F67E4">
      <w:pPr>
        <w:ind w:left="150"/>
        <w:rPr>
          <w:sz w:val="24"/>
          <w:szCs w:val="24"/>
        </w:rPr>
      </w:pPr>
      <w:r w:rsidRPr="004D71D4">
        <w:rPr>
          <w:sz w:val="24"/>
          <w:szCs w:val="24"/>
        </w:rPr>
        <w:t>July 2022</w:t>
      </w:r>
    </w:p>
    <w:p w:rsidR="000A0F2D" w:rsidRPr="004D71D4" w14:paraId="52800D70" w14:textId="77777777">
      <w:pPr>
        <w:pStyle w:val="BodyText"/>
        <w:rPr>
          <w:sz w:val="28"/>
          <w:szCs w:val="28"/>
        </w:rPr>
      </w:pPr>
    </w:p>
    <w:p w:rsidR="000A0F2D" w14:paraId="15906D83" w14:textId="77777777">
      <w:pPr>
        <w:pStyle w:val="BodyText"/>
        <w:rPr>
          <w:sz w:val="20"/>
        </w:rPr>
      </w:pPr>
    </w:p>
    <w:p w:rsidR="000A0F2D" w14:paraId="60C5FCAD" w14:textId="77777777">
      <w:pPr>
        <w:pStyle w:val="BodyText"/>
        <w:rPr>
          <w:sz w:val="20"/>
        </w:rPr>
      </w:pPr>
    </w:p>
    <w:p w:rsidR="000A0F2D" w14:paraId="267B5AA2" w14:textId="77777777">
      <w:pPr>
        <w:pStyle w:val="BodyText"/>
        <w:rPr>
          <w:sz w:val="20"/>
        </w:rPr>
      </w:pPr>
    </w:p>
    <w:p w:rsidR="004D71D4" w14:paraId="1C8EA5F9" w14:textId="77777777">
      <w:pPr>
        <w:pStyle w:val="BodyText"/>
        <w:rPr>
          <w:noProof/>
          <w:sz w:val="20"/>
        </w:rPr>
      </w:pPr>
    </w:p>
    <w:p w:rsidR="004D71D4" w14:paraId="1721FE3B" w14:textId="77777777">
      <w:pPr>
        <w:pStyle w:val="BodyText"/>
        <w:rPr>
          <w:noProof/>
          <w:sz w:val="20"/>
        </w:rPr>
      </w:pPr>
    </w:p>
    <w:p w:rsidR="000A0F2D" w14:paraId="6550ADE6" w14:textId="7C2C7711">
      <w:pPr>
        <w:pStyle w:val="BodyText"/>
        <w:rPr>
          <w:sz w:val="20"/>
        </w:rPr>
      </w:pPr>
    </w:p>
    <w:p w:rsidR="000A0F2D" w14:paraId="632C4178" w14:textId="77777777">
      <w:pPr>
        <w:pStyle w:val="BodyText"/>
        <w:rPr>
          <w:sz w:val="20"/>
        </w:rPr>
      </w:pPr>
    </w:p>
    <w:p w:rsidR="000A0F2D" w14:paraId="33D88E88" w14:textId="77777777">
      <w:pPr>
        <w:pStyle w:val="BodyText"/>
        <w:rPr>
          <w:sz w:val="20"/>
        </w:rPr>
      </w:pPr>
    </w:p>
    <w:p w:rsidR="000A0F2D" w14:paraId="15E0CD80" w14:textId="77777777">
      <w:pPr>
        <w:pStyle w:val="BodyText"/>
        <w:rPr>
          <w:sz w:val="20"/>
        </w:rPr>
      </w:pPr>
    </w:p>
    <w:p w:rsidR="000A0F2D" w14:paraId="6C387606" w14:textId="77777777">
      <w:pPr>
        <w:pStyle w:val="BodyText"/>
        <w:rPr>
          <w:sz w:val="20"/>
        </w:rPr>
      </w:pPr>
    </w:p>
    <w:p w:rsidR="000A0F2D" w14:paraId="4D14ABCE" w14:textId="77777777">
      <w:pPr>
        <w:pStyle w:val="BodyText"/>
        <w:rPr>
          <w:sz w:val="20"/>
        </w:rPr>
      </w:pPr>
    </w:p>
    <w:p w:rsidR="000A0F2D" w14:paraId="2D0FDFC5" w14:textId="77777777">
      <w:pPr>
        <w:pStyle w:val="BodyText"/>
        <w:rPr>
          <w:sz w:val="20"/>
        </w:rPr>
      </w:pPr>
    </w:p>
    <w:p w:rsidR="000A0F2D" w14:paraId="55084B8D" w14:textId="77777777">
      <w:pPr>
        <w:pStyle w:val="BodyText"/>
        <w:rPr>
          <w:sz w:val="20"/>
        </w:rPr>
      </w:pPr>
    </w:p>
    <w:p w:rsidR="000A0F2D" w14:paraId="3A4748E6" w14:textId="77777777">
      <w:pPr>
        <w:pStyle w:val="BodyText"/>
        <w:rPr>
          <w:sz w:val="20"/>
        </w:rPr>
      </w:pPr>
    </w:p>
    <w:p w:rsidR="000A0F2D" w14:paraId="5BC46FE0" w14:textId="77777777">
      <w:pPr>
        <w:pStyle w:val="BodyText"/>
        <w:rPr>
          <w:sz w:val="20"/>
        </w:rPr>
      </w:pPr>
    </w:p>
    <w:p w:rsidR="000A0F2D" w14:paraId="1A04D9CA" w14:textId="77777777">
      <w:pPr>
        <w:pStyle w:val="BodyText"/>
        <w:rPr>
          <w:sz w:val="20"/>
        </w:rPr>
      </w:pPr>
    </w:p>
    <w:p w:rsidR="000A0F2D" w14:paraId="4723E60F" w14:textId="77777777">
      <w:pPr>
        <w:pStyle w:val="BodyText"/>
        <w:rPr>
          <w:sz w:val="20"/>
        </w:rPr>
      </w:pPr>
    </w:p>
    <w:p w:rsidR="000A0F2D" w14:paraId="473DB8D2" w14:textId="77777777">
      <w:pPr>
        <w:pStyle w:val="BodyText"/>
        <w:rPr>
          <w:sz w:val="20"/>
        </w:rPr>
      </w:pPr>
    </w:p>
    <w:p w:rsidR="000A0F2D" w14:paraId="25E8354B" w14:textId="77777777">
      <w:pPr>
        <w:pStyle w:val="BodyText"/>
        <w:rPr>
          <w:sz w:val="20"/>
        </w:rPr>
      </w:pPr>
    </w:p>
    <w:p w:rsidR="000A0F2D" w14:paraId="58515264" w14:textId="77777777">
      <w:pPr>
        <w:pStyle w:val="BodyText"/>
        <w:rPr>
          <w:sz w:val="20"/>
        </w:rPr>
      </w:pPr>
    </w:p>
    <w:p w:rsidR="000A0F2D" w14:paraId="42D29F7E" w14:textId="77777777">
      <w:pPr>
        <w:pStyle w:val="BodyText"/>
        <w:rPr>
          <w:sz w:val="20"/>
        </w:rPr>
      </w:pPr>
    </w:p>
    <w:p w:rsidR="000A0F2D" w14:paraId="253D8475" w14:textId="77777777">
      <w:pPr>
        <w:pStyle w:val="BodyText"/>
        <w:rPr>
          <w:sz w:val="20"/>
        </w:rPr>
      </w:pPr>
    </w:p>
    <w:p w:rsidR="000A0F2D" w14:paraId="440F549F" w14:textId="77777777">
      <w:pPr>
        <w:pStyle w:val="BodyText"/>
        <w:rPr>
          <w:sz w:val="20"/>
        </w:rPr>
      </w:pPr>
    </w:p>
    <w:p w:rsidR="000A0F2D" w14:paraId="1B2E229E" w14:textId="77777777">
      <w:pPr>
        <w:pStyle w:val="BodyText"/>
        <w:rPr>
          <w:sz w:val="20"/>
        </w:rPr>
      </w:pPr>
    </w:p>
    <w:p w:rsidR="000A0F2D" w14:paraId="53F2CC7B" w14:textId="77777777">
      <w:pPr>
        <w:pStyle w:val="BodyText"/>
        <w:rPr>
          <w:sz w:val="20"/>
        </w:rPr>
      </w:pPr>
    </w:p>
    <w:p w:rsidR="000A0F2D" w14:paraId="249B76A8" w14:textId="77777777">
      <w:pPr>
        <w:pStyle w:val="BodyText"/>
        <w:spacing w:before="1"/>
        <w:rPr>
          <w:sz w:val="14"/>
        </w:rPr>
      </w:pPr>
    </w:p>
    <w:p w:rsidR="000A0F2D" w14:paraId="7B23DB0D" w14:textId="77777777">
      <w:pPr>
        <w:pStyle w:val="BodyText"/>
        <w:ind w:left="337"/>
        <w:rPr>
          <w:sz w:val="20"/>
        </w:rPr>
      </w:pPr>
      <w:r>
        <w:rPr>
          <w:sz w:val="20"/>
        </w:rPr>
        <w:pict>
          <v:shapetype id="_x0000_t202" coordsize="21600,21600" o:spt="202" path="m,l,21600r21600,l21600,xe">
            <v:stroke joinstyle="miter"/>
            <v:path gradientshapeok="t" o:connecttype="rect"/>
          </v:shapetype>
          <v:shape id="docshape1" o:spid="_x0000_i1025" type="#_x0000_t202" style="width:442.9pt;height:62.55pt;mso-left-percent:-10001;mso-position-horizontal-relative:char;mso-position-vertical-relative:line;mso-top-percent:-10001" filled="f" strokeweight="1.44pt">
            <v:stroke linestyle="thinThin"/>
            <v:textbox inset="0,0,0,0">
              <w:txbxContent>
                <w:p w:rsidR="00D517DF" w14:paraId="0AD9E0F7" w14:textId="77777777">
                  <w:pPr>
                    <w:pStyle w:val="BodyText"/>
                    <w:spacing w:before="5"/>
                    <w:rPr>
                      <w:sz w:val="19"/>
                    </w:rPr>
                  </w:pPr>
                </w:p>
                <w:p w:rsidR="00D517DF" w14:paraId="63980B24" w14:textId="77777777">
                  <w:pPr>
                    <w:ind w:left="93" w:right="431"/>
                    <w:jc w:val="both"/>
                  </w:pPr>
                  <w:r>
                    <w:t>The views expressed herein are not necessarily those of the</w:t>
                  </w:r>
                  <w:r>
                    <w:rPr>
                      <w:spacing w:val="1"/>
                    </w:rPr>
                    <w:t xml:space="preserve"> </w:t>
                  </w:r>
                  <w:r>
                    <w:t>National</w:t>
                  </w:r>
                  <w:r>
                    <w:rPr>
                      <w:spacing w:val="-2"/>
                    </w:rPr>
                    <w:t xml:space="preserve"> </w:t>
                  </w:r>
                  <w:r>
                    <w:t>Agricultural</w:t>
                  </w:r>
                  <w:r>
                    <w:rPr>
                      <w:spacing w:val="-1"/>
                    </w:rPr>
                    <w:t xml:space="preserve"> </w:t>
                  </w:r>
                  <w:r>
                    <w:t>Statistics</w:t>
                  </w:r>
                  <w:r>
                    <w:rPr>
                      <w:spacing w:val="-2"/>
                    </w:rPr>
                    <w:t xml:space="preserve"> </w:t>
                  </w:r>
                  <w:r>
                    <w:t>Service</w:t>
                  </w:r>
                  <w:r>
                    <w:rPr>
                      <w:spacing w:val="-2"/>
                    </w:rPr>
                    <w:t xml:space="preserve"> </w:t>
                  </w:r>
                  <w:r>
                    <w:t>or</w:t>
                  </w:r>
                  <w:r>
                    <w:rPr>
                      <w:spacing w:val="-2"/>
                    </w:rPr>
                    <w:t xml:space="preserve"> </w:t>
                  </w:r>
                  <w:r>
                    <w:t>of</w:t>
                  </w:r>
                  <w:r>
                    <w:rPr>
                      <w:spacing w:val="-4"/>
                    </w:rPr>
                    <w:t xml:space="preserve"> </w:t>
                  </w:r>
                  <w:r>
                    <w:t>the</w:t>
                  </w:r>
                  <w:r>
                    <w:rPr>
                      <w:spacing w:val="-2"/>
                    </w:rPr>
                    <w:t xml:space="preserve"> </w:t>
                  </w:r>
                  <w:r>
                    <w:t>United</w:t>
                  </w:r>
                  <w:r>
                    <w:rPr>
                      <w:spacing w:val="-2"/>
                    </w:rPr>
                    <w:t xml:space="preserve"> </w:t>
                  </w:r>
                  <w:r>
                    <w:t>States</w:t>
                  </w:r>
                  <w:r>
                    <w:rPr>
                      <w:spacing w:val="-2"/>
                    </w:rPr>
                    <w:t xml:space="preserve"> </w:t>
                  </w:r>
                  <w:r>
                    <w:t>Department</w:t>
                  </w:r>
                  <w:r>
                    <w:rPr>
                      <w:spacing w:val="-1"/>
                    </w:rPr>
                    <w:t xml:space="preserve"> </w:t>
                  </w:r>
                  <w:r>
                    <w:t>of</w:t>
                  </w:r>
                  <w:r>
                    <w:rPr>
                      <w:spacing w:val="-2"/>
                    </w:rPr>
                    <w:t xml:space="preserve"> </w:t>
                  </w:r>
                  <w:r>
                    <w:t>Agriculture.</w:t>
                  </w:r>
                </w:p>
              </w:txbxContent>
            </v:textbox>
            <w10:wrap type="none"/>
            <w10:anchorlock/>
          </v:shape>
        </w:pict>
      </w:r>
    </w:p>
    <w:p w:rsidR="000A0F2D" w14:paraId="299781A0" w14:textId="77777777">
      <w:pPr>
        <w:rPr>
          <w:sz w:val="20"/>
        </w:rPr>
        <w:sectPr>
          <w:type w:val="continuous"/>
          <w:pgSz w:w="12240" w:h="15840"/>
          <w:pgMar w:top="1380" w:right="1580" w:bottom="280" w:left="1340" w:header="0" w:footer="0" w:gutter="0"/>
          <w:cols w:space="720"/>
        </w:sectPr>
      </w:pPr>
    </w:p>
    <w:p w:rsidR="000A0F2D" w14:paraId="3454B35D" w14:textId="77777777">
      <w:pPr>
        <w:pStyle w:val="BodyText"/>
        <w:spacing w:before="4"/>
        <w:rPr>
          <w:sz w:val="17"/>
        </w:rPr>
      </w:pPr>
    </w:p>
    <w:p w:rsidR="000A0F2D" w14:paraId="17101650" w14:textId="77777777">
      <w:pPr>
        <w:pStyle w:val="Heading1"/>
        <w:spacing w:before="76"/>
        <w:ind w:left="942" w:right="701" w:firstLine="0"/>
        <w:jc w:val="center"/>
      </w:pPr>
      <w:r>
        <w:t>EXECUTIVE</w:t>
      </w:r>
      <w:r>
        <w:rPr>
          <w:spacing w:val="-2"/>
        </w:rPr>
        <w:t xml:space="preserve"> </w:t>
      </w:r>
      <w:r>
        <w:t>SUMMARY</w:t>
      </w:r>
    </w:p>
    <w:p w:rsidR="000A0F2D" w14:paraId="5F34AEE9" w14:textId="77777777">
      <w:pPr>
        <w:pStyle w:val="BodyText"/>
        <w:spacing w:before="7"/>
        <w:rPr>
          <w:b/>
          <w:sz w:val="23"/>
        </w:rPr>
      </w:pPr>
    </w:p>
    <w:p w:rsidR="000A0F2D" w:rsidP="005426E7" w14:paraId="03271529" w14:textId="251F5724">
      <w:pPr>
        <w:pStyle w:val="BodyText"/>
        <w:spacing w:before="1"/>
        <w:ind w:left="460" w:right="221"/>
        <w:jc w:val="both"/>
      </w:pPr>
      <w:r>
        <w:t xml:space="preserve">Phase III of the Agricultural Resource Management Survey (ARMS) is </w:t>
      </w:r>
      <w:r w:rsidR="006F7CD2">
        <w:t xml:space="preserve">a </w:t>
      </w:r>
      <w:r>
        <w:t xml:space="preserve">sample survey </w:t>
      </w:r>
      <w:r w:rsidR="008C2F2F">
        <w:t>c</w:t>
      </w:r>
      <w:r>
        <w:t>onducted by the National Agricultural Statistics Service (NASS)</w:t>
      </w:r>
      <w:r w:rsidR="0083529A">
        <w:t xml:space="preserve"> on behalf of the Economic Research Service (ERS)</w:t>
      </w:r>
      <w:r>
        <w:t>.</w:t>
      </w:r>
      <w:r>
        <w:rPr>
          <w:spacing w:val="1"/>
        </w:rPr>
        <w:t xml:space="preserve"> </w:t>
      </w:r>
      <w:r w:rsidR="005426E7">
        <w:rPr>
          <w:spacing w:val="1"/>
        </w:rPr>
        <w:t xml:space="preserve">ARMS </w:t>
      </w:r>
      <w:r w:rsidRPr="005426E7" w:rsidR="005426E7">
        <w:rPr>
          <w:spacing w:val="1"/>
        </w:rPr>
        <w:t xml:space="preserve">Phase </w:t>
      </w:r>
      <w:r w:rsidR="005426E7">
        <w:rPr>
          <w:spacing w:val="1"/>
        </w:rPr>
        <w:t>III</w:t>
      </w:r>
      <w:r w:rsidRPr="005426E7" w:rsidR="005426E7">
        <w:rPr>
          <w:spacing w:val="1"/>
        </w:rPr>
        <w:t xml:space="preserve"> </w:t>
      </w:r>
      <w:r w:rsidR="008C2F2F">
        <w:rPr>
          <w:spacing w:val="1"/>
        </w:rPr>
        <w:t xml:space="preserve">is </w:t>
      </w:r>
      <w:r w:rsidRPr="005426E7" w:rsidR="005426E7">
        <w:rPr>
          <w:spacing w:val="1"/>
        </w:rPr>
        <w:t xml:space="preserve">conducted </w:t>
      </w:r>
      <w:r w:rsidR="008C2F2F">
        <w:rPr>
          <w:spacing w:val="1"/>
        </w:rPr>
        <w:t xml:space="preserve">annually from </w:t>
      </w:r>
      <w:r w:rsidRPr="005426E7" w:rsidR="005426E7">
        <w:rPr>
          <w:spacing w:val="1"/>
        </w:rPr>
        <w:t>January to April</w:t>
      </w:r>
      <w:r w:rsidR="00112A19">
        <w:rPr>
          <w:spacing w:val="1"/>
        </w:rPr>
        <w:t>,</w:t>
      </w:r>
      <w:r w:rsidRPr="005426E7" w:rsidR="005426E7">
        <w:rPr>
          <w:spacing w:val="1"/>
        </w:rPr>
        <w:t xml:space="preserve"> </w:t>
      </w:r>
      <w:r w:rsidR="008C2F2F">
        <w:rPr>
          <w:spacing w:val="1"/>
        </w:rPr>
        <w:t>collecting t</w:t>
      </w:r>
      <w:r w:rsidR="005426E7">
        <w:rPr>
          <w:spacing w:val="1"/>
        </w:rPr>
        <w:t xml:space="preserve">otal </w:t>
      </w:r>
      <w:r w:rsidRPr="005426E7" w:rsidR="005426E7">
        <w:rPr>
          <w:spacing w:val="1"/>
        </w:rPr>
        <w:t>farm</w:t>
      </w:r>
      <w:r w:rsidR="008C2F2F">
        <w:rPr>
          <w:spacing w:val="1"/>
        </w:rPr>
        <w:t xml:space="preserve"> and </w:t>
      </w:r>
      <w:r w:rsidRPr="005426E7" w:rsidR="005426E7">
        <w:rPr>
          <w:spacing w:val="1"/>
        </w:rPr>
        <w:t>enterprise</w:t>
      </w:r>
      <w:r w:rsidR="005426E7">
        <w:rPr>
          <w:spacing w:val="1"/>
        </w:rPr>
        <w:t xml:space="preserve"> level financial d</w:t>
      </w:r>
      <w:r w:rsidRPr="005426E7" w:rsidR="005426E7">
        <w:rPr>
          <w:spacing w:val="1"/>
        </w:rPr>
        <w:t>ata</w:t>
      </w:r>
      <w:r w:rsidR="005426E7">
        <w:rPr>
          <w:spacing w:val="1"/>
        </w:rPr>
        <w:t xml:space="preserve">. </w:t>
      </w:r>
    </w:p>
    <w:p w:rsidR="000A0F2D" w14:paraId="0D638AAF" w14:textId="77777777">
      <w:pPr>
        <w:pStyle w:val="BodyText"/>
      </w:pPr>
    </w:p>
    <w:p w:rsidR="000A0F2D" w:rsidP="00887243" w14:paraId="33F49F36" w14:textId="38E84D3C">
      <w:pPr>
        <w:pStyle w:val="BodyText"/>
        <w:ind w:left="460" w:right="211"/>
        <w:jc w:val="both"/>
      </w:pPr>
      <w:r>
        <w:t>In</w:t>
      </w:r>
      <w:r>
        <w:rPr>
          <w:spacing w:val="1"/>
        </w:rPr>
        <w:t xml:space="preserve"> </w:t>
      </w:r>
      <w:r>
        <w:t>September</w:t>
      </w:r>
      <w:r>
        <w:rPr>
          <w:spacing w:val="1"/>
        </w:rPr>
        <w:t xml:space="preserve"> </w:t>
      </w:r>
      <w:r>
        <w:t>2006</w:t>
      </w:r>
      <w:r w:rsidR="00FA3095">
        <w:t>,</w:t>
      </w:r>
      <w:r>
        <w:rPr>
          <w:spacing w:val="1"/>
        </w:rPr>
        <w:t xml:space="preserve"> </w:t>
      </w:r>
      <w:r>
        <w:t>the</w:t>
      </w:r>
      <w:r>
        <w:rPr>
          <w:spacing w:val="1"/>
        </w:rPr>
        <w:t xml:space="preserve"> </w:t>
      </w:r>
      <w:r w:rsidR="00FA3095">
        <w:rPr>
          <w:spacing w:val="1"/>
        </w:rPr>
        <w:t xml:space="preserve">Office Of Management and Budget </w:t>
      </w:r>
      <w:r>
        <w:t>released</w:t>
      </w:r>
      <w:r>
        <w:rPr>
          <w:spacing w:val="1"/>
        </w:rPr>
        <w:t xml:space="preserve"> </w:t>
      </w:r>
      <w:r>
        <w:t>the</w:t>
      </w:r>
      <w:r>
        <w:rPr>
          <w:spacing w:val="1"/>
        </w:rPr>
        <w:t xml:space="preserve"> </w:t>
      </w:r>
      <w:hyperlink r:id="rId12">
        <w:r>
          <w:rPr>
            <w:i/>
          </w:rPr>
          <w:t>Office</w:t>
        </w:r>
        <w:r>
          <w:rPr>
            <w:i/>
            <w:spacing w:val="1"/>
          </w:rPr>
          <w:t xml:space="preserve"> </w:t>
        </w:r>
        <w:r>
          <w:rPr>
            <w:i/>
          </w:rPr>
          <w:t>of</w:t>
        </w:r>
      </w:hyperlink>
      <w:r>
        <w:rPr>
          <w:i/>
          <w:spacing w:val="1"/>
        </w:rPr>
        <w:t xml:space="preserve"> </w:t>
      </w:r>
      <w:hyperlink r:id="rId12">
        <w:r>
          <w:rPr>
            <w:i/>
          </w:rPr>
          <w:t>Management and Budget Standards and Guidelines for Statistical Surveys</w:t>
        </w:r>
      </w:hyperlink>
      <w:r>
        <w:t>.</w:t>
      </w:r>
      <w:r>
        <w:rPr>
          <w:spacing w:val="1"/>
        </w:rPr>
        <w:t xml:space="preserve"> </w:t>
      </w:r>
      <w:r>
        <w:t>The Office of</w:t>
      </w:r>
      <w:r>
        <w:rPr>
          <w:spacing w:val="-57"/>
        </w:rPr>
        <w:t xml:space="preserve"> </w:t>
      </w:r>
      <w:r>
        <w:t xml:space="preserve">Management and Budget’s (OMB) standards and guidelines </w:t>
      </w:r>
      <w:r w:rsidR="00FA3095">
        <w:t xml:space="preserve">updated specifications for common survey </w:t>
      </w:r>
      <w:r w:rsidR="00887243">
        <w:t xml:space="preserve">issues </w:t>
      </w:r>
      <w:r w:rsidR="00FA3095">
        <w:t xml:space="preserve">affecting </w:t>
      </w:r>
      <w:r w:rsidR="00887243">
        <w:t>F</w:t>
      </w:r>
      <w:r>
        <w:t>ederal</w:t>
      </w:r>
      <w:r>
        <w:rPr>
          <w:spacing w:val="1"/>
        </w:rPr>
        <w:t xml:space="preserve"> </w:t>
      </w:r>
      <w:r w:rsidR="00887243">
        <w:rPr>
          <w:spacing w:val="1"/>
        </w:rPr>
        <w:t>S</w:t>
      </w:r>
      <w:r>
        <w:t>tatistical</w:t>
      </w:r>
      <w:r>
        <w:rPr>
          <w:spacing w:val="1"/>
        </w:rPr>
        <w:t xml:space="preserve"> </w:t>
      </w:r>
      <w:r w:rsidR="00887243">
        <w:rPr>
          <w:spacing w:val="1"/>
        </w:rPr>
        <w:t>A</w:t>
      </w:r>
      <w:r>
        <w:t>genc</w:t>
      </w:r>
      <w:r w:rsidR="00887243">
        <w:t>ies</w:t>
      </w:r>
      <w:r>
        <w:t>.</w:t>
      </w:r>
      <w:r>
        <w:rPr>
          <w:spacing w:val="1"/>
        </w:rPr>
        <w:t xml:space="preserve"> </w:t>
      </w:r>
      <w:r>
        <w:t>Standard</w:t>
      </w:r>
      <w:r>
        <w:rPr>
          <w:spacing w:val="1"/>
        </w:rPr>
        <w:t xml:space="preserve"> </w:t>
      </w:r>
      <w:r>
        <w:t>3.2</w:t>
      </w:r>
      <w:r>
        <w:rPr>
          <w:spacing w:val="1"/>
        </w:rPr>
        <w:t xml:space="preserve"> </w:t>
      </w:r>
      <w:r w:rsidR="00FA3095">
        <w:rPr>
          <w:spacing w:val="1"/>
        </w:rPr>
        <w:t xml:space="preserve">updates </w:t>
      </w:r>
      <w:r>
        <w:t>specifica</w:t>
      </w:r>
      <w:r w:rsidR="00FA3095">
        <w:t xml:space="preserve">tions </w:t>
      </w:r>
      <w:r w:rsidR="00112A19">
        <w:t>g</w:t>
      </w:r>
      <w:r w:rsidR="00F43ADF">
        <w:t>uid</w:t>
      </w:r>
      <w:r w:rsidR="00112A19">
        <w:t>ing</w:t>
      </w:r>
      <w:r w:rsidR="00F43ADF">
        <w:t xml:space="preserve"> </w:t>
      </w:r>
      <w:r w:rsidR="00FA3095">
        <w:t xml:space="preserve">analysis of </w:t>
      </w:r>
      <w:r w:rsidR="00F43ADF">
        <w:t>s</w:t>
      </w:r>
      <w:r w:rsidR="00887243">
        <w:rPr>
          <w:spacing w:val="35"/>
        </w:rPr>
        <w:t xml:space="preserve">urvey </w:t>
      </w:r>
      <w:r>
        <w:t>response</w:t>
      </w:r>
      <w:r>
        <w:rPr>
          <w:spacing w:val="33"/>
        </w:rPr>
        <w:t xml:space="preserve"> </w:t>
      </w:r>
      <w:r>
        <w:t>rates</w:t>
      </w:r>
      <w:r w:rsidR="00112A19">
        <w:t>,</w:t>
      </w:r>
      <w:r>
        <w:rPr>
          <w:spacing w:val="35"/>
        </w:rPr>
        <w:t xml:space="preserve"> </w:t>
      </w:r>
      <w:r>
        <w:t>a</w:t>
      </w:r>
      <w:r w:rsidR="00F43ADF">
        <w:t xml:space="preserve">s well as mandating </w:t>
      </w:r>
      <w:r w:rsidR="00887243">
        <w:t xml:space="preserve">evaluation of nonresponse bias </w:t>
      </w:r>
      <w:r w:rsidR="00F43ADF">
        <w:t>when</w:t>
      </w:r>
      <w:r w:rsidR="00887243">
        <w:t xml:space="preserve"> </w:t>
      </w:r>
      <w:r>
        <w:t>surve</w:t>
      </w:r>
      <w:r w:rsidR="00F43ADF">
        <w:t xml:space="preserve">y response rates are less than </w:t>
      </w:r>
      <w:r>
        <w:t>80 percent.</w:t>
      </w:r>
    </w:p>
    <w:p w:rsidR="000A0F2D" w14:paraId="4A8CA997" w14:textId="77777777">
      <w:pPr>
        <w:pStyle w:val="BodyText"/>
      </w:pPr>
    </w:p>
    <w:p w:rsidR="00595285" w14:paraId="1152F0EE" w14:textId="6ED5A64E">
      <w:pPr>
        <w:spacing w:before="1"/>
        <w:ind w:left="460" w:right="214"/>
        <w:jc w:val="both"/>
        <w:rPr>
          <w:spacing w:val="57"/>
          <w:sz w:val="24"/>
        </w:rPr>
      </w:pPr>
      <w:r>
        <w:rPr>
          <w:sz w:val="24"/>
        </w:rPr>
        <w:t xml:space="preserve">In 2020, NASS’s ARMS </w:t>
      </w:r>
      <w:r w:rsidR="00FD0B9C">
        <w:rPr>
          <w:sz w:val="24"/>
        </w:rPr>
        <w:t xml:space="preserve">III </w:t>
      </w:r>
      <w:r>
        <w:rPr>
          <w:sz w:val="24"/>
        </w:rPr>
        <w:t xml:space="preserve">survey </w:t>
      </w:r>
      <w:r w:rsidR="00FD0B9C">
        <w:rPr>
          <w:sz w:val="24"/>
        </w:rPr>
        <w:t xml:space="preserve">yielded </w:t>
      </w:r>
      <w:r>
        <w:rPr>
          <w:sz w:val="24"/>
        </w:rPr>
        <w:t xml:space="preserve">a 39.4 percent response rate (Weber, 2021). </w:t>
      </w:r>
      <w:r w:rsidR="006B0DCD">
        <w:rPr>
          <w:sz w:val="24"/>
        </w:rPr>
        <w:t xml:space="preserve">In </w:t>
      </w:r>
      <w:r>
        <w:rPr>
          <w:sz w:val="24"/>
        </w:rPr>
        <w:t xml:space="preserve">compliance </w:t>
      </w:r>
      <w:r w:rsidR="006B0DCD">
        <w:rPr>
          <w:sz w:val="24"/>
        </w:rPr>
        <w:t xml:space="preserve">with OMB Guidelines, </w:t>
      </w:r>
      <w:r>
        <w:rPr>
          <w:sz w:val="24"/>
        </w:rPr>
        <w:t xml:space="preserve">NASS </w:t>
      </w:r>
      <w:r>
        <w:rPr>
          <w:sz w:val="24"/>
        </w:rPr>
        <w:t>has completed a nonresponse bias investigation for 2020. This investigation replicated t</w:t>
      </w:r>
      <w:r w:rsidR="00501131">
        <w:rPr>
          <w:sz w:val="24"/>
        </w:rPr>
        <w:t xml:space="preserve">wo </w:t>
      </w:r>
      <w:r>
        <w:rPr>
          <w:sz w:val="24"/>
        </w:rPr>
        <w:t xml:space="preserve">previous ARMS nonresponse bias </w:t>
      </w:r>
      <w:r w:rsidR="006B0DCD">
        <w:rPr>
          <w:sz w:val="24"/>
        </w:rPr>
        <w:t>investigations</w:t>
      </w:r>
      <w:r>
        <w:rPr>
          <w:sz w:val="24"/>
        </w:rPr>
        <w:t xml:space="preserve"> in 2005 and 2006</w:t>
      </w:r>
      <w:r w:rsidR="002D695E">
        <w:rPr>
          <w:sz w:val="24"/>
        </w:rPr>
        <w:t>,</w:t>
      </w:r>
      <w:r w:rsidR="00501131">
        <w:rPr>
          <w:sz w:val="24"/>
        </w:rPr>
        <w:t xml:space="preserve"> </w:t>
      </w:r>
      <w:r>
        <w:rPr>
          <w:sz w:val="24"/>
        </w:rPr>
        <w:t xml:space="preserve">both published in 2008. </w:t>
      </w:r>
      <w:r w:rsidR="00501131">
        <w:rPr>
          <w:sz w:val="24"/>
        </w:rPr>
        <w:t>Th</w:t>
      </w:r>
      <w:r w:rsidR="00027C68">
        <w:rPr>
          <w:sz w:val="24"/>
        </w:rPr>
        <w:t>e</w:t>
      </w:r>
      <w:r w:rsidR="00501131">
        <w:rPr>
          <w:sz w:val="24"/>
        </w:rPr>
        <w:t xml:space="preserve"> </w:t>
      </w:r>
      <w:r w:rsidR="00027C68">
        <w:rPr>
          <w:sz w:val="24"/>
        </w:rPr>
        <w:t xml:space="preserve">current </w:t>
      </w:r>
      <w:r w:rsidR="00501131">
        <w:rPr>
          <w:sz w:val="24"/>
        </w:rPr>
        <w:t xml:space="preserve">research </w:t>
      </w:r>
      <w:r w:rsidR="00027C68">
        <w:rPr>
          <w:sz w:val="24"/>
        </w:rPr>
        <w:t xml:space="preserve">effort applies similar </w:t>
      </w:r>
      <w:r w:rsidR="006940CB">
        <w:rPr>
          <w:sz w:val="24"/>
        </w:rPr>
        <w:t xml:space="preserve">statistical methodology </w:t>
      </w:r>
      <w:r w:rsidR="00027C68">
        <w:rPr>
          <w:sz w:val="24"/>
        </w:rPr>
        <w:t xml:space="preserve">as the </w:t>
      </w:r>
      <w:r w:rsidR="00501131">
        <w:rPr>
          <w:sz w:val="24"/>
        </w:rPr>
        <w:t>precedents</w:t>
      </w:r>
      <w:r w:rsidR="004A0479">
        <w:rPr>
          <w:sz w:val="24"/>
        </w:rPr>
        <w:t>,</w:t>
      </w:r>
      <w:r w:rsidR="00501131">
        <w:rPr>
          <w:sz w:val="24"/>
        </w:rPr>
        <w:t xml:space="preserve"> </w:t>
      </w:r>
      <w:r w:rsidR="006940CB">
        <w:rPr>
          <w:sz w:val="24"/>
        </w:rPr>
        <w:t xml:space="preserve">applying it to </w:t>
      </w:r>
      <w:r w:rsidR="00501131">
        <w:rPr>
          <w:sz w:val="24"/>
        </w:rPr>
        <w:t>2020</w:t>
      </w:r>
      <w:r w:rsidR="006940CB">
        <w:rPr>
          <w:sz w:val="24"/>
        </w:rPr>
        <w:t xml:space="preserve"> ARMS Phase III</w:t>
      </w:r>
      <w:r w:rsidR="00501131">
        <w:rPr>
          <w:sz w:val="24"/>
        </w:rPr>
        <w:t>.</w:t>
      </w:r>
      <w:r>
        <w:rPr>
          <w:spacing w:val="57"/>
          <w:sz w:val="24"/>
        </w:rPr>
        <w:t xml:space="preserve"> </w:t>
      </w:r>
    </w:p>
    <w:p w:rsidR="00595285" w14:paraId="35F1A398" w14:textId="77777777">
      <w:pPr>
        <w:spacing w:before="1"/>
        <w:ind w:left="460" w:right="214"/>
        <w:jc w:val="both"/>
        <w:rPr>
          <w:spacing w:val="57"/>
          <w:sz w:val="24"/>
        </w:rPr>
      </w:pPr>
    </w:p>
    <w:p w:rsidR="000A0F2D" w14:paraId="121DBC7D" w14:textId="043E5A86">
      <w:pPr>
        <w:pStyle w:val="BodyText"/>
        <w:ind w:left="460" w:right="249"/>
      </w:pPr>
      <w:r>
        <w:t xml:space="preserve">The </w:t>
      </w:r>
      <w:r w:rsidR="00FF11C7">
        <w:t xml:space="preserve">current research effort begins </w:t>
      </w:r>
      <w:r w:rsidR="00FD0B9C">
        <w:t>by</w:t>
      </w:r>
      <w:r w:rsidR="00FF11C7">
        <w:t xml:space="preserve"> matching the </w:t>
      </w:r>
      <w:r w:rsidR="00595285">
        <w:t>20</w:t>
      </w:r>
      <w:r w:rsidR="005E468C">
        <w:t>20</w:t>
      </w:r>
      <w:r w:rsidR="00595285">
        <w:t xml:space="preserve"> ARMS Phase III </w:t>
      </w:r>
      <w:r>
        <w:t>sample w</w:t>
      </w:r>
      <w:r w:rsidR="00FF11C7">
        <w:t>ith</w:t>
      </w:r>
      <w:r>
        <w:t xml:space="preserve"> </w:t>
      </w:r>
      <w:r w:rsidR="00FF11C7">
        <w:t xml:space="preserve">respondent records from the </w:t>
      </w:r>
      <w:r w:rsidR="00595285">
        <w:t>20</w:t>
      </w:r>
      <w:r w:rsidR="008A50CC">
        <w:t>17</w:t>
      </w:r>
      <w:r w:rsidR="00595285">
        <w:t xml:space="preserve"> Census of Agriculture.</w:t>
      </w:r>
      <w:r w:rsidR="00595285">
        <w:rPr>
          <w:spacing w:val="1"/>
        </w:rPr>
        <w:t xml:space="preserve"> </w:t>
      </w:r>
      <w:r>
        <w:rPr>
          <w:spacing w:val="1"/>
        </w:rPr>
        <w:t xml:space="preserve">Records </w:t>
      </w:r>
      <w:r w:rsidR="00A0594E">
        <w:rPr>
          <w:spacing w:val="1"/>
        </w:rPr>
        <w:t xml:space="preserve">contained in both ARMS and Census </w:t>
      </w:r>
      <w:r>
        <w:rPr>
          <w:spacing w:val="1"/>
        </w:rPr>
        <w:t xml:space="preserve">are </w:t>
      </w:r>
      <w:r w:rsidR="00A0594E">
        <w:rPr>
          <w:spacing w:val="1"/>
        </w:rPr>
        <w:t xml:space="preserve">referred to as </w:t>
      </w:r>
      <w:r>
        <w:rPr>
          <w:spacing w:val="1"/>
        </w:rPr>
        <w:t>‘</w:t>
      </w:r>
      <w:r w:rsidRPr="00516399">
        <w:rPr>
          <w:i/>
          <w:iCs/>
          <w:spacing w:val="1"/>
        </w:rPr>
        <w:t>All Matching Records</w:t>
      </w:r>
      <w:r>
        <w:rPr>
          <w:spacing w:val="1"/>
        </w:rPr>
        <w:t xml:space="preserve">’. A subset of </w:t>
      </w:r>
      <w:r w:rsidRPr="00516399">
        <w:rPr>
          <w:i/>
          <w:iCs/>
          <w:spacing w:val="1"/>
        </w:rPr>
        <w:t>All Matching Records</w:t>
      </w:r>
      <w:r>
        <w:rPr>
          <w:spacing w:val="1"/>
        </w:rPr>
        <w:t xml:space="preserve"> are those records</w:t>
      </w:r>
      <w:r w:rsidR="00A86525">
        <w:rPr>
          <w:spacing w:val="1"/>
        </w:rPr>
        <w:t xml:space="preserve"> respond</w:t>
      </w:r>
      <w:r w:rsidR="00A0594E">
        <w:rPr>
          <w:spacing w:val="1"/>
        </w:rPr>
        <w:t>ing</w:t>
      </w:r>
      <w:r w:rsidR="00A86525">
        <w:rPr>
          <w:spacing w:val="1"/>
        </w:rPr>
        <w:t xml:space="preserve"> to ARMS, ‘</w:t>
      </w:r>
      <w:r w:rsidRPr="00516399" w:rsidR="00A86525">
        <w:rPr>
          <w:i/>
          <w:iCs/>
          <w:spacing w:val="1"/>
        </w:rPr>
        <w:t>Matching Respondents</w:t>
      </w:r>
      <w:r w:rsidR="00A86525">
        <w:rPr>
          <w:spacing w:val="1"/>
        </w:rPr>
        <w:t xml:space="preserve">’. </w:t>
      </w:r>
      <w:r w:rsidR="00595285">
        <w:t xml:space="preserve">Nonresponse bias in the </w:t>
      </w:r>
      <w:r w:rsidR="00A0594E">
        <w:t xml:space="preserve">2020 </w:t>
      </w:r>
      <w:r w:rsidR="00595285">
        <w:t>ARMS</w:t>
      </w:r>
      <w:r w:rsidR="00595285">
        <w:rPr>
          <w:spacing w:val="1"/>
        </w:rPr>
        <w:t xml:space="preserve"> </w:t>
      </w:r>
      <w:r w:rsidR="00A86525">
        <w:rPr>
          <w:spacing w:val="1"/>
        </w:rPr>
        <w:t xml:space="preserve">survey </w:t>
      </w:r>
      <w:r w:rsidR="00595285">
        <w:t>w</w:t>
      </w:r>
      <w:r w:rsidR="00A0594E">
        <w:t xml:space="preserve">ill be </w:t>
      </w:r>
      <w:r w:rsidR="008A50CC">
        <w:rPr>
          <w:spacing w:val="-1"/>
        </w:rPr>
        <w:t>evaluated</w:t>
      </w:r>
      <w:r w:rsidR="00595285">
        <w:t xml:space="preserve"> </w:t>
      </w:r>
      <w:r w:rsidR="00A86525">
        <w:t>by inserting 2017 C</w:t>
      </w:r>
      <w:r w:rsidR="00595285">
        <w:t>ensus</w:t>
      </w:r>
      <w:r w:rsidR="00595285">
        <w:rPr>
          <w:spacing w:val="-1"/>
        </w:rPr>
        <w:t xml:space="preserve"> </w:t>
      </w:r>
      <w:r w:rsidR="00595285">
        <w:t>data</w:t>
      </w:r>
      <w:r w:rsidR="008A50CC">
        <w:t xml:space="preserve"> </w:t>
      </w:r>
      <w:r w:rsidR="00A86525">
        <w:t xml:space="preserve">into </w:t>
      </w:r>
      <w:r w:rsidRPr="00516399" w:rsidR="00A86525">
        <w:rPr>
          <w:i/>
          <w:iCs/>
        </w:rPr>
        <w:t>All Matching Records</w:t>
      </w:r>
      <w:r w:rsidR="00A86525">
        <w:t xml:space="preserve"> </w:t>
      </w:r>
      <w:r w:rsidR="008A50CC">
        <w:t xml:space="preserve">and </w:t>
      </w:r>
      <w:r w:rsidR="00A86525">
        <w:t xml:space="preserve">calculating weighted </w:t>
      </w:r>
      <w:r w:rsidR="00AF3CCD">
        <w:t>means</w:t>
      </w:r>
      <w:r w:rsidR="00A86525">
        <w:t xml:space="preserve"> with </w:t>
      </w:r>
      <w:r w:rsidR="008A50CC">
        <w:t>ARMS sampl</w:t>
      </w:r>
      <w:r w:rsidR="00047539">
        <w:t>e</w:t>
      </w:r>
      <w:r w:rsidR="008A50CC">
        <w:t xml:space="preserve"> weights</w:t>
      </w:r>
      <w:r w:rsidR="00AF3CCD">
        <w:t xml:space="preserve"> for both </w:t>
      </w:r>
      <w:r w:rsidRPr="00516399" w:rsidR="00AF3CCD">
        <w:rPr>
          <w:i/>
          <w:iCs/>
        </w:rPr>
        <w:t>All Matching Records</w:t>
      </w:r>
      <w:r w:rsidR="00AF3CCD">
        <w:t xml:space="preserve"> and </w:t>
      </w:r>
      <w:r w:rsidRPr="00516399" w:rsidR="00AF3CCD">
        <w:rPr>
          <w:i/>
          <w:iCs/>
        </w:rPr>
        <w:t>Matching Respondents</w:t>
      </w:r>
      <w:r w:rsidR="00595285">
        <w:t>.</w:t>
      </w:r>
      <w:r w:rsidR="00A86525">
        <w:t xml:space="preserve"> </w:t>
      </w:r>
      <w:r w:rsidR="00A0594E">
        <w:t>T</w:t>
      </w:r>
      <w:r w:rsidR="00595285">
        <w:t>hree</w:t>
      </w:r>
      <w:r w:rsidR="00595285">
        <w:rPr>
          <w:spacing w:val="-2"/>
        </w:rPr>
        <w:t xml:space="preserve"> </w:t>
      </w:r>
      <w:r w:rsidR="00595285">
        <w:t>weighted</w:t>
      </w:r>
      <w:r w:rsidR="00595285">
        <w:rPr>
          <w:spacing w:val="-1"/>
        </w:rPr>
        <w:t xml:space="preserve"> </w:t>
      </w:r>
      <w:r w:rsidR="00595285">
        <w:t>means</w:t>
      </w:r>
      <w:r w:rsidR="00595285">
        <w:rPr>
          <w:spacing w:val="2"/>
        </w:rPr>
        <w:t xml:space="preserve"> </w:t>
      </w:r>
      <w:r w:rsidR="00595285">
        <w:t>of</w:t>
      </w:r>
      <w:r w:rsidR="00595285">
        <w:rPr>
          <w:spacing w:val="-2"/>
        </w:rPr>
        <w:t xml:space="preserve"> </w:t>
      </w:r>
      <w:r w:rsidR="008D6341">
        <w:rPr>
          <w:spacing w:val="-2"/>
        </w:rPr>
        <w:t>2017 C</w:t>
      </w:r>
      <w:r w:rsidR="00595285">
        <w:t>ensus</w:t>
      </w:r>
      <w:r w:rsidR="00595285">
        <w:rPr>
          <w:spacing w:val="-1"/>
        </w:rPr>
        <w:t xml:space="preserve"> </w:t>
      </w:r>
      <w:r w:rsidR="00595285">
        <w:t>data</w:t>
      </w:r>
      <w:r w:rsidR="000717DD">
        <w:t xml:space="preserve"> w</w:t>
      </w:r>
      <w:r w:rsidR="008D6341">
        <w:t xml:space="preserve">ill be </w:t>
      </w:r>
      <w:r w:rsidR="00595285">
        <w:t xml:space="preserve">computed and compared across </w:t>
      </w:r>
      <w:r w:rsidR="008D6341">
        <w:t>twenty</w:t>
      </w:r>
      <w:r w:rsidR="00595285">
        <w:t xml:space="preserve"> </w:t>
      </w:r>
      <w:r w:rsidR="008D6341">
        <w:t xml:space="preserve">ARMS </w:t>
      </w:r>
      <w:r w:rsidR="00595285">
        <w:t>regions: 1) mean</w:t>
      </w:r>
      <w:r w:rsidR="008A50CC">
        <w:t>s</w:t>
      </w:r>
      <w:r w:rsidR="00595285">
        <w:t xml:space="preserve"> for </w:t>
      </w:r>
      <w:r w:rsidRPr="00516399" w:rsidR="00AF3CCD">
        <w:rPr>
          <w:i/>
          <w:iCs/>
        </w:rPr>
        <w:t>A</w:t>
      </w:r>
      <w:r w:rsidRPr="00516399" w:rsidR="00595285">
        <w:rPr>
          <w:i/>
          <w:iCs/>
        </w:rPr>
        <w:t xml:space="preserve">ll </w:t>
      </w:r>
      <w:r w:rsidRPr="00516399" w:rsidR="00AF3CCD">
        <w:rPr>
          <w:i/>
          <w:iCs/>
        </w:rPr>
        <w:t>M</w:t>
      </w:r>
      <w:r w:rsidRPr="00516399" w:rsidR="00595285">
        <w:rPr>
          <w:i/>
          <w:iCs/>
        </w:rPr>
        <w:t xml:space="preserve">atching </w:t>
      </w:r>
      <w:r w:rsidRPr="00516399" w:rsidR="003A0DEF">
        <w:rPr>
          <w:i/>
          <w:iCs/>
        </w:rPr>
        <w:t>Records</w:t>
      </w:r>
      <w:r w:rsidR="003A0DEF">
        <w:rPr>
          <w:spacing w:val="-57"/>
        </w:rPr>
        <w:t xml:space="preserve">,  </w:t>
      </w:r>
      <w:r w:rsidR="000717DD">
        <w:rPr>
          <w:spacing w:val="-57"/>
        </w:rPr>
        <w:t xml:space="preserve">   </w:t>
      </w:r>
      <w:r w:rsidR="008D6341">
        <w:t xml:space="preserve"> c</w:t>
      </w:r>
      <w:r w:rsidR="00595285">
        <w:t xml:space="preserve">omputed using </w:t>
      </w:r>
      <w:r w:rsidR="000717DD">
        <w:t xml:space="preserve">ARMS </w:t>
      </w:r>
      <w:r w:rsidR="00595285">
        <w:t>sampl</w:t>
      </w:r>
      <w:r w:rsidR="008D6341">
        <w:t>e</w:t>
      </w:r>
      <w:r w:rsidR="00595285">
        <w:t xml:space="preserve"> weights, 2) mean</w:t>
      </w:r>
      <w:r w:rsidR="008A50CC">
        <w:t>s</w:t>
      </w:r>
      <w:r w:rsidR="00595285">
        <w:t xml:space="preserve"> for </w:t>
      </w:r>
      <w:r w:rsidRPr="00516399" w:rsidR="00AF3CCD">
        <w:rPr>
          <w:i/>
          <w:iCs/>
        </w:rPr>
        <w:t>M</w:t>
      </w:r>
      <w:r w:rsidRPr="00516399" w:rsidR="00595285">
        <w:rPr>
          <w:i/>
          <w:iCs/>
        </w:rPr>
        <w:t xml:space="preserve">atching </w:t>
      </w:r>
      <w:r w:rsidRPr="00516399" w:rsidR="00AF3CCD">
        <w:rPr>
          <w:i/>
          <w:iCs/>
        </w:rPr>
        <w:t>R</w:t>
      </w:r>
      <w:r w:rsidRPr="00516399" w:rsidR="00D605DB">
        <w:rPr>
          <w:i/>
          <w:iCs/>
        </w:rPr>
        <w:t>espond</w:t>
      </w:r>
      <w:r w:rsidRPr="00516399" w:rsidR="00AF3CCD">
        <w:rPr>
          <w:i/>
          <w:iCs/>
        </w:rPr>
        <w:t>ents</w:t>
      </w:r>
      <w:r w:rsidR="008D6341">
        <w:rPr>
          <w:i/>
          <w:iCs/>
        </w:rPr>
        <w:t>,</w:t>
      </w:r>
      <w:r w:rsidR="00595285">
        <w:t xml:space="preserve"> using </w:t>
      </w:r>
      <w:r w:rsidR="000717DD">
        <w:t>ARMS</w:t>
      </w:r>
      <w:r w:rsidR="00595285">
        <w:t xml:space="preserve"> sampl</w:t>
      </w:r>
      <w:r w:rsidR="008D6341">
        <w:t>e</w:t>
      </w:r>
      <w:r w:rsidR="00595285">
        <w:t xml:space="preserve"> weights, and 3) mean</w:t>
      </w:r>
      <w:r w:rsidR="008A50CC">
        <w:t>s</w:t>
      </w:r>
      <w:r w:rsidR="00595285">
        <w:t xml:space="preserve"> for </w:t>
      </w:r>
      <w:r w:rsidRPr="00516399" w:rsidR="00AF3CCD">
        <w:rPr>
          <w:i/>
          <w:iCs/>
        </w:rPr>
        <w:t>M</w:t>
      </w:r>
      <w:r w:rsidRPr="00516399" w:rsidR="000717DD">
        <w:rPr>
          <w:i/>
          <w:iCs/>
        </w:rPr>
        <w:t xml:space="preserve">atching </w:t>
      </w:r>
      <w:r w:rsidRPr="00516399" w:rsidR="00AF3CCD">
        <w:rPr>
          <w:i/>
          <w:iCs/>
        </w:rPr>
        <w:t>R</w:t>
      </w:r>
      <w:r w:rsidRPr="00516399" w:rsidR="000717DD">
        <w:rPr>
          <w:i/>
          <w:iCs/>
        </w:rPr>
        <w:t>espond</w:t>
      </w:r>
      <w:r w:rsidRPr="00516399" w:rsidR="00AF3CCD">
        <w:rPr>
          <w:i/>
          <w:iCs/>
        </w:rPr>
        <w:t>ents</w:t>
      </w:r>
      <w:r w:rsidR="000717DD">
        <w:t xml:space="preserve"> u</w:t>
      </w:r>
      <w:r w:rsidR="00595285">
        <w:t>sing</w:t>
      </w:r>
      <w:r w:rsidR="00595285">
        <w:rPr>
          <w:spacing w:val="-2"/>
        </w:rPr>
        <w:t xml:space="preserve"> </w:t>
      </w:r>
      <w:r w:rsidR="000717DD">
        <w:t xml:space="preserve">ARMS </w:t>
      </w:r>
      <w:r w:rsidR="00595285">
        <w:t>sampl</w:t>
      </w:r>
      <w:r w:rsidR="008D6341">
        <w:t>e</w:t>
      </w:r>
      <w:r w:rsidR="00595285">
        <w:rPr>
          <w:spacing w:val="-3"/>
        </w:rPr>
        <w:t xml:space="preserve"> </w:t>
      </w:r>
      <w:r w:rsidR="00595285">
        <w:t>weights</w:t>
      </w:r>
      <w:r w:rsidR="00AF3CCD">
        <w:t>,</w:t>
      </w:r>
      <w:r w:rsidR="00595285">
        <w:t xml:space="preserve"> adjusted</w:t>
      </w:r>
      <w:r w:rsidR="00595285">
        <w:rPr>
          <w:spacing w:val="1"/>
        </w:rPr>
        <w:t xml:space="preserve"> </w:t>
      </w:r>
      <w:r w:rsidR="00595285">
        <w:t>by</w:t>
      </w:r>
      <w:r w:rsidR="00595285">
        <w:rPr>
          <w:spacing w:val="-5"/>
        </w:rPr>
        <w:t xml:space="preserve"> </w:t>
      </w:r>
      <w:r w:rsidR="00595285">
        <w:t>calibration</w:t>
      </w:r>
      <w:r w:rsidR="001B37E1">
        <w:t xml:space="preserve">, referred to as </w:t>
      </w:r>
      <w:r w:rsidR="00516399">
        <w:t>‘</w:t>
      </w:r>
      <w:r w:rsidRPr="00516399" w:rsidR="001B37E1">
        <w:rPr>
          <w:i/>
          <w:iCs/>
        </w:rPr>
        <w:t>Matching Respondents Calibrated</w:t>
      </w:r>
      <w:r w:rsidR="00516399">
        <w:t>’</w:t>
      </w:r>
      <w:r w:rsidR="00595285">
        <w:t>.</w:t>
      </w:r>
    </w:p>
    <w:p w:rsidR="000A0F2D" w14:paraId="19D4B8B7" w14:textId="77777777">
      <w:pPr>
        <w:pStyle w:val="BodyText"/>
      </w:pPr>
    </w:p>
    <w:p w:rsidR="000A0F2D" w14:paraId="10BF0BE4" w14:textId="52425FA7">
      <w:pPr>
        <w:pStyle w:val="BodyText"/>
        <w:ind w:left="460" w:right="355"/>
      </w:pPr>
      <w:r>
        <w:t>Relative bias</w:t>
      </w:r>
      <w:r w:rsidR="002D695E">
        <w:t>es</w:t>
      </w:r>
      <w:r>
        <w:t xml:space="preserve"> w</w:t>
      </w:r>
      <w:r w:rsidR="009853A7">
        <w:t>ill be</w:t>
      </w:r>
      <w:r>
        <w:t xml:space="preserve"> </w:t>
      </w:r>
      <w:r w:rsidR="00B064D1">
        <w:t>calculated</w:t>
      </w:r>
      <w:r w:rsidR="009853A7">
        <w:t>,</w:t>
      </w:r>
      <w:r w:rsidR="00B064D1">
        <w:t xml:space="preserve"> and statistically </w:t>
      </w:r>
      <w:r w:rsidR="008A50CC">
        <w:t>evaluated</w:t>
      </w:r>
      <w:r w:rsidR="009853A7">
        <w:t>,</w:t>
      </w:r>
      <w:r>
        <w:t xml:space="preserve"> for </w:t>
      </w:r>
      <w:r w:rsidR="008A50CC">
        <w:t xml:space="preserve">select </w:t>
      </w:r>
      <w:r w:rsidR="00B064D1">
        <w:t xml:space="preserve">ARMS </w:t>
      </w:r>
      <w:r>
        <w:t xml:space="preserve">variables using </w:t>
      </w:r>
      <w:r w:rsidR="008A50CC">
        <w:t xml:space="preserve">OMB’s </w:t>
      </w:r>
      <w:r w:rsidRPr="002D695E" w:rsidR="002D695E">
        <w:t>Guideline 3.2.9</w:t>
      </w:r>
      <w:r w:rsidR="002D695E">
        <w:t xml:space="preserve"> </w:t>
      </w:r>
      <w:r w:rsidR="000030EB">
        <w:t>equation</w:t>
      </w:r>
      <w:r>
        <w:t>.</w:t>
      </w:r>
      <w:r>
        <w:rPr>
          <w:spacing w:val="1"/>
        </w:rPr>
        <w:t xml:space="preserve"> </w:t>
      </w:r>
      <w:r w:rsidR="0090209A">
        <w:rPr>
          <w:spacing w:val="1"/>
        </w:rPr>
        <w:t>R</w:t>
      </w:r>
      <w:r w:rsidR="00F85F4A">
        <w:rPr>
          <w:spacing w:val="1"/>
        </w:rPr>
        <w:t>esearch results suggest s</w:t>
      </w:r>
      <w:r>
        <w:t xml:space="preserve">ignificant </w:t>
      </w:r>
      <w:r w:rsidR="004E530F">
        <w:t xml:space="preserve">persistent </w:t>
      </w:r>
      <w:r>
        <w:t xml:space="preserve">biases </w:t>
      </w:r>
      <w:r w:rsidR="00F85F4A">
        <w:t>are</w:t>
      </w:r>
      <w:r>
        <w:rPr>
          <w:spacing w:val="1"/>
        </w:rPr>
        <w:t xml:space="preserve"> </w:t>
      </w:r>
      <w:r>
        <w:t xml:space="preserve">exhibited in </w:t>
      </w:r>
      <w:r w:rsidR="008A50CC">
        <w:t xml:space="preserve">select </w:t>
      </w:r>
      <w:r>
        <w:t xml:space="preserve">variables </w:t>
      </w:r>
      <w:r w:rsidR="00F85F4A">
        <w:t xml:space="preserve">when </w:t>
      </w:r>
      <w:r w:rsidRPr="0064427C" w:rsidR="0064427C">
        <w:rPr>
          <w:i/>
          <w:iCs/>
        </w:rPr>
        <w:t>Matching Respondents</w:t>
      </w:r>
      <w:r w:rsidRPr="0064427C" w:rsidR="0064427C">
        <w:t xml:space="preserve"> </w:t>
      </w:r>
      <w:r w:rsidR="00F85F4A">
        <w:t xml:space="preserve">are compared </w:t>
      </w:r>
      <w:r w:rsidR="0064427C">
        <w:t xml:space="preserve">to </w:t>
      </w:r>
      <w:r w:rsidRPr="00516399" w:rsidR="00516399">
        <w:rPr>
          <w:i/>
          <w:iCs/>
        </w:rPr>
        <w:t>All Matching Records</w:t>
      </w:r>
      <w:r w:rsidR="0064427C">
        <w:t>.</w:t>
      </w:r>
      <w:r>
        <w:rPr>
          <w:spacing w:val="1"/>
        </w:rPr>
        <w:t xml:space="preserve"> </w:t>
      </w:r>
      <w:r w:rsidR="00F85F4A">
        <w:rPr>
          <w:spacing w:val="1"/>
        </w:rPr>
        <w:t xml:space="preserve">Results also suggest </w:t>
      </w:r>
      <w:r w:rsidR="004E530F">
        <w:rPr>
          <w:spacing w:val="1"/>
        </w:rPr>
        <w:t xml:space="preserve">the </w:t>
      </w:r>
      <w:r w:rsidR="00F85F4A">
        <w:rPr>
          <w:spacing w:val="1"/>
        </w:rPr>
        <w:t>comparison</w:t>
      </w:r>
      <w:r w:rsidR="0064427C">
        <w:rPr>
          <w:spacing w:val="1"/>
        </w:rPr>
        <w:t xml:space="preserve"> of </w:t>
      </w:r>
      <w:r w:rsidRPr="0064427C" w:rsidR="0064427C">
        <w:rPr>
          <w:i/>
          <w:iCs/>
          <w:spacing w:val="1"/>
        </w:rPr>
        <w:t>Matching Respondents Calibrated</w:t>
      </w:r>
      <w:r w:rsidRPr="0064427C" w:rsidR="0064427C">
        <w:rPr>
          <w:spacing w:val="1"/>
        </w:rPr>
        <w:t xml:space="preserve"> </w:t>
      </w:r>
      <w:r w:rsidR="0064427C">
        <w:rPr>
          <w:spacing w:val="1"/>
        </w:rPr>
        <w:t xml:space="preserve">to </w:t>
      </w:r>
      <w:r w:rsidRPr="0064427C" w:rsidR="0064427C">
        <w:rPr>
          <w:i/>
          <w:iCs/>
          <w:spacing w:val="1"/>
        </w:rPr>
        <w:t>All Matching Records</w:t>
      </w:r>
      <w:r w:rsidR="0064427C">
        <w:rPr>
          <w:spacing w:val="1"/>
        </w:rPr>
        <w:t xml:space="preserve"> </w:t>
      </w:r>
      <w:r w:rsidR="00F85F4A">
        <w:rPr>
          <w:spacing w:val="1"/>
        </w:rPr>
        <w:t xml:space="preserve">produces statistically insignificant </w:t>
      </w:r>
      <w:r>
        <w:t>bias</w:t>
      </w:r>
      <w:r w:rsidR="002D695E">
        <w:t>es</w:t>
      </w:r>
      <w:r>
        <w:t xml:space="preserve"> (</w:t>
      </w:r>
      <w:r>
        <w:rPr>
          <w:i/>
        </w:rPr>
        <w:t xml:space="preserve">p </w:t>
      </w:r>
      <w:r>
        <w:t xml:space="preserve">&gt; .05) </w:t>
      </w:r>
      <w:r w:rsidR="00BB28A1">
        <w:t xml:space="preserve">for a </w:t>
      </w:r>
      <w:r w:rsidR="008A50CC">
        <w:t xml:space="preserve">majority of select </w:t>
      </w:r>
      <w:r>
        <w:t>variables.</w:t>
      </w:r>
      <w:r>
        <w:rPr>
          <w:spacing w:val="1"/>
        </w:rPr>
        <w:t xml:space="preserve"> </w:t>
      </w:r>
      <w:r>
        <w:t xml:space="preserve">This </w:t>
      </w:r>
      <w:r w:rsidR="0080340D">
        <w:t xml:space="preserve">research </w:t>
      </w:r>
      <w:r w:rsidR="00780F54">
        <w:t>re</w:t>
      </w:r>
      <w:r w:rsidR="002D695E">
        <w:t>affirm</w:t>
      </w:r>
      <w:r w:rsidR="009259E8">
        <w:t>s</w:t>
      </w:r>
      <w:r w:rsidR="0080340D">
        <w:t xml:space="preserve"> </w:t>
      </w:r>
      <w:r w:rsidR="0064427C">
        <w:t xml:space="preserve">a </w:t>
      </w:r>
      <w:r w:rsidR="008A50CC">
        <w:t xml:space="preserve">conclusion from </w:t>
      </w:r>
      <w:r w:rsidR="00F85F4A">
        <w:t>two precedents</w:t>
      </w:r>
      <w:r w:rsidR="0035174A">
        <w:t xml:space="preserve"> </w:t>
      </w:r>
      <w:r w:rsidRPr="0035174A" w:rsidR="0035174A">
        <w:t>(Earp, McCarthy, Schauer, &amp; Kott, 2008)</w:t>
      </w:r>
      <w:r w:rsidR="008F6F62">
        <w:t xml:space="preserve">, i.e., </w:t>
      </w:r>
      <w:r>
        <w:t xml:space="preserve">calibration </w:t>
      </w:r>
      <w:r w:rsidR="008F6F62">
        <w:t>i</w:t>
      </w:r>
      <w:r>
        <w:t xml:space="preserve">s an effective tool </w:t>
      </w:r>
      <w:r w:rsidR="00780F54">
        <w:t>for</w:t>
      </w:r>
      <w:r>
        <w:t xml:space="preserve"> </w:t>
      </w:r>
      <w:r w:rsidR="0064427C">
        <w:t>mitigating</w:t>
      </w:r>
      <w:r>
        <w:rPr>
          <w:spacing w:val="1"/>
        </w:rPr>
        <w:t xml:space="preserve"> </w:t>
      </w:r>
      <w:r>
        <w:t>nonresponse</w:t>
      </w:r>
      <w:r>
        <w:rPr>
          <w:spacing w:val="-1"/>
        </w:rPr>
        <w:t xml:space="preserve"> </w:t>
      </w:r>
      <w:r>
        <w:t>bias</w:t>
      </w:r>
      <w:r w:rsidR="002D695E">
        <w:t>es</w:t>
      </w:r>
      <w:r>
        <w:t>.</w:t>
      </w:r>
    </w:p>
    <w:p w:rsidR="000A0F2D" w14:paraId="0C37E147" w14:textId="77777777">
      <w:pPr>
        <w:sectPr>
          <w:footerReference w:type="default" r:id="rId13"/>
          <w:pgSz w:w="12240" w:h="15840"/>
          <w:pgMar w:top="1360" w:right="1580" w:bottom="980" w:left="1340" w:header="0" w:footer="792" w:gutter="0"/>
          <w:cols w:space="720"/>
        </w:sectPr>
      </w:pPr>
    </w:p>
    <w:p w:rsidR="000A0F2D" w14:paraId="56CA2427" w14:textId="77777777">
      <w:pPr>
        <w:pStyle w:val="BodyText"/>
        <w:spacing w:before="4"/>
        <w:rPr>
          <w:sz w:val="17"/>
        </w:rPr>
      </w:pPr>
    </w:p>
    <w:p w:rsidR="000A0F2D" w14:paraId="764018DE" w14:textId="77777777">
      <w:pPr>
        <w:pStyle w:val="BodyText"/>
        <w:spacing w:before="8"/>
        <w:rPr>
          <w:sz w:val="10"/>
        </w:rPr>
      </w:pPr>
    </w:p>
    <w:p w:rsidR="000A0F2D" w14:paraId="1406F3F0" w14:textId="77777777">
      <w:pPr>
        <w:pStyle w:val="Heading1"/>
        <w:spacing w:before="90"/>
        <w:ind w:left="938" w:right="701" w:firstLine="0"/>
        <w:jc w:val="center"/>
      </w:pPr>
      <w:r>
        <w:t>RECOMMENDATIONS</w:t>
      </w:r>
    </w:p>
    <w:p w:rsidR="000A0F2D" w14:paraId="69C8F841" w14:textId="77777777">
      <w:pPr>
        <w:pStyle w:val="BodyText"/>
        <w:spacing w:before="6"/>
        <w:rPr>
          <w:b/>
          <w:sz w:val="23"/>
        </w:rPr>
      </w:pPr>
    </w:p>
    <w:p w:rsidR="000A0F2D" w:rsidRPr="00330D50" w:rsidP="00330D50" w14:paraId="5DE8CD0C" w14:textId="14BD0EBF">
      <w:pPr>
        <w:pStyle w:val="ListParagraph"/>
        <w:numPr>
          <w:ilvl w:val="0"/>
          <w:numId w:val="4"/>
        </w:numPr>
        <w:tabs>
          <w:tab w:val="left" w:pos="1361"/>
        </w:tabs>
        <w:spacing w:before="1"/>
        <w:ind w:right="213"/>
        <w:jc w:val="both"/>
      </w:pPr>
      <w:r>
        <w:rPr>
          <w:sz w:val="24"/>
        </w:rPr>
        <w:t>ARMS Phase III n</w:t>
      </w:r>
      <w:r w:rsidR="00595285">
        <w:rPr>
          <w:sz w:val="24"/>
        </w:rPr>
        <w:t>onresponse</w:t>
      </w:r>
      <w:r w:rsidRPr="00330D50" w:rsidR="00595285">
        <w:rPr>
          <w:spacing w:val="1"/>
          <w:sz w:val="24"/>
        </w:rPr>
        <w:t xml:space="preserve"> </w:t>
      </w:r>
      <w:r w:rsidR="00595285">
        <w:rPr>
          <w:sz w:val="24"/>
        </w:rPr>
        <w:t>bias</w:t>
      </w:r>
      <w:r w:rsidRPr="00330D50" w:rsidR="00595285">
        <w:rPr>
          <w:spacing w:val="1"/>
          <w:sz w:val="24"/>
        </w:rPr>
        <w:t xml:space="preserve"> </w:t>
      </w:r>
      <w:r w:rsidR="00595285">
        <w:rPr>
          <w:sz w:val="24"/>
        </w:rPr>
        <w:t>should</w:t>
      </w:r>
      <w:r w:rsidRPr="00330D50" w:rsidR="00595285">
        <w:rPr>
          <w:spacing w:val="1"/>
          <w:sz w:val="24"/>
        </w:rPr>
        <w:t xml:space="preserve"> </w:t>
      </w:r>
      <w:r w:rsidR="00595285">
        <w:rPr>
          <w:sz w:val="24"/>
        </w:rPr>
        <w:t>be</w:t>
      </w:r>
      <w:r w:rsidRPr="00330D50" w:rsidR="00595285">
        <w:rPr>
          <w:spacing w:val="1"/>
          <w:sz w:val="24"/>
        </w:rPr>
        <w:t xml:space="preserve"> </w:t>
      </w:r>
      <w:r w:rsidR="00595285">
        <w:rPr>
          <w:sz w:val="24"/>
        </w:rPr>
        <w:t>reevaluated</w:t>
      </w:r>
      <w:r w:rsidRPr="00330D50" w:rsidR="00595285">
        <w:rPr>
          <w:spacing w:val="1"/>
          <w:sz w:val="24"/>
        </w:rPr>
        <w:t xml:space="preserve"> </w:t>
      </w:r>
      <w:r w:rsidR="00595285">
        <w:rPr>
          <w:sz w:val="24"/>
        </w:rPr>
        <w:t>when</w:t>
      </w:r>
      <w:r w:rsidRPr="00330D50" w:rsidR="00595285">
        <w:rPr>
          <w:spacing w:val="1"/>
          <w:sz w:val="24"/>
        </w:rPr>
        <w:t xml:space="preserve"> </w:t>
      </w:r>
      <w:r w:rsidR="00595285">
        <w:rPr>
          <w:sz w:val="24"/>
        </w:rPr>
        <w:t>the</w:t>
      </w:r>
      <w:r w:rsidRPr="00330D50" w:rsidR="00595285">
        <w:rPr>
          <w:spacing w:val="1"/>
          <w:sz w:val="24"/>
        </w:rPr>
        <w:t xml:space="preserve"> </w:t>
      </w:r>
      <w:r w:rsidR="00595285">
        <w:rPr>
          <w:sz w:val="24"/>
        </w:rPr>
        <w:t>20</w:t>
      </w:r>
      <w:r w:rsidR="00330D50">
        <w:rPr>
          <w:sz w:val="24"/>
        </w:rPr>
        <w:t>22</w:t>
      </w:r>
      <w:r w:rsidRPr="00330D50" w:rsidR="00595285">
        <w:rPr>
          <w:spacing w:val="1"/>
          <w:sz w:val="24"/>
        </w:rPr>
        <w:t xml:space="preserve"> </w:t>
      </w:r>
      <w:r w:rsidR="00595285">
        <w:rPr>
          <w:sz w:val="24"/>
        </w:rPr>
        <w:t>Census</w:t>
      </w:r>
      <w:r w:rsidRPr="00330D50" w:rsidR="00595285">
        <w:rPr>
          <w:spacing w:val="1"/>
          <w:sz w:val="24"/>
        </w:rPr>
        <w:t xml:space="preserve"> </w:t>
      </w:r>
      <w:r w:rsidR="00595285">
        <w:rPr>
          <w:sz w:val="24"/>
        </w:rPr>
        <w:t>data</w:t>
      </w:r>
      <w:r w:rsidRPr="00330D50" w:rsidR="00595285">
        <w:rPr>
          <w:spacing w:val="1"/>
          <w:sz w:val="24"/>
        </w:rPr>
        <w:t xml:space="preserve"> </w:t>
      </w:r>
      <w:r w:rsidR="00595285">
        <w:rPr>
          <w:sz w:val="24"/>
        </w:rPr>
        <w:t>are</w:t>
      </w:r>
      <w:r w:rsidRPr="00330D50" w:rsidR="00595285">
        <w:rPr>
          <w:spacing w:val="1"/>
          <w:sz w:val="24"/>
        </w:rPr>
        <w:t xml:space="preserve"> </w:t>
      </w:r>
      <w:r w:rsidR="00595285">
        <w:rPr>
          <w:sz w:val="24"/>
        </w:rPr>
        <w:t>available.</w:t>
      </w:r>
      <w:r w:rsidRPr="00330D50" w:rsidR="00595285">
        <w:rPr>
          <w:spacing w:val="61"/>
          <w:sz w:val="24"/>
        </w:rPr>
        <w:t xml:space="preserve"> </w:t>
      </w:r>
    </w:p>
    <w:p w:rsidR="00330D50" w:rsidP="00330D50" w14:paraId="470F33BB" w14:textId="77777777">
      <w:pPr>
        <w:pStyle w:val="ListParagraph"/>
        <w:tabs>
          <w:tab w:val="left" w:pos="1361"/>
        </w:tabs>
        <w:spacing w:before="1"/>
        <w:ind w:left="1360" w:right="213" w:firstLine="0"/>
        <w:jc w:val="both"/>
      </w:pPr>
    </w:p>
    <w:p w:rsidR="0068260E" w14:paraId="1468001C" w14:textId="77777777">
      <w:pPr>
        <w:pStyle w:val="ListParagraph"/>
        <w:numPr>
          <w:ilvl w:val="0"/>
          <w:numId w:val="4"/>
        </w:numPr>
        <w:tabs>
          <w:tab w:val="left" w:pos="1386"/>
        </w:tabs>
        <w:ind w:right="223"/>
        <w:jc w:val="both"/>
        <w:rPr>
          <w:sz w:val="24"/>
        </w:rPr>
      </w:pPr>
      <w:r>
        <w:rPr>
          <w:sz w:val="24"/>
        </w:rPr>
        <w:t>Continue ARMS Phase III target records estimation process and the adaptive data collection strategies that maximize response.</w:t>
      </w:r>
    </w:p>
    <w:p w:rsidR="0068260E" w:rsidRPr="0068260E" w:rsidP="0068260E" w14:paraId="74D8DB9B" w14:textId="77777777">
      <w:pPr>
        <w:pStyle w:val="ListParagraph"/>
        <w:rPr>
          <w:sz w:val="24"/>
        </w:rPr>
      </w:pPr>
    </w:p>
    <w:p w:rsidR="000A0F2D" w14:paraId="2D4055C4" w14:textId="089BB92B">
      <w:pPr>
        <w:pStyle w:val="ListParagraph"/>
        <w:numPr>
          <w:ilvl w:val="0"/>
          <w:numId w:val="4"/>
        </w:numPr>
        <w:tabs>
          <w:tab w:val="left" w:pos="1386"/>
        </w:tabs>
        <w:ind w:right="223"/>
        <w:jc w:val="both"/>
        <w:rPr>
          <w:sz w:val="24"/>
        </w:rPr>
      </w:pPr>
      <w:r>
        <w:rPr>
          <w:sz w:val="24"/>
        </w:rPr>
        <w:t>Search for biases at levels other than region.</w:t>
      </w:r>
      <w:r w:rsidR="007C7392">
        <w:rPr>
          <w:sz w:val="24"/>
        </w:rPr>
        <w:t xml:space="preserve"> </w:t>
      </w:r>
    </w:p>
    <w:p w:rsidR="000A0F2D" w14:paraId="182708F6" w14:textId="77777777">
      <w:pPr>
        <w:pStyle w:val="BodyText"/>
        <w:rPr>
          <w:sz w:val="20"/>
        </w:rPr>
      </w:pPr>
    </w:p>
    <w:p w:rsidR="000A0F2D" w14:paraId="2C8F8728" w14:textId="77777777">
      <w:pPr>
        <w:pStyle w:val="BodyText"/>
        <w:rPr>
          <w:sz w:val="20"/>
        </w:rPr>
      </w:pPr>
    </w:p>
    <w:p w:rsidR="000A0F2D" w14:paraId="1940CF71" w14:textId="77777777">
      <w:pPr>
        <w:pStyle w:val="BodyText"/>
        <w:rPr>
          <w:sz w:val="20"/>
        </w:rPr>
      </w:pPr>
    </w:p>
    <w:p w:rsidR="000A0F2D" w14:paraId="6662E795" w14:textId="77777777">
      <w:pPr>
        <w:pStyle w:val="BodyText"/>
        <w:rPr>
          <w:sz w:val="20"/>
        </w:rPr>
      </w:pPr>
    </w:p>
    <w:p w:rsidR="000A0F2D" w14:paraId="7B5B2E8B" w14:textId="77777777">
      <w:pPr>
        <w:pStyle w:val="BodyText"/>
        <w:rPr>
          <w:sz w:val="20"/>
        </w:rPr>
      </w:pPr>
    </w:p>
    <w:p w:rsidR="000A0F2D" w14:paraId="74158E84" w14:textId="77777777">
      <w:pPr>
        <w:pStyle w:val="BodyText"/>
        <w:rPr>
          <w:sz w:val="20"/>
        </w:rPr>
      </w:pPr>
    </w:p>
    <w:p w:rsidR="000A0F2D" w14:paraId="7A096040" w14:textId="77777777">
      <w:pPr>
        <w:pStyle w:val="BodyText"/>
        <w:rPr>
          <w:sz w:val="20"/>
        </w:rPr>
      </w:pPr>
    </w:p>
    <w:p w:rsidR="000A0F2D" w14:paraId="54BE72A8" w14:textId="77777777">
      <w:pPr>
        <w:pStyle w:val="BodyText"/>
        <w:rPr>
          <w:sz w:val="20"/>
        </w:rPr>
      </w:pPr>
    </w:p>
    <w:p w:rsidR="000A0F2D" w14:paraId="2941772A" w14:textId="77777777">
      <w:pPr>
        <w:pStyle w:val="BodyText"/>
        <w:rPr>
          <w:sz w:val="20"/>
        </w:rPr>
      </w:pPr>
    </w:p>
    <w:p w:rsidR="000A0F2D" w14:paraId="4F8561D2" w14:textId="77777777">
      <w:pPr>
        <w:pStyle w:val="BodyText"/>
        <w:rPr>
          <w:sz w:val="20"/>
        </w:rPr>
      </w:pPr>
    </w:p>
    <w:p w:rsidR="000A0F2D" w14:paraId="4B068DC7" w14:textId="77777777">
      <w:pPr>
        <w:pStyle w:val="BodyText"/>
        <w:rPr>
          <w:sz w:val="20"/>
        </w:rPr>
      </w:pPr>
    </w:p>
    <w:p w:rsidR="000A0F2D" w14:paraId="5579F8FD" w14:textId="77777777">
      <w:pPr>
        <w:pStyle w:val="BodyText"/>
        <w:rPr>
          <w:sz w:val="20"/>
        </w:rPr>
      </w:pPr>
    </w:p>
    <w:p w:rsidR="000A0F2D" w14:paraId="4351D8C1" w14:textId="77777777">
      <w:pPr>
        <w:pStyle w:val="BodyText"/>
        <w:rPr>
          <w:sz w:val="20"/>
        </w:rPr>
      </w:pPr>
    </w:p>
    <w:p w:rsidR="000A0F2D" w14:paraId="35F52B99" w14:textId="77777777">
      <w:pPr>
        <w:pStyle w:val="BodyText"/>
        <w:rPr>
          <w:sz w:val="20"/>
        </w:rPr>
      </w:pPr>
    </w:p>
    <w:p w:rsidR="000A0F2D" w14:paraId="19964B00" w14:textId="77777777">
      <w:pPr>
        <w:pStyle w:val="BodyText"/>
        <w:rPr>
          <w:sz w:val="20"/>
        </w:rPr>
      </w:pPr>
    </w:p>
    <w:p w:rsidR="000A0F2D" w14:paraId="35C7FE3E" w14:textId="77777777">
      <w:pPr>
        <w:pStyle w:val="BodyText"/>
        <w:rPr>
          <w:sz w:val="20"/>
        </w:rPr>
      </w:pPr>
    </w:p>
    <w:p w:rsidR="000A0F2D" w14:paraId="54714FB0" w14:textId="77777777">
      <w:pPr>
        <w:pStyle w:val="BodyText"/>
        <w:rPr>
          <w:sz w:val="20"/>
        </w:rPr>
      </w:pPr>
    </w:p>
    <w:p w:rsidR="000A0F2D" w14:paraId="1A0AF180" w14:textId="77777777">
      <w:pPr>
        <w:pStyle w:val="BodyText"/>
        <w:rPr>
          <w:sz w:val="20"/>
        </w:rPr>
      </w:pPr>
    </w:p>
    <w:p w:rsidR="000A0F2D" w14:paraId="30DF77D2" w14:textId="77777777">
      <w:pPr>
        <w:pStyle w:val="BodyText"/>
        <w:rPr>
          <w:sz w:val="20"/>
        </w:rPr>
      </w:pPr>
    </w:p>
    <w:p w:rsidR="000A0F2D" w14:paraId="08046F3C" w14:textId="77777777">
      <w:pPr>
        <w:pStyle w:val="BodyText"/>
        <w:rPr>
          <w:sz w:val="20"/>
        </w:rPr>
      </w:pPr>
    </w:p>
    <w:p w:rsidR="000A0F2D" w14:paraId="2D2C1043" w14:textId="77777777">
      <w:pPr>
        <w:pStyle w:val="BodyText"/>
        <w:rPr>
          <w:sz w:val="20"/>
        </w:rPr>
      </w:pPr>
    </w:p>
    <w:p w:rsidR="000A0F2D" w14:paraId="0E78AE6A" w14:textId="77777777">
      <w:pPr>
        <w:pStyle w:val="BodyText"/>
        <w:rPr>
          <w:sz w:val="20"/>
        </w:rPr>
      </w:pPr>
    </w:p>
    <w:p w:rsidR="000A0F2D" w14:paraId="46C7C457" w14:textId="77777777">
      <w:pPr>
        <w:pStyle w:val="BodyText"/>
        <w:rPr>
          <w:sz w:val="20"/>
        </w:rPr>
      </w:pPr>
    </w:p>
    <w:p w:rsidR="000A0F2D" w14:paraId="78C42168" w14:textId="77777777">
      <w:pPr>
        <w:pStyle w:val="BodyText"/>
        <w:rPr>
          <w:sz w:val="20"/>
        </w:rPr>
      </w:pPr>
    </w:p>
    <w:p w:rsidR="000A0F2D" w14:paraId="174290E3" w14:textId="77777777">
      <w:pPr>
        <w:pStyle w:val="BodyText"/>
        <w:rPr>
          <w:sz w:val="20"/>
        </w:rPr>
      </w:pPr>
    </w:p>
    <w:p w:rsidR="000A0F2D" w14:paraId="6FBD22EA" w14:textId="77777777">
      <w:pPr>
        <w:pStyle w:val="BodyText"/>
        <w:rPr>
          <w:sz w:val="20"/>
        </w:rPr>
      </w:pPr>
    </w:p>
    <w:p w:rsidR="000A0F2D" w14:paraId="45F14BAA" w14:textId="77777777">
      <w:pPr>
        <w:pStyle w:val="BodyText"/>
        <w:rPr>
          <w:sz w:val="20"/>
        </w:rPr>
      </w:pPr>
    </w:p>
    <w:p w:rsidR="000A0F2D" w14:paraId="54F09EE2" w14:textId="77777777">
      <w:pPr>
        <w:pStyle w:val="BodyText"/>
        <w:rPr>
          <w:sz w:val="20"/>
        </w:rPr>
      </w:pPr>
    </w:p>
    <w:p w:rsidR="000A0F2D" w14:paraId="2E0C340C" w14:textId="77777777">
      <w:pPr>
        <w:pStyle w:val="BodyText"/>
        <w:rPr>
          <w:sz w:val="20"/>
        </w:rPr>
      </w:pPr>
    </w:p>
    <w:p w:rsidR="000A0F2D" w14:paraId="25357213" w14:textId="77777777">
      <w:pPr>
        <w:pStyle w:val="BodyText"/>
        <w:rPr>
          <w:sz w:val="20"/>
        </w:rPr>
      </w:pPr>
    </w:p>
    <w:p w:rsidR="000A0F2D" w14:paraId="0E6601D8" w14:textId="77777777">
      <w:pPr>
        <w:pStyle w:val="BodyText"/>
        <w:rPr>
          <w:sz w:val="20"/>
        </w:rPr>
      </w:pPr>
    </w:p>
    <w:p w:rsidR="000A0F2D" w14:paraId="7A61851F" w14:textId="77777777">
      <w:pPr>
        <w:pStyle w:val="BodyText"/>
        <w:rPr>
          <w:sz w:val="20"/>
        </w:rPr>
      </w:pPr>
    </w:p>
    <w:p w:rsidR="000A0F2D" w14:paraId="0A3CE54F" w14:textId="77777777">
      <w:pPr>
        <w:pStyle w:val="BodyText"/>
        <w:rPr>
          <w:sz w:val="20"/>
        </w:rPr>
      </w:pPr>
    </w:p>
    <w:p w:rsidR="000A0F2D" w14:paraId="5D35C2AB" w14:textId="77777777">
      <w:pPr>
        <w:pStyle w:val="BodyText"/>
        <w:rPr>
          <w:sz w:val="20"/>
        </w:rPr>
      </w:pPr>
    </w:p>
    <w:p w:rsidR="000A0F2D" w14:paraId="795DD632" w14:textId="77777777">
      <w:pPr>
        <w:rPr>
          <w:sz w:val="20"/>
        </w:rPr>
        <w:sectPr>
          <w:footerReference w:type="default" r:id="rId14"/>
          <w:pgSz w:w="12240" w:h="15840"/>
          <w:pgMar w:top="1500" w:right="1580" w:bottom="980" w:left="1340" w:header="0" w:footer="792" w:gutter="0"/>
          <w:cols w:space="720"/>
        </w:sectPr>
      </w:pPr>
    </w:p>
    <w:p w:rsidR="000A0F2D" w14:paraId="1FEF3F4A" w14:textId="77777777">
      <w:pPr>
        <w:pStyle w:val="BodyText"/>
        <w:spacing w:before="4"/>
        <w:rPr>
          <w:sz w:val="17"/>
        </w:rPr>
      </w:pPr>
    </w:p>
    <w:p w:rsidR="000A0F2D" w:rsidP="00DD665F" w14:paraId="63A9E520" w14:textId="789C4AEF">
      <w:pPr>
        <w:pStyle w:val="Heading2"/>
        <w:spacing w:before="76"/>
        <w:ind w:left="942" w:right="701"/>
        <w:jc w:val="center"/>
      </w:pPr>
      <w:r w:rsidRPr="00DD665F">
        <w:t xml:space="preserve">Reassessing Nonresponse Bias and Calibration in 2020 ARMS Phase III </w:t>
      </w:r>
    </w:p>
    <w:p w:rsidR="00DD665F" w:rsidP="00DD665F" w14:paraId="1EF3B98C" w14:textId="77777777">
      <w:pPr>
        <w:pStyle w:val="Heading2"/>
        <w:spacing w:before="76"/>
        <w:ind w:left="942" w:right="701"/>
        <w:jc w:val="center"/>
        <w:rPr>
          <w:b w:val="0"/>
          <w:sz w:val="23"/>
        </w:rPr>
      </w:pPr>
    </w:p>
    <w:p w:rsidR="000A0F2D" w14:paraId="07C7D93D" w14:textId="77777777">
      <w:pPr>
        <w:pStyle w:val="BodyText"/>
        <w:spacing w:before="1"/>
        <w:ind w:left="941" w:right="701"/>
        <w:jc w:val="center"/>
      </w:pPr>
      <w:r>
        <w:t>Fatou Thiam</w:t>
      </w:r>
      <w:r>
        <w:rPr>
          <w:vertAlign w:val="superscript"/>
        </w:rPr>
        <w:t>1</w:t>
      </w:r>
    </w:p>
    <w:p w:rsidR="000A0F2D" w14:paraId="18E5C01F" w14:textId="77777777">
      <w:pPr>
        <w:pStyle w:val="BodyText"/>
        <w:spacing w:before="5"/>
      </w:pPr>
      <w:r>
        <w:pict>
          <v:rect id="docshape5" o:spid="_x0000_s1026" style="width:434.95pt;height:1.45pt;margin-top:15.25pt;margin-left:88.6pt;mso-position-horizontal-relative:page;mso-wrap-distance-left:0;mso-wrap-distance-right:0;position:absolute;z-index:-251658240" fillcolor="black" stroked="f">
            <w10:wrap type="topAndBottom"/>
          </v:rect>
        </w:pict>
      </w:r>
    </w:p>
    <w:p w:rsidR="000A0F2D" w14:paraId="41081943" w14:textId="77777777">
      <w:pPr>
        <w:pStyle w:val="Heading2"/>
        <w:spacing w:before="0" w:line="273" w:lineRule="exact"/>
        <w:ind w:left="941" w:right="701"/>
        <w:jc w:val="center"/>
      </w:pPr>
      <w:r>
        <w:t>Abstract</w:t>
      </w:r>
    </w:p>
    <w:p w:rsidR="000A0F2D" w14:paraId="6EBDFB6D" w14:textId="77777777">
      <w:pPr>
        <w:pStyle w:val="BodyText"/>
        <w:spacing w:before="6"/>
        <w:rPr>
          <w:b/>
          <w:sz w:val="23"/>
        </w:rPr>
      </w:pPr>
    </w:p>
    <w:p w:rsidR="000A0F2D" w14:paraId="09636782" w14:textId="62A9E56C">
      <w:pPr>
        <w:pStyle w:val="BodyText"/>
        <w:ind w:left="460" w:right="214"/>
        <w:jc w:val="both"/>
      </w:pPr>
      <w:r>
        <w:t>The United States Department of Agriculture’s National Agricultural Statistics Service</w:t>
      </w:r>
      <w:r>
        <w:rPr>
          <w:spacing w:val="1"/>
        </w:rPr>
        <w:t xml:space="preserve"> </w:t>
      </w:r>
      <w:r>
        <w:t>(NASS) conducts</w:t>
      </w:r>
      <w:r>
        <w:rPr>
          <w:spacing w:val="60"/>
        </w:rPr>
        <w:t xml:space="preserve"> </w:t>
      </w:r>
      <w:r>
        <w:t>the annual Agricultural Resource Management Survey (ARMS) in</w:t>
      </w:r>
      <w:r>
        <w:rPr>
          <w:spacing w:val="1"/>
        </w:rPr>
        <w:t xml:space="preserve"> </w:t>
      </w:r>
      <w:r>
        <w:t>three phases.</w:t>
      </w:r>
      <w:r>
        <w:rPr>
          <w:spacing w:val="1"/>
        </w:rPr>
        <w:t xml:space="preserve"> </w:t>
      </w:r>
      <w:r>
        <w:t xml:space="preserve">The third </w:t>
      </w:r>
      <w:r w:rsidR="0090209A">
        <w:t xml:space="preserve">ARMS </w:t>
      </w:r>
      <w:r>
        <w:t xml:space="preserve">phase </w:t>
      </w:r>
      <w:r w:rsidR="00C57D27">
        <w:t>c</w:t>
      </w:r>
      <w:r>
        <w:t xml:space="preserve">ollects </w:t>
      </w:r>
      <w:r w:rsidR="005431E0">
        <w:t xml:space="preserve">sensitive </w:t>
      </w:r>
      <w:r>
        <w:t>economic</w:t>
      </w:r>
      <w:r w:rsidR="005431E0">
        <w:t xml:space="preserve"> </w:t>
      </w:r>
      <w:r w:rsidR="008F6F62">
        <w:t>statistics</w:t>
      </w:r>
      <w:r>
        <w:t>.</w:t>
      </w:r>
      <w:r>
        <w:rPr>
          <w:spacing w:val="1"/>
        </w:rPr>
        <w:t xml:space="preserve"> </w:t>
      </w:r>
      <w:r>
        <w:t xml:space="preserve">According to the 2006 </w:t>
      </w:r>
      <w:hyperlink r:id="rId12">
        <w:r>
          <w:rPr>
            <w:i/>
          </w:rPr>
          <w:t>Office of Management and Budget Standards</w:t>
        </w:r>
      </w:hyperlink>
      <w:r>
        <w:rPr>
          <w:i/>
          <w:spacing w:val="-57"/>
        </w:rPr>
        <w:t xml:space="preserve"> </w:t>
      </w:r>
      <w:hyperlink r:id="rId12">
        <w:r>
          <w:rPr>
            <w:i/>
          </w:rPr>
          <w:t>and Guidelines for Statistical Surveys</w:t>
        </w:r>
        <w:r>
          <w:t xml:space="preserve">, </w:t>
        </w:r>
      </w:hyperlink>
      <w:r>
        <w:t xml:space="preserve">response rates lower than 80 percent </w:t>
      </w:r>
      <w:r w:rsidR="008F6F62">
        <w:t xml:space="preserve">must be evaluated </w:t>
      </w:r>
      <w:r w:rsidR="005431E0">
        <w:t xml:space="preserve">for </w:t>
      </w:r>
      <w:r>
        <w:t>nonresponse bias.</w:t>
      </w:r>
      <w:r>
        <w:rPr>
          <w:spacing w:val="1"/>
        </w:rPr>
        <w:t xml:space="preserve"> </w:t>
      </w:r>
      <w:r w:rsidR="005431E0">
        <w:rPr>
          <w:spacing w:val="1"/>
        </w:rPr>
        <w:t xml:space="preserve">Since 2002, </w:t>
      </w:r>
      <w:r>
        <w:t>NASS</w:t>
      </w:r>
      <w:r>
        <w:rPr>
          <w:spacing w:val="1"/>
        </w:rPr>
        <w:t xml:space="preserve"> </w:t>
      </w:r>
      <w:r w:rsidR="00FD0B9C">
        <w:rPr>
          <w:spacing w:val="1"/>
        </w:rPr>
        <w:t xml:space="preserve">has </w:t>
      </w:r>
      <w:r w:rsidR="008F6F62">
        <w:rPr>
          <w:spacing w:val="1"/>
        </w:rPr>
        <w:t>employ</w:t>
      </w:r>
      <w:r w:rsidR="00FD0B9C">
        <w:rPr>
          <w:spacing w:val="1"/>
        </w:rPr>
        <w:t>ed</w:t>
      </w:r>
      <w:r>
        <w:rPr>
          <w:spacing w:val="60"/>
        </w:rPr>
        <w:t xml:space="preserve"> </w:t>
      </w:r>
      <w:r>
        <w:t>calibrat</w:t>
      </w:r>
      <w:r w:rsidR="008F6F62">
        <w:t xml:space="preserve">ion of survey </w:t>
      </w:r>
      <w:r>
        <w:t>weights</w:t>
      </w:r>
      <w:r w:rsidR="005431E0">
        <w:t xml:space="preserve"> to </w:t>
      </w:r>
      <w:r w:rsidR="008F6F62">
        <w:t>mitigate</w:t>
      </w:r>
      <w:r>
        <w:t xml:space="preserve"> nonresponse bias</w:t>
      </w:r>
      <w:r w:rsidR="008F6F62">
        <w:t xml:space="preserve">. This research </w:t>
      </w:r>
      <w:r w:rsidR="006E6134">
        <w:t xml:space="preserve">will </w:t>
      </w:r>
      <w:r w:rsidR="008F6F62">
        <w:t xml:space="preserve">evaluate </w:t>
      </w:r>
      <w:r w:rsidR="007278CF">
        <w:t xml:space="preserve">nonresponse biases through </w:t>
      </w:r>
      <w:r w:rsidR="00C57D27">
        <w:t xml:space="preserve">specifications provided by OMB, data from 2017 Census of Agriculture, and modern survey </w:t>
      </w:r>
      <w:r w:rsidR="001B2A69">
        <w:t xml:space="preserve">calibration </w:t>
      </w:r>
      <w:r w:rsidR="00C57D27">
        <w:t xml:space="preserve">processes. </w:t>
      </w:r>
    </w:p>
    <w:p w:rsidR="000A0F2D" w14:paraId="458690B6" w14:textId="77777777">
      <w:pPr>
        <w:pStyle w:val="BodyText"/>
        <w:spacing w:before="1"/>
      </w:pPr>
    </w:p>
    <w:p w:rsidR="000A0F2D" w14:paraId="566A6F95" w14:textId="1EB9C099">
      <w:pPr>
        <w:pStyle w:val="BodyText"/>
        <w:ind w:left="460" w:right="217"/>
        <w:jc w:val="both"/>
      </w:pPr>
      <w:r>
        <w:t>R</w:t>
      </w:r>
      <w:r w:rsidR="00595285">
        <w:t xml:space="preserve">esults </w:t>
      </w:r>
      <w:r w:rsidR="00C57D27">
        <w:t xml:space="preserve">suggest </w:t>
      </w:r>
      <w:r w:rsidR="00595285">
        <w:t>calibrat</w:t>
      </w:r>
      <w:r w:rsidR="00C57D27">
        <w:t xml:space="preserve">ion processes </w:t>
      </w:r>
      <w:r w:rsidR="00595285">
        <w:t>decreased bias</w:t>
      </w:r>
      <w:r w:rsidR="007278CF">
        <w:t>es</w:t>
      </w:r>
      <w:r w:rsidR="00595285">
        <w:t xml:space="preserve"> </w:t>
      </w:r>
      <w:r>
        <w:t xml:space="preserve">to levels </w:t>
      </w:r>
      <w:r w:rsidR="00595285">
        <w:t>no</w:t>
      </w:r>
      <w:r w:rsidR="00595285">
        <w:rPr>
          <w:spacing w:val="1"/>
        </w:rPr>
        <w:t xml:space="preserve"> </w:t>
      </w:r>
      <w:r w:rsidR="00595285">
        <w:t>longer significantly different from zero</w:t>
      </w:r>
      <w:r w:rsidR="00595285">
        <w:rPr>
          <w:spacing w:val="1"/>
        </w:rPr>
        <w:t xml:space="preserve"> </w:t>
      </w:r>
      <w:r>
        <w:rPr>
          <w:spacing w:val="1"/>
        </w:rPr>
        <w:t>(</w:t>
      </w:r>
      <w:r w:rsidRPr="000E3FA1">
        <w:rPr>
          <w:i/>
          <w:iCs/>
          <w:spacing w:val="1"/>
        </w:rPr>
        <w:t>P&lt;</w:t>
      </w:r>
      <w:r>
        <w:rPr>
          <w:i/>
          <w:iCs/>
          <w:spacing w:val="1"/>
        </w:rPr>
        <w:t>=</w:t>
      </w:r>
      <w:r w:rsidRPr="000E3FA1" w:rsidR="00595285">
        <w:rPr>
          <w:i/>
          <w:iCs/>
        </w:rPr>
        <w:t xml:space="preserve"> 0.05</w:t>
      </w:r>
      <w:r>
        <w:t>)</w:t>
      </w:r>
      <w:r w:rsidR="00595285">
        <w:t xml:space="preserve"> for </w:t>
      </w:r>
      <w:r w:rsidR="001C4F48">
        <w:t>95.8</w:t>
      </w:r>
      <w:r w:rsidR="00595285">
        <w:rPr>
          <w:spacing w:val="1"/>
        </w:rPr>
        <w:t xml:space="preserve"> </w:t>
      </w:r>
      <w:r w:rsidR="00595285">
        <w:t>percent</w:t>
      </w:r>
      <w:r w:rsidR="00595285">
        <w:rPr>
          <w:spacing w:val="1"/>
        </w:rPr>
        <w:t xml:space="preserve"> </w:t>
      </w:r>
      <w:r w:rsidR="00595285">
        <w:t xml:space="preserve">of </w:t>
      </w:r>
      <w:r>
        <w:t xml:space="preserve">select </w:t>
      </w:r>
      <w:r w:rsidR="00595285">
        <w:t>variables.</w:t>
      </w:r>
    </w:p>
    <w:p w:rsidR="000A0F2D" w14:paraId="4C477C52" w14:textId="77777777">
      <w:pPr>
        <w:pStyle w:val="BodyText"/>
        <w:spacing w:before="3"/>
      </w:pPr>
    </w:p>
    <w:p w:rsidR="000A0F2D" w14:paraId="6D7943C8" w14:textId="56F1BA6C">
      <w:pPr>
        <w:pStyle w:val="BodyText"/>
        <w:ind w:left="460"/>
        <w:jc w:val="both"/>
      </w:pPr>
      <w:r>
        <w:pict>
          <v:rect id="docshape6" o:spid="_x0000_s1027" style="width:434.95pt;height:1.45pt;margin-top:15.05pt;margin-left:88.6pt;mso-position-horizontal-relative:page;mso-wrap-distance-left:0;mso-wrap-distance-right:0;position:absolute;z-index:-251657216" fillcolor="black" stroked="f">
            <w10:wrap type="topAndBottom"/>
          </v:rect>
        </w:pict>
      </w:r>
      <w:r w:rsidR="00595285">
        <w:rPr>
          <w:b/>
        </w:rPr>
        <w:t>Key</w:t>
      </w:r>
      <w:r w:rsidR="00595285">
        <w:rPr>
          <w:b/>
          <w:spacing w:val="-2"/>
        </w:rPr>
        <w:t xml:space="preserve"> </w:t>
      </w:r>
      <w:r w:rsidR="00595285">
        <w:rPr>
          <w:b/>
        </w:rPr>
        <w:t>Words:</w:t>
      </w:r>
      <w:r w:rsidR="00595285">
        <w:rPr>
          <w:b/>
          <w:spacing w:val="56"/>
        </w:rPr>
        <w:t xml:space="preserve"> </w:t>
      </w:r>
      <w:r w:rsidR="00595285">
        <w:t>Nonresponse;</w:t>
      </w:r>
      <w:r w:rsidR="00595285">
        <w:rPr>
          <w:spacing w:val="-1"/>
        </w:rPr>
        <w:t xml:space="preserve"> </w:t>
      </w:r>
      <w:r w:rsidR="003120A3">
        <w:t>bias</w:t>
      </w:r>
      <w:r w:rsidR="00595285">
        <w:t>;</w:t>
      </w:r>
      <w:r w:rsidR="00595285">
        <w:rPr>
          <w:spacing w:val="-1"/>
        </w:rPr>
        <w:t xml:space="preserve"> </w:t>
      </w:r>
      <w:r w:rsidR="00595285">
        <w:t>calibration.</w:t>
      </w:r>
    </w:p>
    <w:p w:rsidR="000A0F2D" w14:paraId="602A425F" w14:textId="77777777">
      <w:pPr>
        <w:pStyle w:val="BodyText"/>
        <w:rPr>
          <w:sz w:val="20"/>
        </w:rPr>
      </w:pPr>
    </w:p>
    <w:p w:rsidR="000A0F2D" w14:paraId="504113F2" w14:textId="77777777">
      <w:pPr>
        <w:pStyle w:val="BodyText"/>
        <w:rPr>
          <w:sz w:val="20"/>
        </w:rPr>
      </w:pPr>
    </w:p>
    <w:p w:rsidR="000A0F2D" w14:paraId="6BA71828" w14:textId="77777777">
      <w:pPr>
        <w:pStyle w:val="BodyText"/>
        <w:rPr>
          <w:sz w:val="20"/>
        </w:rPr>
      </w:pPr>
    </w:p>
    <w:p w:rsidR="000A0F2D" w14:paraId="0456B04B" w14:textId="77777777">
      <w:pPr>
        <w:pStyle w:val="BodyText"/>
        <w:rPr>
          <w:sz w:val="20"/>
        </w:rPr>
      </w:pPr>
    </w:p>
    <w:p w:rsidR="000A0F2D" w14:paraId="0CB5E72B" w14:textId="77777777">
      <w:pPr>
        <w:pStyle w:val="BodyText"/>
        <w:rPr>
          <w:sz w:val="20"/>
        </w:rPr>
      </w:pPr>
    </w:p>
    <w:p w:rsidR="000A0F2D" w14:paraId="39721FC2" w14:textId="77777777">
      <w:pPr>
        <w:pStyle w:val="BodyText"/>
        <w:rPr>
          <w:sz w:val="20"/>
        </w:rPr>
      </w:pPr>
    </w:p>
    <w:p w:rsidR="000A0F2D" w14:paraId="6A3925B9" w14:textId="77777777">
      <w:pPr>
        <w:pStyle w:val="BodyText"/>
        <w:rPr>
          <w:sz w:val="20"/>
        </w:rPr>
      </w:pPr>
    </w:p>
    <w:p w:rsidR="000A0F2D" w14:paraId="2D6918A7" w14:textId="77777777">
      <w:pPr>
        <w:pStyle w:val="BodyText"/>
        <w:rPr>
          <w:sz w:val="20"/>
        </w:rPr>
      </w:pPr>
    </w:p>
    <w:p w:rsidR="000A0F2D" w14:paraId="33E38E78" w14:textId="77777777">
      <w:pPr>
        <w:pStyle w:val="BodyText"/>
        <w:rPr>
          <w:sz w:val="20"/>
        </w:rPr>
      </w:pPr>
    </w:p>
    <w:p w:rsidR="000A0F2D" w14:paraId="3BDD563B" w14:textId="77777777">
      <w:pPr>
        <w:pStyle w:val="BodyText"/>
        <w:rPr>
          <w:sz w:val="20"/>
        </w:rPr>
      </w:pPr>
    </w:p>
    <w:p w:rsidR="000A0F2D" w14:paraId="3541D799" w14:textId="77777777">
      <w:pPr>
        <w:pStyle w:val="BodyText"/>
        <w:rPr>
          <w:sz w:val="20"/>
        </w:rPr>
      </w:pPr>
    </w:p>
    <w:p w:rsidR="000A0F2D" w14:paraId="39F8CAF8" w14:textId="77777777">
      <w:pPr>
        <w:pStyle w:val="BodyText"/>
        <w:rPr>
          <w:sz w:val="20"/>
        </w:rPr>
      </w:pPr>
    </w:p>
    <w:p w:rsidR="000A0F2D" w14:paraId="188F6363" w14:textId="5C80B5F7">
      <w:pPr>
        <w:pStyle w:val="BodyText"/>
        <w:rPr>
          <w:sz w:val="20"/>
        </w:rPr>
      </w:pPr>
    </w:p>
    <w:p w:rsidR="00FA6C00" w14:paraId="50D1A922" w14:textId="1652667B">
      <w:pPr>
        <w:pStyle w:val="BodyText"/>
        <w:rPr>
          <w:sz w:val="20"/>
        </w:rPr>
      </w:pPr>
    </w:p>
    <w:p w:rsidR="00FA6C00" w14:paraId="72322A16" w14:textId="0985910C">
      <w:pPr>
        <w:pStyle w:val="BodyText"/>
        <w:rPr>
          <w:sz w:val="20"/>
        </w:rPr>
      </w:pPr>
    </w:p>
    <w:p w:rsidR="00FA6C00" w14:paraId="641A20FF" w14:textId="5970B3D9">
      <w:pPr>
        <w:pStyle w:val="BodyText"/>
        <w:rPr>
          <w:sz w:val="20"/>
        </w:rPr>
      </w:pPr>
    </w:p>
    <w:p w:rsidR="00FA6C00" w14:paraId="53B0642C" w14:textId="30FFCBBE">
      <w:pPr>
        <w:pStyle w:val="BodyText"/>
        <w:rPr>
          <w:sz w:val="20"/>
        </w:rPr>
      </w:pPr>
    </w:p>
    <w:p w:rsidR="00FA6C00" w14:paraId="6038171B" w14:textId="62DB53E7">
      <w:pPr>
        <w:pStyle w:val="BodyText"/>
        <w:rPr>
          <w:sz w:val="20"/>
        </w:rPr>
      </w:pPr>
    </w:p>
    <w:p w:rsidR="00FA6C00" w14:paraId="132EB0BE" w14:textId="013F2B1D">
      <w:pPr>
        <w:pStyle w:val="BodyText"/>
        <w:rPr>
          <w:sz w:val="20"/>
        </w:rPr>
      </w:pPr>
    </w:p>
    <w:p w:rsidR="00FA6C00" w14:paraId="2B4DED2E" w14:textId="77777777">
      <w:pPr>
        <w:pStyle w:val="BodyText"/>
        <w:rPr>
          <w:sz w:val="20"/>
        </w:rPr>
      </w:pPr>
    </w:p>
    <w:p w:rsidR="000A0F2D" w14:paraId="4FE497E4" w14:textId="77777777">
      <w:pPr>
        <w:pStyle w:val="BodyText"/>
        <w:rPr>
          <w:sz w:val="20"/>
        </w:rPr>
      </w:pPr>
    </w:p>
    <w:p w:rsidR="000A0F2D" w14:paraId="0FA3F83F" w14:textId="77777777">
      <w:pPr>
        <w:pStyle w:val="BodyText"/>
        <w:rPr>
          <w:sz w:val="20"/>
        </w:rPr>
      </w:pPr>
    </w:p>
    <w:p w:rsidR="000A0F2D" w14:paraId="20774A60" w14:textId="77777777">
      <w:pPr>
        <w:pStyle w:val="BodyText"/>
        <w:rPr>
          <w:sz w:val="20"/>
        </w:rPr>
      </w:pPr>
    </w:p>
    <w:p w:rsidR="000A0F2D" w14:paraId="1B6D1547" w14:textId="77777777">
      <w:pPr>
        <w:pStyle w:val="BodyText"/>
        <w:rPr>
          <w:sz w:val="20"/>
        </w:rPr>
      </w:pPr>
    </w:p>
    <w:p w:rsidR="000A0F2D" w14:paraId="42D5F473" w14:textId="77777777">
      <w:pPr>
        <w:pStyle w:val="BodyText"/>
        <w:rPr>
          <w:sz w:val="20"/>
        </w:rPr>
      </w:pPr>
    </w:p>
    <w:p w:rsidR="000A0F2D" w14:paraId="250FA756" w14:textId="77777777">
      <w:pPr>
        <w:pStyle w:val="BodyText"/>
        <w:rPr>
          <w:sz w:val="20"/>
        </w:rPr>
      </w:pPr>
    </w:p>
    <w:p w:rsidR="000A0F2D" w14:paraId="649353A0" w14:textId="77777777">
      <w:pPr>
        <w:pStyle w:val="BodyText"/>
        <w:spacing w:before="9"/>
        <w:rPr>
          <w:sz w:val="29"/>
        </w:rPr>
      </w:pPr>
      <w:r>
        <w:pict>
          <v:rect id="docshape7" o:spid="_x0000_s1028" style="width:2in;height:0.6pt;margin-top:18.35pt;margin-left:90pt;mso-position-horizontal-relative:page;mso-wrap-distance-left:0;mso-wrap-distance-right:0;position:absolute;z-index:-251656192" fillcolor="black" stroked="f">
            <w10:wrap type="topAndBottom"/>
          </v:rect>
        </w:pict>
      </w:r>
    </w:p>
    <w:p w:rsidR="000A0F2D" w14:paraId="02FC029C" w14:textId="77777777">
      <w:pPr>
        <w:spacing w:before="103"/>
        <w:ind w:left="460" w:right="249"/>
        <w:rPr>
          <w:sz w:val="20"/>
        </w:rPr>
      </w:pPr>
      <w:r>
        <w:rPr>
          <w:sz w:val="20"/>
          <w:vertAlign w:val="superscript"/>
        </w:rPr>
        <w:t>1</w:t>
      </w:r>
      <w:r w:rsidR="00595285">
        <w:rPr>
          <w:sz w:val="20"/>
        </w:rPr>
        <w:t xml:space="preserve"> </w:t>
      </w:r>
      <w:r>
        <w:rPr>
          <w:sz w:val="20"/>
        </w:rPr>
        <w:t xml:space="preserve">Fatou Thiam, Mathematical Statistician, </w:t>
      </w:r>
      <w:r w:rsidR="00595285">
        <w:rPr>
          <w:sz w:val="20"/>
        </w:rPr>
        <w:t xml:space="preserve">USDA’s National Agricultural Statistics Service (NASS) – </w:t>
      </w:r>
      <w:r>
        <w:rPr>
          <w:sz w:val="20"/>
        </w:rPr>
        <w:t xml:space="preserve">Methodology </w:t>
      </w:r>
      <w:r w:rsidR="00595285">
        <w:rPr>
          <w:sz w:val="20"/>
        </w:rPr>
        <w:t>Division (</w:t>
      </w:r>
      <w:r w:rsidR="008C2F2F">
        <w:rPr>
          <w:sz w:val="20"/>
        </w:rPr>
        <w:t>M</w:t>
      </w:r>
      <w:r w:rsidR="00595285">
        <w:rPr>
          <w:sz w:val="20"/>
        </w:rPr>
        <w:t>D).</w:t>
      </w:r>
      <w:r w:rsidR="00595285">
        <w:rPr>
          <w:spacing w:val="1"/>
          <w:sz w:val="20"/>
        </w:rPr>
        <w:t xml:space="preserve"> </w:t>
      </w:r>
    </w:p>
    <w:p w:rsidR="000A0F2D" w14:paraId="18FCDA37" w14:textId="77777777">
      <w:pPr>
        <w:rPr>
          <w:sz w:val="20"/>
        </w:rPr>
        <w:sectPr>
          <w:footerReference w:type="default" r:id="rId15"/>
          <w:pgSz w:w="12240" w:h="15840"/>
          <w:pgMar w:top="1360" w:right="1580" w:bottom="280" w:left="1340" w:header="0" w:footer="0" w:gutter="0"/>
          <w:cols w:space="720"/>
        </w:sectPr>
      </w:pPr>
    </w:p>
    <w:p w:rsidR="000A0F2D" w14:paraId="374C24A9" w14:textId="77777777">
      <w:pPr>
        <w:pStyle w:val="Heading1"/>
        <w:numPr>
          <w:ilvl w:val="0"/>
          <w:numId w:val="3"/>
        </w:numPr>
        <w:tabs>
          <w:tab w:val="left" w:pos="761"/>
        </w:tabs>
        <w:spacing w:before="72"/>
        <w:ind w:hanging="301"/>
        <w:jc w:val="both"/>
      </w:pPr>
      <w:r>
        <w:t>INTRODUCTION</w:t>
      </w:r>
    </w:p>
    <w:p w:rsidR="000A0F2D" w14:paraId="7F27261B" w14:textId="77777777">
      <w:pPr>
        <w:pStyle w:val="BodyText"/>
        <w:rPr>
          <w:b/>
        </w:rPr>
      </w:pPr>
    </w:p>
    <w:p w:rsidR="000A0F2D" w14:paraId="1BEDDB4A" w14:textId="1C75CE73">
      <w:pPr>
        <w:pStyle w:val="BodyText"/>
        <w:ind w:left="460" w:right="217"/>
        <w:jc w:val="both"/>
      </w:pPr>
      <w:r>
        <w:t xml:space="preserve">On September 22, 2006, the </w:t>
      </w:r>
      <w:r w:rsidR="0036472C">
        <w:t xml:space="preserve">Office of Management and Budget published </w:t>
      </w:r>
      <w:hyperlink r:id="rId12">
        <w:r>
          <w:rPr>
            <w:i/>
          </w:rPr>
          <w:t>Office of</w:t>
        </w:r>
      </w:hyperlink>
      <w:r>
        <w:rPr>
          <w:i/>
          <w:spacing w:val="1"/>
        </w:rPr>
        <w:t xml:space="preserve"> </w:t>
      </w:r>
      <w:hyperlink r:id="rId12">
        <w:r>
          <w:rPr>
            <w:i/>
          </w:rPr>
          <w:t xml:space="preserve">Management and Budget Standards and Guidelines for Statistical Surveys </w:t>
        </w:r>
      </w:hyperlink>
      <w:r w:rsidR="0036472C">
        <w:rPr>
          <w:iCs/>
        </w:rPr>
        <w:t>which was founded on recommendations from t</w:t>
      </w:r>
      <w:r>
        <w:t>he</w:t>
      </w:r>
      <w:r>
        <w:rPr>
          <w:spacing w:val="1"/>
        </w:rPr>
        <w:t xml:space="preserve"> </w:t>
      </w:r>
      <w:r>
        <w:t>Federal</w:t>
      </w:r>
      <w:r>
        <w:rPr>
          <w:spacing w:val="1"/>
        </w:rPr>
        <w:t xml:space="preserve"> </w:t>
      </w:r>
      <w:r>
        <w:t>Committee</w:t>
      </w:r>
      <w:r>
        <w:rPr>
          <w:spacing w:val="1"/>
        </w:rPr>
        <w:t xml:space="preserve"> </w:t>
      </w:r>
      <w:r>
        <w:t>on</w:t>
      </w:r>
      <w:r>
        <w:rPr>
          <w:spacing w:val="1"/>
        </w:rPr>
        <w:t xml:space="preserve"> </w:t>
      </w:r>
      <w:r>
        <w:t>Statistical</w:t>
      </w:r>
      <w:r>
        <w:rPr>
          <w:spacing w:val="1"/>
        </w:rPr>
        <w:t xml:space="preserve"> </w:t>
      </w:r>
      <w:r>
        <w:t>Methodology’s</w:t>
      </w:r>
      <w:r>
        <w:rPr>
          <w:spacing w:val="1"/>
        </w:rPr>
        <w:t xml:space="preserve"> </w:t>
      </w:r>
      <w:r>
        <w:t>(FCSM)</w:t>
      </w:r>
      <w:r>
        <w:rPr>
          <w:spacing w:val="1"/>
        </w:rPr>
        <w:t xml:space="preserve"> </w:t>
      </w:r>
      <w:r>
        <w:t>Subcommittee on Standards for Statistical Surveys.</w:t>
      </w:r>
      <w:r>
        <w:rPr>
          <w:spacing w:val="1"/>
        </w:rPr>
        <w:t xml:space="preserve"> </w:t>
      </w:r>
      <w:r>
        <w:t>The Office of Management and</w:t>
      </w:r>
      <w:r>
        <w:rPr>
          <w:spacing w:val="1"/>
        </w:rPr>
        <w:t xml:space="preserve"> </w:t>
      </w:r>
      <w:r>
        <w:t xml:space="preserve">Budget’s (OMB) standards and guidelines for statistical surveys </w:t>
      </w:r>
      <w:r w:rsidR="00E22CA6">
        <w:t xml:space="preserve">apply to all </w:t>
      </w:r>
      <w:r>
        <w:t>surveys</w:t>
      </w:r>
      <w:r>
        <w:rPr>
          <w:spacing w:val="-1"/>
        </w:rPr>
        <w:t xml:space="preserve"> </w:t>
      </w:r>
      <w:r>
        <w:t>conducted by</w:t>
      </w:r>
      <w:r>
        <w:rPr>
          <w:spacing w:val="-5"/>
        </w:rPr>
        <w:t xml:space="preserve"> </w:t>
      </w:r>
      <w:r>
        <w:t>federal statistical agencies.</w:t>
      </w:r>
    </w:p>
    <w:p w:rsidR="000A0F2D" w14:paraId="0F025491" w14:textId="77777777">
      <w:pPr>
        <w:pStyle w:val="BodyText"/>
      </w:pPr>
    </w:p>
    <w:p w:rsidR="000A0F2D" w14:paraId="6772F85E" w14:textId="090B88B9">
      <w:pPr>
        <w:pStyle w:val="BodyText"/>
        <w:ind w:left="460" w:right="216"/>
        <w:jc w:val="both"/>
      </w:pPr>
      <w:r>
        <w:t>Federal</w:t>
      </w:r>
      <w:r>
        <w:rPr>
          <w:spacing w:val="1"/>
        </w:rPr>
        <w:t xml:space="preserve"> </w:t>
      </w:r>
      <w:r>
        <w:t>statistical</w:t>
      </w:r>
      <w:r>
        <w:rPr>
          <w:spacing w:val="1"/>
        </w:rPr>
        <w:t xml:space="preserve"> </w:t>
      </w:r>
      <w:r>
        <w:t>agencies,</w:t>
      </w:r>
      <w:r>
        <w:rPr>
          <w:spacing w:val="1"/>
        </w:rPr>
        <w:t xml:space="preserve"> </w:t>
      </w:r>
      <w:r>
        <w:t>such</w:t>
      </w:r>
      <w:r>
        <w:rPr>
          <w:spacing w:val="1"/>
        </w:rPr>
        <w:t xml:space="preserve"> </w:t>
      </w:r>
      <w:r>
        <w:t>as</w:t>
      </w:r>
      <w:r>
        <w:rPr>
          <w:spacing w:val="1"/>
        </w:rPr>
        <w:t xml:space="preserve"> </w:t>
      </w:r>
      <w:r>
        <w:t>the</w:t>
      </w:r>
      <w:r>
        <w:rPr>
          <w:spacing w:val="1"/>
        </w:rPr>
        <w:t xml:space="preserve"> </w:t>
      </w:r>
      <w:r>
        <w:t>United</w:t>
      </w:r>
      <w:r>
        <w:rPr>
          <w:spacing w:val="1"/>
        </w:rPr>
        <w:t xml:space="preserve"> </w:t>
      </w:r>
      <w:r>
        <w:t>States</w:t>
      </w:r>
      <w:r>
        <w:rPr>
          <w:spacing w:val="1"/>
        </w:rPr>
        <w:t xml:space="preserve"> </w:t>
      </w:r>
      <w:r>
        <w:t>Department</w:t>
      </w:r>
      <w:r>
        <w:rPr>
          <w:spacing w:val="1"/>
        </w:rPr>
        <w:t xml:space="preserve"> </w:t>
      </w:r>
      <w:r>
        <w:t>of</w:t>
      </w:r>
      <w:r>
        <w:rPr>
          <w:spacing w:val="1"/>
        </w:rPr>
        <w:t xml:space="preserve"> </w:t>
      </w:r>
      <w:r>
        <w:t>Agriculture’s</w:t>
      </w:r>
      <w:r>
        <w:rPr>
          <w:spacing w:val="1"/>
        </w:rPr>
        <w:t xml:space="preserve"> </w:t>
      </w:r>
      <w:r>
        <w:t xml:space="preserve">(USDA) National Agricultural Statistics Service (NASS), are </w:t>
      </w:r>
      <w:r w:rsidR="00724139">
        <w:t xml:space="preserve">subject to </w:t>
      </w:r>
      <w:r>
        <w:t>OMB’s</w:t>
      </w:r>
      <w:r>
        <w:rPr>
          <w:spacing w:val="-57"/>
        </w:rPr>
        <w:t xml:space="preserve"> </w:t>
      </w:r>
      <w:r>
        <w:t>standards and guidelines for statistical surveys.</w:t>
      </w:r>
      <w:r>
        <w:rPr>
          <w:spacing w:val="1"/>
        </w:rPr>
        <w:t xml:space="preserve"> </w:t>
      </w:r>
      <w:r w:rsidR="00724139">
        <w:rPr>
          <w:spacing w:val="1"/>
        </w:rPr>
        <w:t>S</w:t>
      </w:r>
      <w:r>
        <w:t>tandard</w:t>
      </w:r>
      <w:r w:rsidR="00724139">
        <w:t xml:space="preserve"> </w:t>
      </w:r>
      <w:r>
        <w:t xml:space="preserve">3.2 </w:t>
      </w:r>
      <w:r w:rsidR="00724139">
        <w:t xml:space="preserve">provides specifications for analysis of </w:t>
      </w:r>
      <w:r>
        <w:t>response rates and nonresponse bias.</w:t>
      </w:r>
      <w:r>
        <w:rPr>
          <w:spacing w:val="1"/>
        </w:rPr>
        <w:t xml:space="preserve"> </w:t>
      </w:r>
      <w:r>
        <w:t>According to Standard</w:t>
      </w:r>
      <w:r>
        <w:rPr>
          <w:spacing w:val="1"/>
        </w:rPr>
        <w:t xml:space="preserve"> </w:t>
      </w:r>
      <w:r>
        <w:t>3.2,</w:t>
      </w:r>
    </w:p>
    <w:p w:rsidR="000A0F2D" w14:paraId="40AF291B" w14:textId="77777777">
      <w:pPr>
        <w:pStyle w:val="BodyText"/>
        <w:spacing w:before="1"/>
      </w:pPr>
    </w:p>
    <w:p w:rsidR="000A0F2D" w14:paraId="1AC8CD6C" w14:textId="77777777">
      <w:pPr>
        <w:pStyle w:val="BodyText"/>
        <w:ind w:left="820" w:right="575"/>
        <w:jc w:val="both"/>
      </w:pPr>
      <w:r>
        <w:t>Agencies must appropriately measure,</w:t>
      </w:r>
      <w:r>
        <w:rPr>
          <w:spacing w:val="60"/>
        </w:rPr>
        <w:t xml:space="preserve"> </w:t>
      </w:r>
      <w:r>
        <w:t>adjust for, report, and analyze unit and</w:t>
      </w:r>
      <w:r>
        <w:rPr>
          <w:spacing w:val="1"/>
        </w:rPr>
        <w:t xml:space="preserve"> </w:t>
      </w:r>
      <w:r>
        <w:t>item nonresponse to assess their effects on</w:t>
      </w:r>
      <w:r>
        <w:rPr>
          <w:spacing w:val="1"/>
        </w:rPr>
        <w:t xml:space="preserve"> </w:t>
      </w:r>
      <w:r>
        <w:t>data quality and</w:t>
      </w:r>
      <w:r>
        <w:rPr>
          <w:spacing w:val="1"/>
        </w:rPr>
        <w:t xml:space="preserve"> </w:t>
      </w:r>
      <w:r>
        <w:t>to inform users.</w:t>
      </w:r>
      <w:r>
        <w:rPr>
          <w:spacing w:val="1"/>
        </w:rPr>
        <w:t xml:space="preserve"> </w:t>
      </w:r>
      <w:r>
        <w:t>Response</w:t>
      </w:r>
      <w:r>
        <w:rPr>
          <w:spacing w:val="1"/>
        </w:rPr>
        <w:t xml:space="preserve"> </w:t>
      </w:r>
      <w:r>
        <w:t>rates</w:t>
      </w:r>
      <w:r>
        <w:rPr>
          <w:spacing w:val="1"/>
        </w:rPr>
        <w:t xml:space="preserve"> </w:t>
      </w:r>
      <w:r>
        <w:t>must</w:t>
      </w:r>
      <w:r>
        <w:rPr>
          <w:spacing w:val="1"/>
        </w:rPr>
        <w:t xml:space="preserve"> </w:t>
      </w:r>
      <w:r>
        <w:t>be</w:t>
      </w:r>
      <w:r>
        <w:rPr>
          <w:spacing w:val="1"/>
        </w:rPr>
        <w:t xml:space="preserve"> </w:t>
      </w:r>
      <w:r>
        <w:t>computed</w:t>
      </w:r>
      <w:r>
        <w:rPr>
          <w:spacing w:val="1"/>
        </w:rPr>
        <w:t xml:space="preserve"> </w:t>
      </w:r>
      <w:r>
        <w:t>using</w:t>
      </w:r>
      <w:r>
        <w:rPr>
          <w:spacing w:val="1"/>
        </w:rPr>
        <w:t xml:space="preserve"> </w:t>
      </w:r>
      <w:r>
        <w:t>standard</w:t>
      </w:r>
      <w:r>
        <w:rPr>
          <w:spacing w:val="1"/>
        </w:rPr>
        <w:t xml:space="preserve"> </w:t>
      </w:r>
      <w:r>
        <w:t>formulas</w:t>
      </w:r>
      <w:r>
        <w:rPr>
          <w:spacing w:val="1"/>
        </w:rPr>
        <w:t xml:space="preserve"> </w:t>
      </w:r>
      <w:r>
        <w:t>to</w:t>
      </w:r>
      <w:r>
        <w:rPr>
          <w:spacing w:val="1"/>
        </w:rPr>
        <w:t xml:space="preserve"> </w:t>
      </w:r>
      <w:r>
        <w:t>measure</w:t>
      </w:r>
      <w:r>
        <w:rPr>
          <w:spacing w:val="1"/>
        </w:rPr>
        <w:t xml:space="preserve"> </w:t>
      </w:r>
      <w:r>
        <w:t>the</w:t>
      </w:r>
      <w:r>
        <w:rPr>
          <w:spacing w:val="1"/>
        </w:rPr>
        <w:t xml:space="preserve"> </w:t>
      </w:r>
      <w:r>
        <w:t>proportion of the eligible sample that is represented by the responding units in</w:t>
      </w:r>
      <w:r>
        <w:rPr>
          <w:spacing w:val="1"/>
        </w:rPr>
        <w:t xml:space="preserve"> </w:t>
      </w:r>
      <w:r>
        <w:t>each study, as an indicator of potential nonresponse bias.</w:t>
      </w:r>
      <w:r>
        <w:rPr>
          <w:spacing w:val="1"/>
        </w:rPr>
        <w:t xml:space="preserve"> </w:t>
      </w:r>
      <w:r>
        <w:t>(</w:t>
      </w:r>
      <w:hyperlink r:id="rId12">
        <w:r>
          <w:t>Office of Management</w:t>
        </w:r>
      </w:hyperlink>
      <w:r>
        <w:rPr>
          <w:spacing w:val="1"/>
        </w:rPr>
        <w:t xml:space="preserve"> </w:t>
      </w:r>
      <w:hyperlink r:id="rId12">
        <w:r>
          <w:t>and</w:t>
        </w:r>
        <w:r>
          <w:rPr>
            <w:spacing w:val="-1"/>
          </w:rPr>
          <w:t xml:space="preserve"> </w:t>
        </w:r>
        <w:r>
          <w:t>Budget, 2006,</w:t>
        </w:r>
      </w:hyperlink>
      <w:r>
        <w:t xml:space="preserve"> p. 14)</w:t>
      </w:r>
    </w:p>
    <w:p w:rsidR="000A0F2D" w14:paraId="247D6F32" w14:textId="77777777">
      <w:pPr>
        <w:pStyle w:val="BodyText"/>
      </w:pPr>
    </w:p>
    <w:p w:rsidR="00886D4F" w14:paraId="7B1F8529" w14:textId="31B38AD1">
      <w:pPr>
        <w:pStyle w:val="BodyText"/>
        <w:ind w:left="460" w:right="214"/>
        <w:jc w:val="both"/>
      </w:pPr>
      <w:r>
        <w:t>T</w:t>
      </w:r>
      <w:r w:rsidR="00595285">
        <w:t xml:space="preserve">he </w:t>
      </w:r>
      <w:r>
        <w:t xml:space="preserve">2020 </w:t>
      </w:r>
      <w:r w:rsidR="00595285">
        <w:t xml:space="preserve">ARMS Phase III </w:t>
      </w:r>
      <w:r w:rsidR="00191725">
        <w:t xml:space="preserve">usable </w:t>
      </w:r>
      <w:r w:rsidR="00595285">
        <w:t>response rate</w:t>
      </w:r>
      <w:r w:rsidR="00595285">
        <w:rPr>
          <w:spacing w:val="1"/>
        </w:rPr>
        <w:t xml:space="preserve"> </w:t>
      </w:r>
      <w:r w:rsidR="00595285">
        <w:t xml:space="preserve">was </w:t>
      </w:r>
      <w:r w:rsidR="00372285">
        <w:t>3</w:t>
      </w:r>
      <w:r w:rsidR="00191725">
        <w:t>4.</w:t>
      </w:r>
      <w:r w:rsidR="00372285">
        <w:t>9</w:t>
      </w:r>
      <w:r w:rsidR="00595285">
        <w:rPr>
          <w:spacing w:val="1"/>
        </w:rPr>
        <w:t xml:space="preserve"> </w:t>
      </w:r>
      <w:r w:rsidR="00595285">
        <w:t xml:space="preserve">percent (n = </w:t>
      </w:r>
      <w:r w:rsidR="001C4F48">
        <w:t>3</w:t>
      </w:r>
      <w:r w:rsidR="00191725">
        <w:t>3</w:t>
      </w:r>
      <w:r w:rsidR="001C4F48">
        <w:t>,</w:t>
      </w:r>
      <w:r w:rsidR="00191725">
        <w:t>892</w:t>
      </w:r>
      <w:r w:rsidR="00595285">
        <w:t xml:space="preserve">), </w:t>
      </w:r>
      <w:r w:rsidR="00372285">
        <w:t xml:space="preserve">well </w:t>
      </w:r>
      <w:r w:rsidR="00595285">
        <w:t>below the OMB response rate threshold of 80</w:t>
      </w:r>
      <w:r w:rsidR="00595285">
        <w:rPr>
          <w:spacing w:val="1"/>
        </w:rPr>
        <w:t xml:space="preserve"> </w:t>
      </w:r>
      <w:r w:rsidR="00595285">
        <w:t xml:space="preserve">percent </w:t>
      </w:r>
      <w:r>
        <w:t xml:space="preserve">referenced </w:t>
      </w:r>
      <w:r w:rsidR="00595285">
        <w:t>in Guideline 3.2.9;</w:t>
      </w:r>
      <w:r w:rsidR="00595285">
        <w:rPr>
          <w:spacing w:val="1"/>
        </w:rPr>
        <w:t xml:space="preserve"> </w:t>
      </w:r>
      <w:r w:rsidR="00595285">
        <w:t xml:space="preserve">therefore, NASS </w:t>
      </w:r>
      <w:r w:rsidR="0044259E">
        <w:t xml:space="preserve">will </w:t>
      </w:r>
      <w:r w:rsidR="00C24B04">
        <w:t>reevaluate</w:t>
      </w:r>
      <w:r w:rsidR="00372285">
        <w:t xml:space="preserve"> </w:t>
      </w:r>
      <w:r w:rsidR="00595285">
        <w:t>nonresponse bias</w:t>
      </w:r>
      <w:r w:rsidR="00372285">
        <w:t xml:space="preserve"> with </w:t>
      </w:r>
      <w:r>
        <w:t xml:space="preserve">similar </w:t>
      </w:r>
      <w:r w:rsidR="00372285">
        <w:t xml:space="preserve">methods employed </w:t>
      </w:r>
      <w:r w:rsidR="0044259E">
        <w:t xml:space="preserve">for two </w:t>
      </w:r>
      <w:r w:rsidR="00E27FCD">
        <w:t xml:space="preserve">previous </w:t>
      </w:r>
      <w:r w:rsidR="0044259E">
        <w:t xml:space="preserve">investigations published in </w:t>
      </w:r>
      <w:r w:rsidR="00372285">
        <w:t>2008</w:t>
      </w:r>
      <w:r w:rsidR="00595285">
        <w:rPr>
          <w:spacing w:val="1"/>
        </w:rPr>
        <w:t xml:space="preserve"> </w:t>
      </w:r>
      <w:r w:rsidR="00595285">
        <w:t>(Earp, McCarthy,</w:t>
      </w:r>
      <w:r w:rsidR="00595285">
        <w:rPr>
          <w:spacing w:val="1"/>
        </w:rPr>
        <w:t xml:space="preserve"> </w:t>
      </w:r>
      <w:r w:rsidR="00595285">
        <w:t>Schauer,</w:t>
      </w:r>
      <w:r w:rsidR="00595285">
        <w:rPr>
          <w:spacing w:val="1"/>
        </w:rPr>
        <w:t xml:space="preserve"> </w:t>
      </w:r>
      <w:r w:rsidR="00595285">
        <w:t>&amp; Kott,</w:t>
      </w:r>
      <w:r w:rsidR="00595285">
        <w:rPr>
          <w:spacing w:val="1"/>
        </w:rPr>
        <w:t xml:space="preserve"> </w:t>
      </w:r>
      <w:r w:rsidR="00595285">
        <w:t>2008).</w:t>
      </w:r>
      <w:r w:rsidR="00595285">
        <w:rPr>
          <w:spacing w:val="1"/>
        </w:rPr>
        <w:t xml:space="preserve"> </w:t>
      </w:r>
      <w:r w:rsidR="00372285">
        <w:rPr>
          <w:spacing w:val="1"/>
        </w:rPr>
        <w:t>Table 1 illustrates recent response rates for ARMS Phase III</w:t>
      </w:r>
      <w:r w:rsidR="00BD164C">
        <w:rPr>
          <w:spacing w:val="1"/>
        </w:rPr>
        <w:t>.</w:t>
      </w:r>
    </w:p>
    <w:p w:rsidR="00886D4F" w14:paraId="03447859" w14:textId="1E12112D">
      <w:pPr>
        <w:pStyle w:val="BodyText"/>
        <w:ind w:left="460" w:right="214"/>
        <w:jc w:val="both"/>
      </w:pPr>
    </w:p>
    <w:p w:rsidR="00156551" w14:paraId="3629A57E" w14:textId="77777777">
      <w:pPr>
        <w:pStyle w:val="BodyText"/>
        <w:ind w:left="460" w:right="214"/>
        <w:jc w:val="both"/>
      </w:pPr>
    </w:p>
    <w:p w:rsidR="00156551" w:rsidRPr="004C5EDF" w:rsidP="00156551" w14:paraId="677E9A43" w14:textId="5B0C467B">
      <w:pPr>
        <w:widowControl/>
        <w:autoSpaceDE/>
        <w:autoSpaceDN/>
        <w:spacing w:after="160" w:line="259" w:lineRule="auto"/>
        <w:jc w:val="center"/>
        <w:rPr>
          <w:rFonts w:ascii="Calibri" w:eastAsia="Calibri" w:hAnsi="Calibri"/>
        </w:rPr>
      </w:pPr>
      <w:r w:rsidRPr="00156551">
        <w:rPr>
          <w:rFonts w:ascii="Calibri" w:eastAsia="Calibri" w:hAnsi="Calibri"/>
          <w:b/>
          <w:bCs/>
        </w:rPr>
        <w:t>Table 1</w:t>
      </w:r>
      <w:r w:rsidRPr="004C5EDF">
        <w:rPr>
          <w:rFonts w:ascii="Calibri" w:eastAsia="Calibri" w:hAnsi="Calibri"/>
        </w:rPr>
        <w:t>. US A</w:t>
      </w:r>
      <w:r>
        <w:rPr>
          <w:rFonts w:ascii="Calibri" w:eastAsia="Calibri" w:hAnsi="Calibri"/>
        </w:rPr>
        <w:t xml:space="preserve">RMS Phase III </w:t>
      </w:r>
      <w:r w:rsidRPr="004C5EDF">
        <w:rPr>
          <w:rFonts w:ascii="Calibri" w:eastAsia="Calibri" w:hAnsi="Calibri"/>
        </w:rPr>
        <w:t>Response Rates</w:t>
      </w:r>
      <w:r w:rsidR="0029787B">
        <w:rPr>
          <w:rFonts w:ascii="Calibri" w:eastAsia="Calibri" w:hAnsi="Calibri"/>
        </w:rPr>
        <w:t>.</w:t>
      </w:r>
    </w:p>
    <w:tbl>
      <w:tblPr>
        <w:tblStyle w:val="TableGrid1"/>
        <w:tblW w:w="0" w:type="auto"/>
        <w:jc w:val="center"/>
        <w:tblLook w:val="04A0"/>
      </w:tblPr>
      <w:tblGrid>
        <w:gridCol w:w="881"/>
        <w:gridCol w:w="2205"/>
      </w:tblGrid>
      <w:tr w14:paraId="4BF7AD9F" w14:textId="77777777" w:rsidTr="00156551">
        <w:tblPrEx>
          <w:tblW w:w="0" w:type="auto"/>
          <w:jc w:val="center"/>
          <w:tblLook w:val="04A0"/>
        </w:tblPrEx>
        <w:trPr>
          <w:jc w:val="center"/>
        </w:trPr>
        <w:tc>
          <w:tcPr>
            <w:tcW w:w="881" w:type="dxa"/>
          </w:tcPr>
          <w:p w:rsidR="004C5EDF" w:rsidRPr="004C5EDF" w:rsidP="004C5EDF" w14:paraId="77B00418" w14:textId="77777777">
            <w:pPr>
              <w:rPr>
                <w:rFonts w:ascii="Calibri" w:eastAsia="Calibri" w:hAnsi="Calibri"/>
              </w:rPr>
            </w:pPr>
            <w:r w:rsidRPr="004C5EDF">
              <w:rPr>
                <w:rFonts w:ascii="Calibri" w:eastAsia="Calibri" w:hAnsi="Calibri"/>
              </w:rPr>
              <w:t>Year</w:t>
            </w:r>
          </w:p>
        </w:tc>
        <w:tc>
          <w:tcPr>
            <w:tcW w:w="2205" w:type="dxa"/>
          </w:tcPr>
          <w:p w:rsidR="004C5EDF" w:rsidRPr="004C5EDF" w:rsidP="004C5EDF" w14:paraId="3699F924" w14:textId="77777777">
            <w:pPr>
              <w:rPr>
                <w:rFonts w:ascii="Calibri" w:eastAsia="Calibri" w:hAnsi="Calibri"/>
              </w:rPr>
            </w:pPr>
            <w:r>
              <w:rPr>
                <w:rFonts w:ascii="Calibri" w:eastAsia="Calibri" w:hAnsi="Calibri"/>
              </w:rPr>
              <w:t>Usable Response Rate</w:t>
            </w:r>
          </w:p>
        </w:tc>
      </w:tr>
      <w:tr w14:paraId="2535E771" w14:textId="77777777" w:rsidTr="00156551">
        <w:tblPrEx>
          <w:tblW w:w="0" w:type="auto"/>
          <w:jc w:val="center"/>
          <w:tblLook w:val="04A0"/>
        </w:tblPrEx>
        <w:trPr>
          <w:jc w:val="center"/>
        </w:trPr>
        <w:tc>
          <w:tcPr>
            <w:tcW w:w="881" w:type="dxa"/>
          </w:tcPr>
          <w:p w:rsidR="001C4F48" w:rsidRPr="0029787B" w:rsidP="004C5EDF" w14:paraId="339F4C6E" w14:textId="5875BC27">
            <w:pPr>
              <w:rPr>
                <w:rFonts w:ascii="Calibri" w:eastAsia="Calibri" w:hAnsi="Calibri"/>
                <w:vertAlign w:val="superscript"/>
              </w:rPr>
            </w:pPr>
            <w:r>
              <w:rPr>
                <w:rFonts w:ascii="Calibri" w:eastAsia="Calibri" w:hAnsi="Calibri"/>
              </w:rPr>
              <w:t>2005</w:t>
            </w:r>
            <w:r w:rsidR="0029787B">
              <w:rPr>
                <w:rFonts w:ascii="Calibri" w:eastAsia="Calibri" w:hAnsi="Calibri"/>
                <w:vertAlign w:val="superscript"/>
              </w:rPr>
              <w:t>*</w:t>
            </w:r>
          </w:p>
        </w:tc>
        <w:tc>
          <w:tcPr>
            <w:tcW w:w="2205" w:type="dxa"/>
          </w:tcPr>
          <w:p w:rsidR="001C4F48" w:rsidP="004C5EDF" w14:paraId="0143E85D" w14:textId="4A094791">
            <w:pPr>
              <w:rPr>
                <w:rFonts w:ascii="Calibri" w:eastAsia="Calibri" w:hAnsi="Calibri"/>
              </w:rPr>
            </w:pPr>
            <w:r>
              <w:rPr>
                <w:rFonts w:ascii="Calibri" w:eastAsia="Calibri" w:hAnsi="Calibri"/>
              </w:rPr>
              <w:t>70.5</w:t>
            </w:r>
          </w:p>
        </w:tc>
      </w:tr>
      <w:tr w14:paraId="022E0330" w14:textId="77777777" w:rsidTr="00156551">
        <w:tblPrEx>
          <w:tblW w:w="0" w:type="auto"/>
          <w:jc w:val="center"/>
          <w:tblLook w:val="04A0"/>
        </w:tblPrEx>
        <w:trPr>
          <w:jc w:val="center"/>
        </w:trPr>
        <w:tc>
          <w:tcPr>
            <w:tcW w:w="881" w:type="dxa"/>
          </w:tcPr>
          <w:p w:rsidR="001C4F48" w:rsidRPr="0029787B" w:rsidP="004C5EDF" w14:paraId="015F9649" w14:textId="37C01A68">
            <w:pPr>
              <w:rPr>
                <w:rFonts w:ascii="Calibri" w:eastAsia="Calibri" w:hAnsi="Calibri"/>
                <w:vertAlign w:val="superscript"/>
              </w:rPr>
            </w:pPr>
            <w:r>
              <w:rPr>
                <w:rFonts w:ascii="Calibri" w:eastAsia="Calibri" w:hAnsi="Calibri"/>
              </w:rPr>
              <w:t>2006</w:t>
            </w:r>
            <w:r w:rsidR="0029787B">
              <w:rPr>
                <w:rFonts w:ascii="Calibri" w:eastAsia="Calibri" w:hAnsi="Calibri"/>
                <w:vertAlign w:val="superscript"/>
              </w:rPr>
              <w:t>*</w:t>
            </w:r>
          </w:p>
        </w:tc>
        <w:tc>
          <w:tcPr>
            <w:tcW w:w="2205" w:type="dxa"/>
          </w:tcPr>
          <w:p w:rsidR="001C4F48" w:rsidP="004C5EDF" w14:paraId="4B1510B0" w14:textId="144CD267">
            <w:pPr>
              <w:rPr>
                <w:rFonts w:ascii="Calibri" w:eastAsia="Calibri" w:hAnsi="Calibri"/>
              </w:rPr>
            </w:pPr>
            <w:r>
              <w:rPr>
                <w:rFonts w:ascii="Calibri" w:eastAsia="Calibri" w:hAnsi="Calibri"/>
              </w:rPr>
              <w:t>67.6</w:t>
            </w:r>
          </w:p>
        </w:tc>
      </w:tr>
      <w:tr w14:paraId="103A063C" w14:textId="77777777" w:rsidTr="00156551">
        <w:tblPrEx>
          <w:tblW w:w="0" w:type="auto"/>
          <w:jc w:val="center"/>
          <w:tblLook w:val="04A0"/>
        </w:tblPrEx>
        <w:trPr>
          <w:jc w:val="center"/>
        </w:trPr>
        <w:tc>
          <w:tcPr>
            <w:tcW w:w="881" w:type="dxa"/>
          </w:tcPr>
          <w:p w:rsidR="004C5EDF" w:rsidRPr="004C5EDF" w:rsidP="004C5EDF" w14:paraId="77CC9AE7" w14:textId="77777777">
            <w:pPr>
              <w:rPr>
                <w:rFonts w:ascii="Calibri" w:eastAsia="Calibri" w:hAnsi="Calibri"/>
              </w:rPr>
            </w:pPr>
            <w:r w:rsidRPr="004C5EDF">
              <w:rPr>
                <w:rFonts w:ascii="Calibri" w:eastAsia="Calibri" w:hAnsi="Calibri"/>
              </w:rPr>
              <w:t>2016</w:t>
            </w:r>
          </w:p>
        </w:tc>
        <w:tc>
          <w:tcPr>
            <w:tcW w:w="2205" w:type="dxa"/>
          </w:tcPr>
          <w:p w:rsidR="004C5EDF" w:rsidRPr="004C5EDF" w:rsidP="004C5EDF" w14:paraId="7F5F9091" w14:textId="77777777">
            <w:pPr>
              <w:rPr>
                <w:rFonts w:ascii="Calibri" w:eastAsia="Calibri" w:hAnsi="Calibri"/>
              </w:rPr>
            </w:pPr>
            <w:r>
              <w:rPr>
                <w:rFonts w:ascii="Calibri" w:eastAsia="Calibri" w:hAnsi="Calibri"/>
              </w:rPr>
              <w:t>52.6</w:t>
            </w:r>
          </w:p>
        </w:tc>
      </w:tr>
      <w:tr w14:paraId="250D3751" w14:textId="77777777" w:rsidTr="00156551">
        <w:tblPrEx>
          <w:tblW w:w="0" w:type="auto"/>
          <w:jc w:val="center"/>
          <w:tblLook w:val="04A0"/>
        </w:tblPrEx>
        <w:trPr>
          <w:jc w:val="center"/>
        </w:trPr>
        <w:tc>
          <w:tcPr>
            <w:tcW w:w="881" w:type="dxa"/>
          </w:tcPr>
          <w:p w:rsidR="004C5EDF" w:rsidRPr="004C5EDF" w:rsidP="004C5EDF" w14:paraId="1D0DF381" w14:textId="77777777">
            <w:pPr>
              <w:rPr>
                <w:rFonts w:ascii="Calibri" w:eastAsia="Calibri" w:hAnsi="Calibri"/>
              </w:rPr>
            </w:pPr>
            <w:r w:rsidRPr="004C5EDF">
              <w:rPr>
                <w:rFonts w:ascii="Calibri" w:eastAsia="Calibri" w:hAnsi="Calibri"/>
              </w:rPr>
              <w:t>2017</w:t>
            </w:r>
          </w:p>
        </w:tc>
        <w:tc>
          <w:tcPr>
            <w:tcW w:w="2205" w:type="dxa"/>
          </w:tcPr>
          <w:p w:rsidR="004C5EDF" w:rsidRPr="004C5EDF" w:rsidP="004C5EDF" w14:paraId="3B436F2F" w14:textId="77777777">
            <w:pPr>
              <w:rPr>
                <w:rFonts w:ascii="Calibri" w:eastAsia="Calibri" w:hAnsi="Calibri"/>
              </w:rPr>
            </w:pPr>
            <w:r>
              <w:rPr>
                <w:rFonts w:ascii="Calibri" w:eastAsia="Calibri" w:hAnsi="Calibri"/>
              </w:rPr>
              <w:t>60.6</w:t>
            </w:r>
          </w:p>
        </w:tc>
      </w:tr>
      <w:tr w14:paraId="5699A18C" w14:textId="77777777" w:rsidTr="00156551">
        <w:tblPrEx>
          <w:tblW w:w="0" w:type="auto"/>
          <w:jc w:val="center"/>
          <w:tblLook w:val="04A0"/>
        </w:tblPrEx>
        <w:trPr>
          <w:jc w:val="center"/>
        </w:trPr>
        <w:tc>
          <w:tcPr>
            <w:tcW w:w="881" w:type="dxa"/>
          </w:tcPr>
          <w:p w:rsidR="004C5EDF" w:rsidRPr="004C5EDF" w:rsidP="004C5EDF" w14:paraId="070FDEB8" w14:textId="77777777">
            <w:pPr>
              <w:rPr>
                <w:rFonts w:ascii="Calibri" w:eastAsia="Calibri" w:hAnsi="Calibri"/>
              </w:rPr>
            </w:pPr>
            <w:r w:rsidRPr="004C5EDF">
              <w:rPr>
                <w:rFonts w:ascii="Calibri" w:eastAsia="Calibri" w:hAnsi="Calibri"/>
              </w:rPr>
              <w:t>2018</w:t>
            </w:r>
          </w:p>
        </w:tc>
        <w:tc>
          <w:tcPr>
            <w:tcW w:w="2205" w:type="dxa"/>
          </w:tcPr>
          <w:p w:rsidR="004C5EDF" w:rsidRPr="004C5EDF" w:rsidP="004C5EDF" w14:paraId="06DFE67B" w14:textId="77777777">
            <w:pPr>
              <w:rPr>
                <w:rFonts w:ascii="Calibri" w:eastAsia="Calibri" w:hAnsi="Calibri"/>
              </w:rPr>
            </w:pPr>
            <w:r>
              <w:rPr>
                <w:rFonts w:ascii="Calibri" w:eastAsia="Calibri" w:hAnsi="Calibri"/>
              </w:rPr>
              <w:t>45.1</w:t>
            </w:r>
          </w:p>
        </w:tc>
      </w:tr>
      <w:tr w14:paraId="33779CDD" w14:textId="77777777" w:rsidTr="00156551">
        <w:tblPrEx>
          <w:tblW w:w="0" w:type="auto"/>
          <w:jc w:val="center"/>
          <w:tblLook w:val="04A0"/>
        </w:tblPrEx>
        <w:trPr>
          <w:jc w:val="center"/>
        </w:trPr>
        <w:tc>
          <w:tcPr>
            <w:tcW w:w="881" w:type="dxa"/>
          </w:tcPr>
          <w:p w:rsidR="004C5EDF" w:rsidRPr="004C5EDF" w:rsidP="004C5EDF" w14:paraId="5ED75FC9" w14:textId="77777777">
            <w:pPr>
              <w:rPr>
                <w:rFonts w:ascii="Calibri" w:eastAsia="Calibri" w:hAnsi="Calibri"/>
              </w:rPr>
            </w:pPr>
            <w:r w:rsidRPr="004C5EDF">
              <w:rPr>
                <w:rFonts w:ascii="Calibri" w:eastAsia="Calibri" w:hAnsi="Calibri"/>
              </w:rPr>
              <w:t>2019</w:t>
            </w:r>
          </w:p>
        </w:tc>
        <w:tc>
          <w:tcPr>
            <w:tcW w:w="2205" w:type="dxa"/>
          </w:tcPr>
          <w:p w:rsidR="004C5EDF" w:rsidRPr="004C5EDF" w:rsidP="004C5EDF" w14:paraId="07827964" w14:textId="77777777">
            <w:pPr>
              <w:rPr>
                <w:rFonts w:ascii="Calibri" w:eastAsia="Calibri" w:hAnsi="Calibri"/>
              </w:rPr>
            </w:pPr>
            <w:r>
              <w:rPr>
                <w:rFonts w:ascii="Calibri" w:eastAsia="Calibri" w:hAnsi="Calibri"/>
              </w:rPr>
              <w:t>42.6</w:t>
            </w:r>
          </w:p>
        </w:tc>
      </w:tr>
      <w:tr w14:paraId="70752E21" w14:textId="77777777" w:rsidTr="00156551">
        <w:tblPrEx>
          <w:tblW w:w="0" w:type="auto"/>
          <w:jc w:val="center"/>
          <w:tblLook w:val="04A0"/>
        </w:tblPrEx>
        <w:trPr>
          <w:jc w:val="center"/>
        </w:trPr>
        <w:tc>
          <w:tcPr>
            <w:tcW w:w="881" w:type="dxa"/>
          </w:tcPr>
          <w:p w:rsidR="009E5499" w:rsidRPr="004C5EDF" w:rsidP="004C5EDF" w14:paraId="0EC99238" w14:textId="77777777">
            <w:pPr>
              <w:rPr>
                <w:rFonts w:ascii="Calibri" w:eastAsia="Calibri" w:hAnsi="Calibri"/>
              </w:rPr>
            </w:pPr>
            <w:r>
              <w:rPr>
                <w:rFonts w:ascii="Calibri" w:eastAsia="Calibri" w:hAnsi="Calibri"/>
              </w:rPr>
              <w:t>2020</w:t>
            </w:r>
          </w:p>
        </w:tc>
        <w:tc>
          <w:tcPr>
            <w:tcW w:w="2205" w:type="dxa"/>
          </w:tcPr>
          <w:p w:rsidR="009E5499" w:rsidRPr="004C5EDF" w:rsidP="004C5EDF" w14:paraId="65FB3034" w14:textId="38670D25">
            <w:pPr>
              <w:rPr>
                <w:rFonts w:ascii="Calibri" w:eastAsia="Calibri" w:hAnsi="Calibri"/>
              </w:rPr>
            </w:pPr>
            <w:r>
              <w:rPr>
                <w:rFonts w:ascii="Calibri" w:eastAsia="Calibri" w:hAnsi="Calibri"/>
              </w:rPr>
              <w:t>3</w:t>
            </w:r>
            <w:r w:rsidR="00191725">
              <w:rPr>
                <w:rFonts w:ascii="Calibri" w:eastAsia="Calibri" w:hAnsi="Calibri"/>
              </w:rPr>
              <w:t>4.9</w:t>
            </w:r>
          </w:p>
        </w:tc>
      </w:tr>
    </w:tbl>
    <w:p w:rsidR="00C07609" w:rsidP="00C07609" w14:paraId="03923422" w14:textId="77777777">
      <w:pPr>
        <w:pStyle w:val="BodyText"/>
        <w:ind w:left="460" w:right="214"/>
        <w:jc w:val="center"/>
        <w:rPr>
          <w:spacing w:val="1"/>
          <w:sz w:val="16"/>
          <w:szCs w:val="16"/>
        </w:rPr>
      </w:pPr>
    </w:p>
    <w:p w:rsidR="00BD164C" w:rsidRPr="00C07609" w:rsidP="00C07609" w14:paraId="6CE8FDFC" w14:textId="44A856A5">
      <w:pPr>
        <w:pStyle w:val="BodyText"/>
        <w:ind w:left="460" w:right="214"/>
        <w:jc w:val="center"/>
        <w:rPr>
          <w:sz w:val="20"/>
          <w:szCs w:val="20"/>
        </w:rPr>
      </w:pPr>
      <w:r w:rsidRPr="00C07609">
        <w:rPr>
          <w:spacing w:val="1"/>
          <w:sz w:val="20"/>
          <w:szCs w:val="20"/>
        </w:rPr>
        <w:t xml:space="preserve">* </w:t>
      </w:r>
      <w:r w:rsidRPr="00C07609">
        <w:rPr>
          <w:spacing w:val="1"/>
          <w:sz w:val="20"/>
          <w:szCs w:val="20"/>
        </w:rPr>
        <w:t>indicates</w:t>
      </w:r>
      <w:r w:rsidRPr="00C07609">
        <w:rPr>
          <w:spacing w:val="1"/>
          <w:sz w:val="20"/>
          <w:szCs w:val="20"/>
        </w:rPr>
        <w:t xml:space="preserve"> years associated with</w:t>
      </w:r>
      <w:r w:rsidRPr="00C07609">
        <w:rPr>
          <w:sz w:val="20"/>
          <w:szCs w:val="20"/>
        </w:rPr>
        <w:t xml:space="preserve"> </w:t>
      </w:r>
      <w:r w:rsidRPr="00C07609">
        <w:rPr>
          <w:spacing w:val="1"/>
          <w:sz w:val="20"/>
          <w:szCs w:val="20"/>
        </w:rPr>
        <w:t>Earp, McCarthy, Schauer, &amp; Kott, 2008</w:t>
      </w:r>
    </w:p>
    <w:p w:rsidR="004C5EDF" w14:paraId="5A778FC3" w14:textId="77777777">
      <w:pPr>
        <w:pStyle w:val="BodyText"/>
        <w:spacing w:before="1"/>
        <w:ind w:left="460"/>
        <w:jc w:val="both"/>
      </w:pPr>
    </w:p>
    <w:p w:rsidR="00886D4F" w14:paraId="37D31BB5" w14:textId="77777777">
      <w:pPr>
        <w:pStyle w:val="BodyText"/>
        <w:spacing w:before="1"/>
        <w:ind w:left="460"/>
        <w:jc w:val="both"/>
      </w:pPr>
    </w:p>
    <w:p w:rsidR="00FA1190" w:rsidP="00886D4F" w14:paraId="4658BF86" w14:textId="77777777">
      <w:pPr>
        <w:pStyle w:val="BodyText"/>
      </w:pPr>
    </w:p>
    <w:p w:rsidR="00FA1190" w:rsidP="00886D4F" w14:paraId="1A41B6D2" w14:textId="77777777">
      <w:pPr>
        <w:pStyle w:val="BodyText"/>
      </w:pPr>
    </w:p>
    <w:p w:rsidR="00FA1190" w:rsidP="00886D4F" w14:paraId="746DEBC9" w14:textId="77777777">
      <w:pPr>
        <w:pStyle w:val="BodyText"/>
      </w:pPr>
    </w:p>
    <w:p w:rsidR="00FA1190" w:rsidP="00886D4F" w14:paraId="43E73C52" w14:textId="77777777">
      <w:pPr>
        <w:pStyle w:val="BodyText"/>
      </w:pPr>
    </w:p>
    <w:p w:rsidR="00FA1190" w:rsidP="00886D4F" w14:paraId="7855FC0C" w14:textId="77777777">
      <w:pPr>
        <w:pStyle w:val="BodyText"/>
      </w:pPr>
    </w:p>
    <w:p w:rsidR="00FA1190" w:rsidP="00886D4F" w14:paraId="1C5C3DDC" w14:textId="77777777">
      <w:pPr>
        <w:pStyle w:val="BodyText"/>
      </w:pPr>
    </w:p>
    <w:p w:rsidR="002476AC" w:rsidP="002476AC" w14:paraId="17C9CB69" w14:textId="77777777"/>
    <w:p w:rsidR="002476AC" w:rsidRPr="002476AC" w:rsidP="002476AC" w14:paraId="7F6C0C03" w14:textId="77DA966D">
      <w:pPr>
        <w:rPr>
          <w:sz w:val="24"/>
          <w:szCs w:val="24"/>
        </w:rPr>
      </w:pPr>
      <w:r w:rsidRPr="002476AC">
        <w:rPr>
          <w:sz w:val="24"/>
          <w:szCs w:val="24"/>
        </w:rPr>
        <w:t>OMB’s Guideline 3.2.9 states:</w:t>
      </w:r>
    </w:p>
    <w:p w:rsidR="002476AC" w:rsidRPr="002476AC" w:rsidP="002476AC" w14:paraId="6F15CFE4" w14:textId="77777777">
      <w:pPr>
        <w:rPr>
          <w:sz w:val="24"/>
          <w:szCs w:val="24"/>
        </w:rPr>
      </w:pPr>
    </w:p>
    <w:p w:rsidR="002476AC" w:rsidP="002476AC" w14:paraId="32D54F58" w14:textId="5E657D22">
      <w:pPr>
        <w:rPr>
          <w:sz w:val="24"/>
          <w:szCs w:val="24"/>
        </w:rPr>
      </w:pPr>
      <w:r w:rsidRPr="002476AC">
        <w:rPr>
          <w:sz w:val="24"/>
          <w:szCs w:val="24"/>
        </w:rPr>
        <w:t>“Given a survey with an overall unit response rate of less than 80 percent, conduct an analysis of nonresponse bias using unit response rates as defined above, with an assessment of whether the data are missing completely at random. As noted above, the degree of nonresponse bias is a function of not only the response rate but also how much the respondents and nonrespondents differ on the survey variables of interest. For a sample mean, an estimate of the bias of the sample respondent mean is given by:</w:t>
      </w:r>
    </w:p>
    <w:p w:rsidR="002476AC" w:rsidP="002476AC" w14:paraId="767E6E5F" w14:textId="0C46CAC6">
      <w:pPr>
        <w:rPr>
          <w:sz w:val="24"/>
          <w:szCs w:val="24"/>
        </w:rPr>
      </w:pPr>
    </w:p>
    <w:p w:rsidR="002476AC" w:rsidP="002476AC" w14:paraId="12DDB2DF" w14:textId="5B4956B8">
      <w:pPr>
        <w:rPr>
          <w:sz w:val="24"/>
          <w:szCs w:val="24"/>
        </w:rPr>
      </w:pPr>
      <w:r w:rsidRPr="002476AC">
        <w:rPr>
          <w:noProof/>
        </w:rPr>
        <w:drawing>
          <wp:inline distT="0" distB="0" distL="0" distR="0">
            <wp:extent cx="5915025" cy="295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5025" cy="295275"/>
                    </a:xfrm>
                    <a:prstGeom prst="rect">
                      <a:avLst/>
                    </a:prstGeom>
                    <a:noFill/>
                    <a:ln>
                      <a:noFill/>
                    </a:ln>
                  </pic:spPr>
                </pic:pic>
              </a:graphicData>
            </a:graphic>
          </wp:inline>
        </w:drawing>
      </w:r>
    </w:p>
    <w:p w:rsidR="002476AC" w:rsidRPr="002476AC" w:rsidP="002476AC" w14:paraId="6D563781" w14:textId="599A24C1">
      <w:pPr>
        <w:rPr>
          <w:sz w:val="24"/>
          <w:szCs w:val="24"/>
        </w:rPr>
      </w:pPr>
      <w:r>
        <w:rPr>
          <w:sz w:val="24"/>
          <w:szCs w:val="24"/>
        </w:rPr>
        <w:t xml:space="preserve">                            </w:t>
      </w:r>
    </w:p>
    <w:p w:rsidR="002476AC" w:rsidRPr="002476AC" w:rsidP="002476AC" w14:paraId="6E82B71B" w14:textId="77777777">
      <w:pPr>
        <w:rPr>
          <w:sz w:val="24"/>
          <w:szCs w:val="24"/>
        </w:rPr>
      </w:pPr>
    </w:p>
    <w:p w:rsidR="002476AC" w:rsidRPr="002476AC" w:rsidP="002476AC" w14:paraId="27B7801F" w14:textId="77777777">
      <w:pPr>
        <w:rPr>
          <w:sz w:val="24"/>
          <w:szCs w:val="24"/>
        </w:rPr>
      </w:pPr>
      <w:r w:rsidRPr="002476AC">
        <w:rPr>
          <w:sz w:val="24"/>
          <w:szCs w:val="24"/>
        </w:rPr>
        <w:t>where</w:t>
      </w:r>
      <w:r w:rsidRPr="002476AC">
        <w:rPr>
          <w:sz w:val="24"/>
          <w:szCs w:val="24"/>
        </w:rPr>
        <w:t>,</w:t>
      </w:r>
    </w:p>
    <w:p w:rsidR="002476AC" w:rsidRPr="002476AC" w:rsidP="002476AC" w14:paraId="45BADBBC" w14:textId="77777777">
      <w:pPr>
        <w:rPr>
          <w:sz w:val="24"/>
          <w:szCs w:val="24"/>
        </w:rPr>
      </w:pPr>
    </w:p>
    <w:p w:rsidR="00BA7B6F" w:rsidP="00FA6C00" w14:paraId="1064707B" w14:textId="1BBF7D81">
      <w:pPr>
        <w:rPr>
          <w:sz w:val="24"/>
          <w:szCs w:val="24"/>
        </w:rPr>
      </w:pPr>
      <w:r w:rsidRPr="002476AC">
        <w:rPr>
          <w:noProof/>
        </w:rPr>
        <w:drawing>
          <wp:inline distT="0" distB="0" distL="0" distR="0">
            <wp:extent cx="5918200" cy="9118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8200" cy="911860"/>
                    </a:xfrm>
                    <a:prstGeom prst="rect">
                      <a:avLst/>
                    </a:prstGeom>
                    <a:noFill/>
                    <a:ln>
                      <a:noFill/>
                    </a:ln>
                  </pic:spPr>
                </pic:pic>
              </a:graphicData>
            </a:graphic>
          </wp:inline>
        </w:drawing>
      </w:r>
    </w:p>
    <w:p w:rsidR="00BA7B6F" w:rsidP="00FA6C00" w14:paraId="2A397DB9" w14:textId="77777777">
      <w:pPr>
        <w:rPr>
          <w:sz w:val="24"/>
          <w:szCs w:val="24"/>
        </w:rPr>
      </w:pPr>
    </w:p>
    <w:p w:rsidR="00BA7B6F" w:rsidP="00FA6C00" w14:paraId="5EABF6C8" w14:textId="77777777">
      <w:pPr>
        <w:rPr>
          <w:sz w:val="24"/>
          <w:szCs w:val="24"/>
        </w:rPr>
      </w:pPr>
    </w:p>
    <w:p w:rsidR="000A0F2D" w:rsidRPr="000E64E9" w:rsidP="00FA6C00" w14:paraId="342D1391" w14:textId="07122898">
      <w:pPr>
        <w:rPr>
          <w:sz w:val="24"/>
          <w:szCs w:val="24"/>
        </w:rPr>
      </w:pPr>
      <w:r w:rsidRPr="000E64E9">
        <w:rPr>
          <w:sz w:val="24"/>
          <w:szCs w:val="24"/>
        </w:rPr>
        <w:t>For a multistage (or wave) survey, focus the nonresponse bias analysis on each</w:t>
      </w:r>
      <w:r w:rsidRPr="000E64E9">
        <w:rPr>
          <w:spacing w:val="1"/>
          <w:sz w:val="24"/>
          <w:szCs w:val="24"/>
        </w:rPr>
        <w:t xml:space="preserve"> </w:t>
      </w:r>
      <w:r w:rsidRPr="000E64E9">
        <w:rPr>
          <w:sz w:val="24"/>
          <w:szCs w:val="24"/>
        </w:rPr>
        <w:t>stage, with particular attention to the “problem” stages.</w:t>
      </w:r>
      <w:r w:rsidRPr="000E64E9">
        <w:rPr>
          <w:spacing w:val="1"/>
          <w:sz w:val="24"/>
          <w:szCs w:val="24"/>
        </w:rPr>
        <w:t xml:space="preserve"> </w:t>
      </w:r>
      <w:r w:rsidRPr="000E64E9">
        <w:rPr>
          <w:sz w:val="24"/>
          <w:szCs w:val="24"/>
        </w:rPr>
        <w:t>A variety of methods can</w:t>
      </w:r>
      <w:r w:rsidRPr="000E64E9">
        <w:rPr>
          <w:spacing w:val="1"/>
          <w:sz w:val="24"/>
          <w:szCs w:val="24"/>
        </w:rPr>
        <w:t xml:space="preserve"> </w:t>
      </w:r>
      <w:r w:rsidRPr="000E64E9">
        <w:rPr>
          <w:sz w:val="24"/>
          <w:szCs w:val="24"/>
        </w:rPr>
        <w:t>be used to examine nonresponse bias, for example, make comparisons between</w:t>
      </w:r>
      <w:r w:rsidRPr="000E64E9">
        <w:rPr>
          <w:spacing w:val="1"/>
          <w:sz w:val="24"/>
          <w:szCs w:val="24"/>
        </w:rPr>
        <w:t xml:space="preserve"> </w:t>
      </w:r>
      <w:r w:rsidRPr="000E64E9">
        <w:rPr>
          <w:sz w:val="24"/>
          <w:szCs w:val="24"/>
        </w:rPr>
        <w:t>respondents and nonrespondents across subgroups using available sample frame</w:t>
      </w:r>
      <w:r w:rsidRPr="000E64E9">
        <w:rPr>
          <w:spacing w:val="1"/>
          <w:sz w:val="24"/>
          <w:szCs w:val="24"/>
        </w:rPr>
        <w:t xml:space="preserve"> </w:t>
      </w:r>
      <w:r w:rsidRPr="000E64E9">
        <w:rPr>
          <w:sz w:val="24"/>
          <w:szCs w:val="24"/>
        </w:rPr>
        <w:t>variables.   In the analysis of unit nonresponse, consider a multivariate modeling</w:t>
      </w:r>
      <w:r w:rsidRPr="000E64E9">
        <w:rPr>
          <w:spacing w:val="1"/>
          <w:sz w:val="24"/>
          <w:szCs w:val="24"/>
        </w:rPr>
        <w:t xml:space="preserve"> </w:t>
      </w:r>
      <w:r w:rsidRPr="000E64E9">
        <w:rPr>
          <w:sz w:val="24"/>
          <w:szCs w:val="24"/>
        </w:rPr>
        <w:t>of response using respondent and nonrespondent frame variables to determine if</w:t>
      </w:r>
      <w:r w:rsidRPr="000E64E9">
        <w:rPr>
          <w:spacing w:val="1"/>
          <w:sz w:val="24"/>
          <w:szCs w:val="24"/>
        </w:rPr>
        <w:t xml:space="preserve"> </w:t>
      </w:r>
      <w:r w:rsidRPr="000E64E9">
        <w:rPr>
          <w:sz w:val="24"/>
          <w:szCs w:val="24"/>
        </w:rPr>
        <w:t>nonrespondent</w:t>
      </w:r>
      <w:r w:rsidRPr="000E64E9">
        <w:rPr>
          <w:spacing w:val="-1"/>
          <w:sz w:val="24"/>
          <w:szCs w:val="24"/>
        </w:rPr>
        <w:t xml:space="preserve"> </w:t>
      </w:r>
      <w:r w:rsidRPr="000E64E9">
        <w:rPr>
          <w:sz w:val="24"/>
          <w:szCs w:val="24"/>
        </w:rPr>
        <w:t>bias exists.</w:t>
      </w:r>
      <w:r w:rsidRPr="000E64E9" w:rsidR="00D46AF0">
        <w:rPr>
          <w:sz w:val="24"/>
          <w:szCs w:val="24"/>
        </w:rPr>
        <w:t>”</w:t>
      </w:r>
      <w:r w:rsidRPr="000E64E9">
        <w:rPr>
          <w:spacing w:val="-1"/>
          <w:sz w:val="24"/>
          <w:szCs w:val="24"/>
        </w:rPr>
        <w:t xml:space="preserve"> </w:t>
      </w:r>
      <w:r w:rsidRPr="000E64E9">
        <w:rPr>
          <w:sz w:val="24"/>
          <w:szCs w:val="24"/>
        </w:rPr>
        <w:t>(Office</w:t>
      </w:r>
      <w:r w:rsidRPr="000E64E9">
        <w:rPr>
          <w:spacing w:val="-1"/>
          <w:sz w:val="24"/>
          <w:szCs w:val="24"/>
        </w:rPr>
        <w:t xml:space="preserve"> </w:t>
      </w:r>
      <w:r w:rsidRPr="000E64E9">
        <w:rPr>
          <w:sz w:val="24"/>
          <w:szCs w:val="24"/>
        </w:rPr>
        <w:t>of Management</w:t>
      </w:r>
      <w:r w:rsidRPr="000E64E9">
        <w:rPr>
          <w:spacing w:val="-1"/>
          <w:sz w:val="24"/>
          <w:szCs w:val="24"/>
        </w:rPr>
        <w:t xml:space="preserve"> </w:t>
      </w:r>
      <w:r w:rsidRPr="000E64E9">
        <w:rPr>
          <w:sz w:val="24"/>
          <w:szCs w:val="24"/>
        </w:rPr>
        <w:t>&amp;</w:t>
      </w:r>
      <w:r w:rsidRPr="000E64E9">
        <w:rPr>
          <w:spacing w:val="-2"/>
          <w:sz w:val="24"/>
          <w:szCs w:val="24"/>
        </w:rPr>
        <w:t xml:space="preserve"> </w:t>
      </w:r>
      <w:r w:rsidRPr="000E64E9">
        <w:rPr>
          <w:sz w:val="24"/>
          <w:szCs w:val="24"/>
        </w:rPr>
        <w:t>Budget, 2006,</w:t>
      </w:r>
      <w:r w:rsidRPr="000E64E9">
        <w:rPr>
          <w:spacing w:val="-1"/>
          <w:sz w:val="24"/>
          <w:szCs w:val="24"/>
        </w:rPr>
        <w:t xml:space="preserve"> </w:t>
      </w:r>
      <w:r w:rsidRPr="000E64E9">
        <w:rPr>
          <w:sz w:val="24"/>
          <w:szCs w:val="24"/>
        </w:rPr>
        <w:t>p. 16)</w:t>
      </w:r>
    </w:p>
    <w:p w:rsidR="000A0F2D" w14:paraId="405478AB" w14:textId="77777777">
      <w:pPr>
        <w:pStyle w:val="BodyText"/>
        <w:spacing w:before="1"/>
      </w:pPr>
    </w:p>
    <w:p w:rsidR="000A0F2D" w14:paraId="03A60D8B" w14:textId="23C0F795">
      <w:pPr>
        <w:ind w:left="460" w:right="215"/>
        <w:jc w:val="both"/>
        <w:rPr>
          <w:sz w:val="24"/>
        </w:rPr>
      </w:pPr>
      <w:r>
        <w:rPr>
          <w:sz w:val="24"/>
        </w:rPr>
        <w:t>NASS calculates unweighted unit response rates (</w:t>
      </w:r>
      <w:r>
        <w:rPr>
          <w:i/>
          <w:sz w:val="24"/>
        </w:rPr>
        <w:t>RRU</w:t>
      </w:r>
      <w:r>
        <w:rPr>
          <w:sz w:val="24"/>
        </w:rPr>
        <w:t>) for ARMS</w:t>
      </w:r>
      <w:r>
        <w:rPr>
          <w:spacing w:val="1"/>
          <w:sz w:val="24"/>
        </w:rPr>
        <w:t xml:space="preserve"> </w:t>
      </w:r>
      <w:r>
        <w:rPr>
          <w:sz w:val="24"/>
        </w:rPr>
        <w:t xml:space="preserve">based on the </w:t>
      </w:r>
      <w:r w:rsidR="006D2B51">
        <w:rPr>
          <w:sz w:val="24"/>
        </w:rPr>
        <w:t>expression</w:t>
      </w:r>
      <w:r>
        <w:rPr>
          <w:sz w:val="24"/>
        </w:rPr>
        <w:t xml:space="preserve"> provided </w:t>
      </w:r>
      <w:r w:rsidR="006D2B51">
        <w:rPr>
          <w:sz w:val="24"/>
        </w:rPr>
        <w:t>in</w:t>
      </w:r>
      <w:r>
        <w:rPr>
          <w:sz w:val="24"/>
        </w:rPr>
        <w:t xml:space="preserve"> Guideline 3.2.2 of the </w:t>
      </w:r>
      <w:r>
        <w:rPr>
          <w:i/>
          <w:sz w:val="24"/>
        </w:rPr>
        <w:t>Office of Management and</w:t>
      </w:r>
      <w:r>
        <w:rPr>
          <w:i/>
          <w:spacing w:val="1"/>
          <w:sz w:val="24"/>
        </w:rPr>
        <w:t xml:space="preserve"> </w:t>
      </w:r>
      <w:r>
        <w:rPr>
          <w:i/>
          <w:sz w:val="24"/>
        </w:rPr>
        <w:t>Budget</w:t>
      </w:r>
      <w:r>
        <w:rPr>
          <w:i/>
          <w:spacing w:val="-1"/>
          <w:sz w:val="24"/>
        </w:rPr>
        <w:t xml:space="preserve"> </w:t>
      </w:r>
      <w:r>
        <w:rPr>
          <w:i/>
          <w:sz w:val="24"/>
        </w:rPr>
        <w:t>Standards and Guidelines for Statistical Surveys</w:t>
      </w:r>
      <w:r>
        <w:rPr>
          <w:sz w:val="24"/>
        </w:rPr>
        <w:t>:</w:t>
      </w:r>
    </w:p>
    <w:p w:rsidR="000A0F2D" w14:paraId="146243AC" w14:textId="77777777">
      <w:pPr>
        <w:pStyle w:val="BodyText"/>
        <w:spacing w:before="2"/>
        <w:rPr>
          <w:sz w:val="38"/>
        </w:rPr>
      </w:pPr>
    </w:p>
    <w:p w:rsidR="000A0F2D" w:rsidRPr="005A0AA9" w14:paraId="18CADD7A" w14:textId="5D007265">
      <w:pPr>
        <w:ind w:left="865"/>
        <w:rPr>
          <w:iCs/>
          <w:sz w:val="24"/>
        </w:rPr>
      </w:pPr>
      <m:oMathPara>
        <m:oMath>
          <m:r>
            <w:rPr>
              <w:rFonts w:ascii="Cambria Math" w:hAnsi="Cambria Math"/>
              <w:sz w:val="24"/>
              <w:highlight w:val="lightGray"/>
            </w:rPr>
            <m:t xml:space="preserve">RRU= </m:t>
          </m:r>
          <m:f>
            <m:fPr>
              <m:ctrlPr>
                <w:rPr>
                  <w:rFonts w:ascii="Cambria Math" w:hAnsi="Cambria Math"/>
                  <w:i/>
                  <w:iCs/>
                  <w:sz w:val="24"/>
                  <w:highlight w:val="lightGray"/>
                </w:rPr>
              </m:ctrlPr>
            </m:fPr>
            <m:num>
              <m:r>
                <w:rPr>
                  <w:rFonts w:ascii="Cambria Math" w:hAnsi="Cambria Math"/>
                  <w:sz w:val="24"/>
                  <w:highlight w:val="lightGray"/>
                </w:rPr>
                <m:t>C</m:t>
              </m:r>
            </m:num>
            <m:den>
              <m:r>
                <w:rPr>
                  <w:rFonts w:ascii="Cambria Math" w:hAnsi="Cambria Math"/>
                  <w:sz w:val="24"/>
                  <w:highlight w:val="lightGray"/>
                </w:rPr>
                <m:t>C+R+NC+O+e(U)</m:t>
              </m:r>
            </m:den>
          </m:f>
        </m:oMath>
      </m:oMathPara>
    </w:p>
    <w:p w:rsidR="000A0F2D" w14:paraId="399F4971" w14:textId="77777777">
      <w:pPr>
        <w:pStyle w:val="BodyText"/>
        <w:rPr>
          <w:i/>
          <w:sz w:val="20"/>
        </w:rPr>
      </w:pPr>
    </w:p>
    <w:p w:rsidR="000A0F2D" w14:paraId="2ED14FC4" w14:textId="77777777">
      <w:pPr>
        <w:pStyle w:val="BodyText"/>
        <w:spacing w:before="2"/>
        <w:rPr>
          <w:i/>
          <w:sz w:val="23"/>
        </w:rPr>
      </w:pPr>
    </w:p>
    <w:p w:rsidR="000A0F2D" w14:paraId="2EEDD245" w14:textId="4D8CAAB4">
      <w:pPr>
        <w:pStyle w:val="BodyText"/>
        <w:ind w:left="820"/>
      </w:pPr>
      <w:r>
        <w:t>w</w:t>
      </w:r>
      <w:r w:rsidR="00B76EAA">
        <w:t>he</w:t>
      </w:r>
      <w:r>
        <w:t>re</w:t>
      </w:r>
      <w:r>
        <w:t>,</w:t>
      </w:r>
    </w:p>
    <w:p w:rsidR="000A0F2D" w14:paraId="74A86027" w14:textId="2BC918A6">
      <w:pPr>
        <w:pStyle w:val="BodyText"/>
        <w:tabs>
          <w:tab w:val="left" w:pos="1221"/>
        </w:tabs>
        <w:ind w:left="820"/>
      </w:pPr>
      <w:r>
        <w:rPr>
          <w:i/>
        </w:rPr>
        <w:t>C</w:t>
      </w:r>
      <w:r>
        <w:rPr>
          <w:i/>
        </w:rPr>
        <w:tab/>
      </w:r>
      <w:r>
        <w:t>=</w:t>
      </w:r>
      <w:r>
        <w:rPr>
          <w:spacing w:val="58"/>
        </w:rPr>
        <w:t xml:space="preserve"> </w:t>
      </w:r>
      <w:r>
        <w:t>the</w:t>
      </w:r>
      <w:r>
        <w:rPr>
          <w:spacing w:val="-2"/>
        </w:rPr>
        <w:t xml:space="preserve"> </w:t>
      </w:r>
      <w:r>
        <w:t>number</w:t>
      </w:r>
      <w:r>
        <w:rPr>
          <w:spacing w:val="-3"/>
        </w:rPr>
        <w:t xml:space="preserve"> </w:t>
      </w:r>
      <w:r>
        <w:t>of</w:t>
      </w:r>
      <w:r>
        <w:rPr>
          <w:spacing w:val="-1"/>
        </w:rPr>
        <w:t xml:space="preserve"> </w:t>
      </w:r>
      <w:r>
        <w:t>completed cases</w:t>
      </w:r>
      <w:r>
        <w:rPr>
          <w:spacing w:val="-1"/>
        </w:rPr>
        <w:t xml:space="preserve"> </w:t>
      </w:r>
      <w:r>
        <w:t>or</w:t>
      </w:r>
      <w:r>
        <w:rPr>
          <w:spacing w:val="-1"/>
        </w:rPr>
        <w:t xml:space="preserve"> </w:t>
      </w:r>
      <w:r>
        <w:t>sufficient</w:t>
      </w:r>
      <w:r>
        <w:rPr>
          <w:spacing w:val="-1"/>
        </w:rPr>
        <w:t xml:space="preserve"> </w:t>
      </w:r>
      <w:r>
        <w:t>partials</w:t>
      </w:r>
    </w:p>
    <w:p w:rsidR="000A0F2D" w14:paraId="7A7DB61F" w14:textId="5CC35B5D">
      <w:pPr>
        <w:pStyle w:val="BodyText"/>
        <w:tabs>
          <w:tab w:val="left" w:pos="1206"/>
        </w:tabs>
        <w:ind w:left="820"/>
      </w:pPr>
      <w:r>
        <w:rPr>
          <w:i/>
        </w:rPr>
        <w:t>R</w:t>
      </w:r>
      <w:r>
        <w:rPr>
          <w:i/>
        </w:rPr>
        <w:tab/>
        <w:t>=</w:t>
      </w:r>
      <w:r>
        <w:rPr>
          <w:i/>
          <w:spacing w:val="59"/>
        </w:rPr>
        <w:t xml:space="preserve"> </w:t>
      </w:r>
      <w:r>
        <w:t>the</w:t>
      </w:r>
      <w:r>
        <w:rPr>
          <w:spacing w:val="-2"/>
        </w:rPr>
        <w:t xml:space="preserve"> </w:t>
      </w:r>
      <w:r>
        <w:t>number</w:t>
      </w:r>
      <w:r>
        <w:rPr>
          <w:spacing w:val="-2"/>
        </w:rPr>
        <w:t xml:space="preserve"> </w:t>
      </w:r>
      <w:r>
        <w:t>of refused</w:t>
      </w:r>
      <w:r>
        <w:rPr>
          <w:spacing w:val="-1"/>
        </w:rPr>
        <w:t xml:space="preserve"> </w:t>
      </w:r>
      <w:r>
        <w:t>cases</w:t>
      </w:r>
    </w:p>
    <w:p w:rsidR="000A0F2D" w14:paraId="43C0AA23" w14:textId="4D94EE6E">
      <w:pPr>
        <w:pStyle w:val="BodyText"/>
        <w:ind w:left="820"/>
      </w:pPr>
      <w:r>
        <w:rPr>
          <w:i/>
        </w:rPr>
        <w:t>NC</w:t>
      </w:r>
      <w:r>
        <w:rPr>
          <w:i/>
          <w:spacing w:val="-1"/>
        </w:rPr>
        <w:t xml:space="preserve"> </w:t>
      </w:r>
      <w:r>
        <w:rPr>
          <w:i/>
        </w:rPr>
        <w:t>=</w:t>
      </w:r>
      <w:r>
        <w:rPr>
          <w:i/>
          <w:spacing w:val="58"/>
        </w:rPr>
        <w:t xml:space="preserve"> </w:t>
      </w:r>
      <w:r>
        <w:t>the</w:t>
      </w:r>
      <w:r>
        <w:rPr>
          <w:spacing w:val="-2"/>
        </w:rPr>
        <w:t xml:space="preserve"> </w:t>
      </w:r>
      <w:r>
        <w:t>number</w:t>
      </w:r>
      <w:r>
        <w:rPr>
          <w:spacing w:val="-2"/>
        </w:rPr>
        <w:t xml:space="preserve"> </w:t>
      </w:r>
      <w:r>
        <w:t>of</w:t>
      </w:r>
      <w:r>
        <w:rPr>
          <w:spacing w:val="-1"/>
        </w:rPr>
        <w:t xml:space="preserve"> </w:t>
      </w:r>
      <w:r>
        <w:t>noncontacted</w:t>
      </w:r>
      <w:r>
        <w:rPr>
          <w:spacing w:val="-1"/>
        </w:rPr>
        <w:t xml:space="preserve"> </w:t>
      </w:r>
      <w:r>
        <w:t>sample</w:t>
      </w:r>
      <w:r>
        <w:rPr>
          <w:spacing w:val="-1"/>
        </w:rPr>
        <w:t xml:space="preserve"> </w:t>
      </w:r>
      <w:r>
        <w:t>units</w:t>
      </w:r>
      <w:r>
        <w:rPr>
          <w:spacing w:val="1"/>
        </w:rPr>
        <w:t xml:space="preserve"> </w:t>
      </w:r>
      <w:r>
        <w:t>known</w:t>
      </w:r>
      <w:r>
        <w:rPr>
          <w:spacing w:val="-1"/>
        </w:rPr>
        <w:t xml:space="preserve"> </w:t>
      </w:r>
      <w:r>
        <w:t>to be</w:t>
      </w:r>
      <w:r>
        <w:rPr>
          <w:spacing w:val="-2"/>
        </w:rPr>
        <w:t xml:space="preserve"> </w:t>
      </w:r>
      <w:r>
        <w:t>eligible</w:t>
      </w:r>
    </w:p>
    <w:p w:rsidR="000A0F2D" w14:paraId="514BE9B0" w14:textId="276637E3">
      <w:pPr>
        <w:pStyle w:val="BodyText"/>
        <w:tabs>
          <w:tab w:val="left" w:pos="1233"/>
        </w:tabs>
        <w:spacing w:before="1"/>
        <w:ind w:left="1540" w:right="805" w:hanging="720"/>
      </w:pPr>
      <w:r>
        <w:rPr>
          <w:i/>
        </w:rPr>
        <w:t>O</w:t>
      </w:r>
      <w:r>
        <w:rPr>
          <w:i/>
        </w:rPr>
        <w:tab/>
        <w:t>=</w:t>
      </w:r>
      <w:r>
        <w:rPr>
          <w:i/>
          <w:spacing w:val="58"/>
        </w:rPr>
        <w:t xml:space="preserve"> </w:t>
      </w:r>
      <w:r>
        <w:t>the</w:t>
      </w:r>
      <w:r>
        <w:rPr>
          <w:spacing w:val="-2"/>
        </w:rPr>
        <w:t xml:space="preserve"> </w:t>
      </w:r>
      <w:r>
        <w:t>number</w:t>
      </w:r>
      <w:r>
        <w:rPr>
          <w:spacing w:val="-2"/>
        </w:rPr>
        <w:t xml:space="preserve"> </w:t>
      </w:r>
      <w:r>
        <w:t>of eligible</w:t>
      </w:r>
      <w:r>
        <w:rPr>
          <w:spacing w:val="-2"/>
        </w:rPr>
        <w:t xml:space="preserve"> </w:t>
      </w:r>
      <w:r>
        <w:t>sample units not</w:t>
      </w:r>
      <w:r>
        <w:rPr>
          <w:spacing w:val="-1"/>
        </w:rPr>
        <w:t xml:space="preserve"> </w:t>
      </w:r>
      <w:r>
        <w:t>responding</w:t>
      </w:r>
      <w:r>
        <w:rPr>
          <w:spacing w:val="-2"/>
        </w:rPr>
        <w:t xml:space="preserve"> </w:t>
      </w:r>
      <w:r>
        <w:t>for</w:t>
      </w:r>
      <w:r>
        <w:rPr>
          <w:spacing w:val="1"/>
        </w:rPr>
        <w:t xml:space="preserve"> </w:t>
      </w:r>
      <w:r>
        <w:t>reason other tha</w:t>
      </w:r>
      <w:r w:rsidR="00C24B04">
        <w:t xml:space="preserve">n </w:t>
      </w:r>
      <w:r>
        <w:t>refusal</w:t>
      </w:r>
    </w:p>
    <w:p w:rsidR="000A0F2D" w14:paraId="6850F122" w14:textId="6EF1A1BA">
      <w:pPr>
        <w:pStyle w:val="BodyText"/>
        <w:tabs>
          <w:tab w:val="left" w:pos="1233"/>
        </w:tabs>
        <w:ind w:left="820"/>
      </w:pPr>
      <w:r>
        <w:rPr>
          <w:i/>
        </w:rPr>
        <w:t>U</w:t>
      </w:r>
      <w:r>
        <w:rPr>
          <w:i/>
        </w:rPr>
        <w:tab/>
        <w:t>=</w:t>
      </w:r>
      <w:r>
        <w:rPr>
          <w:i/>
          <w:spacing w:val="58"/>
        </w:rPr>
        <w:t xml:space="preserve"> </w:t>
      </w:r>
      <w:r>
        <w:t>the</w:t>
      </w:r>
      <w:r>
        <w:rPr>
          <w:spacing w:val="-2"/>
        </w:rPr>
        <w:t xml:space="preserve"> </w:t>
      </w:r>
      <w:r>
        <w:t>number</w:t>
      </w:r>
      <w:r>
        <w:rPr>
          <w:spacing w:val="-2"/>
        </w:rPr>
        <w:t xml:space="preserve"> </w:t>
      </w:r>
      <w:r>
        <w:t>of</w:t>
      </w:r>
      <w:r>
        <w:rPr>
          <w:spacing w:val="-1"/>
        </w:rPr>
        <w:t xml:space="preserve"> </w:t>
      </w:r>
      <w:r>
        <w:t>sample</w:t>
      </w:r>
      <w:r>
        <w:rPr>
          <w:spacing w:val="-1"/>
        </w:rPr>
        <w:t xml:space="preserve"> </w:t>
      </w:r>
      <w:r>
        <w:t>units of</w:t>
      </w:r>
      <w:r>
        <w:rPr>
          <w:spacing w:val="-1"/>
        </w:rPr>
        <w:t xml:space="preserve"> </w:t>
      </w:r>
      <w:r>
        <w:t>unknown eligibility, not</w:t>
      </w:r>
      <w:r>
        <w:rPr>
          <w:spacing w:val="-1"/>
        </w:rPr>
        <w:t xml:space="preserve"> </w:t>
      </w:r>
      <w:r>
        <w:t>completed</w:t>
      </w:r>
    </w:p>
    <w:p w:rsidR="000A0F2D" w14:paraId="043F8A49" w14:textId="283C0F0E">
      <w:pPr>
        <w:pStyle w:val="BodyText"/>
        <w:tabs>
          <w:tab w:val="left" w:pos="1225"/>
        </w:tabs>
        <w:ind w:left="1540" w:right="901" w:hanging="720"/>
      </w:pPr>
      <w:r>
        <w:rPr>
          <w:i/>
        </w:rPr>
        <w:t>e</w:t>
      </w:r>
      <w:r>
        <w:rPr>
          <w:i/>
        </w:rPr>
        <w:tab/>
        <w:t>=</w:t>
      </w:r>
      <w:r>
        <w:rPr>
          <w:i/>
          <w:spacing w:val="58"/>
        </w:rPr>
        <w:t xml:space="preserve"> </w:t>
      </w:r>
      <w:r>
        <w:t>the</w:t>
      </w:r>
      <w:r>
        <w:rPr>
          <w:spacing w:val="-2"/>
        </w:rPr>
        <w:t xml:space="preserve"> </w:t>
      </w:r>
      <w:r>
        <w:t>estimated proportion of sample</w:t>
      </w:r>
      <w:r>
        <w:rPr>
          <w:spacing w:val="-1"/>
        </w:rPr>
        <w:t xml:space="preserve"> </w:t>
      </w:r>
      <w:r>
        <w:t>units of</w:t>
      </w:r>
      <w:r>
        <w:rPr>
          <w:spacing w:val="-1"/>
        </w:rPr>
        <w:t xml:space="preserve"> </w:t>
      </w:r>
      <w:r>
        <w:t>unknown eligibility</w:t>
      </w:r>
      <w:r>
        <w:rPr>
          <w:spacing w:val="-8"/>
        </w:rPr>
        <w:t xml:space="preserve"> </w:t>
      </w:r>
      <w:r>
        <w:t>that are</w:t>
      </w:r>
      <w:r>
        <w:rPr>
          <w:spacing w:val="-57"/>
        </w:rPr>
        <w:t xml:space="preserve"> </w:t>
      </w:r>
      <w:r>
        <w:t>eligible</w:t>
      </w:r>
    </w:p>
    <w:p w:rsidR="000A0F2D" w14:paraId="14A8B956" w14:textId="77777777">
      <w:pPr>
        <w:pStyle w:val="BodyText"/>
      </w:pPr>
    </w:p>
    <w:p w:rsidR="000A0F2D" w14:paraId="0FF45F51" w14:textId="1422F9FA">
      <w:pPr>
        <w:pStyle w:val="BodyText"/>
        <w:ind w:left="460" w:right="216"/>
        <w:jc w:val="both"/>
      </w:pPr>
      <w:r>
        <w:t xml:space="preserve">ARMS is conducted in three phases. Phase I screens for </w:t>
      </w:r>
      <w:r w:rsidR="00577C33">
        <w:t xml:space="preserve">qualifying agricultural </w:t>
      </w:r>
      <w:r w:rsidR="000E523D">
        <w:t>operations</w:t>
      </w:r>
      <w:r>
        <w:t xml:space="preserve"> for Phases</w:t>
      </w:r>
      <w:r>
        <w:rPr>
          <w:spacing w:val="1"/>
        </w:rPr>
        <w:t xml:space="preserve"> </w:t>
      </w:r>
      <w:r>
        <w:t>II and III. Phase II collects data on cropping practices and agricultural chemical usage,</w:t>
      </w:r>
      <w:r>
        <w:rPr>
          <w:spacing w:val="1"/>
        </w:rPr>
        <w:t xml:space="preserve"> </w:t>
      </w:r>
      <w:r>
        <w:t>while</w:t>
      </w:r>
      <w:r>
        <w:rPr>
          <w:spacing w:val="21"/>
        </w:rPr>
        <w:t xml:space="preserve"> </w:t>
      </w:r>
      <w:r>
        <w:t>Phase</w:t>
      </w:r>
      <w:r>
        <w:rPr>
          <w:spacing w:val="26"/>
        </w:rPr>
        <w:t xml:space="preserve"> </w:t>
      </w:r>
      <w:r>
        <w:t>III</w:t>
      </w:r>
      <w:r>
        <w:rPr>
          <w:spacing w:val="22"/>
        </w:rPr>
        <w:t xml:space="preserve"> </w:t>
      </w:r>
      <w:r>
        <w:t>collects</w:t>
      </w:r>
      <w:r>
        <w:rPr>
          <w:spacing w:val="25"/>
        </w:rPr>
        <w:t xml:space="preserve"> </w:t>
      </w:r>
      <w:r>
        <w:t>detailed</w:t>
      </w:r>
      <w:r>
        <w:rPr>
          <w:spacing w:val="22"/>
        </w:rPr>
        <w:t xml:space="preserve"> </w:t>
      </w:r>
      <w:r>
        <w:t>economic</w:t>
      </w:r>
      <w:r>
        <w:rPr>
          <w:spacing w:val="21"/>
        </w:rPr>
        <w:t xml:space="preserve"> </w:t>
      </w:r>
      <w:r>
        <w:t>information</w:t>
      </w:r>
      <w:r>
        <w:rPr>
          <w:spacing w:val="23"/>
        </w:rPr>
        <w:t xml:space="preserve"> </w:t>
      </w:r>
      <w:r>
        <w:t>about</w:t>
      </w:r>
      <w:r>
        <w:rPr>
          <w:spacing w:val="23"/>
        </w:rPr>
        <w:t xml:space="preserve"> </w:t>
      </w:r>
      <w:r>
        <w:t>the</w:t>
      </w:r>
      <w:r>
        <w:rPr>
          <w:spacing w:val="24"/>
        </w:rPr>
        <w:t xml:space="preserve"> </w:t>
      </w:r>
      <w:r>
        <w:t>agricultural</w:t>
      </w:r>
      <w:r w:rsidR="00C24B04">
        <w:rPr>
          <w:spacing w:val="23"/>
        </w:rPr>
        <w:t xml:space="preserve"> </w:t>
      </w:r>
      <w:r w:rsidR="00C24B04">
        <w:t xml:space="preserve">operation </w:t>
      </w:r>
      <w:r w:rsidR="00C24B04">
        <w:rPr>
          <w:spacing w:val="-58"/>
        </w:rPr>
        <w:t xml:space="preserve">    </w:t>
      </w:r>
      <w:r w:rsidR="00577C33">
        <w:rPr>
          <w:spacing w:val="-58"/>
        </w:rPr>
        <w:t xml:space="preserve">  </w:t>
      </w:r>
      <w:r>
        <w:t>as well as the operator’s household.</w:t>
      </w:r>
      <w:r>
        <w:rPr>
          <w:spacing w:val="1"/>
        </w:rPr>
        <w:t xml:space="preserve"> </w:t>
      </w:r>
    </w:p>
    <w:p w:rsidR="000A0F2D" w14:paraId="2CF95F86" w14:textId="77777777">
      <w:pPr>
        <w:pStyle w:val="BodyText"/>
        <w:spacing w:before="1"/>
      </w:pPr>
    </w:p>
    <w:p w:rsidR="000A0F2D" w14:paraId="75D25AE3" w14:textId="268A6398">
      <w:pPr>
        <w:pStyle w:val="BodyText"/>
        <w:ind w:left="460" w:right="215"/>
        <w:jc w:val="both"/>
        <w:rPr>
          <w:spacing w:val="1"/>
        </w:rPr>
      </w:pPr>
      <w:r>
        <w:t>NASS weights ARMS Phase III respondent</w:t>
      </w:r>
      <w:r w:rsidR="0038562D">
        <w:t>s</w:t>
      </w:r>
      <w:r>
        <w:t xml:space="preserve"> such </w:t>
      </w:r>
      <w:r w:rsidR="008A568E">
        <w:t>t</w:t>
      </w:r>
      <w:r>
        <w:t xml:space="preserve">hat </w:t>
      </w:r>
      <w:r w:rsidR="0038562D">
        <w:t xml:space="preserve">a subset of </w:t>
      </w:r>
      <w:r w:rsidR="008A568E">
        <w:t xml:space="preserve">summary </w:t>
      </w:r>
      <w:r w:rsidR="0038562D">
        <w:t xml:space="preserve">variable </w:t>
      </w:r>
      <w:r>
        <w:t xml:space="preserve">totals </w:t>
      </w:r>
      <w:r w:rsidR="008A568E">
        <w:t>match</w:t>
      </w:r>
      <w:r>
        <w:rPr>
          <w:spacing w:val="60"/>
        </w:rPr>
        <w:t xml:space="preserve"> </w:t>
      </w:r>
      <w:r w:rsidRPr="008A568E" w:rsidR="008A568E">
        <w:t>s</w:t>
      </w:r>
      <w:r w:rsidR="008A568E">
        <w:t>p</w:t>
      </w:r>
      <w:r w:rsidRPr="008A568E" w:rsidR="008A568E">
        <w:t>e</w:t>
      </w:r>
      <w:r w:rsidR="008A568E">
        <w:t>cific</w:t>
      </w:r>
      <w:r w:rsidRPr="008A568E" w:rsidR="008A568E">
        <w:t xml:space="preserve"> </w:t>
      </w:r>
      <w:r>
        <w:t>“targets” determined</w:t>
      </w:r>
      <w:r>
        <w:rPr>
          <w:spacing w:val="1"/>
        </w:rPr>
        <w:t xml:space="preserve"> </w:t>
      </w:r>
      <w:r>
        <w:t>from</w:t>
      </w:r>
      <w:r>
        <w:rPr>
          <w:spacing w:val="1"/>
        </w:rPr>
        <w:t xml:space="preserve"> </w:t>
      </w:r>
      <w:r w:rsidR="0038562D">
        <w:rPr>
          <w:spacing w:val="1"/>
        </w:rPr>
        <w:t>external</w:t>
      </w:r>
      <w:r>
        <w:rPr>
          <w:spacing w:val="1"/>
        </w:rPr>
        <w:t xml:space="preserve"> </w:t>
      </w:r>
      <w:r>
        <w:t>sources.</w:t>
      </w:r>
      <w:r>
        <w:rPr>
          <w:spacing w:val="1"/>
        </w:rPr>
        <w:t xml:space="preserve"> </w:t>
      </w:r>
      <w:r>
        <w:t>This</w:t>
      </w:r>
      <w:r w:rsidR="008A568E">
        <w:t xml:space="preserve"> weighting </w:t>
      </w:r>
      <w:r>
        <w:t>process</w:t>
      </w:r>
      <w:r>
        <w:rPr>
          <w:spacing w:val="1"/>
        </w:rPr>
        <w:t xml:space="preserve"> </w:t>
      </w:r>
      <w:r w:rsidR="008A568E">
        <w:rPr>
          <w:spacing w:val="1"/>
        </w:rPr>
        <w:t xml:space="preserve">is </w:t>
      </w:r>
      <w:r>
        <w:t>called</w:t>
      </w:r>
      <w:r>
        <w:rPr>
          <w:spacing w:val="1"/>
        </w:rPr>
        <w:t xml:space="preserve"> </w:t>
      </w:r>
      <w:r>
        <w:t>“calibration.”</w:t>
      </w:r>
      <w:r>
        <w:rPr>
          <w:spacing w:val="-57"/>
        </w:rPr>
        <w:t xml:space="preserve"> </w:t>
      </w:r>
      <w:r>
        <w:t>Calibration</w:t>
      </w:r>
      <w:r>
        <w:rPr>
          <w:spacing w:val="41"/>
        </w:rPr>
        <w:t xml:space="preserve"> </w:t>
      </w:r>
      <w:r>
        <w:t>adjust</w:t>
      </w:r>
      <w:r w:rsidR="008A568E">
        <w:t>s</w:t>
      </w:r>
      <w:r>
        <w:rPr>
          <w:spacing w:val="41"/>
        </w:rPr>
        <w:t xml:space="preserve"> </w:t>
      </w:r>
      <w:r>
        <w:t>survey</w:t>
      </w:r>
      <w:r>
        <w:rPr>
          <w:spacing w:val="39"/>
        </w:rPr>
        <w:t xml:space="preserve"> </w:t>
      </w:r>
      <w:r>
        <w:t>weights</w:t>
      </w:r>
      <w:r w:rsidRPr="009350DD">
        <w:t xml:space="preserve"> </w:t>
      </w:r>
      <w:r w:rsidRPr="009350DD" w:rsidR="009350DD">
        <w:t>in a manner</w:t>
      </w:r>
      <w:r w:rsidR="009350DD">
        <w:rPr>
          <w:spacing w:val="43"/>
        </w:rPr>
        <w:t xml:space="preserve"> </w:t>
      </w:r>
      <w:r>
        <w:t>that</w:t>
      </w:r>
      <w:r w:rsidR="001C7E8E">
        <w:rPr>
          <w:spacing w:val="42"/>
        </w:rPr>
        <w:t xml:space="preserve"> </w:t>
      </w:r>
      <w:r w:rsidRPr="001C7E8E" w:rsidR="001C7E8E">
        <w:rPr>
          <w:spacing w:val="1"/>
        </w:rPr>
        <w:t>summary</w:t>
      </w:r>
      <w:r w:rsidR="008A568E">
        <w:rPr>
          <w:spacing w:val="1"/>
        </w:rPr>
        <w:t xml:space="preserve"> </w:t>
      </w:r>
      <w:r w:rsidR="009350DD">
        <w:rPr>
          <w:spacing w:val="1"/>
        </w:rPr>
        <w:t xml:space="preserve">direct </w:t>
      </w:r>
      <w:r w:rsidR="005A0AA9">
        <w:rPr>
          <w:spacing w:val="1"/>
        </w:rPr>
        <w:t xml:space="preserve">expansions </w:t>
      </w:r>
      <w:r w:rsidR="008A568E">
        <w:rPr>
          <w:spacing w:val="1"/>
        </w:rPr>
        <w:t>match, or are close to, a</w:t>
      </w:r>
      <w:r w:rsidRPr="001C7E8E" w:rsidR="001C7E8E">
        <w:rPr>
          <w:spacing w:val="1"/>
        </w:rPr>
        <w:t xml:space="preserve"> specified </w:t>
      </w:r>
      <w:r w:rsidRPr="001C7E8E">
        <w:rPr>
          <w:spacing w:val="1"/>
        </w:rPr>
        <w:t>target</w:t>
      </w:r>
      <w:r w:rsidRPr="001C7E8E" w:rsidR="001C7E8E">
        <w:rPr>
          <w:spacing w:val="1"/>
        </w:rPr>
        <w:t>’</w:t>
      </w:r>
      <w:r w:rsidRPr="001C7E8E">
        <w:rPr>
          <w:spacing w:val="1"/>
        </w:rPr>
        <w:t xml:space="preserve">s </w:t>
      </w:r>
      <w:r w:rsidRPr="001C7E8E" w:rsidR="001C7E8E">
        <w:rPr>
          <w:spacing w:val="1"/>
        </w:rPr>
        <w:t>value</w:t>
      </w:r>
      <w:r w:rsidRPr="001C7E8E">
        <w:rPr>
          <w:spacing w:val="1"/>
        </w:rPr>
        <w:t>.</w:t>
      </w:r>
    </w:p>
    <w:p w:rsidR="009350DD" w:rsidRPr="001C7E8E" w14:paraId="3E59D1FB" w14:textId="77777777">
      <w:pPr>
        <w:pStyle w:val="BodyText"/>
        <w:ind w:left="460" w:right="215"/>
        <w:jc w:val="both"/>
        <w:rPr>
          <w:spacing w:val="1"/>
        </w:rPr>
      </w:pPr>
    </w:p>
    <w:p w:rsidR="000A0F2D" w14:paraId="6A08F451" w14:textId="39293CFE">
      <w:pPr>
        <w:pStyle w:val="BodyText"/>
        <w:spacing w:before="72"/>
        <w:ind w:left="460" w:right="216"/>
        <w:jc w:val="both"/>
      </w:pPr>
      <w:r>
        <w:t>Calibration in ARMS Phase III</w:t>
      </w:r>
      <w:r w:rsidR="008E5067">
        <w:t xml:space="preserve"> targets </w:t>
      </w:r>
      <w:r w:rsidR="00595285">
        <w:t xml:space="preserve">official </w:t>
      </w:r>
      <w:r w:rsidR="008E5067">
        <w:t xml:space="preserve">statistical </w:t>
      </w:r>
      <w:r w:rsidR="00595285">
        <w:t xml:space="preserve">estimates </w:t>
      </w:r>
      <w:r w:rsidR="008E5067">
        <w:t xml:space="preserve">for </w:t>
      </w:r>
      <w:r w:rsidR="00595285">
        <w:t xml:space="preserve">farm numbers, </w:t>
      </w:r>
      <w:r w:rsidR="00DD465E">
        <w:t xml:space="preserve">farm numbers by economic sales classes, </w:t>
      </w:r>
      <w:r w:rsidR="00595285">
        <w:t xml:space="preserve">corn, soybean, wheat, </w:t>
      </w:r>
      <w:r w:rsidR="005873D6">
        <w:t xml:space="preserve">rice, </w:t>
      </w:r>
      <w:r w:rsidR="00595285">
        <w:t>cotton,</w:t>
      </w:r>
      <w:r w:rsidR="005873D6">
        <w:t xml:space="preserve"> hay, </w:t>
      </w:r>
      <w:r w:rsidR="00DD465E">
        <w:t>peanut,</w:t>
      </w:r>
      <w:r w:rsidR="005873D6">
        <w:t xml:space="preserve"> </w:t>
      </w:r>
      <w:r w:rsidR="00DD465E">
        <w:t>sugar</w:t>
      </w:r>
      <w:r w:rsidR="005873D6">
        <w:t>cane</w:t>
      </w:r>
      <w:r w:rsidR="00DD465E">
        <w:t>,</w:t>
      </w:r>
      <w:r w:rsidR="005873D6">
        <w:t xml:space="preserve"> sugar beet,</w:t>
      </w:r>
      <w:r w:rsidR="00DD465E">
        <w:t xml:space="preserve"> tobacco, </w:t>
      </w:r>
      <w:r w:rsidR="00595285">
        <w:t>fruit and</w:t>
      </w:r>
      <w:r w:rsidR="00595285">
        <w:rPr>
          <w:spacing w:val="1"/>
        </w:rPr>
        <w:t xml:space="preserve"> </w:t>
      </w:r>
      <w:r w:rsidR="00595285">
        <w:t>vegetable acres</w:t>
      </w:r>
      <w:r w:rsidR="008E5067">
        <w:t>,</w:t>
      </w:r>
      <w:r w:rsidR="005873D6">
        <w:t xml:space="preserve"> floriculture crops, cattle</w:t>
      </w:r>
      <w:r w:rsidR="00595285">
        <w:t xml:space="preserve">, </w:t>
      </w:r>
      <w:r w:rsidR="00DD465E">
        <w:t xml:space="preserve">cattle on feed, </w:t>
      </w:r>
      <w:r w:rsidR="00595285">
        <w:t>hog, broiler</w:t>
      </w:r>
      <w:r w:rsidR="005873D6">
        <w:t>s</w:t>
      </w:r>
      <w:r w:rsidR="00595285">
        <w:t xml:space="preserve">, </w:t>
      </w:r>
      <w:r w:rsidR="00DD465E">
        <w:t xml:space="preserve">layer, </w:t>
      </w:r>
      <w:r w:rsidR="005873D6">
        <w:t>milk</w:t>
      </w:r>
      <w:r w:rsidR="00DD465E">
        <w:t xml:space="preserve">, </w:t>
      </w:r>
      <w:r w:rsidR="00595285">
        <w:t>turkey</w:t>
      </w:r>
      <w:r w:rsidR="008E5067">
        <w:t xml:space="preserve"> inventories, and egg production. </w:t>
      </w:r>
      <w:r w:rsidR="00564DA4">
        <w:t>C</w:t>
      </w:r>
      <w:r w:rsidR="00595285">
        <w:t>alibration</w:t>
      </w:r>
      <w:r w:rsidR="00564DA4">
        <w:t xml:space="preserve"> </w:t>
      </w:r>
      <w:r w:rsidR="00595285">
        <w:t>weighted sum</w:t>
      </w:r>
      <w:r w:rsidR="00564DA4">
        <w:t>s</w:t>
      </w:r>
      <w:r w:rsidR="00595285">
        <w:t xml:space="preserve"> of survey</w:t>
      </w:r>
      <w:r w:rsidR="00595285">
        <w:rPr>
          <w:spacing w:val="1"/>
        </w:rPr>
        <w:t xml:space="preserve"> </w:t>
      </w:r>
      <w:r w:rsidR="00595285">
        <w:t>data</w:t>
      </w:r>
      <w:r w:rsidR="00595285">
        <w:rPr>
          <w:spacing w:val="1"/>
        </w:rPr>
        <w:t xml:space="preserve"> </w:t>
      </w:r>
      <w:r w:rsidR="00595285">
        <w:t>will</w:t>
      </w:r>
      <w:r w:rsidR="00595285">
        <w:rPr>
          <w:spacing w:val="1"/>
        </w:rPr>
        <w:t xml:space="preserve"> </w:t>
      </w:r>
      <w:r w:rsidR="00595285">
        <w:t>equal</w:t>
      </w:r>
      <w:r w:rsidR="008E5067">
        <w:t>, or be close to,</w:t>
      </w:r>
      <w:r w:rsidR="00595285">
        <w:rPr>
          <w:spacing w:val="1"/>
        </w:rPr>
        <w:t xml:space="preserve"> </w:t>
      </w:r>
      <w:r w:rsidR="00595285">
        <w:t>the</w:t>
      </w:r>
      <w:r w:rsidR="00595285">
        <w:rPr>
          <w:spacing w:val="1"/>
        </w:rPr>
        <w:t xml:space="preserve"> </w:t>
      </w:r>
      <w:r w:rsidR="00611ABF">
        <w:rPr>
          <w:spacing w:val="1"/>
        </w:rPr>
        <w:t>targeted value</w:t>
      </w:r>
      <w:r w:rsidR="00564DA4">
        <w:rPr>
          <w:spacing w:val="1"/>
        </w:rPr>
        <w:t>s listed above.</w:t>
      </w:r>
      <w:r w:rsidR="00611ABF">
        <w:rPr>
          <w:spacing w:val="1"/>
        </w:rPr>
        <w:t xml:space="preserve"> </w:t>
      </w:r>
      <w:r w:rsidR="00611ABF">
        <w:t xml:space="preserve">An important benefit under calibration weighting is a reduction in </w:t>
      </w:r>
      <w:r w:rsidR="00595285">
        <w:t>nonresponse biases</w:t>
      </w:r>
      <w:r w:rsidR="008D417E">
        <w:t xml:space="preserve"> </w:t>
      </w:r>
      <w:r w:rsidRPr="008D417E" w:rsidR="008D417E">
        <w:t>(Earp, McCarthy, Schauer, &amp; Kott, 2008)</w:t>
      </w:r>
      <w:r w:rsidR="00595285">
        <w:t>.</w:t>
      </w:r>
      <w:r w:rsidR="00595285">
        <w:rPr>
          <w:spacing w:val="1"/>
        </w:rPr>
        <w:t xml:space="preserve"> </w:t>
      </w:r>
      <w:r w:rsidR="00595285">
        <w:t>Th</w:t>
      </w:r>
      <w:r w:rsidR="008E5067">
        <w:t>e</w:t>
      </w:r>
      <w:r w:rsidR="00595285">
        <w:t xml:space="preserve"> </w:t>
      </w:r>
      <w:r w:rsidR="008D417E">
        <w:t xml:space="preserve">current </w:t>
      </w:r>
      <w:r w:rsidR="00595285">
        <w:t>re</w:t>
      </w:r>
      <w:r w:rsidR="008E5067">
        <w:t xml:space="preserve">search </w:t>
      </w:r>
      <w:r w:rsidR="008D417E">
        <w:t xml:space="preserve">will </w:t>
      </w:r>
      <w:r w:rsidR="008E5067">
        <w:t>evaluat</w:t>
      </w:r>
      <w:r>
        <w:t xml:space="preserve">e </w:t>
      </w:r>
      <w:r w:rsidR="00684276">
        <w:t xml:space="preserve">2020 </w:t>
      </w:r>
      <w:r w:rsidR="00FF14F2">
        <w:t xml:space="preserve">ARMS </w:t>
      </w:r>
      <w:r w:rsidR="00595285">
        <w:t>nonresponse</w:t>
      </w:r>
      <w:r w:rsidR="00595285">
        <w:rPr>
          <w:spacing w:val="1"/>
        </w:rPr>
        <w:t xml:space="preserve"> </w:t>
      </w:r>
      <w:r w:rsidR="00595285">
        <w:t>bias</w:t>
      </w:r>
      <w:r w:rsidR="00684276">
        <w:t>es</w:t>
      </w:r>
      <w:r>
        <w:t>,</w:t>
      </w:r>
      <w:r w:rsidR="00595285">
        <w:rPr>
          <w:spacing w:val="-3"/>
        </w:rPr>
        <w:t xml:space="preserve"> </w:t>
      </w:r>
      <w:r w:rsidR="00595285">
        <w:t xml:space="preserve">and </w:t>
      </w:r>
      <w:r w:rsidR="008E5067">
        <w:t>t</w:t>
      </w:r>
      <w:r w:rsidR="00595285">
        <w:t>he</w:t>
      </w:r>
      <w:r w:rsidR="008B1BEB">
        <w:t>ir</w:t>
      </w:r>
      <w:r w:rsidR="00595285">
        <w:t xml:space="preserve"> </w:t>
      </w:r>
      <w:r w:rsidR="008E5067">
        <w:t xml:space="preserve">mitigation through </w:t>
      </w:r>
      <w:r w:rsidR="00595285">
        <w:t>calibration</w:t>
      </w:r>
      <w:r w:rsidR="0083796F">
        <w:t>,</w:t>
      </w:r>
      <w:r w:rsidR="008D417E">
        <w:t xml:space="preserve"> using 2017 Census of Agriculture data</w:t>
      </w:r>
      <w:r w:rsidR="00595285">
        <w:t>.</w:t>
      </w:r>
    </w:p>
    <w:p w:rsidR="00FA6C00" w:rsidP="00876DA8" w14:paraId="38F8016C" w14:textId="77777777">
      <w:pPr>
        <w:pStyle w:val="BodyText"/>
        <w:spacing w:before="72"/>
        <w:ind w:right="216"/>
        <w:jc w:val="both"/>
      </w:pPr>
    </w:p>
    <w:p w:rsidR="00603BDC" w:rsidP="00603BDC" w14:paraId="3D598930" w14:textId="48A38300">
      <w:pPr>
        <w:pStyle w:val="BodyText"/>
        <w:spacing w:before="72"/>
        <w:ind w:left="460" w:right="216"/>
        <w:jc w:val="both"/>
      </w:pPr>
      <w:r>
        <w:t>Calibration</w:t>
      </w:r>
      <w:r w:rsidR="00ED7223">
        <w:t>,</w:t>
      </w:r>
      <w:r>
        <w:t xml:space="preserve"> </w:t>
      </w:r>
      <w:r w:rsidR="00E37E67">
        <w:t>as</w:t>
      </w:r>
      <w:r>
        <w:t xml:space="preserve"> expressed by </w:t>
      </w:r>
      <w:r w:rsidRPr="00603BDC">
        <w:t>Davies, G., J. Gillard, and A. Zhigljavsky. 2016</w:t>
      </w:r>
      <w:r w:rsidR="0084116B">
        <w:t>,</w:t>
      </w:r>
      <w:r w:rsidR="00E37E67">
        <w:t xml:space="preserve"> is a</w:t>
      </w:r>
      <w:r>
        <w:t xml:space="preserve">s follows: </w:t>
      </w:r>
      <w:r w:rsidR="00563F55">
        <w:t>s</w:t>
      </w:r>
      <w:r>
        <w:t>uppose m sampling units in a survey have been assigned initial weights d</w:t>
      </w:r>
      <w:r w:rsidRPr="00603BDC">
        <w:rPr>
          <w:vertAlign w:val="subscript"/>
        </w:rPr>
        <w:t>i</w:t>
      </w:r>
      <w:r>
        <w:t xml:space="preserve"> for </w:t>
      </w:r>
      <w:r w:rsidRPr="00666B00">
        <w:rPr>
          <w:i/>
          <w:iCs/>
        </w:rPr>
        <w:t>i</w:t>
      </w:r>
      <w:r w:rsidRPr="00666B00">
        <w:rPr>
          <w:i/>
          <w:iCs/>
        </w:rPr>
        <w:t>=1,…,m</w:t>
      </w:r>
      <w:r>
        <w:t xml:space="preserve">, and furthermore, there are </w:t>
      </w:r>
      <w:r w:rsidRPr="00666B00">
        <w:rPr>
          <w:i/>
          <w:iCs/>
        </w:rPr>
        <w:t>n</w:t>
      </w:r>
      <w:r>
        <w:t xml:space="preserve"> auxiliary variables whose values in the sample are known. Calibration seeks to improve the initial weights d</w:t>
      </w:r>
      <w:r w:rsidRPr="00603BDC">
        <w:rPr>
          <w:vertAlign w:val="subscript"/>
        </w:rPr>
        <w:t>i</w:t>
      </w:r>
      <w:r>
        <w:t xml:space="preserve"> by finding new weights </w:t>
      </w:r>
      <w:r w:rsidRPr="00666B00">
        <w:rPr>
          <w:i/>
          <w:iCs/>
        </w:rPr>
        <w:t>w</w:t>
      </w:r>
      <w:r w:rsidRPr="00666B00">
        <w:rPr>
          <w:i/>
          <w:iCs/>
          <w:vertAlign w:val="subscript"/>
        </w:rPr>
        <w:t>i</w:t>
      </w:r>
      <w:r>
        <w:t xml:space="preserve"> that incorporate this auxiliary information while perturbing the initial weights as little as possible, the ratio </w:t>
      </w:r>
      <w:r w:rsidRPr="00666B00">
        <w:rPr>
          <w:i/>
          <w:iCs/>
        </w:rPr>
        <w:t>g</w:t>
      </w:r>
      <w:r w:rsidRPr="00666B00">
        <w:rPr>
          <w:i/>
          <w:iCs/>
          <w:vertAlign w:val="subscript"/>
        </w:rPr>
        <w:t>i</w:t>
      </w:r>
      <w:r w:rsidRPr="00666B00" w:rsidR="0084116B">
        <w:rPr>
          <w:i/>
          <w:iCs/>
          <w:vertAlign w:val="subscript"/>
        </w:rPr>
        <w:t xml:space="preserve"> </w:t>
      </w:r>
      <w:r w:rsidRPr="00666B00">
        <w:rPr>
          <w:i/>
          <w:iCs/>
        </w:rPr>
        <w:t>=</w:t>
      </w:r>
      <w:r w:rsidRPr="00666B00" w:rsidR="0084116B">
        <w:rPr>
          <w:i/>
          <w:iCs/>
        </w:rPr>
        <w:t xml:space="preserve"> </w:t>
      </w:r>
      <w:r w:rsidRPr="00666B00">
        <w:rPr>
          <w:i/>
          <w:iCs/>
        </w:rPr>
        <w:t>w</w:t>
      </w:r>
      <w:r w:rsidRPr="00666B00">
        <w:rPr>
          <w:i/>
          <w:iCs/>
          <w:vertAlign w:val="subscript"/>
        </w:rPr>
        <w:t>i</w:t>
      </w:r>
      <w:r w:rsidR="00666B00">
        <w:rPr>
          <w:i/>
          <w:iCs/>
          <w:vertAlign w:val="subscript"/>
        </w:rPr>
        <w:t xml:space="preserve"> </w:t>
      </w:r>
      <w:r w:rsidRPr="00666B00">
        <w:rPr>
          <w:i/>
          <w:iCs/>
        </w:rPr>
        <w:t>/d</w:t>
      </w:r>
      <w:r w:rsidRPr="00666B00">
        <w:rPr>
          <w:i/>
          <w:iCs/>
          <w:vertAlign w:val="subscript"/>
        </w:rPr>
        <w:t>i</w:t>
      </w:r>
      <w:r>
        <w:t xml:space="preserve"> must be close to one. </w:t>
      </w:r>
    </w:p>
    <w:p w:rsidR="0084116B" w:rsidP="00603BDC" w14:paraId="71F365DD" w14:textId="77777777">
      <w:pPr>
        <w:pStyle w:val="BodyText"/>
        <w:spacing w:before="72"/>
        <w:ind w:left="460" w:right="216"/>
        <w:jc w:val="both"/>
      </w:pPr>
    </w:p>
    <w:p w:rsidR="00603BDC" w:rsidP="00603BDC" w14:paraId="2EF0D0BA" w14:textId="43EB5234">
      <w:pPr>
        <w:pStyle w:val="BodyText"/>
        <w:spacing w:before="72"/>
        <w:ind w:left="460" w:right="216"/>
        <w:jc w:val="both"/>
      </w:pPr>
      <w:r>
        <w:t>Let X</w:t>
      </w:r>
      <w:r w:rsidR="0084116B">
        <w:t xml:space="preserve"> </w:t>
      </w:r>
      <w:r>
        <w:rPr>
          <w:rFonts w:ascii="Cambria Math" w:hAnsi="Cambria Math" w:cs="Cambria Math"/>
        </w:rPr>
        <w:t>∈</w:t>
      </w:r>
      <w:r w:rsidR="0084116B">
        <w:rPr>
          <w:rFonts w:ascii="Cambria Math" w:hAnsi="Cambria Math" w:cs="Cambria Math"/>
        </w:rPr>
        <w:t xml:space="preserve"> </w:t>
      </w:r>
      <w:r>
        <w:t>R</w:t>
      </w:r>
      <w:r w:rsidRPr="00666B00">
        <w:rPr>
          <w:i/>
          <w:iCs/>
          <w:vertAlign w:val="subscript"/>
        </w:rPr>
        <w:t>m×n</w:t>
      </w:r>
      <w:r w:rsidRPr="00666B00">
        <w:rPr>
          <w:i/>
          <w:iCs/>
        </w:rPr>
        <w:t xml:space="preserve"> </w:t>
      </w:r>
      <w:r>
        <w:t>be the matrix of survey samples, with each column corresponding to an auxiliary variable. Reweighting can be expressed as the optimization problem (see Davies, Gillard, and Zhigljavsky</w:t>
      </w:r>
      <w:r w:rsidR="00AF45C4">
        <w:t>,</w:t>
      </w:r>
      <w:r>
        <w:t xml:space="preserve"> 2016):</w:t>
      </w:r>
    </w:p>
    <w:p w:rsidR="00603BDC" w:rsidP="00603BDC" w14:paraId="678444B0" w14:textId="77777777">
      <w:pPr>
        <w:pStyle w:val="BodyText"/>
        <w:spacing w:before="72"/>
        <w:ind w:left="460" w:right="216"/>
        <w:jc w:val="both"/>
      </w:pPr>
    </w:p>
    <w:p w:rsidR="00603BDC" w:rsidP="00603BDC" w14:paraId="75E7A633" w14:textId="5B25B783">
      <w:pPr>
        <w:pStyle w:val="BodyText"/>
        <w:spacing w:before="72"/>
        <w:ind w:left="460" w:right="216"/>
        <w:jc w:val="both"/>
      </w:pPr>
      <m:oMathPara>
        <m:oMath>
          <m:r>
            <w:rPr>
              <w:rFonts w:ascii="Cambria Math" w:hAnsi="Cambria Math"/>
            </w:rPr>
            <m:t xml:space="preserve">minimize </m:t>
          </m:r>
          <m:nary>
            <m:naryPr>
              <m:chr m:val="∑"/>
              <m:limLoc m:val="undOvr"/>
              <m:ctrlPr>
                <w:rPr>
                  <w:rFonts w:ascii="Cambria Math" w:hAnsi="Cambria Math"/>
                  <w:i/>
                </w:rPr>
              </m:ctrlPr>
            </m:naryPr>
            <m:sub>
              <m:r>
                <w:rPr>
                  <w:rFonts w:ascii="Cambria Math" w:hAnsi="Cambria Math"/>
                </w:rPr>
                <m:t>i=1</m:t>
              </m:r>
            </m:sub>
            <m:sup>
              <m:r>
                <w:rPr>
                  <w:rFonts w:ascii="Cambria Math" w:hAnsi="Cambria Math"/>
                </w:rPr>
                <m:t>m</m:t>
              </m:r>
            </m:sup>
            <m:e>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i</m:t>
                      </m:r>
                    </m:sub>
                  </m:sSub>
                </m:e>
              </m:d>
            </m:e>
          </m:nary>
        </m:oMath>
      </m:oMathPara>
    </w:p>
    <w:p w:rsidR="00ED7223" w:rsidP="00603BDC" w14:paraId="28F9AE13" w14:textId="77777777">
      <w:pPr>
        <w:pStyle w:val="BodyText"/>
        <w:spacing w:before="72"/>
        <w:ind w:left="460" w:right="216"/>
        <w:jc w:val="both"/>
      </w:pPr>
    </w:p>
    <w:p w:rsidR="00ED7223" w:rsidP="00603BDC" w14:paraId="176C96D6" w14:textId="7E9143C1">
      <w:pPr>
        <w:pStyle w:val="BodyText"/>
        <w:spacing w:before="72"/>
        <w:ind w:left="460" w:right="216"/>
        <w:jc w:val="both"/>
      </w:pPr>
      <m:oMathPara>
        <m:oMath>
          <m:r>
            <w:rPr>
              <w:rFonts w:ascii="Cambria Math" w:hAnsi="Cambria Math"/>
            </w:rPr>
            <m:t xml:space="preserve">subject to:    </m:t>
          </m:r>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g=r</m:t>
          </m:r>
        </m:oMath>
      </m:oMathPara>
    </w:p>
    <w:p w:rsidR="00ED7223" w:rsidP="00603BDC" w14:paraId="1B0930D3" w14:textId="77777777">
      <w:pPr>
        <w:pStyle w:val="BodyText"/>
        <w:spacing w:before="72"/>
        <w:ind w:left="460" w:right="216"/>
        <w:jc w:val="both"/>
      </w:pPr>
    </w:p>
    <w:p w:rsidR="00ED7223" w:rsidP="00603BDC" w14:paraId="522A97B9" w14:textId="044A1061">
      <w:pPr>
        <w:pStyle w:val="BodyText"/>
        <w:spacing w:before="72"/>
        <w:ind w:left="460" w:right="216"/>
        <w:jc w:val="both"/>
      </w:pPr>
      <w:r>
        <w:t>with respect to g</w:t>
      </w:r>
      <w:r>
        <w:t xml:space="preserve"> </w:t>
      </w:r>
      <w:r>
        <w:rPr>
          <w:rFonts w:ascii="Cambria Math" w:hAnsi="Cambria Math" w:cs="Cambria Math"/>
        </w:rPr>
        <w:t>∈</w:t>
      </w:r>
      <w:r>
        <w:rPr>
          <w:rFonts w:ascii="Cambria Math" w:hAnsi="Cambria Math" w:cs="Cambria Math"/>
        </w:rPr>
        <w:t xml:space="preserve"> </w:t>
      </w:r>
      <w:r>
        <w:t>R</w:t>
      </w:r>
      <w:r w:rsidRPr="00666B00">
        <w:rPr>
          <w:i/>
          <w:iCs/>
          <w:vertAlign w:val="subscript"/>
        </w:rPr>
        <w:t>m</w:t>
      </w:r>
      <w:r>
        <w:t>.</w:t>
      </w:r>
    </w:p>
    <w:p w:rsidR="00ED7223" w:rsidP="00603BDC" w14:paraId="1D304C88" w14:textId="77777777">
      <w:pPr>
        <w:pStyle w:val="BodyText"/>
        <w:spacing w:before="72"/>
        <w:ind w:left="460" w:right="216"/>
        <w:jc w:val="both"/>
      </w:pPr>
    </w:p>
    <w:p w:rsidR="00603BDC" w:rsidP="00603BDC" w14:paraId="3A1A888D" w14:textId="56AB396A">
      <w:pPr>
        <w:pStyle w:val="BodyText"/>
        <w:spacing w:before="72"/>
        <w:ind w:left="460" w:right="216"/>
        <w:jc w:val="both"/>
      </w:pPr>
      <w:r>
        <w:t>where ϕ:</w:t>
      </w:r>
      <w:r w:rsidR="00ED7223">
        <w:t xml:space="preserve"> </w:t>
      </w:r>
      <w:r>
        <w:t xml:space="preserve">R→R is a strictly convex function with </w:t>
      </w:r>
      <w:r>
        <w:t>ϕ(</w:t>
      </w:r>
      <w:r>
        <w:t>1)=0, r</w:t>
      </w:r>
      <w:r w:rsidR="00ED7223">
        <w:t xml:space="preserve"> </w:t>
      </w:r>
      <w:r>
        <w:rPr>
          <w:rFonts w:ascii="Cambria Math" w:hAnsi="Cambria Math" w:cs="Cambria Math"/>
        </w:rPr>
        <w:t>∈</w:t>
      </w:r>
      <w:r w:rsidR="00ED7223">
        <w:rPr>
          <w:rFonts w:ascii="Cambria Math" w:hAnsi="Cambria Math" w:cs="Cambria Math"/>
        </w:rPr>
        <w:t xml:space="preserve"> </w:t>
      </w:r>
      <w:r>
        <w:t>R</w:t>
      </w:r>
      <w:r w:rsidRPr="00666B00">
        <w:rPr>
          <w:i/>
          <w:iCs/>
          <w:vertAlign w:val="subscript"/>
        </w:rPr>
        <w:t>n</w:t>
      </w:r>
      <w:r w:rsidRPr="00666B00">
        <w:rPr>
          <w:i/>
          <w:iCs/>
        </w:rPr>
        <w:t xml:space="preserve"> </w:t>
      </w:r>
      <w:r>
        <w:t>are the known population totals of the auxiliary variables, and A</w:t>
      </w:r>
      <w:r w:rsidR="00ED7223">
        <w:t xml:space="preserve"> </w:t>
      </w:r>
      <w:r>
        <w:rPr>
          <w:rFonts w:ascii="Cambria Math" w:hAnsi="Cambria Math" w:cs="Cambria Math"/>
        </w:rPr>
        <w:t>∈</w:t>
      </w:r>
      <w:r w:rsidR="00ED7223">
        <w:rPr>
          <w:rFonts w:ascii="Cambria Math" w:hAnsi="Cambria Math" w:cs="Cambria Math"/>
        </w:rPr>
        <w:t xml:space="preserve"> </w:t>
      </w:r>
      <w:r w:rsidRPr="00ED7223" w:rsidR="00ED7223">
        <w:rPr>
          <w:rFonts w:ascii="Cambria Math" w:hAnsi="Cambria Math" w:cs="Cambria Math"/>
        </w:rPr>
        <w:t>R</w:t>
      </w:r>
      <w:r w:rsidRPr="00666B00" w:rsidR="00ED7223">
        <w:rPr>
          <w:rFonts w:ascii="Cambria Math" w:hAnsi="Cambria Math" w:cs="Cambria Math"/>
          <w:i/>
          <w:iCs/>
          <w:vertAlign w:val="subscript"/>
        </w:rPr>
        <w:t>m×n</w:t>
      </w:r>
      <w:r w:rsidRPr="00666B00">
        <w:rPr>
          <w:i/>
          <w:iCs/>
        </w:rPr>
        <w:t xml:space="preserve"> </w:t>
      </w:r>
      <w:r>
        <w:t>is related to X by A</w:t>
      </w:r>
      <w:r w:rsidRPr="00ED7223">
        <w:rPr>
          <w:vertAlign w:val="subscript"/>
        </w:rPr>
        <w:t>ij</w:t>
      </w:r>
      <w:r w:rsidR="00ED7223">
        <w:t xml:space="preserve"> </w:t>
      </w:r>
      <w:r>
        <w:t>=</w:t>
      </w:r>
      <w:r w:rsidR="00ED7223">
        <w:t xml:space="preserve"> </w:t>
      </w:r>
      <w:r>
        <w:t>d</w:t>
      </w:r>
      <w:r w:rsidRPr="00ED7223">
        <w:rPr>
          <w:vertAlign w:val="subscript"/>
        </w:rPr>
        <w:t>i</w:t>
      </w:r>
      <w:r>
        <w:t>X</w:t>
      </w:r>
      <w:r w:rsidRPr="00ED7223">
        <w:rPr>
          <w:vertAlign w:val="subscript"/>
        </w:rPr>
        <w:t>ij</w:t>
      </w:r>
      <w:r>
        <w:t xml:space="preserve"> for </w:t>
      </w:r>
      <w:r>
        <w:t>i</w:t>
      </w:r>
      <w:r>
        <w:t>=1,…,m and j=1,…,n.</w:t>
      </w:r>
    </w:p>
    <w:p w:rsidR="001D5637" w14:paraId="093B40B2" w14:textId="04495DD5">
      <w:pPr>
        <w:pStyle w:val="BodyText"/>
        <w:spacing w:before="72"/>
        <w:ind w:left="460" w:right="216"/>
        <w:jc w:val="both"/>
      </w:pPr>
    </w:p>
    <w:p w:rsidR="006A198E" w14:paraId="0DA16EE7" w14:textId="05284214">
      <w:pPr>
        <w:pStyle w:val="BodyText"/>
        <w:spacing w:before="72"/>
        <w:ind w:left="460" w:right="216"/>
        <w:jc w:val="both"/>
      </w:pPr>
    </w:p>
    <w:p w:rsidR="006A198E" w14:paraId="747BA88B" w14:textId="77777777">
      <w:pPr>
        <w:pStyle w:val="BodyText"/>
        <w:spacing w:before="72"/>
        <w:ind w:left="460" w:right="216"/>
        <w:jc w:val="both"/>
      </w:pPr>
    </w:p>
    <w:p w:rsidR="000A0F2D" w14:paraId="6D3D5F75" w14:textId="4E98BFBC">
      <w:pPr>
        <w:pStyle w:val="BodyText"/>
        <w:ind w:left="460" w:right="216"/>
        <w:jc w:val="both"/>
      </w:pPr>
      <w:r>
        <w:t xml:space="preserve">The Census of Agriculture is a mandatory </w:t>
      </w:r>
      <w:r w:rsidR="00907F39">
        <w:t xml:space="preserve">data </w:t>
      </w:r>
      <w:r>
        <w:t xml:space="preserve">collection from all known </w:t>
      </w:r>
      <w:r w:rsidR="00907F39">
        <w:t xml:space="preserve">U.S. </w:t>
      </w:r>
      <w:r>
        <w:t>agricultural</w:t>
      </w:r>
      <w:r>
        <w:rPr>
          <w:spacing w:val="1"/>
        </w:rPr>
        <w:t xml:space="preserve"> </w:t>
      </w:r>
      <w:r>
        <w:t>operations.</w:t>
      </w:r>
      <w:r w:rsidR="00907F39">
        <w:rPr>
          <w:spacing w:val="1"/>
        </w:rPr>
        <w:t xml:space="preserve"> </w:t>
      </w:r>
      <w:r w:rsidR="00D0614A">
        <w:rPr>
          <w:spacing w:val="1"/>
        </w:rPr>
        <w:t>Some d</w:t>
      </w:r>
      <w:r w:rsidR="00907F39">
        <w:rPr>
          <w:spacing w:val="1"/>
        </w:rPr>
        <w:t>ata concepts measured in t</w:t>
      </w:r>
      <w:r>
        <w:t xml:space="preserve">he </w:t>
      </w:r>
      <w:r w:rsidR="002B7CAF">
        <w:t xml:space="preserve">2017 </w:t>
      </w:r>
      <w:r>
        <w:t xml:space="preserve">Census </w:t>
      </w:r>
      <w:r w:rsidR="002B7CAF">
        <w:t xml:space="preserve">of Agriculture </w:t>
      </w:r>
      <w:r w:rsidR="00D0614A">
        <w:t>are exact matches to t</w:t>
      </w:r>
      <w:r w:rsidR="00907F39">
        <w:t xml:space="preserve">hose measured on the </w:t>
      </w:r>
      <w:r w:rsidR="002B7CAF">
        <w:t xml:space="preserve">2020 </w:t>
      </w:r>
      <w:r>
        <w:t>ARMS</w:t>
      </w:r>
      <w:r w:rsidR="00907F39">
        <w:t>, therefore, comparisons can be constructed. T</w:t>
      </w:r>
      <w:r>
        <w:t xml:space="preserve">he Census </w:t>
      </w:r>
      <w:r w:rsidR="00907F39">
        <w:t xml:space="preserve">of Agriculture is not a </w:t>
      </w:r>
      <w:r>
        <w:t>complete</w:t>
      </w:r>
      <w:r w:rsidR="00907F39">
        <w:t xml:space="preserve"> enumeration, and comparisons cannot be </w:t>
      </w:r>
      <w:r w:rsidR="008B1BEB">
        <w:t xml:space="preserve">constructed </w:t>
      </w:r>
      <w:r w:rsidR="00907F39">
        <w:t xml:space="preserve">for </w:t>
      </w:r>
      <w:r w:rsidR="008B1BEB">
        <w:t xml:space="preserve">nonrespondent </w:t>
      </w:r>
      <w:r w:rsidR="00907F39">
        <w:t>operations</w:t>
      </w:r>
      <w:r>
        <w:t>.</w:t>
      </w:r>
      <w:r>
        <w:rPr>
          <w:spacing w:val="1"/>
        </w:rPr>
        <w:t xml:space="preserve"> </w:t>
      </w:r>
      <w:r>
        <w:t xml:space="preserve">An estimated </w:t>
      </w:r>
      <w:r w:rsidR="0046287D">
        <w:t>15.1</w:t>
      </w:r>
      <w:r w:rsidR="000115FD">
        <w:t xml:space="preserve"> p</w:t>
      </w:r>
      <w:r>
        <w:t>ercent of</w:t>
      </w:r>
      <w:r>
        <w:rPr>
          <w:spacing w:val="-57"/>
        </w:rPr>
        <w:t xml:space="preserve"> </w:t>
      </w:r>
      <w:r>
        <w:t>all farms were missing from the 20</w:t>
      </w:r>
      <w:r w:rsidR="000115FD">
        <w:t>17</w:t>
      </w:r>
      <w:r>
        <w:t xml:space="preserve"> Census Mailing List, and </w:t>
      </w:r>
      <w:r w:rsidR="00E974D0">
        <w:t>13.9</w:t>
      </w:r>
      <w:r>
        <w:t xml:space="preserve"> percent of farms on</w:t>
      </w:r>
      <w:r>
        <w:rPr>
          <w:spacing w:val="-57"/>
        </w:rPr>
        <w:t xml:space="preserve"> </w:t>
      </w:r>
      <w:r>
        <w:t xml:space="preserve">the </w:t>
      </w:r>
      <w:r w:rsidR="008B1BEB">
        <w:t xml:space="preserve">Census Mail </w:t>
      </w:r>
      <w:r>
        <w:t xml:space="preserve">List </w:t>
      </w:r>
      <w:r w:rsidR="008B1BEB">
        <w:t xml:space="preserve">were nonrespondents </w:t>
      </w:r>
      <w:r>
        <w:t xml:space="preserve">to the Census. </w:t>
      </w:r>
      <w:r w:rsidR="00907F39">
        <w:t>Furthermore</w:t>
      </w:r>
      <w:r>
        <w:t xml:space="preserve">, ARMS sample </w:t>
      </w:r>
      <w:r w:rsidR="002F7462">
        <w:t xml:space="preserve">operations </w:t>
      </w:r>
      <w:r w:rsidR="00907F39">
        <w:t xml:space="preserve">may not </w:t>
      </w:r>
      <w:r>
        <w:t xml:space="preserve">match </w:t>
      </w:r>
      <w:r w:rsidR="008B1BEB">
        <w:t xml:space="preserve">those in the </w:t>
      </w:r>
      <w:r>
        <w:t>20</w:t>
      </w:r>
      <w:r w:rsidR="000115FD">
        <w:t>17</w:t>
      </w:r>
      <w:r>
        <w:t xml:space="preserve"> Census</w:t>
      </w:r>
      <w:r w:rsidR="008B1BEB">
        <w:t xml:space="preserve"> of Agriculture</w:t>
      </w:r>
      <w:r>
        <w:t xml:space="preserve">. Nevertheless, </w:t>
      </w:r>
      <w:r w:rsidR="008B1BEB">
        <w:t>a difference calculation will be constructed that c</w:t>
      </w:r>
      <w:r>
        <w:t>o</w:t>
      </w:r>
      <w:r w:rsidR="00BE1FA7">
        <w:t>ntrast</w:t>
      </w:r>
      <w:r w:rsidR="008B1BEB">
        <w:t>s</w:t>
      </w:r>
      <w:r>
        <w:t xml:space="preserve"> 20</w:t>
      </w:r>
      <w:r w:rsidR="000115FD">
        <w:t>17</w:t>
      </w:r>
      <w:r>
        <w:t xml:space="preserve"> Census</w:t>
      </w:r>
      <w:r>
        <w:rPr>
          <w:spacing w:val="1"/>
        </w:rPr>
        <w:t xml:space="preserve"> </w:t>
      </w:r>
      <w:r w:rsidR="00745CF9">
        <w:rPr>
          <w:spacing w:val="1"/>
        </w:rPr>
        <w:t xml:space="preserve">data </w:t>
      </w:r>
      <w:r>
        <w:t xml:space="preserve">values of </w:t>
      </w:r>
      <w:r w:rsidRPr="00516399" w:rsidR="00516399">
        <w:rPr>
          <w:i/>
          <w:iCs/>
        </w:rPr>
        <w:t>All Matching Records</w:t>
      </w:r>
      <w:r w:rsidR="003A0DEF">
        <w:rPr>
          <w:i/>
          <w:iCs/>
        </w:rPr>
        <w:t xml:space="preserve"> (19,257)</w:t>
      </w:r>
      <w:r>
        <w:t xml:space="preserve"> to </w:t>
      </w:r>
      <w:r w:rsidRPr="00516399" w:rsidR="00516399">
        <w:rPr>
          <w:i/>
          <w:iCs/>
        </w:rPr>
        <w:t>Matching Respondents</w:t>
      </w:r>
      <w:r w:rsidR="003A0DEF">
        <w:rPr>
          <w:i/>
          <w:iCs/>
        </w:rPr>
        <w:t xml:space="preserve"> (8,755)</w:t>
      </w:r>
      <w:r w:rsidR="00BE1FA7">
        <w:t>.</w:t>
      </w:r>
      <w:r>
        <w:rPr>
          <w:spacing w:val="1"/>
        </w:rPr>
        <w:t xml:space="preserve"> </w:t>
      </w:r>
      <w:r w:rsidR="002B7CAF">
        <w:rPr>
          <w:spacing w:val="1"/>
        </w:rPr>
        <w:t>T</w:t>
      </w:r>
      <w:r>
        <w:t>his</w:t>
      </w:r>
      <w:r>
        <w:rPr>
          <w:spacing w:val="1"/>
        </w:rPr>
        <w:t xml:space="preserve"> </w:t>
      </w:r>
      <w:r w:rsidR="007733CA">
        <w:rPr>
          <w:spacing w:val="1"/>
        </w:rPr>
        <w:t xml:space="preserve">research will </w:t>
      </w:r>
      <w:r w:rsidR="00BE1FA7">
        <w:rPr>
          <w:spacing w:val="1"/>
        </w:rPr>
        <w:t>evaluate the difference</w:t>
      </w:r>
      <w:r w:rsidR="00BC4E4E">
        <w:rPr>
          <w:spacing w:val="1"/>
        </w:rPr>
        <w:t>,</w:t>
      </w:r>
      <w:r w:rsidR="00BE1FA7">
        <w:rPr>
          <w:spacing w:val="1"/>
        </w:rPr>
        <w:t xml:space="preserve"> as well as </w:t>
      </w:r>
      <w:r w:rsidR="0060621D">
        <w:rPr>
          <w:spacing w:val="1"/>
        </w:rPr>
        <w:t>change</w:t>
      </w:r>
      <w:r w:rsidR="00BC4E4E">
        <w:rPr>
          <w:spacing w:val="1"/>
        </w:rPr>
        <w:t>s</w:t>
      </w:r>
      <w:r w:rsidR="0060621D">
        <w:rPr>
          <w:spacing w:val="1"/>
        </w:rPr>
        <w:t xml:space="preserve"> in </w:t>
      </w:r>
      <w:r w:rsidR="00D265C5">
        <w:t>the</w:t>
      </w:r>
      <w:r w:rsidR="00D265C5">
        <w:rPr>
          <w:spacing w:val="1"/>
        </w:rPr>
        <w:t xml:space="preserve"> difference</w:t>
      </w:r>
      <w:r>
        <w:rPr>
          <w:spacing w:val="1"/>
        </w:rPr>
        <w:t xml:space="preserve"> </w:t>
      </w:r>
      <w:r w:rsidR="00BE1FA7">
        <w:rPr>
          <w:spacing w:val="1"/>
        </w:rPr>
        <w:t xml:space="preserve">under </w:t>
      </w:r>
      <w:r>
        <w:t>calibration</w:t>
      </w:r>
      <w:r w:rsidR="00BE1FA7">
        <w:t xml:space="preserve"> weighting</w:t>
      </w:r>
      <w:r>
        <w:t>.</w:t>
      </w:r>
    </w:p>
    <w:p w:rsidR="000A0F2D" w:rsidP="00C31B54" w14:paraId="6683F36E" w14:textId="77777777">
      <w:pPr>
        <w:pStyle w:val="BodyText"/>
        <w:ind w:left="460" w:right="216"/>
        <w:jc w:val="both"/>
      </w:pPr>
    </w:p>
    <w:p w:rsidR="000A0F2D" w14:paraId="3A22797E" w14:textId="77777777">
      <w:pPr>
        <w:pStyle w:val="Heading1"/>
        <w:numPr>
          <w:ilvl w:val="0"/>
          <w:numId w:val="3"/>
        </w:numPr>
        <w:tabs>
          <w:tab w:val="left" w:pos="761"/>
        </w:tabs>
        <w:ind w:hanging="301"/>
        <w:jc w:val="left"/>
      </w:pPr>
      <w:r>
        <w:t>METHODS</w:t>
      </w:r>
    </w:p>
    <w:p w:rsidR="000A0F2D" w14:paraId="579BAC57" w14:textId="77777777">
      <w:pPr>
        <w:pStyle w:val="BodyText"/>
        <w:rPr>
          <w:b/>
        </w:rPr>
      </w:pPr>
    </w:p>
    <w:p w:rsidR="000A0F2D" w:rsidP="00E823FA" w14:paraId="5F9B7B1B" w14:textId="76635551">
      <w:pPr>
        <w:pStyle w:val="BodyText"/>
        <w:ind w:left="460" w:right="219"/>
        <w:jc w:val="both"/>
      </w:pPr>
      <w:r>
        <w:t xml:space="preserve">The </w:t>
      </w:r>
      <w:r w:rsidR="00595285">
        <w:t xml:space="preserve">analytical data set </w:t>
      </w:r>
      <w:r>
        <w:t xml:space="preserve">contains </w:t>
      </w:r>
      <w:r w:rsidR="00766126">
        <w:t xml:space="preserve">2017 </w:t>
      </w:r>
      <w:r>
        <w:t>C</w:t>
      </w:r>
      <w:r w:rsidR="00595285">
        <w:t xml:space="preserve">ensus </w:t>
      </w:r>
      <w:r w:rsidR="00766126">
        <w:t xml:space="preserve">of Agriculture respondent </w:t>
      </w:r>
      <w:r>
        <w:t xml:space="preserve">data </w:t>
      </w:r>
      <w:r w:rsidR="00595285">
        <w:t xml:space="preserve">values for </w:t>
      </w:r>
      <w:r w:rsidR="00422323">
        <w:t xml:space="preserve">operations </w:t>
      </w:r>
      <w:r w:rsidR="00595285">
        <w:t xml:space="preserve">sampled for the </w:t>
      </w:r>
      <w:r w:rsidR="004026F8">
        <w:t xml:space="preserve">2020 </w:t>
      </w:r>
      <w:r w:rsidR="00595285">
        <w:t>ARMS.</w:t>
      </w:r>
      <w:r w:rsidR="00595285">
        <w:rPr>
          <w:spacing w:val="1"/>
        </w:rPr>
        <w:t xml:space="preserve"> </w:t>
      </w:r>
      <w:r w:rsidR="00422323">
        <w:rPr>
          <w:spacing w:val="1"/>
        </w:rPr>
        <w:t>S</w:t>
      </w:r>
      <w:r w:rsidRPr="00576528" w:rsidR="00595285">
        <w:rPr>
          <w:iCs/>
        </w:rPr>
        <w:t>ampl</w:t>
      </w:r>
      <w:r w:rsidR="00422323">
        <w:rPr>
          <w:iCs/>
        </w:rPr>
        <w:t>e</w:t>
      </w:r>
      <w:r w:rsidRPr="00576528" w:rsidR="00595285">
        <w:rPr>
          <w:iCs/>
        </w:rPr>
        <w:t xml:space="preserve"> weight</w:t>
      </w:r>
      <w:r w:rsidR="00422323">
        <w:rPr>
          <w:iCs/>
        </w:rPr>
        <w:t>s</w:t>
      </w:r>
      <w:r w:rsidR="00595285">
        <w:rPr>
          <w:i/>
        </w:rPr>
        <w:t xml:space="preserve"> </w:t>
      </w:r>
      <w:r w:rsidR="00595285">
        <w:t xml:space="preserve">for </w:t>
      </w:r>
      <w:r w:rsidR="0091412B">
        <w:t>each</w:t>
      </w:r>
      <w:r w:rsidR="00422323">
        <w:t xml:space="preserve"> agricultural operation</w:t>
      </w:r>
      <w:r w:rsidR="00595285">
        <w:t xml:space="preserve"> </w:t>
      </w:r>
      <w:r w:rsidR="00422323">
        <w:t>are th</w:t>
      </w:r>
      <w:r w:rsidR="0091412B">
        <w:t>os</w:t>
      </w:r>
      <w:r w:rsidR="00422323">
        <w:t xml:space="preserve">e </w:t>
      </w:r>
      <w:r w:rsidR="0091412B">
        <w:t xml:space="preserve">from the 2020 </w:t>
      </w:r>
      <w:r w:rsidR="00595285">
        <w:t>ARMS sample</w:t>
      </w:r>
      <w:r w:rsidR="00595285">
        <w:rPr>
          <w:spacing w:val="1"/>
        </w:rPr>
        <w:t xml:space="preserve"> </w:t>
      </w:r>
      <w:r w:rsidR="0091412B">
        <w:rPr>
          <w:spacing w:val="1"/>
        </w:rPr>
        <w:t xml:space="preserve">selection, </w:t>
      </w:r>
      <w:r w:rsidR="00595285">
        <w:t>before</w:t>
      </w:r>
      <w:r w:rsidR="00595285">
        <w:rPr>
          <w:spacing w:val="1"/>
        </w:rPr>
        <w:t xml:space="preserve"> </w:t>
      </w:r>
      <w:r w:rsidR="00595285">
        <w:t>calibration.</w:t>
      </w:r>
      <w:r w:rsidR="00576528">
        <w:t xml:space="preserve"> </w:t>
      </w:r>
      <w:r w:rsidR="00E33379">
        <w:t>Targets for</w:t>
      </w:r>
      <w:r w:rsidR="00576528">
        <w:t xml:space="preserve"> calibration </w:t>
      </w:r>
      <w:r w:rsidR="00422323">
        <w:t>are e</w:t>
      </w:r>
      <w:r w:rsidR="00576528">
        <w:t xml:space="preserve">stablished </w:t>
      </w:r>
      <w:r w:rsidR="00963F45">
        <w:t>by</w:t>
      </w:r>
      <w:r w:rsidR="00576528">
        <w:t xml:space="preserve"> computing the </w:t>
      </w:r>
      <w:r w:rsidR="0091412B">
        <w:t xml:space="preserve">ARMS </w:t>
      </w:r>
      <w:r w:rsidR="00576528">
        <w:t xml:space="preserve">sample weighted direct expansions of </w:t>
      </w:r>
      <w:r w:rsidRPr="00E33379" w:rsidR="00576528">
        <w:rPr>
          <w:i/>
          <w:iCs/>
        </w:rPr>
        <w:t>All Matching Records</w:t>
      </w:r>
      <w:r w:rsidR="00106AD9">
        <w:rPr>
          <w:i/>
          <w:iCs/>
        </w:rPr>
        <w:t xml:space="preserve">, </w:t>
      </w:r>
      <w:r w:rsidR="00106AD9">
        <w:t>using 2017 Census of Agriculture data, for twenty ARMS regions</w:t>
      </w:r>
      <w:r w:rsidR="00576528">
        <w:t xml:space="preserve">. These </w:t>
      </w:r>
      <w:r w:rsidR="00963F45">
        <w:t xml:space="preserve">direct expansions </w:t>
      </w:r>
      <w:r w:rsidR="00422323">
        <w:t>are</w:t>
      </w:r>
      <w:r w:rsidR="00576528">
        <w:t xml:space="preserve"> used as calibration targets to adjust </w:t>
      </w:r>
      <w:r w:rsidR="00422323">
        <w:t xml:space="preserve">ARMS sample </w:t>
      </w:r>
      <w:r w:rsidR="00576528">
        <w:t xml:space="preserve">weights for </w:t>
      </w:r>
      <w:r w:rsidRPr="00E33379" w:rsidR="00576528">
        <w:rPr>
          <w:i/>
          <w:iCs/>
        </w:rPr>
        <w:t>Matching Respondents</w:t>
      </w:r>
      <w:r w:rsidR="00576528">
        <w:t>.</w:t>
      </w:r>
      <w:r w:rsidRPr="00834A0B" w:rsidR="00834A0B">
        <w:t xml:space="preserve"> The twenty ARMS regions include the fifteen largest cash receipts states (Arkansas, California, Florida, Georgia, Illinois, Indiana, Iowa, Kansas, Minnesota, Missouri, Nebraska, North Carolina, Texas, Washington, and Wisconsin) and the remaining thirty-three states (Alaska and Hawaii are not sampled for the ARMS) which are grouped using five production regions: 1) Atlantic, 2) South, 3) Midwest, 4) Plains, and 5) West.</w:t>
      </w:r>
    </w:p>
    <w:p w:rsidR="00896FC4" w14:paraId="71C20B0D" w14:textId="3C2EE5DD">
      <w:pPr>
        <w:pStyle w:val="BodyText"/>
        <w:spacing w:before="1"/>
        <w:ind w:left="460" w:right="216"/>
        <w:jc w:val="both"/>
      </w:pPr>
    </w:p>
    <w:p w:rsidR="00896FC4" w:rsidRPr="00896FC4" w14:paraId="6E3517BD" w14:textId="33E61BCC">
      <w:pPr>
        <w:pStyle w:val="BodyText"/>
        <w:spacing w:before="1"/>
        <w:ind w:left="460" w:right="216"/>
        <w:jc w:val="both"/>
      </w:pPr>
      <w:r>
        <w:t>C</w:t>
      </w:r>
      <w:r w:rsidRPr="00896FC4">
        <w:t xml:space="preserve">alibration </w:t>
      </w:r>
      <w:r>
        <w:t xml:space="preserve">targets employed in this research </w:t>
      </w:r>
      <w:r w:rsidR="00D12BFF">
        <w:t>are</w:t>
      </w:r>
      <w:r w:rsidR="008338F9">
        <w:t xml:space="preserve"> </w:t>
      </w:r>
      <w:r w:rsidRPr="008338F9" w:rsidR="008338F9">
        <w:t>farm numbers, farm numbers by economic sales classes, corn, soybean, wheat, cotton, peanut, sugarcane, sugar beet, tobacco, fruit and vegetable acres, cattle, cattle on feed, hog, broiler, layer, dairy cow, and turkey inventories.</w:t>
      </w:r>
      <w:r w:rsidRPr="00896FC4">
        <w:t xml:space="preserve"> </w:t>
      </w:r>
      <w:r w:rsidR="008338F9">
        <w:t xml:space="preserve">Egg production </w:t>
      </w:r>
      <w:r w:rsidR="00D12BFF">
        <w:t>is</w:t>
      </w:r>
      <w:r w:rsidR="008338F9">
        <w:t xml:space="preserve"> not included due to</w:t>
      </w:r>
      <w:r w:rsidR="00D12BFF">
        <w:t xml:space="preserve"> </w:t>
      </w:r>
      <w:r w:rsidR="008338F9">
        <w:t>2017 Census of Agriculture</w:t>
      </w:r>
      <w:r w:rsidR="00D12BFF">
        <w:t xml:space="preserve"> </w:t>
      </w:r>
      <w:r w:rsidRPr="00D12BFF" w:rsidR="00D12BFF">
        <w:t>questionnaire design</w:t>
      </w:r>
      <w:r w:rsidR="008338F9">
        <w:t xml:space="preserve">. </w:t>
      </w:r>
    </w:p>
    <w:p w:rsidR="00193DF2" w:rsidP="0025667A" w14:paraId="6998B857" w14:textId="77777777">
      <w:pPr>
        <w:pStyle w:val="BodyText"/>
      </w:pPr>
    </w:p>
    <w:p w:rsidR="00193DF2" w:rsidP="00896FC4" w14:paraId="22E4C2E7" w14:textId="3B84CDE7">
      <w:pPr>
        <w:pStyle w:val="BodyText"/>
        <w:spacing w:before="1"/>
        <w:ind w:left="460" w:right="216"/>
        <w:jc w:val="both"/>
      </w:pPr>
      <w:r>
        <w:t>This research focus</w:t>
      </w:r>
      <w:r w:rsidR="00922174">
        <w:t>es</w:t>
      </w:r>
      <w:r>
        <w:t xml:space="preserve"> on s</w:t>
      </w:r>
      <w:r w:rsidR="00375754">
        <w:t>ixteen</w:t>
      </w:r>
      <w:r>
        <w:t xml:space="preserve"> </w:t>
      </w:r>
      <w:r w:rsidR="008B30B5">
        <w:t xml:space="preserve">survey </w:t>
      </w:r>
      <w:r>
        <w:t>variables collected on both ARMS and the Census of Agriculture</w:t>
      </w:r>
      <w:r w:rsidR="00922174">
        <w:t xml:space="preserve">, which are not </w:t>
      </w:r>
      <w:r w:rsidR="00834A0B">
        <w:t xml:space="preserve">calibration </w:t>
      </w:r>
      <w:r w:rsidR="00922174">
        <w:t>target</w:t>
      </w:r>
      <w:r w:rsidR="00834A0B">
        <w:t>s</w:t>
      </w:r>
      <w:r>
        <w:t>:</w:t>
      </w:r>
    </w:p>
    <w:p w:rsidR="00193DF2" w:rsidP="00896FC4" w14:paraId="3D15D942" w14:textId="77777777">
      <w:pPr>
        <w:pStyle w:val="BodyText"/>
        <w:spacing w:before="1"/>
        <w:ind w:left="460" w:right="216"/>
        <w:jc w:val="both"/>
      </w:pPr>
    </w:p>
    <w:p w:rsidR="00193DF2" w:rsidP="00896FC4" w14:paraId="0A3C7B71" w14:textId="77777777">
      <w:pPr>
        <w:pStyle w:val="BodyText"/>
        <w:spacing w:before="1"/>
        <w:ind w:left="460" w:right="216"/>
        <w:jc w:val="both"/>
      </w:pPr>
      <w:r>
        <w:t>Total</w:t>
      </w:r>
      <w:r w:rsidRPr="00896FC4">
        <w:t xml:space="preserve"> </w:t>
      </w:r>
      <w:r>
        <w:t>Acres</w:t>
      </w:r>
    </w:p>
    <w:p w:rsidR="00193DF2" w:rsidP="00896FC4" w14:paraId="4D5855F2" w14:textId="77777777">
      <w:pPr>
        <w:pStyle w:val="BodyText"/>
        <w:spacing w:before="1"/>
        <w:ind w:left="460" w:right="216"/>
        <w:jc w:val="both"/>
      </w:pPr>
      <w:r>
        <w:t>Total</w:t>
      </w:r>
      <w:r w:rsidRPr="00896FC4">
        <w:t xml:space="preserve"> </w:t>
      </w:r>
      <w:r>
        <w:t>Sales</w:t>
      </w:r>
    </w:p>
    <w:p w:rsidR="00193DF2" w:rsidP="00896FC4" w14:paraId="50E61215" w14:textId="77777777">
      <w:pPr>
        <w:pStyle w:val="BodyText"/>
        <w:spacing w:before="1"/>
        <w:ind w:left="460" w:right="216"/>
        <w:jc w:val="both"/>
      </w:pPr>
      <w:r>
        <w:t>Acres</w:t>
      </w:r>
      <w:r w:rsidRPr="00896FC4">
        <w:t xml:space="preserve"> </w:t>
      </w:r>
      <w:r>
        <w:t>Rented</w:t>
      </w:r>
    </w:p>
    <w:p w:rsidR="00193DF2" w:rsidP="00896FC4" w14:paraId="2550A26C" w14:textId="77777777">
      <w:pPr>
        <w:pStyle w:val="BodyText"/>
        <w:spacing w:before="1"/>
        <w:ind w:left="460" w:right="216"/>
        <w:jc w:val="both"/>
      </w:pPr>
      <w:r>
        <w:t>Cropland</w:t>
      </w:r>
      <w:r w:rsidRPr="00896FC4">
        <w:t xml:space="preserve"> </w:t>
      </w:r>
      <w:r>
        <w:t>Acres</w:t>
      </w:r>
    </w:p>
    <w:p w:rsidR="00193DF2" w:rsidP="00896FC4" w14:paraId="2173C734" w14:textId="77777777">
      <w:pPr>
        <w:pStyle w:val="BodyText"/>
        <w:spacing w:before="1"/>
        <w:ind w:left="460" w:right="216"/>
        <w:jc w:val="both"/>
      </w:pPr>
      <w:r>
        <w:t>Total</w:t>
      </w:r>
      <w:r w:rsidRPr="00896FC4">
        <w:t xml:space="preserve"> </w:t>
      </w:r>
      <w:r>
        <w:t>Production</w:t>
      </w:r>
      <w:r w:rsidRPr="00896FC4">
        <w:t xml:space="preserve"> </w:t>
      </w:r>
      <w:r>
        <w:t>Expenses</w:t>
      </w:r>
    </w:p>
    <w:p w:rsidR="00193DF2" w:rsidP="00896FC4" w14:paraId="3451FE77" w14:textId="77777777">
      <w:pPr>
        <w:pStyle w:val="BodyText"/>
        <w:spacing w:before="1"/>
        <w:ind w:left="460" w:right="216"/>
        <w:jc w:val="both"/>
      </w:pPr>
      <w:r>
        <w:t>Seed</w:t>
      </w:r>
      <w:r w:rsidRPr="00896FC4">
        <w:t xml:space="preserve"> </w:t>
      </w:r>
      <w:r>
        <w:t>Expenses</w:t>
      </w:r>
    </w:p>
    <w:p w:rsidR="00193DF2" w:rsidP="00896FC4" w14:paraId="489BF79E" w14:textId="77777777">
      <w:pPr>
        <w:pStyle w:val="BodyText"/>
        <w:spacing w:before="1"/>
        <w:ind w:left="460" w:right="216"/>
        <w:jc w:val="both"/>
      </w:pPr>
      <w:r>
        <w:t>Fertilizer</w:t>
      </w:r>
      <w:r w:rsidRPr="00896FC4">
        <w:t xml:space="preserve"> </w:t>
      </w:r>
      <w:r>
        <w:t>Expenses</w:t>
      </w:r>
    </w:p>
    <w:p w:rsidR="00193DF2" w:rsidP="00896FC4" w14:paraId="227740D1" w14:textId="77777777">
      <w:pPr>
        <w:pStyle w:val="BodyText"/>
        <w:spacing w:before="1"/>
        <w:ind w:left="460" w:right="216"/>
        <w:jc w:val="both"/>
      </w:pPr>
      <w:r>
        <w:t>Chemical</w:t>
      </w:r>
      <w:r w:rsidRPr="00896FC4">
        <w:t xml:space="preserve"> </w:t>
      </w:r>
      <w:r>
        <w:t>Expenses</w:t>
      </w:r>
    </w:p>
    <w:p w:rsidR="00193DF2" w:rsidP="00896FC4" w14:paraId="53FE524A" w14:textId="77777777">
      <w:pPr>
        <w:pStyle w:val="BodyText"/>
        <w:spacing w:before="1"/>
        <w:ind w:left="460" w:right="216"/>
        <w:jc w:val="both"/>
      </w:pPr>
      <w:r>
        <w:t>Livestock</w:t>
      </w:r>
      <w:r w:rsidRPr="00896FC4">
        <w:t xml:space="preserve"> </w:t>
      </w:r>
      <w:r>
        <w:t>Purchases</w:t>
      </w:r>
    </w:p>
    <w:p w:rsidR="00193DF2" w:rsidP="00896FC4" w14:paraId="5EA7BBD8" w14:textId="77777777">
      <w:pPr>
        <w:pStyle w:val="BodyText"/>
        <w:spacing w:before="1"/>
        <w:ind w:left="460" w:right="216"/>
        <w:jc w:val="both"/>
      </w:pPr>
      <w:r>
        <w:t>Feed</w:t>
      </w:r>
      <w:r w:rsidRPr="00896FC4">
        <w:t xml:space="preserve"> </w:t>
      </w:r>
      <w:r>
        <w:t>Purchases</w:t>
      </w:r>
    </w:p>
    <w:p w:rsidR="00193DF2" w:rsidP="00896FC4" w14:paraId="63DE3AF0" w14:textId="77777777">
      <w:pPr>
        <w:pStyle w:val="BodyText"/>
        <w:spacing w:before="1"/>
        <w:ind w:left="460" w:right="216"/>
        <w:jc w:val="both"/>
      </w:pPr>
      <w:r>
        <w:t>Hired Labor</w:t>
      </w:r>
      <w:r w:rsidRPr="00896FC4">
        <w:t xml:space="preserve"> </w:t>
      </w:r>
      <w:r>
        <w:t>Expenses</w:t>
      </w:r>
    </w:p>
    <w:p w:rsidR="00193DF2" w:rsidP="00896FC4" w14:paraId="5F87F17C" w14:textId="77777777">
      <w:pPr>
        <w:pStyle w:val="BodyText"/>
        <w:spacing w:before="1"/>
        <w:ind w:left="460" w:right="216"/>
        <w:jc w:val="both"/>
      </w:pPr>
      <w:r>
        <w:t>Machinery</w:t>
      </w:r>
      <w:r w:rsidRPr="00896FC4">
        <w:t xml:space="preserve"> </w:t>
      </w:r>
      <w:r>
        <w:t>and</w:t>
      </w:r>
      <w:r w:rsidRPr="00896FC4">
        <w:t xml:space="preserve"> </w:t>
      </w:r>
      <w:r>
        <w:t>Equipment Value</w:t>
      </w:r>
    </w:p>
    <w:p w:rsidR="00193DF2" w:rsidP="00896FC4" w14:paraId="7D481C40" w14:textId="77777777">
      <w:pPr>
        <w:pStyle w:val="BodyText"/>
        <w:spacing w:before="1"/>
        <w:ind w:left="460" w:right="216"/>
        <w:jc w:val="both"/>
      </w:pPr>
      <w:r>
        <w:t>Government</w:t>
      </w:r>
      <w:r w:rsidRPr="00896FC4">
        <w:t xml:space="preserve"> </w:t>
      </w:r>
      <w:r>
        <w:t>Payments</w:t>
      </w:r>
    </w:p>
    <w:p w:rsidR="00193DF2" w:rsidP="00896FC4" w14:paraId="5270CD44" w14:textId="77777777">
      <w:pPr>
        <w:pStyle w:val="BodyText"/>
        <w:spacing w:before="1"/>
        <w:ind w:left="460" w:right="216"/>
        <w:jc w:val="both"/>
      </w:pPr>
      <w:r>
        <w:t>Operator’s</w:t>
      </w:r>
      <w:r w:rsidRPr="00896FC4">
        <w:t xml:space="preserve"> </w:t>
      </w:r>
      <w:r>
        <w:t>Age</w:t>
      </w:r>
    </w:p>
    <w:p w:rsidR="00193DF2" w:rsidP="00896FC4" w14:paraId="4C7F9A05" w14:textId="77777777">
      <w:pPr>
        <w:pStyle w:val="BodyText"/>
        <w:spacing w:before="1"/>
        <w:ind w:left="460" w:right="216"/>
        <w:jc w:val="both"/>
      </w:pPr>
      <w:r>
        <w:t>Operator’s</w:t>
      </w:r>
      <w:r w:rsidRPr="00896FC4">
        <w:t xml:space="preserve"> </w:t>
      </w:r>
      <w:r>
        <w:t>Race</w:t>
      </w:r>
    </w:p>
    <w:p w:rsidR="00193DF2" w:rsidP="00896FC4" w14:paraId="5644965E" w14:textId="77777777">
      <w:pPr>
        <w:pStyle w:val="BodyText"/>
        <w:spacing w:before="1"/>
        <w:ind w:left="460" w:right="216"/>
        <w:jc w:val="both"/>
      </w:pPr>
      <w:r>
        <w:t>Farm</w:t>
      </w:r>
      <w:r w:rsidRPr="00896FC4">
        <w:t xml:space="preserve"> </w:t>
      </w:r>
      <w:r>
        <w:t>Type.</w:t>
      </w:r>
    </w:p>
    <w:p w:rsidR="00193DF2" w:rsidP="00896FC4" w14:paraId="20498B36" w14:textId="77777777">
      <w:pPr>
        <w:pStyle w:val="BodyText"/>
        <w:spacing w:before="1"/>
        <w:ind w:left="460" w:right="216"/>
        <w:jc w:val="both"/>
      </w:pPr>
    </w:p>
    <w:p w:rsidR="00193DF2" w:rsidP="00896FC4" w14:paraId="5F53389E" w14:textId="7AED9F04">
      <w:pPr>
        <w:pStyle w:val="BodyText"/>
        <w:spacing w:before="1"/>
        <w:ind w:left="460" w:right="216"/>
        <w:jc w:val="both"/>
      </w:pPr>
      <w:r>
        <w:t xml:space="preserve">These </w:t>
      </w:r>
      <w:r w:rsidR="00C73628">
        <w:t xml:space="preserve">select </w:t>
      </w:r>
      <w:r>
        <w:t xml:space="preserve">variables </w:t>
      </w:r>
      <w:r w:rsidR="00BD2606">
        <w:t xml:space="preserve">were also </w:t>
      </w:r>
      <w:r>
        <w:t xml:space="preserve">used in previous </w:t>
      </w:r>
      <w:r w:rsidR="008B30B5">
        <w:t>research;</w:t>
      </w:r>
      <w:r w:rsidR="004D5886">
        <w:t xml:space="preserve"> </w:t>
      </w:r>
      <w:r w:rsidR="008B30B5">
        <w:t>however,</w:t>
      </w:r>
      <w:r w:rsidR="004D5886">
        <w:t xml:space="preserve"> </w:t>
      </w:r>
      <w:r w:rsidR="00375754">
        <w:t>crop expenses</w:t>
      </w:r>
      <w:r w:rsidR="004D5886">
        <w:t xml:space="preserve"> </w:t>
      </w:r>
      <w:r w:rsidR="008B30B5">
        <w:t>are not present as in Earp et. al., 2008 due to lack of cl</w:t>
      </w:r>
      <w:r w:rsidR="003773F7">
        <w:t xml:space="preserve">ear </w:t>
      </w:r>
      <w:r w:rsidR="008B30B5">
        <w:t xml:space="preserve">survey </w:t>
      </w:r>
      <w:r w:rsidR="003773F7">
        <w:t>definition</w:t>
      </w:r>
      <w:r>
        <w:t>.</w:t>
      </w:r>
    </w:p>
    <w:p w:rsidR="00193DF2" w:rsidP="00896FC4" w14:paraId="16AFFF29" w14:textId="77777777">
      <w:pPr>
        <w:pStyle w:val="BodyText"/>
        <w:spacing w:before="1"/>
        <w:ind w:left="460" w:right="216"/>
        <w:jc w:val="both"/>
      </w:pPr>
    </w:p>
    <w:p w:rsidR="00193DF2" w:rsidP="00896FC4" w14:paraId="78DC81BC" w14:textId="68052784">
      <w:pPr>
        <w:pStyle w:val="BodyText"/>
        <w:spacing w:before="1"/>
        <w:ind w:left="460" w:right="216"/>
        <w:jc w:val="both"/>
      </w:pPr>
      <w:r>
        <w:t xml:space="preserve">Let </w:t>
      </w:r>
      <w:bookmarkStart w:id="1" w:name="_Hlk99612971"/>
      <m:oMath>
        <m:sSub>
          <m:sSubPr>
            <m:ctrlPr>
              <w:rPr>
                <w:rFonts w:ascii="Cambria Math" w:hAnsi="Cambria Math"/>
              </w:rPr>
            </m:ctrlPr>
          </m:sSubPr>
          <m:e>
            <m:acc>
              <m:accPr>
                <m:chr m:val="̅"/>
                <m:ctrlPr>
                  <w:rPr>
                    <w:rFonts w:ascii="Cambria Math" w:hAnsi="Cambria Math"/>
                  </w:rPr>
                </m:ctrlPr>
              </m:accPr>
              <m:e>
                <m:r>
                  <w:rPr>
                    <w:rFonts w:ascii="Cambria Math" w:hAnsi="Cambria Math"/>
                  </w:rPr>
                  <m:t>y</m:t>
                </m:r>
              </m:e>
            </m:acc>
          </m:e>
          <m:sub>
            <m:r>
              <w:rPr>
                <w:rFonts w:ascii="Cambria Math" w:hAnsi="Cambria Math"/>
              </w:rPr>
              <m:t>r</m:t>
            </m:r>
          </m:sub>
        </m:sSub>
      </m:oMath>
      <w:bookmarkEnd w:id="1"/>
      <w:r>
        <w:t xml:space="preserve"> represent the </w:t>
      </w:r>
      <w:r w:rsidR="00FC083E">
        <w:t xml:space="preserve">ARMS </w:t>
      </w:r>
      <w:r w:rsidR="00047DB6">
        <w:t>sample</w:t>
      </w:r>
      <w:r>
        <w:t xml:space="preserve"> </w:t>
      </w:r>
      <w:r w:rsidR="006617D5">
        <w:t xml:space="preserve">or </w:t>
      </w:r>
      <w:r>
        <w:t xml:space="preserve">calibration weighted mean, for </w:t>
      </w:r>
      <w:r w:rsidRPr="00CF449D" w:rsidR="00CF449D">
        <w:rPr>
          <w:i/>
          <w:iCs/>
        </w:rPr>
        <w:t>Matching Respondents</w:t>
      </w:r>
      <w:r w:rsidR="00CF449D">
        <w:t xml:space="preserve"> or </w:t>
      </w:r>
      <w:r w:rsidRPr="00CF449D" w:rsidR="00CF449D">
        <w:rPr>
          <w:i/>
          <w:iCs/>
        </w:rPr>
        <w:t>Matching Respondents Calibrated</w:t>
      </w:r>
      <w:r w:rsidR="00FC083E">
        <w:rPr>
          <w:i/>
          <w:iCs/>
        </w:rPr>
        <w:t xml:space="preserve">, </w:t>
      </w:r>
      <w:r w:rsidR="00FC083E">
        <w:t>respectively,</w:t>
      </w:r>
      <w:r>
        <w:t xml:space="preserve"> and </w:t>
      </w:r>
      <m:oMath>
        <m:sSub>
          <m:sSubPr>
            <m:ctrlPr>
              <w:rPr>
                <w:rFonts w:ascii="Cambria Math" w:hAnsi="Cambria Math"/>
              </w:rPr>
            </m:ctrlPr>
          </m:sSubPr>
          <m:e>
            <m:acc>
              <m:accPr>
                <m:chr m:val="̅"/>
                <m:ctrlPr>
                  <w:rPr>
                    <w:rFonts w:ascii="Cambria Math" w:hAnsi="Cambria Math"/>
                  </w:rPr>
                </m:ctrlPr>
              </m:accPr>
              <m:e>
                <m:r>
                  <w:rPr>
                    <w:rFonts w:ascii="Cambria Math" w:hAnsi="Cambria Math"/>
                  </w:rPr>
                  <m:t>y</m:t>
                </m:r>
              </m:e>
            </m:acc>
          </m:e>
          <m:sub>
            <m:r>
              <w:rPr>
                <w:rFonts w:ascii="Cambria Math" w:hAnsi="Cambria Math"/>
              </w:rPr>
              <m:t>t</m:t>
            </m:r>
          </m:sub>
        </m:sSub>
      </m:oMath>
      <w:r>
        <w:t xml:space="preserve"> represent the </w:t>
      </w:r>
      <w:r w:rsidR="00FC083E">
        <w:t xml:space="preserve">ARMS </w:t>
      </w:r>
      <w:r w:rsidR="00047DB6">
        <w:t>sample</w:t>
      </w:r>
      <w:r>
        <w:t xml:space="preserve"> weighted mean for </w:t>
      </w:r>
      <w:r w:rsidRPr="00CF449D" w:rsidR="00CF449D">
        <w:rPr>
          <w:i/>
          <w:iCs/>
        </w:rPr>
        <w:t>All Matching Records</w:t>
      </w:r>
      <w:r>
        <w:t xml:space="preserve">. </w:t>
      </w:r>
      <w:r w:rsidR="00556612">
        <w:t>R</w:t>
      </w:r>
      <w:r>
        <w:t>elative bias</w:t>
      </w:r>
      <w:r w:rsidR="00556612">
        <w:t>, a trivial variation of OMB’s expression</w:t>
      </w:r>
      <w:r w:rsidR="00082532">
        <w:t xml:space="preserve"> 3.2.9</w:t>
      </w:r>
      <w:r w:rsidR="00556612">
        <w:t>,</w:t>
      </w:r>
      <w:r>
        <w:t xml:space="preserve"> </w:t>
      </w:r>
      <w:r w:rsidR="004F4AA8">
        <w:t xml:space="preserve">is </w:t>
      </w:r>
      <w:r w:rsidR="00CF449D">
        <w:t xml:space="preserve">defined </w:t>
      </w:r>
      <w:r>
        <w:t>as:</w:t>
      </w:r>
    </w:p>
    <w:p w:rsidR="00193DF2" w:rsidP="00896FC4" w14:paraId="3E6A1231" w14:textId="77777777">
      <w:pPr>
        <w:pStyle w:val="BodyText"/>
        <w:spacing w:before="1"/>
        <w:ind w:left="460" w:right="216"/>
        <w:jc w:val="both"/>
      </w:pPr>
    </w:p>
    <w:p w:rsidR="00193DF2" w:rsidP="00E67947" w14:paraId="0648B640" w14:textId="0BF3C130">
      <w:pPr>
        <w:pStyle w:val="BodyText"/>
        <w:spacing w:before="1"/>
        <w:ind w:left="460" w:right="216"/>
        <w:jc w:val="center"/>
      </w:pPr>
      <w:bookmarkStart w:id="2" w:name="_Hlk100754213"/>
      <w:bookmarkStart w:id="3" w:name="_Hlk100754139"/>
      <m:oMathPara>
        <m:oMath>
          <m:r>
            <w:rPr>
              <w:rFonts w:ascii="Cambria Math" w:hAnsi="Cambria Math"/>
              <w:highlight w:val="lightGray"/>
            </w:rPr>
            <m:t>RelBias=</m:t>
          </m:r>
          <m:f>
            <m:fPr>
              <m:ctrlPr>
                <w:rPr>
                  <w:rFonts w:ascii="Cambria Math" w:hAnsi="Cambria Math"/>
                  <w:highlight w:val="lightGray"/>
                </w:rPr>
              </m:ctrlPr>
            </m:fPr>
            <m:num>
              <m:sSub>
                <m:sSubPr>
                  <m:ctrlPr>
                    <w:rPr>
                      <w:rFonts w:ascii="Cambria Math" w:hAnsi="Cambria Math"/>
                      <w:highlight w:val="lightGray"/>
                    </w:rPr>
                  </m:ctrlPr>
                </m:sSubPr>
                <m:e>
                  <m:acc>
                    <m:accPr>
                      <m:chr m:val="̅"/>
                      <m:ctrlPr>
                        <w:rPr>
                          <w:rFonts w:ascii="Cambria Math" w:hAnsi="Cambria Math"/>
                          <w:highlight w:val="lightGray"/>
                        </w:rPr>
                      </m:ctrlPr>
                    </m:accPr>
                    <m:e>
                      <m:r>
                        <w:rPr>
                          <w:rFonts w:ascii="Cambria Math" w:hAnsi="Cambria Math"/>
                          <w:highlight w:val="lightGray"/>
                        </w:rPr>
                        <m:t>y</m:t>
                      </m:r>
                    </m:e>
                  </m:acc>
                </m:e>
                <m:sub>
                  <m:r>
                    <w:rPr>
                      <w:rFonts w:ascii="Cambria Math" w:hAnsi="Cambria Math"/>
                      <w:highlight w:val="lightGray"/>
                    </w:rPr>
                    <m:t>r</m:t>
                  </m:r>
                </m:sub>
              </m:sSub>
              <m:r>
                <m:rPr>
                  <m:sty m:val="p"/>
                </m:rPr>
                <w:rPr>
                  <w:rFonts w:ascii="Cambria Math" w:hAnsi="Cambria Math"/>
                  <w:highlight w:val="lightGray"/>
                </w:rPr>
                <m:t xml:space="preserve">- </m:t>
              </m:r>
              <m:sSub>
                <m:sSubPr>
                  <m:ctrlPr>
                    <w:rPr>
                      <w:rFonts w:ascii="Cambria Math" w:hAnsi="Cambria Math"/>
                      <w:highlight w:val="lightGray"/>
                    </w:rPr>
                  </m:ctrlPr>
                </m:sSubPr>
                <m:e>
                  <m:acc>
                    <m:accPr>
                      <m:chr m:val="̅"/>
                      <m:ctrlPr>
                        <w:rPr>
                          <w:rFonts w:ascii="Cambria Math" w:hAnsi="Cambria Math"/>
                          <w:highlight w:val="lightGray"/>
                        </w:rPr>
                      </m:ctrlPr>
                    </m:accPr>
                    <m:e>
                      <m:r>
                        <w:rPr>
                          <w:rFonts w:ascii="Cambria Math" w:hAnsi="Cambria Math"/>
                          <w:highlight w:val="lightGray"/>
                        </w:rPr>
                        <m:t>y</m:t>
                      </m:r>
                    </m:e>
                  </m:acc>
                </m:e>
                <m:sub>
                  <m:r>
                    <w:rPr>
                      <w:rFonts w:ascii="Cambria Math" w:hAnsi="Cambria Math"/>
                      <w:highlight w:val="lightGray"/>
                    </w:rPr>
                    <m:t>t</m:t>
                  </m:r>
                </m:sub>
              </m:sSub>
            </m:num>
            <m:den>
              <m:sSub>
                <m:sSubPr>
                  <m:ctrlPr>
                    <w:rPr>
                      <w:rFonts w:ascii="Cambria Math" w:hAnsi="Cambria Math"/>
                      <w:highlight w:val="lightGray"/>
                    </w:rPr>
                  </m:ctrlPr>
                </m:sSubPr>
                <m:e>
                  <m:acc>
                    <m:accPr>
                      <m:chr m:val="̅"/>
                      <m:ctrlPr>
                        <w:rPr>
                          <w:rFonts w:ascii="Cambria Math" w:hAnsi="Cambria Math"/>
                          <w:highlight w:val="lightGray"/>
                        </w:rPr>
                      </m:ctrlPr>
                    </m:accPr>
                    <m:e>
                      <m:r>
                        <w:rPr>
                          <w:rFonts w:ascii="Cambria Math" w:hAnsi="Cambria Math"/>
                          <w:highlight w:val="lightGray"/>
                        </w:rPr>
                        <m:t>y</m:t>
                      </m:r>
                    </m:e>
                  </m:acc>
                </m:e>
                <m:sub>
                  <m:r>
                    <w:rPr>
                      <w:rFonts w:ascii="Cambria Math" w:hAnsi="Cambria Math"/>
                      <w:highlight w:val="lightGray"/>
                    </w:rPr>
                    <m:t>r</m:t>
                  </m:r>
                </m:sub>
              </m:sSub>
            </m:den>
          </m:f>
        </m:oMath>
      </m:oMathPara>
      <w:bookmarkEnd w:id="2"/>
    </w:p>
    <w:bookmarkEnd w:id="3"/>
    <w:p w:rsidR="00193DF2" w:rsidP="00896FC4" w14:paraId="2E845D90" w14:textId="77777777">
      <w:pPr>
        <w:pStyle w:val="BodyText"/>
        <w:spacing w:before="1"/>
        <w:ind w:left="460" w:right="216"/>
        <w:jc w:val="both"/>
      </w:pPr>
    </w:p>
    <w:p w:rsidR="000A0F2D" w:rsidP="00896FC4" w14:paraId="4218BD90" w14:textId="62BDBE47">
      <w:pPr>
        <w:pStyle w:val="BodyText"/>
        <w:spacing w:before="1"/>
        <w:ind w:left="460" w:right="216"/>
        <w:jc w:val="both"/>
      </w:pPr>
      <w:r>
        <w:t xml:space="preserve">The statistical significance of </w:t>
      </w:r>
      <w:r w:rsidR="00ED4F09">
        <w:t>relative bias</w:t>
      </w:r>
      <w:r>
        <w:t xml:space="preserve"> is difficult to evaluate </w:t>
      </w:r>
      <w:r w:rsidR="00A9761E">
        <w:t xml:space="preserve">with traditional survey metrics </w:t>
      </w:r>
      <w:r w:rsidR="00ED4F09">
        <w:t xml:space="preserve">since </w:t>
      </w:r>
      <w:r w:rsidR="00633742">
        <w:t>e</w:t>
      </w:r>
      <w:r w:rsidR="00ED4F09">
        <w:t xml:space="preserve">lements in </w:t>
      </w:r>
      <m:oMath>
        <m:sSub>
          <m:sSubPr>
            <m:ctrlPr>
              <w:rPr>
                <w:rFonts w:ascii="Cambria Math" w:hAnsi="Cambria Math"/>
              </w:rPr>
            </m:ctrlPr>
          </m:sSubPr>
          <m:e>
            <m:acc>
              <m:accPr>
                <m:chr m:val="̅"/>
                <m:ctrlPr>
                  <w:rPr>
                    <w:rFonts w:ascii="Cambria Math" w:hAnsi="Cambria Math"/>
                  </w:rPr>
                </m:ctrlPr>
              </m:accPr>
              <m:e>
                <m:r>
                  <w:rPr>
                    <w:rFonts w:ascii="Cambria Math" w:hAnsi="Cambria Math"/>
                  </w:rPr>
                  <m:t>y</m:t>
                </m:r>
              </m:e>
            </m:acc>
          </m:e>
          <m:sub>
            <m:r>
              <w:rPr>
                <w:rFonts w:ascii="Cambria Math" w:hAnsi="Cambria Math"/>
              </w:rPr>
              <m:t>r</m:t>
            </m:r>
          </m:sub>
        </m:sSub>
      </m:oMath>
      <w:r>
        <w:t xml:space="preserve"> and </w:t>
      </w:r>
      <m:oMath>
        <m:sSub>
          <m:sSubPr>
            <m:ctrlPr>
              <w:rPr>
                <w:rFonts w:ascii="Cambria Math" w:hAnsi="Cambria Math"/>
              </w:rPr>
            </m:ctrlPr>
          </m:sSubPr>
          <m:e>
            <m:acc>
              <m:accPr>
                <m:chr m:val="̅"/>
                <m:ctrlPr>
                  <w:rPr>
                    <w:rFonts w:ascii="Cambria Math" w:hAnsi="Cambria Math"/>
                  </w:rPr>
                </m:ctrlPr>
              </m:accPr>
              <m:e>
                <m:r>
                  <w:rPr>
                    <w:rFonts w:ascii="Cambria Math" w:hAnsi="Cambria Math"/>
                  </w:rPr>
                  <m:t>y</m:t>
                </m:r>
              </m:e>
            </m:acc>
          </m:e>
          <m:sub>
            <m:r>
              <w:rPr>
                <w:rFonts w:ascii="Cambria Math" w:hAnsi="Cambria Math"/>
              </w:rPr>
              <m:t>t</m:t>
            </m:r>
          </m:sub>
        </m:sSub>
      </m:oMath>
      <w:r w:rsidR="00ED4F09">
        <w:t xml:space="preserve"> overlap</w:t>
      </w:r>
      <w:r w:rsidR="00F213C2">
        <w:t>.</w:t>
      </w:r>
      <w:r>
        <w:t xml:space="preserve"> </w:t>
      </w:r>
      <w:r w:rsidR="00595285">
        <w:t xml:space="preserve">Fortunately, </w:t>
      </w:r>
      <w:r w:rsidR="0060621D">
        <w:t xml:space="preserve">a </w:t>
      </w:r>
      <w:r w:rsidR="00595285">
        <w:t xml:space="preserve">test </w:t>
      </w:r>
      <w:r w:rsidR="00ED4F09">
        <w:t>for</w:t>
      </w:r>
      <w:r w:rsidR="0060621D">
        <w:t xml:space="preserve"> </w:t>
      </w:r>
      <w:r w:rsidR="00595285">
        <w:t>persisten</w:t>
      </w:r>
      <w:r w:rsidR="0060621D">
        <w:t>t</w:t>
      </w:r>
      <w:r w:rsidR="00595285">
        <w:t xml:space="preserve"> bias</w:t>
      </w:r>
      <w:r w:rsidR="0060621D">
        <w:t>es</w:t>
      </w:r>
      <w:r w:rsidR="00595285">
        <w:t xml:space="preserve"> across </w:t>
      </w:r>
      <w:r w:rsidRPr="00072604" w:rsidR="00C17ED4">
        <w:t>twenty</w:t>
      </w:r>
      <w:r w:rsidRPr="00072604" w:rsidR="00595285">
        <w:t xml:space="preserve"> </w:t>
      </w:r>
      <w:r w:rsidRPr="00072604" w:rsidR="00C17ED4">
        <w:t xml:space="preserve">ARMS </w:t>
      </w:r>
      <w:r w:rsidRPr="00072604" w:rsidR="00595285">
        <w:t>regions</w:t>
      </w:r>
      <w:r w:rsidR="00EF37EA">
        <w:t xml:space="preserve"> </w:t>
      </w:r>
      <w:r w:rsidR="0060621D">
        <w:t xml:space="preserve">can be </w:t>
      </w:r>
      <w:r w:rsidR="00595285">
        <w:t>comput</w:t>
      </w:r>
      <w:r w:rsidR="0060621D">
        <w:t>ed</w:t>
      </w:r>
      <w:r w:rsidR="00595285">
        <w:t xml:space="preserve"> </w:t>
      </w:r>
      <w:r w:rsidR="0060621D">
        <w:t xml:space="preserve">with </w:t>
      </w:r>
      <w:r w:rsidR="00595285">
        <w:t>the following measure</w:t>
      </w:r>
      <w:r w:rsidR="00206808">
        <w:t>, referred to as regional</w:t>
      </w:r>
      <w:r w:rsidR="00595285">
        <w:t xml:space="preserve"> </w:t>
      </w:r>
      <w:r w:rsidR="003102FA">
        <w:t xml:space="preserve">relative </w:t>
      </w:r>
      <w:r w:rsidR="00595285">
        <w:t>bias</w:t>
      </w:r>
      <w:r w:rsidR="00ED4F09">
        <w:t>:</w:t>
      </w:r>
      <w:r w:rsidR="00595285">
        <w:t xml:space="preserve"> </w:t>
      </w:r>
    </w:p>
    <w:p w:rsidR="0060621D" w:rsidP="00896FC4" w14:paraId="6AB660B2" w14:textId="77777777">
      <w:pPr>
        <w:pStyle w:val="BodyText"/>
        <w:spacing w:before="1"/>
        <w:ind w:left="460" w:right="216"/>
        <w:jc w:val="both"/>
      </w:pPr>
    </w:p>
    <w:p w:rsidR="005127BB" w:rsidRPr="00896FC4" w:rsidP="00896FC4" w14:paraId="6358C026" w14:textId="3191D157">
      <w:pPr>
        <w:pStyle w:val="BodyText"/>
        <w:spacing w:before="1"/>
        <w:ind w:left="460" w:right="216"/>
        <w:jc w:val="both"/>
        <w:sectPr>
          <w:footerReference w:type="even" r:id="rId18"/>
          <w:footerReference w:type="default" r:id="rId19"/>
          <w:pgSz w:w="12240" w:h="15840"/>
          <w:pgMar w:top="1360" w:right="1580" w:bottom="980" w:left="1340" w:header="0" w:footer="792" w:gutter="0"/>
          <w:cols w:space="720"/>
        </w:sectPr>
      </w:pPr>
    </w:p>
    <w:p w:rsidR="000A0F2D" w:rsidP="00896FC4" w14:paraId="5ED058AE" w14:textId="2D3813E5">
      <w:pPr>
        <w:pStyle w:val="BodyText"/>
        <w:spacing w:before="1"/>
        <w:ind w:left="460" w:right="216"/>
        <w:jc w:val="both"/>
      </w:pPr>
    </w:p>
    <w:p w:rsidR="00896FC4" w:rsidRPr="005C59A2" w:rsidP="00706CD5" w14:paraId="5B600524" w14:textId="11CC02A8">
      <w:pPr>
        <w:pStyle w:val="BodyText"/>
        <w:spacing w:before="1"/>
        <w:ind w:right="216"/>
      </w:pPr>
      <m:oMathPara>
        <m:oMath>
          <m:r>
            <w:rPr>
              <w:rFonts w:ascii="Cambria Math" w:hAnsi="Cambria Math"/>
            </w:rPr>
            <m:t xml:space="preserve">M= </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y</m:t>
                          </m:r>
                        </m:e>
                      </m:acc>
                    </m:e>
                    <m:sub>
                      <m:r>
                        <w:rPr>
                          <w:rFonts w:ascii="Cambria Math" w:hAnsi="Cambria Math"/>
                        </w:rPr>
                        <m:t>r</m:t>
                      </m:r>
                    </m:sub>
                  </m:sSub>
                </m:e>
              </m:d>
            </m:e>
          </m:func>
          <m:r>
            <m:rPr>
              <m:sty m:val="p"/>
            </m:rPr>
            <w:rPr>
              <w:rFonts w:ascii="Cambria Math" w:hAnsi="Cambria Math"/>
            </w:rPr>
            <m:t>-log⁡(</m:t>
          </m:r>
          <m:sSub>
            <m:sSubPr>
              <m:ctrlPr>
                <w:rPr>
                  <w:rFonts w:ascii="Cambria Math" w:hAnsi="Cambria Math"/>
                </w:rPr>
              </m:ctrlPr>
            </m:sSubPr>
            <m:e>
              <m:acc>
                <m:accPr>
                  <m:chr m:val="̅"/>
                  <m:ctrlPr>
                    <w:rPr>
                      <w:rFonts w:ascii="Cambria Math" w:hAnsi="Cambria Math"/>
                    </w:rPr>
                  </m:ctrlPr>
                </m:accPr>
                <m:e>
                  <m:r>
                    <w:rPr>
                      <w:rFonts w:ascii="Cambria Math" w:hAnsi="Cambria Math"/>
                    </w:rPr>
                    <m:t>y</m:t>
                  </m:r>
                </m:e>
              </m:acc>
            </m:e>
            <m:sub>
              <m:r>
                <w:rPr>
                  <w:rFonts w:ascii="Cambria Math" w:hAnsi="Cambria Math"/>
                </w:rPr>
                <m:t>t</m:t>
              </m:r>
            </m:sub>
          </m:sSub>
          <m:r>
            <m:rPr>
              <m:sty m:val="p"/>
            </m:rPr>
            <w:rPr>
              <w:rFonts w:ascii="Cambria Math" w:hAnsi="Cambria Math"/>
            </w:rPr>
            <m:t>)</m:t>
          </m:r>
        </m:oMath>
      </m:oMathPara>
    </w:p>
    <w:p w:rsidR="005127BB" w:rsidRPr="00896FC4" w:rsidP="00706CD5" w14:paraId="19559256" w14:textId="77777777">
      <w:pPr>
        <w:pStyle w:val="BodyText"/>
        <w:spacing w:before="1"/>
        <w:ind w:left="460" w:right="216"/>
      </w:pPr>
    </w:p>
    <w:p w:rsidR="000A0F2D" w:rsidRPr="00896FC4" w:rsidP="005C59A2" w14:paraId="79E6F41B" w14:textId="0886ECA2">
      <w:pPr>
        <w:pStyle w:val="BodyText"/>
        <w:spacing w:before="1"/>
        <w:ind w:left="460" w:right="216"/>
        <w:jc w:val="both"/>
      </w:pPr>
    </w:p>
    <w:p w:rsidR="000A0F2D" w:rsidRPr="00896FC4" w:rsidP="005C59A2" w14:paraId="1746B57C" w14:textId="4D0D29DA">
      <w:pPr>
        <w:pStyle w:val="BodyText"/>
        <w:spacing w:before="1"/>
        <w:ind w:left="460" w:right="216"/>
        <w:jc w:val="both"/>
        <w:sectPr>
          <w:type w:val="continuous"/>
          <w:pgSz w:w="12240" w:h="15840"/>
          <w:pgMar w:top="1380" w:right="1580" w:bottom="280" w:left="1340" w:header="0" w:footer="792" w:gutter="0"/>
          <w:cols w:num="2" w:space="720" w:equalWidth="0">
            <w:col w:w="1447" w:space="40"/>
            <w:col w:w="7833"/>
          </w:cols>
        </w:sectPr>
      </w:pPr>
    </w:p>
    <w:p w:rsidR="001557C9" w:rsidRPr="005C59A2" w:rsidP="005C59A2" w14:paraId="04347D71" w14:textId="563AA65B">
      <w:pPr>
        <w:pStyle w:val="BodyText"/>
        <w:spacing w:before="1"/>
        <w:ind w:left="460" w:right="216"/>
        <w:jc w:val="both"/>
      </w:pPr>
      <m:oMathPara>
        <m:oMath>
          <m:r>
            <w:rPr>
              <w:rFonts w:ascii="Cambria Math" w:hAnsi="Cambria Math"/>
            </w:rPr>
            <m:t xml:space="preserve">     =</m:t>
          </m:r>
          <m:func>
            <m:funcPr>
              <m:ctrlPr>
                <w:rPr>
                  <w:rFonts w:ascii="Cambria Math" w:hAnsi="Cambria Math"/>
                  <w:i/>
                </w:rPr>
              </m:ctrlPr>
            </m:funcPr>
            <m:fName>
              <m:r>
                <m:rPr>
                  <m:sty m:val="p"/>
                </m:rPr>
                <w:rPr>
                  <w:rFonts w:ascii="Cambria Math" w:hAnsi="Cambria Math"/>
                </w:rPr>
                <m:t>log</m:t>
              </m:r>
            </m:fName>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num>
                    <m:den>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t</m:t>
                          </m:r>
                        </m:sub>
                      </m:sSub>
                    </m:den>
                  </m:f>
                </m:e>
              </m:d>
            </m:e>
          </m:func>
        </m:oMath>
      </m:oMathPara>
    </w:p>
    <w:p w:rsidR="005127BB" w:rsidP="005C59A2" w14:paraId="596265D3" w14:textId="2EE9442B">
      <w:pPr>
        <w:pStyle w:val="BodyText"/>
        <w:spacing w:before="1"/>
        <w:ind w:left="460" w:right="216"/>
        <w:jc w:val="both"/>
      </w:pPr>
    </w:p>
    <w:p w:rsidR="005127BB" w:rsidRPr="005C59A2" w:rsidP="005C59A2" w14:paraId="45E8EA68" w14:textId="0C23D0F2">
      <w:pPr>
        <w:pStyle w:val="BodyText"/>
        <w:spacing w:before="1"/>
        <w:ind w:left="460" w:right="216"/>
        <w:jc w:val="both"/>
      </w:pPr>
      <m:oMathPara>
        <m:oMath>
          <m:r>
            <w:rPr>
              <w:rFonts w:ascii="Cambria Math" w:hAnsi="Cambria Math"/>
            </w:rPr>
            <m:t xml:space="preserve">                        =</m:t>
          </m:r>
          <m:func>
            <m:funcPr>
              <m:ctrlPr>
                <w:rPr>
                  <w:rFonts w:ascii="Cambria Math" w:hAnsi="Cambria Math"/>
                  <w:i/>
                </w:rPr>
              </m:ctrlPr>
            </m:funcPr>
            <m:fName>
              <m:r>
                <m:rPr>
                  <m:sty m:val="p"/>
                </m:rPr>
                <w:rPr>
                  <w:rFonts w:ascii="Cambria Math" w:hAnsi="Cambria Math"/>
                </w:rPr>
                <m:t>log</m:t>
              </m:r>
            </m:fName>
            <m:e>
              <m:d>
                <m:dPr>
                  <m:begChr m:val="["/>
                  <m:endChr m:val="]"/>
                  <m:ctrlPr>
                    <w:rPr>
                      <w:rFonts w:ascii="Cambria Math" w:hAnsi="Cambria Math"/>
                      <w:i/>
                    </w:rPr>
                  </m:ctrlPr>
                </m:dPr>
                <m:e>
                  <m:r>
                    <w:rPr>
                      <w:rFonts w:ascii="Cambria Math" w:hAnsi="Cambria Math"/>
                    </w:rPr>
                    <m:t xml:space="preserve">1+ </m:t>
                  </m:r>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t</m:t>
                          </m:r>
                        </m:sub>
                      </m:sSub>
                    </m:num>
                    <m:den>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t</m:t>
                          </m:r>
                        </m:sub>
                      </m:sSub>
                    </m:den>
                  </m:f>
                </m:e>
              </m:d>
            </m:e>
          </m:func>
        </m:oMath>
      </m:oMathPara>
    </w:p>
    <w:p w:rsidR="00A14573" w:rsidRPr="005127BB" w:rsidP="005C59A2" w14:paraId="37964DBB" w14:textId="77777777">
      <w:pPr>
        <w:pStyle w:val="BodyText"/>
        <w:spacing w:before="1"/>
        <w:ind w:left="460" w:right="216"/>
        <w:jc w:val="both"/>
      </w:pPr>
    </w:p>
    <w:p w:rsidR="005127BB" w:rsidRPr="005C59A2" w:rsidP="005C59A2" w14:paraId="31440A53" w14:textId="6C554580">
      <w:pPr>
        <w:pStyle w:val="BodyText"/>
        <w:spacing w:before="1"/>
        <w:ind w:left="460" w:right="216"/>
        <w:jc w:val="both"/>
      </w:pPr>
      <m:oMathPara>
        <m:oMath>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t</m:t>
                  </m:r>
                </m:sub>
              </m:sSub>
            </m:num>
            <m:den>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den>
          </m:f>
        </m:oMath>
      </m:oMathPara>
    </w:p>
    <w:p w:rsidR="005127BB" w:rsidP="00896FC4" w14:paraId="1CD2714B" w14:textId="77777777">
      <w:pPr>
        <w:pStyle w:val="BodyText"/>
        <w:spacing w:before="1"/>
        <w:ind w:left="460" w:right="216"/>
        <w:jc w:val="both"/>
      </w:pPr>
    </w:p>
    <w:p w:rsidR="000A0F2D" w:rsidRPr="00CA028F" w:rsidP="00896FC4" w14:paraId="0EAD0C60" w14:textId="5AFE27F8">
      <w:pPr>
        <w:pStyle w:val="BodyText"/>
        <w:spacing w:before="1"/>
        <w:ind w:left="460" w:right="216"/>
        <w:jc w:val="both"/>
      </w:pPr>
      <w:r>
        <w:t xml:space="preserve">This measure is symmetric, </w:t>
      </w:r>
      <m:oMath>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w:bookmarkStart w:id="4" w:name="_Hlk98940113"/>
                <m:sSub>
                  <m:sSubPr>
                    <m:ctrlPr>
                      <w:rPr>
                        <w:rFonts w:ascii="Cambria Math" w:hAnsi="Cambria Math"/>
                      </w:rPr>
                    </m:ctrlPr>
                  </m:sSubPr>
                  <m:e>
                    <m:acc>
                      <m:accPr>
                        <m:chr m:val="̅"/>
                        <m:ctrlPr>
                          <w:rPr>
                            <w:rFonts w:ascii="Cambria Math" w:hAnsi="Cambria Math"/>
                          </w:rPr>
                        </m:ctrlPr>
                      </m:accPr>
                      <m:e>
                        <m:r>
                          <w:rPr>
                            <w:rFonts w:ascii="Cambria Math" w:hAnsi="Cambria Math"/>
                          </w:rPr>
                          <m:t>y</m:t>
                        </m:r>
                      </m:e>
                    </m:acc>
                  </m:e>
                  <m:sub>
                    <m:r>
                      <w:rPr>
                        <w:rFonts w:ascii="Cambria Math" w:hAnsi="Cambria Math"/>
                      </w:rPr>
                      <m:t>r</m:t>
                    </m:r>
                  </m:sub>
                </m:sSub>
                <w:bookmarkEnd w:id="4"/>
              </m:e>
            </m:d>
          </m:e>
        </m:func>
        <m:r>
          <m:rPr>
            <m:sty m:val="p"/>
          </m:rPr>
          <w:rPr>
            <w:rFonts w:ascii="Cambria Math" w:hAnsi="Cambria Math"/>
          </w:rPr>
          <m:t>-log⁡(</m:t>
        </m:r>
        <w:bookmarkStart w:id="5" w:name="_Hlk98942000"/>
        <m:sSub>
          <m:sSubPr>
            <m:ctrlPr>
              <w:rPr>
                <w:rFonts w:ascii="Cambria Math" w:hAnsi="Cambria Math"/>
              </w:rPr>
            </m:ctrlPr>
          </m:sSubPr>
          <m:e>
            <w:bookmarkStart w:id="6" w:name="_Hlk99612169"/>
            <m:acc>
              <m:accPr>
                <m:chr m:val="̅"/>
                <m:ctrlPr>
                  <w:rPr>
                    <w:rFonts w:ascii="Cambria Math" w:hAnsi="Cambria Math"/>
                  </w:rPr>
                </m:ctrlPr>
              </m:accPr>
              <m:e>
                <m:r>
                  <w:rPr>
                    <w:rFonts w:ascii="Cambria Math" w:hAnsi="Cambria Math"/>
                  </w:rPr>
                  <m:t>y</m:t>
                </m:r>
              </m:e>
            </m:acc>
            <w:bookmarkEnd w:id="6"/>
          </m:e>
          <m:sub>
            <m:r>
              <w:rPr>
                <w:rFonts w:ascii="Cambria Math" w:hAnsi="Cambria Math"/>
              </w:rPr>
              <m:t>t</m:t>
            </m:r>
          </m:sub>
        </m:sSub>
        <w:bookmarkEnd w:id="5"/>
        <m:r>
          <m:rPr>
            <m:sty m:val="p"/>
          </m:rPr>
          <w:rPr>
            <w:rFonts w:ascii="Cambria Math" w:hAnsi="Cambria Math"/>
          </w:rPr>
          <m:t>)= -[</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y</m:t>
                        </m:r>
                      </m:e>
                    </m:acc>
                  </m:e>
                  <m:sub>
                    <m:r>
                      <w:rPr>
                        <w:rFonts w:ascii="Cambria Math" w:hAnsi="Cambria Math"/>
                      </w:rPr>
                      <m:t>t</m:t>
                    </m:r>
                  </m:sub>
                </m:sSub>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y</m:t>
                        </m:r>
                      </m:e>
                    </m:acc>
                  </m:e>
                  <m:sub>
                    <m:r>
                      <w:rPr>
                        <w:rFonts w:ascii="Cambria Math" w:hAnsi="Cambria Math"/>
                      </w:rPr>
                      <m:t>r</m:t>
                    </m:r>
                  </m:sub>
                </m:sSub>
              </m:e>
            </m:d>
          </m:e>
        </m:func>
        <m:r>
          <m:rPr>
            <m:sty m:val="p"/>
          </m:rPr>
          <w:rPr>
            <w:rFonts w:ascii="Cambria Math" w:hAnsi="Cambria Math"/>
          </w:rPr>
          <m:t>]</m:t>
        </m:r>
      </m:oMath>
      <w:r w:rsidR="004F4CDA">
        <w:t>,</w:t>
      </w:r>
      <w:r>
        <w:t xml:space="preserve"> </w:t>
      </w:r>
      <w:r w:rsidR="004F4CDA">
        <w:t>and</w:t>
      </w:r>
      <w:r w:rsidR="00F37728">
        <w:t xml:space="preserve"> </w:t>
      </w:r>
      <w:r>
        <w:t>retain</w:t>
      </w:r>
      <w:r w:rsidR="004F4CDA">
        <w:t>s</w:t>
      </w:r>
      <w:r>
        <w:t xml:space="preserve"> the scale-invariance property of relative bias</w:t>
      </w:r>
      <w:r w:rsidR="00970B9E">
        <w:t>,</w:t>
      </w:r>
      <w:r>
        <w:t xml:space="preserve"> i.e., multiplying the reported</w:t>
      </w:r>
      <w:r w:rsidR="00F37728">
        <w:t xml:space="preserve"> </w:t>
      </w:r>
      <w:r w:rsidR="00CB7DD9">
        <w:t>Census data</w:t>
      </w:r>
      <w:r>
        <w:t xml:space="preserve"> value </w:t>
      </w:r>
      <w:r w:rsidR="00E16596">
        <w:t>for</w:t>
      </w:r>
      <w:r>
        <w:t xml:space="preserve"> each </w:t>
      </w:r>
      <w:r w:rsidR="00CB7DD9">
        <w:t xml:space="preserve">operation </w:t>
      </w:r>
      <w:r>
        <w:t>by a fixed factor</w:t>
      </w:r>
      <w:r w:rsidR="00E16596">
        <w:t>, a weight,</w:t>
      </w:r>
      <w:r w:rsidR="00970B9E">
        <w:t xml:space="preserve"> </w:t>
      </w:r>
      <w:r>
        <w:t xml:space="preserve">does not affect the overall </w:t>
      </w:r>
      <w:r w:rsidR="00C93BE0">
        <w:t xml:space="preserve">regional </w:t>
      </w:r>
      <w:r>
        <w:t>relative bias.</w:t>
      </w:r>
      <w:r w:rsidR="00A9761E">
        <w:t xml:space="preserve"> </w:t>
      </w:r>
    </w:p>
    <w:p w:rsidR="000A0F2D" w14:paraId="3326ACEE" w14:textId="77777777">
      <w:pPr>
        <w:pStyle w:val="BodyText"/>
        <w:spacing w:before="2"/>
        <w:rPr>
          <w:sz w:val="23"/>
        </w:rPr>
      </w:pPr>
    </w:p>
    <w:p w:rsidR="000A0F2D" w14:paraId="6DC502EC" w14:textId="63502E68">
      <w:pPr>
        <w:pStyle w:val="BodyText"/>
        <w:ind w:left="460" w:right="213"/>
        <w:jc w:val="both"/>
      </w:pPr>
      <w:r>
        <w:t xml:space="preserve">The </w:t>
      </w:r>
      <w:r w:rsidR="008746DD">
        <w:t xml:space="preserve">regional </w:t>
      </w:r>
      <w:r w:rsidR="00556612">
        <w:t xml:space="preserve">relative </w:t>
      </w:r>
      <w:r>
        <w:t>bias measure</w:t>
      </w:r>
      <w:r w:rsidR="008746DD">
        <w:t>,</w:t>
      </w:r>
      <w:r>
        <w:t xml:space="preserve"> </w:t>
      </w:r>
      <w:r>
        <w:rPr>
          <w:i/>
        </w:rPr>
        <w:t>M</w:t>
      </w:r>
      <w:r w:rsidR="008746DD">
        <w:rPr>
          <w:i/>
        </w:rPr>
        <w:t>,</w:t>
      </w:r>
      <w:r>
        <w:rPr>
          <w:i/>
        </w:rPr>
        <w:t xml:space="preserve"> </w:t>
      </w:r>
      <w:r>
        <w:t xml:space="preserve">for a </w:t>
      </w:r>
      <w:r w:rsidR="008746DD">
        <w:t xml:space="preserve">select </w:t>
      </w:r>
      <w:r>
        <w:t xml:space="preserve">study variable </w:t>
      </w:r>
      <w:r w:rsidR="003102FA">
        <w:t>is</w:t>
      </w:r>
      <w:r>
        <w:t xml:space="preserve"> treated as an independent</w:t>
      </w:r>
      <w:r>
        <w:rPr>
          <w:spacing w:val="1"/>
        </w:rPr>
        <w:t xml:space="preserve"> </w:t>
      </w:r>
      <w:r>
        <w:t>random variable.</w:t>
      </w:r>
      <w:r>
        <w:rPr>
          <w:spacing w:val="1"/>
        </w:rPr>
        <w:t xml:space="preserve"> </w:t>
      </w:r>
      <w:r w:rsidRPr="00A0119D" w:rsidR="00A0119D">
        <w:rPr>
          <w:spacing w:val="1"/>
        </w:rPr>
        <w:t xml:space="preserve">The mean of </w:t>
      </w:r>
      <w:r w:rsidR="00A0119D">
        <w:rPr>
          <w:spacing w:val="1"/>
        </w:rPr>
        <w:t xml:space="preserve">all twenty </w:t>
      </w:r>
      <w:r w:rsidRPr="00A0119D" w:rsidR="00A0119D">
        <w:rPr>
          <w:spacing w:val="1"/>
        </w:rPr>
        <w:t>regional relative biases</w:t>
      </w:r>
      <w:r w:rsidR="00A0119D">
        <w:rPr>
          <w:spacing w:val="1"/>
        </w:rPr>
        <w:t xml:space="preserve">, </w:t>
      </w:r>
      <m:oMath>
        <m:acc>
          <m:accPr>
            <m:chr m:val="̅"/>
            <m:ctrlPr>
              <w:rPr>
                <w:rFonts w:ascii="Cambria Math" w:hAnsi="Cambria Math"/>
                <w:i/>
                <w:spacing w:val="1"/>
              </w:rPr>
            </m:ctrlPr>
          </m:accPr>
          <m:e>
            <m:r>
              <w:rPr>
                <w:rFonts w:ascii="Cambria Math" w:hAnsi="Cambria Math"/>
                <w:spacing w:val="1"/>
              </w:rPr>
              <m:t>M</m:t>
            </m:r>
          </m:e>
        </m:acc>
        <m:r>
          <w:rPr>
            <w:rFonts w:ascii="Cambria Math" w:hAnsi="Cambria Math"/>
            <w:spacing w:val="1"/>
          </w:rPr>
          <m:t>,</m:t>
        </m:r>
      </m:oMath>
      <w:r w:rsidRPr="00A0119D" w:rsidR="00A0119D">
        <w:rPr>
          <w:spacing w:val="1"/>
        </w:rPr>
        <w:t xml:space="preserve"> will be evaluated for location through corrected sum of squares. </w:t>
      </w:r>
      <w:r>
        <w:t xml:space="preserve">The null hypothesis of no </w:t>
      </w:r>
      <w:r w:rsidR="00BA364A">
        <w:t xml:space="preserve">regional relative </w:t>
      </w:r>
      <w:r>
        <w:t>bias</w:t>
      </w:r>
      <w:r w:rsidR="00504BEB">
        <w:t xml:space="preserve">, </w:t>
      </w:r>
      <m:oMath>
        <m:acc>
          <m:accPr>
            <m:chr m:val="̅"/>
            <m:ctrlPr>
              <w:rPr>
                <w:rFonts w:ascii="Cambria Math" w:hAnsi="Cambria Math"/>
                <w:i/>
              </w:rPr>
            </m:ctrlPr>
          </m:accPr>
          <m:e>
            <m:r>
              <w:rPr>
                <w:rFonts w:ascii="Cambria Math" w:hAnsi="Cambria Math"/>
              </w:rPr>
              <m:t>M</m:t>
            </m:r>
          </m:e>
        </m:acc>
        <m:r>
          <w:rPr>
            <w:rFonts w:ascii="Cambria Math" w:hAnsi="Cambria Math"/>
          </w:rPr>
          <m:t>=0,</m:t>
        </m:r>
      </m:oMath>
      <w:r w:rsidR="006E7911">
        <w:t xml:space="preserve"> will </w:t>
      </w:r>
      <w:r>
        <w:t xml:space="preserve">be tested against an alternative hypothesis of persistent </w:t>
      </w:r>
      <w:r w:rsidR="00BA364A">
        <w:t xml:space="preserve">regional relative </w:t>
      </w:r>
      <w:r>
        <w:t>bias (</w:t>
      </w:r>
      <w:r>
        <w:rPr>
          <w:i/>
        </w:rPr>
        <w:t>p</w:t>
      </w:r>
      <w:r w:rsidR="008746DD">
        <w:rPr>
          <w:i/>
        </w:rPr>
        <w:t>&gt;.05</w:t>
      </w:r>
      <w:r>
        <w:t>%).</w:t>
      </w:r>
      <w:r>
        <w:rPr>
          <w:spacing w:val="1"/>
        </w:rPr>
        <w:t xml:space="preserve"> </w:t>
      </w:r>
      <w:r w:rsidR="0002137D">
        <w:rPr>
          <w:spacing w:val="1"/>
        </w:rPr>
        <w:t>In as much as a</w:t>
      </w:r>
      <w:r>
        <w:rPr>
          <w:spacing w:val="1"/>
        </w:rPr>
        <w:t xml:space="preserve"> </w:t>
      </w:r>
      <w:r>
        <w:t>conventional</w:t>
      </w:r>
      <w:r>
        <w:rPr>
          <w:spacing w:val="1"/>
        </w:rPr>
        <w:t xml:space="preserve"> </w:t>
      </w:r>
      <w:r>
        <w:rPr>
          <w:i/>
        </w:rPr>
        <w:t>t</w:t>
      </w:r>
      <w:r>
        <w:rPr>
          <w:i/>
          <w:spacing w:val="1"/>
        </w:rPr>
        <w:t xml:space="preserve"> </w:t>
      </w:r>
      <w:r>
        <w:t>test</w:t>
      </w:r>
      <w:r w:rsidR="00C02B95">
        <w:t>,</w:t>
      </w:r>
      <w:r>
        <w:rPr>
          <w:spacing w:val="1"/>
        </w:rPr>
        <w:t xml:space="preserve"> </w:t>
      </w:r>
      <w:r>
        <w:t>based</w:t>
      </w:r>
      <w:r>
        <w:rPr>
          <w:spacing w:val="1"/>
        </w:rPr>
        <w:t xml:space="preserve"> </w:t>
      </w:r>
      <w:r>
        <w:t>on</w:t>
      </w:r>
      <w:r>
        <w:rPr>
          <w:spacing w:val="1"/>
        </w:rPr>
        <w:t xml:space="preserve"> </w:t>
      </w:r>
      <w:r w:rsidR="0002137D">
        <w:rPr>
          <w:spacing w:val="1"/>
        </w:rPr>
        <w:t xml:space="preserve">twenty </w:t>
      </w:r>
      <w:r>
        <w:t>observations</w:t>
      </w:r>
      <w:r w:rsidR="00E0188B">
        <w:t>,</w:t>
      </w:r>
      <w:r>
        <w:rPr>
          <w:spacing w:val="1"/>
        </w:rPr>
        <w:t xml:space="preserve"> </w:t>
      </w:r>
      <w:r>
        <w:t>is</w:t>
      </w:r>
      <w:r>
        <w:rPr>
          <w:spacing w:val="1"/>
        </w:rPr>
        <w:t xml:space="preserve"> </w:t>
      </w:r>
      <w:r>
        <w:t>asymptotically normal under both the null and alternative hypotheses</w:t>
      </w:r>
      <w:r w:rsidR="0002137D">
        <w:t xml:space="preserve">, </w:t>
      </w:r>
      <w:r w:rsidRPr="006A26AF" w:rsidR="006A26AF">
        <w:rPr>
          <w:i/>
          <w:iCs/>
          <w:spacing w:val="1"/>
        </w:rPr>
        <w:t>M</w:t>
      </w:r>
      <w:r w:rsidR="004A0BDC">
        <w:rPr>
          <w:spacing w:val="1"/>
        </w:rPr>
        <w:t xml:space="preserve"> </w:t>
      </w:r>
      <w:r w:rsidR="006A26AF">
        <w:rPr>
          <w:spacing w:val="1"/>
        </w:rPr>
        <w:t xml:space="preserve">values </w:t>
      </w:r>
      <w:r w:rsidR="0002137D">
        <w:rPr>
          <w:spacing w:val="1"/>
        </w:rPr>
        <w:t xml:space="preserve">will </w:t>
      </w:r>
      <w:r>
        <w:t>approximat</w:t>
      </w:r>
      <w:r w:rsidR="00C02B95">
        <w:t>e</w:t>
      </w:r>
      <w:r>
        <w:t xml:space="preserve"> </w:t>
      </w:r>
      <w:r w:rsidR="00C911AA">
        <w:t xml:space="preserve">a Student </w:t>
      </w:r>
      <w:r>
        <w:rPr>
          <w:i/>
        </w:rPr>
        <w:t>t</w:t>
      </w:r>
      <w:r>
        <w:rPr>
          <w:i/>
          <w:spacing w:val="1"/>
        </w:rPr>
        <w:t xml:space="preserve"> </w:t>
      </w:r>
      <w:r w:rsidR="00C911AA">
        <w:t>with</w:t>
      </w:r>
      <w:r>
        <w:t xml:space="preserve"> </w:t>
      </w:r>
      <w:r w:rsidR="0002137D">
        <w:t>nineteen</w:t>
      </w:r>
      <w:r>
        <w:t xml:space="preserve"> degrees of freedom</w:t>
      </w:r>
      <w:r>
        <w:rPr>
          <w:i/>
        </w:rPr>
        <w:t>.</w:t>
      </w:r>
      <w:r>
        <w:rPr>
          <w:i/>
          <w:spacing w:val="1"/>
        </w:rPr>
        <w:t xml:space="preserve"> </w:t>
      </w:r>
      <w:r>
        <w:t xml:space="preserve">This </w:t>
      </w:r>
      <w:r w:rsidR="00C02B95">
        <w:t xml:space="preserve">approximation </w:t>
      </w:r>
      <w:r w:rsidR="0002137D">
        <w:t>could</w:t>
      </w:r>
      <w:r>
        <w:t xml:space="preserve"> lead to liberal inferences (the inappropriate</w:t>
      </w:r>
      <w:r>
        <w:rPr>
          <w:spacing w:val="1"/>
        </w:rPr>
        <w:t xml:space="preserve"> </w:t>
      </w:r>
      <w:r>
        <w:t xml:space="preserve">rejection of the null hypothesis when it is true) </w:t>
      </w:r>
      <w:r w:rsidR="00637BCA">
        <w:t>since</w:t>
      </w:r>
      <w:r>
        <w:t xml:space="preserve"> </w:t>
      </w:r>
      <w:r>
        <w:rPr>
          <w:i/>
        </w:rPr>
        <w:t>M</w:t>
      </w:r>
      <w:r w:rsidR="004A0BDC">
        <w:rPr>
          <w:i/>
        </w:rPr>
        <w:t xml:space="preserve"> </w:t>
      </w:r>
      <w:r>
        <w:t xml:space="preserve">values for </w:t>
      </w:r>
      <w:r w:rsidR="00A95DFA">
        <w:t xml:space="preserve">select </w:t>
      </w:r>
      <w:r>
        <w:t>study</w:t>
      </w:r>
      <w:r>
        <w:rPr>
          <w:spacing w:val="1"/>
        </w:rPr>
        <w:t xml:space="preserve"> </w:t>
      </w:r>
      <w:r>
        <w:t>variable</w:t>
      </w:r>
      <w:r w:rsidR="00E81B2D">
        <w:t>s</w:t>
      </w:r>
      <w:r>
        <w:rPr>
          <w:spacing w:val="1"/>
        </w:rPr>
        <w:t xml:space="preserve"> </w:t>
      </w:r>
      <w:r>
        <w:t>may</w:t>
      </w:r>
      <w:r>
        <w:rPr>
          <w:spacing w:val="1"/>
        </w:rPr>
        <w:t xml:space="preserve"> </w:t>
      </w:r>
      <w:r>
        <w:t>not</w:t>
      </w:r>
      <w:r>
        <w:rPr>
          <w:spacing w:val="1"/>
        </w:rPr>
        <w:t xml:space="preserve"> </w:t>
      </w:r>
      <w:r>
        <w:t>be</w:t>
      </w:r>
      <w:r>
        <w:rPr>
          <w:spacing w:val="1"/>
        </w:rPr>
        <w:t xml:space="preserve"> </w:t>
      </w:r>
      <w:r>
        <w:t>normally</w:t>
      </w:r>
      <w:r>
        <w:rPr>
          <w:spacing w:val="1"/>
        </w:rPr>
        <w:t xml:space="preserve"> </w:t>
      </w:r>
      <w:r>
        <w:t>distributed</w:t>
      </w:r>
      <w:r>
        <w:rPr>
          <w:spacing w:val="1"/>
        </w:rPr>
        <w:t xml:space="preserve"> </w:t>
      </w:r>
      <w:r w:rsidR="007E72DD">
        <w:rPr>
          <w:spacing w:val="1"/>
        </w:rPr>
        <w:t>nor possess</w:t>
      </w:r>
      <w:r>
        <w:rPr>
          <w:spacing w:val="1"/>
        </w:rPr>
        <w:t xml:space="preserve"> </w:t>
      </w:r>
      <w:r>
        <w:t>a</w:t>
      </w:r>
      <w:r>
        <w:rPr>
          <w:spacing w:val="1"/>
        </w:rPr>
        <w:t xml:space="preserve"> </w:t>
      </w:r>
      <w:r>
        <w:t>common</w:t>
      </w:r>
      <w:r>
        <w:rPr>
          <w:spacing w:val="1"/>
        </w:rPr>
        <w:t xml:space="preserve"> </w:t>
      </w:r>
      <w:r>
        <w:t>variance</w:t>
      </w:r>
      <w:r>
        <w:rPr>
          <w:spacing w:val="1"/>
        </w:rPr>
        <w:t xml:space="preserve"> </w:t>
      </w:r>
      <w:r>
        <w:t>across</w:t>
      </w:r>
      <w:r>
        <w:rPr>
          <w:spacing w:val="1"/>
        </w:rPr>
        <w:t xml:space="preserve"> </w:t>
      </w:r>
      <w:r>
        <w:t>regions.</w:t>
      </w:r>
      <w:r>
        <w:rPr>
          <w:spacing w:val="1"/>
        </w:rPr>
        <w:t xml:space="preserve"> </w:t>
      </w:r>
      <w:r>
        <w:t>Nevertheless, by taking log</w:t>
      </w:r>
      <w:r w:rsidR="00706CD5">
        <w:t>arithm</w:t>
      </w:r>
      <w:r>
        <w:t>s</w:t>
      </w:r>
      <w:r w:rsidR="00706CD5">
        <w:t>,</w:t>
      </w:r>
      <w:r>
        <w:t xml:space="preserve"> </w:t>
      </w:r>
      <w:r w:rsidRPr="0002137D" w:rsidR="0002137D">
        <w:rPr>
          <w:i/>
          <w:iCs/>
        </w:rPr>
        <w:t>M</w:t>
      </w:r>
      <w:r w:rsidR="0002137D">
        <w:t xml:space="preserve"> values will be</w:t>
      </w:r>
      <w:r>
        <w:t xml:space="preserve"> more normal and</w:t>
      </w:r>
      <w:r>
        <w:rPr>
          <w:spacing w:val="1"/>
        </w:rPr>
        <w:t xml:space="preserve"> </w:t>
      </w:r>
      <w:r>
        <w:t>homoscedastic</w:t>
      </w:r>
      <w:r>
        <w:rPr>
          <w:spacing w:val="-2"/>
        </w:rPr>
        <w:t xml:space="preserve"> </w:t>
      </w:r>
      <w:r>
        <w:t xml:space="preserve">than absolute </w:t>
      </w:r>
      <w:r w:rsidR="0002137D">
        <w:t>relative biases</w:t>
      </w:r>
      <w:r>
        <w:t>.</w:t>
      </w:r>
    </w:p>
    <w:p w:rsidR="000A0F2D" w14:paraId="3A0DF71E" w14:textId="6391FA51">
      <w:pPr>
        <w:pStyle w:val="BodyText"/>
      </w:pPr>
    </w:p>
    <w:p w:rsidR="000F23FD" w14:paraId="723CEF08" w14:textId="77777777">
      <w:pPr>
        <w:pStyle w:val="BodyText"/>
      </w:pPr>
    </w:p>
    <w:p w:rsidR="000A0F2D" w14:paraId="44CE1C94" w14:textId="1F358484">
      <w:pPr>
        <w:pStyle w:val="BodyText"/>
        <w:ind w:left="460" w:right="215"/>
        <w:jc w:val="both"/>
      </w:pPr>
      <w:r>
        <w:t xml:space="preserve">A sign and a signed-rank test </w:t>
      </w:r>
      <w:r w:rsidR="00BA364A">
        <w:t>for</w:t>
      </w:r>
      <w:r>
        <w:t xml:space="preserve"> the </w:t>
      </w:r>
      <w:r w:rsidR="00DB5D05">
        <w:t>twenty</w:t>
      </w:r>
      <w:r>
        <w:t xml:space="preserve"> observations </w:t>
      </w:r>
      <w:r w:rsidR="00DB5D05">
        <w:t xml:space="preserve">will also be </w:t>
      </w:r>
      <w:r w:rsidR="00E759E4">
        <w:t>c</w:t>
      </w:r>
      <w:r w:rsidR="00DB5D05">
        <w:t>omputed</w:t>
      </w:r>
      <w:r>
        <w:t>.</w:t>
      </w:r>
      <w:r>
        <w:rPr>
          <w:spacing w:val="61"/>
        </w:rPr>
        <w:t xml:space="preserve"> </w:t>
      </w:r>
      <w:r>
        <w:t>The sign test is not as powerful as the other two tests</w:t>
      </w:r>
      <w:r>
        <w:rPr>
          <w:spacing w:val="1"/>
        </w:rPr>
        <w:t xml:space="preserve"> </w:t>
      </w:r>
      <w:r>
        <w:t>(</w:t>
      </w:r>
      <w:r>
        <w:rPr>
          <w:i/>
        </w:rPr>
        <w:t>i.e.</w:t>
      </w:r>
      <w:r>
        <w:t xml:space="preserve">, it more often fails to find that </w:t>
      </w:r>
      <m:oMath>
        <m:acc>
          <m:accPr>
            <m:chr m:val="̅"/>
            <m:ctrlPr>
              <w:rPr>
                <w:rFonts w:ascii="Cambria Math" w:hAnsi="Cambria Math"/>
                <w:i/>
              </w:rPr>
            </m:ctrlPr>
          </m:accPr>
          <m:e>
            <m:r>
              <w:rPr>
                <w:rFonts w:ascii="Cambria Math" w:hAnsi="Cambria Math"/>
              </w:rPr>
              <m:t>M</m:t>
            </m:r>
          </m:e>
        </m:acc>
      </m:oMath>
      <w:r>
        <w:rPr>
          <w:i/>
        </w:rPr>
        <w:t xml:space="preserve"> </w:t>
      </w:r>
      <w:r>
        <w:t>is significantly different from 0 when, in fact, there</w:t>
      </w:r>
      <w:r>
        <w:rPr>
          <w:spacing w:val="1"/>
        </w:rPr>
        <w:t xml:space="preserve"> </w:t>
      </w:r>
      <w:r>
        <w:t xml:space="preserve">is a persistent bias across the regions), but it </w:t>
      </w:r>
      <w:r w:rsidR="00DB5D05">
        <w:t>assumes</w:t>
      </w:r>
      <w:r>
        <w:t xml:space="preserve"> neither</w:t>
      </w:r>
      <w:r>
        <w:rPr>
          <w:spacing w:val="1"/>
        </w:rPr>
        <w:t xml:space="preserve"> </w:t>
      </w:r>
      <w:r w:rsidR="00E759E4">
        <w:rPr>
          <w:spacing w:val="1"/>
        </w:rPr>
        <w:t xml:space="preserve">normality nor homoscedasticity of </w:t>
      </w:r>
      <w:r>
        <w:rPr>
          <w:i/>
        </w:rPr>
        <w:t>M</w:t>
      </w:r>
      <w:r>
        <w:t>.</w:t>
      </w:r>
      <w:r>
        <w:rPr>
          <w:spacing w:val="61"/>
        </w:rPr>
        <w:t xml:space="preserve"> </w:t>
      </w:r>
      <w:r>
        <w:t xml:space="preserve">The signed-rank test assumes </w:t>
      </w:r>
      <w:r w:rsidR="007E72DD">
        <w:t>homoscedasticity, but not normality</w:t>
      </w:r>
      <w:r>
        <w:t xml:space="preserve">.   </w:t>
      </w:r>
      <w:r w:rsidR="00E759E4">
        <w:t xml:space="preserve">Both </w:t>
      </w:r>
      <w:r w:rsidR="00DB5D05">
        <w:t xml:space="preserve">will be </w:t>
      </w:r>
      <w:r w:rsidR="00E759E4">
        <w:t>i</w:t>
      </w:r>
      <w:r>
        <w:t>nclude</w:t>
      </w:r>
      <w:r w:rsidR="00E759E4">
        <w:t>d</w:t>
      </w:r>
      <w:r>
        <w:t xml:space="preserve"> for</w:t>
      </w:r>
      <w:r>
        <w:rPr>
          <w:spacing w:val="-2"/>
        </w:rPr>
        <w:t xml:space="preserve"> </w:t>
      </w:r>
      <w:r>
        <w:t>comp</w:t>
      </w:r>
      <w:r w:rsidR="00E759E4">
        <w:t>arison</w:t>
      </w:r>
      <w:r>
        <w:t>.</w:t>
      </w:r>
      <w:r w:rsidR="00047DB6">
        <w:t xml:space="preserve"> A paired t test is included evaluating the </w:t>
      </w:r>
      <w:r w:rsidR="00127D40">
        <w:t xml:space="preserve">null hypothesis of no </w:t>
      </w:r>
      <w:r w:rsidR="00E0188B">
        <w:t xml:space="preserve">mean bias reduction </w:t>
      </w:r>
      <w:r w:rsidR="00A95152">
        <w:t>for each study variable</w:t>
      </w:r>
      <w:r w:rsidR="00127D40">
        <w:t>:</w:t>
      </w:r>
    </w:p>
    <w:p w:rsidR="00047DB6" w14:paraId="042493B9" w14:textId="357E13AC">
      <w:pPr>
        <w:pStyle w:val="BodyText"/>
        <w:ind w:left="460" w:right="215"/>
        <w:jc w:val="both"/>
      </w:pPr>
    </w:p>
    <w:p w:rsidR="000A0F2D" w:rsidRPr="00F36312" w:rsidP="00536B3C" w14:paraId="322B3C13" w14:textId="40A215AD">
      <w:pPr>
        <w:pStyle w:val="BodyText"/>
        <w:spacing w:before="1"/>
        <w:ind w:left="460" w:right="216"/>
        <w:jc w:val="center"/>
        <w:rPr>
          <w:sz w:val="18"/>
          <w:szCs w:val="18"/>
        </w:rPr>
      </w:pPr>
      <m:oMathPara>
        <m:oMathParaPr>
          <m:jc m:val="left"/>
        </m:oMathParaPr>
        <m:oMath>
          <m:acc>
            <m:accPr>
              <m:chr m:val="̅"/>
              <m:ctrlPr>
                <w:rPr>
                  <w:rFonts w:ascii="Cambria Math" w:hAnsi="Cambria Math"/>
                  <w:i/>
                  <w:sz w:val="18"/>
                  <w:szCs w:val="18"/>
                  <w:highlight w:val="lightGray"/>
                </w:rPr>
              </m:ctrlPr>
            </m:accPr>
            <m:e>
              <m:r>
                <w:rPr>
                  <w:rFonts w:ascii="Cambria Math" w:hAnsi="Cambria Math"/>
                  <w:sz w:val="18"/>
                  <w:szCs w:val="18"/>
                  <w:highlight w:val="lightGray"/>
                </w:rPr>
                <m:t>BiasReduction</m:t>
              </m:r>
            </m:e>
          </m:acc>
          <m:r>
            <w:rPr>
              <w:rFonts w:ascii="Cambria Math" w:hAnsi="Cambria Math"/>
              <w:sz w:val="18"/>
              <w:szCs w:val="18"/>
              <w:highlight w:val="lightGray"/>
            </w:rPr>
            <m:t>=</m:t>
          </m:r>
          <m:f>
            <m:fPr>
              <m:ctrlPr>
                <w:rPr>
                  <w:rFonts w:ascii="Cambria Math" w:hAnsi="Cambria Math"/>
                  <w:i/>
                  <w:sz w:val="18"/>
                  <w:szCs w:val="18"/>
                  <w:highlight w:val="lightGray"/>
                </w:rPr>
              </m:ctrlPr>
            </m:fPr>
            <m:num>
              <m:nary>
                <m:naryPr>
                  <m:chr m:val="∑"/>
                  <m:limLoc m:val="undOvr"/>
                  <m:ctrlPr>
                    <w:rPr>
                      <w:rFonts w:ascii="Cambria Math" w:hAnsi="Cambria Math"/>
                      <w:i/>
                      <w:sz w:val="18"/>
                      <w:szCs w:val="18"/>
                      <w:highlight w:val="lightGray"/>
                    </w:rPr>
                  </m:ctrlPr>
                </m:naryPr>
                <m:sub>
                  <m:r>
                    <w:rPr>
                      <w:rFonts w:ascii="Cambria Math" w:hAnsi="Cambria Math"/>
                      <w:sz w:val="18"/>
                      <w:szCs w:val="18"/>
                      <w:highlight w:val="lightGray"/>
                    </w:rPr>
                    <m:t>i</m:t>
                  </m:r>
                </m:sub>
                <m:sup>
                  <m:r>
                    <w:rPr>
                      <w:rFonts w:ascii="Cambria Math" w:hAnsi="Cambria Math"/>
                      <w:sz w:val="18"/>
                      <w:szCs w:val="18"/>
                      <w:highlight w:val="lightGray"/>
                    </w:rPr>
                    <m:t>20</m:t>
                  </m:r>
                </m:sup>
                <m:e>
                  <m:sSub>
                    <m:sSubPr>
                      <m:ctrlPr>
                        <w:rPr>
                          <w:rFonts w:ascii="Cambria Math" w:hAnsi="Cambria Math"/>
                          <w:i/>
                          <w:sz w:val="18"/>
                          <w:szCs w:val="18"/>
                          <w:highlight w:val="lightGray"/>
                        </w:rPr>
                      </m:ctrlPr>
                    </m:sSubPr>
                    <m:e>
                      <m:r>
                        <w:rPr>
                          <w:rFonts w:ascii="Cambria Math" w:hAnsi="Cambria Math"/>
                          <w:sz w:val="18"/>
                          <w:szCs w:val="18"/>
                          <w:highlight w:val="lightGray"/>
                        </w:rPr>
                        <m:t>(RelBias</m:t>
                      </m:r>
                    </m:e>
                    <m:sub>
                      <m:r>
                        <w:rPr>
                          <w:rFonts w:ascii="Cambria Math" w:hAnsi="Cambria Math"/>
                          <w:sz w:val="18"/>
                          <w:szCs w:val="18"/>
                          <w:highlight w:val="lightGray"/>
                        </w:rPr>
                        <m:t>Matching Respondents, Region i</m:t>
                      </m:r>
                    </m:sub>
                  </m:sSub>
                  <m:r>
                    <w:rPr>
                      <w:rFonts w:ascii="Cambria Math" w:hAnsi="Cambria Math"/>
                      <w:sz w:val="18"/>
                      <w:szCs w:val="18"/>
                      <w:highlight w:val="lightGray"/>
                    </w:rPr>
                    <m:t xml:space="preserve">- </m:t>
                  </m:r>
                  <m:sSub>
                    <m:sSubPr>
                      <m:ctrlPr>
                        <w:rPr>
                          <w:rFonts w:ascii="Cambria Math" w:hAnsi="Cambria Math"/>
                          <w:i/>
                          <w:sz w:val="18"/>
                          <w:szCs w:val="18"/>
                          <w:highlight w:val="lightGray"/>
                        </w:rPr>
                      </m:ctrlPr>
                    </m:sSubPr>
                    <m:e>
                      <m:r>
                        <w:rPr>
                          <w:rFonts w:ascii="Cambria Math" w:hAnsi="Cambria Math"/>
                          <w:sz w:val="18"/>
                          <w:szCs w:val="18"/>
                          <w:highlight w:val="lightGray"/>
                        </w:rPr>
                        <m:t>RelBias</m:t>
                      </m:r>
                    </m:e>
                    <m:sub>
                      <m:r>
                        <w:rPr>
                          <w:rFonts w:ascii="Cambria Math" w:hAnsi="Cambria Math"/>
                          <w:sz w:val="18"/>
                          <w:szCs w:val="18"/>
                          <w:highlight w:val="lightGray"/>
                        </w:rPr>
                        <m:t>Matching Respondents Calibrated, Region i</m:t>
                      </m:r>
                    </m:sub>
                  </m:sSub>
                  <m:r>
                    <w:rPr>
                      <w:rFonts w:ascii="Cambria Math" w:hAnsi="Cambria Math"/>
                      <w:sz w:val="18"/>
                      <w:szCs w:val="18"/>
                      <w:highlight w:val="lightGray"/>
                    </w:rPr>
                    <m:t>)</m:t>
                  </m:r>
                </m:e>
              </m:nary>
            </m:num>
            <m:den>
              <m:r>
                <w:rPr>
                  <w:rFonts w:ascii="Cambria Math" w:hAnsi="Cambria Math"/>
                  <w:sz w:val="18"/>
                  <w:szCs w:val="18"/>
                  <w:highlight w:val="lightGray"/>
                </w:rPr>
                <m:t>20</m:t>
              </m:r>
            </m:den>
          </m:f>
        </m:oMath>
      </m:oMathPara>
    </w:p>
    <w:p w:rsidR="00536B3C" w:rsidP="00536B3C" w14:paraId="55311043" w14:textId="77777777">
      <w:pPr>
        <w:pStyle w:val="BodyText"/>
        <w:spacing w:before="1"/>
        <w:ind w:left="460" w:right="216"/>
        <w:jc w:val="center"/>
      </w:pPr>
    </w:p>
    <w:p w:rsidR="00536B3C" w:rsidP="00536B3C" w14:paraId="5537E765" w14:textId="77777777">
      <w:pPr>
        <w:pStyle w:val="Heading1"/>
        <w:tabs>
          <w:tab w:val="left" w:pos="761"/>
        </w:tabs>
        <w:spacing w:before="1"/>
        <w:ind w:left="460" w:firstLine="0"/>
      </w:pPr>
    </w:p>
    <w:p w:rsidR="000A0F2D" w:rsidP="00536B3C" w14:paraId="3FAC645E" w14:textId="6449CBD6">
      <w:pPr>
        <w:pStyle w:val="Heading1"/>
        <w:numPr>
          <w:ilvl w:val="0"/>
          <w:numId w:val="3"/>
        </w:numPr>
        <w:tabs>
          <w:tab w:val="left" w:pos="761"/>
        </w:tabs>
        <w:spacing w:before="1"/>
        <w:jc w:val="left"/>
      </w:pPr>
      <w:r>
        <w:t>RESULTS</w:t>
      </w:r>
      <w:r w:rsidRPr="00536B3C">
        <w:rPr>
          <w:spacing w:val="-2"/>
        </w:rPr>
        <w:t xml:space="preserve"> </w:t>
      </w:r>
      <w:r>
        <w:t>AND</w:t>
      </w:r>
      <w:r w:rsidRPr="00536B3C">
        <w:rPr>
          <w:spacing w:val="-2"/>
        </w:rPr>
        <w:t xml:space="preserve"> </w:t>
      </w:r>
      <w:r>
        <w:t>DISCUSSION</w:t>
      </w:r>
    </w:p>
    <w:p w:rsidR="000A0F2D" w14:paraId="53933E38" w14:textId="77777777">
      <w:pPr>
        <w:pStyle w:val="BodyText"/>
        <w:spacing w:before="11"/>
        <w:rPr>
          <w:b/>
          <w:sz w:val="23"/>
        </w:rPr>
      </w:pPr>
    </w:p>
    <w:p w:rsidR="00FA6C00" w:rsidP="00FA6C00" w14:paraId="58812A84" w14:textId="77777777">
      <w:pPr>
        <w:pStyle w:val="BodyText"/>
        <w:ind w:left="460" w:right="213"/>
        <w:jc w:val="both"/>
        <w:rPr>
          <w:spacing w:val="1"/>
        </w:rPr>
      </w:pPr>
      <w:r>
        <w:t>R</w:t>
      </w:r>
      <w:r w:rsidR="00595285">
        <w:t xml:space="preserve">esults are </w:t>
      </w:r>
      <w:r w:rsidR="00F94FB2">
        <w:t xml:space="preserve">presented </w:t>
      </w:r>
      <w:r w:rsidR="00595285">
        <w:t xml:space="preserve">in Table </w:t>
      </w:r>
      <w:r>
        <w:t>2</w:t>
      </w:r>
      <w:r w:rsidR="00EE00C3">
        <w:t>. National Estimates are included for reference</w:t>
      </w:r>
      <w:r w:rsidR="00595285">
        <w:t>.</w:t>
      </w:r>
      <w:r w:rsidR="00595285">
        <w:rPr>
          <w:spacing w:val="1"/>
        </w:rPr>
        <w:t xml:space="preserve"> </w:t>
      </w:r>
      <w:r w:rsidR="00F94FB2">
        <w:rPr>
          <w:spacing w:val="1"/>
        </w:rPr>
        <w:t xml:space="preserve">All sixteen </w:t>
      </w:r>
      <w:r w:rsidR="00545E14">
        <w:rPr>
          <w:spacing w:val="1"/>
        </w:rPr>
        <w:t xml:space="preserve">study </w:t>
      </w:r>
      <w:r w:rsidR="00F94FB2">
        <w:rPr>
          <w:spacing w:val="1"/>
        </w:rPr>
        <w:t xml:space="preserve">variables </w:t>
      </w:r>
      <w:r w:rsidR="00595285">
        <w:t>exhibit</w:t>
      </w:r>
      <w:r w:rsidR="00F94FB2">
        <w:t>ed</w:t>
      </w:r>
      <w:r w:rsidR="00595285">
        <w:t xml:space="preserve"> </w:t>
      </w:r>
      <w:r w:rsidR="00AE3DA5">
        <w:t xml:space="preserve">unanimous </w:t>
      </w:r>
      <w:r w:rsidR="00545E14">
        <w:t xml:space="preserve">persistent </w:t>
      </w:r>
      <w:r w:rsidR="00C27AB5">
        <w:t xml:space="preserve">regional </w:t>
      </w:r>
      <w:r w:rsidR="00B64641">
        <w:t xml:space="preserve">relative </w:t>
      </w:r>
      <w:r w:rsidR="00595285">
        <w:t>biases</w:t>
      </w:r>
      <w:r w:rsidR="00AE3DA5">
        <w:t xml:space="preserve"> across all three statistics </w:t>
      </w:r>
      <w:r w:rsidR="00EE4512">
        <w:t>c</w:t>
      </w:r>
      <w:r w:rsidR="00EB4D93">
        <w:t>ompar</w:t>
      </w:r>
      <w:r w:rsidR="00EE4512">
        <w:t>ing</w:t>
      </w:r>
      <w:r w:rsidR="00EB4D93">
        <w:t xml:space="preserve"> </w:t>
      </w:r>
      <w:r w:rsidRPr="00EB4D93" w:rsidR="00EB4D93">
        <w:rPr>
          <w:i/>
          <w:iCs/>
        </w:rPr>
        <w:t>Matching Respondents</w:t>
      </w:r>
      <w:r w:rsidR="00EB4D93">
        <w:t xml:space="preserve"> to </w:t>
      </w:r>
      <w:r w:rsidRPr="00EB4D93" w:rsidR="00EB4D93">
        <w:rPr>
          <w:i/>
          <w:iCs/>
        </w:rPr>
        <w:t>All Matching Records</w:t>
      </w:r>
      <w:r w:rsidR="00595285">
        <w:t>.</w:t>
      </w:r>
      <w:r w:rsidR="00595285">
        <w:rPr>
          <w:spacing w:val="1"/>
        </w:rPr>
        <w:t xml:space="preserve"> </w:t>
      </w:r>
      <w:r w:rsidR="00EE4512">
        <w:rPr>
          <w:spacing w:val="1"/>
        </w:rPr>
        <w:t xml:space="preserve">The </w:t>
      </w:r>
      <w:r w:rsidRPr="00EE4512" w:rsidR="00EE4512">
        <w:rPr>
          <w:spacing w:val="1"/>
        </w:rPr>
        <w:t>compari</w:t>
      </w:r>
      <w:r w:rsidR="00EE4512">
        <w:rPr>
          <w:spacing w:val="1"/>
        </w:rPr>
        <w:t>son</w:t>
      </w:r>
      <w:r w:rsidR="00CB7BD8">
        <w:rPr>
          <w:spacing w:val="1"/>
        </w:rPr>
        <w:t>s</w:t>
      </w:r>
      <w:r w:rsidRPr="00EE4512" w:rsidR="00EE4512">
        <w:rPr>
          <w:spacing w:val="1"/>
        </w:rPr>
        <w:t xml:space="preserve"> </w:t>
      </w:r>
      <w:r w:rsidR="00EE4512">
        <w:rPr>
          <w:spacing w:val="1"/>
        </w:rPr>
        <w:t xml:space="preserve">of </w:t>
      </w:r>
      <w:r w:rsidRPr="00EE4512" w:rsidR="00EE4512">
        <w:rPr>
          <w:i/>
          <w:iCs/>
          <w:spacing w:val="1"/>
        </w:rPr>
        <w:t xml:space="preserve">Matching Respondents Calibrated </w:t>
      </w:r>
      <w:r w:rsidRPr="00EE4512" w:rsidR="00EE4512">
        <w:rPr>
          <w:spacing w:val="1"/>
        </w:rPr>
        <w:t xml:space="preserve">to </w:t>
      </w:r>
      <w:r w:rsidRPr="00EE4512" w:rsidR="00EE4512">
        <w:rPr>
          <w:i/>
          <w:iCs/>
          <w:spacing w:val="1"/>
        </w:rPr>
        <w:t>All Matching Records</w:t>
      </w:r>
      <w:r w:rsidR="00EE4512">
        <w:rPr>
          <w:spacing w:val="1"/>
        </w:rPr>
        <w:t xml:space="preserve"> indicate t</w:t>
      </w:r>
      <w:r w:rsidR="00223BBB">
        <w:rPr>
          <w:spacing w:val="1"/>
        </w:rPr>
        <w:t xml:space="preserve">hirteen </w:t>
      </w:r>
      <w:r w:rsidR="00FF1B89">
        <w:rPr>
          <w:spacing w:val="1"/>
        </w:rPr>
        <w:t xml:space="preserve">of the sixteen </w:t>
      </w:r>
      <w:r w:rsidR="00545E14">
        <w:rPr>
          <w:spacing w:val="1"/>
        </w:rPr>
        <w:t xml:space="preserve">study </w:t>
      </w:r>
      <w:r w:rsidR="00FF1B89">
        <w:rPr>
          <w:spacing w:val="1"/>
        </w:rPr>
        <w:t xml:space="preserve">variables </w:t>
      </w:r>
      <w:r w:rsidR="00AE3DA5">
        <w:rPr>
          <w:spacing w:val="1"/>
        </w:rPr>
        <w:t xml:space="preserve">unanimously retained </w:t>
      </w:r>
      <w:r w:rsidR="00545E14">
        <w:rPr>
          <w:spacing w:val="1"/>
        </w:rPr>
        <w:t xml:space="preserve">the null hypothesis of </w:t>
      </w:r>
      <w:r w:rsidR="00AE3DA5">
        <w:rPr>
          <w:spacing w:val="1"/>
        </w:rPr>
        <w:t>“</w:t>
      </w:r>
      <w:r w:rsidR="00545E14">
        <w:rPr>
          <w:spacing w:val="1"/>
        </w:rPr>
        <w:t xml:space="preserve">no persistent </w:t>
      </w:r>
      <w:r w:rsidR="00EE4512">
        <w:rPr>
          <w:spacing w:val="1"/>
        </w:rPr>
        <w:t xml:space="preserve">regional relative </w:t>
      </w:r>
      <w:r w:rsidR="00545E14">
        <w:rPr>
          <w:spacing w:val="1"/>
        </w:rPr>
        <w:t>bias</w:t>
      </w:r>
      <w:r w:rsidR="00AE3DA5">
        <w:rPr>
          <w:spacing w:val="1"/>
        </w:rPr>
        <w:t>”</w:t>
      </w:r>
      <w:r w:rsidR="00EE4512">
        <w:rPr>
          <w:spacing w:val="1"/>
        </w:rPr>
        <w:t>.</w:t>
      </w:r>
      <w:r w:rsidR="00545E14">
        <w:rPr>
          <w:spacing w:val="1"/>
        </w:rPr>
        <w:t xml:space="preserve"> </w:t>
      </w:r>
      <w:r w:rsidR="00D51C4D">
        <w:rPr>
          <w:spacing w:val="1"/>
        </w:rPr>
        <w:t>The t</w:t>
      </w:r>
      <w:r w:rsidR="00FF1B89">
        <w:rPr>
          <w:spacing w:val="1"/>
        </w:rPr>
        <w:t xml:space="preserve">hree remaining </w:t>
      </w:r>
      <w:r w:rsidR="00545E14">
        <w:rPr>
          <w:spacing w:val="1"/>
        </w:rPr>
        <w:t xml:space="preserve">study </w:t>
      </w:r>
      <w:r w:rsidR="00FF1B89">
        <w:rPr>
          <w:spacing w:val="1"/>
        </w:rPr>
        <w:t>variables</w:t>
      </w:r>
      <w:r w:rsidR="00D51C4D">
        <w:rPr>
          <w:spacing w:val="1"/>
        </w:rPr>
        <w:t>, Farm Type, Chemical and Fertilizer Expenses</w:t>
      </w:r>
      <w:r w:rsidR="00FF1B89">
        <w:rPr>
          <w:spacing w:val="1"/>
        </w:rPr>
        <w:t xml:space="preserve"> returned a mixture of results. </w:t>
      </w:r>
      <w:r w:rsidR="00C40E57">
        <w:rPr>
          <w:spacing w:val="1"/>
        </w:rPr>
        <w:t>Table 3 illustrates f</w:t>
      </w:r>
      <w:r w:rsidR="00723702">
        <w:rPr>
          <w:spacing w:val="1"/>
        </w:rPr>
        <w:t xml:space="preserve">orty-eight statistical tests of </w:t>
      </w:r>
      <w:r w:rsidR="00AE3DA5">
        <w:rPr>
          <w:spacing w:val="1"/>
        </w:rPr>
        <w:t xml:space="preserve">“no </w:t>
      </w:r>
      <w:r w:rsidR="00723702">
        <w:rPr>
          <w:spacing w:val="1"/>
        </w:rPr>
        <w:t xml:space="preserve">persistent </w:t>
      </w:r>
      <w:r w:rsidR="00EE4512">
        <w:rPr>
          <w:spacing w:val="1"/>
        </w:rPr>
        <w:t xml:space="preserve">regional relative </w:t>
      </w:r>
      <w:r w:rsidR="00723702">
        <w:rPr>
          <w:spacing w:val="1"/>
        </w:rPr>
        <w:t>bias</w:t>
      </w:r>
      <w:r w:rsidR="00AE3DA5">
        <w:rPr>
          <w:spacing w:val="1"/>
        </w:rPr>
        <w:t>”</w:t>
      </w:r>
      <w:r w:rsidR="00723702">
        <w:rPr>
          <w:spacing w:val="1"/>
        </w:rPr>
        <w:t xml:space="preserve"> </w:t>
      </w:r>
      <w:r w:rsidR="0068260E">
        <w:rPr>
          <w:spacing w:val="1"/>
        </w:rPr>
        <w:t xml:space="preserve">considering </w:t>
      </w:r>
      <w:r w:rsidR="00FF1B89">
        <w:rPr>
          <w:spacing w:val="1"/>
        </w:rPr>
        <w:t>all</w:t>
      </w:r>
      <w:r w:rsidRPr="00FF1B89" w:rsidR="00FF1B89">
        <w:rPr>
          <w:spacing w:val="1"/>
        </w:rPr>
        <w:t xml:space="preserve"> sixteen study variables</w:t>
      </w:r>
      <w:r w:rsidR="00723702">
        <w:rPr>
          <w:spacing w:val="1"/>
        </w:rPr>
        <w:t xml:space="preserve"> and </w:t>
      </w:r>
      <w:r w:rsidR="00652212">
        <w:rPr>
          <w:spacing w:val="1"/>
        </w:rPr>
        <w:t xml:space="preserve">the t, sign, and sign rank </w:t>
      </w:r>
      <w:r w:rsidR="00843459">
        <w:rPr>
          <w:spacing w:val="1"/>
        </w:rPr>
        <w:t xml:space="preserve">(three) </w:t>
      </w:r>
      <w:r w:rsidR="00723702">
        <w:rPr>
          <w:spacing w:val="1"/>
        </w:rPr>
        <w:t>statistics.</w:t>
      </w:r>
      <w:r w:rsidRPr="00FF1B89" w:rsidR="00FF1B89">
        <w:rPr>
          <w:spacing w:val="1"/>
        </w:rPr>
        <w:t xml:space="preserve"> </w:t>
      </w:r>
      <w:r w:rsidR="00723702">
        <w:rPr>
          <w:spacing w:val="1"/>
        </w:rPr>
        <w:t xml:space="preserve">In these forty-eight tests, </w:t>
      </w:r>
      <w:r w:rsidR="00EE4512">
        <w:rPr>
          <w:spacing w:val="1"/>
        </w:rPr>
        <w:t xml:space="preserve">regional </w:t>
      </w:r>
      <w:r w:rsidRPr="00FF1B89" w:rsidR="00FF1B89">
        <w:rPr>
          <w:spacing w:val="1"/>
        </w:rPr>
        <w:t xml:space="preserve">relative biases </w:t>
      </w:r>
      <w:r w:rsidR="00C40E57">
        <w:rPr>
          <w:spacing w:val="1"/>
        </w:rPr>
        <w:t>of</w:t>
      </w:r>
      <w:r w:rsidR="00FF1B89">
        <w:rPr>
          <w:spacing w:val="1"/>
        </w:rPr>
        <w:t xml:space="preserve"> </w:t>
      </w:r>
      <w:r w:rsidRPr="00EB4D93" w:rsidR="00BE6362">
        <w:rPr>
          <w:i/>
          <w:iCs/>
          <w:spacing w:val="1"/>
        </w:rPr>
        <w:t>M</w:t>
      </w:r>
      <w:r w:rsidRPr="00EB4D93" w:rsidR="00261B2D">
        <w:rPr>
          <w:i/>
          <w:iCs/>
          <w:spacing w:val="1"/>
        </w:rPr>
        <w:t xml:space="preserve">atching </w:t>
      </w:r>
      <w:r w:rsidRPr="00EB4D93" w:rsidR="00BE6362">
        <w:rPr>
          <w:i/>
          <w:iCs/>
          <w:spacing w:val="1"/>
        </w:rPr>
        <w:t>R</w:t>
      </w:r>
      <w:r w:rsidRPr="00EB4D93" w:rsidR="00261B2D">
        <w:rPr>
          <w:i/>
          <w:iCs/>
          <w:spacing w:val="1"/>
        </w:rPr>
        <w:t>e</w:t>
      </w:r>
      <w:r w:rsidR="00EB4D93">
        <w:rPr>
          <w:i/>
          <w:iCs/>
          <w:spacing w:val="1"/>
        </w:rPr>
        <w:t>spondents,</w:t>
      </w:r>
      <w:r w:rsidR="00261B2D">
        <w:rPr>
          <w:spacing w:val="1"/>
        </w:rPr>
        <w:t xml:space="preserve"> </w:t>
      </w:r>
      <w:bookmarkStart w:id="7" w:name="_Hlk102121614"/>
      <m:oMath>
        <m:sSub>
          <m:sSubPr>
            <m:ctrlPr>
              <w:rPr>
                <w:rFonts w:ascii="Cambria Math" w:hAnsi="Cambria Math"/>
              </w:rPr>
            </m:ctrlPr>
          </m:sSubPr>
          <m:e>
            <m:acc>
              <m:accPr>
                <m:chr m:val="̅"/>
                <m:ctrlPr>
                  <w:rPr>
                    <w:rFonts w:ascii="Cambria Math" w:hAnsi="Cambria Math"/>
                  </w:rPr>
                </m:ctrlPr>
              </m:accPr>
              <m:e>
                <m:r>
                  <w:rPr>
                    <w:rFonts w:ascii="Cambria Math" w:hAnsi="Cambria Math"/>
                  </w:rPr>
                  <m:t>y</m:t>
                </m:r>
              </m:e>
            </m:acc>
          </m:e>
          <m:sub>
            <m:r>
              <w:rPr>
                <w:rFonts w:ascii="Cambria Math" w:hAnsi="Cambria Math"/>
              </w:rPr>
              <m:t>r</m:t>
            </m:r>
          </m:sub>
        </m:sSub>
      </m:oMath>
      <w:bookmarkEnd w:id="7"/>
      <w:r w:rsidR="00261B2D">
        <w:t xml:space="preserve">, </w:t>
      </w:r>
      <w:r w:rsidR="00D51C4D">
        <w:t xml:space="preserve">compared </w:t>
      </w:r>
      <w:r w:rsidR="00261B2D">
        <w:t xml:space="preserve">to </w:t>
      </w:r>
      <w:r w:rsidRPr="00EB4D93" w:rsidR="00EB4D93">
        <w:rPr>
          <w:i/>
          <w:iCs/>
        </w:rPr>
        <w:t>A</w:t>
      </w:r>
      <w:r w:rsidR="00EB4D93">
        <w:rPr>
          <w:i/>
          <w:iCs/>
        </w:rPr>
        <w:t xml:space="preserve">ll </w:t>
      </w:r>
      <w:r w:rsidRPr="00EB4D93" w:rsidR="00BE6362">
        <w:rPr>
          <w:i/>
          <w:iCs/>
        </w:rPr>
        <w:t>M</w:t>
      </w:r>
      <w:r w:rsidRPr="00EB4D93" w:rsidR="00261B2D">
        <w:rPr>
          <w:i/>
          <w:iCs/>
        </w:rPr>
        <w:t xml:space="preserve">atching </w:t>
      </w:r>
      <w:r w:rsidRPr="00EB4D93" w:rsidR="00BE6362">
        <w:rPr>
          <w:i/>
          <w:iCs/>
        </w:rPr>
        <w:t>R</w:t>
      </w:r>
      <w:r w:rsidRPr="00EB4D93" w:rsidR="00FF1B89">
        <w:rPr>
          <w:i/>
          <w:iCs/>
          <w:spacing w:val="1"/>
        </w:rPr>
        <w:t>e</w:t>
      </w:r>
      <w:r w:rsidR="00EB4D93">
        <w:rPr>
          <w:i/>
          <w:iCs/>
          <w:spacing w:val="1"/>
        </w:rPr>
        <w:t>cords</w:t>
      </w:r>
      <w:r w:rsidR="00B64641">
        <w:rPr>
          <w:spacing w:val="1"/>
        </w:rPr>
        <w:t>,</w:t>
      </w:r>
      <w:r w:rsidR="00261B2D">
        <w:rPr>
          <w:spacing w:val="1"/>
        </w:rPr>
        <w:t xml:space="preserve"> </w:t>
      </w:r>
      <m:oMath>
        <m:sSub>
          <m:sSubPr>
            <m:ctrlPr>
              <w:rPr>
                <w:rFonts w:ascii="Cambria Math" w:hAnsi="Cambria Math"/>
              </w:rPr>
            </m:ctrlPr>
          </m:sSubPr>
          <m:e>
            <m:acc>
              <m:accPr>
                <m:chr m:val="̅"/>
                <m:ctrlPr>
                  <w:rPr>
                    <w:rFonts w:ascii="Cambria Math" w:hAnsi="Cambria Math"/>
                  </w:rPr>
                </m:ctrlPr>
              </m:accPr>
              <m:e>
                <m:r>
                  <w:rPr>
                    <w:rFonts w:ascii="Cambria Math" w:hAnsi="Cambria Math"/>
                  </w:rPr>
                  <m:t>y</m:t>
                </m:r>
              </m:e>
            </m:acc>
          </m:e>
          <m:sub>
            <m:r>
              <w:rPr>
                <w:rFonts w:ascii="Cambria Math" w:hAnsi="Cambria Math"/>
              </w:rPr>
              <m:t>t</m:t>
            </m:r>
          </m:sub>
        </m:sSub>
      </m:oMath>
      <w:r w:rsidR="00261B2D">
        <w:rPr>
          <w:spacing w:val="1"/>
        </w:rPr>
        <w:t xml:space="preserve">, </w:t>
      </w:r>
      <w:r w:rsidRPr="00FF1B89" w:rsidR="00FF1B89">
        <w:rPr>
          <w:spacing w:val="1"/>
        </w:rPr>
        <w:t>9</w:t>
      </w:r>
      <w:r w:rsidR="00D51C4D">
        <w:rPr>
          <w:spacing w:val="1"/>
        </w:rPr>
        <w:t>5</w:t>
      </w:r>
      <w:r w:rsidRPr="00FF1B89" w:rsidR="00FF1B89">
        <w:rPr>
          <w:spacing w:val="1"/>
        </w:rPr>
        <w:t>.</w:t>
      </w:r>
      <w:r w:rsidR="00D51C4D">
        <w:rPr>
          <w:spacing w:val="1"/>
        </w:rPr>
        <w:t>8</w:t>
      </w:r>
      <w:r w:rsidRPr="00FF1B89" w:rsidR="00FF1B89">
        <w:rPr>
          <w:spacing w:val="1"/>
        </w:rPr>
        <w:t xml:space="preserve"> percent</w:t>
      </w:r>
      <w:r w:rsidR="00723702">
        <w:rPr>
          <w:spacing w:val="1"/>
        </w:rPr>
        <w:t xml:space="preserve"> of the null hypotheses </w:t>
      </w:r>
      <w:r w:rsidR="00E0188B">
        <w:rPr>
          <w:spacing w:val="1"/>
        </w:rPr>
        <w:t>are</w:t>
      </w:r>
      <w:r w:rsidR="00723702">
        <w:rPr>
          <w:spacing w:val="1"/>
        </w:rPr>
        <w:t xml:space="preserve"> rejected</w:t>
      </w:r>
      <w:r w:rsidRPr="00FF1B89" w:rsidR="00FF1B89">
        <w:rPr>
          <w:spacing w:val="1"/>
        </w:rPr>
        <w:t>. After calibrating ARMS sampl</w:t>
      </w:r>
      <w:r w:rsidR="00AE3DA5">
        <w:rPr>
          <w:spacing w:val="1"/>
        </w:rPr>
        <w:t>e</w:t>
      </w:r>
      <w:r w:rsidRPr="00FF1B89" w:rsidR="00FF1B89">
        <w:rPr>
          <w:spacing w:val="1"/>
        </w:rPr>
        <w:t xml:space="preserve"> weights</w:t>
      </w:r>
      <w:r w:rsidR="00843459">
        <w:rPr>
          <w:spacing w:val="1"/>
        </w:rPr>
        <w:t xml:space="preserve"> to obtain </w:t>
      </w:r>
      <w:r w:rsidRPr="00843459" w:rsidR="00843459">
        <w:rPr>
          <w:i/>
          <w:iCs/>
          <w:spacing w:val="1"/>
        </w:rPr>
        <w:t>Matching Respondents Calibrated</w:t>
      </w:r>
      <w:r w:rsidRPr="00FF1B89" w:rsidR="00FF1B89">
        <w:rPr>
          <w:spacing w:val="1"/>
        </w:rPr>
        <w:t xml:space="preserve">, the </w:t>
      </w:r>
      <w:r w:rsidR="00AE3DA5">
        <w:rPr>
          <w:spacing w:val="1"/>
        </w:rPr>
        <w:t>“</w:t>
      </w:r>
      <w:r w:rsidRPr="00FF1B89" w:rsidR="00FF1B89">
        <w:rPr>
          <w:spacing w:val="1"/>
        </w:rPr>
        <w:t xml:space="preserve">no </w:t>
      </w:r>
      <w:r w:rsidR="00723702">
        <w:rPr>
          <w:spacing w:val="1"/>
        </w:rPr>
        <w:t xml:space="preserve">persistent </w:t>
      </w:r>
      <w:r w:rsidR="0083170B">
        <w:rPr>
          <w:spacing w:val="1"/>
        </w:rPr>
        <w:t xml:space="preserve">regional relative </w:t>
      </w:r>
      <w:r w:rsidRPr="00FF1B89" w:rsidR="00FF1B89">
        <w:rPr>
          <w:spacing w:val="1"/>
        </w:rPr>
        <w:t>bias</w:t>
      </w:r>
      <w:r w:rsidR="00AE3DA5">
        <w:rPr>
          <w:spacing w:val="1"/>
        </w:rPr>
        <w:t>”</w:t>
      </w:r>
      <w:r w:rsidRPr="00FF1B89" w:rsidR="00FF1B89">
        <w:rPr>
          <w:spacing w:val="1"/>
        </w:rPr>
        <w:t xml:space="preserve"> null hypothes</w:t>
      </w:r>
      <w:r w:rsidR="00BE6362">
        <w:rPr>
          <w:spacing w:val="1"/>
        </w:rPr>
        <w:t>e</w:t>
      </w:r>
      <w:r w:rsidRPr="00FF1B89" w:rsidR="00FF1B89">
        <w:rPr>
          <w:spacing w:val="1"/>
        </w:rPr>
        <w:t>s rejection rate f</w:t>
      </w:r>
      <w:r w:rsidR="00703861">
        <w:rPr>
          <w:spacing w:val="1"/>
        </w:rPr>
        <w:t>a</w:t>
      </w:r>
      <w:r w:rsidRPr="00FF1B89" w:rsidR="00FF1B89">
        <w:rPr>
          <w:spacing w:val="1"/>
        </w:rPr>
        <w:t>ll</w:t>
      </w:r>
      <w:r w:rsidR="00703861">
        <w:rPr>
          <w:spacing w:val="1"/>
        </w:rPr>
        <w:t>s</w:t>
      </w:r>
      <w:r w:rsidRPr="00FF1B89" w:rsidR="00FF1B89">
        <w:rPr>
          <w:spacing w:val="1"/>
        </w:rPr>
        <w:t xml:space="preserve"> to 1</w:t>
      </w:r>
      <w:r w:rsidR="00D51C4D">
        <w:rPr>
          <w:spacing w:val="1"/>
        </w:rPr>
        <w:t>0.4</w:t>
      </w:r>
      <w:r w:rsidRPr="00FF1B89" w:rsidR="00FF1B89">
        <w:rPr>
          <w:spacing w:val="1"/>
        </w:rPr>
        <w:t xml:space="preserve"> </w:t>
      </w:r>
      <w:r w:rsidR="003376DD">
        <w:rPr>
          <w:spacing w:val="1"/>
        </w:rPr>
        <w:t>percent</w:t>
      </w:r>
      <w:r w:rsidR="00BE6362">
        <w:rPr>
          <w:spacing w:val="1"/>
        </w:rPr>
        <w:t>, a</w:t>
      </w:r>
      <w:r w:rsidR="00D51C4D">
        <w:rPr>
          <w:spacing w:val="1"/>
        </w:rPr>
        <w:t>n</w:t>
      </w:r>
      <w:r w:rsidR="00BE6362">
        <w:rPr>
          <w:spacing w:val="1"/>
        </w:rPr>
        <w:t xml:space="preserve"> </w:t>
      </w:r>
      <w:r w:rsidR="00D51C4D">
        <w:rPr>
          <w:spacing w:val="1"/>
        </w:rPr>
        <w:t>85.4</w:t>
      </w:r>
      <w:r w:rsidR="00BE6362">
        <w:rPr>
          <w:spacing w:val="1"/>
        </w:rPr>
        <w:t xml:space="preserve"> percent difference</w:t>
      </w:r>
      <w:r w:rsidRPr="00FF1B89" w:rsidR="00FF1B89">
        <w:rPr>
          <w:spacing w:val="1"/>
        </w:rPr>
        <w:t xml:space="preserve">. </w:t>
      </w:r>
      <w:r w:rsidR="00BE6362">
        <w:rPr>
          <w:spacing w:val="1"/>
        </w:rPr>
        <w:t xml:space="preserve">Comparative rejection </w:t>
      </w:r>
      <w:r w:rsidRPr="00FF1B89" w:rsidR="00FF1B89">
        <w:rPr>
          <w:spacing w:val="1"/>
        </w:rPr>
        <w:t>rate</w:t>
      </w:r>
      <w:r w:rsidR="00BE6362">
        <w:rPr>
          <w:spacing w:val="1"/>
        </w:rPr>
        <w:t xml:space="preserve"> declines of </w:t>
      </w:r>
      <w:r w:rsidRPr="00FF1B89" w:rsidR="00FF1B89">
        <w:rPr>
          <w:spacing w:val="1"/>
        </w:rPr>
        <w:t xml:space="preserve">47.1 and 34.4 percent </w:t>
      </w:r>
      <w:r w:rsidR="00BE6362">
        <w:rPr>
          <w:spacing w:val="1"/>
        </w:rPr>
        <w:t>were</w:t>
      </w:r>
      <w:r w:rsidRPr="00FF1B89" w:rsidR="00FF1B89">
        <w:rPr>
          <w:spacing w:val="1"/>
        </w:rPr>
        <w:t xml:space="preserve"> </w:t>
      </w:r>
      <w:r w:rsidR="0083170B">
        <w:rPr>
          <w:spacing w:val="1"/>
        </w:rPr>
        <w:t>produced</w:t>
      </w:r>
      <w:r w:rsidRPr="00FF1B89" w:rsidR="00FF1B89">
        <w:rPr>
          <w:spacing w:val="1"/>
        </w:rPr>
        <w:t xml:space="preserve"> </w:t>
      </w:r>
      <w:r w:rsidR="004C1D99">
        <w:rPr>
          <w:spacing w:val="1"/>
        </w:rPr>
        <w:t>for</w:t>
      </w:r>
      <w:r w:rsidRPr="00FF1B89" w:rsidR="00FF1B89">
        <w:rPr>
          <w:spacing w:val="1"/>
        </w:rPr>
        <w:t xml:space="preserve"> 2005 and 2006, respectively (see Table 3). </w:t>
      </w:r>
    </w:p>
    <w:p w:rsidR="00BE6362" w:rsidP="00FA6C00" w14:paraId="29E92543" w14:textId="6A5159AF">
      <w:pPr>
        <w:pStyle w:val="BodyText"/>
        <w:ind w:left="460" w:right="213"/>
        <w:jc w:val="both"/>
        <w:rPr>
          <w:spacing w:val="1"/>
        </w:rPr>
      </w:pPr>
      <w:r w:rsidRPr="00BE6362">
        <w:rPr>
          <w:spacing w:val="1"/>
        </w:rPr>
        <w:t xml:space="preserve">Paired t tests suggest </w:t>
      </w:r>
      <w:r w:rsidR="00703861">
        <w:rPr>
          <w:spacing w:val="1"/>
        </w:rPr>
        <w:t>the null hypothes</w:t>
      </w:r>
      <w:r w:rsidR="00F6560B">
        <w:rPr>
          <w:spacing w:val="1"/>
        </w:rPr>
        <w:t>e</w:t>
      </w:r>
      <w:r w:rsidR="00703861">
        <w:rPr>
          <w:spacing w:val="1"/>
        </w:rPr>
        <w:t xml:space="preserve">s of </w:t>
      </w:r>
      <w:r w:rsidR="00AE3DA5">
        <w:rPr>
          <w:spacing w:val="1"/>
        </w:rPr>
        <w:t>“</w:t>
      </w:r>
      <w:r w:rsidR="00EE00C3">
        <w:rPr>
          <w:spacing w:val="1"/>
        </w:rPr>
        <w:t xml:space="preserve">No </w:t>
      </w:r>
      <w:r w:rsidR="00E0188B">
        <w:rPr>
          <w:spacing w:val="1"/>
        </w:rPr>
        <w:t xml:space="preserve">Mean </w:t>
      </w:r>
      <w:r w:rsidRPr="00BE6362">
        <w:rPr>
          <w:spacing w:val="1"/>
        </w:rPr>
        <w:t>Bias Reduction</w:t>
      </w:r>
      <w:r w:rsidR="00F6560B">
        <w:rPr>
          <w:spacing w:val="1"/>
        </w:rPr>
        <w:t>s</w:t>
      </w:r>
      <w:r w:rsidR="00AE3DA5">
        <w:rPr>
          <w:spacing w:val="1"/>
        </w:rPr>
        <w:t xml:space="preserve">” </w:t>
      </w:r>
      <w:r w:rsidR="00703861">
        <w:rPr>
          <w:spacing w:val="1"/>
        </w:rPr>
        <w:t xml:space="preserve">are rejected for </w:t>
      </w:r>
      <w:r w:rsidR="004A125B">
        <w:rPr>
          <w:spacing w:val="1"/>
        </w:rPr>
        <w:t xml:space="preserve">fifteen </w:t>
      </w:r>
      <w:r w:rsidRPr="00BE6362">
        <w:rPr>
          <w:spacing w:val="1"/>
        </w:rPr>
        <w:t xml:space="preserve">of the sixteen </w:t>
      </w:r>
      <w:r w:rsidR="00703861">
        <w:rPr>
          <w:spacing w:val="1"/>
        </w:rPr>
        <w:t xml:space="preserve">study </w:t>
      </w:r>
      <w:r w:rsidRPr="00BE6362">
        <w:rPr>
          <w:spacing w:val="1"/>
        </w:rPr>
        <w:t>variables.</w:t>
      </w:r>
      <w:r w:rsidR="000426FF">
        <w:rPr>
          <w:spacing w:val="1"/>
        </w:rPr>
        <w:t xml:space="preserve"> </w:t>
      </w:r>
      <w:r w:rsidRPr="000426FF" w:rsidR="000426FF">
        <w:rPr>
          <w:spacing w:val="1"/>
        </w:rPr>
        <w:t xml:space="preserve">The </w:t>
      </w:r>
      <w:r w:rsidR="00500FA9">
        <w:rPr>
          <w:spacing w:val="1"/>
        </w:rPr>
        <w:t xml:space="preserve">current </w:t>
      </w:r>
      <w:r w:rsidRPr="000426FF" w:rsidR="000426FF">
        <w:rPr>
          <w:spacing w:val="1"/>
        </w:rPr>
        <w:t xml:space="preserve">rate of </w:t>
      </w:r>
      <w:r w:rsidR="000426FF">
        <w:rPr>
          <w:spacing w:val="1"/>
        </w:rPr>
        <w:t xml:space="preserve">significant </w:t>
      </w:r>
      <w:r w:rsidR="00F600BC">
        <w:rPr>
          <w:spacing w:val="1"/>
        </w:rPr>
        <w:t xml:space="preserve">Mean </w:t>
      </w:r>
      <w:r w:rsidR="000426FF">
        <w:rPr>
          <w:spacing w:val="1"/>
        </w:rPr>
        <w:t>Bias Reduction</w:t>
      </w:r>
      <w:r w:rsidR="00DD7D88">
        <w:rPr>
          <w:spacing w:val="1"/>
        </w:rPr>
        <w:t>s</w:t>
      </w:r>
      <w:r w:rsidR="00500FA9">
        <w:rPr>
          <w:spacing w:val="1"/>
        </w:rPr>
        <w:t xml:space="preserve"> of 93.8</w:t>
      </w:r>
      <w:r w:rsidRPr="000426FF" w:rsidR="000426FF">
        <w:rPr>
          <w:spacing w:val="1"/>
        </w:rPr>
        <w:t xml:space="preserve"> </w:t>
      </w:r>
      <w:r w:rsidR="00703861">
        <w:rPr>
          <w:spacing w:val="1"/>
        </w:rPr>
        <w:t xml:space="preserve">is </w:t>
      </w:r>
      <w:r w:rsidRPr="000426FF" w:rsidR="000426FF">
        <w:rPr>
          <w:spacing w:val="1"/>
        </w:rPr>
        <w:t xml:space="preserve">well above </w:t>
      </w:r>
      <w:r w:rsidR="000426FF">
        <w:rPr>
          <w:spacing w:val="1"/>
        </w:rPr>
        <w:t xml:space="preserve">the </w:t>
      </w:r>
      <w:r w:rsidR="00D2417C">
        <w:rPr>
          <w:spacing w:val="1"/>
        </w:rPr>
        <w:t>29.4</w:t>
      </w:r>
      <w:r w:rsidR="000426FF">
        <w:rPr>
          <w:spacing w:val="1"/>
        </w:rPr>
        <w:t xml:space="preserve"> and </w:t>
      </w:r>
      <w:r w:rsidR="004A125B">
        <w:rPr>
          <w:spacing w:val="1"/>
        </w:rPr>
        <w:t>7</w:t>
      </w:r>
      <w:r w:rsidR="00D2417C">
        <w:rPr>
          <w:spacing w:val="1"/>
        </w:rPr>
        <w:t>6.5</w:t>
      </w:r>
      <w:r w:rsidR="000426FF">
        <w:rPr>
          <w:spacing w:val="1"/>
        </w:rPr>
        <w:t xml:space="preserve"> percent </w:t>
      </w:r>
      <w:r w:rsidRPr="000426FF" w:rsidR="000426FF">
        <w:rPr>
          <w:spacing w:val="1"/>
        </w:rPr>
        <w:t>found in 2005 and 2006</w:t>
      </w:r>
      <w:r w:rsidR="000426FF">
        <w:rPr>
          <w:spacing w:val="1"/>
        </w:rPr>
        <w:t>, respectively</w:t>
      </w:r>
      <w:r w:rsidRPr="000426FF" w:rsidR="000426FF">
        <w:rPr>
          <w:spacing w:val="1"/>
        </w:rPr>
        <w:t>.</w:t>
      </w:r>
      <w:r w:rsidR="00E16263">
        <w:rPr>
          <w:spacing w:val="1"/>
        </w:rPr>
        <w:t xml:space="preserve"> A possible explanation for the improvements in paired t test may be that a richer set of calibration targets were used in 2020 relative to the previous studies.</w:t>
      </w:r>
      <w:r w:rsidR="006D3D5E">
        <w:rPr>
          <w:spacing w:val="1"/>
        </w:rPr>
        <w:t xml:space="preserve"> Over time, NASS has evolved the targeted data set from </w:t>
      </w:r>
      <w:r w:rsidR="009562DC">
        <w:rPr>
          <w:spacing w:val="1"/>
        </w:rPr>
        <w:t xml:space="preserve">about </w:t>
      </w:r>
      <w:r w:rsidR="0049485E">
        <w:rPr>
          <w:spacing w:val="1"/>
        </w:rPr>
        <w:t xml:space="preserve">twelve </w:t>
      </w:r>
      <w:r w:rsidR="006D3D5E">
        <w:rPr>
          <w:spacing w:val="1"/>
        </w:rPr>
        <w:t xml:space="preserve">targets in 2002, to about thirty targets </w:t>
      </w:r>
      <w:r w:rsidR="00DB638E">
        <w:rPr>
          <w:spacing w:val="1"/>
        </w:rPr>
        <w:t>in 2020</w:t>
      </w:r>
      <w:r w:rsidR="006D3D5E">
        <w:rPr>
          <w:spacing w:val="1"/>
        </w:rPr>
        <w:t xml:space="preserve">. The 2005 and 2006 studies used </w:t>
      </w:r>
      <w:r w:rsidR="0049485E">
        <w:rPr>
          <w:spacing w:val="1"/>
        </w:rPr>
        <w:t xml:space="preserve">twelve </w:t>
      </w:r>
      <w:r w:rsidR="006D3D5E">
        <w:rPr>
          <w:spacing w:val="1"/>
        </w:rPr>
        <w:t xml:space="preserve">targets. </w:t>
      </w:r>
    </w:p>
    <w:p w:rsidR="008E384C" w:rsidP="00FF1B89" w14:paraId="1C4B5657" w14:textId="77777777">
      <w:pPr>
        <w:pStyle w:val="BodyText"/>
        <w:ind w:left="460" w:right="213"/>
        <w:jc w:val="both"/>
      </w:pPr>
    </w:p>
    <w:p w:rsidR="001F2C38" w:rsidP="00FF1B89" w14:paraId="20058C42" w14:textId="6F5C89B0">
      <w:pPr>
        <w:pStyle w:val="BodyText"/>
        <w:ind w:left="460" w:right="213"/>
        <w:jc w:val="both"/>
      </w:pPr>
      <w:r>
        <w:t>Additional analys</w:t>
      </w:r>
      <w:r w:rsidR="00FA0AE7">
        <w:t>e</w:t>
      </w:r>
      <w:r>
        <w:t xml:space="preserve">s of </w:t>
      </w:r>
      <w:r w:rsidR="00046651">
        <w:t xml:space="preserve">the 2020 ARMS thirty </w:t>
      </w:r>
      <w:r>
        <w:t xml:space="preserve">replicate </w:t>
      </w:r>
      <w:r w:rsidR="004C4CD4">
        <w:t xml:space="preserve">regional </w:t>
      </w:r>
      <w:r>
        <w:t>relative biases</w:t>
      </w:r>
      <w:r w:rsidR="00E23473">
        <w:t xml:space="preserve"> </w:t>
      </w:r>
      <w:r w:rsidR="00FA0AE7">
        <w:t>are</w:t>
      </w:r>
      <w:r w:rsidR="002D5CBB">
        <w:t xml:space="preserve"> </w:t>
      </w:r>
      <w:r>
        <w:t xml:space="preserve">available </w:t>
      </w:r>
      <w:r w:rsidR="00D521B3">
        <w:t>and comp</w:t>
      </w:r>
      <w:r w:rsidR="00E23473">
        <w:t>uted</w:t>
      </w:r>
      <w:r w:rsidR="00D521B3">
        <w:t xml:space="preserve"> via</w:t>
      </w:r>
      <w:r>
        <w:t>:</w:t>
      </w:r>
    </w:p>
    <w:p w:rsidR="001F2C38" w:rsidP="00FF1B89" w14:paraId="27316F8D" w14:textId="74A8C50B">
      <w:pPr>
        <w:pStyle w:val="BodyText"/>
        <w:ind w:left="460" w:right="213"/>
        <w:jc w:val="both"/>
      </w:pPr>
    </w:p>
    <w:p w:rsidR="001F2C38" w:rsidP="00FF1B89" w14:paraId="099C2AEA" w14:textId="7B28086C">
      <w:pPr>
        <w:pStyle w:val="BodyText"/>
        <w:ind w:left="460" w:right="213"/>
        <w:jc w:val="both"/>
      </w:pPr>
      <m:oMathPara>
        <m:oMath>
          <m:sSub>
            <m:sSubPr>
              <m:ctrlPr>
                <w:rPr>
                  <w:rFonts w:ascii="Cambria Math" w:hAnsi="Cambria Math"/>
                  <w:i/>
                  <w:highlight w:val="lightGray"/>
                </w:rPr>
              </m:ctrlPr>
            </m:sSubPr>
            <m:e>
              <m:r>
                <w:rPr>
                  <w:rFonts w:ascii="Cambria Math" w:hAnsi="Cambria Math"/>
                  <w:highlight w:val="lightGray"/>
                </w:rPr>
                <m:t>RelBias</m:t>
              </m:r>
            </m:e>
            <m:sub>
              <m:r>
                <w:rPr>
                  <w:rFonts w:ascii="Cambria Math" w:hAnsi="Cambria Math"/>
                  <w:highlight w:val="lightGray"/>
                </w:rPr>
                <m:t>i</m:t>
              </m:r>
            </m:sub>
          </m:sSub>
          <m:r>
            <w:rPr>
              <w:rFonts w:ascii="Cambria Math" w:hAnsi="Cambria Math"/>
              <w:highlight w:val="lightGray"/>
            </w:rPr>
            <m:t xml:space="preserve">= </m:t>
          </m:r>
          <m:f>
            <m:fPr>
              <m:ctrlPr>
                <w:rPr>
                  <w:rFonts w:ascii="Cambria Math" w:hAnsi="Cambria Math"/>
                  <w:highlight w:val="lightGray"/>
                </w:rPr>
              </m:ctrlPr>
            </m:fPr>
            <m:num>
              <m:sSub>
                <m:sSubPr>
                  <m:ctrlPr>
                    <w:rPr>
                      <w:rFonts w:ascii="Cambria Math" w:hAnsi="Cambria Math"/>
                      <w:highlight w:val="lightGray"/>
                    </w:rPr>
                  </m:ctrlPr>
                </m:sSubPr>
                <m:e>
                  <m:acc>
                    <m:accPr>
                      <m:chr m:val="̅"/>
                      <m:ctrlPr>
                        <w:rPr>
                          <w:rFonts w:ascii="Cambria Math" w:hAnsi="Cambria Math"/>
                          <w:highlight w:val="lightGray"/>
                        </w:rPr>
                      </m:ctrlPr>
                    </m:accPr>
                    <m:e>
                      <m:r>
                        <w:rPr>
                          <w:rFonts w:ascii="Cambria Math" w:hAnsi="Cambria Math"/>
                          <w:highlight w:val="lightGray"/>
                        </w:rPr>
                        <m:t>y</m:t>
                      </m:r>
                    </m:e>
                  </m:acc>
                </m:e>
                <m:sub>
                  <m:r>
                    <w:rPr>
                      <w:rFonts w:ascii="Cambria Math" w:hAnsi="Cambria Math"/>
                      <w:highlight w:val="lightGray"/>
                    </w:rPr>
                    <m:t>r,i</m:t>
                  </m:r>
                </m:sub>
              </m:sSub>
              <m:r>
                <m:rPr>
                  <m:sty m:val="p"/>
                </m:rPr>
                <w:rPr>
                  <w:rFonts w:ascii="Cambria Math" w:hAnsi="Cambria Math"/>
                  <w:highlight w:val="lightGray"/>
                </w:rPr>
                <m:t xml:space="preserve">- </m:t>
              </m:r>
              <m:sSub>
                <m:sSubPr>
                  <m:ctrlPr>
                    <w:rPr>
                      <w:rFonts w:ascii="Cambria Math" w:hAnsi="Cambria Math"/>
                      <w:highlight w:val="lightGray"/>
                    </w:rPr>
                  </m:ctrlPr>
                </m:sSubPr>
                <m:e>
                  <m:acc>
                    <m:accPr>
                      <m:chr m:val="̅"/>
                      <m:ctrlPr>
                        <w:rPr>
                          <w:rFonts w:ascii="Cambria Math" w:hAnsi="Cambria Math"/>
                          <w:highlight w:val="lightGray"/>
                        </w:rPr>
                      </m:ctrlPr>
                    </m:accPr>
                    <m:e>
                      <m:r>
                        <w:rPr>
                          <w:rFonts w:ascii="Cambria Math" w:hAnsi="Cambria Math"/>
                          <w:highlight w:val="lightGray"/>
                        </w:rPr>
                        <m:t>y</m:t>
                      </m:r>
                    </m:e>
                  </m:acc>
                </m:e>
                <m:sub>
                  <m:r>
                    <w:rPr>
                      <w:rFonts w:ascii="Cambria Math" w:hAnsi="Cambria Math"/>
                      <w:highlight w:val="lightGray"/>
                    </w:rPr>
                    <m:t>t,i</m:t>
                  </m:r>
                </m:sub>
              </m:sSub>
            </m:num>
            <m:den>
              <m:sSub>
                <m:sSubPr>
                  <m:ctrlPr>
                    <w:rPr>
                      <w:rFonts w:ascii="Cambria Math" w:hAnsi="Cambria Math"/>
                      <w:highlight w:val="lightGray"/>
                    </w:rPr>
                  </m:ctrlPr>
                </m:sSubPr>
                <m:e>
                  <m:acc>
                    <m:accPr>
                      <m:chr m:val="̅"/>
                      <m:ctrlPr>
                        <w:rPr>
                          <w:rFonts w:ascii="Cambria Math" w:hAnsi="Cambria Math"/>
                          <w:highlight w:val="lightGray"/>
                        </w:rPr>
                      </m:ctrlPr>
                    </m:accPr>
                    <m:e>
                      <m:r>
                        <w:rPr>
                          <w:rFonts w:ascii="Cambria Math" w:hAnsi="Cambria Math"/>
                          <w:highlight w:val="lightGray"/>
                        </w:rPr>
                        <m:t>y</m:t>
                      </m:r>
                    </m:e>
                  </m:acc>
                </m:e>
                <m:sub>
                  <m:r>
                    <w:rPr>
                      <w:rFonts w:ascii="Cambria Math" w:hAnsi="Cambria Math"/>
                      <w:highlight w:val="lightGray"/>
                    </w:rPr>
                    <m:t>r,i</m:t>
                  </m:r>
                </m:sub>
              </m:sSub>
            </m:den>
          </m:f>
        </m:oMath>
      </m:oMathPara>
    </w:p>
    <w:p w:rsidR="001F2C38" w:rsidP="00FF1B89" w14:paraId="124808B8" w14:textId="77777777">
      <w:pPr>
        <w:pStyle w:val="BodyText"/>
        <w:ind w:left="460" w:right="213"/>
        <w:jc w:val="both"/>
      </w:pPr>
    </w:p>
    <w:p w:rsidR="00FA6C00" w:rsidP="00FF1B89" w14:paraId="579B4ABC" w14:textId="77777777">
      <w:pPr>
        <w:pStyle w:val="BodyText"/>
        <w:ind w:left="460" w:right="213"/>
        <w:jc w:val="both"/>
      </w:pPr>
    </w:p>
    <w:p w:rsidR="00FA6C00" w:rsidP="00FF1B89" w14:paraId="374397AB" w14:textId="77777777">
      <w:pPr>
        <w:pStyle w:val="BodyText"/>
        <w:ind w:left="460" w:right="213"/>
        <w:jc w:val="both"/>
      </w:pPr>
    </w:p>
    <w:p w:rsidR="00B25620" w:rsidP="00FF1B89" w14:paraId="620F4D4C" w14:textId="7B8EFB17">
      <w:pPr>
        <w:pStyle w:val="BodyText"/>
        <w:ind w:left="460" w:right="213"/>
        <w:jc w:val="both"/>
      </w:pPr>
      <w:r>
        <w:t xml:space="preserve">where </w:t>
      </w:r>
      <w:r w:rsidRPr="00937E5A">
        <w:rPr>
          <w:i/>
          <w:iCs/>
        </w:rPr>
        <w:t>i</w:t>
      </w:r>
      <w:r>
        <w:t xml:space="preserve"> = 1 to 30. </w:t>
      </w:r>
      <w:r w:rsidR="00B559F3">
        <w:t>R</w:t>
      </w:r>
      <w:r>
        <w:t xml:space="preserve">esults for all sixteen variables across all three statistics </w:t>
      </w:r>
      <w:r w:rsidR="00D41DED">
        <w:t xml:space="preserve">and thirty replicates </w:t>
      </w:r>
      <w:r>
        <w:t xml:space="preserve">are displayed </w:t>
      </w:r>
      <w:r>
        <w:t xml:space="preserve">in Table 4. </w:t>
      </w:r>
      <w:r w:rsidR="00F6560B">
        <w:t xml:space="preserve">Paired t tests for </w:t>
      </w:r>
      <w:r w:rsidR="00F600BC">
        <w:t>M</w:t>
      </w:r>
      <w:r w:rsidR="00F6560B">
        <w:t xml:space="preserve">ean </w:t>
      </w:r>
      <w:r w:rsidR="00F600BC">
        <w:t>B</w:t>
      </w:r>
      <w:r w:rsidR="00F6560B">
        <w:t xml:space="preserve">ias </w:t>
      </w:r>
      <w:r w:rsidR="00F600BC">
        <w:t>R</w:t>
      </w:r>
      <w:r w:rsidR="00F6560B">
        <w:t>eduction</w:t>
      </w:r>
      <w:r w:rsidR="00F600BC">
        <w:t>s</w:t>
      </w:r>
      <w:r w:rsidR="00F6560B">
        <w:t xml:space="preserve"> are also calculated and presented. </w:t>
      </w:r>
      <w:r w:rsidR="00B559F3">
        <w:t>The percent</w:t>
      </w:r>
      <w:r w:rsidR="00CC1FDF">
        <w:t>age of</w:t>
      </w:r>
      <w:r w:rsidR="00B559F3">
        <w:t xml:space="preserve"> significance r</w:t>
      </w:r>
      <w:r w:rsidR="00EF2A2A">
        <w:t>eplicate regional relative bias</w:t>
      </w:r>
      <w:r w:rsidR="00B559F3">
        <w:t>es</w:t>
      </w:r>
      <w:r w:rsidR="00EF2A2A">
        <w:t xml:space="preserve"> </w:t>
      </w:r>
      <w:r w:rsidR="00B559F3">
        <w:t xml:space="preserve">are </w:t>
      </w:r>
      <w:r w:rsidR="00DE14AC">
        <w:t xml:space="preserve">comparable </w:t>
      </w:r>
      <w:r w:rsidR="00EF2A2A">
        <w:t>to results obtain on the full</w:t>
      </w:r>
      <w:r w:rsidR="00F23EC0">
        <w:t xml:space="preserve"> </w:t>
      </w:r>
      <w:r w:rsidR="00EF2A2A">
        <w:t xml:space="preserve">replicate </w:t>
      </w:r>
      <w:r w:rsidR="00F6560B">
        <w:t xml:space="preserve">presented </w:t>
      </w:r>
      <w:r w:rsidR="00EF2A2A">
        <w:t xml:space="preserve">in Table </w:t>
      </w:r>
      <w:r w:rsidR="00F6560B">
        <w:t>2</w:t>
      </w:r>
      <w:r w:rsidR="00EF2A2A">
        <w:t>.</w:t>
      </w:r>
      <w:r w:rsidR="00B559F3">
        <w:t xml:space="preserve"> </w:t>
      </w:r>
      <w:r w:rsidR="00947505">
        <w:t>Significant Mean Bias</w:t>
      </w:r>
      <w:r w:rsidR="00B559F3">
        <w:t xml:space="preserve"> Reductions</w:t>
      </w:r>
      <w:r w:rsidR="001B2B2A">
        <w:t xml:space="preserve"> across replicates </w:t>
      </w:r>
      <w:r w:rsidR="00B559F3">
        <w:t xml:space="preserve">are also </w:t>
      </w:r>
      <w:r w:rsidR="004B5691">
        <w:t>comparable</w:t>
      </w:r>
      <w:r w:rsidR="00B559F3">
        <w:t xml:space="preserve"> to the full</w:t>
      </w:r>
      <w:r w:rsidR="004B5691">
        <w:t xml:space="preserve"> </w:t>
      </w:r>
      <w:r w:rsidR="00B559F3">
        <w:t xml:space="preserve">replicate. </w:t>
      </w:r>
      <w:r w:rsidR="00EF2A2A">
        <w:t xml:space="preserve"> </w:t>
      </w:r>
      <w:r>
        <w:t xml:space="preserve"> </w:t>
      </w:r>
    </w:p>
    <w:p w:rsidR="00B25620" w:rsidP="000B71D0" w14:paraId="50477DD0" w14:textId="77777777">
      <w:pPr>
        <w:pStyle w:val="BodyText"/>
        <w:ind w:right="213"/>
        <w:jc w:val="both"/>
      </w:pPr>
    </w:p>
    <w:p w:rsidR="000B71D0" w:rsidP="000B71D0" w14:paraId="16FFC30C" w14:textId="77777777">
      <w:pPr>
        <w:pStyle w:val="BodyText"/>
        <w:ind w:right="213"/>
        <w:jc w:val="both"/>
      </w:pPr>
    </w:p>
    <w:p w:rsidR="000B71D0" w:rsidP="000B71D0" w14:paraId="2D3BDDF0" w14:textId="6E6C2727">
      <w:pPr>
        <w:pStyle w:val="BodyText"/>
        <w:ind w:right="213"/>
        <w:jc w:val="both"/>
        <w:sectPr>
          <w:type w:val="continuous"/>
          <w:pgSz w:w="12240" w:h="15840"/>
          <w:pgMar w:top="1380" w:right="1580" w:bottom="280" w:left="1340" w:header="0" w:footer="792" w:gutter="0"/>
          <w:cols w:space="720"/>
        </w:sectPr>
      </w:pPr>
    </w:p>
    <w:p w:rsidR="008E384C" w:rsidP="000B71D0" w14:paraId="7EBFD720" w14:textId="4FBBB06D">
      <w:pPr>
        <w:pStyle w:val="BodyText"/>
        <w:ind w:right="471"/>
        <w:jc w:val="both"/>
      </w:pPr>
      <w:r w:rsidRPr="009F7581">
        <w:rPr>
          <w:b/>
          <w:bCs/>
        </w:rPr>
        <w:t>Table 2</w:t>
      </w:r>
      <w:r>
        <w:t xml:space="preserve">. </w:t>
      </w:r>
      <w:r w:rsidR="00B64641">
        <w:t>Significance of Regional Relative Biases, 2020 ARMS Study Variables</w:t>
      </w:r>
    </w:p>
    <w:p w:rsidR="008E384C" w:rsidP="00BA79DD" w14:paraId="24A17EDF" w14:textId="306A8CD2">
      <w:pPr>
        <w:pStyle w:val="BodyText"/>
        <w:ind w:left="220" w:right="471"/>
        <w:jc w:val="both"/>
      </w:pPr>
    </w:p>
    <w:p w:rsidR="008E384C" w:rsidP="004879BE" w14:paraId="530976DD" w14:textId="728C9BD1">
      <w:pPr>
        <w:pStyle w:val="BodyText"/>
        <w:ind w:left="220" w:right="471"/>
        <w:jc w:val="center"/>
      </w:pPr>
      <w:r w:rsidRPr="009F7581">
        <w:rPr>
          <w:noProof/>
        </w:rPr>
        <w:drawing>
          <wp:inline distT="0" distB="0" distL="0" distR="0">
            <wp:extent cx="6309360" cy="60990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6309360" cy="6099048"/>
                    </a:xfrm>
                    <a:prstGeom prst="rect">
                      <a:avLst/>
                    </a:prstGeom>
                    <a:noFill/>
                    <a:ln>
                      <a:noFill/>
                    </a:ln>
                  </pic:spPr>
                </pic:pic>
              </a:graphicData>
            </a:graphic>
          </wp:inline>
        </w:drawing>
      </w:r>
    </w:p>
    <w:p w:rsidR="008E384C" w:rsidP="009F7581" w14:paraId="09031A10" w14:textId="66A09A8C">
      <w:pPr>
        <w:pStyle w:val="BodyText"/>
        <w:ind w:left="220" w:right="471"/>
      </w:pPr>
    </w:p>
    <w:p w:rsidR="008E384C" w:rsidP="00BA79DD" w14:paraId="731BEE55" w14:textId="119334A8">
      <w:pPr>
        <w:pStyle w:val="BodyText"/>
        <w:ind w:left="220" w:right="471"/>
        <w:jc w:val="both"/>
      </w:pPr>
    </w:p>
    <w:p w:rsidR="008E384C" w:rsidP="00BA79DD" w14:paraId="5757DB95" w14:textId="507A8118">
      <w:pPr>
        <w:pStyle w:val="BodyText"/>
        <w:ind w:left="220" w:right="471"/>
        <w:jc w:val="both"/>
      </w:pPr>
    </w:p>
    <w:p w:rsidR="008E384C" w:rsidP="00CA4438" w14:paraId="09873746" w14:textId="330AFA05">
      <w:pPr>
        <w:pStyle w:val="BodyText"/>
        <w:ind w:left="220" w:right="471"/>
      </w:pPr>
    </w:p>
    <w:p w:rsidR="008E384C" w:rsidP="00BA79DD" w14:paraId="39CF287B" w14:textId="5B33728B">
      <w:pPr>
        <w:pStyle w:val="BodyText"/>
        <w:ind w:left="220" w:right="471"/>
        <w:jc w:val="both"/>
      </w:pPr>
    </w:p>
    <w:p w:rsidR="008E384C" w:rsidP="00BA79DD" w14:paraId="47900883" w14:textId="7BA37662">
      <w:pPr>
        <w:pStyle w:val="BodyText"/>
        <w:ind w:left="220" w:right="471"/>
        <w:jc w:val="both"/>
      </w:pPr>
    </w:p>
    <w:p w:rsidR="008E384C" w:rsidP="00BA79DD" w14:paraId="490183EA" w14:textId="5A2E7AA7">
      <w:pPr>
        <w:pStyle w:val="BodyText"/>
        <w:ind w:left="220" w:right="471"/>
        <w:jc w:val="both"/>
      </w:pPr>
    </w:p>
    <w:p w:rsidR="008E384C" w:rsidP="00BA79DD" w14:paraId="44243FEB" w14:textId="3DB4FFC0">
      <w:pPr>
        <w:pStyle w:val="BodyText"/>
        <w:ind w:left="220" w:right="471"/>
        <w:jc w:val="both"/>
      </w:pPr>
    </w:p>
    <w:p w:rsidR="008E384C" w:rsidP="00BA79DD" w14:paraId="63C4395F" w14:textId="79D9DC6E">
      <w:pPr>
        <w:pStyle w:val="BodyText"/>
        <w:ind w:left="220" w:right="471"/>
        <w:jc w:val="both"/>
      </w:pPr>
    </w:p>
    <w:p w:rsidR="008E384C" w:rsidP="00BA79DD" w14:paraId="35EA6FE2" w14:textId="7DD2F7C1">
      <w:pPr>
        <w:pStyle w:val="BodyText"/>
        <w:ind w:left="220" w:right="471"/>
        <w:jc w:val="both"/>
      </w:pPr>
    </w:p>
    <w:p w:rsidR="008E384C" w:rsidP="00BA79DD" w14:paraId="2177B255" w14:textId="08012D3E">
      <w:pPr>
        <w:pStyle w:val="BodyText"/>
        <w:ind w:left="220" w:right="471"/>
        <w:jc w:val="both"/>
      </w:pPr>
    </w:p>
    <w:p w:rsidR="009F7581" w:rsidP="009F7581" w14:paraId="1879B8A2" w14:textId="77777777">
      <w:pPr>
        <w:pStyle w:val="BodyText"/>
        <w:ind w:right="471"/>
        <w:jc w:val="both"/>
      </w:pPr>
    </w:p>
    <w:p w:rsidR="008E384C" w:rsidP="009F7581" w14:paraId="16E9CA7A" w14:textId="4D4F4DD1">
      <w:pPr>
        <w:pStyle w:val="BodyText"/>
        <w:ind w:right="471"/>
        <w:jc w:val="both"/>
      </w:pPr>
      <w:r>
        <w:rPr>
          <w:b/>
          <w:bCs/>
        </w:rPr>
        <w:t xml:space="preserve">   </w:t>
      </w:r>
      <w:r w:rsidRPr="009F7581" w:rsidR="00B64641">
        <w:rPr>
          <w:b/>
          <w:bCs/>
        </w:rPr>
        <w:t>Table 2</w:t>
      </w:r>
      <w:r w:rsidR="00B64641">
        <w:t xml:space="preserve"> continued</w:t>
      </w:r>
    </w:p>
    <w:p w:rsidR="008E384C" w:rsidP="00BA79DD" w14:paraId="5F400BAC" w14:textId="370CB20E">
      <w:pPr>
        <w:pStyle w:val="BodyText"/>
        <w:ind w:left="220" w:right="471"/>
        <w:jc w:val="both"/>
      </w:pPr>
    </w:p>
    <w:p w:rsidR="008E384C" w:rsidP="004879BE" w14:paraId="7D17A47D" w14:textId="4995D7BE">
      <w:pPr>
        <w:pStyle w:val="BodyText"/>
        <w:ind w:left="220" w:right="471"/>
        <w:jc w:val="center"/>
      </w:pPr>
      <w:r w:rsidRPr="009F7581">
        <w:rPr>
          <w:noProof/>
        </w:rPr>
        <w:drawing>
          <wp:inline distT="0" distB="0" distL="0" distR="0">
            <wp:extent cx="6309360" cy="59067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6309360" cy="5906770"/>
                    </a:xfrm>
                    <a:prstGeom prst="rect">
                      <a:avLst/>
                    </a:prstGeom>
                    <a:noFill/>
                    <a:ln>
                      <a:noFill/>
                    </a:ln>
                  </pic:spPr>
                </pic:pic>
              </a:graphicData>
            </a:graphic>
          </wp:inline>
        </w:drawing>
      </w:r>
    </w:p>
    <w:p w:rsidR="008E384C" w:rsidP="00BA79DD" w14:paraId="33D482FD" w14:textId="4A30DAC5">
      <w:pPr>
        <w:pStyle w:val="BodyText"/>
        <w:ind w:left="220" w:right="471"/>
        <w:jc w:val="both"/>
      </w:pPr>
    </w:p>
    <w:p w:rsidR="008E384C" w:rsidP="00BA79DD" w14:paraId="189A2959" w14:textId="0AB6F6ED">
      <w:pPr>
        <w:pStyle w:val="BodyText"/>
        <w:ind w:left="220" w:right="471"/>
        <w:jc w:val="both"/>
      </w:pPr>
    </w:p>
    <w:p w:rsidR="008E384C" w:rsidP="00BA79DD" w14:paraId="0B96723C" w14:textId="25A915E1">
      <w:pPr>
        <w:pStyle w:val="BodyText"/>
        <w:ind w:left="220" w:right="471"/>
        <w:jc w:val="both"/>
      </w:pPr>
    </w:p>
    <w:p w:rsidR="008E384C" w:rsidP="00BA79DD" w14:paraId="62B92769" w14:textId="7429DCB4">
      <w:pPr>
        <w:pStyle w:val="BodyText"/>
        <w:ind w:left="220" w:right="471"/>
        <w:jc w:val="both"/>
      </w:pPr>
    </w:p>
    <w:p w:rsidR="008E384C" w:rsidP="00BA79DD" w14:paraId="0504E55F" w14:textId="27E02A48">
      <w:pPr>
        <w:pStyle w:val="BodyText"/>
        <w:ind w:left="220" w:right="471"/>
        <w:jc w:val="both"/>
      </w:pPr>
    </w:p>
    <w:p w:rsidR="008E384C" w:rsidP="00BA79DD" w14:paraId="5DC2CB8B" w14:textId="150786F7">
      <w:pPr>
        <w:pStyle w:val="BodyText"/>
        <w:ind w:left="220" w:right="471"/>
        <w:jc w:val="both"/>
      </w:pPr>
    </w:p>
    <w:p w:rsidR="008E384C" w:rsidP="00BA79DD" w14:paraId="5CD161AF" w14:textId="679D5A01">
      <w:pPr>
        <w:pStyle w:val="BodyText"/>
        <w:ind w:left="220" w:right="471"/>
        <w:jc w:val="both"/>
      </w:pPr>
    </w:p>
    <w:p w:rsidR="008E384C" w:rsidP="00BA79DD" w14:paraId="1A92B3A1" w14:textId="0901E41C">
      <w:pPr>
        <w:pStyle w:val="BodyText"/>
        <w:ind w:left="220" w:right="471"/>
        <w:jc w:val="both"/>
      </w:pPr>
    </w:p>
    <w:p w:rsidR="008E384C" w:rsidP="00BA79DD" w14:paraId="2898B7A0" w14:textId="05C94A79">
      <w:pPr>
        <w:pStyle w:val="BodyText"/>
        <w:ind w:left="220" w:right="471"/>
        <w:jc w:val="both"/>
      </w:pPr>
    </w:p>
    <w:p w:rsidR="008E384C" w:rsidP="00BA79DD" w14:paraId="163AB32A" w14:textId="64F8165E">
      <w:pPr>
        <w:pStyle w:val="BodyText"/>
        <w:ind w:left="220" w:right="471"/>
        <w:jc w:val="both"/>
      </w:pPr>
    </w:p>
    <w:p w:rsidR="008E384C" w:rsidP="00BA79DD" w14:paraId="1C7EF243" w14:textId="4D20AD36">
      <w:pPr>
        <w:pStyle w:val="BodyText"/>
        <w:ind w:left="220" w:right="471"/>
        <w:jc w:val="both"/>
      </w:pPr>
    </w:p>
    <w:p w:rsidR="00B02AB6" w:rsidP="009F7581" w14:paraId="30488AF2" w14:textId="55B7DF57">
      <w:pPr>
        <w:pStyle w:val="BodyText"/>
        <w:ind w:right="471"/>
        <w:jc w:val="both"/>
      </w:pPr>
    </w:p>
    <w:p w:rsidR="009F7581" w:rsidP="009F7581" w14:paraId="09FFEE51" w14:textId="77777777">
      <w:pPr>
        <w:pStyle w:val="BodyText"/>
        <w:ind w:right="471"/>
        <w:jc w:val="both"/>
      </w:pPr>
    </w:p>
    <w:p w:rsidR="00BA79DD" w:rsidP="00BA79DD" w14:paraId="625F30E2" w14:textId="578640DD">
      <w:pPr>
        <w:pStyle w:val="BodyText"/>
        <w:ind w:left="220" w:right="471"/>
        <w:jc w:val="both"/>
      </w:pPr>
      <w:r w:rsidRPr="005F709E">
        <w:rPr>
          <w:b/>
          <w:bCs/>
        </w:rPr>
        <w:t>Table 3</w:t>
      </w:r>
      <w:r w:rsidRPr="005F709E">
        <w:t>.</w:t>
      </w:r>
      <w:r>
        <w:t xml:space="preserve"> </w:t>
      </w:r>
      <w:r w:rsidR="00B25620">
        <w:t xml:space="preserve">2020 ARMS Regional Relative Biases </w:t>
      </w:r>
      <w:r>
        <w:t>Comparisons to 2005 and 2006 Results</w:t>
      </w:r>
    </w:p>
    <w:p w:rsidR="005A18C9" w:rsidP="00BA79DD" w14:paraId="54734696" w14:textId="77777777">
      <w:pPr>
        <w:pStyle w:val="BodyText"/>
        <w:ind w:left="220" w:right="471"/>
        <w:jc w:val="both"/>
      </w:pPr>
    </w:p>
    <w:p w:rsidR="00A54ADD" w:rsidP="00BA79DD" w14:paraId="291F46C6" w14:textId="77777777">
      <w:pPr>
        <w:pStyle w:val="BodyText"/>
        <w:ind w:left="220" w:right="471"/>
        <w:jc w:val="both"/>
      </w:pPr>
    </w:p>
    <w:p w:rsidR="00BA79DD" w:rsidP="004879BE" w14:paraId="0CC9B327" w14:textId="06199177">
      <w:pPr>
        <w:pStyle w:val="BodyText"/>
        <w:ind w:left="220" w:right="471"/>
        <w:jc w:val="center"/>
      </w:pPr>
      <w:r w:rsidRPr="00A54ADD">
        <w:rPr>
          <w:noProof/>
        </w:rPr>
        <w:drawing>
          <wp:inline distT="0" distB="0" distL="0" distR="0">
            <wp:extent cx="5930900" cy="348551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2"/>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0900" cy="3485515"/>
                    </a:xfrm>
                    <a:prstGeom prst="rect">
                      <a:avLst/>
                    </a:prstGeom>
                    <a:noFill/>
                    <a:ln>
                      <a:noFill/>
                    </a:ln>
                  </pic:spPr>
                </pic:pic>
              </a:graphicData>
            </a:graphic>
          </wp:inline>
        </w:drawing>
      </w:r>
    </w:p>
    <w:p w:rsidR="008D494E" w14:paraId="4BC6EFDB" w14:textId="3E667796">
      <w:pPr>
        <w:pStyle w:val="BodyText"/>
        <w:ind w:left="220" w:right="471"/>
        <w:jc w:val="both"/>
      </w:pPr>
    </w:p>
    <w:p w:rsidR="008D494E" w14:paraId="6EB757E0" w14:textId="3B18311B">
      <w:pPr>
        <w:pStyle w:val="BodyText"/>
        <w:ind w:left="220" w:right="471"/>
        <w:jc w:val="both"/>
      </w:pPr>
    </w:p>
    <w:p w:rsidR="005A18C9" w14:paraId="2A20A623" w14:textId="41925193">
      <w:pPr>
        <w:pStyle w:val="BodyText"/>
        <w:ind w:left="220" w:right="471"/>
        <w:jc w:val="both"/>
      </w:pPr>
    </w:p>
    <w:p w:rsidR="005A18C9" w14:paraId="27E000AA" w14:textId="77777777">
      <w:pPr>
        <w:pStyle w:val="BodyText"/>
        <w:ind w:left="220" w:right="471"/>
        <w:jc w:val="both"/>
      </w:pPr>
    </w:p>
    <w:p w:rsidR="006C26DF" w14:paraId="3907C767" w14:textId="37F79C7B">
      <w:pPr>
        <w:pStyle w:val="BodyText"/>
        <w:ind w:left="220" w:right="471"/>
        <w:jc w:val="both"/>
      </w:pPr>
    </w:p>
    <w:p w:rsidR="006C26DF" w:rsidP="000B71D0" w14:paraId="313AFBF1" w14:textId="498A3F1D">
      <w:pPr>
        <w:pStyle w:val="BodyText"/>
        <w:ind w:right="471"/>
        <w:jc w:val="center"/>
      </w:pPr>
      <w:r w:rsidRPr="005F709E">
        <w:rPr>
          <w:b/>
          <w:bCs/>
        </w:rPr>
        <w:t xml:space="preserve">Table </w:t>
      </w:r>
      <w:r w:rsidRPr="005F709E" w:rsidR="00BA79DD">
        <w:rPr>
          <w:b/>
          <w:bCs/>
        </w:rPr>
        <w:t>4</w:t>
      </w:r>
      <w:r>
        <w:t xml:space="preserve">. </w:t>
      </w:r>
      <w:r w:rsidRPr="008D494E" w:rsidR="008D494E">
        <w:t xml:space="preserve">Significance of Regional Relative Mean Biases for 2020 ARMS using 2017 </w:t>
      </w:r>
      <w:r w:rsidR="000B71D0">
        <w:t xml:space="preserve">         </w:t>
      </w:r>
      <w:r w:rsidRPr="008D494E" w:rsidR="008D494E">
        <w:t>Census Data</w:t>
      </w:r>
      <w:r w:rsidR="008D494E">
        <w:t xml:space="preserve"> Across 30 Replicates</w:t>
      </w:r>
    </w:p>
    <w:p w:rsidR="005A18C9" w14:paraId="57B112E5" w14:textId="77777777">
      <w:pPr>
        <w:pStyle w:val="BodyText"/>
        <w:ind w:left="220" w:right="471"/>
        <w:jc w:val="both"/>
      </w:pPr>
    </w:p>
    <w:p w:rsidR="00A54ADD" w14:paraId="339CA71C" w14:textId="77777777">
      <w:pPr>
        <w:pStyle w:val="BodyText"/>
        <w:ind w:left="220" w:right="471"/>
        <w:jc w:val="both"/>
      </w:pPr>
    </w:p>
    <w:p w:rsidR="00FB51F5" w:rsidP="004879BE" w14:paraId="03ACE52A" w14:textId="493FC967">
      <w:pPr>
        <w:pStyle w:val="BodyText"/>
        <w:ind w:left="220" w:right="471"/>
        <w:jc w:val="center"/>
      </w:pPr>
      <w:r w:rsidRPr="00A54ADD">
        <w:rPr>
          <w:noProof/>
        </w:rPr>
        <w:drawing>
          <wp:inline distT="0" distB="0" distL="0" distR="0">
            <wp:extent cx="5930900" cy="1536065"/>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1"/>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0900" cy="1536065"/>
                    </a:xfrm>
                    <a:prstGeom prst="rect">
                      <a:avLst/>
                    </a:prstGeom>
                    <a:noFill/>
                    <a:ln>
                      <a:noFill/>
                    </a:ln>
                  </pic:spPr>
                </pic:pic>
              </a:graphicData>
            </a:graphic>
          </wp:inline>
        </w:drawing>
      </w:r>
    </w:p>
    <w:p w:rsidR="000A0F2D" w14:paraId="3A89C38A" w14:textId="30F468F3">
      <w:pPr>
        <w:pStyle w:val="BodyText"/>
        <w:spacing w:before="1"/>
      </w:pPr>
    </w:p>
    <w:p w:rsidR="00BA79DD" w14:paraId="7923E965" w14:textId="028FBDBD">
      <w:pPr>
        <w:pStyle w:val="BodyText"/>
        <w:spacing w:before="1"/>
      </w:pPr>
    </w:p>
    <w:p w:rsidR="00BA79DD" w14:paraId="190C298B" w14:textId="77777777">
      <w:pPr>
        <w:pStyle w:val="BodyText"/>
        <w:spacing w:before="1"/>
      </w:pPr>
    </w:p>
    <w:p w:rsidR="00BA79DD" w14:paraId="2F37FBBB" w14:textId="77777777">
      <w:pPr>
        <w:pStyle w:val="BodyText"/>
        <w:spacing w:before="1"/>
      </w:pPr>
    </w:p>
    <w:p w:rsidR="00BA79DD" w14:paraId="33025167" w14:textId="179584D7">
      <w:pPr>
        <w:pStyle w:val="BodyText"/>
        <w:spacing w:before="1"/>
        <w:rPr>
          <w:color w:val="FF0000"/>
        </w:rPr>
      </w:pPr>
    </w:p>
    <w:p w:rsidR="005A18C9" w14:paraId="5E15EB91" w14:textId="16C821F5">
      <w:pPr>
        <w:pStyle w:val="BodyText"/>
        <w:spacing w:before="1"/>
        <w:rPr>
          <w:color w:val="FF0000"/>
        </w:rPr>
      </w:pPr>
    </w:p>
    <w:p w:rsidR="005A18C9" w14:paraId="16CB6563" w14:textId="13FD3D59">
      <w:pPr>
        <w:pStyle w:val="BodyText"/>
        <w:spacing w:before="1"/>
        <w:rPr>
          <w:color w:val="FF0000"/>
        </w:rPr>
      </w:pPr>
    </w:p>
    <w:p w:rsidR="00FA6C00" w14:paraId="01B5E21D" w14:textId="77777777">
      <w:pPr>
        <w:pStyle w:val="BodyText"/>
        <w:spacing w:before="1"/>
        <w:rPr>
          <w:color w:val="FF0000"/>
        </w:rPr>
      </w:pPr>
    </w:p>
    <w:p w:rsidR="00BA79DD" w:rsidRPr="00057919" w14:paraId="2FAABD77" w14:textId="6E4900F0">
      <w:pPr>
        <w:pStyle w:val="BodyText"/>
        <w:spacing w:before="1"/>
      </w:pPr>
      <w:r w:rsidRPr="00057919">
        <w:t xml:space="preserve">Beginning in 2016, NASS defined ARMS High Impact </w:t>
      </w:r>
      <w:r w:rsidR="00D3467F">
        <w:t>R</w:t>
      </w:r>
      <w:r w:rsidRPr="00057919">
        <w:t>ecords for customized data collection strategies and statistician estimation</w:t>
      </w:r>
      <w:r w:rsidR="00D3467F">
        <w:t xml:space="preserve">. </w:t>
      </w:r>
      <w:r w:rsidRPr="00057919">
        <w:t>High Impact records were defined as those</w:t>
      </w:r>
      <w:r w:rsidR="00057919">
        <w:t xml:space="preserve"> contributing a large percentage of control data</w:t>
      </w:r>
      <w:r w:rsidR="00D3467F">
        <w:t>,</w:t>
      </w:r>
      <w:r w:rsidR="00057919">
        <w:t xml:space="preserve"> </w:t>
      </w:r>
      <w:r w:rsidR="00800E33">
        <w:t xml:space="preserve">relative </w:t>
      </w:r>
      <w:r w:rsidR="00057919">
        <w:t xml:space="preserve">to </w:t>
      </w:r>
      <w:r w:rsidR="00D3467F">
        <w:t xml:space="preserve">calibration </w:t>
      </w:r>
      <w:r w:rsidR="00057919">
        <w:t xml:space="preserve">target </w:t>
      </w:r>
      <w:r w:rsidR="00D3467F">
        <w:t>totals</w:t>
      </w:r>
      <w:r w:rsidR="00057919">
        <w:t xml:space="preserve">. During </w:t>
      </w:r>
      <w:r w:rsidR="00D3467F">
        <w:t xml:space="preserve">the </w:t>
      </w:r>
      <w:r w:rsidRPr="00057919">
        <w:t>2020</w:t>
      </w:r>
      <w:r w:rsidR="00D3467F">
        <w:t xml:space="preserve"> ARMS III cycle</w:t>
      </w:r>
      <w:r w:rsidRPr="00057919">
        <w:t xml:space="preserve">, NASS statisticians estimated for </w:t>
      </w:r>
      <w:r w:rsidR="00057919">
        <w:t>sixty-two</w:t>
      </w:r>
      <w:r w:rsidRPr="00057919">
        <w:t xml:space="preserve"> High Impact </w:t>
      </w:r>
      <w:r w:rsidR="00800E33">
        <w:t>R</w:t>
      </w:r>
      <w:r w:rsidRPr="00057919">
        <w:t xml:space="preserve">ecords. The </w:t>
      </w:r>
      <w:r w:rsidR="00057919">
        <w:t xml:space="preserve">estimation </w:t>
      </w:r>
      <w:r w:rsidRPr="00057919">
        <w:t xml:space="preserve">process </w:t>
      </w:r>
      <w:r w:rsidR="00D3467F">
        <w:t>was</w:t>
      </w:r>
      <w:r w:rsidRPr="00057919">
        <w:t xml:space="preserve"> </w:t>
      </w:r>
      <w:r w:rsidR="00D3467F">
        <w:t xml:space="preserve">accomplished </w:t>
      </w:r>
      <w:r w:rsidR="00057919">
        <w:t xml:space="preserve">through comparisons of nonrespondent control data </w:t>
      </w:r>
      <w:r w:rsidR="00800E33">
        <w:t xml:space="preserve">with </w:t>
      </w:r>
      <w:r w:rsidR="00D3467F">
        <w:t>r</w:t>
      </w:r>
      <w:r w:rsidR="00057919">
        <w:t>espond</w:t>
      </w:r>
      <w:r w:rsidR="00D3467F">
        <w:t xml:space="preserve">ent control data relative to reported values. Ratios, administrative data, and other data sources are then applied to a nonrespondent’s control data producing an estimated response. These estimated responses are </w:t>
      </w:r>
      <w:r w:rsidR="00E64606">
        <w:t xml:space="preserve">typically consistent across </w:t>
      </w:r>
      <w:r w:rsidR="00800E33">
        <w:t>state, farm type, and sales class</w:t>
      </w:r>
      <w:r w:rsidR="00057919">
        <w:t xml:space="preserve">. </w:t>
      </w:r>
      <w:r w:rsidRPr="00057919">
        <w:t xml:space="preserve"> </w:t>
      </w:r>
    </w:p>
    <w:p w:rsidR="007E7E89" w:rsidRPr="00057919" w14:paraId="38B9578C" w14:textId="396070D3">
      <w:pPr>
        <w:pStyle w:val="BodyText"/>
        <w:spacing w:before="1"/>
      </w:pPr>
    </w:p>
    <w:p w:rsidR="007E7E89" w:rsidRPr="00057919" w14:paraId="43D52CC3" w14:textId="144C80DC">
      <w:pPr>
        <w:pStyle w:val="BodyText"/>
        <w:spacing w:before="1"/>
      </w:pPr>
      <w:r>
        <w:t xml:space="preserve">To evaluate the consequences of removing High Impact Records on regional relative mean biases, the same </w:t>
      </w:r>
      <w:r w:rsidRPr="00057919">
        <w:t xml:space="preserve">statistical tests were conducted after removing the NASS estimated High Impact </w:t>
      </w:r>
      <w:r w:rsidR="00414A45">
        <w:t>R</w:t>
      </w:r>
      <w:r w:rsidRPr="00057919">
        <w:t>ecords</w:t>
      </w:r>
      <w:r w:rsidRPr="00057919" w:rsidR="00104261">
        <w:t xml:space="preserve"> from the dataset</w:t>
      </w:r>
      <w:r w:rsidRPr="00057919">
        <w:t>. The results are displayed in Table 5.</w:t>
      </w:r>
    </w:p>
    <w:p w:rsidR="007E7E89" w:rsidRPr="00057919" w14:paraId="71301478" w14:textId="5C8E38AD">
      <w:pPr>
        <w:pStyle w:val="BodyText"/>
        <w:spacing w:before="1"/>
      </w:pPr>
    </w:p>
    <w:p w:rsidR="007E7E89" w:rsidRPr="00057919" w:rsidP="000B71D0" w14:paraId="57213311" w14:textId="4C3B05AF">
      <w:pPr>
        <w:pStyle w:val="BodyText"/>
        <w:spacing w:before="1"/>
        <w:jc w:val="center"/>
      </w:pPr>
      <w:r w:rsidRPr="00057919">
        <w:rPr>
          <w:b/>
          <w:bCs/>
        </w:rPr>
        <w:t>Table 5</w:t>
      </w:r>
      <w:r w:rsidRPr="00057919">
        <w:t>. Significance of Regional Relative Mean Biases for 2020 ARMS using 2017 Census Data After Removal of High Impact Records</w:t>
      </w:r>
    </w:p>
    <w:p w:rsidR="007E7E89" w:rsidRPr="00057919" w14:paraId="329E1753" w14:textId="77777777">
      <w:pPr>
        <w:pStyle w:val="BodyText"/>
        <w:spacing w:before="1"/>
      </w:pPr>
    </w:p>
    <w:p w:rsidR="00BA79DD" w:rsidRPr="009D1AF3" w:rsidP="004879BE" w14:paraId="7DD83DF6" w14:textId="31A82BBF">
      <w:pPr>
        <w:pStyle w:val="BodyText"/>
        <w:spacing w:before="1"/>
        <w:jc w:val="center"/>
        <w:rPr>
          <w:color w:val="FF0000"/>
        </w:rPr>
      </w:pPr>
      <w:r w:rsidRPr="00C217CF">
        <w:rPr>
          <w:noProof/>
        </w:rPr>
        <w:drawing>
          <wp:inline distT="0" distB="0" distL="0" distR="0">
            <wp:extent cx="5930900" cy="24517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0900" cy="2451735"/>
                    </a:xfrm>
                    <a:prstGeom prst="rect">
                      <a:avLst/>
                    </a:prstGeom>
                    <a:noFill/>
                    <a:ln>
                      <a:noFill/>
                    </a:ln>
                  </pic:spPr>
                </pic:pic>
              </a:graphicData>
            </a:graphic>
          </wp:inline>
        </w:drawing>
      </w:r>
    </w:p>
    <w:p w:rsidR="00BA79DD" w:rsidRPr="009D1AF3" w14:paraId="5A043F07" w14:textId="6E106BAC">
      <w:pPr>
        <w:pStyle w:val="BodyText"/>
        <w:spacing w:before="1"/>
        <w:rPr>
          <w:color w:val="FF0000"/>
        </w:rPr>
      </w:pPr>
    </w:p>
    <w:p w:rsidR="00BA79DD" w14:paraId="2D6B14BF" w14:textId="1BE67C37">
      <w:pPr>
        <w:pStyle w:val="BodyText"/>
        <w:spacing w:before="1"/>
      </w:pPr>
      <w:r>
        <w:t>These r</w:t>
      </w:r>
      <w:r w:rsidR="00057919">
        <w:t xml:space="preserve">esults indicate removal of High Impact Records </w:t>
      </w:r>
      <w:r w:rsidR="00E821B3">
        <w:t xml:space="preserve">did not produce </w:t>
      </w:r>
      <w:r w:rsidR="00800E33">
        <w:t xml:space="preserve">questionably </w:t>
      </w:r>
      <w:r w:rsidR="00E821B3">
        <w:t xml:space="preserve">adverse impacts to the tested hypotheses. </w:t>
      </w:r>
      <w:r>
        <w:t>No comparison</w:t>
      </w:r>
      <w:r w:rsidR="00646D71">
        <w:t>s</w:t>
      </w:r>
      <w:r>
        <w:t xml:space="preserve"> to previous studies </w:t>
      </w:r>
      <w:r w:rsidR="00646D71">
        <w:t>are</w:t>
      </w:r>
      <w:r>
        <w:t xml:space="preserve"> made since High Impact Records process began in 2016. For the 2020 ARMS cycle, the s</w:t>
      </w:r>
      <w:r w:rsidR="00142A88">
        <w:t>ixty-two High Impact Records were not impactful enough to alter the original calibration result</w:t>
      </w:r>
      <w:r>
        <w:t xml:space="preserve"> when viewed from the perspective of percent significant of selected statistical tests</w:t>
      </w:r>
      <w:r w:rsidR="00142A88">
        <w:t>.</w:t>
      </w:r>
      <w:r w:rsidR="005B79B5">
        <w:t xml:space="preserve"> </w:t>
      </w:r>
    </w:p>
    <w:p w:rsidR="0090667F" w14:paraId="6543BCCD" w14:textId="39B02DCE">
      <w:pPr>
        <w:pStyle w:val="BodyText"/>
        <w:spacing w:before="1"/>
      </w:pPr>
    </w:p>
    <w:p w:rsidR="00FA6C00" w14:paraId="36DA0551" w14:textId="650AB7DC">
      <w:pPr>
        <w:pStyle w:val="BodyText"/>
        <w:spacing w:before="1"/>
      </w:pPr>
    </w:p>
    <w:p w:rsidR="00FA6C00" w14:paraId="673C5F0B" w14:textId="121706F6">
      <w:pPr>
        <w:pStyle w:val="BodyText"/>
        <w:spacing w:before="1"/>
      </w:pPr>
    </w:p>
    <w:p w:rsidR="00FA6C00" w14:paraId="1872B64E" w14:textId="78011BD8">
      <w:pPr>
        <w:pStyle w:val="BodyText"/>
        <w:spacing w:before="1"/>
      </w:pPr>
    </w:p>
    <w:p w:rsidR="00666B00" w14:paraId="5D9633AA" w14:textId="6648E6E2">
      <w:pPr>
        <w:pStyle w:val="BodyText"/>
        <w:spacing w:before="1"/>
      </w:pPr>
    </w:p>
    <w:p w:rsidR="00666B00" w14:paraId="15CE5C0C" w14:textId="77777777">
      <w:pPr>
        <w:pStyle w:val="BodyText"/>
        <w:spacing w:before="1"/>
      </w:pPr>
    </w:p>
    <w:p w:rsidR="00FA6C00" w14:paraId="3E9EB4EF" w14:textId="698FFEB4">
      <w:pPr>
        <w:pStyle w:val="BodyText"/>
        <w:spacing w:before="1"/>
      </w:pPr>
    </w:p>
    <w:p w:rsidR="00FA6C00" w14:paraId="542B1CFA" w14:textId="150377A4">
      <w:pPr>
        <w:pStyle w:val="BodyText"/>
        <w:spacing w:before="1"/>
      </w:pPr>
    </w:p>
    <w:p w:rsidR="00FA6C00" w14:paraId="411199BB" w14:textId="5B437BE4">
      <w:pPr>
        <w:pStyle w:val="BodyText"/>
        <w:spacing w:before="1"/>
      </w:pPr>
    </w:p>
    <w:p w:rsidR="00FA6C00" w14:paraId="46F4B551" w14:textId="34DCB5F3">
      <w:pPr>
        <w:pStyle w:val="BodyText"/>
        <w:spacing w:before="1"/>
      </w:pPr>
    </w:p>
    <w:p w:rsidR="00FA6C00" w14:paraId="123CF6BC" w14:textId="47D23A67">
      <w:pPr>
        <w:pStyle w:val="BodyText"/>
        <w:spacing w:before="1"/>
      </w:pPr>
    </w:p>
    <w:p w:rsidR="00FA6C00" w14:paraId="67174C6B" w14:textId="77777777">
      <w:pPr>
        <w:pStyle w:val="BodyText"/>
        <w:spacing w:before="1"/>
      </w:pPr>
    </w:p>
    <w:p w:rsidR="000A0F2D" w14:paraId="521F5801" w14:textId="77777777">
      <w:pPr>
        <w:pStyle w:val="Heading1"/>
        <w:numPr>
          <w:ilvl w:val="0"/>
          <w:numId w:val="3"/>
        </w:numPr>
        <w:tabs>
          <w:tab w:val="left" w:pos="521"/>
        </w:tabs>
        <w:ind w:left="520" w:hanging="301"/>
        <w:jc w:val="left"/>
      </w:pPr>
      <w:r>
        <w:t>CONCLUSION</w:t>
      </w:r>
    </w:p>
    <w:p w:rsidR="000A0F2D" w14:paraId="177FF429" w14:textId="77777777">
      <w:pPr>
        <w:pStyle w:val="BodyText"/>
        <w:rPr>
          <w:b/>
        </w:rPr>
      </w:pPr>
    </w:p>
    <w:p w:rsidR="000A0F2D" w14:paraId="22C67B8C" w14:textId="45B81456">
      <w:pPr>
        <w:pStyle w:val="BodyText"/>
        <w:ind w:left="220" w:right="480"/>
        <w:jc w:val="both"/>
      </w:pPr>
      <w:r>
        <w:t>ARMS data are used by farm organizations, commodity groups, agribusiness, Congress,</w:t>
      </w:r>
      <w:r>
        <w:rPr>
          <w:spacing w:val="1"/>
        </w:rPr>
        <w:t xml:space="preserve"> </w:t>
      </w:r>
      <w:r>
        <w:t>State Departments of Agriculture, and</w:t>
      </w:r>
      <w:r>
        <w:rPr>
          <w:spacing w:val="1"/>
        </w:rPr>
        <w:t xml:space="preserve"> </w:t>
      </w:r>
      <w:r>
        <w:t>the USDA.</w:t>
      </w:r>
      <w:r>
        <w:rPr>
          <w:spacing w:val="1"/>
        </w:rPr>
        <w:t xml:space="preserve"> </w:t>
      </w:r>
      <w:r>
        <w:t>USDA uses ARMS data to</w:t>
      </w:r>
      <w:r>
        <w:rPr>
          <w:spacing w:val="1"/>
        </w:rPr>
        <w:t xml:space="preserve"> </w:t>
      </w:r>
      <w:r>
        <w:t xml:space="preserve">evaluate </w:t>
      </w:r>
      <w:r w:rsidR="009F40C8">
        <w:t xml:space="preserve">farm </w:t>
      </w:r>
      <w:r>
        <w:t>financial performance which influence</w:t>
      </w:r>
      <w:r w:rsidR="009F40C8">
        <w:t>s</w:t>
      </w:r>
      <w:r>
        <w:t xml:space="preserve"> agricultural</w:t>
      </w:r>
      <w:r>
        <w:rPr>
          <w:spacing w:val="1"/>
        </w:rPr>
        <w:t xml:space="preserve"> </w:t>
      </w:r>
      <w:r>
        <w:t>polic</w:t>
      </w:r>
      <w:r w:rsidR="009F40C8">
        <w:t>ies</w:t>
      </w:r>
      <w:r>
        <w:t xml:space="preserve">. </w:t>
      </w:r>
      <w:r w:rsidR="009F40C8">
        <w:t xml:space="preserve">USDA </w:t>
      </w:r>
      <w:r>
        <w:t xml:space="preserve">also uses </w:t>
      </w:r>
      <w:r w:rsidR="00D6775A">
        <w:t xml:space="preserve">ARMS </w:t>
      </w:r>
      <w:r>
        <w:t xml:space="preserve">data </w:t>
      </w:r>
      <w:r w:rsidR="009F40C8">
        <w:t xml:space="preserve">to </w:t>
      </w:r>
      <w:r>
        <w:t>objective</w:t>
      </w:r>
      <w:r w:rsidR="009F40C8">
        <w:t xml:space="preserve">ly evaluate other agriculture and rural community </w:t>
      </w:r>
      <w:r>
        <w:t>issues</w:t>
      </w:r>
      <w:r w:rsidR="009F40C8">
        <w:t>,</w:t>
      </w:r>
      <w:r>
        <w:t xml:space="preserve"> therefore, </w:t>
      </w:r>
      <w:r w:rsidR="009F40C8">
        <w:t xml:space="preserve">survey actions </w:t>
      </w:r>
      <w:r>
        <w:t>minimiz</w:t>
      </w:r>
      <w:r w:rsidR="00D6775A">
        <w:t>ing</w:t>
      </w:r>
      <w:r>
        <w:t xml:space="preserve"> </w:t>
      </w:r>
      <w:r w:rsidR="009F40C8">
        <w:t xml:space="preserve">ARMS </w:t>
      </w:r>
      <w:r>
        <w:t xml:space="preserve">nonresponse bias </w:t>
      </w:r>
      <w:r w:rsidR="009F40C8">
        <w:t>are essential to establish</w:t>
      </w:r>
      <w:r w:rsidR="00D6775A">
        <w:t xml:space="preserve"> and maintain</w:t>
      </w:r>
      <w:r w:rsidR="009F40C8">
        <w:t xml:space="preserve"> USDA credibility</w:t>
      </w:r>
      <w:r>
        <w:t>.</w:t>
      </w:r>
    </w:p>
    <w:p w:rsidR="000A0F2D" w14:paraId="337E7B9B" w14:textId="77777777">
      <w:pPr>
        <w:pStyle w:val="BodyText"/>
      </w:pPr>
    </w:p>
    <w:p w:rsidR="000A0F2D" w14:paraId="1658C9AB" w14:textId="489279BF">
      <w:pPr>
        <w:pStyle w:val="BodyText"/>
        <w:spacing w:before="1"/>
        <w:ind w:left="220" w:right="473"/>
        <w:jc w:val="both"/>
      </w:pPr>
      <w:r>
        <w:t xml:space="preserve">This research </w:t>
      </w:r>
      <w:r w:rsidR="00F462F6">
        <w:t>re</w:t>
      </w:r>
      <w:r w:rsidR="00595285">
        <w:t>assess</w:t>
      </w:r>
      <w:r>
        <w:t>ed</w:t>
      </w:r>
      <w:r w:rsidR="00595285">
        <w:t xml:space="preserve"> </w:t>
      </w:r>
      <w:r>
        <w:t xml:space="preserve">NASS’s calibration process as a mitigant of </w:t>
      </w:r>
      <w:r w:rsidR="00595285">
        <w:t>nonresponse bias</w:t>
      </w:r>
      <w:r>
        <w:t>es</w:t>
      </w:r>
      <w:r w:rsidR="00595285">
        <w:t xml:space="preserve"> in 20</w:t>
      </w:r>
      <w:r w:rsidR="00E41377">
        <w:t>20</w:t>
      </w:r>
      <w:r w:rsidR="00595285">
        <w:t xml:space="preserve"> ARMS Phase III</w:t>
      </w:r>
      <w:r>
        <w:t xml:space="preserve">. </w:t>
      </w:r>
      <w:r w:rsidR="00595285">
        <w:t>20</w:t>
      </w:r>
      <w:r w:rsidR="00E41377">
        <w:t>17</w:t>
      </w:r>
      <w:r w:rsidR="00595285">
        <w:rPr>
          <w:spacing w:val="1"/>
        </w:rPr>
        <w:t xml:space="preserve"> </w:t>
      </w:r>
      <w:r w:rsidR="00595285">
        <w:t xml:space="preserve">Census </w:t>
      </w:r>
      <w:r>
        <w:t xml:space="preserve">of Agriculture weighted </w:t>
      </w:r>
      <w:r w:rsidR="00595285">
        <w:t>mean estimates of total production expenses, livestock purchases, hired labor</w:t>
      </w:r>
      <w:r w:rsidR="00595285">
        <w:rPr>
          <w:spacing w:val="1"/>
        </w:rPr>
        <w:t xml:space="preserve"> </w:t>
      </w:r>
      <w:r w:rsidR="00595285">
        <w:t>expenses,</w:t>
      </w:r>
      <w:r w:rsidR="00595285">
        <w:rPr>
          <w:spacing w:val="1"/>
        </w:rPr>
        <w:t xml:space="preserve"> </w:t>
      </w:r>
      <w:r w:rsidR="00595285">
        <w:t>feed</w:t>
      </w:r>
      <w:r w:rsidR="00595285">
        <w:rPr>
          <w:spacing w:val="1"/>
        </w:rPr>
        <w:t xml:space="preserve"> </w:t>
      </w:r>
      <w:r w:rsidR="00595285">
        <w:t>purchases,</w:t>
      </w:r>
      <w:r w:rsidR="00595285">
        <w:rPr>
          <w:spacing w:val="1"/>
        </w:rPr>
        <w:t xml:space="preserve"> </w:t>
      </w:r>
      <w:r w:rsidR="00595285">
        <w:t>fuel</w:t>
      </w:r>
      <w:r w:rsidR="00595285">
        <w:rPr>
          <w:spacing w:val="1"/>
        </w:rPr>
        <w:t xml:space="preserve"> </w:t>
      </w:r>
      <w:r w:rsidR="00595285">
        <w:t>and</w:t>
      </w:r>
      <w:r w:rsidR="00595285">
        <w:rPr>
          <w:spacing w:val="1"/>
        </w:rPr>
        <w:t xml:space="preserve"> </w:t>
      </w:r>
      <w:r w:rsidR="00595285">
        <w:t>oil</w:t>
      </w:r>
      <w:r w:rsidR="00595285">
        <w:rPr>
          <w:spacing w:val="1"/>
        </w:rPr>
        <w:t xml:space="preserve"> </w:t>
      </w:r>
      <w:r w:rsidR="00595285">
        <w:t>expenses,</w:t>
      </w:r>
      <w:r w:rsidR="00595285">
        <w:rPr>
          <w:spacing w:val="1"/>
        </w:rPr>
        <w:t xml:space="preserve"> </w:t>
      </w:r>
      <w:r w:rsidR="00595285">
        <w:t>chemical</w:t>
      </w:r>
      <w:r w:rsidR="00595285">
        <w:rPr>
          <w:spacing w:val="1"/>
        </w:rPr>
        <w:t xml:space="preserve"> </w:t>
      </w:r>
      <w:r w:rsidR="00595285">
        <w:t>expenses,</w:t>
      </w:r>
      <w:r w:rsidR="00595285">
        <w:rPr>
          <w:spacing w:val="1"/>
        </w:rPr>
        <w:t xml:space="preserve"> </w:t>
      </w:r>
      <w:r w:rsidR="00595285">
        <w:t>machinery</w:t>
      </w:r>
      <w:r w:rsidR="00595285">
        <w:rPr>
          <w:spacing w:val="1"/>
        </w:rPr>
        <w:t xml:space="preserve"> </w:t>
      </w:r>
      <w:r w:rsidR="00595285">
        <w:t>and</w:t>
      </w:r>
      <w:r w:rsidR="00595285">
        <w:rPr>
          <w:spacing w:val="-57"/>
        </w:rPr>
        <w:t xml:space="preserve"> </w:t>
      </w:r>
      <w:r w:rsidR="00595285">
        <w:t xml:space="preserve">equipment value, </w:t>
      </w:r>
      <w:r w:rsidR="00E41377">
        <w:t xml:space="preserve">and </w:t>
      </w:r>
      <w:r w:rsidR="00595285">
        <w:t xml:space="preserve">seed and fertilizer expenses </w:t>
      </w:r>
      <w:r w:rsidR="006C044D">
        <w:t>exhibited significant</w:t>
      </w:r>
      <w:r w:rsidR="00595285">
        <w:rPr>
          <w:spacing w:val="1"/>
        </w:rPr>
        <w:t xml:space="preserve"> </w:t>
      </w:r>
      <w:r>
        <w:rPr>
          <w:spacing w:val="1"/>
        </w:rPr>
        <w:t xml:space="preserve">persistent </w:t>
      </w:r>
      <w:r w:rsidR="00595285">
        <w:t>bias</w:t>
      </w:r>
      <w:r>
        <w:t>es</w:t>
      </w:r>
      <w:r w:rsidR="00595285">
        <w:t xml:space="preserve"> using </w:t>
      </w:r>
      <w:r w:rsidR="00E41377">
        <w:t>ARMS</w:t>
      </w:r>
      <w:r w:rsidR="00595285">
        <w:t xml:space="preserve"> sampl</w:t>
      </w:r>
      <w:r>
        <w:t>e</w:t>
      </w:r>
      <w:r w:rsidR="00595285">
        <w:t xml:space="preserve"> weights.</w:t>
      </w:r>
      <w:r w:rsidR="003D7561">
        <w:t xml:space="preserve"> Although the magnitude of the</w:t>
      </w:r>
      <w:r w:rsidR="003D7561">
        <w:rPr>
          <w:spacing w:val="1"/>
        </w:rPr>
        <w:t xml:space="preserve"> </w:t>
      </w:r>
      <w:r w:rsidR="003D7561">
        <w:t>relative</w:t>
      </w:r>
      <w:r w:rsidR="003D7561">
        <w:rPr>
          <w:spacing w:val="1"/>
        </w:rPr>
        <w:t xml:space="preserve"> </w:t>
      </w:r>
      <w:r w:rsidR="003D7561">
        <w:t>bias</w:t>
      </w:r>
      <w:r w:rsidR="003D7561">
        <w:rPr>
          <w:spacing w:val="1"/>
        </w:rPr>
        <w:t xml:space="preserve"> </w:t>
      </w:r>
      <w:r w:rsidR="003D7561">
        <w:t>of</w:t>
      </w:r>
      <w:r w:rsidR="003D7561">
        <w:rPr>
          <w:spacing w:val="1"/>
        </w:rPr>
        <w:t xml:space="preserve"> </w:t>
      </w:r>
      <w:r w:rsidR="003D7561">
        <w:t>the</w:t>
      </w:r>
      <w:r w:rsidR="003D7561">
        <w:rPr>
          <w:spacing w:val="1"/>
        </w:rPr>
        <w:t xml:space="preserve"> </w:t>
      </w:r>
      <w:r w:rsidR="003D7561">
        <w:t>mean</w:t>
      </w:r>
      <w:r w:rsidR="003D7561">
        <w:rPr>
          <w:spacing w:val="1"/>
        </w:rPr>
        <w:t xml:space="preserve"> </w:t>
      </w:r>
      <w:r w:rsidR="003D7561">
        <w:t>estimate</w:t>
      </w:r>
      <w:r w:rsidR="003D7561">
        <w:rPr>
          <w:spacing w:val="1"/>
        </w:rPr>
        <w:t xml:space="preserve"> </w:t>
      </w:r>
      <w:r w:rsidR="003D7561">
        <w:t>remained</w:t>
      </w:r>
      <w:r w:rsidR="003D7561">
        <w:rPr>
          <w:spacing w:val="1"/>
        </w:rPr>
        <w:t xml:space="preserve"> </w:t>
      </w:r>
      <w:r w:rsidR="003D7561">
        <w:t>high</w:t>
      </w:r>
      <w:r w:rsidR="003D7561">
        <w:rPr>
          <w:spacing w:val="1"/>
        </w:rPr>
        <w:t xml:space="preserve"> </w:t>
      </w:r>
      <w:r w:rsidR="003D7561">
        <w:t>for</w:t>
      </w:r>
      <w:r w:rsidR="003D7561">
        <w:rPr>
          <w:spacing w:val="1"/>
        </w:rPr>
        <w:t xml:space="preserve"> </w:t>
      </w:r>
      <w:r w:rsidR="003D7561">
        <w:t>livestock</w:t>
      </w:r>
      <w:r w:rsidR="003D7561">
        <w:rPr>
          <w:spacing w:val="1"/>
        </w:rPr>
        <w:t xml:space="preserve"> </w:t>
      </w:r>
      <w:r w:rsidR="003D7561">
        <w:t>purchases</w:t>
      </w:r>
      <w:r w:rsidR="003D7561">
        <w:rPr>
          <w:spacing w:val="1"/>
        </w:rPr>
        <w:t xml:space="preserve"> </w:t>
      </w:r>
      <w:r w:rsidR="003D7561">
        <w:t>using</w:t>
      </w:r>
      <w:r w:rsidR="003D7561">
        <w:rPr>
          <w:spacing w:val="1"/>
        </w:rPr>
        <w:t xml:space="preserve"> </w:t>
      </w:r>
      <w:r w:rsidR="003D7561">
        <w:t>the</w:t>
      </w:r>
      <w:r w:rsidR="003D7561">
        <w:rPr>
          <w:spacing w:val="1"/>
        </w:rPr>
        <w:t xml:space="preserve"> </w:t>
      </w:r>
      <w:r w:rsidR="003D7561">
        <w:t>calibrated</w:t>
      </w:r>
      <w:r w:rsidR="003D7561">
        <w:rPr>
          <w:spacing w:val="1"/>
        </w:rPr>
        <w:t xml:space="preserve"> </w:t>
      </w:r>
      <w:r w:rsidR="003D7561">
        <w:t>weights,</w:t>
      </w:r>
      <w:r w:rsidR="003D7561">
        <w:rPr>
          <w:spacing w:val="1"/>
        </w:rPr>
        <w:t xml:space="preserve"> </w:t>
      </w:r>
      <w:r w:rsidR="003D7561">
        <w:t>calibration</w:t>
      </w:r>
      <w:r w:rsidR="003D7561">
        <w:rPr>
          <w:spacing w:val="1"/>
        </w:rPr>
        <w:t xml:space="preserve"> </w:t>
      </w:r>
      <w:r w:rsidR="003D7561">
        <w:t>reduced</w:t>
      </w:r>
      <w:r w:rsidR="003D7561">
        <w:rPr>
          <w:spacing w:val="1"/>
        </w:rPr>
        <w:t xml:space="preserve"> </w:t>
      </w:r>
      <w:r w:rsidR="003D7561">
        <w:t>the</w:t>
      </w:r>
      <w:r w:rsidR="003D7561">
        <w:rPr>
          <w:spacing w:val="1"/>
        </w:rPr>
        <w:t xml:space="preserve"> </w:t>
      </w:r>
      <w:r w:rsidR="003D7561">
        <w:t>magnitude</w:t>
      </w:r>
      <w:r w:rsidR="003D7561">
        <w:rPr>
          <w:spacing w:val="1"/>
        </w:rPr>
        <w:t xml:space="preserve"> </w:t>
      </w:r>
      <w:r w:rsidR="003D7561">
        <w:t>of</w:t>
      </w:r>
      <w:r w:rsidR="003D7561">
        <w:rPr>
          <w:spacing w:val="1"/>
        </w:rPr>
        <w:t xml:space="preserve"> </w:t>
      </w:r>
      <w:r w:rsidR="003D7561">
        <w:t>this</w:t>
      </w:r>
      <w:r w:rsidR="003D7561">
        <w:rPr>
          <w:spacing w:val="1"/>
        </w:rPr>
        <w:t xml:space="preserve"> </w:t>
      </w:r>
      <w:r w:rsidR="003D7561">
        <w:t>bias</w:t>
      </w:r>
      <w:r w:rsidR="003D7561">
        <w:rPr>
          <w:spacing w:val="1"/>
        </w:rPr>
        <w:t xml:space="preserve"> </w:t>
      </w:r>
      <w:r w:rsidR="003D7561">
        <w:t>to</w:t>
      </w:r>
      <w:r w:rsidR="003D7561">
        <w:rPr>
          <w:spacing w:val="1"/>
        </w:rPr>
        <w:t xml:space="preserve"> </w:t>
      </w:r>
      <w:r w:rsidR="003D7561">
        <w:t>statistical</w:t>
      </w:r>
      <w:r w:rsidR="003D7561">
        <w:rPr>
          <w:spacing w:val="1"/>
        </w:rPr>
        <w:t xml:space="preserve"> </w:t>
      </w:r>
      <w:r w:rsidR="003D7561">
        <w:t>insignificance (see Table 2). Egg and milk production were not included as</w:t>
      </w:r>
      <w:r w:rsidR="003D7561">
        <w:rPr>
          <w:spacing w:val="1"/>
        </w:rPr>
        <w:t xml:space="preserve"> </w:t>
      </w:r>
      <w:r w:rsidR="003D7561">
        <w:t>calibration targets, because these data items collected for the 2017 Census did not match those in ARMS.</w:t>
      </w:r>
      <w:r w:rsidR="003D7561">
        <w:rPr>
          <w:spacing w:val="1"/>
        </w:rPr>
        <w:t xml:space="preserve"> </w:t>
      </w:r>
      <w:r w:rsidR="003D7561">
        <w:t>This</w:t>
      </w:r>
      <w:r w:rsidR="003D7561">
        <w:rPr>
          <w:spacing w:val="-57"/>
        </w:rPr>
        <w:t xml:space="preserve"> </w:t>
      </w:r>
      <w:r w:rsidR="003D7561">
        <w:t>may help to explain why the magnitude of the estimated relative bias of the mean for</w:t>
      </w:r>
      <w:r w:rsidR="003D7561">
        <w:rPr>
          <w:spacing w:val="1"/>
        </w:rPr>
        <w:t xml:space="preserve"> </w:t>
      </w:r>
      <w:r w:rsidR="003D7561">
        <w:t>livestock purchases.</w:t>
      </w:r>
      <w:r w:rsidR="00595285">
        <w:rPr>
          <w:spacing w:val="61"/>
        </w:rPr>
        <w:t xml:space="preserve"> </w:t>
      </w:r>
      <w:r w:rsidR="00E41377">
        <w:t>Ca</w:t>
      </w:r>
      <w:r w:rsidR="00595285">
        <w:t>libration</w:t>
      </w:r>
      <w:r w:rsidR="00595285">
        <w:rPr>
          <w:spacing w:val="1"/>
        </w:rPr>
        <w:t xml:space="preserve"> </w:t>
      </w:r>
      <w:r w:rsidR="00E41377">
        <w:rPr>
          <w:spacing w:val="1"/>
        </w:rPr>
        <w:t xml:space="preserve">of </w:t>
      </w:r>
      <w:r>
        <w:rPr>
          <w:spacing w:val="1"/>
        </w:rPr>
        <w:t>ARMS sample w</w:t>
      </w:r>
      <w:r w:rsidR="00E41377">
        <w:rPr>
          <w:spacing w:val="1"/>
        </w:rPr>
        <w:t xml:space="preserve">eights </w:t>
      </w:r>
      <w:r>
        <w:rPr>
          <w:spacing w:val="1"/>
        </w:rPr>
        <w:t xml:space="preserve">produced </w:t>
      </w:r>
      <w:r w:rsidR="00E41377">
        <w:rPr>
          <w:spacing w:val="1"/>
        </w:rPr>
        <w:t xml:space="preserve">relative </w:t>
      </w:r>
      <w:r w:rsidR="00595285">
        <w:t>bias</w:t>
      </w:r>
      <w:r w:rsidR="00E41377">
        <w:t>es</w:t>
      </w:r>
      <w:r w:rsidR="00595285">
        <w:rPr>
          <w:spacing w:val="1"/>
        </w:rPr>
        <w:t xml:space="preserve"> </w:t>
      </w:r>
      <w:r>
        <w:rPr>
          <w:spacing w:val="1"/>
        </w:rPr>
        <w:t xml:space="preserve">that </w:t>
      </w:r>
      <w:r w:rsidR="004C6995">
        <w:rPr>
          <w:spacing w:val="1"/>
        </w:rPr>
        <w:t xml:space="preserve">accepted </w:t>
      </w:r>
      <w:r w:rsidR="002D029F">
        <w:rPr>
          <w:spacing w:val="1"/>
        </w:rPr>
        <w:t xml:space="preserve">the </w:t>
      </w:r>
      <w:r>
        <w:rPr>
          <w:spacing w:val="1"/>
        </w:rPr>
        <w:t xml:space="preserve">null hypothesis of ‘no persistent bias’ </w:t>
      </w:r>
      <w:r w:rsidR="00E41377">
        <w:t>for a majority of select study variables</w:t>
      </w:r>
      <w:r w:rsidR="00595285">
        <w:t xml:space="preserve">.  </w:t>
      </w:r>
      <w:r w:rsidR="004C6995">
        <w:t>Additionally, mean bias reductions were found to be significant for the majority of select study variables.</w:t>
      </w:r>
      <w:r w:rsidR="00595285">
        <w:t xml:space="preserve"> </w:t>
      </w:r>
    </w:p>
    <w:p w:rsidR="000A0F2D" w14:paraId="673D6F39" w14:textId="77777777">
      <w:pPr>
        <w:pStyle w:val="BodyText"/>
      </w:pPr>
    </w:p>
    <w:p w:rsidR="000A0F2D" w14:paraId="3AE0D033" w14:textId="77777777">
      <w:pPr>
        <w:spacing w:before="1"/>
        <w:ind w:left="220" w:right="475"/>
        <w:jc w:val="both"/>
        <w:rPr>
          <w:sz w:val="24"/>
        </w:rPr>
      </w:pPr>
      <w:r>
        <w:rPr>
          <w:sz w:val="24"/>
        </w:rPr>
        <w:t xml:space="preserve">According to Guideline 3.2.13 of the </w:t>
      </w:r>
      <w:r>
        <w:rPr>
          <w:i/>
          <w:sz w:val="24"/>
        </w:rPr>
        <w:t>Office of Management and Budget Standards and</w:t>
      </w:r>
      <w:r>
        <w:rPr>
          <w:i/>
          <w:spacing w:val="1"/>
          <w:sz w:val="24"/>
        </w:rPr>
        <w:t xml:space="preserve"> </w:t>
      </w:r>
      <w:r>
        <w:rPr>
          <w:i/>
          <w:sz w:val="24"/>
        </w:rPr>
        <w:t>Guidelines</w:t>
      </w:r>
      <w:r>
        <w:rPr>
          <w:i/>
          <w:spacing w:val="-1"/>
          <w:sz w:val="24"/>
        </w:rPr>
        <w:t xml:space="preserve"> </w:t>
      </w:r>
      <w:r>
        <w:rPr>
          <w:i/>
          <w:sz w:val="24"/>
        </w:rPr>
        <w:t>for Statistical</w:t>
      </w:r>
      <w:r>
        <w:rPr>
          <w:i/>
          <w:spacing w:val="-3"/>
          <w:sz w:val="24"/>
        </w:rPr>
        <w:t xml:space="preserve"> </w:t>
      </w:r>
      <w:r>
        <w:rPr>
          <w:i/>
          <w:sz w:val="24"/>
        </w:rPr>
        <w:t>Surveys</w:t>
      </w:r>
      <w:r>
        <w:rPr>
          <w:sz w:val="24"/>
        </w:rPr>
        <w:t>, NASS should:</w:t>
      </w:r>
    </w:p>
    <w:p w:rsidR="000A0F2D" w14:paraId="5DB91BD3" w14:textId="77777777">
      <w:pPr>
        <w:pStyle w:val="BodyText"/>
        <w:spacing w:before="72"/>
        <w:ind w:left="580" w:right="840"/>
        <w:jc w:val="both"/>
      </w:pPr>
      <w:r>
        <w:t>Base</w:t>
      </w:r>
      <w:r>
        <w:rPr>
          <w:spacing w:val="1"/>
        </w:rPr>
        <w:t xml:space="preserve"> </w:t>
      </w:r>
      <w:r>
        <w:t>decisions</w:t>
      </w:r>
      <w:r>
        <w:rPr>
          <w:spacing w:val="1"/>
        </w:rPr>
        <w:t xml:space="preserve"> </w:t>
      </w:r>
      <w:r>
        <w:t>regarding</w:t>
      </w:r>
      <w:r>
        <w:rPr>
          <w:spacing w:val="1"/>
        </w:rPr>
        <w:t xml:space="preserve"> </w:t>
      </w:r>
      <w:r>
        <w:t>whether</w:t>
      </w:r>
      <w:r>
        <w:rPr>
          <w:spacing w:val="1"/>
        </w:rPr>
        <w:t xml:space="preserve"> </w:t>
      </w:r>
      <w:r>
        <w:t>or</w:t>
      </w:r>
      <w:r>
        <w:rPr>
          <w:spacing w:val="1"/>
        </w:rPr>
        <w:t xml:space="preserve"> </w:t>
      </w:r>
      <w:r>
        <w:t>not</w:t>
      </w:r>
      <w:r>
        <w:rPr>
          <w:spacing w:val="1"/>
        </w:rPr>
        <w:t xml:space="preserve"> </w:t>
      </w:r>
      <w:r>
        <w:t>to</w:t>
      </w:r>
      <w:r>
        <w:rPr>
          <w:spacing w:val="1"/>
        </w:rPr>
        <w:t xml:space="preserve"> </w:t>
      </w:r>
      <w:r>
        <w:t>adjust</w:t>
      </w:r>
      <w:r>
        <w:rPr>
          <w:spacing w:val="1"/>
        </w:rPr>
        <w:t xml:space="preserve"> </w:t>
      </w:r>
      <w:r>
        <w:t>or</w:t>
      </w:r>
      <w:r>
        <w:rPr>
          <w:spacing w:val="1"/>
        </w:rPr>
        <w:t xml:space="preserve"> </w:t>
      </w:r>
      <w:r>
        <w:t>impute</w:t>
      </w:r>
      <w:r>
        <w:rPr>
          <w:spacing w:val="1"/>
        </w:rPr>
        <w:t xml:space="preserve"> </w:t>
      </w:r>
      <w:r>
        <w:t>data</w:t>
      </w:r>
      <w:r>
        <w:rPr>
          <w:spacing w:val="1"/>
        </w:rPr>
        <w:t xml:space="preserve"> </w:t>
      </w:r>
      <w:r>
        <w:t>for</w:t>
      </w:r>
      <w:r>
        <w:rPr>
          <w:spacing w:val="1"/>
        </w:rPr>
        <w:t xml:space="preserve"> </w:t>
      </w:r>
      <w:r>
        <w:t>item</w:t>
      </w:r>
      <w:r>
        <w:rPr>
          <w:spacing w:val="1"/>
        </w:rPr>
        <w:t xml:space="preserve"> </w:t>
      </w:r>
      <w:r>
        <w:t>nonresponse on how the</w:t>
      </w:r>
      <w:r>
        <w:rPr>
          <w:spacing w:val="1"/>
        </w:rPr>
        <w:t xml:space="preserve"> </w:t>
      </w:r>
      <w:r>
        <w:t>data will be used, the</w:t>
      </w:r>
      <w:r>
        <w:rPr>
          <w:spacing w:val="60"/>
        </w:rPr>
        <w:t xml:space="preserve"> </w:t>
      </w:r>
      <w:r>
        <w:t>assessment of nonresponse bias</w:t>
      </w:r>
      <w:r>
        <w:rPr>
          <w:spacing w:val="1"/>
        </w:rPr>
        <w:t xml:space="preserve"> </w:t>
      </w:r>
      <w:r>
        <w:t>that is likely to be encountered in the review of collections, prior experience with</w:t>
      </w:r>
      <w:r>
        <w:rPr>
          <w:spacing w:val="1"/>
        </w:rPr>
        <w:t xml:space="preserve"> </w:t>
      </w:r>
      <w:r>
        <w:t>this collection, and the nonresponse analysis discussed in this section.   When</w:t>
      </w:r>
      <w:r>
        <w:rPr>
          <w:spacing w:val="1"/>
        </w:rPr>
        <w:t xml:space="preserve"> </w:t>
      </w:r>
      <w:r>
        <w:t>used,</w:t>
      </w:r>
      <w:r>
        <w:rPr>
          <w:spacing w:val="1"/>
        </w:rPr>
        <w:t xml:space="preserve"> </w:t>
      </w:r>
      <w:r>
        <w:t>imputation</w:t>
      </w:r>
      <w:r>
        <w:rPr>
          <w:spacing w:val="1"/>
        </w:rPr>
        <w:t xml:space="preserve"> </w:t>
      </w:r>
      <w:r>
        <w:t>and</w:t>
      </w:r>
      <w:r>
        <w:rPr>
          <w:spacing w:val="1"/>
        </w:rPr>
        <w:t xml:space="preserve"> </w:t>
      </w:r>
      <w:r>
        <w:t>adjustment</w:t>
      </w:r>
      <w:r>
        <w:rPr>
          <w:spacing w:val="1"/>
        </w:rPr>
        <w:t xml:space="preserve"> </w:t>
      </w:r>
      <w:r>
        <w:t>procedures</w:t>
      </w:r>
      <w:r>
        <w:rPr>
          <w:spacing w:val="1"/>
        </w:rPr>
        <w:t xml:space="preserve"> </w:t>
      </w:r>
      <w:r>
        <w:t>should</w:t>
      </w:r>
      <w:r>
        <w:rPr>
          <w:spacing w:val="1"/>
        </w:rPr>
        <w:t xml:space="preserve"> </w:t>
      </w:r>
      <w:r>
        <w:t>be</w:t>
      </w:r>
      <w:r>
        <w:rPr>
          <w:spacing w:val="1"/>
        </w:rPr>
        <w:t xml:space="preserve"> </w:t>
      </w:r>
      <w:r>
        <w:t>internally</w:t>
      </w:r>
      <w:r>
        <w:rPr>
          <w:spacing w:val="1"/>
        </w:rPr>
        <w:t xml:space="preserve"> </w:t>
      </w:r>
      <w:r>
        <w:t>consistent,</w:t>
      </w:r>
      <w:r>
        <w:rPr>
          <w:spacing w:val="1"/>
        </w:rPr>
        <w:t xml:space="preserve"> </w:t>
      </w:r>
      <w:r>
        <w:t>sampled on theoretical and empirical considerations, appropriate for the analysis,</w:t>
      </w:r>
      <w:r>
        <w:rPr>
          <w:spacing w:val="1"/>
        </w:rPr>
        <w:t xml:space="preserve"> </w:t>
      </w:r>
      <w:r>
        <w:t>and make use of the most relevant data available.</w:t>
      </w:r>
      <w:r>
        <w:rPr>
          <w:spacing w:val="1"/>
        </w:rPr>
        <w:t xml:space="preserve"> </w:t>
      </w:r>
      <w:r>
        <w:t>If multivariate analysis is</w:t>
      </w:r>
      <w:r>
        <w:rPr>
          <w:spacing w:val="1"/>
        </w:rPr>
        <w:t xml:space="preserve"> </w:t>
      </w:r>
      <w:r>
        <w:t>anticipated, care should be taken to use imputations that minimize the attenuation</w:t>
      </w:r>
      <w:r>
        <w:rPr>
          <w:spacing w:val="1"/>
        </w:rPr>
        <w:t xml:space="preserve"> </w:t>
      </w:r>
      <w:r>
        <w:t>of</w:t>
      </w:r>
      <w:r>
        <w:rPr>
          <w:spacing w:val="-1"/>
        </w:rPr>
        <w:t xml:space="preserve"> </w:t>
      </w:r>
      <w:r>
        <w:t>underlying</w:t>
      </w:r>
      <w:r>
        <w:rPr>
          <w:spacing w:val="-3"/>
        </w:rPr>
        <w:t xml:space="preserve"> </w:t>
      </w:r>
      <w:r>
        <w:t>relationships.</w:t>
      </w:r>
    </w:p>
    <w:p w:rsidR="000A0F2D" w14:paraId="216D440C" w14:textId="77777777">
      <w:pPr>
        <w:pStyle w:val="BodyText"/>
      </w:pPr>
    </w:p>
    <w:p w:rsidR="000A0F2D" w14:paraId="77D84464" w14:textId="19F0073D">
      <w:pPr>
        <w:pStyle w:val="BodyText"/>
        <w:ind w:left="220" w:right="477"/>
        <w:jc w:val="both"/>
      </w:pPr>
      <w:r>
        <w:t xml:space="preserve">Since </w:t>
      </w:r>
      <w:r w:rsidR="00595285">
        <w:t xml:space="preserve">the ARMS Phase III data user community </w:t>
      </w:r>
      <w:r>
        <w:t xml:space="preserve">is large, </w:t>
      </w:r>
      <w:r w:rsidR="00595285">
        <w:t>and the survey</w:t>
      </w:r>
      <w:r w:rsidR="002D029F">
        <w:t xml:space="preserve"> has influence </w:t>
      </w:r>
      <w:r w:rsidR="00595285">
        <w:t xml:space="preserve">on agricultural policy, </w:t>
      </w:r>
      <w:r w:rsidR="002D029F">
        <w:t xml:space="preserve">NASS’s </w:t>
      </w:r>
      <w:r w:rsidR="00AF0375">
        <w:t>c</w:t>
      </w:r>
      <w:r w:rsidR="00595285">
        <w:t xml:space="preserve">alibration </w:t>
      </w:r>
      <w:r w:rsidR="002D029F">
        <w:t xml:space="preserve">process </w:t>
      </w:r>
      <w:r w:rsidR="00903E00">
        <w:t xml:space="preserve">must be </w:t>
      </w:r>
      <w:r w:rsidR="002D029F">
        <w:t>an e</w:t>
      </w:r>
      <w:r w:rsidR="00595285">
        <w:t xml:space="preserve">ffective </w:t>
      </w:r>
      <w:r w:rsidR="002D029F">
        <w:t xml:space="preserve">mitigant of </w:t>
      </w:r>
      <w:r w:rsidR="00595285">
        <w:t>nonresponse bias</w:t>
      </w:r>
      <w:r w:rsidR="00AF0375">
        <w:t>es</w:t>
      </w:r>
      <w:r w:rsidR="00595285">
        <w:t>.</w:t>
      </w:r>
      <w:r w:rsidR="00595285">
        <w:rPr>
          <w:spacing w:val="1"/>
        </w:rPr>
        <w:t xml:space="preserve"> </w:t>
      </w:r>
      <w:r w:rsidR="002D029F">
        <w:rPr>
          <w:spacing w:val="1"/>
        </w:rPr>
        <w:t xml:space="preserve">This research demonstrates that effectiveness through relative bias and bias reduction measures that, overall, support </w:t>
      </w:r>
      <w:r w:rsidR="00523051">
        <w:rPr>
          <w:spacing w:val="1"/>
        </w:rPr>
        <w:t xml:space="preserve">survey </w:t>
      </w:r>
      <w:r w:rsidR="002D029F">
        <w:rPr>
          <w:spacing w:val="1"/>
        </w:rPr>
        <w:t xml:space="preserve">calibration practice. </w:t>
      </w:r>
      <w:r w:rsidR="00523051">
        <w:rPr>
          <w:spacing w:val="1"/>
        </w:rPr>
        <w:t>R</w:t>
      </w:r>
      <w:r w:rsidR="00903E00">
        <w:t>egular ARMS production cycle</w:t>
      </w:r>
      <w:r w:rsidR="002D029F">
        <w:t xml:space="preserve">s are </w:t>
      </w:r>
      <w:r w:rsidR="00523051">
        <w:t xml:space="preserve">likely </w:t>
      </w:r>
      <w:r w:rsidR="002D029F">
        <w:t xml:space="preserve">improved </w:t>
      </w:r>
      <w:r w:rsidR="00523051">
        <w:t xml:space="preserve">further than this research suggests when </w:t>
      </w:r>
      <w:r w:rsidR="002D029F">
        <w:t>calibration targets are given appropriate attention in questionnaire design, enumeration, and editing</w:t>
      </w:r>
      <w:r w:rsidR="00523051">
        <w:t>.</w:t>
      </w:r>
      <w:r w:rsidR="006C3342">
        <w:t xml:space="preserve"> </w:t>
      </w:r>
      <w:r w:rsidR="00903E00">
        <w:t xml:space="preserve">Based on the calibration targets </w:t>
      </w:r>
      <w:r w:rsidR="006C3342">
        <w:t xml:space="preserve">used in </w:t>
      </w:r>
      <w:r>
        <w:t>research</w:t>
      </w:r>
      <w:r w:rsidR="00903E00">
        <w:t xml:space="preserve">, </w:t>
      </w:r>
      <w:r>
        <w:t xml:space="preserve">calibration </w:t>
      </w:r>
      <w:r w:rsidR="00595285">
        <w:t xml:space="preserve">is </w:t>
      </w:r>
      <w:r w:rsidR="00903E00">
        <w:t xml:space="preserve">demonstrated to be </w:t>
      </w:r>
      <w:r>
        <w:t xml:space="preserve">an effective statistical process for </w:t>
      </w:r>
      <w:r w:rsidR="00595285">
        <w:t xml:space="preserve">addressing </w:t>
      </w:r>
      <w:r w:rsidR="006C3342">
        <w:t xml:space="preserve">persistent </w:t>
      </w:r>
      <w:r w:rsidR="00CA6869">
        <w:t xml:space="preserve">regional ARMS </w:t>
      </w:r>
      <w:r w:rsidR="00595285">
        <w:t>nonresponse bias</w:t>
      </w:r>
      <w:r>
        <w:t>es</w:t>
      </w:r>
      <w:r w:rsidR="00595285">
        <w:t>.</w:t>
      </w:r>
    </w:p>
    <w:p w:rsidR="003E23D2" w14:paraId="28527F43" w14:textId="7FE8E77B">
      <w:pPr>
        <w:pStyle w:val="BodyText"/>
        <w:ind w:left="220" w:right="477"/>
        <w:jc w:val="both"/>
      </w:pPr>
    </w:p>
    <w:p w:rsidR="003E23D2" w14:paraId="25055817" w14:textId="77777777">
      <w:pPr>
        <w:pStyle w:val="BodyText"/>
        <w:ind w:left="220" w:right="477"/>
        <w:jc w:val="both"/>
      </w:pPr>
    </w:p>
    <w:p w:rsidR="000A0F2D" w14:paraId="3EC4ADD5" w14:textId="77777777">
      <w:pPr>
        <w:pStyle w:val="BodyText"/>
        <w:spacing w:before="1"/>
      </w:pPr>
    </w:p>
    <w:p w:rsidR="000A0F2D" w14:paraId="1A4DA7D0" w14:textId="7E4D1EA3">
      <w:pPr>
        <w:pStyle w:val="BodyText"/>
        <w:ind w:left="220" w:right="476"/>
        <w:jc w:val="both"/>
      </w:pPr>
      <w:r>
        <w:t>Limitations of this analysis include:</w:t>
      </w:r>
      <w:r>
        <w:rPr>
          <w:spacing w:val="1"/>
        </w:rPr>
        <w:t xml:space="preserve"> </w:t>
      </w:r>
      <w:r>
        <w:t xml:space="preserve">1) </w:t>
      </w:r>
      <w:r w:rsidR="00741031">
        <w:t xml:space="preserve">Slight calibration target mismatches between production ARMS and this research, namely </w:t>
      </w:r>
      <w:r>
        <w:t xml:space="preserve">egg </w:t>
      </w:r>
      <w:r w:rsidR="00800789">
        <w:t>and milk</w:t>
      </w:r>
      <w:r w:rsidRPr="00800789" w:rsidR="00800789">
        <w:t xml:space="preserve"> </w:t>
      </w:r>
      <w:r w:rsidR="00800789">
        <w:t>production</w:t>
      </w:r>
      <w:r>
        <w:t xml:space="preserve">; 2) </w:t>
      </w:r>
      <w:r w:rsidR="00741031">
        <w:t xml:space="preserve">Statistical tests </w:t>
      </w:r>
      <w:r w:rsidR="000A7EAD">
        <w:t xml:space="preserve">in this research are </w:t>
      </w:r>
      <w:r w:rsidR="00741031">
        <w:t xml:space="preserve">based on matching farms </w:t>
      </w:r>
      <w:r w:rsidRPr="00741031">
        <w:rPr>
          <w:i/>
          <w:iCs/>
        </w:rPr>
        <w:t>responding</w:t>
      </w:r>
      <w:r>
        <w:rPr>
          <w:spacing w:val="1"/>
        </w:rPr>
        <w:t xml:space="preserve"> </w:t>
      </w:r>
      <w:r>
        <w:t>to</w:t>
      </w:r>
      <w:r w:rsidR="00741031">
        <w:t xml:space="preserve"> </w:t>
      </w:r>
      <w:r>
        <w:t>the</w:t>
      </w:r>
      <w:r>
        <w:rPr>
          <w:spacing w:val="1"/>
        </w:rPr>
        <w:t xml:space="preserve"> </w:t>
      </w:r>
      <w:r w:rsidR="00A62B32">
        <w:rPr>
          <w:spacing w:val="1"/>
        </w:rPr>
        <w:t xml:space="preserve">2017 </w:t>
      </w:r>
      <w:r>
        <w:t>Census</w:t>
      </w:r>
      <w:r>
        <w:rPr>
          <w:spacing w:val="1"/>
        </w:rPr>
        <w:t xml:space="preserve"> </w:t>
      </w:r>
      <w:r>
        <w:t>of</w:t>
      </w:r>
      <w:r>
        <w:rPr>
          <w:spacing w:val="1"/>
        </w:rPr>
        <w:t xml:space="preserve"> </w:t>
      </w:r>
      <w:r>
        <w:t>Agriculture;</w:t>
      </w:r>
      <w:r>
        <w:rPr>
          <w:spacing w:val="1"/>
        </w:rPr>
        <w:t xml:space="preserve"> </w:t>
      </w:r>
      <w:r>
        <w:t>and</w:t>
      </w:r>
      <w:r>
        <w:rPr>
          <w:spacing w:val="1"/>
        </w:rPr>
        <w:t xml:space="preserve"> </w:t>
      </w:r>
      <w:r>
        <w:t>3)</w:t>
      </w:r>
      <w:r>
        <w:rPr>
          <w:spacing w:val="1"/>
        </w:rPr>
        <w:t xml:space="preserve"> </w:t>
      </w:r>
      <w:r w:rsidR="00741031">
        <w:rPr>
          <w:spacing w:val="1"/>
        </w:rPr>
        <w:t xml:space="preserve">no </w:t>
      </w:r>
      <w:r w:rsidR="00741031">
        <w:t>statistical tests</w:t>
      </w:r>
      <w:r w:rsidR="00B03388">
        <w:t xml:space="preserve"> produced</w:t>
      </w:r>
      <w:r w:rsidR="00741031">
        <w:t xml:space="preserve"> for </w:t>
      </w:r>
      <w:r w:rsidR="00A62B32">
        <w:t xml:space="preserve">subregional </w:t>
      </w:r>
      <w:r w:rsidR="00741031">
        <w:t xml:space="preserve">relative </w:t>
      </w:r>
      <w:r>
        <w:t>biases.</w:t>
      </w:r>
    </w:p>
    <w:p w:rsidR="00FA6C00" w14:paraId="1B530758" w14:textId="5B4D8BBD">
      <w:pPr>
        <w:pStyle w:val="BodyText"/>
        <w:ind w:left="220" w:right="476"/>
        <w:jc w:val="both"/>
      </w:pPr>
    </w:p>
    <w:p w:rsidR="00FA6C00" w14:paraId="48F6CA85" w14:textId="77777777">
      <w:pPr>
        <w:pStyle w:val="BodyText"/>
        <w:ind w:left="220" w:right="476"/>
        <w:jc w:val="both"/>
      </w:pPr>
    </w:p>
    <w:p w:rsidR="000A0F2D" w14:paraId="302B8B77" w14:textId="77777777">
      <w:pPr>
        <w:pStyle w:val="BodyText"/>
      </w:pPr>
    </w:p>
    <w:p w:rsidR="000A0F2D" w14:paraId="47C6B1A6" w14:textId="3E85D084">
      <w:pPr>
        <w:pStyle w:val="Heading2"/>
        <w:numPr>
          <w:ilvl w:val="0"/>
          <w:numId w:val="3"/>
        </w:numPr>
        <w:tabs>
          <w:tab w:val="left" w:pos="521"/>
        </w:tabs>
        <w:spacing w:before="1"/>
        <w:ind w:left="520" w:hanging="301"/>
        <w:jc w:val="left"/>
      </w:pPr>
      <w:r>
        <w:t>R</w:t>
      </w:r>
      <w:r w:rsidR="00FA6C00">
        <w:t>ECOMMENDATIONS</w:t>
      </w:r>
    </w:p>
    <w:p w:rsidR="000A0F2D" w14:paraId="2C9A02E0" w14:textId="77777777">
      <w:pPr>
        <w:pStyle w:val="BodyText"/>
        <w:rPr>
          <w:b/>
        </w:rPr>
      </w:pPr>
    </w:p>
    <w:p w:rsidR="000A0F2D" w14:paraId="2B6D0F7D" w14:textId="0B8BE26A">
      <w:pPr>
        <w:pStyle w:val="BodyText"/>
        <w:ind w:left="220"/>
        <w:jc w:val="both"/>
      </w:pPr>
      <w:r>
        <w:t>Based</w:t>
      </w:r>
      <w:r>
        <w:rPr>
          <w:spacing w:val="-1"/>
        </w:rPr>
        <w:t xml:space="preserve"> </w:t>
      </w:r>
      <w:r>
        <w:t>on</w:t>
      </w:r>
      <w:r>
        <w:rPr>
          <w:spacing w:val="-1"/>
        </w:rPr>
        <w:t xml:space="preserve"> </w:t>
      </w:r>
      <w:r>
        <w:t>the</w:t>
      </w:r>
      <w:r>
        <w:rPr>
          <w:spacing w:val="-1"/>
        </w:rPr>
        <w:t xml:space="preserve"> </w:t>
      </w:r>
      <w:r w:rsidR="00A62B32">
        <w:rPr>
          <w:spacing w:val="-1"/>
        </w:rPr>
        <w:t xml:space="preserve">current research </w:t>
      </w:r>
      <w:r>
        <w:t>results, the</w:t>
      </w:r>
      <w:r>
        <w:rPr>
          <w:spacing w:val="-1"/>
        </w:rPr>
        <w:t xml:space="preserve"> </w:t>
      </w:r>
      <w:r>
        <w:t>following</w:t>
      </w:r>
      <w:r>
        <w:rPr>
          <w:spacing w:val="-4"/>
        </w:rPr>
        <w:t xml:space="preserve"> </w:t>
      </w:r>
      <w:r>
        <w:t>recommendations are</w:t>
      </w:r>
      <w:r>
        <w:rPr>
          <w:spacing w:val="-2"/>
        </w:rPr>
        <w:t xml:space="preserve"> </w:t>
      </w:r>
      <w:r w:rsidR="00A62B32">
        <w:rPr>
          <w:spacing w:val="-2"/>
        </w:rPr>
        <w:t>made</w:t>
      </w:r>
      <w:r>
        <w:t>:</w:t>
      </w:r>
    </w:p>
    <w:p w:rsidR="000A0F2D" w14:paraId="11F7E629" w14:textId="77777777">
      <w:pPr>
        <w:pStyle w:val="BodyText"/>
      </w:pPr>
    </w:p>
    <w:p w:rsidR="0060558C" w:rsidRPr="0060558C" w:rsidP="0060558C" w14:paraId="03012AA4" w14:textId="77777777">
      <w:pPr>
        <w:pStyle w:val="ListParagraph"/>
        <w:numPr>
          <w:ilvl w:val="1"/>
          <w:numId w:val="3"/>
        </w:numPr>
        <w:tabs>
          <w:tab w:val="left" w:pos="1128"/>
        </w:tabs>
        <w:ind w:right="473"/>
        <w:jc w:val="both"/>
        <w:rPr>
          <w:sz w:val="24"/>
        </w:rPr>
      </w:pPr>
      <w:r w:rsidRPr="0060558C">
        <w:rPr>
          <w:sz w:val="24"/>
        </w:rPr>
        <w:t xml:space="preserve">ARMS Phase III nonresponse bias should be reevaluated when the 2022 Census data are available. </w:t>
      </w:r>
    </w:p>
    <w:p w:rsidR="0060558C" w:rsidRPr="0060558C" w:rsidP="0060558C" w14:paraId="5ECD8EE6" w14:textId="77777777">
      <w:pPr>
        <w:pStyle w:val="ListParagraph"/>
        <w:tabs>
          <w:tab w:val="left" w:pos="1128"/>
        </w:tabs>
        <w:ind w:right="473" w:firstLine="0"/>
        <w:jc w:val="both"/>
        <w:rPr>
          <w:sz w:val="24"/>
        </w:rPr>
      </w:pPr>
    </w:p>
    <w:p w:rsidR="0060558C" w:rsidRPr="0060558C" w:rsidP="0060558C" w14:paraId="0EEFE5AD" w14:textId="77777777">
      <w:pPr>
        <w:pStyle w:val="ListParagraph"/>
        <w:numPr>
          <w:ilvl w:val="1"/>
          <w:numId w:val="3"/>
        </w:numPr>
        <w:tabs>
          <w:tab w:val="left" w:pos="1128"/>
        </w:tabs>
        <w:ind w:right="473"/>
        <w:jc w:val="both"/>
        <w:rPr>
          <w:sz w:val="24"/>
        </w:rPr>
      </w:pPr>
      <w:r w:rsidRPr="0060558C">
        <w:rPr>
          <w:sz w:val="24"/>
        </w:rPr>
        <w:t>Continue ARMS Phase III target records estimation process and the adaptive data collection strategies that maximize response.</w:t>
      </w:r>
    </w:p>
    <w:p w:rsidR="0060558C" w:rsidRPr="0060558C" w:rsidP="0060558C" w14:paraId="244AD958" w14:textId="77777777">
      <w:pPr>
        <w:pStyle w:val="ListParagraph"/>
        <w:tabs>
          <w:tab w:val="left" w:pos="1128"/>
        </w:tabs>
        <w:ind w:right="473" w:firstLine="0"/>
        <w:jc w:val="both"/>
        <w:rPr>
          <w:sz w:val="24"/>
        </w:rPr>
      </w:pPr>
    </w:p>
    <w:p w:rsidR="0060558C" w:rsidRPr="0060558C" w:rsidP="0060558C" w14:paraId="6680C0FC" w14:textId="77777777">
      <w:pPr>
        <w:pStyle w:val="ListParagraph"/>
        <w:numPr>
          <w:ilvl w:val="1"/>
          <w:numId w:val="3"/>
        </w:numPr>
        <w:tabs>
          <w:tab w:val="left" w:pos="1128"/>
        </w:tabs>
        <w:ind w:right="473"/>
        <w:jc w:val="both"/>
        <w:rPr>
          <w:sz w:val="24"/>
        </w:rPr>
      </w:pPr>
      <w:r w:rsidRPr="0060558C">
        <w:rPr>
          <w:sz w:val="24"/>
        </w:rPr>
        <w:t xml:space="preserve">Search for biases at levels other than region. </w:t>
      </w:r>
    </w:p>
    <w:p w:rsidR="000A0F2D" w:rsidRPr="008E785D" w:rsidP="0060558C" w14:paraId="784412DE" w14:textId="4E316E84">
      <w:pPr>
        <w:pStyle w:val="ListParagraph"/>
        <w:tabs>
          <w:tab w:val="left" w:pos="1128"/>
        </w:tabs>
        <w:ind w:left="1120" w:right="473" w:firstLine="0"/>
        <w:jc w:val="right"/>
      </w:pPr>
      <w:r w:rsidRPr="00A62B32">
        <w:rPr>
          <w:spacing w:val="61"/>
          <w:sz w:val="24"/>
        </w:rPr>
        <w:t xml:space="preserve"> </w:t>
      </w:r>
    </w:p>
    <w:p w:rsidR="008E785D" w:rsidP="008E785D" w14:paraId="36BDD8E4" w14:textId="77777777">
      <w:pPr>
        <w:pStyle w:val="ListParagraph"/>
        <w:tabs>
          <w:tab w:val="left" w:pos="1128"/>
        </w:tabs>
        <w:ind w:left="1120" w:right="473" w:firstLine="0"/>
        <w:jc w:val="right"/>
      </w:pPr>
    </w:p>
    <w:p w:rsidR="000A0F2D" w:rsidP="0060558C" w14:paraId="6694D8BD" w14:textId="551376CC">
      <w:pPr>
        <w:pStyle w:val="ListParagraph"/>
        <w:tabs>
          <w:tab w:val="left" w:pos="1146"/>
        </w:tabs>
        <w:spacing w:before="1"/>
        <w:ind w:left="1120" w:right="483" w:firstLine="0"/>
        <w:jc w:val="right"/>
        <w:rPr>
          <w:sz w:val="24"/>
        </w:rPr>
      </w:pPr>
    </w:p>
    <w:p w:rsidR="000A0F2D" w14:paraId="774BC1DE" w14:textId="77777777">
      <w:pPr>
        <w:jc w:val="both"/>
        <w:rPr>
          <w:sz w:val="24"/>
        </w:rPr>
        <w:sectPr>
          <w:footerReference w:type="even" r:id="rId25"/>
          <w:footerReference w:type="default" r:id="rId26"/>
          <w:pgSz w:w="12240" w:h="15840"/>
          <w:pgMar w:top="1360" w:right="1320" w:bottom="980" w:left="1580" w:header="0" w:footer="792" w:gutter="0"/>
          <w:cols w:space="720"/>
        </w:sectPr>
      </w:pPr>
    </w:p>
    <w:p w:rsidR="000A0F2D" w:rsidP="00E178E4" w14:paraId="3059617A" w14:textId="22491C73">
      <w:pPr>
        <w:pStyle w:val="Heading2"/>
        <w:numPr>
          <w:ilvl w:val="0"/>
          <w:numId w:val="3"/>
        </w:numPr>
        <w:tabs>
          <w:tab w:val="left" w:pos="521"/>
        </w:tabs>
        <w:spacing w:before="72"/>
        <w:jc w:val="left"/>
      </w:pPr>
      <w:r>
        <w:t>REFERENCES</w:t>
      </w:r>
    </w:p>
    <w:p w:rsidR="00603BDC" w:rsidP="00603BDC" w14:paraId="69D53EFE" w14:textId="34DE8099">
      <w:pPr>
        <w:pStyle w:val="Heading2"/>
        <w:tabs>
          <w:tab w:val="left" w:pos="521"/>
        </w:tabs>
        <w:spacing w:before="72"/>
        <w:jc w:val="right"/>
      </w:pPr>
    </w:p>
    <w:p w:rsidR="00603BDC" w:rsidRPr="00603BDC" w:rsidP="00603BDC" w14:paraId="56F83DC1" w14:textId="4C3D2D7C">
      <w:pPr>
        <w:pStyle w:val="ListParagraph"/>
        <w:numPr>
          <w:ilvl w:val="1"/>
          <w:numId w:val="3"/>
        </w:numPr>
        <w:ind w:right="607"/>
        <w:rPr>
          <w:sz w:val="24"/>
        </w:rPr>
      </w:pPr>
      <w:r w:rsidRPr="00603BDC">
        <w:rPr>
          <w:sz w:val="24"/>
        </w:rPr>
        <w:t>Davies, G., J. Gillard, and A. Zhigljavsky. 2016. “Comparative Study of Different Penalty Functions and Algorithms in Survey Calibration.” In Advances in Stochastic and Deterministic Global Optimization, 87–127. Cham: Springer International Publishing. https://doi.org/10.1007/978-3-319-29975-4_6.</w:t>
      </w:r>
    </w:p>
    <w:p w:rsidR="000A0F2D" w:rsidRPr="00603BDC" w:rsidP="00603BDC" w14:paraId="6FFD5AA9" w14:textId="77777777">
      <w:pPr>
        <w:pStyle w:val="ListParagraph"/>
        <w:ind w:right="607" w:firstLine="0"/>
        <w:rPr>
          <w:sz w:val="24"/>
        </w:rPr>
      </w:pPr>
    </w:p>
    <w:p w:rsidR="00166D29" w:rsidRPr="00FA6C00" w:rsidP="00FA6C00" w14:paraId="6B174B05" w14:textId="4BFD3D6F">
      <w:pPr>
        <w:pStyle w:val="ListParagraph"/>
        <w:numPr>
          <w:ilvl w:val="1"/>
          <w:numId w:val="3"/>
        </w:numPr>
        <w:ind w:right="607"/>
        <w:rPr>
          <w:sz w:val="24"/>
        </w:rPr>
      </w:pPr>
      <w:r w:rsidRPr="00FA6C00">
        <w:rPr>
          <w:sz w:val="24"/>
        </w:rPr>
        <w:t xml:space="preserve">Earp, M.S., McCarthy, J.S., </w:t>
      </w:r>
      <w:r w:rsidRPr="00FA6C00">
        <w:rPr>
          <w:sz w:val="24"/>
        </w:rPr>
        <w:t>Shauer</w:t>
      </w:r>
      <w:r w:rsidRPr="00FA6C00">
        <w:rPr>
          <w:sz w:val="24"/>
        </w:rPr>
        <w:t>, N.D., &amp; Kott, P.S. (200</w:t>
      </w:r>
      <w:r w:rsidRPr="00FA6C00" w:rsidR="008E785D">
        <w:rPr>
          <w:sz w:val="24"/>
        </w:rPr>
        <w:t>8</w:t>
      </w:r>
      <w:r w:rsidRPr="00FA6C00">
        <w:rPr>
          <w:sz w:val="24"/>
        </w:rPr>
        <w:t xml:space="preserve">), </w:t>
      </w:r>
      <w:r w:rsidRPr="00603BDC" w:rsidR="000A5A5F">
        <w:rPr>
          <w:sz w:val="24"/>
        </w:rPr>
        <w:t>Assessing the Effect of Calibration on</w:t>
      </w:r>
      <w:r w:rsidRPr="00FA6C00" w:rsidR="000A5A5F">
        <w:rPr>
          <w:sz w:val="24"/>
        </w:rPr>
        <w:t xml:space="preserve"> </w:t>
      </w:r>
      <w:r w:rsidRPr="00603BDC">
        <w:rPr>
          <w:sz w:val="24"/>
        </w:rPr>
        <w:t>Nonresponse Bias in the 2005 ARMS Phase III Sample Using 2002 Census of Agriculture Data</w:t>
      </w:r>
      <w:r w:rsidRPr="00FA6C00">
        <w:rPr>
          <w:sz w:val="24"/>
        </w:rPr>
        <w:t>. Research and Development Division Staff Report RDD-08-06, United States Department of Agriculture, National Agricultural Statistics Service.</w:t>
      </w:r>
    </w:p>
    <w:p w:rsidR="00166D29" w:rsidRPr="00166D29" w:rsidP="00603BDC" w14:paraId="5FCC6BF7" w14:textId="77A5F98C">
      <w:pPr>
        <w:pStyle w:val="ListParagraph"/>
        <w:ind w:right="607" w:firstLine="0"/>
        <w:rPr>
          <w:sz w:val="24"/>
        </w:rPr>
      </w:pPr>
    </w:p>
    <w:p w:rsidR="000A0F2D" w:rsidRPr="00FA6C00" w:rsidP="00FA6C00" w14:paraId="658C0153" w14:textId="0AD994F7">
      <w:pPr>
        <w:pStyle w:val="ListParagraph"/>
        <w:numPr>
          <w:ilvl w:val="1"/>
          <w:numId w:val="3"/>
        </w:numPr>
        <w:ind w:right="607"/>
        <w:rPr>
          <w:sz w:val="24"/>
        </w:rPr>
      </w:pPr>
      <w:r w:rsidRPr="00FA6C00">
        <w:rPr>
          <w:sz w:val="24"/>
        </w:rPr>
        <w:t xml:space="preserve">Earp, M.S., McCarthy, J.S., </w:t>
      </w:r>
      <w:r w:rsidRPr="00FA6C00">
        <w:rPr>
          <w:sz w:val="24"/>
        </w:rPr>
        <w:t>Shauer</w:t>
      </w:r>
      <w:r w:rsidRPr="00FA6C00">
        <w:rPr>
          <w:sz w:val="24"/>
        </w:rPr>
        <w:t xml:space="preserve">, N.D., &amp; Kott, P.S. (2008), </w:t>
      </w:r>
      <w:r w:rsidRPr="00603BDC">
        <w:rPr>
          <w:sz w:val="24"/>
        </w:rPr>
        <w:t>Assessing the Effect of Calibration on Nonresponse Bias in the 200</w:t>
      </w:r>
      <w:r w:rsidRPr="00603BDC" w:rsidR="003B7E3F">
        <w:rPr>
          <w:sz w:val="24"/>
        </w:rPr>
        <w:t>6</w:t>
      </w:r>
      <w:r w:rsidRPr="00603BDC">
        <w:rPr>
          <w:sz w:val="24"/>
        </w:rPr>
        <w:t xml:space="preserve"> ARMS Phase III Sample Using Census 2002 Data</w:t>
      </w:r>
      <w:r w:rsidRPr="00FA6C00">
        <w:rPr>
          <w:sz w:val="24"/>
        </w:rPr>
        <w:t>.</w:t>
      </w:r>
      <w:r w:rsidRPr="00603BDC">
        <w:rPr>
          <w:sz w:val="24"/>
        </w:rPr>
        <w:t xml:space="preserve"> </w:t>
      </w:r>
      <w:r w:rsidRPr="00FA6C00">
        <w:rPr>
          <w:sz w:val="24"/>
        </w:rPr>
        <w:t>Research and Development Division Staff Report RDD-08-01, United</w:t>
      </w:r>
      <w:r w:rsidRPr="00603BDC">
        <w:rPr>
          <w:sz w:val="24"/>
        </w:rPr>
        <w:t xml:space="preserve"> </w:t>
      </w:r>
      <w:r w:rsidRPr="00FA6C00">
        <w:rPr>
          <w:sz w:val="24"/>
        </w:rPr>
        <w:t>States</w:t>
      </w:r>
      <w:r w:rsidRPr="00603BDC">
        <w:rPr>
          <w:sz w:val="24"/>
        </w:rPr>
        <w:t xml:space="preserve"> </w:t>
      </w:r>
      <w:r w:rsidRPr="00FA6C00">
        <w:rPr>
          <w:sz w:val="24"/>
        </w:rPr>
        <w:t>Department</w:t>
      </w:r>
      <w:r w:rsidRPr="00603BDC">
        <w:rPr>
          <w:sz w:val="24"/>
        </w:rPr>
        <w:t xml:space="preserve"> </w:t>
      </w:r>
      <w:r w:rsidRPr="00FA6C00">
        <w:rPr>
          <w:sz w:val="24"/>
        </w:rPr>
        <w:t>of Agriculture,</w:t>
      </w:r>
      <w:r w:rsidRPr="00603BDC">
        <w:rPr>
          <w:sz w:val="24"/>
        </w:rPr>
        <w:t xml:space="preserve"> </w:t>
      </w:r>
      <w:r w:rsidRPr="00FA6C00">
        <w:rPr>
          <w:sz w:val="24"/>
        </w:rPr>
        <w:t>National Agricultural</w:t>
      </w:r>
      <w:r w:rsidRPr="00603BDC">
        <w:rPr>
          <w:sz w:val="24"/>
        </w:rPr>
        <w:t xml:space="preserve"> </w:t>
      </w:r>
      <w:r w:rsidRPr="00FA6C00">
        <w:rPr>
          <w:sz w:val="24"/>
        </w:rPr>
        <w:t>Statistics Service.</w:t>
      </w:r>
    </w:p>
    <w:p w:rsidR="000A0F2D" w:rsidRPr="00603BDC" w:rsidP="00603BDC" w14:paraId="471BB7C6" w14:textId="77777777">
      <w:pPr>
        <w:pStyle w:val="ListParagraph"/>
        <w:ind w:right="607" w:firstLine="0"/>
        <w:rPr>
          <w:sz w:val="24"/>
        </w:rPr>
      </w:pPr>
    </w:p>
    <w:p w:rsidR="000A0F2D" w:rsidRPr="00603BDC" w:rsidP="00603BDC" w14:paraId="0D6612FB" w14:textId="5CDF7B30">
      <w:pPr>
        <w:pStyle w:val="ListParagraph"/>
        <w:numPr>
          <w:ilvl w:val="1"/>
          <w:numId w:val="3"/>
        </w:numPr>
        <w:ind w:right="607"/>
        <w:rPr>
          <w:sz w:val="24"/>
        </w:rPr>
      </w:pPr>
      <w:r w:rsidRPr="00603BDC">
        <w:rPr>
          <w:sz w:val="24"/>
        </w:rPr>
        <w:t>Kott, P.S. (2005), “Using Calibration Weighting to Adjust for Nonresponse and Coverage Errors” Survey Methodology 32: 133-142.</w:t>
      </w:r>
    </w:p>
    <w:p w:rsidR="000A0F2D" w:rsidRPr="00603BDC" w:rsidP="00603BDC" w14:paraId="1FF2D7D0" w14:textId="77777777">
      <w:pPr>
        <w:pStyle w:val="ListParagraph"/>
        <w:ind w:right="607" w:firstLine="0"/>
        <w:rPr>
          <w:sz w:val="24"/>
        </w:rPr>
      </w:pPr>
    </w:p>
    <w:p w:rsidR="000A0F2D" w:rsidRPr="00FA6C00" w:rsidP="00603BDC" w14:paraId="424E1BFB" w14:textId="5B95279D">
      <w:pPr>
        <w:pStyle w:val="ListParagraph"/>
        <w:numPr>
          <w:ilvl w:val="1"/>
          <w:numId w:val="3"/>
        </w:numPr>
        <w:ind w:right="607"/>
        <w:rPr>
          <w:sz w:val="24"/>
        </w:rPr>
      </w:pPr>
      <w:bookmarkStart w:id="8" w:name="_Hlk100735477"/>
      <w:r w:rsidRPr="00FA6C00">
        <w:rPr>
          <w:sz w:val="24"/>
        </w:rPr>
        <w:t>Hopper, R. (2007).</w:t>
      </w:r>
      <w:r w:rsidRPr="00603BDC">
        <w:rPr>
          <w:sz w:val="24"/>
        </w:rPr>
        <w:t xml:space="preserve"> 2006 Agricultural Resource Management Survey (ARMS) Phase III Survey Administration Analysis. </w:t>
      </w:r>
      <w:r w:rsidRPr="00FA6C00">
        <w:rPr>
          <w:sz w:val="24"/>
        </w:rPr>
        <w:t>Census and Survey Division Staff Report SAB-07-</w:t>
      </w:r>
      <w:r w:rsidRPr="00603BDC">
        <w:rPr>
          <w:sz w:val="24"/>
        </w:rPr>
        <w:t xml:space="preserve"> </w:t>
      </w:r>
      <w:r w:rsidRPr="00FA6C00">
        <w:rPr>
          <w:sz w:val="24"/>
        </w:rPr>
        <w:t>14,</w:t>
      </w:r>
      <w:r w:rsidRPr="00603BDC">
        <w:rPr>
          <w:sz w:val="24"/>
        </w:rPr>
        <w:t xml:space="preserve"> </w:t>
      </w:r>
      <w:r w:rsidRPr="00FA6C00">
        <w:rPr>
          <w:sz w:val="24"/>
        </w:rPr>
        <w:t>United</w:t>
      </w:r>
      <w:r w:rsidRPr="00603BDC">
        <w:rPr>
          <w:sz w:val="24"/>
        </w:rPr>
        <w:t xml:space="preserve"> </w:t>
      </w:r>
      <w:r w:rsidRPr="00FA6C00">
        <w:rPr>
          <w:sz w:val="24"/>
        </w:rPr>
        <w:t>States</w:t>
      </w:r>
      <w:r w:rsidRPr="00603BDC">
        <w:rPr>
          <w:sz w:val="24"/>
        </w:rPr>
        <w:t xml:space="preserve"> </w:t>
      </w:r>
      <w:r w:rsidRPr="00FA6C00">
        <w:rPr>
          <w:sz w:val="24"/>
        </w:rPr>
        <w:t>Department</w:t>
      </w:r>
      <w:r w:rsidRPr="00603BDC">
        <w:rPr>
          <w:sz w:val="24"/>
        </w:rPr>
        <w:t xml:space="preserve"> </w:t>
      </w:r>
      <w:r w:rsidRPr="00FA6C00">
        <w:rPr>
          <w:sz w:val="24"/>
        </w:rPr>
        <w:t>of</w:t>
      </w:r>
      <w:r w:rsidRPr="00603BDC">
        <w:rPr>
          <w:sz w:val="24"/>
        </w:rPr>
        <w:t xml:space="preserve"> </w:t>
      </w:r>
      <w:r w:rsidRPr="00FA6C00">
        <w:rPr>
          <w:sz w:val="24"/>
        </w:rPr>
        <w:t>Agriculture,</w:t>
      </w:r>
      <w:r w:rsidRPr="00603BDC">
        <w:rPr>
          <w:sz w:val="24"/>
        </w:rPr>
        <w:t xml:space="preserve"> </w:t>
      </w:r>
      <w:r w:rsidRPr="00FA6C00">
        <w:rPr>
          <w:sz w:val="24"/>
        </w:rPr>
        <w:t>National</w:t>
      </w:r>
      <w:r w:rsidRPr="00603BDC">
        <w:rPr>
          <w:sz w:val="24"/>
        </w:rPr>
        <w:t xml:space="preserve"> </w:t>
      </w:r>
      <w:r w:rsidRPr="00FA6C00">
        <w:rPr>
          <w:sz w:val="24"/>
        </w:rPr>
        <w:t>Agricultural</w:t>
      </w:r>
      <w:r w:rsidRPr="00603BDC">
        <w:rPr>
          <w:sz w:val="24"/>
        </w:rPr>
        <w:t xml:space="preserve"> </w:t>
      </w:r>
      <w:r w:rsidRPr="00FA6C00">
        <w:rPr>
          <w:sz w:val="24"/>
        </w:rPr>
        <w:t>Statistics</w:t>
      </w:r>
      <w:r w:rsidRPr="00603BDC">
        <w:rPr>
          <w:sz w:val="24"/>
        </w:rPr>
        <w:t xml:space="preserve"> </w:t>
      </w:r>
      <w:r w:rsidRPr="00FA6C00">
        <w:rPr>
          <w:sz w:val="24"/>
        </w:rPr>
        <w:t>Service.</w:t>
      </w:r>
    </w:p>
    <w:bookmarkEnd w:id="8"/>
    <w:p w:rsidR="000A0F2D" w:rsidRPr="00603BDC" w:rsidP="00603BDC" w14:paraId="499448B8" w14:textId="77777777">
      <w:pPr>
        <w:pStyle w:val="ListParagraph"/>
        <w:ind w:right="607" w:firstLine="0"/>
        <w:rPr>
          <w:sz w:val="24"/>
        </w:rPr>
      </w:pPr>
    </w:p>
    <w:p w:rsidR="000A0F2D" w:rsidRPr="00FA6C00" w:rsidP="00FA6C00" w14:paraId="58B6A132" w14:textId="4E083C6A">
      <w:pPr>
        <w:pStyle w:val="ListParagraph"/>
        <w:numPr>
          <w:ilvl w:val="1"/>
          <w:numId w:val="3"/>
        </w:numPr>
        <w:ind w:right="607"/>
        <w:rPr>
          <w:sz w:val="24"/>
        </w:rPr>
      </w:pPr>
      <w:r w:rsidRPr="00FA6C00">
        <w:rPr>
          <w:sz w:val="24"/>
        </w:rPr>
        <w:t>United States.</w:t>
      </w:r>
      <w:r w:rsidRPr="00603BDC">
        <w:rPr>
          <w:sz w:val="24"/>
        </w:rPr>
        <w:t xml:space="preserve"> </w:t>
      </w:r>
      <w:r w:rsidRPr="00FA6C00">
        <w:rPr>
          <w:sz w:val="24"/>
        </w:rPr>
        <w:t>Department of Agriculture.</w:t>
      </w:r>
      <w:r w:rsidRPr="00603BDC">
        <w:rPr>
          <w:sz w:val="24"/>
        </w:rPr>
        <w:t xml:space="preserve"> </w:t>
      </w:r>
      <w:r w:rsidRPr="00FA6C00">
        <w:rPr>
          <w:sz w:val="24"/>
        </w:rPr>
        <w:t>(2002).</w:t>
      </w:r>
      <w:r w:rsidRPr="00603BDC">
        <w:rPr>
          <w:sz w:val="24"/>
        </w:rPr>
        <w:t xml:space="preserve"> 2002 Census of Agriculture, Vol. 1, Appendix C.  </w:t>
      </w:r>
      <w:r w:rsidRPr="00FA6C00">
        <w:rPr>
          <w:sz w:val="24"/>
        </w:rPr>
        <w:t>Washington,</w:t>
      </w:r>
      <w:r w:rsidRPr="00603BDC">
        <w:rPr>
          <w:sz w:val="24"/>
        </w:rPr>
        <w:t xml:space="preserve"> </w:t>
      </w:r>
      <w:r w:rsidRPr="00FA6C00">
        <w:rPr>
          <w:sz w:val="24"/>
        </w:rPr>
        <w:t>DC: U.S. Department</w:t>
      </w:r>
      <w:r w:rsidRPr="00603BDC">
        <w:rPr>
          <w:sz w:val="24"/>
        </w:rPr>
        <w:t xml:space="preserve"> </w:t>
      </w:r>
      <w:r w:rsidRPr="00FA6C00">
        <w:rPr>
          <w:sz w:val="24"/>
        </w:rPr>
        <w:t>of</w:t>
      </w:r>
      <w:r w:rsidRPr="00603BDC">
        <w:rPr>
          <w:sz w:val="24"/>
        </w:rPr>
        <w:t xml:space="preserve"> </w:t>
      </w:r>
      <w:r w:rsidRPr="00FA6C00">
        <w:rPr>
          <w:sz w:val="24"/>
        </w:rPr>
        <w:t>Agriculture.</w:t>
      </w:r>
    </w:p>
    <w:p w:rsidR="000A0F2D" w:rsidRPr="00603BDC" w:rsidP="00603BDC" w14:paraId="7152D9A5" w14:textId="77777777">
      <w:pPr>
        <w:pStyle w:val="ListParagraph"/>
        <w:ind w:right="607" w:firstLine="0"/>
        <w:rPr>
          <w:sz w:val="24"/>
        </w:rPr>
      </w:pPr>
    </w:p>
    <w:p w:rsidR="000A0F2D" w:rsidRPr="00FA6C00" w:rsidP="00603BDC" w14:paraId="12749105" w14:textId="4691C46D">
      <w:pPr>
        <w:pStyle w:val="ListParagraph"/>
        <w:numPr>
          <w:ilvl w:val="1"/>
          <w:numId w:val="3"/>
        </w:numPr>
        <w:ind w:right="607"/>
        <w:rPr>
          <w:sz w:val="24"/>
        </w:rPr>
      </w:pPr>
      <w:r w:rsidRPr="00FA6C00">
        <w:rPr>
          <w:sz w:val="24"/>
        </w:rPr>
        <w:t>United States.</w:t>
      </w:r>
      <w:r w:rsidRPr="00603BDC">
        <w:rPr>
          <w:sz w:val="24"/>
        </w:rPr>
        <w:t xml:space="preserve"> </w:t>
      </w:r>
      <w:r w:rsidRPr="00FA6C00">
        <w:rPr>
          <w:sz w:val="24"/>
        </w:rPr>
        <w:t>Department of Agriculture.</w:t>
      </w:r>
      <w:r w:rsidRPr="00603BDC">
        <w:rPr>
          <w:sz w:val="24"/>
        </w:rPr>
        <w:t xml:space="preserve"> </w:t>
      </w:r>
      <w:r w:rsidRPr="00FA6C00">
        <w:rPr>
          <w:sz w:val="24"/>
        </w:rPr>
        <w:t>2007.</w:t>
      </w:r>
      <w:r w:rsidRPr="00603BDC">
        <w:rPr>
          <w:sz w:val="24"/>
        </w:rPr>
        <w:t xml:space="preserve"> 2006 Agricultural Resource Management Survey (ARMS) Phase III Survey Administration Analysis. </w:t>
      </w:r>
      <w:r w:rsidRPr="00FA6C00">
        <w:rPr>
          <w:sz w:val="24"/>
        </w:rPr>
        <w:t>Washington,</w:t>
      </w:r>
      <w:r w:rsidRPr="00603BDC">
        <w:rPr>
          <w:sz w:val="24"/>
        </w:rPr>
        <w:t xml:space="preserve"> </w:t>
      </w:r>
      <w:r w:rsidRPr="00FA6C00">
        <w:rPr>
          <w:sz w:val="24"/>
        </w:rPr>
        <w:t>DC:</w:t>
      </w:r>
      <w:r w:rsidRPr="00603BDC">
        <w:rPr>
          <w:sz w:val="24"/>
        </w:rPr>
        <w:t xml:space="preserve"> </w:t>
      </w:r>
      <w:r w:rsidRPr="00FA6C00">
        <w:rPr>
          <w:sz w:val="24"/>
        </w:rPr>
        <w:t>U.S. Department of</w:t>
      </w:r>
      <w:r w:rsidRPr="00603BDC">
        <w:rPr>
          <w:sz w:val="24"/>
        </w:rPr>
        <w:t xml:space="preserve"> </w:t>
      </w:r>
      <w:r w:rsidRPr="00FA6C00">
        <w:rPr>
          <w:sz w:val="24"/>
        </w:rPr>
        <w:t>Agriculture.</w:t>
      </w:r>
    </w:p>
    <w:p w:rsidR="000A0F2D" w:rsidRPr="00603BDC" w:rsidP="00603BDC" w14:paraId="1CEC2CE2" w14:textId="77777777">
      <w:pPr>
        <w:pStyle w:val="ListParagraph"/>
        <w:ind w:right="607" w:firstLine="0"/>
        <w:rPr>
          <w:sz w:val="24"/>
        </w:rPr>
      </w:pPr>
    </w:p>
    <w:p w:rsidR="000A0F2D" w:rsidRPr="00FA6C00" w:rsidP="00603BDC" w14:paraId="2B829931" w14:textId="6C641BD0">
      <w:pPr>
        <w:pStyle w:val="ListParagraph"/>
        <w:numPr>
          <w:ilvl w:val="1"/>
          <w:numId w:val="3"/>
        </w:numPr>
        <w:ind w:right="607"/>
        <w:rPr>
          <w:sz w:val="24"/>
        </w:rPr>
      </w:pPr>
      <w:r w:rsidRPr="00FA6C00">
        <w:rPr>
          <w:sz w:val="24"/>
        </w:rPr>
        <w:t xml:space="preserve">United States. Department of Education. 2003. </w:t>
      </w:r>
      <w:r w:rsidRPr="00603BDC">
        <w:rPr>
          <w:sz w:val="24"/>
        </w:rPr>
        <w:t xml:space="preserve">National Center for Education Statistics Statistical Standards. </w:t>
      </w:r>
      <w:r w:rsidRPr="00FA6C00">
        <w:rPr>
          <w:sz w:val="24"/>
        </w:rPr>
        <w:t>Washington,</w:t>
      </w:r>
      <w:r w:rsidRPr="00603BDC">
        <w:rPr>
          <w:sz w:val="24"/>
        </w:rPr>
        <w:t xml:space="preserve"> </w:t>
      </w:r>
      <w:r w:rsidRPr="00FA6C00">
        <w:rPr>
          <w:sz w:val="24"/>
        </w:rPr>
        <w:t>DC: U.S. Department</w:t>
      </w:r>
      <w:r w:rsidRPr="00603BDC">
        <w:rPr>
          <w:sz w:val="24"/>
        </w:rPr>
        <w:t xml:space="preserve"> </w:t>
      </w:r>
      <w:r w:rsidRPr="00FA6C00">
        <w:rPr>
          <w:sz w:val="24"/>
        </w:rPr>
        <w:t>of Education.</w:t>
      </w:r>
    </w:p>
    <w:p w:rsidR="00FA6C00" w:rsidP="00603BDC" w14:paraId="596C1693" w14:textId="77777777">
      <w:pPr>
        <w:pStyle w:val="ListParagraph"/>
        <w:ind w:right="607" w:firstLine="0"/>
        <w:rPr>
          <w:sz w:val="24"/>
        </w:rPr>
      </w:pPr>
    </w:p>
    <w:p w:rsidR="000A0F2D" w:rsidRPr="00FA6C00" w:rsidP="00603BDC" w14:paraId="2BEA1722" w14:textId="756E3895">
      <w:pPr>
        <w:pStyle w:val="ListParagraph"/>
        <w:numPr>
          <w:ilvl w:val="1"/>
          <w:numId w:val="3"/>
        </w:numPr>
        <w:ind w:right="607"/>
        <w:rPr>
          <w:sz w:val="24"/>
        </w:rPr>
      </w:pPr>
      <w:r w:rsidRPr="00FA6C00">
        <w:rPr>
          <w:sz w:val="24"/>
        </w:rPr>
        <w:t>United</w:t>
      </w:r>
      <w:r w:rsidRPr="00603BDC">
        <w:rPr>
          <w:sz w:val="24"/>
        </w:rPr>
        <w:t xml:space="preserve"> </w:t>
      </w:r>
      <w:r w:rsidRPr="00FA6C00">
        <w:rPr>
          <w:sz w:val="24"/>
        </w:rPr>
        <w:t>States. Executive</w:t>
      </w:r>
      <w:r w:rsidRPr="00603BDC">
        <w:rPr>
          <w:sz w:val="24"/>
        </w:rPr>
        <w:t xml:space="preserve"> </w:t>
      </w:r>
      <w:r w:rsidRPr="00FA6C00">
        <w:rPr>
          <w:sz w:val="24"/>
        </w:rPr>
        <w:t>Office</w:t>
      </w:r>
      <w:r w:rsidRPr="00603BDC">
        <w:rPr>
          <w:sz w:val="24"/>
        </w:rPr>
        <w:t xml:space="preserve"> </w:t>
      </w:r>
      <w:r w:rsidRPr="00FA6C00">
        <w:rPr>
          <w:sz w:val="24"/>
        </w:rPr>
        <w:t>of</w:t>
      </w:r>
      <w:r w:rsidRPr="00603BDC">
        <w:rPr>
          <w:sz w:val="24"/>
        </w:rPr>
        <w:t xml:space="preserve"> </w:t>
      </w:r>
      <w:r w:rsidRPr="00FA6C00">
        <w:rPr>
          <w:sz w:val="24"/>
        </w:rPr>
        <w:t>the</w:t>
      </w:r>
      <w:r w:rsidRPr="00603BDC">
        <w:rPr>
          <w:sz w:val="24"/>
        </w:rPr>
        <w:t xml:space="preserve"> </w:t>
      </w:r>
      <w:r w:rsidRPr="00FA6C00">
        <w:rPr>
          <w:sz w:val="24"/>
        </w:rPr>
        <w:t>President.</w:t>
      </w:r>
      <w:r w:rsidRPr="00603BDC">
        <w:rPr>
          <w:sz w:val="24"/>
        </w:rPr>
        <w:t xml:space="preserve"> </w:t>
      </w:r>
      <w:r w:rsidRPr="00FA6C00">
        <w:rPr>
          <w:sz w:val="24"/>
        </w:rPr>
        <w:t xml:space="preserve">2006. </w:t>
      </w:r>
      <w:r w:rsidRPr="00603BDC">
        <w:rPr>
          <w:sz w:val="24"/>
        </w:rPr>
        <w:t xml:space="preserve">Office of Management and Budget Standards and Guidelines for Statistical Surveys. </w:t>
      </w:r>
      <w:r w:rsidRPr="00FA6C00">
        <w:rPr>
          <w:sz w:val="24"/>
        </w:rPr>
        <w:t>Washington, DC: U.S. Executive</w:t>
      </w:r>
      <w:r w:rsidRPr="00603BDC">
        <w:rPr>
          <w:sz w:val="24"/>
        </w:rPr>
        <w:t xml:space="preserve"> </w:t>
      </w:r>
      <w:r w:rsidRPr="00FA6C00">
        <w:rPr>
          <w:sz w:val="24"/>
        </w:rPr>
        <w:t>Office</w:t>
      </w:r>
      <w:r w:rsidRPr="00603BDC">
        <w:rPr>
          <w:sz w:val="24"/>
        </w:rPr>
        <w:t xml:space="preserve"> </w:t>
      </w:r>
      <w:r w:rsidRPr="00FA6C00">
        <w:rPr>
          <w:sz w:val="24"/>
        </w:rPr>
        <w:t>of the</w:t>
      </w:r>
      <w:r w:rsidRPr="00603BDC">
        <w:rPr>
          <w:sz w:val="24"/>
        </w:rPr>
        <w:t xml:space="preserve"> </w:t>
      </w:r>
      <w:r w:rsidRPr="00FA6C00">
        <w:rPr>
          <w:sz w:val="24"/>
        </w:rPr>
        <w:t>President.</w:t>
      </w:r>
    </w:p>
    <w:p w:rsidR="000A0F2D" w:rsidP="00603BDC" w14:paraId="0EF7B635" w14:textId="77777777">
      <w:pPr>
        <w:pStyle w:val="ListParagraph"/>
        <w:ind w:right="607" w:firstLine="0"/>
        <w:rPr>
          <w:sz w:val="24"/>
        </w:rPr>
      </w:pPr>
    </w:p>
    <w:p w:rsidR="00AB6E08" w:rsidRPr="00B4354C" w:rsidP="009E41FD" w14:paraId="55BF501C" w14:textId="72DA999B">
      <w:pPr>
        <w:pStyle w:val="ListParagraph"/>
        <w:numPr>
          <w:ilvl w:val="1"/>
          <w:numId w:val="3"/>
        </w:numPr>
        <w:ind w:right="607"/>
        <w:rPr>
          <w:b/>
          <w:bCs/>
          <w:sz w:val="17"/>
          <w:szCs w:val="24"/>
        </w:rPr>
      </w:pPr>
      <w:r w:rsidRPr="00B4354C">
        <w:rPr>
          <w:sz w:val="24"/>
        </w:rPr>
        <w:t>Weber, J.  (2021). 2020 Agricultural Resource Management Survey (ARMS) Phase III Survey Administration Analysis. Census and Survey Division Staff Report SAB-</w:t>
      </w:r>
      <w:r w:rsidRPr="00B4354C" w:rsidR="003824DF">
        <w:rPr>
          <w:sz w:val="24"/>
        </w:rPr>
        <w:t>20</w:t>
      </w:r>
      <w:r w:rsidRPr="00B4354C">
        <w:rPr>
          <w:sz w:val="24"/>
        </w:rPr>
        <w:t>- 14, United States Department of Agriculture, National Agricultural Statistics Servic</w:t>
      </w:r>
      <w:r w:rsidRPr="00B4354C" w:rsidR="002001AB">
        <w:rPr>
          <w:sz w:val="24"/>
        </w:rPr>
        <w:t>e</w:t>
      </w:r>
      <w:r w:rsidRPr="00B4354C">
        <w:rPr>
          <w:sz w:val="24"/>
        </w:rPr>
        <w:t>.</w:t>
      </w:r>
    </w:p>
    <w:sectPr w:rsidSect="00D128C6">
      <w:pgSz w:w="12240" w:h="15840"/>
      <w:pgMar w:top="1360" w:right="1320" w:bottom="980" w:left="1580" w:header="0" w:footer="7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7DF" w14:paraId="4F53D6A2" w14:textId="7777777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7DF" w14:paraId="52E735F4" w14:textId="7D1F791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7DF" w14:paraId="7FDF4F10" w14:textId="0EF74566">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7DF" w14:paraId="1B0A189F" w14:textId="7777777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7DF" w14:paraId="7A90F2C0"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8" o:spid="_x0000_s2049" type="#_x0000_t202" style="width:13pt;height:15.3pt;margin-top:741.4pt;margin-left:87pt;mso-position-horizontal-relative:page;mso-position-vertical-relative:page;position:absolute;z-index:-251656192" filled="f" stroked="f">
          <v:textbox inset="0,0,0,0">
            <w:txbxContent>
              <w:p w:rsidR="00D517DF" w14:paraId="32B98585" w14:textId="77777777">
                <w:pPr>
                  <w:pStyle w:val="BodyText"/>
                  <w:spacing w:before="10"/>
                  <w:ind w:left="60"/>
                </w:pPr>
                <w:r>
                  <w:fldChar w:fldCharType="begin"/>
                </w:r>
                <w:r>
                  <w:instrText xml:space="preserve"> PAGE </w:instrText>
                </w:r>
                <w:r>
                  <w:fldChar w:fldCharType="separate"/>
                </w:r>
                <w:r>
                  <w:t>2</w:t>
                </w:r>
                <w:r>
                  <w:fldChar w:fldCharType="end"/>
                </w:r>
              </w:p>
            </w:txbxContent>
          </v:textbox>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7DF" w14:paraId="78BDB944" w14:textId="3F2E1B9E">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7DF" w14:paraId="390A64E2" w14:textId="0524A4D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1104900</wp:posOffset>
              </wp:positionH>
              <wp:positionV relativeFrom="page">
                <wp:posOffset>9415780</wp:posOffset>
              </wp:positionV>
              <wp:extent cx="241300" cy="19431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517DF" w14:textId="77777777">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0" type="#_x0000_t202" style="width:19pt;height:15.3pt;margin-top:741.4pt;margin-left:8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517DF" w14:paraId="75302862" w14:textId="77777777">
                    <w:pPr>
                      <w:pStyle w:val="BodyText"/>
                      <w:spacing w:before="10"/>
                      <w:ind w:left="60"/>
                    </w:pPr>
                    <w:r>
                      <w:fldChar w:fldCharType="begin"/>
                    </w:r>
                    <w:r>
                      <w:instrText xml:space="preserve"> PAGE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7DF" w14:paraId="7B4D0E59" w14:textId="1809D1F8">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BA5779"/>
    <w:multiLevelType w:val="hybridMultilevel"/>
    <w:tmpl w:val="16A4151E"/>
    <w:lvl w:ilvl="0">
      <w:start w:val="1"/>
      <w:numFmt w:val="decimal"/>
      <w:lvlText w:val="%1."/>
      <w:lvlJc w:val="left"/>
      <w:pPr>
        <w:ind w:left="1200" w:hanging="300"/>
        <w:jc w:val="right"/>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decimal"/>
      <w:lvlText w:val="%2."/>
      <w:lvlJc w:val="left"/>
      <w:pPr>
        <w:ind w:left="1180" w:hanging="36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1180" w:hanging="360"/>
      </w:pPr>
      <w:rPr>
        <w:rFonts w:hint="default"/>
        <w:lang w:val="en-US" w:eastAsia="en-US" w:bidi="ar-SA"/>
      </w:rPr>
    </w:lvl>
    <w:lvl w:ilvl="3">
      <w:start w:val="0"/>
      <w:numFmt w:val="bullet"/>
      <w:lvlText w:val="•"/>
      <w:lvlJc w:val="left"/>
      <w:pPr>
        <w:ind w:left="2167" w:hanging="360"/>
      </w:pPr>
      <w:rPr>
        <w:rFonts w:hint="default"/>
        <w:lang w:val="en-US" w:eastAsia="en-US" w:bidi="ar-SA"/>
      </w:rPr>
    </w:lvl>
    <w:lvl w:ilvl="4">
      <w:start w:val="0"/>
      <w:numFmt w:val="bullet"/>
      <w:lvlText w:val="•"/>
      <w:lvlJc w:val="left"/>
      <w:pPr>
        <w:ind w:left="3155" w:hanging="360"/>
      </w:pPr>
      <w:rPr>
        <w:rFonts w:hint="default"/>
        <w:lang w:val="en-US" w:eastAsia="en-US" w:bidi="ar-SA"/>
      </w:rPr>
    </w:lvl>
    <w:lvl w:ilvl="5">
      <w:start w:val="0"/>
      <w:numFmt w:val="bullet"/>
      <w:lvlText w:val="•"/>
      <w:lvlJc w:val="left"/>
      <w:pPr>
        <w:ind w:left="4142" w:hanging="360"/>
      </w:pPr>
      <w:rPr>
        <w:rFonts w:hint="default"/>
        <w:lang w:val="en-US" w:eastAsia="en-US" w:bidi="ar-SA"/>
      </w:rPr>
    </w:lvl>
    <w:lvl w:ilvl="6">
      <w:start w:val="0"/>
      <w:numFmt w:val="bullet"/>
      <w:lvlText w:val="•"/>
      <w:lvlJc w:val="left"/>
      <w:pPr>
        <w:ind w:left="5130" w:hanging="360"/>
      </w:pPr>
      <w:rPr>
        <w:rFonts w:hint="default"/>
        <w:lang w:val="en-US" w:eastAsia="en-US" w:bidi="ar-SA"/>
      </w:rPr>
    </w:lvl>
    <w:lvl w:ilvl="7">
      <w:start w:val="0"/>
      <w:numFmt w:val="bullet"/>
      <w:lvlText w:val="•"/>
      <w:lvlJc w:val="left"/>
      <w:pPr>
        <w:ind w:left="6117" w:hanging="360"/>
      </w:pPr>
      <w:rPr>
        <w:rFonts w:hint="default"/>
        <w:lang w:val="en-US" w:eastAsia="en-US" w:bidi="ar-SA"/>
      </w:rPr>
    </w:lvl>
    <w:lvl w:ilvl="8">
      <w:start w:val="0"/>
      <w:numFmt w:val="bullet"/>
      <w:lvlText w:val="•"/>
      <w:lvlJc w:val="left"/>
      <w:pPr>
        <w:ind w:left="7105" w:hanging="360"/>
      </w:pPr>
      <w:rPr>
        <w:rFonts w:hint="default"/>
        <w:lang w:val="en-US" w:eastAsia="en-US" w:bidi="ar-SA"/>
      </w:rPr>
    </w:lvl>
  </w:abstractNum>
  <w:abstractNum w:abstractNumId="1">
    <w:nsid w:val="1868788F"/>
    <w:multiLevelType w:val="hybridMultilevel"/>
    <w:tmpl w:val="9D902F28"/>
    <w:lvl w:ilvl="0">
      <w:start w:val="1"/>
      <w:numFmt w:val="decimal"/>
      <w:lvlText w:val="%1."/>
      <w:lvlJc w:val="left"/>
      <w:pPr>
        <w:ind w:left="1360" w:hanging="54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156" w:hanging="540"/>
      </w:pPr>
      <w:rPr>
        <w:rFonts w:hint="default"/>
        <w:lang w:val="en-US" w:eastAsia="en-US" w:bidi="ar-SA"/>
      </w:rPr>
    </w:lvl>
    <w:lvl w:ilvl="2">
      <w:start w:val="0"/>
      <w:numFmt w:val="bullet"/>
      <w:lvlText w:val="•"/>
      <w:lvlJc w:val="left"/>
      <w:pPr>
        <w:ind w:left="2952" w:hanging="540"/>
      </w:pPr>
      <w:rPr>
        <w:rFonts w:hint="default"/>
        <w:lang w:val="en-US" w:eastAsia="en-US" w:bidi="ar-SA"/>
      </w:rPr>
    </w:lvl>
    <w:lvl w:ilvl="3">
      <w:start w:val="0"/>
      <w:numFmt w:val="bullet"/>
      <w:lvlText w:val="•"/>
      <w:lvlJc w:val="left"/>
      <w:pPr>
        <w:ind w:left="3748" w:hanging="540"/>
      </w:pPr>
      <w:rPr>
        <w:rFonts w:hint="default"/>
        <w:lang w:val="en-US" w:eastAsia="en-US" w:bidi="ar-SA"/>
      </w:rPr>
    </w:lvl>
    <w:lvl w:ilvl="4">
      <w:start w:val="0"/>
      <w:numFmt w:val="bullet"/>
      <w:lvlText w:val="•"/>
      <w:lvlJc w:val="left"/>
      <w:pPr>
        <w:ind w:left="4544" w:hanging="540"/>
      </w:pPr>
      <w:rPr>
        <w:rFonts w:hint="default"/>
        <w:lang w:val="en-US" w:eastAsia="en-US" w:bidi="ar-SA"/>
      </w:rPr>
    </w:lvl>
    <w:lvl w:ilvl="5">
      <w:start w:val="0"/>
      <w:numFmt w:val="bullet"/>
      <w:lvlText w:val="•"/>
      <w:lvlJc w:val="left"/>
      <w:pPr>
        <w:ind w:left="5340" w:hanging="540"/>
      </w:pPr>
      <w:rPr>
        <w:rFonts w:hint="default"/>
        <w:lang w:val="en-US" w:eastAsia="en-US" w:bidi="ar-SA"/>
      </w:rPr>
    </w:lvl>
    <w:lvl w:ilvl="6">
      <w:start w:val="0"/>
      <w:numFmt w:val="bullet"/>
      <w:lvlText w:val="•"/>
      <w:lvlJc w:val="left"/>
      <w:pPr>
        <w:ind w:left="6136" w:hanging="540"/>
      </w:pPr>
      <w:rPr>
        <w:rFonts w:hint="default"/>
        <w:lang w:val="en-US" w:eastAsia="en-US" w:bidi="ar-SA"/>
      </w:rPr>
    </w:lvl>
    <w:lvl w:ilvl="7">
      <w:start w:val="0"/>
      <w:numFmt w:val="bullet"/>
      <w:lvlText w:val="•"/>
      <w:lvlJc w:val="left"/>
      <w:pPr>
        <w:ind w:left="6932" w:hanging="540"/>
      </w:pPr>
      <w:rPr>
        <w:rFonts w:hint="default"/>
        <w:lang w:val="en-US" w:eastAsia="en-US" w:bidi="ar-SA"/>
      </w:rPr>
    </w:lvl>
    <w:lvl w:ilvl="8">
      <w:start w:val="0"/>
      <w:numFmt w:val="bullet"/>
      <w:lvlText w:val="•"/>
      <w:lvlJc w:val="left"/>
      <w:pPr>
        <w:ind w:left="7728" w:hanging="540"/>
      </w:pPr>
      <w:rPr>
        <w:rFonts w:hint="default"/>
        <w:lang w:val="en-US" w:eastAsia="en-US" w:bidi="ar-SA"/>
      </w:rPr>
    </w:lvl>
  </w:abstractNum>
  <w:abstractNum w:abstractNumId="2">
    <w:nsid w:val="75370D9E"/>
    <w:multiLevelType w:val="hybridMultilevel"/>
    <w:tmpl w:val="5142AC04"/>
    <w:lvl w:ilvl="0">
      <w:start w:val="1"/>
      <w:numFmt w:val="decimal"/>
      <w:lvlText w:val="%1."/>
      <w:lvlJc w:val="left"/>
      <w:pPr>
        <w:ind w:left="471" w:hanging="252"/>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0"/>
      <w:numFmt w:val="bullet"/>
      <w:lvlText w:val="•"/>
      <w:lvlJc w:val="left"/>
      <w:pPr>
        <w:ind w:left="1366" w:hanging="252"/>
      </w:pPr>
      <w:rPr>
        <w:rFonts w:hint="default"/>
        <w:lang w:val="en-US" w:eastAsia="en-US" w:bidi="ar-SA"/>
      </w:rPr>
    </w:lvl>
    <w:lvl w:ilvl="2">
      <w:start w:val="0"/>
      <w:numFmt w:val="bullet"/>
      <w:lvlText w:val="•"/>
      <w:lvlJc w:val="left"/>
      <w:pPr>
        <w:ind w:left="2252" w:hanging="252"/>
      </w:pPr>
      <w:rPr>
        <w:rFonts w:hint="default"/>
        <w:lang w:val="en-US" w:eastAsia="en-US" w:bidi="ar-SA"/>
      </w:rPr>
    </w:lvl>
    <w:lvl w:ilvl="3">
      <w:start w:val="0"/>
      <w:numFmt w:val="bullet"/>
      <w:lvlText w:val="•"/>
      <w:lvlJc w:val="left"/>
      <w:pPr>
        <w:ind w:left="3138" w:hanging="252"/>
      </w:pPr>
      <w:rPr>
        <w:rFonts w:hint="default"/>
        <w:lang w:val="en-US" w:eastAsia="en-US" w:bidi="ar-SA"/>
      </w:rPr>
    </w:lvl>
    <w:lvl w:ilvl="4">
      <w:start w:val="0"/>
      <w:numFmt w:val="bullet"/>
      <w:lvlText w:val="•"/>
      <w:lvlJc w:val="left"/>
      <w:pPr>
        <w:ind w:left="4024" w:hanging="252"/>
      </w:pPr>
      <w:rPr>
        <w:rFonts w:hint="default"/>
        <w:lang w:val="en-US" w:eastAsia="en-US" w:bidi="ar-SA"/>
      </w:rPr>
    </w:lvl>
    <w:lvl w:ilvl="5">
      <w:start w:val="0"/>
      <w:numFmt w:val="bullet"/>
      <w:lvlText w:val="•"/>
      <w:lvlJc w:val="left"/>
      <w:pPr>
        <w:ind w:left="4910" w:hanging="252"/>
      </w:pPr>
      <w:rPr>
        <w:rFonts w:hint="default"/>
        <w:lang w:val="en-US" w:eastAsia="en-US" w:bidi="ar-SA"/>
      </w:rPr>
    </w:lvl>
    <w:lvl w:ilvl="6">
      <w:start w:val="0"/>
      <w:numFmt w:val="bullet"/>
      <w:lvlText w:val="•"/>
      <w:lvlJc w:val="left"/>
      <w:pPr>
        <w:ind w:left="5796" w:hanging="252"/>
      </w:pPr>
      <w:rPr>
        <w:rFonts w:hint="default"/>
        <w:lang w:val="en-US" w:eastAsia="en-US" w:bidi="ar-SA"/>
      </w:rPr>
    </w:lvl>
    <w:lvl w:ilvl="7">
      <w:start w:val="0"/>
      <w:numFmt w:val="bullet"/>
      <w:lvlText w:val="•"/>
      <w:lvlJc w:val="left"/>
      <w:pPr>
        <w:ind w:left="6682" w:hanging="252"/>
      </w:pPr>
      <w:rPr>
        <w:rFonts w:hint="default"/>
        <w:lang w:val="en-US" w:eastAsia="en-US" w:bidi="ar-SA"/>
      </w:rPr>
    </w:lvl>
    <w:lvl w:ilvl="8">
      <w:start w:val="0"/>
      <w:numFmt w:val="bullet"/>
      <w:lvlText w:val="•"/>
      <w:lvlJc w:val="left"/>
      <w:pPr>
        <w:ind w:left="7568" w:hanging="252"/>
      </w:pPr>
      <w:rPr>
        <w:rFonts w:hint="default"/>
        <w:lang w:val="en-US" w:eastAsia="en-US" w:bidi="ar-SA"/>
      </w:rPr>
    </w:lvl>
  </w:abstractNum>
  <w:abstractNum w:abstractNumId="3">
    <w:nsid w:val="76C83813"/>
    <w:multiLevelType w:val="hybridMultilevel"/>
    <w:tmpl w:val="FDA66882"/>
    <w:lvl w:ilvl="0">
      <w:start w:val="1"/>
      <w:numFmt w:val="decimal"/>
      <w:lvlText w:val="%1."/>
      <w:lvlJc w:val="left"/>
      <w:pPr>
        <w:ind w:left="471" w:hanging="252"/>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0"/>
      <w:numFmt w:val="bullet"/>
      <w:lvlText w:val="•"/>
      <w:lvlJc w:val="left"/>
      <w:pPr>
        <w:ind w:left="1366" w:hanging="252"/>
      </w:pPr>
      <w:rPr>
        <w:rFonts w:hint="default"/>
        <w:lang w:val="en-US" w:eastAsia="en-US" w:bidi="ar-SA"/>
      </w:rPr>
    </w:lvl>
    <w:lvl w:ilvl="2">
      <w:start w:val="0"/>
      <w:numFmt w:val="bullet"/>
      <w:lvlText w:val="•"/>
      <w:lvlJc w:val="left"/>
      <w:pPr>
        <w:ind w:left="2252" w:hanging="252"/>
      </w:pPr>
      <w:rPr>
        <w:rFonts w:hint="default"/>
        <w:lang w:val="en-US" w:eastAsia="en-US" w:bidi="ar-SA"/>
      </w:rPr>
    </w:lvl>
    <w:lvl w:ilvl="3">
      <w:start w:val="0"/>
      <w:numFmt w:val="bullet"/>
      <w:lvlText w:val="•"/>
      <w:lvlJc w:val="left"/>
      <w:pPr>
        <w:ind w:left="3138" w:hanging="252"/>
      </w:pPr>
      <w:rPr>
        <w:rFonts w:hint="default"/>
        <w:lang w:val="en-US" w:eastAsia="en-US" w:bidi="ar-SA"/>
      </w:rPr>
    </w:lvl>
    <w:lvl w:ilvl="4">
      <w:start w:val="0"/>
      <w:numFmt w:val="bullet"/>
      <w:lvlText w:val="•"/>
      <w:lvlJc w:val="left"/>
      <w:pPr>
        <w:ind w:left="4024" w:hanging="252"/>
      </w:pPr>
      <w:rPr>
        <w:rFonts w:hint="default"/>
        <w:lang w:val="en-US" w:eastAsia="en-US" w:bidi="ar-SA"/>
      </w:rPr>
    </w:lvl>
    <w:lvl w:ilvl="5">
      <w:start w:val="0"/>
      <w:numFmt w:val="bullet"/>
      <w:lvlText w:val="•"/>
      <w:lvlJc w:val="left"/>
      <w:pPr>
        <w:ind w:left="4910" w:hanging="252"/>
      </w:pPr>
      <w:rPr>
        <w:rFonts w:hint="default"/>
        <w:lang w:val="en-US" w:eastAsia="en-US" w:bidi="ar-SA"/>
      </w:rPr>
    </w:lvl>
    <w:lvl w:ilvl="6">
      <w:start w:val="0"/>
      <w:numFmt w:val="bullet"/>
      <w:lvlText w:val="•"/>
      <w:lvlJc w:val="left"/>
      <w:pPr>
        <w:ind w:left="5796" w:hanging="252"/>
      </w:pPr>
      <w:rPr>
        <w:rFonts w:hint="default"/>
        <w:lang w:val="en-US" w:eastAsia="en-US" w:bidi="ar-SA"/>
      </w:rPr>
    </w:lvl>
    <w:lvl w:ilvl="7">
      <w:start w:val="0"/>
      <w:numFmt w:val="bullet"/>
      <w:lvlText w:val="•"/>
      <w:lvlJc w:val="left"/>
      <w:pPr>
        <w:ind w:left="6682" w:hanging="252"/>
      </w:pPr>
      <w:rPr>
        <w:rFonts w:hint="default"/>
        <w:lang w:val="en-US" w:eastAsia="en-US" w:bidi="ar-SA"/>
      </w:rPr>
    </w:lvl>
    <w:lvl w:ilvl="8">
      <w:start w:val="0"/>
      <w:numFmt w:val="bullet"/>
      <w:lvlText w:val="•"/>
      <w:lvlJc w:val="left"/>
      <w:pPr>
        <w:ind w:left="7568" w:hanging="252"/>
      </w:pPr>
      <w:rPr>
        <w:rFonts w:hint="default"/>
        <w:lang w:val="en-US"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F2D"/>
    <w:rsid w:val="000030EB"/>
    <w:rsid w:val="0000389E"/>
    <w:rsid w:val="0000518E"/>
    <w:rsid w:val="000115FD"/>
    <w:rsid w:val="0002137D"/>
    <w:rsid w:val="00025908"/>
    <w:rsid w:val="00027C68"/>
    <w:rsid w:val="00027E04"/>
    <w:rsid w:val="000426FF"/>
    <w:rsid w:val="00043267"/>
    <w:rsid w:val="00046651"/>
    <w:rsid w:val="00047539"/>
    <w:rsid w:val="000475B7"/>
    <w:rsid w:val="00047DB6"/>
    <w:rsid w:val="00055479"/>
    <w:rsid w:val="00057919"/>
    <w:rsid w:val="000717DD"/>
    <w:rsid w:val="00072604"/>
    <w:rsid w:val="000762EF"/>
    <w:rsid w:val="00082532"/>
    <w:rsid w:val="000A0F2D"/>
    <w:rsid w:val="000A2556"/>
    <w:rsid w:val="000A5A5F"/>
    <w:rsid w:val="000A7EAD"/>
    <w:rsid w:val="000B6984"/>
    <w:rsid w:val="000B71D0"/>
    <w:rsid w:val="000C751C"/>
    <w:rsid w:val="000D3202"/>
    <w:rsid w:val="000E3FA1"/>
    <w:rsid w:val="000E523D"/>
    <w:rsid w:val="000E64E9"/>
    <w:rsid w:val="000F23FD"/>
    <w:rsid w:val="00104261"/>
    <w:rsid w:val="00106AD9"/>
    <w:rsid w:val="00107285"/>
    <w:rsid w:val="00112A19"/>
    <w:rsid w:val="00112FB6"/>
    <w:rsid w:val="00127D40"/>
    <w:rsid w:val="00142A88"/>
    <w:rsid w:val="001452C2"/>
    <w:rsid w:val="001557C9"/>
    <w:rsid w:val="00156551"/>
    <w:rsid w:val="00165B74"/>
    <w:rsid w:val="00166D29"/>
    <w:rsid w:val="00166DD9"/>
    <w:rsid w:val="00183EE6"/>
    <w:rsid w:val="00191725"/>
    <w:rsid w:val="001920CF"/>
    <w:rsid w:val="00193DF2"/>
    <w:rsid w:val="001B2A69"/>
    <w:rsid w:val="001B2B2A"/>
    <w:rsid w:val="001B35F0"/>
    <w:rsid w:val="001B37E1"/>
    <w:rsid w:val="001C2028"/>
    <w:rsid w:val="001C4F48"/>
    <w:rsid w:val="001C5894"/>
    <w:rsid w:val="001C7E8E"/>
    <w:rsid w:val="001D36AA"/>
    <w:rsid w:val="001D5637"/>
    <w:rsid w:val="001F2C38"/>
    <w:rsid w:val="002001AB"/>
    <w:rsid w:val="00206808"/>
    <w:rsid w:val="00213358"/>
    <w:rsid w:val="00223BBB"/>
    <w:rsid w:val="00223D38"/>
    <w:rsid w:val="002354EA"/>
    <w:rsid w:val="002367B7"/>
    <w:rsid w:val="002376BE"/>
    <w:rsid w:val="002476AC"/>
    <w:rsid w:val="0025667A"/>
    <w:rsid w:val="00261B2D"/>
    <w:rsid w:val="00296281"/>
    <w:rsid w:val="0029787B"/>
    <w:rsid w:val="002A3F53"/>
    <w:rsid w:val="002B7CAF"/>
    <w:rsid w:val="002C4C9E"/>
    <w:rsid w:val="002D029F"/>
    <w:rsid w:val="002D5B24"/>
    <w:rsid w:val="002D5CBB"/>
    <w:rsid w:val="002D695E"/>
    <w:rsid w:val="002D74A8"/>
    <w:rsid w:val="002F2742"/>
    <w:rsid w:val="002F4078"/>
    <w:rsid w:val="002F7462"/>
    <w:rsid w:val="003102FA"/>
    <w:rsid w:val="003120A3"/>
    <w:rsid w:val="00314B16"/>
    <w:rsid w:val="00325393"/>
    <w:rsid w:val="00326B7D"/>
    <w:rsid w:val="00330D50"/>
    <w:rsid w:val="003376DD"/>
    <w:rsid w:val="00341DBB"/>
    <w:rsid w:val="00343008"/>
    <w:rsid w:val="0035174A"/>
    <w:rsid w:val="0036472C"/>
    <w:rsid w:val="00372285"/>
    <w:rsid w:val="003749E7"/>
    <w:rsid w:val="00375754"/>
    <w:rsid w:val="003773F7"/>
    <w:rsid w:val="0038164D"/>
    <w:rsid w:val="003824DF"/>
    <w:rsid w:val="0038562D"/>
    <w:rsid w:val="003A0DEF"/>
    <w:rsid w:val="003A23BF"/>
    <w:rsid w:val="003B7E3F"/>
    <w:rsid w:val="003C735C"/>
    <w:rsid w:val="003D7561"/>
    <w:rsid w:val="003E23D2"/>
    <w:rsid w:val="004026F8"/>
    <w:rsid w:val="0040734D"/>
    <w:rsid w:val="00414A45"/>
    <w:rsid w:val="00421AC3"/>
    <w:rsid w:val="00422323"/>
    <w:rsid w:val="00423F67"/>
    <w:rsid w:val="00425A45"/>
    <w:rsid w:val="00427AF8"/>
    <w:rsid w:val="0044259E"/>
    <w:rsid w:val="00450041"/>
    <w:rsid w:val="0046287D"/>
    <w:rsid w:val="004726A5"/>
    <w:rsid w:val="004879BE"/>
    <w:rsid w:val="0049485E"/>
    <w:rsid w:val="004A0479"/>
    <w:rsid w:val="004A0BDC"/>
    <w:rsid w:val="004A125B"/>
    <w:rsid w:val="004B4898"/>
    <w:rsid w:val="004B5691"/>
    <w:rsid w:val="004C1D99"/>
    <w:rsid w:val="004C4CD4"/>
    <w:rsid w:val="004C5EDF"/>
    <w:rsid w:val="004C6995"/>
    <w:rsid w:val="004D5886"/>
    <w:rsid w:val="004D6B44"/>
    <w:rsid w:val="004D71D4"/>
    <w:rsid w:val="004E530F"/>
    <w:rsid w:val="004F3510"/>
    <w:rsid w:val="004F4AA8"/>
    <w:rsid w:val="004F4CDA"/>
    <w:rsid w:val="00500FA9"/>
    <w:rsid w:val="00501131"/>
    <w:rsid w:val="00504BEB"/>
    <w:rsid w:val="005127BB"/>
    <w:rsid w:val="00516399"/>
    <w:rsid w:val="00523051"/>
    <w:rsid w:val="00532762"/>
    <w:rsid w:val="0053635A"/>
    <w:rsid w:val="00536B3C"/>
    <w:rsid w:val="00541C38"/>
    <w:rsid w:val="005426E7"/>
    <w:rsid w:val="005431E0"/>
    <w:rsid w:val="00545E14"/>
    <w:rsid w:val="00556612"/>
    <w:rsid w:val="00563F55"/>
    <w:rsid w:val="00564DA4"/>
    <w:rsid w:val="00570E1F"/>
    <w:rsid w:val="00576528"/>
    <w:rsid w:val="00577C33"/>
    <w:rsid w:val="005873D6"/>
    <w:rsid w:val="00595285"/>
    <w:rsid w:val="005A0AA9"/>
    <w:rsid w:val="005A168C"/>
    <w:rsid w:val="005A18C9"/>
    <w:rsid w:val="005B79B5"/>
    <w:rsid w:val="005C59A2"/>
    <w:rsid w:val="005D7CE1"/>
    <w:rsid w:val="005E01A1"/>
    <w:rsid w:val="005E468C"/>
    <w:rsid w:val="005E5436"/>
    <w:rsid w:val="005E67E6"/>
    <w:rsid w:val="005F24BB"/>
    <w:rsid w:val="005F709E"/>
    <w:rsid w:val="00601B5E"/>
    <w:rsid w:val="00602F66"/>
    <w:rsid w:val="00603BDC"/>
    <w:rsid w:val="0060558C"/>
    <w:rsid w:val="0060621D"/>
    <w:rsid w:val="00611ABF"/>
    <w:rsid w:val="00633742"/>
    <w:rsid w:val="00637BCA"/>
    <w:rsid w:val="0064427C"/>
    <w:rsid w:val="00644321"/>
    <w:rsid w:val="00646D71"/>
    <w:rsid w:val="00652212"/>
    <w:rsid w:val="00654CEB"/>
    <w:rsid w:val="006617D5"/>
    <w:rsid w:val="00662E5D"/>
    <w:rsid w:val="00664CD8"/>
    <w:rsid w:val="00666B00"/>
    <w:rsid w:val="0068260E"/>
    <w:rsid w:val="00684276"/>
    <w:rsid w:val="006940CB"/>
    <w:rsid w:val="006A1120"/>
    <w:rsid w:val="006A198E"/>
    <w:rsid w:val="006A26AF"/>
    <w:rsid w:val="006B0DCD"/>
    <w:rsid w:val="006C044D"/>
    <w:rsid w:val="006C26DF"/>
    <w:rsid w:val="006C3342"/>
    <w:rsid w:val="006D2B51"/>
    <w:rsid w:val="006D3D5E"/>
    <w:rsid w:val="006D578D"/>
    <w:rsid w:val="006E6134"/>
    <w:rsid w:val="006E7911"/>
    <w:rsid w:val="006F7CD2"/>
    <w:rsid w:val="00703861"/>
    <w:rsid w:val="00706CD5"/>
    <w:rsid w:val="00714750"/>
    <w:rsid w:val="00721BFD"/>
    <w:rsid w:val="00723140"/>
    <w:rsid w:val="00723702"/>
    <w:rsid w:val="00724139"/>
    <w:rsid w:val="007246E2"/>
    <w:rsid w:val="007278CF"/>
    <w:rsid w:val="00741031"/>
    <w:rsid w:val="00745CF9"/>
    <w:rsid w:val="007546DC"/>
    <w:rsid w:val="00766126"/>
    <w:rsid w:val="007733CA"/>
    <w:rsid w:val="00780F54"/>
    <w:rsid w:val="007B150A"/>
    <w:rsid w:val="007B3A61"/>
    <w:rsid w:val="007C7392"/>
    <w:rsid w:val="007E72DD"/>
    <w:rsid w:val="007E7E89"/>
    <w:rsid w:val="00800789"/>
    <w:rsid w:val="00800E33"/>
    <w:rsid w:val="0080340D"/>
    <w:rsid w:val="00824873"/>
    <w:rsid w:val="0083170B"/>
    <w:rsid w:val="008338F9"/>
    <w:rsid w:val="00833D86"/>
    <w:rsid w:val="00834A0B"/>
    <w:rsid w:val="0083529A"/>
    <w:rsid w:val="0083796F"/>
    <w:rsid w:val="0084116B"/>
    <w:rsid w:val="00843459"/>
    <w:rsid w:val="00853987"/>
    <w:rsid w:val="00854648"/>
    <w:rsid w:val="00864369"/>
    <w:rsid w:val="0087085C"/>
    <w:rsid w:val="008746DD"/>
    <w:rsid w:val="00876DA8"/>
    <w:rsid w:val="008860EA"/>
    <w:rsid w:val="00886D4F"/>
    <w:rsid w:val="008870AE"/>
    <w:rsid w:val="00887243"/>
    <w:rsid w:val="00896FC4"/>
    <w:rsid w:val="008A50CC"/>
    <w:rsid w:val="008A568E"/>
    <w:rsid w:val="008B1BEB"/>
    <w:rsid w:val="008B30B5"/>
    <w:rsid w:val="008C0D28"/>
    <w:rsid w:val="008C2F2F"/>
    <w:rsid w:val="008D417E"/>
    <w:rsid w:val="008D494E"/>
    <w:rsid w:val="008D6341"/>
    <w:rsid w:val="008E384C"/>
    <w:rsid w:val="008E5067"/>
    <w:rsid w:val="008E785D"/>
    <w:rsid w:val="008E7B27"/>
    <w:rsid w:val="008F10E6"/>
    <w:rsid w:val="008F6F62"/>
    <w:rsid w:val="008F7557"/>
    <w:rsid w:val="0090209A"/>
    <w:rsid w:val="00903E00"/>
    <w:rsid w:val="0090667F"/>
    <w:rsid w:val="00906D99"/>
    <w:rsid w:val="00907E58"/>
    <w:rsid w:val="00907F39"/>
    <w:rsid w:val="0091020F"/>
    <w:rsid w:val="0091412B"/>
    <w:rsid w:val="00922174"/>
    <w:rsid w:val="009259E8"/>
    <w:rsid w:val="00932BD1"/>
    <w:rsid w:val="009350DD"/>
    <w:rsid w:val="009379C9"/>
    <w:rsid w:val="00937E5A"/>
    <w:rsid w:val="00947505"/>
    <w:rsid w:val="009562DC"/>
    <w:rsid w:val="00963F45"/>
    <w:rsid w:val="0096574E"/>
    <w:rsid w:val="00970B9E"/>
    <w:rsid w:val="00974C54"/>
    <w:rsid w:val="009853A7"/>
    <w:rsid w:val="00992986"/>
    <w:rsid w:val="009A08C7"/>
    <w:rsid w:val="009A35C7"/>
    <w:rsid w:val="009C6622"/>
    <w:rsid w:val="009D1AF3"/>
    <w:rsid w:val="009E3A6C"/>
    <w:rsid w:val="009E41FD"/>
    <w:rsid w:val="009E5499"/>
    <w:rsid w:val="009E65D5"/>
    <w:rsid w:val="009F359D"/>
    <w:rsid w:val="009F40C8"/>
    <w:rsid w:val="009F7581"/>
    <w:rsid w:val="00A0119D"/>
    <w:rsid w:val="00A0594E"/>
    <w:rsid w:val="00A05F1D"/>
    <w:rsid w:val="00A14573"/>
    <w:rsid w:val="00A34CAC"/>
    <w:rsid w:val="00A371F5"/>
    <w:rsid w:val="00A4050E"/>
    <w:rsid w:val="00A54ADD"/>
    <w:rsid w:val="00A57747"/>
    <w:rsid w:val="00A60165"/>
    <w:rsid w:val="00A62B32"/>
    <w:rsid w:val="00A65516"/>
    <w:rsid w:val="00A86525"/>
    <w:rsid w:val="00A87DEA"/>
    <w:rsid w:val="00A95152"/>
    <w:rsid w:val="00A95DFA"/>
    <w:rsid w:val="00A9761E"/>
    <w:rsid w:val="00AA7F58"/>
    <w:rsid w:val="00AB6E08"/>
    <w:rsid w:val="00AE3DA5"/>
    <w:rsid w:val="00AF0375"/>
    <w:rsid w:val="00AF3CCD"/>
    <w:rsid w:val="00AF45C4"/>
    <w:rsid w:val="00B00641"/>
    <w:rsid w:val="00B02AB6"/>
    <w:rsid w:val="00B03388"/>
    <w:rsid w:val="00B034DC"/>
    <w:rsid w:val="00B04B14"/>
    <w:rsid w:val="00B064D1"/>
    <w:rsid w:val="00B0795B"/>
    <w:rsid w:val="00B1001F"/>
    <w:rsid w:val="00B15197"/>
    <w:rsid w:val="00B15CD3"/>
    <w:rsid w:val="00B25620"/>
    <w:rsid w:val="00B41653"/>
    <w:rsid w:val="00B42317"/>
    <w:rsid w:val="00B4354C"/>
    <w:rsid w:val="00B559F3"/>
    <w:rsid w:val="00B57765"/>
    <w:rsid w:val="00B64641"/>
    <w:rsid w:val="00B7275A"/>
    <w:rsid w:val="00B76EAA"/>
    <w:rsid w:val="00B80AD3"/>
    <w:rsid w:val="00B92DA2"/>
    <w:rsid w:val="00BA2742"/>
    <w:rsid w:val="00BA364A"/>
    <w:rsid w:val="00BA3910"/>
    <w:rsid w:val="00BA79DD"/>
    <w:rsid w:val="00BA7B6F"/>
    <w:rsid w:val="00BA7D9D"/>
    <w:rsid w:val="00BB28A1"/>
    <w:rsid w:val="00BB2BA0"/>
    <w:rsid w:val="00BB3C61"/>
    <w:rsid w:val="00BC4E4E"/>
    <w:rsid w:val="00BD164C"/>
    <w:rsid w:val="00BD2606"/>
    <w:rsid w:val="00BE1FA7"/>
    <w:rsid w:val="00BE6362"/>
    <w:rsid w:val="00BF46C9"/>
    <w:rsid w:val="00C02B95"/>
    <w:rsid w:val="00C07609"/>
    <w:rsid w:val="00C126B2"/>
    <w:rsid w:val="00C12D6A"/>
    <w:rsid w:val="00C17ED4"/>
    <w:rsid w:val="00C217CF"/>
    <w:rsid w:val="00C24B04"/>
    <w:rsid w:val="00C27AB5"/>
    <w:rsid w:val="00C31B54"/>
    <w:rsid w:val="00C40E57"/>
    <w:rsid w:val="00C473D5"/>
    <w:rsid w:val="00C4740C"/>
    <w:rsid w:val="00C5696D"/>
    <w:rsid w:val="00C57D27"/>
    <w:rsid w:val="00C628B3"/>
    <w:rsid w:val="00C70DCF"/>
    <w:rsid w:val="00C73628"/>
    <w:rsid w:val="00C911AA"/>
    <w:rsid w:val="00C93BE0"/>
    <w:rsid w:val="00CA028F"/>
    <w:rsid w:val="00CA4438"/>
    <w:rsid w:val="00CA6869"/>
    <w:rsid w:val="00CB4DC1"/>
    <w:rsid w:val="00CB7BD8"/>
    <w:rsid w:val="00CB7DD9"/>
    <w:rsid w:val="00CC1FDF"/>
    <w:rsid w:val="00CC6A50"/>
    <w:rsid w:val="00CF449D"/>
    <w:rsid w:val="00CF5AA5"/>
    <w:rsid w:val="00D0614A"/>
    <w:rsid w:val="00D11108"/>
    <w:rsid w:val="00D128C6"/>
    <w:rsid w:val="00D12BFF"/>
    <w:rsid w:val="00D2417C"/>
    <w:rsid w:val="00D265C5"/>
    <w:rsid w:val="00D3467F"/>
    <w:rsid w:val="00D3672F"/>
    <w:rsid w:val="00D4161E"/>
    <w:rsid w:val="00D41DED"/>
    <w:rsid w:val="00D42757"/>
    <w:rsid w:val="00D46AF0"/>
    <w:rsid w:val="00D517DF"/>
    <w:rsid w:val="00D51C4D"/>
    <w:rsid w:val="00D521B3"/>
    <w:rsid w:val="00D605DB"/>
    <w:rsid w:val="00D6775A"/>
    <w:rsid w:val="00D73584"/>
    <w:rsid w:val="00D77914"/>
    <w:rsid w:val="00D81F13"/>
    <w:rsid w:val="00D924D8"/>
    <w:rsid w:val="00DB5D05"/>
    <w:rsid w:val="00DB638E"/>
    <w:rsid w:val="00DC53BF"/>
    <w:rsid w:val="00DD38A8"/>
    <w:rsid w:val="00DD465E"/>
    <w:rsid w:val="00DD5BCE"/>
    <w:rsid w:val="00DD665F"/>
    <w:rsid w:val="00DD7D88"/>
    <w:rsid w:val="00DE0E0F"/>
    <w:rsid w:val="00DE14AC"/>
    <w:rsid w:val="00DF3BC9"/>
    <w:rsid w:val="00E0188B"/>
    <w:rsid w:val="00E111F3"/>
    <w:rsid w:val="00E16263"/>
    <w:rsid w:val="00E16596"/>
    <w:rsid w:val="00E178E4"/>
    <w:rsid w:val="00E22CA6"/>
    <w:rsid w:val="00E23473"/>
    <w:rsid w:val="00E27FCD"/>
    <w:rsid w:val="00E33379"/>
    <w:rsid w:val="00E37E67"/>
    <w:rsid w:val="00E41377"/>
    <w:rsid w:val="00E64606"/>
    <w:rsid w:val="00E67947"/>
    <w:rsid w:val="00E759E4"/>
    <w:rsid w:val="00E77F5A"/>
    <w:rsid w:val="00E81B2D"/>
    <w:rsid w:val="00E821B3"/>
    <w:rsid w:val="00E823FA"/>
    <w:rsid w:val="00E908D1"/>
    <w:rsid w:val="00E974D0"/>
    <w:rsid w:val="00EA0051"/>
    <w:rsid w:val="00EA7215"/>
    <w:rsid w:val="00EB4D93"/>
    <w:rsid w:val="00EC1A55"/>
    <w:rsid w:val="00EC1F7C"/>
    <w:rsid w:val="00ED4F09"/>
    <w:rsid w:val="00ED7223"/>
    <w:rsid w:val="00EE00C3"/>
    <w:rsid w:val="00EE4512"/>
    <w:rsid w:val="00EF2A2A"/>
    <w:rsid w:val="00EF37EA"/>
    <w:rsid w:val="00F041D7"/>
    <w:rsid w:val="00F171AC"/>
    <w:rsid w:val="00F213C2"/>
    <w:rsid w:val="00F23EC0"/>
    <w:rsid w:val="00F36312"/>
    <w:rsid w:val="00F37728"/>
    <w:rsid w:val="00F43827"/>
    <w:rsid w:val="00F43ADF"/>
    <w:rsid w:val="00F462F6"/>
    <w:rsid w:val="00F600BC"/>
    <w:rsid w:val="00F6560B"/>
    <w:rsid w:val="00F85F4A"/>
    <w:rsid w:val="00F9014B"/>
    <w:rsid w:val="00F94516"/>
    <w:rsid w:val="00F94FB2"/>
    <w:rsid w:val="00FA0AE7"/>
    <w:rsid w:val="00FA1190"/>
    <w:rsid w:val="00FA3095"/>
    <w:rsid w:val="00FA6C00"/>
    <w:rsid w:val="00FB0BED"/>
    <w:rsid w:val="00FB3147"/>
    <w:rsid w:val="00FB51F5"/>
    <w:rsid w:val="00FB555D"/>
    <w:rsid w:val="00FC083E"/>
    <w:rsid w:val="00FD0B9C"/>
    <w:rsid w:val="00FE3B74"/>
    <w:rsid w:val="00FF11C7"/>
    <w:rsid w:val="00FF14F2"/>
    <w:rsid w:val="00FF1B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304FE8"/>
  <w15:docId w15:val="{44634148-CB39-4DDA-B138-D36B428FF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60" w:hanging="301"/>
      <w:outlineLvl w:val="0"/>
    </w:pPr>
    <w:rPr>
      <w:b/>
      <w:bCs/>
      <w:sz w:val="24"/>
      <w:szCs w:val="24"/>
    </w:rPr>
  </w:style>
  <w:style w:type="paragraph" w:styleId="Heading2">
    <w:name w:val="heading 2"/>
    <w:basedOn w:val="Normal"/>
    <w:uiPriority w:val="9"/>
    <w:unhideWhenUsed/>
    <w:qFormat/>
    <w:pPr>
      <w:spacing w:before="90"/>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0"/>
    </w:pPr>
    <w:rPr>
      <w:b/>
      <w:bCs/>
      <w:sz w:val="56"/>
      <w:szCs w:val="56"/>
    </w:rPr>
  </w:style>
  <w:style w:type="paragraph" w:styleId="ListParagraph">
    <w:name w:val="List Paragraph"/>
    <w:basedOn w:val="Normal"/>
    <w:uiPriority w:val="1"/>
    <w:qFormat/>
    <w:pPr>
      <w:ind w:left="1180" w:hanging="361"/>
    </w:pPr>
  </w:style>
  <w:style w:type="paragraph" w:customStyle="1" w:styleId="TableParagraph">
    <w:name w:val="Table Paragraph"/>
    <w:basedOn w:val="Normal"/>
    <w:uiPriority w:val="1"/>
    <w:qFormat/>
  </w:style>
  <w:style w:type="table" w:customStyle="1" w:styleId="TableGrid1">
    <w:name w:val="Table Grid1"/>
    <w:basedOn w:val="TableNormal"/>
    <w:next w:val="TableGrid"/>
    <w:uiPriority w:val="39"/>
    <w:rsid w:val="004C5ED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C5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7E58"/>
    <w:rPr>
      <w:color w:val="0000FF" w:themeColor="hyperlink"/>
      <w:u w:val="single"/>
    </w:rPr>
  </w:style>
  <w:style w:type="character" w:styleId="UnresolvedMention">
    <w:name w:val="Unresolved Mention"/>
    <w:basedOn w:val="DefaultParagraphFont"/>
    <w:uiPriority w:val="99"/>
    <w:semiHidden/>
    <w:unhideWhenUsed/>
    <w:rsid w:val="00907E58"/>
    <w:rPr>
      <w:color w:val="605E5C"/>
      <w:shd w:val="clear" w:color="auto" w:fill="E1DFDD"/>
    </w:rPr>
  </w:style>
  <w:style w:type="character" w:styleId="FollowedHyperlink">
    <w:name w:val="FollowedHyperlink"/>
    <w:basedOn w:val="DefaultParagraphFont"/>
    <w:uiPriority w:val="99"/>
    <w:semiHidden/>
    <w:unhideWhenUsed/>
    <w:rsid w:val="00907E58"/>
    <w:rPr>
      <w:color w:val="800080" w:themeColor="followedHyperlink"/>
      <w:u w:val="single"/>
    </w:rPr>
  </w:style>
  <w:style w:type="paragraph" w:customStyle="1" w:styleId="msonormal">
    <w:name w:val="msonormal"/>
    <w:basedOn w:val="Normal"/>
    <w:rsid w:val="008E7B27"/>
    <w:pPr>
      <w:widowControl/>
      <w:autoSpaceDE/>
      <w:autoSpaceDN/>
      <w:spacing w:before="100" w:beforeAutospacing="1" w:after="100" w:afterAutospacing="1"/>
    </w:pPr>
    <w:rPr>
      <w:sz w:val="24"/>
      <w:szCs w:val="24"/>
    </w:rPr>
  </w:style>
  <w:style w:type="paragraph" w:customStyle="1" w:styleId="xl65">
    <w:name w:val="xl65"/>
    <w:basedOn w:val="Normal"/>
    <w:rsid w:val="008E7B27"/>
    <w:pPr>
      <w:widowControl/>
      <w:pBdr>
        <w:top w:val="single" w:sz="4" w:space="0" w:color="auto"/>
        <w:left w:val="single" w:sz="4" w:space="0" w:color="auto"/>
      </w:pBdr>
      <w:autoSpaceDE/>
      <w:autoSpaceDN/>
      <w:spacing w:before="100" w:beforeAutospacing="1" w:after="100" w:afterAutospacing="1"/>
    </w:pPr>
    <w:rPr>
      <w:sz w:val="16"/>
      <w:szCs w:val="16"/>
    </w:rPr>
  </w:style>
  <w:style w:type="paragraph" w:customStyle="1" w:styleId="xl66">
    <w:name w:val="xl66"/>
    <w:basedOn w:val="Normal"/>
    <w:rsid w:val="008E7B27"/>
    <w:pPr>
      <w:widowControl/>
      <w:pBdr>
        <w:top w:val="single" w:sz="4" w:space="0" w:color="auto"/>
      </w:pBdr>
      <w:autoSpaceDE/>
      <w:autoSpaceDN/>
      <w:spacing w:before="100" w:beforeAutospacing="1" w:after="100" w:afterAutospacing="1"/>
    </w:pPr>
    <w:rPr>
      <w:sz w:val="16"/>
      <w:szCs w:val="16"/>
    </w:rPr>
  </w:style>
  <w:style w:type="paragraph" w:customStyle="1" w:styleId="xl67">
    <w:name w:val="xl67"/>
    <w:basedOn w:val="Normal"/>
    <w:rsid w:val="008E7B27"/>
    <w:pPr>
      <w:widowControl/>
      <w:pBdr>
        <w:top w:val="single" w:sz="4" w:space="0" w:color="auto"/>
        <w:right w:val="single" w:sz="4" w:space="0" w:color="auto"/>
      </w:pBdr>
      <w:autoSpaceDE/>
      <w:autoSpaceDN/>
      <w:spacing w:before="100" w:beforeAutospacing="1" w:after="100" w:afterAutospacing="1"/>
    </w:pPr>
    <w:rPr>
      <w:sz w:val="16"/>
      <w:szCs w:val="16"/>
    </w:rPr>
  </w:style>
  <w:style w:type="paragraph" w:customStyle="1" w:styleId="xl68">
    <w:name w:val="xl68"/>
    <w:basedOn w:val="Normal"/>
    <w:rsid w:val="008E7B27"/>
    <w:pPr>
      <w:widowControl/>
      <w:pBdr>
        <w:bottom w:val="single" w:sz="4" w:space="0" w:color="auto"/>
      </w:pBdr>
      <w:autoSpaceDE/>
      <w:autoSpaceDN/>
      <w:spacing w:before="100" w:beforeAutospacing="1" w:after="100" w:afterAutospacing="1"/>
    </w:pPr>
    <w:rPr>
      <w:sz w:val="16"/>
      <w:szCs w:val="16"/>
    </w:rPr>
  </w:style>
  <w:style w:type="paragraph" w:customStyle="1" w:styleId="xl69">
    <w:name w:val="xl69"/>
    <w:basedOn w:val="Normal"/>
    <w:rsid w:val="008E7B27"/>
    <w:pPr>
      <w:widowControl/>
      <w:autoSpaceDE/>
      <w:autoSpaceDN/>
      <w:spacing w:before="100" w:beforeAutospacing="1" w:after="100" w:afterAutospacing="1"/>
    </w:pPr>
    <w:rPr>
      <w:sz w:val="16"/>
      <w:szCs w:val="16"/>
    </w:rPr>
  </w:style>
  <w:style w:type="paragraph" w:customStyle="1" w:styleId="xl70">
    <w:name w:val="xl70"/>
    <w:basedOn w:val="Normal"/>
    <w:rsid w:val="008E7B27"/>
    <w:pPr>
      <w:widowControl/>
      <w:pBdr>
        <w:right w:val="single" w:sz="4" w:space="0" w:color="auto"/>
      </w:pBdr>
      <w:autoSpaceDE/>
      <w:autoSpaceDN/>
      <w:spacing w:before="100" w:beforeAutospacing="1" w:after="100" w:afterAutospacing="1"/>
    </w:pPr>
    <w:rPr>
      <w:sz w:val="16"/>
      <w:szCs w:val="16"/>
    </w:rPr>
  </w:style>
  <w:style w:type="paragraph" w:customStyle="1" w:styleId="xl71">
    <w:name w:val="xl71"/>
    <w:basedOn w:val="Normal"/>
    <w:rsid w:val="008E7B27"/>
    <w:pPr>
      <w:widowControl/>
      <w:pBdr>
        <w:left w:val="single" w:sz="4" w:space="7" w:color="auto"/>
      </w:pBdr>
      <w:shd w:val="clear" w:color="000000" w:fill="D9D9D9"/>
      <w:autoSpaceDE/>
      <w:autoSpaceDN/>
      <w:spacing w:before="100" w:beforeAutospacing="1" w:after="100" w:afterAutospacing="1"/>
      <w:ind w:firstLine="100" w:firstLineChars="100"/>
    </w:pPr>
    <w:rPr>
      <w:sz w:val="16"/>
      <w:szCs w:val="16"/>
    </w:rPr>
  </w:style>
  <w:style w:type="paragraph" w:customStyle="1" w:styleId="xl72">
    <w:name w:val="xl72"/>
    <w:basedOn w:val="Normal"/>
    <w:rsid w:val="008E7B27"/>
    <w:pPr>
      <w:widowControl/>
      <w:shd w:val="clear" w:color="000000" w:fill="D9D9D9"/>
      <w:autoSpaceDE/>
      <w:autoSpaceDN/>
      <w:spacing w:before="100" w:beforeAutospacing="1" w:after="100" w:afterAutospacing="1"/>
    </w:pPr>
    <w:rPr>
      <w:sz w:val="16"/>
      <w:szCs w:val="16"/>
    </w:rPr>
  </w:style>
  <w:style w:type="paragraph" w:customStyle="1" w:styleId="xl73">
    <w:name w:val="xl73"/>
    <w:basedOn w:val="Normal"/>
    <w:rsid w:val="008E7B27"/>
    <w:pPr>
      <w:widowControl/>
      <w:pBdr>
        <w:right w:val="single" w:sz="4" w:space="0" w:color="auto"/>
      </w:pBdr>
      <w:shd w:val="clear" w:color="000000" w:fill="D9D9D9"/>
      <w:autoSpaceDE/>
      <w:autoSpaceDN/>
      <w:spacing w:before="100" w:beforeAutospacing="1" w:after="100" w:afterAutospacing="1"/>
    </w:pPr>
    <w:rPr>
      <w:sz w:val="16"/>
      <w:szCs w:val="16"/>
    </w:rPr>
  </w:style>
  <w:style w:type="paragraph" w:customStyle="1" w:styleId="xl74">
    <w:name w:val="xl74"/>
    <w:basedOn w:val="Normal"/>
    <w:rsid w:val="008E7B27"/>
    <w:pPr>
      <w:widowControl/>
      <w:pBdr>
        <w:left w:val="single" w:sz="4" w:space="7" w:color="auto"/>
        <w:bottom w:val="single" w:sz="4" w:space="0" w:color="auto"/>
      </w:pBdr>
      <w:shd w:val="clear" w:color="000000" w:fill="D9D9D9"/>
      <w:autoSpaceDE/>
      <w:autoSpaceDN/>
      <w:spacing w:before="100" w:beforeAutospacing="1" w:after="100" w:afterAutospacing="1"/>
      <w:ind w:firstLine="100" w:firstLineChars="100"/>
    </w:pPr>
    <w:rPr>
      <w:sz w:val="16"/>
      <w:szCs w:val="16"/>
    </w:rPr>
  </w:style>
  <w:style w:type="paragraph" w:customStyle="1" w:styleId="xl75">
    <w:name w:val="xl75"/>
    <w:basedOn w:val="Normal"/>
    <w:rsid w:val="008E7B27"/>
    <w:pPr>
      <w:widowControl/>
      <w:shd w:val="clear" w:color="000000" w:fill="D9D9D9"/>
      <w:autoSpaceDE/>
      <w:autoSpaceDN/>
      <w:spacing w:before="100" w:beforeAutospacing="1" w:after="100" w:afterAutospacing="1"/>
      <w:ind w:firstLine="100" w:firstLineChars="100"/>
    </w:pPr>
    <w:rPr>
      <w:sz w:val="16"/>
      <w:szCs w:val="16"/>
    </w:rPr>
  </w:style>
  <w:style w:type="paragraph" w:customStyle="1" w:styleId="xl76">
    <w:name w:val="xl76"/>
    <w:basedOn w:val="Normal"/>
    <w:rsid w:val="008E7B27"/>
    <w:pPr>
      <w:widowControl/>
      <w:pBdr>
        <w:bottom w:val="single" w:sz="4" w:space="0" w:color="auto"/>
        <w:right w:val="single" w:sz="4" w:space="0" w:color="auto"/>
      </w:pBdr>
      <w:autoSpaceDE/>
      <w:autoSpaceDN/>
      <w:spacing w:before="100" w:beforeAutospacing="1" w:after="100" w:afterAutospacing="1"/>
    </w:pPr>
    <w:rPr>
      <w:sz w:val="16"/>
      <w:szCs w:val="16"/>
    </w:rPr>
  </w:style>
  <w:style w:type="paragraph" w:customStyle="1" w:styleId="xl77">
    <w:name w:val="xl77"/>
    <w:basedOn w:val="Normal"/>
    <w:rsid w:val="008E7B27"/>
    <w:pPr>
      <w:widowControl/>
      <w:pBdr>
        <w:right w:val="single" w:sz="4" w:space="0" w:color="auto"/>
      </w:pBdr>
      <w:shd w:val="clear" w:color="000000" w:fill="D9D9D9"/>
      <w:autoSpaceDE/>
      <w:autoSpaceDN/>
      <w:spacing w:before="100" w:beforeAutospacing="1" w:after="100" w:afterAutospacing="1"/>
      <w:ind w:firstLine="100" w:firstLineChars="100"/>
    </w:pPr>
    <w:rPr>
      <w:sz w:val="16"/>
      <w:szCs w:val="16"/>
    </w:rPr>
  </w:style>
  <w:style w:type="paragraph" w:customStyle="1" w:styleId="xl78">
    <w:name w:val="xl78"/>
    <w:basedOn w:val="Normal"/>
    <w:rsid w:val="008E7B27"/>
    <w:pPr>
      <w:widowControl/>
      <w:pBdr>
        <w:right w:val="single" w:sz="4" w:space="0" w:color="auto"/>
      </w:pBdr>
      <w:autoSpaceDE/>
      <w:autoSpaceDN/>
      <w:spacing w:before="100" w:beforeAutospacing="1" w:after="100" w:afterAutospacing="1"/>
    </w:pPr>
    <w:rPr>
      <w:sz w:val="24"/>
      <w:szCs w:val="24"/>
    </w:rPr>
  </w:style>
  <w:style w:type="paragraph" w:customStyle="1" w:styleId="xl79">
    <w:name w:val="xl79"/>
    <w:basedOn w:val="Normal"/>
    <w:rsid w:val="008E7B27"/>
    <w:pPr>
      <w:widowControl/>
      <w:pBdr>
        <w:bottom w:val="single" w:sz="4" w:space="0" w:color="auto"/>
      </w:pBdr>
      <w:shd w:val="clear" w:color="000000" w:fill="D9D9D9"/>
      <w:autoSpaceDE/>
      <w:autoSpaceDN/>
      <w:spacing w:before="100" w:beforeAutospacing="1" w:after="100" w:afterAutospacing="1"/>
      <w:ind w:firstLine="100" w:firstLineChars="100"/>
    </w:pPr>
    <w:rPr>
      <w:sz w:val="16"/>
      <w:szCs w:val="16"/>
    </w:rPr>
  </w:style>
  <w:style w:type="paragraph" w:customStyle="1" w:styleId="xl80">
    <w:name w:val="xl80"/>
    <w:basedOn w:val="Normal"/>
    <w:rsid w:val="008E7B27"/>
    <w:pPr>
      <w:widowControl/>
      <w:pBdr>
        <w:bottom w:val="single" w:sz="4" w:space="0" w:color="auto"/>
        <w:right w:val="single" w:sz="4" w:space="0" w:color="auto"/>
      </w:pBdr>
      <w:shd w:val="clear" w:color="000000" w:fill="D9D9D9"/>
      <w:autoSpaceDE/>
      <w:autoSpaceDN/>
      <w:spacing w:before="100" w:beforeAutospacing="1" w:after="100" w:afterAutospacing="1"/>
      <w:ind w:firstLine="100" w:firstLineChars="100"/>
    </w:pPr>
    <w:rPr>
      <w:sz w:val="16"/>
      <w:szCs w:val="16"/>
    </w:rPr>
  </w:style>
  <w:style w:type="paragraph" w:customStyle="1" w:styleId="xl81">
    <w:name w:val="xl81"/>
    <w:basedOn w:val="Normal"/>
    <w:rsid w:val="008E7B27"/>
    <w:pPr>
      <w:widowControl/>
      <w:pBdr>
        <w:left w:val="single" w:sz="4" w:space="0" w:color="auto"/>
        <w:bottom w:val="single" w:sz="4" w:space="0" w:color="auto"/>
      </w:pBdr>
      <w:autoSpaceDE/>
      <w:autoSpaceDN/>
      <w:spacing w:before="100" w:beforeAutospacing="1" w:after="100" w:afterAutospacing="1"/>
    </w:pPr>
    <w:rPr>
      <w:sz w:val="16"/>
      <w:szCs w:val="16"/>
    </w:rPr>
  </w:style>
  <w:style w:type="paragraph" w:customStyle="1" w:styleId="xl82">
    <w:name w:val="xl82"/>
    <w:basedOn w:val="Normal"/>
    <w:rsid w:val="008E7B27"/>
    <w:pPr>
      <w:widowControl/>
      <w:pBdr>
        <w:left w:val="single" w:sz="4" w:space="0" w:color="auto"/>
      </w:pBdr>
      <w:autoSpaceDE/>
      <w:autoSpaceDN/>
      <w:spacing w:before="100" w:beforeAutospacing="1" w:after="100" w:afterAutospacing="1"/>
    </w:pPr>
    <w:rPr>
      <w:sz w:val="16"/>
      <w:szCs w:val="16"/>
    </w:rPr>
  </w:style>
  <w:style w:type="paragraph" w:customStyle="1" w:styleId="xl83">
    <w:name w:val="xl83"/>
    <w:basedOn w:val="Normal"/>
    <w:rsid w:val="008E7B27"/>
    <w:pPr>
      <w:widowControl/>
      <w:shd w:val="clear" w:color="000000" w:fill="FF0000"/>
      <w:autoSpaceDE/>
      <w:autoSpaceDN/>
      <w:spacing w:before="100" w:beforeAutospacing="1" w:after="100" w:afterAutospacing="1"/>
    </w:pPr>
    <w:rPr>
      <w:sz w:val="16"/>
      <w:szCs w:val="16"/>
    </w:rPr>
  </w:style>
  <w:style w:type="paragraph" w:customStyle="1" w:styleId="xl84">
    <w:name w:val="xl84"/>
    <w:basedOn w:val="Normal"/>
    <w:rsid w:val="008E7B27"/>
    <w:pPr>
      <w:widowControl/>
      <w:pBdr>
        <w:right w:val="single" w:sz="4" w:space="0" w:color="auto"/>
      </w:pBdr>
      <w:shd w:val="clear" w:color="000000" w:fill="FF0000"/>
      <w:autoSpaceDE/>
      <w:autoSpaceDN/>
      <w:spacing w:before="100" w:beforeAutospacing="1" w:after="100" w:afterAutospacing="1"/>
    </w:pPr>
    <w:rPr>
      <w:sz w:val="16"/>
      <w:szCs w:val="16"/>
    </w:rPr>
  </w:style>
  <w:style w:type="paragraph" w:customStyle="1" w:styleId="xl85">
    <w:name w:val="xl85"/>
    <w:basedOn w:val="Normal"/>
    <w:rsid w:val="008E7B27"/>
    <w:pPr>
      <w:widowControl/>
      <w:shd w:val="clear" w:color="000000" w:fill="FFFFFF"/>
      <w:autoSpaceDE/>
      <w:autoSpaceDN/>
      <w:spacing w:before="100" w:beforeAutospacing="1" w:after="100" w:afterAutospacing="1"/>
    </w:pPr>
    <w:rPr>
      <w:sz w:val="16"/>
      <w:szCs w:val="16"/>
    </w:rPr>
  </w:style>
  <w:style w:type="paragraph" w:customStyle="1" w:styleId="xl86">
    <w:name w:val="xl86"/>
    <w:basedOn w:val="Normal"/>
    <w:rsid w:val="008E7B27"/>
    <w:pPr>
      <w:widowControl/>
      <w:shd w:val="clear" w:color="000000" w:fill="FF0000"/>
      <w:autoSpaceDE/>
      <w:autoSpaceDN/>
      <w:spacing w:before="100" w:beforeAutospacing="1" w:after="100" w:afterAutospacing="1"/>
    </w:pPr>
    <w:rPr>
      <w:color w:val="FFC000"/>
      <w:sz w:val="16"/>
      <w:szCs w:val="16"/>
    </w:rPr>
  </w:style>
  <w:style w:type="paragraph" w:customStyle="1" w:styleId="xl87">
    <w:name w:val="xl87"/>
    <w:basedOn w:val="Normal"/>
    <w:rsid w:val="008E7B27"/>
    <w:pPr>
      <w:widowControl/>
      <w:pBdr>
        <w:right w:val="single" w:sz="4" w:space="0" w:color="auto"/>
      </w:pBdr>
      <w:shd w:val="clear" w:color="000000" w:fill="FF0000"/>
      <w:autoSpaceDE/>
      <w:autoSpaceDN/>
      <w:spacing w:before="100" w:beforeAutospacing="1" w:after="100" w:afterAutospacing="1"/>
    </w:pPr>
    <w:rPr>
      <w:color w:val="FFC000"/>
      <w:sz w:val="16"/>
      <w:szCs w:val="16"/>
    </w:rPr>
  </w:style>
  <w:style w:type="paragraph" w:customStyle="1" w:styleId="xl88">
    <w:name w:val="xl88"/>
    <w:basedOn w:val="Normal"/>
    <w:rsid w:val="00166DD9"/>
    <w:pPr>
      <w:widowControl/>
      <w:pBdr>
        <w:top w:val="single" w:sz="4" w:space="0" w:color="auto"/>
        <w:right w:val="single" w:sz="4" w:space="0" w:color="auto"/>
      </w:pBdr>
      <w:autoSpaceDE/>
      <w:autoSpaceDN/>
      <w:spacing w:before="100" w:beforeAutospacing="1" w:after="100" w:afterAutospacing="1"/>
    </w:pPr>
    <w:rPr>
      <w:b/>
      <w:bCs/>
      <w:sz w:val="16"/>
      <w:szCs w:val="16"/>
    </w:rPr>
  </w:style>
  <w:style w:type="character" w:styleId="PlaceholderText">
    <w:name w:val="Placeholder Text"/>
    <w:basedOn w:val="DefaultParagraphFont"/>
    <w:uiPriority w:val="99"/>
    <w:semiHidden/>
    <w:rsid w:val="002D74A8"/>
    <w:rPr>
      <w:color w:val="808080"/>
    </w:rPr>
  </w:style>
  <w:style w:type="paragraph" w:customStyle="1" w:styleId="xl63">
    <w:name w:val="xl63"/>
    <w:basedOn w:val="Normal"/>
    <w:rsid w:val="004A0479"/>
    <w:pPr>
      <w:widowControl/>
      <w:pBdr>
        <w:top w:val="single" w:sz="4" w:space="0" w:color="auto"/>
        <w:left w:val="single" w:sz="4" w:space="0" w:color="auto"/>
      </w:pBdr>
      <w:autoSpaceDE/>
      <w:autoSpaceDN/>
      <w:spacing w:before="100" w:beforeAutospacing="1" w:after="100" w:afterAutospacing="1"/>
    </w:pPr>
    <w:rPr>
      <w:sz w:val="16"/>
      <w:szCs w:val="16"/>
    </w:rPr>
  </w:style>
  <w:style w:type="paragraph" w:customStyle="1" w:styleId="xl64">
    <w:name w:val="xl64"/>
    <w:basedOn w:val="Normal"/>
    <w:rsid w:val="004A0479"/>
    <w:pPr>
      <w:widowControl/>
      <w:pBdr>
        <w:top w:val="single" w:sz="4" w:space="0" w:color="auto"/>
      </w:pBdr>
      <w:autoSpaceDE/>
      <w:autoSpaceDN/>
      <w:spacing w:before="100" w:beforeAutospacing="1" w:after="100" w:afterAutospacing="1"/>
    </w:pPr>
    <w:rPr>
      <w:sz w:val="16"/>
      <w:szCs w:val="16"/>
    </w:rPr>
  </w:style>
  <w:style w:type="paragraph" w:styleId="Header">
    <w:name w:val="header"/>
    <w:basedOn w:val="Normal"/>
    <w:link w:val="HeaderChar"/>
    <w:uiPriority w:val="99"/>
    <w:unhideWhenUsed/>
    <w:rsid w:val="001B35F0"/>
    <w:pPr>
      <w:tabs>
        <w:tab w:val="center" w:pos="4680"/>
        <w:tab w:val="right" w:pos="9360"/>
      </w:tabs>
    </w:pPr>
  </w:style>
  <w:style w:type="character" w:customStyle="1" w:styleId="HeaderChar">
    <w:name w:val="Header Char"/>
    <w:basedOn w:val="DefaultParagraphFont"/>
    <w:link w:val="Header"/>
    <w:uiPriority w:val="99"/>
    <w:rsid w:val="001B35F0"/>
    <w:rPr>
      <w:rFonts w:ascii="Times New Roman" w:eastAsia="Times New Roman" w:hAnsi="Times New Roman" w:cs="Times New Roman"/>
    </w:rPr>
  </w:style>
  <w:style w:type="paragraph" w:styleId="Footer">
    <w:name w:val="footer"/>
    <w:basedOn w:val="Normal"/>
    <w:link w:val="FooterChar"/>
    <w:uiPriority w:val="99"/>
    <w:unhideWhenUsed/>
    <w:rsid w:val="001B35F0"/>
    <w:pPr>
      <w:tabs>
        <w:tab w:val="center" w:pos="4680"/>
        <w:tab w:val="right" w:pos="9360"/>
      </w:tabs>
    </w:pPr>
  </w:style>
  <w:style w:type="character" w:customStyle="1" w:styleId="FooterChar">
    <w:name w:val="Footer Char"/>
    <w:basedOn w:val="DefaultParagraphFont"/>
    <w:link w:val="Footer"/>
    <w:uiPriority w:val="99"/>
    <w:rsid w:val="001B35F0"/>
    <w:rPr>
      <w:rFonts w:ascii="Times New Roman" w:eastAsia="Times New Roman" w:hAnsi="Times New Roman" w:cs="Times New Roman"/>
    </w:rPr>
  </w:style>
  <w:style w:type="paragraph" w:customStyle="1" w:styleId="xl89">
    <w:name w:val="xl89"/>
    <w:basedOn w:val="Normal"/>
    <w:rsid w:val="002A3F53"/>
    <w:pPr>
      <w:widowControl/>
      <w:pBdr>
        <w:left w:val="single" w:sz="4" w:space="0" w:color="auto"/>
      </w:pBdr>
      <w:autoSpaceDE/>
      <w:autoSpaceDN/>
      <w:spacing w:before="100" w:beforeAutospacing="1" w:after="100" w:afterAutospacing="1"/>
    </w:pPr>
    <w:rPr>
      <w:sz w:val="16"/>
      <w:szCs w:val="16"/>
    </w:rPr>
  </w:style>
  <w:style w:type="paragraph" w:customStyle="1" w:styleId="xl90">
    <w:name w:val="xl90"/>
    <w:basedOn w:val="Normal"/>
    <w:rsid w:val="002A3F53"/>
    <w:pPr>
      <w:widowControl/>
      <w:pBdr>
        <w:left w:val="single" w:sz="4" w:space="0" w:color="auto"/>
      </w:pBdr>
      <w:shd w:val="clear" w:color="000000" w:fill="D9D9D9"/>
      <w:autoSpaceDE/>
      <w:autoSpaceDN/>
      <w:spacing w:before="100" w:beforeAutospacing="1" w:after="100" w:afterAutospacing="1"/>
    </w:pPr>
    <w:rPr>
      <w:sz w:val="16"/>
      <w:szCs w:val="16"/>
    </w:rPr>
  </w:style>
  <w:style w:type="paragraph" w:customStyle="1" w:styleId="xl91">
    <w:name w:val="xl91"/>
    <w:basedOn w:val="Normal"/>
    <w:rsid w:val="002A3F53"/>
    <w:pPr>
      <w:widowControl/>
      <w:pBdr>
        <w:left w:val="single" w:sz="4" w:space="0" w:color="auto"/>
      </w:pBdr>
      <w:shd w:val="clear" w:color="000000" w:fill="D9D9D9"/>
      <w:autoSpaceDE/>
      <w:autoSpaceDN/>
      <w:spacing w:before="100" w:beforeAutospacing="1" w:after="100" w:afterAutospacing="1"/>
    </w:pPr>
    <w:rPr>
      <w:sz w:val="16"/>
      <w:szCs w:val="16"/>
    </w:rPr>
  </w:style>
  <w:style w:type="paragraph" w:customStyle="1" w:styleId="xl92">
    <w:name w:val="xl92"/>
    <w:basedOn w:val="Normal"/>
    <w:rsid w:val="002A3F53"/>
    <w:pPr>
      <w:widowControl/>
      <w:pBdr>
        <w:left w:val="single" w:sz="4" w:space="0" w:color="auto"/>
        <w:bottom w:val="single" w:sz="4" w:space="0" w:color="auto"/>
      </w:pBdr>
      <w:shd w:val="clear" w:color="000000" w:fill="D9D9D9"/>
      <w:autoSpaceDE/>
      <w:autoSpaceDN/>
      <w:spacing w:before="100" w:beforeAutospacing="1" w:after="100" w:afterAutospacing="1"/>
    </w:pPr>
    <w:rPr>
      <w:sz w:val="16"/>
      <w:szCs w:val="16"/>
    </w:rPr>
  </w:style>
  <w:style w:type="paragraph" w:customStyle="1" w:styleId="xl93">
    <w:name w:val="xl93"/>
    <w:basedOn w:val="Normal"/>
    <w:rsid w:val="002A3F53"/>
    <w:pPr>
      <w:widowControl/>
      <w:pBdr>
        <w:left w:val="single" w:sz="4" w:space="0" w:color="auto"/>
      </w:pBdr>
      <w:autoSpaceDE/>
      <w:autoSpaceDN/>
      <w:spacing w:before="100" w:beforeAutospacing="1" w:after="100" w:afterAutospacing="1"/>
    </w:pPr>
    <w:rPr>
      <w:sz w:val="24"/>
      <w:szCs w:val="24"/>
    </w:rPr>
  </w:style>
  <w:style w:type="paragraph" w:customStyle="1" w:styleId="xl94">
    <w:name w:val="xl94"/>
    <w:basedOn w:val="Normal"/>
    <w:rsid w:val="002A3F53"/>
    <w:pPr>
      <w:widowControl/>
      <w:pBdr>
        <w:top w:val="single" w:sz="4" w:space="0" w:color="auto"/>
        <w:left w:val="single" w:sz="4" w:space="0" w:color="auto"/>
        <w:bottom w:val="single" w:sz="4" w:space="0" w:color="auto"/>
      </w:pBdr>
      <w:autoSpaceDE/>
      <w:autoSpaceDN/>
      <w:spacing w:before="100" w:beforeAutospacing="1" w:after="100" w:afterAutospacing="1"/>
    </w:pPr>
    <w:rPr>
      <w:b/>
      <w:bCs/>
      <w:sz w:val="16"/>
      <w:szCs w:val="16"/>
    </w:rPr>
  </w:style>
  <w:style w:type="paragraph" w:customStyle="1" w:styleId="xl95">
    <w:name w:val="xl95"/>
    <w:basedOn w:val="Normal"/>
    <w:rsid w:val="002A3F53"/>
    <w:pPr>
      <w:widowControl/>
      <w:pBdr>
        <w:top w:val="single" w:sz="4" w:space="0" w:color="auto"/>
      </w:pBdr>
      <w:autoSpaceDE/>
      <w:autoSpaceDN/>
      <w:spacing w:before="100" w:beforeAutospacing="1" w:after="100" w:afterAutospacing="1"/>
      <w:jc w:val="center"/>
    </w:pPr>
    <w:rPr>
      <w:b/>
      <w:bCs/>
      <w:sz w:val="16"/>
      <w:szCs w:val="16"/>
    </w:rPr>
  </w:style>
  <w:style w:type="paragraph" w:customStyle="1" w:styleId="xl96">
    <w:name w:val="xl96"/>
    <w:basedOn w:val="Normal"/>
    <w:rsid w:val="002A3F53"/>
    <w:pPr>
      <w:widowControl/>
      <w:pBdr>
        <w:top w:val="single" w:sz="4" w:space="0" w:color="auto"/>
      </w:pBdr>
      <w:autoSpaceDE/>
      <w:autoSpaceDN/>
      <w:spacing w:before="100" w:beforeAutospacing="1" w:after="100" w:afterAutospacing="1"/>
      <w:jc w:val="center"/>
    </w:pPr>
    <w:rPr>
      <w:sz w:val="16"/>
      <w:szCs w:val="16"/>
    </w:rPr>
  </w:style>
  <w:style w:type="paragraph" w:customStyle="1" w:styleId="xl97">
    <w:name w:val="xl97"/>
    <w:basedOn w:val="Normal"/>
    <w:rsid w:val="002A3F53"/>
    <w:pPr>
      <w:widowControl/>
      <w:pBdr>
        <w:bottom w:val="single" w:sz="4" w:space="0" w:color="auto"/>
      </w:pBdr>
      <w:autoSpaceDE/>
      <w:autoSpaceDN/>
      <w:spacing w:before="100" w:beforeAutospacing="1" w:after="100" w:afterAutospacing="1"/>
      <w:jc w:val="center"/>
    </w:pPr>
    <w:rPr>
      <w:sz w:val="16"/>
      <w:szCs w:val="16"/>
    </w:rPr>
  </w:style>
  <w:style w:type="paragraph" w:customStyle="1" w:styleId="xl98">
    <w:name w:val="xl98"/>
    <w:basedOn w:val="Normal"/>
    <w:rsid w:val="002A3F53"/>
    <w:pPr>
      <w:widowControl/>
      <w:autoSpaceDE/>
      <w:autoSpaceDN/>
      <w:spacing w:before="100" w:beforeAutospacing="1" w:after="100" w:afterAutospacing="1"/>
      <w:jc w:val="center"/>
    </w:pPr>
    <w:rPr>
      <w:sz w:val="16"/>
      <w:szCs w:val="16"/>
    </w:rPr>
  </w:style>
  <w:style w:type="paragraph" w:customStyle="1" w:styleId="xl99">
    <w:name w:val="xl99"/>
    <w:basedOn w:val="Normal"/>
    <w:rsid w:val="002A3F53"/>
    <w:pPr>
      <w:widowControl/>
      <w:shd w:val="clear" w:color="000000" w:fill="D9D9D9"/>
      <w:autoSpaceDE/>
      <w:autoSpaceDN/>
      <w:spacing w:before="100" w:beforeAutospacing="1" w:after="100" w:afterAutospacing="1"/>
      <w:jc w:val="center"/>
    </w:pPr>
    <w:rPr>
      <w:sz w:val="16"/>
      <w:szCs w:val="16"/>
    </w:rPr>
  </w:style>
  <w:style w:type="paragraph" w:customStyle="1" w:styleId="xl100">
    <w:name w:val="xl100"/>
    <w:basedOn w:val="Normal"/>
    <w:rsid w:val="002A3F53"/>
    <w:pPr>
      <w:widowControl/>
      <w:shd w:val="clear" w:color="000000" w:fill="D9D9D9"/>
      <w:autoSpaceDE/>
      <w:autoSpaceDN/>
      <w:spacing w:before="100" w:beforeAutospacing="1" w:after="100" w:afterAutospacing="1"/>
      <w:jc w:val="center"/>
    </w:pPr>
    <w:rPr>
      <w:sz w:val="16"/>
      <w:szCs w:val="16"/>
    </w:rPr>
  </w:style>
  <w:style w:type="paragraph" w:customStyle="1" w:styleId="xl101">
    <w:name w:val="xl101"/>
    <w:basedOn w:val="Normal"/>
    <w:rsid w:val="002A3F53"/>
    <w:pPr>
      <w:widowControl/>
      <w:pBdr>
        <w:bottom w:val="single" w:sz="4" w:space="0" w:color="auto"/>
      </w:pBdr>
      <w:shd w:val="clear" w:color="000000" w:fill="D9D9D9"/>
      <w:autoSpaceDE/>
      <w:autoSpaceDN/>
      <w:spacing w:before="100" w:beforeAutospacing="1" w:after="100" w:afterAutospacing="1"/>
      <w:jc w:val="center"/>
    </w:pPr>
    <w:rPr>
      <w:sz w:val="16"/>
      <w:szCs w:val="16"/>
    </w:rPr>
  </w:style>
  <w:style w:type="paragraph" w:customStyle="1" w:styleId="xl102">
    <w:name w:val="xl102"/>
    <w:basedOn w:val="Normal"/>
    <w:rsid w:val="002A3F53"/>
    <w:pPr>
      <w:widowControl/>
      <w:autoSpaceDE/>
      <w:autoSpaceDN/>
      <w:spacing w:before="100" w:beforeAutospacing="1" w:after="100" w:afterAutospacing="1"/>
      <w:jc w:val="center"/>
    </w:pPr>
    <w:rPr>
      <w:sz w:val="24"/>
      <w:szCs w:val="24"/>
    </w:rPr>
  </w:style>
  <w:style w:type="paragraph" w:customStyle="1" w:styleId="xl103">
    <w:name w:val="xl103"/>
    <w:basedOn w:val="Normal"/>
    <w:rsid w:val="002A3F53"/>
    <w:pPr>
      <w:widowControl/>
      <w:pBdr>
        <w:top w:val="single" w:sz="4" w:space="0" w:color="auto"/>
      </w:pBdr>
      <w:autoSpaceDE/>
      <w:autoSpaceDN/>
      <w:spacing w:before="100" w:beforeAutospacing="1" w:after="100" w:afterAutospacing="1"/>
    </w:pPr>
    <w:rPr>
      <w:b/>
      <w:bCs/>
      <w:sz w:val="16"/>
      <w:szCs w:val="16"/>
    </w:rPr>
  </w:style>
  <w:style w:type="paragraph" w:customStyle="1" w:styleId="xl104">
    <w:name w:val="xl104"/>
    <w:basedOn w:val="Normal"/>
    <w:rsid w:val="002A3F53"/>
    <w:pPr>
      <w:widowControl/>
      <w:pBdr>
        <w:top w:val="single" w:sz="4" w:space="0" w:color="auto"/>
      </w:pBdr>
      <w:autoSpaceDE/>
      <w:autoSpaceDN/>
      <w:spacing w:before="100" w:beforeAutospacing="1" w:after="100" w:afterAutospacing="1"/>
    </w:pPr>
    <w:rPr>
      <w:sz w:val="16"/>
      <w:szCs w:val="16"/>
    </w:rPr>
  </w:style>
  <w:style w:type="paragraph" w:customStyle="1" w:styleId="xl105">
    <w:name w:val="xl105"/>
    <w:basedOn w:val="Normal"/>
    <w:rsid w:val="002A3F53"/>
    <w:pPr>
      <w:widowControl/>
      <w:pBdr>
        <w:bottom w:val="single" w:sz="4" w:space="0" w:color="auto"/>
      </w:pBdr>
      <w:autoSpaceDE/>
      <w:autoSpaceDN/>
      <w:spacing w:before="100" w:beforeAutospacing="1" w:after="100" w:afterAutospacing="1"/>
    </w:pPr>
    <w:rPr>
      <w:sz w:val="16"/>
      <w:szCs w:val="16"/>
    </w:rPr>
  </w:style>
  <w:style w:type="paragraph" w:customStyle="1" w:styleId="xl106">
    <w:name w:val="xl106"/>
    <w:basedOn w:val="Normal"/>
    <w:rsid w:val="002A3F53"/>
    <w:pPr>
      <w:widowControl/>
      <w:autoSpaceDE/>
      <w:autoSpaceDN/>
      <w:spacing w:before="100" w:beforeAutospacing="1" w:after="100" w:afterAutospacing="1"/>
    </w:pPr>
    <w:rPr>
      <w:sz w:val="16"/>
      <w:szCs w:val="16"/>
    </w:rPr>
  </w:style>
  <w:style w:type="paragraph" w:customStyle="1" w:styleId="xl107">
    <w:name w:val="xl107"/>
    <w:basedOn w:val="Normal"/>
    <w:rsid w:val="002A3F53"/>
    <w:pPr>
      <w:widowControl/>
      <w:shd w:val="clear" w:color="000000" w:fill="D9D9D9"/>
      <w:autoSpaceDE/>
      <w:autoSpaceDN/>
      <w:spacing w:before="100" w:beforeAutospacing="1" w:after="100" w:afterAutospacing="1"/>
    </w:pPr>
    <w:rPr>
      <w:sz w:val="16"/>
      <w:szCs w:val="16"/>
    </w:rPr>
  </w:style>
  <w:style w:type="paragraph" w:customStyle="1" w:styleId="xl108">
    <w:name w:val="xl108"/>
    <w:basedOn w:val="Normal"/>
    <w:rsid w:val="002A3F53"/>
    <w:pPr>
      <w:widowControl/>
      <w:pBdr>
        <w:top w:val="single" w:sz="4" w:space="0" w:color="auto"/>
        <w:right w:val="single" w:sz="4" w:space="0" w:color="auto"/>
      </w:pBdr>
      <w:autoSpaceDE/>
      <w:autoSpaceDN/>
      <w:spacing w:before="100" w:beforeAutospacing="1" w:after="100" w:afterAutospacing="1"/>
    </w:pPr>
    <w:rPr>
      <w:b/>
      <w:bCs/>
      <w:sz w:val="16"/>
      <w:szCs w:val="16"/>
    </w:rPr>
  </w:style>
  <w:style w:type="paragraph" w:customStyle="1" w:styleId="xl109">
    <w:name w:val="xl109"/>
    <w:basedOn w:val="Normal"/>
    <w:rsid w:val="002A3F53"/>
    <w:pPr>
      <w:widowControl/>
      <w:pBdr>
        <w:top w:val="single" w:sz="4" w:space="0" w:color="auto"/>
        <w:right w:val="single" w:sz="4" w:space="0" w:color="auto"/>
      </w:pBdr>
      <w:autoSpaceDE/>
      <w:autoSpaceDN/>
      <w:spacing w:before="100" w:beforeAutospacing="1" w:after="100" w:afterAutospacing="1"/>
    </w:pPr>
    <w:rPr>
      <w:sz w:val="16"/>
      <w:szCs w:val="16"/>
    </w:rPr>
  </w:style>
  <w:style w:type="paragraph" w:customStyle="1" w:styleId="xl110">
    <w:name w:val="xl110"/>
    <w:basedOn w:val="Normal"/>
    <w:rsid w:val="002A3F53"/>
    <w:pPr>
      <w:widowControl/>
      <w:pBdr>
        <w:bottom w:val="single" w:sz="4" w:space="0" w:color="auto"/>
        <w:right w:val="single" w:sz="4" w:space="0" w:color="auto"/>
      </w:pBdr>
      <w:autoSpaceDE/>
      <w:autoSpaceDN/>
      <w:spacing w:before="100" w:beforeAutospacing="1" w:after="100" w:afterAutospacing="1"/>
    </w:pPr>
    <w:rPr>
      <w:sz w:val="16"/>
      <w:szCs w:val="16"/>
    </w:rPr>
  </w:style>
  <w:style w:type="paragraph" w:customStyle="1" w:styleId="xl111">
    <w:name w:val="xl111"/>
    <w:basedOn w:val="Normal"/>
    <w:rsid w:val="002A3F53"/>
    <w:pPr>
      <w:widowControl/>
      <w:pBdr>
        <w:right w:val="single" w:sz="4" w:space="0" w:color="auto"/>
      </w:pBdr>
      <w:autoSpaceDE/>
      <w:autoSpaceDN/>
      <w:spacing w:before="100" w:beforeAutospacing="1" w:after="100" w:afterAutospacing="1"/>
    </w:pPr>
    <w:rPr>
      <w:sz w:val="16"/>
      <w:szCs w:val="16"/>
    </w:rPr>
  </w:style>
  <w:style w:type="paragraph" w:customStyle="1" w:styleId="xl112">
    <w:name w:val="xl112"/>
    <w:basedOn w:val="Normal"/>
    <w:rsid w:val="002A3F53"/>
    <w:pPr>
      <w:widowControl/>
      <w:pBdr>
        <w:right w:val="single" w:sz="4" w:space="0" w:color="auto"/>
      </w:pBdr>
      <w:shd w:val="clear" w:color="000000" w:fill="D9D9D9"/>
      <w:autoSpaceDE/>
      <w:autoSpaceDN/>
      <w:spacing w:before="100" w:beforeAutospacing="1" w:after="100" w:afterAutospacing="1"/>
    </w:pPr>
    <w:rPr>
      <w:sz w:val="16"/>
      <w:szCs w:val="16"/>
    </w:rPr>
  </w:style>
  <w:style w:type="paragraph" w:customStyle="1" w:styleId="xl113">
    <w:name w:val="xl113"/>
    <w:basedOn w:val="Normal"/>
    <w:rsid w:val="002A3F53"/>
    <w:pPr>
      <w:widowControl/>
      <w:autoSpaceDE/>
      <w:autoSpaceDN/>
      <w:spacing w:before="100" w:beforeAutospacing="1" w:after="100" w:afterAutospacing="1"/>
    </w:pPr>
    <w:rPr>
      <w:sz w:val="16"/>
      <w:szCs w:val="16"/>
    </w:rPr>
  </w:style>
  <w:style w:type="paragraph" w:customStyle="1" w:styleId="xl114">
    <w:name w:val="xl114"/>
    <w:basedOn w:val="Normal"/>
    <w:rsid w:val="002D695E"/>
    <w:pPr>
      <w:widowControl/>
      <w:pBdr>
        <w:bottom w:val="single" w:sz="4" w:space="0" w:color="auto"/>
        <w:right w:val="single" w:sz="4" w:space="0" w:color="auto"/>
      </w:pBdr>
      <w:autoSpaceDE/>
      <w:autoSpaceDN/>
      <w:spacing w:before="100" w:beforeAutospacing="1" w:after="100" w:afterAutospacing="1"/>
    </w:pPr>
    <w:rPr>
      <w:b/>
      <w:bCs/>
      <w:sz w:val="16"/>
      <w:szCs w:val="16"/>
    </w:rPr>
  </w:style>
  <w:style w:type="paragraph" w:customStyle="1" w:styleId="xl115">
    <w:name w:val="xl115"/>
    <w:basedOn w:val="Normal"/>
    <w:rsid w:val="0060621D"/>
    <w:pPr>
      <w:widowControl/>
      <w:pBdr>
        <w:bottom w:val="single" w:sz="4" w:space="0" w:color="auto"/>
      </w:pBdr>
      <w:autoSpaceDE/>
      <w:autoSpaceDN/>
      <w:spacing w:before="100" w:beforeAutospacing="1" w:after="100" w:afterAutospacing="1"/>
    </w:pPr>
    <w:rPr>
      <w:b/>
      <w:bCs/>
      <w:sz w:val="16"/>
      <w:szCs w:val="16"/>
    </w:rPr>
  </w:style>
  <w:style w:type="paragraph" w:customStyle="1" w:styleId="xl116">
    <w:name w:val="xl116"/>
    <w:basedOn w:val="Normal"/>
    <w:rsid w:val="0060621D"/>
    <w:pPr>
      <w:widowControl/>
      <w:pBdr>
        <w:bottom w:val="single" w:sz="4" w:space="0" w:color="auto"/>
        <w:right w:val="single" w:sz="4" w:space="0" w:color="auto"/>
      </w:pBdr>
      <w:autoSpaceDE/>
      <w:autoSpaceDN/>
      <w:spacing w:before="100" w:beforeAutospacing="1" w:after="100" w:afterAutospacing="1"/>
    </w:pPr>
    <w:rPr>
      <w:b/>
      <w:bCs/>
      <w:sz w:val="16"/>
      <w:szCs w:val="16"/>
    </w:rPr>
  </w:style>
  <w:style w:type="paragraph" w:customStyle="1" w:styleId="xl117">
    <w:name w:val="xl117"/>
    <w:basedOn w:val="Normal"/>
    <w:rsid w:val="0060621D"/>
    <w:pPr>
      <w:widowControl/>
      <w:pBdr>
        <w:bottom w:val="single" w:sz="4" w:space="0" w:color="auto"/>
        <w:right w:val="single" w:sz="4" w:space="0" w:color="auto"/>
      </w:pBdr>
      <w:autoSpaceDE/>
      <w:autoSpaceDN/>
      <w:spacing w:before="100" w:beforeAutospacing="1" w:after="100" w:afterAutospacing="1"/>
    </w:pPr>
    <w:rPr>
      <w:b/>
      <w:bCs/>
      <w:sz w:val="16"/>
      <w:szCs w:val="16"/>
    </w:rPr>
  </w:style>
  <w:style w:type="paragraph" w:customStyle="1" w:styleId="xl118">
    <w:name w:val="xl118"/>
    <w:basedOn w:val="Normal"/>
    <w:rsid w:val="0060621D"/>
    <w:pPr>
      <w:widowControl/>
      <w:pBdr>
        <w:top w:val="single" w:sz="4" w:space="0" w:color="auto"/>
        <w:right w:val="single" w:sz="4" w:space="0" w:color="auto"/>
      </w:pBdr>
      <w:autoSpaceDE/>
      <w:autoSpaceDN/>
      <w:spacing w:before="100" w:beforeAutospacing="1" w:after="100" w:afterAutospacing="1"/>
    </w:pPr>
    <w:rPr>
      <w:b/>
      <w:bCs/>
      <w:sz w:val="16"/>
      <w:szCs w:val="16"/>
    </w:rPr>
  </w:style>
  <w:style w:type="paragraph" w:customStyle="1" w:styleId="xl119">
    <w:name w:val="xl119"/>
    <w:basedOn w:val="Normal"/>
    <w:rsid w:val="0060621D"/>
    <w:pPr>
      <w:widowControl/>
      <w:pBdr>
        <w:top w:val="single" w:sz="4" w:space="0" w:color="auto"/>
        <w:right w:val="single" w:sz="4" w:space="0" w:color="auto"/>
      </w:pBdr>
      <w:autoSpaceDE/>
      <w:autoSpaceDN/>
      <w:spacing w:before="100" w:beforeAutospacing="1" w:after="100" w:afterAutospacing="1"/>
    </w:pPr>
    <w:rPr>
      <w:sz w:val="16"/>
      <w:szCs w:val="16"/>
    </w:rPr>
  </w:style>
  <w:style w:type="paragraph" w:customStyle="1" w:styleId="xl120">
    <w:name w:val="xl120"/>
    <w:basedOn w:val="Normal"/>
    <w:rsid w:val="0060621D"/>
    <w:pPr>
      <w:widowControl/>
      <w:pBdr>
        <w:bottom w:val="single" w:sz="4" w:space="0" w:color="auto"/>
      </w:pBdr>
      <w:autoSpaceDE/>
      <w:autoSpaceDN/>
      <w:spacing w:before="100" w:beforeAutospacing="1" w:after="100" w:afterAutospacing="1"/>
    </w:pPr>
    <w:rPr>
      <w:b/>
      <w:bCs/>
      <w:sz w:val="16"/>
      <w:szCs w:val="16"/>
    </w:rPr>
  </w:style>
  <w:style w:type="paragraph" w:customStyle="1" w:styleId="xl121">
    <w:name w:val="xl121"/>
    <w:basedOn w:val="Normal"/>
    <w:rsid w:val="0060621D"/>
    <w:pPr>
      <w:widowControl/>
      <w:autoSpaceDE/>
      <w:autoSpaceDN/>
      <w:spacing w:before="100" w:beforeAutospacing="1" w:after="100" w:afterAutospacing="1"/>
    </w:pPr>
    <w:rPr>
      <w:sz w:val="16"/>
      <w:szCs w:val="16"/>
    </w:rPr>
  </w:style>
  <w:style w:type="paragraph" w:customStyle="1" w:styleId="xl122">
    <w:name w:val="xl122"/>
    <w:basedOn w:val="Normal"/>
    <w:rsid w:val="0060621D"/>
    <w:pPr>
      <w:widowControl/>
      <w:pBdr>
        <w:top w:val="single" w:sz="4" w:space="0" w:color="auto"/>
      </w:pBdr>
      <w:autoSpaceDE/>
      <w:autoSpaceDN/>
      <w:spacing w:before="100" w:beforeAutospacing="1" w:after="100" w:afterAutospacing="1"/>
    </w:pPr>
    <w:rPr>
      <w:sz w:val="16"/>
      <w:szCs w:val="16"/>
    </w:rPr>
  </w:style>
  <w:style w:type="paragraph" w:customStyle="1" w:styleId="xl123">
    <w:name w:val="xl123"/>
    <w:basedOn w:val="Normal"/>
    <w:rsid w:val="0060621D"/>
    <w:pPr>
      <w:widowControl/>
      <w:shd w:val="clear" w:color="000000" w:fill="D9D9D9"/>
      <w:autoSpaceDE/>
      <w:autoSpaceDN/>
      <w:spacing w:before="100" w:beforeAutospacing="1" w:after="100" w:afterAutospacing="1"/>
      <w:ind w:firstLine="100" w:firstLineChars="100"/>
    </w:pPr>
    <w:rPr>
      <w:sz w:val="16"/>
      <w:szCs w:val="16"/>
    </w:rPr>
  </w:style>
  <w:style w:type="numbering" w:customStyle="1" w:styleId="NoList1">
    <w:name w:val="No List1"/>
    <w:next w:val="NoList"/>
    <w:uiPriority w:val="99"/>
    <w:semiHidden/>
    <w:unhideWhenUsed/>
    <w:rsid w:val="00AA7F58"/>
  </w:style>
  <w:style w:type="paragraph" w:customStyle="1" w:styleId="xl124">
    <w:name w:val="xl124"/>
    <w:basedOn w:val="Normal"/>
    <w:rsid w:val="00AA7F58"/>
    <w:pPr>
      <w:widowControl/>
      <w:pBdr>
        <w:top w:val="single" w:sz="4" w:space="0" w:color="auto"/>
      </w:pBdr>
      <w:autoSpaceDE/>
      <w:autoSpaceDN/>
      <w:spacing w:before="100" w:beforeAutospacing="1" w:after="100" w:afterAutospacing="1"/>
    </w:pPr>
    <w:rPr>
      <w:sz w:val="16"/>
      <w:szCs w:val="16"/>
    </w:rPr>
  </w:style>
  <w:style w:type="paragraph" w:customStyle="1" w:styleId="xl125">
    <w:name w:val="xl125"/>
    <w:basedOn w:val="Normal"/>
    <w:rsid w:val="00AA7F58"/>
    <w:pPr>
      <w:widowControl/>
      <w:shd w:val="clear" w:color="000000" w:fill="D9D9D9"/>
      <w:autoSpaceDE/>
      <w:autoSpaceDN/>
      <w:spacing w:before="100" w:beforeAutospacing="1" w:after="100" w:afterAutospacing="1"/>
      <w:ind w:firstLine="100" w:firstLineChars="10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hyperlink" Target="http://www.whitehouse.gov/omb/inforeg/statpolicy/standards_stat_surveys.pdf" TargetMode="Externa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image" Target="media/image3.emf" /><Relationship Id="rId17" Type="http://schemas.openxmlformats.org/officeDocument/2006/relationships/image" Target="media/image4.emf"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image" Target="media/image5.emf" /><Relationship Id="rId21" Type="http://schemas.openxmlformats.org/officeDocument/2006/relationships/image" Target="media/image6.emf" /><Relationship Id="rId22" Type="http://schemas.openxmlformats.org/officeDocument/2006/relationships/image" Target="media/image7.emf" /><Relationship Id="rId23" Type="http://schemas.openxmlformats.org/officeDocument/2006/relationships/image" Target="media/image8.emf" /><Relationship Id="rId24" Type="http://schemas.openxmlformats.org/officeDocument/2006/relationships/image" Target="media/image9.emf" /><Relationship Id="rId25" Type="http://schemas.openxmlformats.org/officeDocument/2006/relationships/footer" Target="footer7.xml" /><Relationship Id="rId26" Type="http://schemas.openxmlformats.org/officeDocument/2006/relationships/footer" Target="footer8.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2" ma:contentTypeDescription="Create a new document." ma:contentTypeScope="" ma:versionID="da41019ccb5e46d61b4b0b356d5439c4">
  <xsd:schema xmlns:xsd="http://www.w3.org/2001/XMLSchema" xmlns:xs="http://www.w3.org/2001/XMLSchema" xmlns:p="http://schemas.microsoft.com/office/2006/metadata/properties" xmlns:ns2="4e974542-5edc-4232-aa4c-d083a8df847c" xmlns:ns3="9c094fbc-21ba-4fab-9b11-5b70d64f5f99" targetNamespace="http://schemas.microsoft.com/office/2006/metadata/properties" ma:root="true" ma:fieldsID="5b5a05634b6c934da33dcdabedf9e268" ns2:_="" ns3:_="">
    <xsd:import namespace="4e974542-5edc-4232-aa4c-d083a8df847c"/>
    <xsd:import namespace="9c094fbc-21ba-4fab-9b11-5b70d64f5f9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FNVPY7D4E5RX-1091044225-209</_dlc_DocId>
    <_dlc_DocIdUrl xmlns="4e974542-5edc-4232-aa4c-d083a8df847c">
      <Url>https://usdagcc.sharepoint.com/sites/NASSportal/MD/SSDMB/OMB/Intranet_OMB/_layouts/15/DocIdRedir.aspx?ID=FNVPY7D4E5RX-1091044225-209</Url>
      <Description>FNVPY7D4E5RX-1091044225-209</Description>
    </_dlc_DocIdUrl>
  </documentManagement>
</p:properties>
</file>

<file path=customXml/itemProps1.xml><?xml version="1.0" encoding="utf-8"?>
<ds:datastoreItem xmlns:ds="http://schemas.openxmlformats.org/officeDocument/2006/customXml" ds:itemID="{0D512208-45BA-43D1-977E-41F24E571629}">
  <ds:schemaRefs>
    <ds:schemaRef ds:uri="http://schemas.openxmlformats.org/officeDocument/2006/bibliography"/>
  </ds:schemaRefs>
</ds:datastoreItem>
</file>

<file path=customXml/itemProps2.xml><?xml version="1.0" encoding="utf-8"?>
<ds:datastoreItem xmlns:ds="http://schemas.openxmlformats.org/officeDocument/2006/customXml" ds:itemID="{D7C9090C-C8A6-4BA3-A820-3C0754AD1975}">
  <ds:schemaRefs/>
</ds:datastoreItem>
</file>

<file path=customXml/itemProps3.xml><?xml version="1.0" encoding="utf-8"?>
<ds:datastoreItem xmlns:ds="http://schemas.openxmlformats.org/officeDocument/2006/customXml" ds:itemID="{88836832-24FF-46BD-A2B1-8D1619AD3A2F}">
  <ds:schemaRefs/>
</ds:datastoreItem>
</file>

<file path=customXml/itemProps4.xml><?xml version="1.0" encoding="utf-8"?>
<ds:datastoreItem xmlns:ds="http://schemas.openxmlformats.org/officeDocument/2006/customXml" ds:itemID="{3977866D-DD85-4DEE-A03C-BE17607AC3E4}">
  <ds:schemaRefs/>
</ds:datastoreItem>
</file>

<file path=customXml/itemProps5.xml><?xml version="1.0" encoding="utf-8"?>
<ds:datastoreItem xmlns:ds="http://schemas.openxmlformats.org/officeDocument/2006/customXml" ds:itemID="{36415729-5009-4867-A763-AE6D42DD495B}">
  <ds:schemaRefs/>
</ds:datastoreItem>
</file>

<file path=docProps/app.xml><?xml version="1.0" encoding="utf-8"?>
<Properties xmlns="http://schemas.openxmlformats.org/officeDocument/2006/extended-properties" xmlns:vt="http://schemas.openxmlformats.org/officeDocument/2006/docPropsVTypes">
  <Template>Normal.dotm</Template>
  <TotalTime>5310</TotalTime>
  <Pages>19</Pages>
  <Words>4123</Words>
  <Characters>23507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earpmo</dc:creator>
  <cp:lastModifiedBy>Anderson, Edwin - REE-NASS, Washington, DC</cp:lastModifiedBy>
  <cp:revision>331</cp:revision>
  <cp:lastPrinted>2022-08-10T18:49:00Z</cp:lastPrinted>
  <dcterms:created xsi:type="dcterms:W3CDTF">2022-02-16T12:53:00Z</dcterms:created>
  <dcterms:modified xsi:type="dcterms:W3CDTF">2022-09-09T19:55:00Z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Created">
    <vt:filetime>2009-05-05T00:00:00Z</vt:filetime>
  </property>
  <property fmtid="{D5CDD505-2E9C-101B-9397-08002B2CF9AE}" pid="4" name="Creator">
    <vt:lpwstr>Microsoft® Office Word 2007</vt:lpwstr>
  </property>
  <property fmtid="{D5CDD505-2E9C-101B-9397-08002B2CF9AE}" pid="5" name="LastSaved">
    <vt:filetime>2022-02-16T00:00:00Z</vt:filetime>
  </property>
  <property fmtid="{D5CDD505-2E9C-101B-9397-08002B2CF9AE}" pid="6" name="_dlc_DocIdItemGuid">
    <vt:lpwstr>936e216e-a274-449e-ac3c-2e3198fc398b</vt:lpwstr>
  </property>
</Properties>
</file>