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4233" w:rsidP="0093039A" w14:paraId="7280B5C1" w14:textId="77777777">
      <w:pPr>
        <w:suppressAutoHyphens/>
        <w:jc w:val="right"/>
      </w:pPr>
    </w:p>
    <w:p w:rsidR="001A17DF" w:rsidP="0051700D" w14:paraId="13C9CE14" w14:textId="1A0A9B49">
      <w:pPr>
        <w:suppressAutoHyphens/>
        <w:jc w:val="center"/>
        <w:rPr>
          <w:b/>
        </w:rPr>
      </w:pPr>
      <w:r>
        <w:rPr>
          <w:b/>
        </w:rPr>
        <w:t>2023 Supporting Statement</w:t>
      </w:r>
    </w:p>
    <w:p w:rsidR="007834BB" w:rsidRPr="00261FDF" w:rsidP="0051700D" w14:paraId="2AE754E3" w14:textId="6E1A2CE0">
      <w:pPr>
        <w:suppressAutoHyphens/>
        <w:jc w:val="center"/>
        <w:rPr>
          <w:b/>
          <w:bCs/>
        </w:rPr>
      </w:pPr>
      <w:r w:rsidRPr="002C4DD4">
        <w:rPr>
          <w:b/>
          <w:bCs/>
        </w:rPr>
        <w:t>Origin of Livestock</w:t>
      </w:r>
      <w:r w:rsidR="00CB2F8D">
        <w:rPr>
          <w:b/>
          <w:bCs/>
          <w:szCs w:val="24"/>
        </w:rPr>
        <w:t>-</w:t>
      </w:r>
      <w:r w:rsidRPr="00261FDF" w:rsidR="00261FDF">
        <w:rPr>
          <w:b/>
          <w:bCs/>
        </w:rPr>
        <w:t xml:space="preserve"> Variance Request</w:t>
      </w:r>
    </w:p>
    <w:p w:rsidR="00B94233" w:rsidP="0051700D" w14:paraId="4EC9B4F5" w14:textId="37471DF3">
      <w:pPr>
        <w:suppressAutoHyphens/>
        <w:jc w:val="center"/>
        <w:rPr>
          <w:b/>
        </w:rPr>
      </w:pPr>
      <w:r>
        <w:rPr>
          <w:b/>
        </w:rPr>
        <w:t>Request for Approval of a New Information Collection</w:t>
      </w:r>
    </w:p>
    <w:p w:rsidR="0051700D" w:rsidRPr="001E612F" w:rsidP="0051700D" w14:paraId="54DDDA1F" w14:textId="0949AE8E">
      <w:pPr>
        <w:suppressAutoHyphens/>
        <w:jc w:val="center"/>
        <w:rPr>
          <w:b/>
        </w:rPr>
      </w:pPr>
      <w:r>
        <w:rPr>
          <w:b/>
        </w:rPr>
        <w:t>OMB No. 0581-NEW</w:t>
      </w:r>
    </w:p>
    <w:p w:rsidR="00F07CC0" w:rsidP="0093039A" w14:paraId="29B884BE" w14:textId="311C7A89">
      <w:pPr>
        <w:tabs>
          <w:tab w:val="center" w:pos="4680"/>
        </w:tabs>
        <w:suppressAutoHyphens/>
        <w:rPr>
          <w:b/>
          <w:u w:val="single"/>
        </w:rPr>
      </w:pPr>
    </w:p>
    <w:p w:rsidR="00B94233" w:rsidP="00B5119F" w14:paraId="26C944B1" w14:textId="7A5F26C0">
      <w:pPr>
        <w:pStyle w:val="Heading1"/>
      </w:pPr>
      <w:r>
        <w:t>A. Justification</w:t>
      </w:r>
    </w:p>
    <w:p w:rsidR="006C65B0" w:rsidP="0093039A" w14:paraId="125D01B6" w14:textId="77777777">
      <w:pPr>
        <w:tabs>
          <w:tab w:val="left" w:pos="-720"/>
        </w:tabs>
        <w:suppressAutoHyphens/>
      </w:pPr>
    </w:p>
    <w:p w:rsidR="00B94233" w:rsidP="00005A70" w14:paraId="3BFA3009" w14:textId="544A31D2">
      <w:pPr>
        <w:pStyle w:val="Heading2"/>
      </w:pPr>
      <w:r>
        <w:t>1.</w:t>
      </w:r>
      <w:r>
        <w:tab/>
      </w:r>
      <w:r w:rsidRPr="0043409D">
        <w:t>E</w:t>
      </w:r>
      <w:r w:rsidR="001F5043">
        <w:t xml:space="preserve">xplain the circumstances that make the collection of information </w:t>
      </w:r>
      <w:r w:rsidR="00211474">
        <w:t>necessary. Identify any legal or administrative requirements that necessitate the collection</w:t>
      </w:r>
      <w:r>
        <w:t>.</w:t>
      </w:r>
    </w:p>
    <w:p w:rsidR="00B94233" w:rsidP="00B5119F" w14:paraId="0811AE6D" w14:textId="75934D0A">
      <w:pPr>
        <w:pStyle w:val="EndnoteText"/>
        <w:tabs>
          <w:tab w:val="left" w:pos="-720"/>
        </w:tabs>
        <w:suppressAutoHyphens/>
        <w:rPr>
          <w:szCs w:val="24"/>
        </w:rPr>
      </w:pPr>
      <w:r w:rsidRPr="00E0088C">
        <w:rPr>
          <w:szCs w:val="24"/>
        </w:rPr>
        <w:t>The Organic Foods Production Act of 1990 (OFPA)</w:t>
      </w:r>
      <w:r w:rsidR="00CE6401">
        <w:rPr>
          <w:szCs w:val="24"/>
        </w:rPr>
        <w:t>,</w:t>
      </w:r>
      <w:r w:rsidRPr="00E0088C">
        <w:rPr>
          <w:szCs w:val="24"/>
        </w:rPr>
        <w:t xml:space="preserve"> as amended (</w:t>
      </w:r>
      <w:hyperlink r:id="rId11" w:history="1">
        <w:r w:rsidRPr="00CE6401">
          <w:rPr>
            <w:rStyle w:val="Hyperlink"/>
            <w:szCs w:val="24"/>
          </w:rPr>
          <w:t>7</w:t>
        </w:r>
        <w:r w:rsidRPr="00CE6401" w:rsidR="003475D3">
          <w:rPr>
            <w:rStyle w:val="Hyperlink"/>
            <w:szCs w:val="24"/>
          </w:rPr>
          <w:t> </w:t>
        </w:r>
        <w:r w:rsidRPr="00CE6401">
          <w:rPr>
            <w:rStyle w:val="Hyperlink"/>
            <w:szCs w:val="24"/>
          </w:rPr>
          <w:t>U.S.C.</w:t>
        </w:r>
        <w:r w:rsidRPr="00CE6401" w:rsidR="003475D3">
          <w:rPr>
            <w:rStyle w:val="Hyperlink"/>
            <w:szCs w:val="24"/>
          </w:rPr>
          <w:t> </w:t>
        </w:r>
        <w:r w:rsidRPr="00CE6401">
          <w:rPr>
            <w:rStyle w:val="Hyperlink"/>
            <w:szCs w:val="24"/>
          </w:rPr>
          <w:t xml:space="preserve">6501 - </w:t>
        </w:r>
        <w:r w:rsidRPr="00CE6401" w:rsidR="002A032F">
          <w:rPr>
            <w:rStyle w:val="Hyperlink"/>
            <w:szCs w:val="24"/>
          </w:rPr>
          <w:t>6524</w:t>
        </w:r>
      </w:hyperlink>
      <w:r w:rsidRPr="00E0088C">
        <w:rPr>
          <w:szCs w:val="24"/>
        </w:rPr>
        <w:t>)</w:t>
      </w:r>
      <w:r w:rsidR="00CE6401">
        <w:rPr>
          <w:szCs w:val="24"/>
        </w:rPr>
        <w:t xml:space="preserve">, </w:t>
      </w:r>
      <w:r w:rsidR="000C2A62">
        <w:rPr>
          <w:szCs w:val="24"/>
        </w:rPr>
        <w:t>authorizes</w:t>
      </w:r>
      <w:r w:rsidRPr="00E0088C">
        <w:rPr>
          <w:szCs w:val="24"/>
        </w:rPr>
        <w:t xml:space="preserve"> the Secretary </w:t>
      </w:r>
      <w:r w:rsidR="000C2A62">
        <w:rPr>
          <w:szCs w:val="24"/>
        </w:rPr>
        <w:t xml:space="preserve">of Agriculture to establish the </w:t>
      </w:r>
      <w:r>
        <w:rPr>
          <w:szCs w:val="24"/>
        </w:rPr>
        <w:t>National Organic Program (</w:t>
      </w:r>
      <w:r w:rsidRPr="00E0088C">
        <w:rPr>
          <w:szCs w:val="24"/>
        </w:rPr>
        <w:t>NOP</w:t>
      </w:r>
      <w:r>
        <w:rPr>
          <w:szCs w:val="24"/>
        </w:rPr>
        <w:t>)</w:t>
      </w:r>
      <w:r w:rsidRPr="00E0088C">
        <w:rPr>
          <w:szCs w:val="24"/>
        </w:rPr>
        <w:t xml:space="preserve"> </w:t>
      </w:r>
      <w:r w:rsidR="000C2A62">
        <w:rPr>
          <w:szCs w:val="24"/>
        </w:rPr>
        <w:t xml:space="preserve">and accredit </w:t>
      </w:r>
      <w:r w:rsidRPr="00E0088C">
        <w:rPr>
          <w:szCs w:val="24"/>
        </w:rPr>
        <w:t xml:space="preserve">certifying agents </w:t>
      </w:r>
      <w:r w:rsidR="00766F18">
        <w:rPr>
          <w:szCs w:val="24"/>
        </w:rPr>
        <w:t>to certify that farms and businesses meet national organic standards. The purpose of OFPA is to</w:t>
      </w:r>
      <w:r w:rsidR="00766F18">
        <w:t xml:space="preserve">: </w:t>
      </w:r>
      <w:r w:rsidRPr="00E0088C">
        <w:rPr>
          <w:szCs w:val="24"/>
        </w:rPr>
        <w:t>(1) establish national standards gov</w:t>
      </w:r>
      <w:r w:rsidR="00017FE9">
        <w:rPr>
          <w:szCs w:val="24"/>
        </w:rPr>
        <w:t xml:space="preserve">erning the </w:t>
      </w:r>
      <w:r w:rsidRPr="00E0088C">
        <w:rPr>
          <w:szCs w:val="24"/>
        </w:rPr>
        <w:t>marketing of certain agricultural products as organically produced products; (2) assure consumers that organically produced products meet a consistent standard; and (3</w:t>
      </w:r>
      <w:r w:rsidRPr="00160510">
        <w:rPr>
          <w:szCs w:val="24"/>
        </w:rPr>
        <w:t>) f</w:t>
      </w:r>
      <w:r w:rsidRPr="00E0088C">
        <w:rPr>
          <w:szCs w:val="24"/>
        </w:rPr>
        <w:t>acilitate interstate commerce in fresh and processed food that is organically produced</w:t>
      </w:r>
      <w:r w:rsidR="00A66153">
        <w:rPr>
          <w:szCs w:val="24"/>
        </w:rPr>
        <w:t xml:space="preserve"> (</w:t>
      </w:r>
      <w:hyperlink r:id="rId12" w:history="1">
        <w:r w:rsidRPr="006E6E16" w:rsidR="00A66153">
          <w:rPr>
            <w:rStyle w:val="Hyperlink"/>
            <w:szCs w:val="24"/>
          </w:rPr>
          <w:t>7 U.S.C. 6501</w:t>
        </w:r>
      </w:hyperlink>
      <w:r w:rsidR="00A66153">
        <w:rPr>
          <w:szCs w:val="24"/>
        </w:rPr>
        <w:t>)</w:t>
      </w:r>
      <w:r w:rsidRPr="00E0088C">
        <w:rPr>
          <w:szCs w:val="24"/>
        </w:rPr>
        <w:t>.</w:t>
      </w:r>
    </w:p>
    <w:p w:rsidR="0092288C" w:rsidP="00D549EF" w14:paraId="295D4751" w14:textId="77777777">
      <w:pPr>
        <w:pStyle w:val="EndnoteText"/>
        <w:tabs>
          <w:tab w:val="left" w:pos="-720"/>
        </w:tabs>
        <w:suppressAutoHyphens/>
        <w:rPr>
          <w:szCs w:val="24"/>
        </w:rPr>
      </w:pPr>
    </w:p>
    <w:p w:rsidR="00135E79" w:rsidP="3C96584F" w14:paraId="10FC913E" w14:textId="4C0DEA1E">
      <w:pPr>
        <w:pStyle w:val="EndnoteText"/>
        <w:suppressAutoHyphens/>
      </w:pPr>
      <w:r w:rsidRPr="3C96584F">
        <w:t xml:space="preserve">On April 5, 2022, </w:t>
      </w:r>
      <w:r w:rsidRPr="3C96584F" w:rsidR="00596727">
        <w:t xml:space="preserve">the </w:t>
      </w:r>
      <w:r w:rsidR="00596727">
        <w:rPr>
          <w:rStyle w:val="normaltextrun"/>
          <w:color w:val="000000"/>
          <w:shd w:val="clear" w:color="auto" w:fill="FFFFFF"/>
        </w:rPr>
        <w:t xml:space="preserve">U.S. Department of Agriculture’s (USDA) Agricultural Marketing Service (AMS) </w:t>
      </w:r>
      <w:r w:rsidRPr="3C96584F">
        <w:t>published the “Origin of Livestock” (OOL) final rule (</w:t>
      </w:r>
      <w:hyperlink r:id="rId13" w:history="1">
        <w:r w:rsidRPr="3C96584F">
          <w:rPr>
            <w:rStyle w:val="Hyperlink"/>
          </w:rPr>
          <w:t>87</w:t>
        </w:r>
        <w:r w:rsidRPr="3C96584F" w:rsidR="00596727">
          <w:rPr>
            <w:rStyle w:val="Hyperlink"/>
          </w:rPr>
          <w:t> </w:t>
        </w:r>
        <w:r w:rsidRPr="3C96584F">
          <w:rPr>
            <w:rStyle w:val="Hyperlink"/>
          </w:rPr>
          <w:t>FR</w:t>
        </w:r>
        <w:r w:rsidRPr="3C96584F" w:rsidR="00596727">
          <w:rPr>
            <w:rStyle w:val="Hyperlink"/>
          </w:rPr>
          <w:t> </w:t>
        </w:r>
        <w:r w:rsidRPr="3C96584F">
          <w:rPr>
            <w:rStyle w:val="Hyperlink"/>
          </w:rPr>
          <w:t>19740</w:t>
        </w:r>
      </w:hyperlink>
      <w:r w:rsidRPr="3C96584F">
        <w:t>) related to livestock production practices under the USDA organic regulations (</w:t>
      </w:r>
      <w:hyperlink r:id="rId14" w:history="1">
        <w:r w:rsidRPr="005D70CA">
          <w:rPr>
            <w:rStyle w:val="Hyperlink"/>
          </w:rPr>
          <w:t>7</w:t>
        </w:r>
        <w:r w:rsidRPr="005D70CA" w:rsidR="00BA5E82">
          <w:rPr>
            <w:rStyle w:val="Hyperlink"/>
            <w:szCs w:val="24"/>
          </w:rPr>
          <w:t> </w:t>
        </w:r>
        <w:r w:rsidRPr="005D70CA">
          <w:rPr>
            <w:rStyle w:val="Hyperlink"/>
          </w:rPr>
          <w:t>CFR</w:t>
        </w:r>
        <w:r w:rsidRPr="005D70CA" w:rsidR="00BA5E82">
          <w:rPr>
            <w:rStyle w:val="Hyperlink"/>
            <w:szCs w:val="24"/>
          </w:rPr>
          <w:t> </w:t>
        </w:r>
        <w:r w:rsidRPr="005D70CA">
          <w:rPr>
            <w:rStyle w:val="Hyperlink"/>
          </w:rPr>
          <w:t>part 205</w:t>
        </w:r>
      </w:hyperlink>
      <w:r w:rsidRPr="3C96584F">
        <w:t>).</w:t>
      </w:r>
      <w:r w:rsidR="008D2A02">
        <w:rPr>
          <w:szCs w:val="24"/>
        </w:rPr>
        <w:t xml:space="preserve"> </w:t>
      </w:r>
      <w:r w:rsidR="00980029">
        <w:rPr>
          <w:rStyle w:val="normaltextrun"/>
          <w:color w:val="000000"/>
          <w:shd w:val="clear" w:color="auto" w:fill="FFFFFF"/>
        </w:rPr>
        <w:t xml:space="preserve">AMS took this action to increase uniformity in organic dairy production practices and reduce </w:t>
      </w:r>
      <w:r w:rsidR="009A42A3">
        <w:rPr>
          <w:rStyle w:val="normaltextrun"/>
          <w:color w:val="000000"/>
          <w:shd w:val="clear" w:color="auto" w:fill="FFFFFF"/>
        </w:rPr>
        <w:t xml:space="preserve">organic certification </w:t>
      </w:r>
      <w:r w:rsidR="00980029">
        <w:rPr>
          <w:rStyle w:val="normaltextrun"/>
          <w:color w:val="000000"/>
          <w:shd w:val="clear" w:color="auto" w:fill="FFFFFF"/>
        </w:rPr>
        <w:t>discrepancies between certifying agents.</w:t>
      </w:r>
      <w:r w:rsidR="009A42A3">
        <w:rPr>
          <w:rStyle w:val="normaltextrun"/>
          <w:color w:val="000000"/>
          <w:shd w:val="clear" w:color="auto" w:fill="FFFFFF"/>
        </w:rPr>
        <w:t xml:space="preserve"> </w:t>
      </w:r>
      <w:r w:rsidRPr="3C96584F">
        <w:t xml:space="preserve">The final rule clarified that </w:t>
      </w:r>
      <w:r w:rsidR="00D147F5">
        <w:t xml:space="preserve">certified </w:t>
      </w:r>
      <w:r w:rsidRPr="3C96584F">
        <w:t xml:space="preserve">organic dairy operations may transition nonorganic animals to organic production only once. After that, any animals added to a </w:t>
      </w:r>
      <w:r w:rsidR="00D147F5">
        <w:t xml:space="preserve">certified organic </w:t>
      </w:r>
      <w:r w:rsidR="00D32661">
        <w:t>dairy</w:t>
      </w:r>
      <w:r w:rsidR="00D147F5">
        <w:t xml:space="preserve"> </w:t>
      </w:r>
      <w:r w:rsidRPr="3C96584F">
        <w:t>operation must have been organically managed from the last third of gestation.</w:t>
      </w:r>
      <w:r w:rsidR="00DB1DA5">
        <w:rPr>
          <w:szCs w:val="24"/>
        </w:rPr>
        <w:t xml:space="preserve"> </w:t>
      </w:r>
      <w:r w:rsidRPr="3C96584F">
        <w:t>To provide flexibility, the final rule allows</w:t>
      </w:r>
      <w:r w:rsidR="00FD1E86">
        <w:t xml:space="preserve"> [in</w:t>
      </w:r>
      <w:r w:rsidRPr="00D549EF">
        <w:rPr>
          <w:szCs w:val="24"/>
        </w:rPr>
        <w:t xml:space="preserve"> </w:t>
      </w:r>
      <w:hyperlink r:id="rId15" w:anchor="p-205.236(d)" w:history="1">
        <w:r w:rsidRPr="00397875" w:rsidR="00FD1E86">
          <w:rPr>
            <w:rStyle w:val="Hyperlink"/>
          </w:rPr>
          <w:t>7 CFR 205.236(d)</w:t>
        </w:r>
      </w:hyperlink>
      <w:r w:rsidR="00FD1E86">
        <w:t xml:space="preserve">] </w:t>
      </w:r>
      <w:r w:rsidRPr="3C96584F">
        <w:t xml:space="preserve">small certified </w:t>
      </w:r>
      <w:r w:rsidR="00E670A5">
        <w:t xml:space="preserve">organic </w:t>
      </w:r>
      <w:r w:rsidR="00D32661">
        <w:t>dairy</w:t>
      </w:r>
      <w:r w:rsidR="00E670A5">
        <w:t xml:space="preserve"> </w:t>
      </w:r>
      <w:r w:rsidRPr="3C96584F">
        <w:t>operations to request a variance under limited conditions</w:t>
      </w:r>
      <w:r w:rsidR="00B50F69">
        <w:t>.</w:t>
      </w:r>
      <w:r w:rsidRPr="00D549EF">
        <w:rPr>
          <w:szCs w:val="24"/>
        </w:rPr>
        <w:t xml:space="preserve"> </w:t>
      </w:r>
      <w:r w:rsidR="00ED2D12">
        <w:t xml:space="preserve">A variance is </w:t>
      </w:r>
      <w:r w:rsidR="00B50F69">
        <w:t xml:space="preserve">a </w:t>
      </w:r>
      <w:r w:rsidR="00C36F29">
        <w:t xml:space="preserve">process by which </w:t>
      </w:r>
      <w:r w:rsidR="00B50F69">
        <w:t>an</w:t>
      </w:r>
      <w:r w:rsidR="00C36F29">
        <w:t xml:space="preserve"> entity requests permission to </w:t>
      </w:r>
      <w:r w:rsidR="00A963BE">
        <w:t xml:space="preserve">not follow a particular regulatory requirement </w:t>
      </w:r>
      <w:r w:rsidR="0013389F">
        <w:t xml:space="preserve">without repercussion of regulatory noncompliance. </w:t>
      </w:r>
      <w:r w:rsidR="008F7E8D">
        <w:t xml:space="preserve">If the variance is approved by AMS, the </w:t>
      </w:r>
      <w:r w:rsidR="0013389F">
        <w:t xml:space="preserve">small certified organic </w:t>
      </w:r>
      <w:r w:rsidR="006F5A73">
        <w:t>dairy</w:t>
      </w:r>
      <w:r w:rsidR="0013389F">
        <w:t xml:space="preserve"> </w:t>
      </w:r>
      <w:r w:rsidR="008F7E8D">
        <w:t xml:space="preserve">operation </w:t>
      </w:r>
      <w:r w:rsidR="00B6012A">
        <w:t xml:space="preserve">may </w:t>
      </w:r>
      <w:r w:rsidR="00CD4EB4">
        <w:t xml:space="preserve">source, sell, </w:t>
      </w:r>
      <w:r w:rsidR="00B50F69">
        <w:t xml:space="preserve">liquidate, or </w:t>
      </w:r>
      <w:r w:rsidR="00CD4EB4">
        <w:t>transfer</w:t>
      </w:r>
      <w:r w:rsidR="00B50F69">
        <w:t xml:space="preserve">, </w:t>
      </w:r>
      <w:r w:rsidR="00947764">
        <w:t>as one event</w:t>
      </w:r>
      <w:r w:rsidR="00B50F69">
        <w:t xml:space="preserve">, </w:t>
      </w:r>
      <w:r w:rsidR="006347D1">
        <w:t xml:space="preserve">organic </w:t>
      </w:r>
      <w:r w:rsidR="006F5A73">
        <w:t xml:space="preserve">dairy </w:t>
      </w:r>
      <w:r w:rsidR="00B50F69">
        <w:t xml:space="preserve">livestock that were transitioned to organic production (livestock that were not organically managed from </w:t>
      </w:r>
      <w:r w:rsidR="00512697">
        <w:t xml:space="preserve">no later than </w:t>
      </w:r>
      <w:r w:rsidR="00B50F69">
        <w:t>the last third of gestation).</w:t>
      </w:r>
    </w:p>
    <w:p w:rsidR="00135E79" w:rsidP="00D549EF" w14:paraId="6E14B33B" w14:textId="77777777">
      <w:pPr>
        <w:pStyle w:val="EndnoteText"/>
        <w:tabs>
          <w:tab w:val="left" w:pos="-720"/>
        </w:tabs>
        <w:suppressAutoHyphens/>
        <w:rPr>
          <w:szCs w:val="24"/>
        </w:rPr>
      </w:pPr>
    </w:p>
    <w:p w:rsidR="0087488B" w:rsidP="00D549EF" w14:paraId="472804C3" w14:textId="3437CF05">
      <w:pPr>
        <w:pStyle w:val="EndnoteText"/>
        <w:tabs>
          <w:tab w:val="left" w:pos="-720"/>
        </w:tabs>
        <w:suppressAutoHyphens/>
        <w:rPr>
          <w:rStyle w:val="eop"/>
          <w:color w:val="000000"/>
          <w:shd w:val="clear" w:color="auto" w:fill="FFFFFF"/>
        </w:rPr>
      </w:pPr>
      <w:r>
        <w:rPr>
          <w:rStyle w:val="eop"/>
          <w:color w:val="000000"/>
          <w:shd w:val="clear" w:color="auto" w:fill="FFFFFF"/>
        </w:rPr>
        <w:t xml:space="preserve">AMS </w:t>
      </w:r>
      <w:r w:rsidR="00441002">
        <w:rPr>
          <w:rStyle w:val="eop"/>
          <w:color w:val="000000"/>
          <w:shd w:val="clear" w:color="auto" w:fill="FFFFFF"/>
        </w:rPr>
        <w:t xml:space="preserve">did not </w:t>
      </w:r>
      <w:r w:rsidR="00BA0184">
        <w:rPr>
          <w:rStyle w:val="eop"/>
          <w:color w:val="000000"/>
          <w:shd w:val="clear" w:color="auto" w:fill="FFFFFF"/>
        </w:rPr>
        <w:t>estimate any information collection activities</w:t>
      </w:r>
      <w:r w:rsidR="008D2A02">
        <w:rPr>
          <w:rStyle w:val="eop"/>
          <w:color w:val="000000"/>
          <w:shd w:val="clear" w:color="auto" w:fill="FFFFFF"/>
        </w:rPr>
        <w:t xml:space="preserve"> for this variance</w:t>
      </w:r>
      <w:r w:rsidR="00441002">
        <w:rPr>
          <w:rStyle w:val="eop"/>
          <w:color w:val="000000"/>
          <w:shd w:val="clear" w:color="auto" w:fill="FFFFFF"/>
        </w:rPr>
        <w:t xml:space="preserve"> in the final rule </w:t>
      </w:r>
      <w:r w:rsidRPr="00FF72D7" w:rsidR="00441002">
        <w:rPr>
          <w:rStyle w:val="eop"/>
          <w:color w:val="000000"/>
          <w:shd w:val="clear" w:color="auto" w:fill="FFFFFF"/>
        </w:rPr>
        <w:t>(</w:t>
      </w:r>
      <w:hyperlink r:id="rId13" w:history="1">
        <w:r w:rsidRPr="00FF72D7" w:rsidR="00441002">
          <w:rPr>
            <w:rStyle w:val="Hyperlink"/>
            <w:szCs w:val="24"/>
          </w:rPr>
          <w:t>87 FR 19740</w:t>
        </w:r>
      </w:hyperlink>
      <w:r w:rsidRPr="00FF72D7" w:rsidR="00441002">
        <w:rPr>
          <w:szCs w:val="24"/>
        </w:rPr>
        <w:t>, April 5, 2022)</w:t>
      </w:r>
      <w:r w:rsidR="00AD1705">
        <w:rPr>
          <w:rStyle w:val="eop"/>
          <w:color w:val="000000"/>
          <w:shd w:val="clear" w:color="auto" w:fill="FFFFFF"/>
        </w:rPr>
        <w:t>.</w:t>
      </w:r>
      <w:r w:rsidR="00BA0184">
        <w:rPr>
          <w:rStyle w:val="eop"/>
          <w:color w:val="000000"/>
          <w:shd w:val="clear" w:color="auto" w:fill="FFFFFF"/>
        </w:rPr>
        <w:t xml:space="preserve"> </w:t>
      </w:r>
      <w:r w:rsidR="00AD1705">
        <w:rPr>
          <w:rStyle w:val="eop"/>
          <w:color w:val="000000"/>
          <w:shd w:val="clear" w:color="auto" w:fill="FFFFFF"/>
        </w:rPr>
        <w:t xml:space="preserve">However, </w:t>
      </w:r>
      <w:r w:rsidR="0041441D">
        <w:rPr>
          <w:rStyle w:val="eop"/>
          <w:color w:val="000000"/>
          <w:shd w:val="clear" w:color="auto" w:fill="FFFFFF"/>
        </w:rPr>
        <w:t xml:space="preserve">during </w:t>
      </w:r>
      <w:r w:rsidR="001975AA">
        <w:rPr>
          <w:rStyle w:val="eop"/>
          <w:color w:val="000000"/>
          <w:shd w:val="clear" w:color="auto" w:fill="FFFFFF"/>
        </w:rPr>
        <w:t>Office of Management and Budget (</w:t>
      </w:r>
      <w:r w:rsidR="0041441D">
        <w:rPr>
          <w:rStyle w:val="eop"/>
          <w:color w:val="000000"/>
          <w:shd w:val="clear" w:color="auto" w:fill="FFFFFF"/>
        </w:rPr>
        <w:t>OMB</w:t>
      </w:r>
      <w:r w:rsidR="001975AA">
        <w:rPr>
          <w:rStyle w:val="eop"/>
          <w:color w:val="000000"/>
          <w:shd w:val="clear" w:color="auto" w:fill="FFFFFF"/>
        </w:rPr>
        <w:t>)</w:t>
      </w:r>
      <w:r w:rsidR="0041441D">
        <w:rPr>
          <w:rStyle w:val="eop"/>
          <w:color w:val="000000"/>
          <w:shd w:val="clear" w:color="auto" w:fill="FFFFFF"/>
        </w:rPr>
        <w:t xml:space="preserve"> review of the final rule, it was determined that new </w:t>
      </w:r>
      <w:r w:rsidR="00820B09">
        <w:rPr>
          <w:rStyle w:val="eop"/>
          <w:color w:val="000000"/>
          <w:shd w:val="clear" w:color="auto" w:fill="FFFFFF"/>
        </w:rPr>
        <w:t xml:space="preserve">information collection burdens </w:t>
      </w:r>
      <w:r w:rsidR="00DC6D3A">
        <w:rPr>
          <w:rStyle w:val="eop"/>
          <w:color w:val="000000"/>
          <w:shd w:val="clear" w:color="auto" w:fill="FFFFFF"/>
        </w:rPr>
        <w:t xml:space="preserve">are </w:t>
      </w:r>
      <w:r w:rsidR="00820B09">
        <w:rPr>
          <w:rStyle w:val="eop"/>
          <w:color w:val="000000"/>
          <w:shd w:val="clear" w:color="auto" w:fill="FFFFFF"/>
        </w:rPr>
        <w:t>associated with th</w:t>
      </w:r>
      <w:r w:rsidR="00B5747A">
        <w:rPr>
          <w:rStyle w:val="eop"/>
          <w:color w:val="000000"/>
          <w:shd w:val="clear" w:color="auto" w:fill="FFFFFF"/>
        </w:rPr>
        <w:t>e</w:t>
      </w:r>
      <w:r w:rsidR="00820B09">
        <w:rPr>
          <w:rStyle w:val="eop"/>
          <w:color w:val="000000"/>
          <w:shd w:val="clear" w:color="auto" w:fill="FFFFFF"/>
        </w:rPr>
        <w:t xml:space="preserve"> </w:t>
      </w:r>
      <w:r w:rsidR="00B5747A">
        <w:rPr>
          <w:rStyle w:val="eop"/>
          <w:color w:val="000000"/>
          <w:shd w:val="clear" w:color="auto" w:fill="FFFFFF"/>
        </w:rPr>
        <w:t xml:space="preserve">new variance request </w:t>
      </w:r>
      <w:r w:rsidR="00820B09">
        <w:rPr>
          <w:rStyle w:val="eop"/>
          <w:color w:val="000000"/>
          <w:shd w:val="clear" w:color="auto" w:fill="FFFFFF"/>
        </w:rPr>
        <w:t xml:space="preserve">procedure. Accordingly, AMS </w:t>
      </w:r>
      <w:r w:rsidR="00075C67">
        <w:rPr>
          <w:rStyle w:val="eop"/>
          <w:color w:val="000000"/>
          <w:shd w:val="clear" w:color="auto" w:fill="FFFFFF"/>
        </w:rPr>
        <w:t>is submitting this new information collection request.</w:t>
      </w:r>
    </w:p>
    <w:p w:rsidR="0093039A" w:rsidP="00D549EF" w14:paraId="0A7F8D20" w14:textId="0B3ED212">
      <w:pPr>
        <w:pStyle w:val="EndnoteText"/>
        <w:tabs>
          <w:tab w:val="left" w:pos="-720"/>
        </w:tabs>
        <w:suppressAutoHyphens/>
      </w:pPr>
    </w:p>
    <w:p w:rsidR="00B4073A" w:rsidP="00E6311E" w14:paraId="2EE4E45F" w14:textId="3263CBCF">
      <w:pPr>
        <w:pStyle w:val="Heading2"/>
      </w:pPr>
      <w:r>
        <w:t>2.</w:t>
      </w:r>
      <w:r>
        <w:tab/>
      </w:r>
      <w:r w:rsidR="0080117A">
        <w:t xml:space="preserve">Indicate how, by whom, and for what purpose the information is to be used. </w:t>
      </w:r>
      <w:r w:rsidR="0016452A">
        <w:t>Except for a new collection, indicate the actual use the agency has made of the information received from the current collection.</w:t>
      </w:r>
    </w:p>
    <w:p w:rsidR="00840D34" w:rsidP="00840D34" w14:paraId="324A92A4" w14:textId="15775CFA">
      <w:pPr>
        <w:pStyle w:val="EndnoteText"/>
        <w:tabs>
          <w:tab w:val="left" w:pos="-720"/>
        </w:tabs>
        <w:suppressAutoHyphens/>
      </w:pPr>
      <w:r>
        <w:t xml:space="preserve">The procedure </w:t>
      </w:r>
      <w:r w:rsidR="00540A44">
        <w:t xml:space="preserve">that small certified organic dairy operations </w:t>
      </w:r>
      <w:r w:rsidR="00A17870">
        <w:t xml:space="preserve">must follow to </w:t>
      </w:r>
      <w:r>
        <w:t>request a variance (established by the OOL final rule,</w:t>
      </w:r>
      <w:r w:rsidRPr="008F6978">
        <w:rPr>
          <w:szCs w:val="24"/>
        </w:rPr>
        <w:t xml:space="preserve"> </w:t>
      </w:r>
      <w:hyperlink r:id="rId13" w:history="1">
        <w:r w:rsidRPr="008F6978">
          <w:rPr>
            <w:rStyle w:val="Hyperlink"/>
            <w:szCs w:val="24"/>
          </w:rPr>
          <w:t>87 FR 19740</w:t>
        </w:r>
      </w:hyperlink>
      <w:r w:rsidRPr="00FF72D7" w:rsidR="00AD1A3B">
        <w:rPr>
          <w:szCs w:val="24"/>
        </w:rPr>
        <w:t>, April 5, 2022</w:t>
      </w:r>
      <w:r>
        <w:t xml:space="preserve">) is described in the USDA organic regulations in </w:t>
      </w:r>
      <w:hyperlink r:id="rId15" w:anchor="p-205.236(d)" w:history="1">
        <w:r w:rsidRPr="00862890">
          <w:rPr>
            <w:rStyle w:val="Hyperlink"/>
          </w:rPr>
          <w:t>7 CFR 205.236(d)</w:t>
        </w:r>
      </w:hyperlink>
      <w:r>
        <w:t>, which states:</w:t>
      </w:r>
    </w:p>
    <w:p w:rsidR="002076AA" w:rsidP="007E67FE" w14:paraId="01BA3331" w14:textId="4E159966">
      <w:pPr>
        <w:pStyle w:val="EndnoteText"/>
        <w:tabs>
          <w:tab w:val="left" w:pos="-720"/>
        </w:tabs>
        <w:suppressAutoHyphens/>
        <w:spacing w:before="240" w:after="120"/>
        <w:ind w:left="720"/>
        <w:rPr>
          <w:rStyle w:val="paren"/>
          <w:i/>
          <w:iCs/>
        </w:rPr>
      </w:pPr>
      <w:r>
        <w:rPr>
          <w:rStyle w:val="paren"/>
          <w:i/>
          <w:iCs/>
        </w:rPr>
        <w:t>§</w:t>
      </w:r>
      <w:r>
        <w:rPr>
          <w:rStyle w:val="paren"/>
          <w:i/>
          <w:iCs/>
        </w:rPr>
        <w:t> </w:t>
      </w:r>
      <w:r w:rsidRPr="002076AA">
        <w:rPr>
          <w:rStyle w:val="paren"/>
          <w:i/>
          <w:iCs/>
        </w:rPr>
        <w:t>205.236 Origin of livestock.</w:t>
      </w:r>
    </w:p>
    <w:p w:rsidR="002B13BC" w:rsidP="002076AA" w14:paraId="7A47CC0E" w14:textId="318A595C">
      <w:pPr>
        <w:pStyle w:val="EndnoteText"/>
        <w:tabs>
          <w:tab w:val="left" w:pos="-720"/>
        </w:tabs>
        <w:suppressAutoHyphens/>
        <w:spacing w:after="120"/>
        <w:ind w:left="720"/>
        <w:rPr>
          <w:rStyle w:val="paren"/>
          <w:i/>
          <w:iCs/>
        </w:rPr>
      </w:pPr>
      <w:r>
        <w:rPr>
          <w:rStyle w:val="paren"/>
          <w:i/>
          <w:iCs/>
        </w:rPr>
        <w:t>…</w:t>
      </w:r>
    </w:p>
    <w:p w:rsidR="00840D34" w:rsidRPr="00143B9F" w:rsidP="00840D34" w14:paraId="71E86150" w14:textId="2A5B0ACD">
      <w:pPr>
        <w:pStyle w:val="EndnoteText"/>
        <w:tabs>
          <w:tab w:val="left" w:pos="-720"/>
        </w:tabs>
        <w:suppressAutoHyphens/>
        <w:spacing w:after="120"/>
        <w:ind w:left="720"/>
        <w:rPr>
          <w:i/>
          <w:iCs/>
        </w:rPr>
      </w:pPr>
      <w:r w:rsidRPr="00143B9F">
        <w:rPr>
          <w:rStyle w:val="paren"/>
          <w:i/>
          <w:iCs/>
        </w:rPr>
        <w:t>(</w:t>
      </w:r>
      <w:r w:rsidRPr="00143B9F">
        <w:rPr>
          <w:rStyle w:val="paragraph-hierarchy"/>
          <w:i/>
          <w:iCs/>
        </w:rPr>
        <w:t>d</w:t>
      </w:r>
      <w:r w:rsidRPr="00143B9F">
        <w:rPr>
          <w:rStyle w:val="paren"/>
          <w:i/>
          <w:iCs/>
        </w:rPr>
        <w:t>)</w:t>
      </w:r>
      <w:r w:rsidRPr="00143B9F">
        <w:rPr>
          <w:i/>
          <w:iCs/>
        </w:rPr>
        <w:t xml:space="preserve"> A request for a variance to allow sourcing of transitioned animals between certified operations must adhere to the following:</w:t>
      </w:r>
    </w:p>
    <w:p w:rsidR="00840D34" w:rsidRPr="00143B9F" w:rsidP="00840D34" w14:paraId="7AEA1BB1" w14:textId="77777777">
      <w:pPr>
        <w:pStyle w:val="EndnoteText"/>
        <w:tabs>
          <w:tab w:val="left" w:pos="-720"/>
        </w:tabs>
        <w:suppressAutoHyphens/>
        <w:spacing w:after="120"/>
        <w:ind w:left="1440"/>
        <w:rPr>
          <w:i/>
          <w:iCs/>
        </w:rPr>
      </w:pPr>
      <w:r w:rsidRPr="00143B9F">
        <w:rPr>
          <w:rStyle w:val="paren"/>
          <w:i/>
          <w:iCs/>
        </w:rPr>
        <w:t>(</w:t>
      </w:r>
      <w:r w:rsidRPr="00143B9F">
        <w:rPr>
          <w:rStyle w:val="paragraph-hierarchy"/>
          <w:i/>
          <w:iCs/>
        </w:rPr>
        <w:t>1</w:t>
      </w:r>
      <w:r w:rsidRPr="00143B9F">
        <w:rPr>
          <w:rStyle w:val="paren"/>
          <w:i/>
          <w:iCs/>
        </w:rPr>
        <w:t>)</w:t>
      </w:r>
      <w:r w:rsidRPr="00143B9F">
        <w:rPr>
          <w:i/>
          <w:iCs/>
        </w:rPr>
        <w:t xml:space="preserve"> A variance from the requirement to source dairy animals that have been under continuous organic management from the last third of gestation, as stated in </w:t>
      </w:r>
      <w:hyperlink r:id="rId16" w:anchor="p-205.236(a)(2)" w:history="1">
        <w:r w:rsidRPr="00143B9F">
          <w:rPr>
            <w:rStyle w:val="Hyperlink"/>
            <w:i/>
            <w:iCs/>
          </w:rPr>
          <w:t>paragraph (a)(2)</w:t>
        </w:r>
      </w:hyperlink>
      <w:r w:rsidRPr="00143B9F">
        <w:rPr>
          <w:i/>
          <w:iCs/>
        </w:rPr>
        <w:t xml:space="preserve"> of this section, may be granted by the Administrator to certified operations that are small businesses, as determined in </w:t>
      </w:r>
      <w:hyperlink r:id="rId17" w:history="1">
        <w:r w:rsidRPr="00143B9F">
          <w:rPr>
            <w:rStyle w:val="Hyperlink"/>
            <w:i/>
            <w:iCs/>
          </w:rPr>
          <w:t>13 CFR part 121</w:t>
        </w:r>
      </w:hyperlink>
      <w:r w:rsidRPr="00143B9F">
        <w:rPr>
          <w:i/>
          <w:iCs/>
        </w:rPr>
        <w:t>, for any of the following reasons:</w:t>
      </w:r>
    </w:p>
    <w:p w:rsidR="00840D34" w:rsidRPr="00143B9F" w:rsidP="00840D34" w14:paraId="02354938" w14:textId="77777777">
      <w:pPr>
        <w:pStyle w:val="EndnoteText"/>
        <w:tabs>
          <w:tab w:val="left" w:pos="-720"/>
        </w:tabs>
        <w:suppressAutoHyphens/>
        <w:spacing w:after="120"/>
        <w:ind w:left="2160"/>
        <w:rPr>
          <w:i/>
          <w:iCs/>
        </w:rPr>
      </w:pPr>
      <w:r w:rsidRPr="00143B9F">
        <w:rPr>
          <w:rStyle w:val="paren"/>
          <w:i/>
          <w:iCs/>
        </w:rPr>
        <w:t>(</w:t>
      </w:r>
      <w:r w:rsidRPr="00143B9F">
        <w:rPr>
          <w:rStyle w:val="paragraph-hierarchy"/>
          <w:i/>
          <w:iCs/>
        </w:rPr>
        <w:t>i</w:t>
      </w:r>
      <w:r w:rsidRPr="00143B9F">
        <w:rPr>
          <w:rStyle w:val="paren"/>
          <w:i/>
          <w:iCs/>
        </w:rPr>
        <w:t>)</w:t>
      </w:r>
      <w:r w:rsidRPr="00143B9F">
        <w:rPr>
          <w:i/>
          <w:iCs/>
        </w:rPr>
        <w:t xml:space="preserve"> The certified operation selling the transitioned animals is part of a bankruptcy proceeding or a forced sale; or</w:t>
      </w:r>
    </w:p>
    <w:p w:rsidR="00840D34" w:rsidRPr="00143B9F" w:rsidP="00840D34" w14:paraId="51469CD2" w14:textId="77777777">
      <w:pPr>
        <w:pStyle w:val="EndnoteText"/>
        <w:tabs>
          <w:tab w:val="left" w:pos="-720"/>
        </w:tabs>
        <w:suppressAutoHyphens/>
        <w:spacing w:after="120"/>
        <w:ind w:left="2160"/>
        <w:rPr>
          <w:i/>
          <w:iCs/>
        </w:rPr>
      </w:pPr>
      <w:r w:rsidRPr="00143B9F">
        <w:rPr>
          <w:rStyle w:val="paren"/>
          <w:i/>
          <w:iCs/>
        </w:rPr>
        <w:t>(</w:t>
      </w:r>
      <w:r w:rsidRPr="00143B9F">
        <w:rPr>
          <w:rStyle w:val="paragraph-hierarchy"/>
          <w:i/>
          <w:iCs/>
        </w:rPr>
        <w:t>ii</w:t>
      </w:r>
      <w:r w:rsidRPr="00143B9F">
        <w:rPr>
          <w:rStyle w:val="paren"/>
          <w:i/>
          <w:iCs/>
        </w:rPr>
        <w:t>)</w:t>
      </w:r>
      <w:r w:rsidRPr="00143B9F">
        <w:rPr>
          <w:i/>
          <w:iCs/>
        </w:rPr>
        <w:t xml:space="preserve"> The certified operation has become insolvent, must liquidate its animals, and as a result has initiated a formal process to cease its operations; or</w:t>
      </w:r>
    </w:p>
    <w:p w:rsidR="00840D34" w:rsidRPr="00143B9F" w:rsidP="00840D34" w14:paraId="1CFAF5F7" w14:textId="77777777">
      <w:pPr>
        <w:pStyle w:val="EndnoteText"/>
        <w:tabs>
          <w:tab w:val="left" w:pos="-720"/>
        </w:tabs>
        <w:suppressAutoHyphens/>
        <w:spacing w:after="120"/>
        <w:ind w:left="2160"/>
        <w:rPr>
          <w:i/>
          <w:iCs/>
        </w:rPr>
      </w:pPr>
      <w:r w:rsidRPr="00143B9F">
        <w:rPr>
          <w:rStyle w:val="paren"/>
          <w:i/>
          <w:iCs/>
        </w:rPr>
        <w:t>(</w:t>
      </w:r>
      <w:r w:rsidRPr="00143B9F">
        <w:rPr>
          <w:rStyle w:val="paragraph-hierarchy"/>
          <w:i/>
          <w:iCs/>
        </w:rPr>
        <w:t>iii</w:t>
      </w:r>
      <w:r w:rsidRPr="00143B9F">
        <w:rPr>
          <w:rStyle w:val="paren"/>
          <w:i/>
          <w:iCs/>
        </w:rPr>
        <w:t>)</w:t>
      </w:r>
      <w:r w:rsidRPr="00143B9F">
        <w:rPr>
          <w:i/>
          <w:iCs/>
        </w:rPr>
        <w:t xml:space="preserve"> The certified operation wishes to conduct an intergenerational transfer of transitioned animals to an immediate family member.</w:t>
      </w:r>
    </w:p>
    <w:p w:rsidR="00840D34" w:rsidRPr="00143B9F" w:rsidP="00840D34" w14:paraId="62BACEC2" w14:textId="77777777">
      <w:pPr>
        <w:pStyle w:val="EndnoteText"/>
        <w:tabs>
          <w:tab w:val="left" w:pos="-720"/>
        </w:tabs>
        <w:suppressAutoHyphens/>
        <w:spacing w:after="120"/>
        <w:ind w:left="1440"/>
        <w:rPr>
          <w:i/>
          <w:iCs/>
        </w:rPr>
      </w:pPr>
      <w:r w:rsidRPr="00143B9F">
        <w:rPr>
          <w:rStyle w:val="paren"/>
          <w:i/>
          <w:iCs/>
        </w:rPr>
        <w:t>(</w:t>
      </w:r>
      <w:r w:rsidRPr="00143B9F">
        <w:rPr>
          <w:rStyle w:val="paragraph-hierarchy"/>
          <w:i/>
          <w:iCs/>
        </w:rPr>
        <w:t>2</w:t>
      </w:r>
      <w:r w:rsidRPr="00143B9F">
        <w:rPr>
          <w:rStyle w:val="paren"/>
          <w:i/>
          <w:iCs/>
        </w:rPr>
        <w:t>)</w:t>
      </w:r>
      <w:r w:rsidRPr="00143B9F">
        <w:rPr>
          <w:i/>
          <w:iCs/>
        </w:rPr>
        <w:t xml:space="preserve"> A certifying agent must request a variance on behalf of a certified operation, in writing, to the Administrator within ten days of receiving the request of variance from the operation. The variance request shall include documentation to demonstrate one or more of the circumstances listed in </w:t>
      </w:r>
      <w:hyperlink r:id="rId16" w:anchor="p-205.236(d)(1)" w:history="1">
        <w:r w:rsidRPr="00143B9F">
          <w:rPr>
            <w:rStyle w:val="Hyperlink"/>
            <w:i/>
            <w:iCs/>
          </w:rPr>
          <w:t>paragraph (d)(1)</w:t>
        </w:r>
      </w:hyperlink>
      <w:r w:rsidRPr="00143B9F">
        <w:rPr>
          <w:i/>
          <w:iCs/>
        </w:rPr>
        <w:t xml:space="preserve"> of this section.</w:t>
      </w:r>
    </w:p>
    <w:p w:rsidR="00840D34" w:rsidRPr="00143B9F" w:rsidP="00840D34" w14:paraId="339AD400" w14:textId="77777777">
      <w:pPr>
        <w:pStyle w:val="EndnoteText"/>
        <w:tabs>
          <w:tab w:val="left" w:pos="-720"/>
        </w:tabs>
        <w:suppressAutoHyphens/>
        <w:ind w:left="1440"/>
        <w:rPr>
          <w:i/>
          <w:iCs/>
        </w:rPr>
      </w:pPr>
      <w:r w:rsidRPr="00743DC8">
        <w:rPr>
          <w:i/>
          <w:iCs/>
        </w:rPr>
        <w:t>(3)</w:t>
      </w:r>
      <w:r w:rsidRPr="00143B9F">
        <w:rPr>
          <w:i/>
          <w:iCs/>
        </w:rPr>
        <w:t xml:space="preserve"> The Administrator will provide written notification to the certifying agent and to the operation(s) involved as to whether the variance is granted or rejected.</w:t>
      </w:r>
    </w:p>
    <w:p w:rsidR="00840D34" w:rsidP="00840D34" w14:paraId="55C3D093" w14:textId="77777777">
      <w:pPr>
        <w:pStyle w:val="EndnoteText"/>
        <w:tabs>
          <w:tab w:val="left" w:pos="-720"/>
        </w:tabs>
        <w:suppressAutoHyphens/>
      </w:pPr>
    </w:p>
    <w:p w:rsidR="00B47681" w:rsidP="00B47681" w14:paraId="5CC5346A" w14:textId="17745814">
      <w:pPr>
        <w:pStyle w:val="EndnoteText"/>
        <w:tabs>
          <w:tab w:val="left" w:pos="-720"/>
        </w:tabs>
        <w:suppressAutoHyphens/>
      </w:pPr>
      <w:r>
        <w:t xml:space="preserve">AMS will be able to use other information submitted as part of the currently approved information collection package for the NOP (OMB #0581-0191) to determine if the applicants qualify as a small business [the first variance eligibility criterion at </w:t>
      </w:r>
      <w:hyperlink r:id="rId15" w:anchor="p-205.236(d)(1)" w:history="1">
        <w:r w:rsidRPr="00721F91">
          <w:rPr>
            <w:rStyle w:val="Hyperlink"/>
          </w:rPr>
          <w:t>7 CFR 205.236(d)(1)</w:t>
        </w:r>
      </w:hyperlink>
      <w:r>
        <w:t>].</w:t>
      </w:r>
    </w:p>
    <w:p w:rsidR="00B47681" w:rsidP="00B47681" w14:paraId="29B892BF" w14:textId="77777777">
      <w:pPr>
        <w:pStyle w:val="EndnoteText"/>
        <w:tabs>
          <w:tab w:val="left" w:pos="-720"/>
        </w:tabs>
        <w:suppressAutoHyphens/>
      </w:pPr>
    </w:p>
    <w:p w:rsidR="00751F0C" w:rsidP="00840D34" w14:paraId="069B5031" w14:textId="08C28A55">
      <w:pPr>
        <w:pStyle w:val="EndnoteText"/>
        <w:tabs>
          <w:tab w:val="left" w:pos="-720"/>
        </w:tabs>
        <w:suppressAutoHyphens/>
      </w:pPr>
      <w:r>
        <w:t xml:space="preserve">However, </w:t>
      </w:r>
      <w:r w:rsidR="00840D34">
        <w:t xml:space="preserve">this new variance request specifies </w:t>
      </w:r>
      <w:r w:rsidR="00435498">
        <w:t xml:space="preserve">new </w:t>
      </w:r>
      <w:r w:rsidR="00840D34">
        <w:t xml:space="preserve">information not currently collected by AMS. This </w:t>
      </w:r>
      <w:r w:rsidR="00E3303D">
        <w:t xml:space="preserve">new </w:t>
      </w:r>
      <w:r w:rsidR="00840D34">
        <w:t xml:space="preserve">information is described in the USDA organic regulations in </w:t>
      </w:r>
      <w:hyperlink r:id="rId15" w:anchor="p-205.236(d)" w:history="1">
        <w:r w:rsidRPr="00EC1D21" w:rsidR="00840D34">
          <w:rPr>
            <w:rStyle w:val="Hyperlink"/>
          </w:rPr>
          <w:t>7 CFR 205.236(d</w:t>
        </w:r>
        <w:r w:rsidR="00435498">
          <w:rPr>
            <w:rStyle w:val="Hyperlink"/>
          </w:rPr>
          <w:t>)(1)(i)-(iii</w:t>
        </w:r>
        <w:r w:rsidRPr="00EC1D21" w:rsidR="00840D34">
          <w:rPr>
            <w:rStyle w:val="Hyperlink"/>
          </w:rPr>
          <w:t>)</w:t>
        </w:r>
      </w:hyperlink>
      <w:r w:rsidR="00840D34">
        <w:t xml:space="preserve"> (see above). </w:t>
      </w:r>
      <w:r w:rsidR="0034197B">
        <w:t>To apply for a variance, r</w:t>
      </w:r>
      <w:r w:rsidR="00840D34">
        <w:t xml:space="preserve">espondents </w:t>
      </w:r>
      <w:r w:rsidR="00AE2A33">
        <w:t xml:space="preserve">(small certified organic dairy operations) </w:t>
      </w:r>
      <w:r w:rsidR="0034197B">
        <w:t>will need to submit</w:t>
      </w:r>
      <w:r w:rsidR="00E3303D">
        <w:t xml:space="preserve"> to AMS</w:t>
      </w:r>
      <w:r w:rsidR="0034197B">
        <w:t>, through their certifying agent, records that demonstrate</w:t>
      </w:r>
      <w:r w:rsidR="00EC1D21">
        <w:t xml:space="preserve"> that they qualify </w:t>
      </w:r>
      <w:r w:rsidR="001C3383">
        <w:t>for a variance</w:t>
      </w:r>
      <w:r w:rsidR="00EC1D21">
        <w:t xml:space="preserve"> due to</w:t>
      </w:r>
      <w:r w:rsidR="00840D34">
        <w:t xml:space="preserve"> bankruptcy proceedings, forced sales, insolvency, </w:t>
      </w:r>
      <w:r w:rsidR="00EC1D21">
        <w:t>or an intergenerational transfer</w:t>
      </w:r>
      <w:r w:rsidR="00840D34">
        <w:t>.</w:t>
      </w:r>
    </w:p>
    <w:p w:rsidR="00840D34" w:rsidP="00840D34" w14:paraId="3F1F3F09" w14:textId="77777777">
      <w:pPr>
        <w:pStyle w:val="EndnoteText"/>
        <w:tabs>
          <w:tab w:val="left" w:pos="-720"/>
        </w:tabs>
        <w:suppressAutoHyphens/>
      </w:pPr>
    </w:p>
    <w:p w:rsidR="00990843" w:rsidP="001F4DFF" w14:paraId="2DFA38B0" w14:textId="669DD34F">
      <w:pPr>
        <w:pStyle w:val="EndnoteText"/>
        <w:tabs>
          <w:tab w:val="left" w:pos="-720"/>
        </w:tabs>
        <w:suppressAutoHyphens/>
      </w:pPr>
      <w:r w:rsidRPr="009C0B25">
        <w:t xml:space="preserve">The </w:t>
      </w:r>
      <w:r w:rsidR="00F56EDD">
        <w:t xml:space="preserve">new </w:t>
      </w:r>
      <w:r w:rsidR="00D24533">
        <w:t xml:space="preserve">information collected </w:t>
      </w:r>
      <w:r w:rsidR="00743CC2">
        <w:t xml:space="preserve">will be used by AMS to grant (or deny) </w:t>
      </w:r>
      <w:r>
        <w:t>individual</w:t>
      </w:r>
      <w:r w:rsidR="00C55F02">
        <w:t>, small</w:t>
      </w:r>
      <w:r w:rsidR="00C400CE">
        <w:t xml:space="preserve"> certified organic </w:t>
      </w:r>
      <w:r w:rsidR="007D5E6D">
        <w:t xml:space="preserve">dairy </w:t>
      </w:r>
      <w:r>
        <w:t xml:space="preserve">operations a </w:t>
      </w:r>
      <w:r w:rsidR="00743CC2">
        <w:t xml:space="preserve">variance from the USDA organic regulations </w:t>
      </w:r>
      <w:r w:rsidR="003F0A6E">
        <w:t>in regard to</w:t>
      </w:r>
      <w:r w:rsidR="00743CC2">
        <w:t xml:space="preserve"> the origin of livestock</w:t>
      </w:r>
      <w:r w:rsidRPr="002C4DD4" w:rsidR="006A17CC">
        <w:t>.</w:t>
      </w:r>
    </w:p>
    <w:p w:rsidR="00990843" w:rsidP="001F4DFF" w14:paraId="7AEC4E28" w14:textId="77777777">
      <w:pPr>
        <w:pStyle w:val="EndnoteText"/>
        <w:tabs>
          <w:tab w:val="left" w:pos="-720"/>
        </w:tabs>
        <w:suppressAutoHyphens/>
      </w:pPr>
    </w:p>
    <w:p w:rsidR="00B94233" w:rsidP="00B5119F" w14:paraId="4FAB9098" w14:textId="3FFDA595">
      <w:pPr>
        <w:pStyle w:val="Heading2"/>
      </w:pPr>
      <w:r>
        <w:t>3.</w:t>
      </w:r>
      <w:r>
        <w:tab/>
      </w:r>
      <w:r w:rsidR="004F1358">
        <w:t>Describe whether, and to what extent, the collection of information involves the use of automated, electronic, mechanical, or other technological collection techniques or other forms of information technology, e. g.</w:t>
      </w:r>
      <w:r w:rsidR="00F66F43">
        <w:t xml:space="preserve"> permitting electronic submission of responses, and </w:t>
      </w:r>
      <w:r w:rsidR="00F66F43">
        <w:t>the basis for the decision for adopting this means of collection. Also describe any consideration of using information technology to reduce burden.</w:t>
      </w:r>
    </w:p>
    <w:p w:rsidR="00C741DF" w:rsidP="00B5119F" w14:paraId="7791E111" w14:textId="7BB43E78">
      <w:pPr>
        <w:pStyle w:val="EndnoteText"/>
        <w:tabs>
          <w:tab w:val="left" w:pos="-720"/>
        </w:tabs>
        <w:suppressAutoHyphens/>
      </w:pPr>
      <w:r>
        <w:t xml:space="preserve">The NOP </w:t>
      </w:r>
      <w:r w:rsidR="004D16EF">
        <w:t xml:space="preserve">is primarily a paperless office, and certifying agents submit </w:t>
      </w:r>
      <w:r w:rsidR="007E3971">
        <w:t xml:space="preserve">information </w:t>
      </w:r>
      <w:r w:rsidR="009A50E8">
        <w:t xml:space="preserve">to NOP </w:t>
      </w:r>
      <w:r w:rsidR="007E3971">
        <w:t xml:space="preserve">electronically using e-mail. </w:t>
      </w:r>
      <w:r w:rsidR="00767051">
        <w:t xml:space="preserve">In the </w:t>
      </w:r>
      <w:r w:rsidR="003E464B">
        <w:t xml:space="preserve">variance </w:t>
      </w:r>
      <w:r w:rsidR="00767051">
        <w:t xml:space="preserve">procedures </w:t>
      </w:r>
      <w:r w:rsidR="003E464B">
        <w:t xml:space="preserve">described in the USDA organic regulations in </w:t>
      </w:r>
      <w:hyperlink r:id="rId15" w:anchor="p-205.236(d)" w:history="1">
        <w:r w:rsidRPr="00862890" w:rsidR="003E464B">
          <w:rPr>
            <w:rStyle w:val="Hyperlink"/>
          </w:rPr>
          <w:t>7 CFR 205.236(d)</w:t>
        </w:r>
      </w:hyperlink>
      <w:r w:rsidR="00767051">
        <w:t xml:space="preserve"> </w:t>
      </w:r>
      <w:r w:rsidR="008F6978">
        <w:t>established by the OOL final rule,</w:t>
      </w:r>
      <w:r w:rsidRPr="008F6978" w:rsidR="008F6978">
        <w:rPr>
          <w:szCs w:val="24"/>
        </w:rPr>
        <w:t xml:space="preserve"> </w:t>
      </w:r>
      <w:r w:rsidR="001C55B3">
        <w:t xml:space="preserve">AMS specified that certifying agents must submit variance requests on behalf of </w:t>
      </w:r>
      <w:r w:rsidR="00B53B79">
        <w:t>small certified organic dairy operations</w:t>
      </w:r>
      <w:r w:rsidR="00772358">
        <w:t xml:space="preserve">. </w:t>
      </w:r>
      <w:r w:rsidR="009A50E8">
        <w:t xml:space="preserve">Organic dairy operations will submit information to their </w:t>
      </w:r>
      <w:r w:rsidR="005F6AEF">
        <w:t>certifying agent (</w:t>
      </w:r>
      <w:r w:rsidR="00A2468F">
        <w:t>electronically or otherwise t</w:t>
      </w:r>
      <w:r w:rsidR="005F6AEF">
        <w:t xml:space="preserve">o allow for </w:t>
      </w:r>
      <w:r w:rsidRPr="00081BBF" w:rsidR="005F6AEF">
        <w:t>maximum flexibility</w:t>
      </w:r>
      <w:r w:rsidRPr="00081BBF" w:rsidR="00D66224">
        <w:t>)</w:t>
      </w:r>
      <w:r w:rsidRPr="00081BBF" w:rsidR="00FD15E5">
        <w:t>. O</w:t>
      </w:r>
      <w:r w:rsidRPr="00AD3B75" w:rsidR="00FD15E5">
        <w:t>rganic dairy operations have established information submission relationships with their certifying agent.</w:t>
      </w:r>
      <w:r w:rsidRPr="00081BBF" w:rsidR="00FD15E5">
        <w:t xml:space="preserve"> </w:t>
      </w:r>
      <w:r w:rsidRPr="00081BBF" w:rsidR="00A2468F">
        <w:t>The certifying agent will then submit the information to the NOP electronically</w:t>
      </w:r>
      <w:r w:rsidR="00AB10CB">
        <w:t xml:space="preserve">, </w:t>
      </w:r>
      <w:r w:rsidR="00C60A68">
        <w:t>through their</w:t>
      </w:r>
      <w:r w:rsidRPr="00081BBF" w:rsidR="00772358">
        <w:t xml:space="preserve"> established relationships with </w:t>
      </w:r>
      <w:r w:rsidRPr="00081BBF" w:rsidR="002A426F">
        <w:t>NOP Accreditation Division staff (Accreditation Managers</w:t>
      </w:r>
      <w:r w:rsidR="004B2D2A">
        <w:t xml:space="preserve"> assigned to each certifying agent</w:t>
      </w:r>
      <w:r w:rsidRPr="00081BBF" w:rsidR="002A426F">
        <w:t>)</w:t>
      </w:r>
      <w:r w:rsidRPr="00AD3B75" w:rsidR="00FD15E5">
        <w:t>.</w:t>
      </w:r>
    </w:p>
    <w:p w:rsidR="0030256F" w:rsidRPr="00EC462A" w:rsidP="006029D5" w14:paraId="51CACBB6" w14:textId="77777777">
      <w:pPr>
        <w:pStyle w:val="EndnoteText"/>
        <w:tabs>
          <w:tab w:val="left" w:pos="-720"/>
        </w:tabs>
        <w:suppressAutoHyphens/>
        <w:rPr>
          <w:szCs w:val="24"/>
        </w:rPr>
      </w:pPr>
    </w:p>
    <w:p w:rsidR="00B94233" w:rsidRPr="00EC462A" w:rsidP="006029D5" w14:paraId="74774E23" w14:textId="68891B1F">
      <w:pPr>
        <w:pStyle w:val="Heading2"/>
        <w:rPr>
          <w:b w:val="0"/>
          <w:szCs w:val="24"/>
        </w:rPr>
      </w:pPr>
      <w:r>
        <w:t>4.</w:t>
      </w:r>
      <w:r>
        <w:tab/>
      </w:r>
      <w:r w:rsidRPr="00EC462A">
        <w:t>D</w:t>
      </w:r>
      <w:r w:rsidR="00AE53C5">
        <w:t>escribe efforts to identify duplication. Show specifically why any similar information already available cannot be used or modified for use for the purpose(s) described in item 2 above</w:t>
      </w:r>
      <w:r w:rsidR="00AE53C5">
        <w:rPr>
          <w:szCs w:val="24"/>
        </w:rPr>
        <w:t>.</w:t>
      </w:r>
    </w:p>
    <w:p w:rsidR="00B94233" w:rsidRPr="00EC462A" w:rsidP="006029D5" w14:paraId="5DAE740C" w14:textId="0BD91EB2">
      <w:pPr>
        <w:pStyle w:val="EndnoteText"/>
        <w:tabs>
          <w:tab w:val="left" w:pos="-720"/>
        </w:tabs>
        <w:suppressAutoHyphens/>
        <w:rPr>
          <w:szCs w:val="24"/>
        </w:rPr>
      </w:pPr>
      <w:r>
        <w:rPr>
          <w:szCs w:val="24"/>
        </w:rPr>
        <w:t>In an effort to</w:t>
      </w:r>
      <w:r>
        <w:rPr>
          <w:szCs w:val="24"/>
        </w:rPr>
        <w:t xml:space="preserve"> identify duplication, AMS is </w:t>
      </w:r>
      <w:r w:rsidR="004E7020">
        <w:rPr>
          <w:szCs w:val="24"/>
        </w:rPr>
        <w:t>requir</w:t>
      </w:r>
      <w:r>
        <w:rPr>
          <w:szCs w:val="24"/>
        </w:rPr>
        <w:t>ing</w:t>
      </w:r>
      <w:r w:rsidR="004E7020">
        <w:rPr>
          <w:szCs w:val="24"/>
        </w:rPr>
        <w:t xml:space="preserve"> </w:t>
      </w:r>
      <w:r w:rsidR="000D2F89">
        <w:rPr>
          <w:szCs w:val="24"/>
        </w:rPr>
        <w:t xml:space="preserve">small </w:t>
      </w:r>
      <w:r w:rsidR="004E7020">
        <w:rPr>
          <w:szCs w:val="24"/>
        </w:rPr>
        <w:t xml:space="preserve">certified </w:t>
      </w:r>
      <w:r w:rsidR="000D2F89">
        <w:rPr>
          <w:szCs w:val="24"/>
        </w:rPr>
        <w:t xml:space="preserve">organic dairy </w:t>
      </w:r>
      <w:r w:rsidR="004E7020">
        <w:rPr>
          <w:szCs w:val="24"/>
        </w:rPr>
        <w:t xml:space="preserve">operations to submit </w:t>
      </w:r>
      <w:r w:rsidR="00E256B2">
        <w:rPr>
          <w:szCs w:val="24"/>
        </w:rPr>
        <w:t xml:space="preserve">variance requests </w:t>
      </w:r>
      <w:r w:rsidR="004E7020">
        <w:rPr>
          <w:szCs w:val="24"/>
        </w:rPr>
        <w:t>through their certifying agent</w:t>
      </w:r>
      <w:r>
        <w:rPr>
          <w:szCs w:val="24"/>
        </w:rPr>
        <w:t>. T</w:t>
      </w:r>
      <w:r w:rsidR="004E7020">
        <w:rPr>
          <w:szCs w:val="24"/>
        </w:rPr>
        <w:t xml:space="preserve">hese certifying agents are best positioned to </w:t>
      </w:r>
      <w:r w:rsidR="0035095E">
        <w:rPr>
          <w:szCs w:val="24"/>
        </w:rPr>
        <w:t xml:space="preserve">identify previously collected information that may be used </w:t>
      </w:r>
      <w:r w:rsidR="00904CAE">
        <w:rPr>
          <w:szCs w:val="24"/>
        </w:rPr>
        <w:t xml:space="preserve">as part of </w:t>
      </w:r>
      <w:r w:rsidR="0035095E">
        <w:rPr>
          <w:szCs w:val="24"/>
        </w:rPr>
        <w:t>the variance request.</w:t>
      </w:r>
    </w:p>
    <w:p w:rsidR="0093039A" w:rsidRPr="00EC462A" w:rsidP="00B5119F" w14:paraId="08A6CBED" w14:textId="6ABEBFA3">
      <w:pPr>
        <w:tabs>
          <w:tab w:val="left" w:pos="-720"/>
        </w:tabs>
        <w:suppressAutoHyphens/>
        <w:rPr>
          <w:szCs w:val="24"/>
        </w:rPr>
      </w:pPr>
    </w:p>
    <w:p w:rsidR="00B94233" w:rsidP="00B5119F" w14:paraId="01E9F53B" w14:textId="6B1F2403">
      <w:pPr>
        <w:pStyle w:val="Heading2"/>
      </w:pPr>
      <w:r>
        <w:rPr>
          <w:szCs w:val="24"/>
        </w:rPr>
        <w:t>5.</w:t>
      </w:r>
      <w:r>
        <w:rPr>
          <w:szCs w:val="24"/>
        </w:rPr>
        <w:tab/>
      </w:r>
      <w:r w:rsidR="00AE53C5">
        <w:rPr>
          <w:szCs w:val="24"/>
        </w:rPr>
        <w:t xml:space="preserve">If the collection of information </w:t>
      </w:r>
      <w:r w:rsidR="00211F9A">
        <w:t>impacts small businesses or other small entities (item 5 of OMB form 83-i</w:t>
      </w:r>
      <w:r>
        <w:t xml:space="preserve">, </w:t>
      </w:r>
      <w:r w:rsidR="00211F9A">
        <w:t>describe the methods used to minimize burden</w:t>
      </w:r>
      <w:r>
        <w:t>.</w:t>
      </w:r>
    </w:p>
    <w:p w:rsidR="00057CCB" w:rsidP="00057CCB" w14:paraId="5BDCD154" w14:textId="5B50F627">
      <w:pPr>
        <w:pStyle w:val="EndnoteText"/>
        <w:tabs>
          <w:tab w:val="left" w:pos="-720"/>
        </w:tabs>
        <w:suppressAutoHyphens/>
        <w:rPr>
          <w:szCs w:val="24"/>
        </w:rPr>
      </w:pPr>
      <w:r>
        <w:rPr>
          <w:szCs w:val="24"/>
        </w:rPr>
        <w:t>T</w:t>
      </w:r>
      <w:r w:rsidRPr="00D549EF">
        <w:rPr>
          <w:szCs w:val="24"/>
        </w:rPr>
        <w:t xml:space="preserve">he </w:t>
      </w:r>
      <w:r w:rsidR="0073488E">
        <w:rPr>
          <w:szCs w:val="24"/>
        </w:rPr>
        <w:t>OOL</w:t>
      </w:r>
      <w:r w:rsidRPr="00D549EF">
        <w:rPr>
          <w:szCs w:val="24"/>
        </w:rPr>
        <w:t xml:space="preserve"> final rule clarifie</w:t>
      </w:r>
      <w:r>
        <w:rPr>
          <w:szCs w:val="24"/>
        </w:rPr>
        <w:t>s</w:t>
      </w:r>
      <w:r w:rsidRPr="00D549EF">
        <w:rPr>
          <w:szCs w:val="24"/>
        </w:rPr>
        <w:t xml:space="preserve"> that organic dairy operations may transition nonorganic animals to organic production only once. After that, any animals added to an operation must have been organically managed from the last third of gestation.</w:t>
      </w:r>
      <w:r>
        <w:rPr>
          <w:szCs w:val="24"/>
        </w:rPr>
        <w:t xml:space="preserve"> </w:t>
      </w:r>
      <w:r w:rsidRPr="00D549EF">
        <w:rPr>
          <w:szCs w:val="24"/>
        </w:rPr>
        <w:t xml:space="preserve">To provide flexibility, the final rule allows small, certified </w:t>
      </w:r>
      <w:r w:rsidR="001D2AC1">
        <w:rPr>
          <w:szCs w:val="24"/>
        </w:rPr>
        <w:t xml:space="preserve">organic dairy </w:t>
      </w:r>
      <w:r w:rsidRPr="00D549EF">
        <w:rPr>
          <w:szCs w:val="24"/>
        </w:rPr>
        <w:t xml:space="preserve">operations to request a variance for transitioning additional animals under limited conditions specified at </w:t>
      </w:r>
      <w:hyperlink r:id="rId15" w:anchor="p-205.236(d)" w:history="1">
        <w:r w:rsidRPr="00CF21BB">
          <w:rPr>
            <w:rStyle w:val="Hyperlink"/>
            <w:szCs w:val="24"/>
          </w:rPr>
          <w:t>7 CFR 205.236(d)</w:t>
        </w:r>
      </w:hyperlink>
      <w:r w:rsidRPr="00D549EF">
        <w:rPr>
          <w:szCs w:val="24"/>
        </w:rPr>
        <w:t>.</w:t>
      </w:r>
    </w:p>
    <w:p w:rsidR="00057CCB" w:rsidP="00A936E9" w14:paraId="7C88016C" w14:textId="77777777">
      <w:pPr>
        <w:pStyle w:val="EndnoteText"/>
        <w:tabs>
          <w:tab w:val="left" w:pos="-720"/>
        </w:tabs>
        <w:suppressAutoHyphens/>
      </w:pPr>
    </w:p>
    <w:p w:rsidR="00A936E9" w:rsidP="00A936E9" w14:paraId="674C3467" w14:textId="4D620273">
      <w:pPr>
        <w:pStyle w:val="EndnoteText"/>
        <w:tabs>
          <w:tab w:val="left" w:pos="-720"/>
        </w:tabs>
        <w:suppressAutoHyphens/>
      </w:pPr>
      <w:r>
        <w:t>This collection of information only impacts small businesses (or other small entities)</w:t>
      </w:r>
      <w:r>
        <w:t xml:space="preserve">. </w:t>
      </w:r>
      <w:r w:rsidR="000829EE">
        <w:t xml:space="preserve">The OOL final rule specifically limited variance eligibility to small businesses to reduce </w:t>
      </w:r>
      <w:r w:rsidR="00A677FE">
        <w:t xml:space="preserve">the </w:t>
      </w:r>
      <w:r w:rsidR="000829EE">
        <w:t>economic burden that the OOL final rule may have on small businesses</w:t>
      </w:r>
      <w:r w:rsidR="00A677FE">
        <w:t xml:space="preserve"> (</w:t>
      </w:r>
      <w:r w:rsidR="00AD76BF">
        <w:t>and</w:t>
      </w:r>
      <w:r w:rsidR="00A677FE">
        <w:t xml:space="preserve"> accord</w:t>
      </w:r>
      <w:r w:rsidR="00AD76BF">
        <w:t>s</w:t>
      </w:r>
      <w:r w:rsidR="00A677FE">
        <w:t xml:space="preserve"> with the Regulatory Flexibility Act)</w:t>
      </w:r>
      <w:r w:rsidR="000829EE">
        <w:t xml:space="preserve">. </w:t>
      </w:r>
      <w:r>
        <w:t xml:space="preserve">To minimize the collection </w:t>
      </w:r>
      <w:r w:rsidR="00BF73D9">
        <w:t xml:space="preserve">of information </w:t>
      </w:r>
      <w:r>
        <w:t>burden, AMS requires variance requests to be submitted through certifying agent</w:t>
      </w:r>
      <w:r w:rsidR="008D2CC4">
        <w:t>s</w:t>
      </w:r>
      <w:r w:rsidR="00BA754E">
        <w:t xml:space="preserve">, which is explained </w:t>
      </w:r>
      <w:r>
        <w:t xml:space="preserve">in further detail above in </w:t>
      </w:r>
      <w:r w:rsidR="00E102C1">
        <w:t>I</w:t>
      </w:r>
      <w:r>
        <w:t xml:space="preserve">tem 3 and </w:t>
      </w:r>
      <w:r w:rsidR="00E102C1">
        <w:t xml:space="preserve">Item </w:t>
      </w:r>
      <w:r>
        <w:t>4.</w:t>
      </w:r>
    </w:p>
    <w:p w:rsidR="00506373" w:rsidP="00B5119F" w14:paraId="33E68274" w14:textId="77777777">
      <w:pPr>
        <w:pStyle w:val="EndnoteText"/>
        <w:tabs>
          <w:tab w:val="left" w:pos="-720"/>
        </w:tabs>
        <w:suppressAutoHyphens/>
      </w:pPr>
    </w:p>
    <w:p w:rsidR="00C31648" w:rsidP="00AA1088" w14:paraId="395EECAD" w14:textId="07F76C05">
      <w:pPr>
        <w:pStyle w:val="EndnoteText"/>
        <w:tabs>
          <w:tab w:val="left" w:pos="-720"/>
        </w:tabs>
        <w:suppressAutoHyphens/>
      </w:pPr>
      <w:r>
        <w:t xml:space="preserve">Only </w:t>
      </w:r>
      <w:r w:rsidR="006C0976">
        <w:t xml:space="preserve">certified organic </w:t>
      </w:r>
      <w:r w:rsidR="00E102C1">
        <w:t xml:space="preserve">dairy </w:t>
      </w:r>
      <w:r w:rsidR="006C0976">
        <w:t xml:space="preserve">operations that </w:t>
      </w:r>
      <w:r w:rsidR="00AA1088">
        <w:t xml:space="preserve">qualify as a </w:t>
      </w:r>
      <w:r>
        <w:t>small business (</w:t>
      </w:r>
      <w:r w:rsidR="00AA1088">
        <w:t xml:space="preserve">or </w:t>
      </w:r>
      <w:r>
        <w:t>small entit</w:t>
      </w:r>
      <w:r w:rsidR="00AA1088">
        <w:t>y</w:t>
      </w:r>
      <w:r>
        <w:t xml:space="preserve">) </w:t>
      </w:r>
      <w:r w:rsidR="007B2F65">
        <w:t xml:space="preserve">are eligible to </w:t>
      </w:r>
      <w:r>
        <w:t xml:space="preserve">request </w:t>
      </w:r>
      <w:r w:rsidR="007B2F65">
        <w:t xml:space="preserve">a variance, </w:t>
      </w:r>
      <w:r w:rsidR="008B342F">
        <w:t xml:space="preserve">as described in the USDA organic regulations in </w:t>
      </w:r>
      <w:hyperlink r:id="rId15" w:anchor="p-205.236(d)" w:history="1">
        <w:r w:rsidRPr="00862890" w:rsidR="008B342F">
          <w:rPr>
            <w:rStyle w:val="Hyperlink"/>
          </w:rPr>
          <w:t>7 CFR 205.236(d)</w:t>
        </w:r>
      </w:hyperlink>
      <w:r w:rsidR="00F6617B">
        <w:t xml:space="preserve"> (</w:t>
      </w:r>
      <w:r w:rsidR="00B22496">
        <w:t>see page</w:t>
      </w:r>
      <w:r w:rsidR="004E0A29">
        <w:t>s</w:t>
      </w:r>
      <w:r w:rsidR="00B22496">
        <w:t xml:space="preserve"> </w:t>
      </w:r>
      <w:hyperlink r:id="rId18" w:history="1">
        <w:r w:rsidR="004E0A29">
          <w:rPr>
            <w:rStyle w:val="Hyperlink"/>
          </w:rPr>
          <w:t>19750-19751</w:t>
        </w:r>
      </w:hyperlink>
      <w:r w:rsidR="00F6617B">
        <w:t>)</w:t>
      </w:r>
      <w:r w:rsidR="008B342F">
        <w:t>.</w:t>
      </w:r>
    </w:p>
    <w:p w:rsidR="00C31648" w:rsidP="00AA1088" w14:paraId="151DA95F" w14:textId="77777777">
      <w:pPr>
        <w:pStyle w:val="EndnoteText"/>
        <w:tabs>
          <w:tab w:val="left" w:pos="-720"/>
        </w:tabs>
        <w:suppressAutoHyphens/>
      </w:pPr>
    </w:p>
    <w:p w:rsidR="00E377B6" w:rsidP="00AA1088" w14:paraId="35B01FE0" w14:textId="484C2BD0">
      <w:pPr>
        <w:pStyle w:val="EndnoteText"/>
        <w:tabs>
          <w:tab w:val="left" w:pos="-720"/>
        </w:tabs>
        <w:suppressAutoHyphens/>
      </w:pPr>
      <w:r>
        <w:rPr>
          <w:rStyle w:val="ui-provider"/>
        </w:rPr>
        <w:t xml:space="preserve">Certifying agents </w:t>
      </w:r>
      <w:r w:rsidR="00FE330E">
        <w:rPr>
          <w:rStyle w:val="ui-provider"/>
        </w:rPr>
        <w:t>must</w:t>
      </w:r>
      <w:r>
        <w:rPr>
          <w:rStyle w:val="ui-provider"/>
        </w:rPr>
        <w:t xml:space="preserve"> </w:t>
      </w:r>
      <w:r w:rsidR="00FE330E">
        <w:rPr>
          <w:rStyle w:val="ui-provider"/>
        </w:rPr>
        <w:t>send</w:t>
      </w:r>
      <w:r>
        <w:rPr>
          <w:rStyle w:val="ui-provider"/>
        </w:rPr>
        <w:t xml:space="preserve"> variance requests to AMS on behalf of the small certified organic dairy operations. </w:t>
      </w:r>
      <w:r w:rsidR="00D56FAE">
        <w:rPr>
          <w:rStyle w:val="ui-provider"/>
        </w:rPr>
        <w:t>AMS understands that most certifying agents</w:t>
      </w:r>
      <w:r w:rsidR="002F440D">
        <w:rPr>
          <w:rStyle w:val="ui-provider"/>
        </w:rPr>
        <w:t xml:space="preserve"> </w:t>
      </w:r>
      <w:r w:rsidR="00D56FAE">
        <w:rPr>
          <w:rStyle w:val="ui-provider"/>
        </w:rPr>
        <w:t xml:space="preserve">would </w:t>
      </w:r>
      <w:r w:rsidR="002F440D">
        <w:rPr>
          <w:rStyle w:val="ui-provider"/>
        </w:rPr>
        <w:t xml:space="preserve">also </w:t>
      </w:r>
      <w:r w:rsidR="00D56FAE">
        <w:rPr>
          <w:rStyle w:val="ui-provider"/>
        </w:rPr>
        <w:t xml:space="preserve">be considered small </w:t>
      </w:r>
      <w:r w:rsidR="00994F2E">
        <w:rPr>
          <w:rStyle w:val="ui-provider"/>
        </w:rPr>
        <w:t>businesses</w:t>
      </w:r>
      <w:r w:rsidR="003E6C28">
        <w:rPr>
          <w:rStyle w:val="ui-provider"/>
        </w:rPr>
        <w:t xml:space="preserve">. This is because certifying agents </w:t>
      </w:r>
      <w:r w:rsidR="00394F4E">
        <w:rPr>
          <w:rStyle w:val="ui-provider"/>
        </w:rPr>
        <w:t xml:space="preserve">fall under </w:t>
      </w:r>
      <w:r w:rsidRPr="00412FB8" w:rsidR="00394F4E">
        <w:rPr>
          <w:rStyle w:val="ui-provider"/>
        </w:rPr>
        <w:t xml:space="preserve">North American Industry Classification System </w:t>
      </w:r>
      <w:r w:rsidR="00394F4E">
        <w:rPr>
          <w:rStyle w:val="ui-provider"/>
        </w:rPr>
        <w:t>(NAICS) code 541990 (All Other Professional, Scientific, and Technical Services)</w:t>
      </w:r>
      <w:r w:rsidR="001D3151">
        <w:rPr>
          <w:rStyle w:val="ui-provider"/>
        </w:rPr>
        <w:t xml:space="preserve">, </w:t>
      </w:r>
      <w:r w:rsidR="0032358C">
        <w:rPr>
          <w:rStyle w:val="ui-provider"/>
        </w:rPr>
        <w:t xml:space="preserve">with average annual receipts of </w:t>
      </w:r>
      <w:r w:rsidR="00E17DBA">
        <w:rPr>
          <w:rStyle w:val="ui-provider"/>
        </w:rPr>
        <w:t>$</w:t>
      </w:r>
      <w:r w:rsidR="00D56FAE">
        <w:rPr>
          <w:rStyle w:val="ui-provider"/>
        </w:rPr>
        <w:t>19.5 million</w:t>
      </w:r>
      <w:r w:rsidR="00634591">
        <w:rPr>
          <w:rStyle w:val="ui-provider"/>
        </w:rPr>
        <w:t xml:space="preserve"> or less</w:t>
      </w:r>
      <w:r w:rsidR="00E17DBA">
        <w:rPr>
          <w:rStyle w:val="ui-provider"/>
        </w:rPr>
        <w:t xml:space="preserve"> </w:t>
      </w:r>
      <w:r w:rsidR="00055312">
        <w:rPr>
          <w:rStyle w:val="ui-provider"/>
        </w:rPr>
        <w:t xml:space="preserve">[Small Business Administration (SBA) </w:t>
      </w:r>
      <w:hyperlink r:id="rId19" w:history="1">
        <w:r w:rsidRPr="00937755" w:rsidR="00937755">
          <w:rPr>
            <w:rStyle w:val="Hyperlink"/>
          </w:rPr>
          <w:t>13 CFR 121.201</w:t>
        </w:r>
      </w:hyperlink>
      <w:r w:rsidR="00055312">
        <w:rPr>
          <w:rStyle w:val="ui-provider"/>
        </w:rPr>
        <w:t>]</w:t>
      </w:r>
      <w:r w:rsidR="00D56FAE">
        <w:rPr>
          <w:rStyle w:val="ui-provider"/>
        </w:rPr>
        <w:t>.</w:t>
      </w:r>
      <w:r w:rsidRPr="00E377B6">
        <w:t xml:space="preserve"> While certifying agents are small entities that will be </w:t>
      </w:r>
      <w:r w:rsidR="003A43A2">
        <w:t xml:space="preserve">impacted by this </w:t>
      </w:r>
      <w:r w:rsidR="003A43A2">
        <w:t xml:space="preserve">collection of information, AMS </w:t>
      </w:r>
      <w:r w:rsidRPr="00E377B6">
        <w:t>expect</w:t>
      </w:r>
      <w:r w:rsidR="003A43A2">
        <w:t>s</w:t>
      </w:r>
      <w:r w:rsidRPr="00E377B6">
        <w:t xml:space="preserve"> the </w:t>
      </w:r>
      <w:r w:rsidR="003A43A2">
        <w:t xml:space="preserve">burden to be minimal as </w:t>
      </w:r>
      <w:r w:rsidR="005679B9">
        <w:t>c</w:t>
      </w:r>
      <w:r w:rsidRPr="00E377B6">
        <w:t>ertifying agents must already comply with the current regulations</w:t>
      </w:r>
      <w:r w:rsidR="00073921">
        <w:t xml:space="preserve">, which specifically requires them to </w:t>
      </w:r>
      <w:r w:rsidRPr="00E377B6">
        <w:t>maintain certification records for their clients</w:t>
      </w:r>
      <w:r w:rsidR="00073921">
        <w:t xml:space="preserve"> and to submit these records to AMS as necessary</w:t>
      </w:r>
      <w:r w:rsidRPr="00E377B6">
        <w:t>.</w:t>
      </w:r>
      <w:r w:rsidR="001E4C4C">
        <w:t xml:space="preserve"> These existing activities are covered in the currently approved information collection package for the NOP (OMB #0581-0191).</w:t>
      </w:r>
    </w:p>
    <w:p w:rsidR="00E377B6" w:rsidP="00B5119F" w14:paraId="00682273" w14:textId="77777777">
      <w:pPr>
        <w:pStyle w:val="EndnoteText"/>
        <w:tabs>
          <w:tab w:val="left" w:pos="-720"/>
        </w:tabs>
        <w:suppressAutoHyphens/>
      </w:pPr>
    </w:p>
    <w:p w:rsidR="00B94233" w:rsidP="00B5119F" w14:paraId="786B05F5" w14:textId="056F0C4C">
      <w:pPr>
        <w:pStyle w:val="Heading2"/>
      </w:pPr>
      <w:r>
        <w:t>6.</w:t>
      </w:r>
      <w:r>
        <w:tab/>
      </w:r>
      <w:r w:rsidRPr="00EE66AC">
        <w:rPr>
          <w:szCs w:val="24"/>
        </w:rPr>
        <w:t>D</w:t>
      </w:r>
      <w:r w:rsidR="00951B4A">
        <w:rPr>
          <w:szCs w:val="24"/>
        </w:rPr>
        <w:t>escribe the consequences to Federal program or policy activities if the collection is not conducted or is conducted less frequently,</w:t>
      </w:r>
      <w:r>
        <w:t xml:space="preserve"> </w:t>
      </w:r>
      <w:r w:rsidR="00951B4A">
        <w:t>as well as any technical or legal obstacles to reducing burden</w:t>
      </w:r>
      <w:r>
        <w:t>.</w:t>
      </w:r>
    </w:p>
    <w:p w:rsidR="004C15D1" w:rsidP="004C15D1" w14:paraId="28046A8F" w14:textId="4009E9A9">
      <w:pPr>
        <w:pStyle w:val="EndnoteText"/>
        <w:tabs>
          <w:tab w:val="left" w:pos="-720"/>
        </w:tabs>
        <w:suppressAutoHyphens/>
      </w:pPr>
      <w:r>
        <w:t xml:space="preserve">If the collection of information </w:t>
      </w:r>
      <w:r w:rsidR="00400E82">
        <w:t xml:space="preserve">were </w:t>
      </w:r>
      <w:r w:rsidR="004C34FD">
        <w:t xml:space="preserve">not conducted, </w:t>
      </w:r>
      <w:r w:rsidR="008229A4">
        <w:t xml:space="preserve">AMS would not be able to grant variances to small businesses </w:t>
      </w:r>
      <w:r w:rsidR="002A6B73">
        <w:t xml:space="preserve">who would otherwise be significantly impacted by </w:t>
      </w:r>
      <w:r>
        <w:t xml:space="preserve">the </w:t>
      </w:r>
      <w:r w:rsidR="008F0CD5">
        <w:t xml:space="preserve">recent changes made to the requirements for the </w:t>
      </w:r>
      <w:r>
        <w:t xml:space="preserve">origin of livestock, as described in the USDA organic regulations in </w:t>
      </w:r>
      <w:hyperlink r:id="rId15" w:anchor="p-205.236(d)" w:history="1">
        <w:r w:rsidRPr="00862890">
          <w:rPr>
            <w:rStyle w:val="Hyperlink"/>
          </w:rPr>
          <w:t>7 CFR 205.236(d)</w:t>
        </w:r>
      </w:hyperlink>
      <w:r w:rsidR="00F91972">
        <w:t>.</w:t>
      </w:r>
    </w:p>
    <w:p w:rsidR="008D58F2" w:rsidP="00B5119F" w14:paraId="5DCCA4A1" w14:textId="77777777">
      <w:pPr>
        <w:pStyle w:val="EndnoteText"/>
        <w:tabs>
          <w:tab w:val="left" w:pos="-720"/>
        </w:tabs>
        <w:suppressAutoHyphens/>
      </w:pPr>
    </w:p>
    <w:p w:rsidR="004D1280" w:rsidP="004D1280" w14:paraId="2AE7B927" w14:textId="4A998572">
      <w:pPr>
        <w:pStyle w:val="EndnoteText"/>
        <w:tabs>
          <w:tab w:val="left" w:pos="-720"/>
        </w:tabs>
        <w:suppressAutoHyphens/>
        <w:rPr>
          <w:szCs w:val="24"/>
        </w:rPr>
      </w:pPr>
      <w:r>
        <w:rPr>
          <w:szCs w:val="24"/>
        </w:rPr>
        <w:t>T</w:t>
      </w:r>
      <w:r w:rsidRPr="00D549EF">
        <w:rPr>
          <w:szCs w:val="24"/>
        </w:rPr>
        <w:t>he OOL final rule</w:t>
      </w:r>
      <w:r w:rsidR="00F91972">
        <w:rPr>
          <w:szCs w:val="24"/>
        </w:rPr>
        <w:t xml:space="preserve"> </w:t>
      </w:r>
      <w:r w:rsidRPr="00D549EF" w:rsidR="008520F9">
        <w:rPr>
          <w:szCs w:val="24"/>
        </w:rPr>
        <w:t>clarifie</w:t>
      </w:r>
      <w:r w:rsidR="008520F9">
        <w:rPr>
          <w:szCs w:val="24"/>
        </w:rPr>
        <w:t>d</w:t>
      </w:r>
      <w:r w:rsidRPr="00D549EF" w:rsidR="008520F9">
        <w:rPr>
          <w:szCs w:val="24"/>
        </w:rPr>
        <w:t xml:space="preserve"> </w:t>
      </w:r>
      <w:r w:rsidRPr="00D549EF">
        <w:rPr>
          <w:szCs w:val="24"/>
        </w:rPr>
        <w:t>that organic dairy operations may transition nonorganic animals to organic production only once. After that, any animals added to an operation must have been organically managed from the last third of gestation.</w:t>
      </w:r>
      <w:r>
        <w:rPr>
          <w:szCs w:val="24"/>
        </w:rPr>
        <w:t xml:space="preserve"> </w:t>
      </w:r>
      <w:r w:rsidRPr="00D549EF">
        <w:rPr>
          <w:szCs w:val="24"/>
        </w:rPr>
        <w:t xml:space="preserve">To provide flexibility, the final rule allows small, certified </w:t>
      </w:r>
      <w:r w:rsidR="008520F9">
        <w:rPr>
          <w:szCs w:val="24"/>
        </w:rPr>
        <w:t xml:space="preserve">organic dairy </w:t>
      </w:r>
      <w:r w:rsidRPr="00D549EF">
        <w:rPr>
          <w:szCs w:val="24"/>
        </w:rPr>
        <w:t xml:space="preserve">operations to request a variance for transitioning additional animals under limited conditions specified at </w:t>
      </w:r>
      <w:hyperlink r:id="rId15" w:anchor="p-205.236(d)" w:history="1">
        <w:r w:rsidRPr="00CF21BB">
          <w:rPr>
            <w:rStyle w:val="Hyperlink"/>
            <w:szCs w:val="24"/>
          </w:rPr>
          <w:t>7 CFR 205.236(d)</w:t>
        </w:r>
      </w:hyperlink>
      <w:r w:rsidRPr="00D549EF">
        <w:rPr>
          <w:szCs w:val="24"/>
        </w:rPr>
        <w:t>.</w:t>
      </w:r>
    </w:p>
    <w:p w:rsidR="004D1280" w:rsidP="00B5119F" w14:paraId="3E178F66" w14:textId="77777777">
      <w:pPr>
        <w:pStyle w:val="EndnoteText"/>
        <w:tabs>
          <w:tab w:val="left" w:pos="-720"/>
        </w:tabs>
        <w:suppressAutoHyphens/>
      </w:pPr>
    </w:p>
    <w:p w:rsidR="00265E70" w:rsidP="00B5119F" w14:paraId="296EF1D3" w14:textId="01D832E6">
      <w:pPr>
        <w:pStyle w:val="EndnoteText"/>
        <w:tabs>
          <w:tab w:val="left" w:pos="-720"/>
        </w:tabs>
        <w:suppressAutoHyphens/>
      </w:pPr>
      <w:r>
        <w:t xml:space="preserve">In the OOL final rule, </w:t>
      </w:r>
      <w:r>
        <w:t xml:space="preserve">AMS </w:t>
      </w:r>
      <w:r>
        <w:t xml:space="preserve">discussed how </w:t>
      </w:r>
      <w:r>
        <w:t xml:space="preserve">there are certain limited, legitimate, and reasonable situations where movement of transitioned animals between operations </w:t>
      </w:r>
      <w:r w:rsidR="00894EEC">
        <w:t xml:space="preserve">(through an approved variance request) </w:t>
      </w:r>
      <w:r>
        <w:t xml:space="preserve">is warranted. </w:t>
      </w:r>
      <w:r w:rsidR="0090563D">
        <w:t xml:space="preserve">If </w:t>
      </w:r>
      <w:r w:rsidR="00D60132">
        <w:t xml:space="preserve">AMS does not conduct this information collection, </w:t>
      </w:r>
      <w:r w:rsidR="004809D2">
        <w:t xml:space="preserve">AMS will not be able to administer the USDA organic regulations at </w:t>
      </w:r>
      <w:hyperlink r:id="rId15" w:anchor="p-205.236(d)" w:history="1">
        <w:r w:rsidRPr="00862890" w:rsidR="004809D2">
          <w:rPr>
            <w:rStyle w:val="Hyperlink"/>
          </w:rPr>
          <w:t>7 CFR 205.236(d)</w:t>
        </w:r>
      </w:hyperlink>
      <w:r w:rsidR="004809D2">
        <w:t xml:space="preserve"> and will be unable to </w:t>
      </w:r>
      <w:r w:rsidR="00301453">
        <w:t>grant variances to small businesses as they are requested.</w:t>
      </w:r>
    </w:p>
    <w:p w:rsidR="00301453" w:rsidP="00B5119F" w14:paraId="6BD67B0E" w14:textId="77777777">
      <w:pPr>
        <w:pStyle w:val="EndnoteText"/>
        <w:tabs>
          <w:tab w:val="left" w:pos="-720"/>
        </w:tabs>
        <w:suppressAutoHyphens/>
      </w:pPr>
    </w:p>
    <w:p w:rsidR="00301453" w:rsidP="00B5119F" w14:paraId="5C30B269" w14:textId="1D38C420">
      <w:pPr>
        <w:pStyle w:val="EndnoteText"/>
        <w:tabs>
          <w:tab w:val="left" w:pos="-720"/>
        </w:tabs>
        <w:suppressAutoHyphens/>
      </w:pPr>
      <w:r>
        <w:t xml:space="preserve">There is no mechanism for collecting the information less frequently as </w:t>
      </w:r>
      <w:r w:rsidR="00B9071E">
        <w:t xml:space="preserve">there is no timeline </w:t>
      </w:r>
      <w:r w:rsidR="00D12115">
        <w:t xml:space="preserve">or required respondents. This collection of information is an optional variance request available to </w:t>
      </w:r>
      <w:r w:rsidR="006418D8">
        <w:t xml:space="preserve">small businesses that are certified organic for </w:t>
      </w:r>
      <w:r w:rsidR="0018768F">
        <w:t xml:space="preserve">dairy </w:t>
      </w:r>
      <w:r w:rsidR="006418D8">
        <w:t>production.</w:t>
      </w:r>
    </w:p>
    <w:p w:rsidR="00265E70" w:rsidP="00B5119F" w14:paraId="40A4436D" w14:textId="77777777">
      <w:pPr>
        <w:pStyle w:val="EndnoteText"/>
        <w:tabs>
          <w:tab w:val="left" w:pos="-720"/>
        </w:tabs>
        <w:suppressAutoHyphens/>
      </w:pPr>
    </w:p>
    <w:p w:rsidR="00B94233" w:rsidP="00B5119F" w14:paraId="779D71FE" w14:textId="75CF7657">
      <w:pPr>
        <w:pStyle w:val="Heading2"/>
      </w:pPr>
      <w:r>
        <w:t>7.</w:t>
      </w:r>
      <w:r>
        <w:tab/>
      </w:r>
      <w:r w:rsidRPr="0067027E">
        <w:rPr>
          <w:szCs w:val="24"/>
        </w:rPr>
        <w:t>E</w:t>
      </w:r>
      <w:r w:rsidR="00775DEF">
        <w:rPr>
          <w:szCs w:val="24"/>
        </w:rPr>
        <w:t>xplain any special circumstances that would cause an information collection to be conducted in a manner</w:t>
      </w:r>
      <w:r>
        <w:t>:</w:t>
      </w:r>
    </w:p>
    <w:p w:rsidR="00B94233" w:rsidP="0093039A" w14:paraId="6E2B1083" w14:textId="77777777">
      <w:pPr>
        <w:pStyle w:val="BodyTextIndent3"/>
        <w:spacing w:line="240" w:lineRule="auto"/>
      </w:pPr>
    </w:p>
    <w:p w:rsidR="001366BC" w:rsidRPr="001366BC" w:rsidP="002C4DD4" w14:paraId="03372FD7" w14:textId="77777777">
      <w:pPr>
        <w:pStyle w:val="Heading3"/>
        <w:rPr>
          <w:bCs/>
          <w:szCs w:val="24"/>
        </w:rPr>
      </w:pPr>
      <w:r w:rsidRPr="00B136B2">
        <w:t>R</w:t>
      </w:r>
      <w:r w:rsidRPr="00B136B2" w:rsidR="009740DA">
        <w:t>equiring</w:t>
      </w:r>
      <w:r w:rsidR="009740DA">
        <w:t xml:space="preserve"> respondents to report information to the agency more often than </w:t>
      </w:r>
      <w:r w:rsidR="009740DA">
        <w:t>quarterly;</w:t>
      </w:r>
    </w:p>
    <w:p w:rsidR="00766B4B" w:rsidRPr="001366BC" w:rsidP="001366BC" w14:paraId="4806EEDF" w14:textId="5F516078">
      <w:pPr>
        <w:pStyle w:val="EndnoteText"/>
        <w:tabs>
          <w:tab w:val="left" w:pos="-720"/>
        </w:tabs>
        <w:suppressAutoHyphens/>
        <w:rPr>
          <w:bCs/>
          <w:szCs w:val="24"/>
        </w:rPr>
      </w:pPr>
      <w:r w:rsidRPr="001366BC">
        <w:rPr>
          <w:bCs/>
          <w:szCs w:val="24"/>
        </w:rPr>
        <w:t>No r</w:t>
      </w:r>
      <w:r w:rsidRPr="001366BC" w:rsidR="007A1AE6">
        <w:rPr>
          <w:bCs/>
          <w:szCs w:val="24"/>
        </w:rPr>
        <w:t xml:space="preserve">espondents </w:t>
      </w:r>
      <w:r w:rsidRPr="001366BC" w:rsidR="00D655C1">
        <w:rPr>
          <w:bCs/>
          <w:szCs w:val="24"/>
        </w:rPr>
        <w:t xml:space="preserve">associated with this information collection </w:t>
      </w:r>
      <w:r w:rsidRPr="001366BC" w:rsidR="007A1AE6">
        <w:rPr>
          <w:bCs/>
          <w:szCs w:val="24"/>
        </w:rPr>
        <w:t>are required to report more than quarterly.</w:t>
      </w:r>
      <w:r w:rsidRPr="001366BC">
        <w:rPr>
          <w:bCs/>
          <w:szCs w:val="24"/>
        </w:rPr>
        <w:t xml:space="preserve"> Requesting a variance, and thus submitting a response, is voluntary.</w:t>
      </w:r>
    </w:p>
    <w:p w:rsidR="007A1AE6" w:rsidRPr="007A1AE6" w:rsidP="0016442C" w14:paraId="40D0F4C2" w14:textId="77777777">
      <w:pPr>
        <w:pStyle w:val="EndnoteText"/>
        <w:tabs>
          <w:tab w:val="left" w:pos="-720"/>
        </w:tabs>
        <w:suppressAutoHyphens/>
        <w:rPr>
          <w:szCs w:val="24"/>
        </w:rPr>
      </w:pPr>
    </w:p>
    <w:p w:rsidR="001366BC" w:rsidRPr="001366BC" w:rsidP="002C4DD4" w14:paraId="1F69F158" w14:textId="34898C4C">
      <w:pPr>
        <w:pStyle w:val="Heading3"/>
        <w:rPr>
          <w:szCs w:val="24"/>
        </w:rPr>
      </w:pPr>
      <w:r>
        <w:t>R</w:t>
      </w:r>
      <w:r w:rsidR="009740DA">
        <w:t xml:space="preserve">equiring respondents to prepare a written response to a collection of information in fewer than 30 days after receipt of </w:t>
      </w:r>
      <w:r w:rsidR="009740DA">
        <w:t>it;</w:t>
      </w:r>
    </w:p>
    <w:p w:rsidR="007A1AE6" w:rsidRPr="00F450B4" w:rsidP="001366BC" w14:paraId="7D8A25EE" w14:textId="52EAF9E7">
      <w:pPr>
        <w:pStyle w:val="EndnoteText"/>
        <w:tabs>
          <w:tab w:val="left" w:pos="-720"/>
        </w:tabs>
        <w:suppressAutoHyphens/>
        <w:rPr>
          <w:szCs w:val="24"/>
        </w:rPr>
      </w:pPr>
      <w:r w:rsidRPr="001366BC">
        <w:rPr>
          <w:szCs w:val="24"/>
        </w:rPr>
        <w:t>No r</w:t>
      </w:r>
      <w:r w:rsidRPr="001366BC">
        <w:rPr>
          <w:szCs w:val="24"/>
        </w:rPr>
        <w:t xml:space="preserve">espondents </w:t>
      </w:r>
      <w:r w:rsidRPr="001366BC" w:rsidR="00D655C1">
        <w:rPr>
          <w:szCs w:val="24"/>
        </w:rPr>
        <w:t xml:space="preserve">associated with this information collection </w:t>
      </w:r>
      <w:r w:rsidRPr="001366BC">
        <w:rPr>
          <w:szCs w:val="24"/>
        </w:rPr>
        <w:t xml:space="preserve">are required to </w:t>
      </w:r>
      <w:r w:rsidRPr="001366BC">
        <w:rPr>
          <w:szCs w:val="24"/>
        </w:rPr>
        <w:t xml:space="preserve">respond in </w:t>
      </w:r>
      <w:r w:rsidRPr="001366BC">
        <w:rPr>
          <w:szCs w:val="24"/>
        </w:rPr>
        <w:t>fewer than 30 days.</w:t>
      </w:r>
      <w:r w:rsidRPr="001366BC" w:rsidR="009173EE">
        <w:rPr>
          <w:szCs w:val="24"/>
        </w:rPr>
        <w:t xml:space="preserve"> Requesting a variance, and thus submitting a response, is voluntary.</w:t>
      </w:r>
    </w:p>
    <w:p w:rsidR="00CB7B2C" w:rsidRPr="007A1AE6" w:rsidP="00CB7B2C" w14:paraId="21D250ED" w14:textId="77777777">
      <w:pPr>
        <w:pStyle w:val="BodyText"/>
        <w:rPr>
          <w:bCs/>
          <w:sz w:val="24"/>
          <w:szCs w:val="24"/>
        </w:rPr>
      </w:pPr>
    </w:p>
    <w:p w:rsidR="001366BC" w:rsidRPr="001366BC" w:rsidP="002C4DD4" w14:paraId="7587DFCA" w14:textId="630390C7">
      <w:pPr>
        <w:pStyle w:val="Heading3"/>
        <w:rPr>
          <w:bCs/>
          <w:szCs w:val="24"/>
        </w:rPr>
      </w:pPr>
      <w:r>
        <w:t>R</w:t>
      </w:r>
      <w:r w:rsidR="00186E2D">
        <w:t xml:space="preserve">equiring respondents to submit more than an original and two copies of any </w:t>
      </w:r>
      <w:r w:rsidR="00186E2D">
        <w:t>document</w:t>
      </w:r>
      <w:r>
        <w:t>;</w:t>
      </w:r>
    </w:p>
    <w:p w:rsidR="00B94233" w:rsidRPr="001366BC" w:rsidP="001366BC" w14:paraId="1221686F" w14:textId="3A3BFCF6">
      <w:pPr>
        <w:pStyle w:val="EndnoteText"/>
        <w:tabs>
          <w:tab w:val="left" w:pos="-720"/>
        </w:tabs>
        <w:suppressAutoHyphens/>
        <w:rPr>
          <w:szCs w:val="24"/>
        </w:rPr>
      </w:pPr>
      <w:r w:rsidRPr="002C4DD4">
        <w:rPr>
          <w:bCs/>
        </w:rPr>
        <w:t xml:space="preserve">No </w:t>
      </w:r>
      <w:r w:rsidRPr="001366BC">
        <w:rPr>
          <w:szCs w:val="24"/>
        </w:rPr>
        <w:t>r</w:t>
      </w:r>
      <w:r w:rsidRPr="001366BC" w:rsidR="007A1AE6">
        <w:rPr>
          <w:szCs w:val="24"/>
        </w:rPr>
        <w:t xml:space="preserve">espondents </w:t>
      </w:r>
      <w:r w:rsidRPr="001366BC" w:rsidR="00D655C1">
        <w:rPr>
          <w:szCs w:val="24"/>
        </w:rPr>
        <w:t xml:space="preserve">associated with this information collection </w:t>
      </w:r>
      <w:r w:rsidRPr="001366BC" w:rsidR="007A1AE6">
        <w:rPr>
          <w:szCs w:val="24"/>
        </w:rPr>
        <w:t>are required to submit more than an original and two copies of any document.</w:t>
      </w:r>
      <w:r w:rsidR="00DC6527">
        <w:rPr>
          <w:szCs w:val="24"/>
        </w:rPr>
        <w:t xml:space="preserve"> Document types are described above in </w:t>
      </w:r>
      <w:r w:rsidR="00EF7A0F">
        <w:rPr>
          <w:szCs w:val="24"/>
        </w:rPr>
        <w:t>I</w:t>
      </w:r>
      <w:r w:rsidR="00DC6527">
        <w:rPr>
          <w:szCs w:val="24"/>
        </w:rPr>
        <w:t>tem 2.</w:t>
      </w:r>
    </w:p>
    <w:p w:rsidR="007A1AE6" w:rsidRPr="007A1AE6" w:rsidP="0093039A" w14:paraId="26B0387A" w14:textId="77777777">
      <w:pPr>
        <w:pStyle w:val="BodyTextIndent"/>
        <w:tabs>
          <w:tab w:val="left" w:pos="0"/>
        </w:tabs>
        <w:rPr>
          <w:b/>
          <w:sz w:val="24"/>
          <w:szCs w:val="24"/>
        </w:rPr>
      </w:pPr>
    </w:p>
    <w:p w:rsidR="00C548FD" w:rsidRPr="001366BC" w:rsidP="002C4DD4" w14:paraId="54FDE430" w14:textId="0F9A5A15">
      <w:pPr>
        <w:pStyle w:val="Heading3"/>
        <w:rPr>
          <w:bCs/>
        </w:rPr>
      </w:pPr>
      <w:r>
        <w:t xml:space="preserve">Requiring respondents to retain records, other than health, medical, government contract, grant-in-aid, or tax records for more than three </w:t>
      </w:r>
      <w:r>
        <w:t>years</w:t>
      </w:r>
      <w:r w:rsidR="00B94233">
        <w:t>;</w:t>
      </w:r>
    </w:p>
    <w:p w:rsidR="00C548FD" w:rsidP="00C548FD" w14:paraId="35C38228" w14:textId="6F7B1D6F">
      <w:pPr>
        <w:pStyle w:val="EndnoteText"/>
        <w:tabs>
          <w:tab w:val="left" w:pos="-720"/>
        </w:tabs>
        <w:suppressAutoHyphens/>
        <w:rPr>
          <w:bCs/>
          <w:szCs w:val="24"/>
        </w:rPr>
      </w:pPr>
      <w:r w:rsidRPr="00C548FD">
        <w:rPr>
          <w:szCs w:val="24"/>
        </w:rPr>
        <w:t xml:space="preserve">Respondents associated with this information collection are required to retain records for more than three years. However, </w:t>
      </w:r>
      <w:r w:rsidRPr="00C548FD" w:rsidR="004461BC">
        <w:rPr>
          <w:szCs w:val="24"/>
        </w:rPr>
        <w:t>this is not a new requirement associated with this information collection</w:t>
      </w:r>
      <w:r w:rsidRPr="00C548FD" w:rsidR="00692AE1">
        <w:rPr>
          <w:szCs w:val="24"/>
        </w:rPr>
        <w:t>. R</w:t>
      </w:r>
      <w:r w:rsidRPr="00C548FD" w:rsidR="00FF43F4">
        <w:rPr>
          <w:szCs w:val="24"/>
        </w:rPr>
        <w:t xml:space="preserve">espondents </w:t>
      </w:r>
      <w:r w:rsidRPr="00C548FD" w:rsidR="00D655C1">
        <w:rPr>
          <w:szCs w:val="24"/>
        </w:rPr>
        <w:t xml:space="preserve">associated with this information collection </w:t>
      </w:r>
      <w:r w:rsidRPr="00C548FD" w:rsidR="00FF43F4">
        <w:rPr>
          <w:szCs w:val="24"/>
        </w:rPr>
        <w:t xml:space="preserve">are </w:t>
      </w:r>
      <w:r w:rsidRPr="00C548FD" w:rsidR="00692AE1">
        <w:rPr>
          <w:szCs w:val="24"/>
        </w:rPr>
        <w:t xml:space="preserve">subject to record retentions </w:t>
      </w:r>
      <w:r w:rsidRPr="00C548FD" w:rsidR="00460841">
        <w:rPr>
          <w:szCs w:val="24"/>
        </w:rPr>
        <w:t xml:space="preserve">mandated by the OFPA </w:t>
      </w:r>
      <w:r w:rsidRPr="00C548FD" w:rsidR="0037789F">
        <w:rPr>
          <w:szCs w:val="24"/>
        </w:rPr>
        <w:t>[</w:t>
      </w:r>
      <w:hyperlink r:id="rId11" w:history="1">
        <w:r w:rsidRPr="00116A75" w:rsidR="00460841">
          <w:rPr>
            <w:rStyle w:val="Hyperlink"/>
            <w:szCs w:val="24"/>
          </w:rPr>
          <w:t>7 U.S.C. 651</w:t>
        </w:r>
        <w:r w:rsidRPr="00116A75" w:rsidR="006F5E4A">
          <w:rPr>
            <w:rStyle w:val="Hyperlink"/>
            <w:szCs w:val="24"/>
          </w:rPr>
          <w:t>9</w:t>
        </w:r>
        <w:r w:rsidRPr="00116A75" w:rsidR="0037789F">
          <w:rPr>
            <w:rStyle w:val="Hyperlink"/>
            <w:szCs w:val="24"/>
          </w:rPr>
          <w:t>(a)</w:t>
        </w:r>
      </w:hyperlink>
      <w:r w:rsidRPr="00C548FD" w:rsidR="0037789F">
        <w:rPr>
          <w:szCs w:val="24"/>
        </w:rPr>
        <w:t>]</w:t>
      </w:r>
      <w:r w:rsidR="00E3774B">
        <w:rPr>
          <w:szCs w:val="24"/>
        </w:rPr>
        <w:t xml:space="preserve"> and the USDA organic regulations</w:t>
      </w:r>
      <w:r w:rsidR="001F705D">
        <w:rPr>
          <w:szCs w:val="24"/>
        </w:rPr>
        <w:t xml:space="preserve"> (</w:t>
      </w:r>
      <w:r w:rsidR="009C1DED">
        <w:rPr>
          <w:szCs w:val="24"/>
        </w:rPr>
        <w:t>7 CFR 205.103 and 205.</w:t>
      </w:r>
      <w:r w:rsidR="00C63AD3">
        <w:rPr>
          <w:szCs w:val="24"/>
        </w:rPr>
        <w:t>510)</w:t>
      </w:r>
      <w:r w:rsidRPr="00C548FD" w:rsidR="006263A7">
        <w:rPr>
          <w:szCs w:val="24"/>
        </w:rPr>
        <w:t xml:space="preserve">. These record retentions </w:t>
      </w:r>
      <w:r w:rsidRPr="00C548FD" w:rsidR="008A0C4A">
        <w:rPr>
          <w:szCs w:val="24"/>
        </w:rPr>
        <w:t>are covered in the currently approved information collection package for the NOP (OMB</w:t>
      </w:r>
      <w:r w:rsidRPr="00C548FD" w:rsidR="008A0C4A">
        <w:rPr>
          <w:bCs/>
          <w:szCs w:val="24"/>
        </w:rPr>
        <w:t xml:space="preserve"> #0581-0191)</w:t>
      </w:r>
      <w:r w:rsidRPr="00C548FD" w:rsidR="00654DAB">
        <w:rPr>
          <w:bCs/>
          <w:szCs w:val="24"/>
        </w:rPr>
        <w:t xml:space="preserve">. These existing record retentions </w:t>
      </w:r>
      <w:r w:rsidRPr="00C548FD" w:rsidR="008A0C4A">
        <w:rPr>
          <w:bCs/>
          <w:szCs w:val="24"/>
        </w:rPr>
        <w:t>include the following:</w:t>
      </w:r>
    </w:p>
    <w:p w:rsidR="001366BC" w:rsidP="00C548FD" w14:paraId="663B0B32" w14:textId="4BC8A439">
      <w:pPr>
        <w:pStyle w:val="EndnoteText"/>
        <w:numPr>
          <w:ilvl w:val="0"/>
          <w:numId w:val="3"/>
        </w:numPr>
        <w:tabs>
          <w:tab w:val="left" w:pos="-720"/>
        </w:tabs>
        <w:suppressAutoHyphens/>
        <w:rPr>
          <w:bCs/>
          <w:szCs w:val="24"/>
        </w:rPr>
      </w:pPr>
      <w:r w:rsidRPr="00C548FD">
        <w:rPr>
          <w:bCs/>
        </w:rPr>
        <w:t xml:space="preserve">Certified organic livestock operations must </w:t>
      </w:r>
      <w:r w:rsidRPr="00C548FD" w:rsidR="00B94233">
        <w:rPr>
          <w:bCs/>
        </w:rPr>
        <w:t>maintain</w:t>
      </w:r>
      <w:r w:rsidRPr="00C548FD" w:rsidR="00F237A6">
        <w:rPr>
          <w:bCs/>
        </w:rPr>
        <w:t xml:space="preserve">, for </w:t>
      </w:r>
      <w:r w:rsidRPr="00C548FD" w:rsidR="00BB2A94">
        <w:rPr>
          <w:bCs/>
        </w:rPr>
        <w:t xml:space="preserve">no </w:t>
      </w:r>
      <w:r w:rsidRPr="00C548FD" w:rsidR="00F237A6">
        <w:rPr>
          <w:bCs/>
        </w:rPr>
        <w:t>less than 5 years,</w:t>
      </w:r>
      <w:r w:rsidRPr="00C548FD" w:rsidR="00B94233">
        <w:rPr>
          <w:bCs/>
        </w:rPr>
        <w:t xml:space="preserve"> records concerning the production </w:t>
      </w:r>
      <w:r w:rsidRPr="00C548FD" w:rsidR="00926EAE">
        <w:rPr>
          <w:bCs/>
        </w:rPr>
        <w:t xml:space="preserve">or </w:t>
      </w:r>
      <w:r w:rsidRPr="00C548FD" w:rsidR="00B94233">
        <w:rPr>
          <w:bCs/>
        </w:rPr>
        <w:t xml:space="preserve">handling of </w:t>
      </w:r>
      <w:r w:rsidRPr="00C548FD" w:rsidR="00BB2A94">
        <w:rPr>
          <w:bCs/>
        </w:rPr>
        <w:t xml:space="preserve">certified organic </w:t>
      </w:r>
      <w:r w:rsidRPr="00C548FD" w:rsidR="00B94233">
        <w:rPr>
          <w:bCs/>
        </w:rPr>
        <w:t>agricultural product</w:t>
      </w:r>
      <w:r w:rsidRPr="00C548FD" w:rsidR="00BB2A94">
        <w:rPr>
          <w:bCs/>
        </w:rPr>
        <w:t>s</w:t>
      </w:r>
      <w:r w:rsidR="004F0A4C">
        <w:rPr>
          <w:bCs/>
        </w:rPr>
        <w:t xml:space="preserve"> </w:t>
      </w:r>
      <w:r w:rsidR="00D05593">
        <w:rPr>
          <w:bCs/>
        </w:rPr>
        <w:t>[</w:t>
      </w:r>
      <w:hyperlink r:id="rId15" w:anchor="p-205.103(b)(4)" w:history="1">
        <w:r w:rsidRPr="00E53AE1" w:rsidR="004F0A4C">
          <w:rPr>
            <w:rStyle w:val="Hyperlink"/>
            <w:bCs/>
          </w:rPr>
          <w:t>7</w:t>
        </w:r>
        <w:r w:rsidRPr="00E53AE1" w:rsidR="00D05593">
          <w:rPr>
            <w:rStyle w:val="Hyperlink"/>
            <w:bCs/>
          </w:rPr>
          <w:t> </w:t>
        </w:r>
        <w:r w:rsidRPr="00E53AE1" w:rsidR="004F0A4C">
          <w:rPr>
            <w:rStyle w:val="Hyperlink"/>
            <w:bCs/>
          </w:rPr>
          <w:t>CFR</w:t>
        </w:r>
        <w:r w:rsidRPr="00E53AE1" w:rsidR="00D05593">
          <w:rPr>
            <w:rStyle w:val="Hyperlink"/>
            <w:bCs/>
          </w:rPr>
          <w:t> </w:t>
        </w:r>
        <w:r w:rsidRPr="00E53AE1" w:rsidR="004F0A4C">
          <w:rPr>
            <w:rStyle w:val="Hyperlink"/>
            <w:bCs/>
          </w:rPr>
          <w:t>205.103(b)(4)</w:t>
        </w:r>
      </w:hyperlink>
      <w:r w:rsidR="00D05593">
        <w:rPr>
          <w:bCs/>
        </w:rPr>
        <w:t>]</w:t>
      </w:r>
      <w:r w:rsidRPr="00C548FD" w:rsidR="00844222">
        <w:rPr>
          <w:bCs/>
        </w:rPr>
        <w:t>.</w:t>
      </w:r>
    </w:p>
    <w:p w:rsidR="007A1AE6" w:rsidRPr="001366BC" w:rsidP="00C548FD" w14:paraId="70FC80C9" w14:textId="00F2D8CC">
      <w:pPr>
        <w:pStyle w:val="EndnoteText"/>
        <w:numPr>
          <w:ilvl w:val="0"/>
          <w:numId w:val="3"/>
        </w:numPr>
        <w:tabs>
          <w:tab w:val="left" w:pos="-720"/>
        </w:tabs>
        <w:suppressAutoHyphens/>
        <w:rPr>
          <w:bCs/>
          <w:szCs w:val="24"/>
        </w:rPr>
      </w:pPr>
      <w:r w:rsidRPr="00C548FD">
        <w:t>C</w:t>
      </w:r>
      <w:r w:rsidRPr="00C548FD" w:rsidR="00B94233">
        <w:t>ertifying agent</w:t>
      </w:r>
      <w:r w:rsidRPr="00C548FD" w:rsidR="007E7A0B">
        <w:t>s</w:t>
      </w:r>
      <w:r w:rsidRPr="00C548FD" w:rsidR="00B94233">
        <w:t xml:space="preserve"> </w:t>
      </w:r>
      <w:r w:rsidRPr="00C548FD">
        <w:t xml:space="preserve">must </w:t>
      </w:r>
      <w:r w:rsidRPr="00C548FD" w:rsidR="00B94233">
        <w:t>maintain</w:t>
      </w:r>
      <w:r w:rsidRPr="00C548FD" w:rsidR="004609DA">
        <w:t xml:space="preserve">, </w:t>
      </w:r>
      <w:r w:rsidR="0045691D">
        <w:t>f</w:t>
      </w:r>
      <w:r w:rsidRPr="00C548FD" w:rsidR="004609DA">
        <w:t>or no less than 10 years,</w:t>
      </w:r>
      <w:r w:rsidRPr="00C548FD" w:rsidR="00B94233">
        <w:t xml:space="preserve"> records </w:t>
      </w:r>
      <w:r w:rsidRPr="00C548FD" w:rsidR="00FA09FA">
        <w:t>concerning the activities of the certifying agent</w:t>
      </w:r>
      <w:r w:rsidR="000C2597">
        <w:t xml:space="preserve"> [</w:t>
      </w:r>
      <w:hyperlink r:id="rId20" w:anchor="p-205.510(b)" w:history="1">
        <w:r w:rsidRPr="009C1DED" w:rsidR="00D970D2">
          <w:rPr>
            <w:rStyle w:val="Hyperlink"/>
          </w:rPr>
          <w:t>7</w:t>
        </w:r>
        <w:r w:rsidRPr="009C1DED" w:rsidR="009C1DED">
          <w:rPr>
            <w:rStyle w:val="Hyperlink"/>
          </w:rPr>
          <w:t> </w:t>
        </w:r>
        <w:r w:rsidRPr="009C1DED" w:rsidR="00D970D2">
          <w:rPr>
            <w:rStyle w:val="Hyperlink"/>
          </w:rPr>
          <w:t>CFR</w:t>
        </w:r>
        <w:r w:rsidRPr="009C1DED" w:rsidR="009C1DED">
          <w:rPr>
            <w:rStyle w:val="Hyperlink"/>
          </w:rPr>
          <w:t> </w:t>
        </w:r>
        <w:r w:rsidRPr="009C1DED" w:rsidR="00D970D2">
          <w:rPr>
            <w:rStyle w:val="Hyperlink"/>
          </w:rPr>
          <w:t>205.510(b)</w:t>
        </w:r>
      </w:hyperlink>
      <w:r w:rsidR="000C2597">
        <w:t>]</w:t>
      </w:r>
      <w:r w:rsidRPr="00C548FD">
        <w:t>.</w:t>
      </w:r>
    </w:p>
    <w:p w:rsidR="0092288C" w:rsidRPr="00C548FD" w:rsidP="0016442C" w14:paraId="0B9B9820" w14:textId="0E46BB58">
      <w:pPr>
        <w:pStyle w:val="EndnoteText"/>
        <w:tabs>
          <w:tab w:val="left" w:pos="-720"/>
        </w:tabs>
        <w:suppressAutoHyphens/>
        <w:rPr>
          <w:szCs w:val="24"/>
        </w:rPr>
      </w:pPr>
    </w:p>
    <w:p w:rsidR="00B94233" w:rsidP="002C4DD4" w14:paraId="6FB36614" w14:textId="6F1501B0">
      <w:pPr>
        <w:pStyle w:val="Heading3"/>
      </w:pPr>
      <w:r>
        <w:t>I</w:t>
      </w:r>
      <w:r w:rsidR="00EE641C">
        <w:t xml:space="preserve">n connection with a statistical survey, that is not designed to produce valid and reliable results that </w:t>
      </w:r>
      <w:r w:rsidR="008E56C6">
        <w:t xml:space="preserve">can be generalized to the universe of </w:t>
      </w:r>
      <w:r w:rsidR="008E56C6">
        <w:t>study</w:t>
      </w:r>
      <w:r>
        <w:t>;</w:t>
      </w:r>
    </w:p>
    <w:p w:rsidR="007A1AE6" w:rsidP="002C4DD4" w14:paraId="0EE9123E" w14:textId="2E34DADF">
      <w:pPr>
        <w:pStyle w:val="EndnoteText"/>
        <w:tabs>
          <w:tab w:val="left" w:pos="-720"/>
        </w:tabs>
        <w:suppressAutoHyphens/>
        <w:rPr>
          <w:bCs/>
          <w:szCs w:val="24"/>
        </w:rPr>
      </w:pPr>
      <w:r w:rsidRPr="002C4DD4">
        <w:rPr>
          <w:bCs/>
        </w:rPr>
        <w:t xml:space="preserve">Respondent information collected is not connected to </w:t>
      </w:r>
      <w:r w:rsidRPr="007A1AE6">
        <w:rPr>
          <w:bCs/>
          <w:szCs w:val="24"/>
        </w:rPr>
        <w:t>a statistical survey.</w:t>
      </w:r>
    </w:p>
    <w:p w:rsidR="00AF381A" w:rsidP="0016442C" w14:paraId="303DAFE8" w14:textId="77777777">
      <w:pPr>
        <w:pStyle w:val="EndnoteText"/>
        <w:tabs>
          <w:tab w:val="left" w:pos="-720"/>
        </w:tabs>
        <w:suppressAutoHyphens/>
        <w:rPr>
          <w:bCs/>
          <w:szCs w:val="24"/>
        </w:rPr>
      </w:pPr>
    </w:p>
    <w:p w:rsidR="00B94233" w:rsidRPr="007A1AE6" w:rsidP="002C4DD4" w14:paraId="6B54D62D" w14:textId="67A7FF5E">
      <w:pPr>
        <w:pStyle w:val="Heading3"/>
      </w:pPr>
      <w:r w:rsidRPr="00F450B4">
        <w:t>Requiring</w:t>
      </w:r>
      <w:r>
        <w:t xml:space="preserve"> the use of a statistical data classification that has not be reviewed and approved by </w:t>
      </w:r>
      <w:r w:rsidRPr="007A1AE6">
        <w:t>OMB;</w:t>
      </w:r>
    </w:p>
    <w:p w:rsidR="007A1AE6" w:rsidP="002C4DD4" w14:paraId="719D5912" w14:textId="014BBCB6">
      <w:pPr>
        <w:pStyle w:val="EndnoteText"/>
        <w:tabs>
          <w:tab w:val="left" w:pos="-720"/>
        </w:tabs>
        <w:suppressAutoHyphens/>
        <w:rPr>
          <w:bCs/>
          <w:szCs w:val="24"/>
        </w:rPr>
      </w:pPr>
      <w:r>
        <w:rPr>
          <w:szCs w:val="24"/>
        </w:rPr>
        <w:t xml:space="preserve">Respondents are not required to use statistical data classifications </w:t>
      </w:r>
      <w:r w:rsidR="003B112A">
        <w:rPr>
          <w:bCs/>
          <w:szCs w:val="24"/>
        </w:rPr>
        <w:t>that has not been reviewed and approved by OMB</w:t>
      </w:r>
      <w:r w:rsidRPr="007A1AE6">
        <w:rPr>
          <w:bCs/>
          <w:szCs w:val="24"/>
        </w:rPr>
        <w:t>.</w:t>
      </w:r>
    </w:p>
    <w:p w:rsidR="002C4F01" w:rsidRPr="00325B03" w:rsidP="0016442C" w14:paraId="05B2DC79" w14:textId="77777777">
      <w:pPr>
        <w:pStyle w:val="EndnoteText"/>
        <w:tabs>
          <w:tab w:val="left" w:pos="-720"/>
        </w:tabs>
        <w:suppressAutoHyphens/>
        <w:rPr>
          <w:szCs w:val="24"/>
        </w:rPr>
      </w:pPr>
    </w:p>
    <w:p w:rsidR="00B94233" w:rsidP="002C4DD4" w14:paraId="0B6BEBA2" w14:textId="74DFA83A">
      <w:pPr>
        <w:pStyle w:val="Heading3"/>
      </w:pPr>
      <w:r w:rsidRPr="00B17069">
        <w:t>T</w:t>
      </w:r>
      <w:r w:rsidR="00B17069">
        <w: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3242B" w:rsidP="00204942" w14:paraId="2EF33F7F" w14:textId="47C825EF">
      <w:pPr>
        <w:pStyle w:val="EndnoteText"/>
        <w:tabs>
          <w:tab w:val="left" w:pos="-720"/>
        </w:tabs>
        <w:suppressAutoHyphens/>
        <w:rPr>
          <w:szCs w:val="24"/>
        </w:rPr>
      </w:pPr>
      <w:r w:rsidRPr="007A1AE6">
        <w:rPr>
          <w:bCs/>
          <w:szCs w:val="24"/>
        </w:rPr>
        <w:t>No</w:t>
      </w:r>
      <w:r w:rsidR="003325C8">
        <w:rPr>
          <w:bCs/>
          <w:szCs w:val="24"/>
        </w:rPr>
        <w:t xml:space="preserve"> unsupported pledge of</w:t>
      </w:r>
      <w:r w:rsidRPr="007A1AE6">
        <w:rPr>
          <w:bCs/>
          <w:szCs w:val="24"/>
        </w:rPr>
        <w:t xml:space="preserve"> confidential</w:t>
      </w:r>
      <w:r w:rsidR="003325C8">
        <w:rPr>
          <w:bCs/>
          <w:szCs w:val="24"/>
        </w:rPr>
        <w:t>ity</w:t>
      </w:r>
      <w:r w:rsidRPr="007A1AE6">
        <w:rPr>
          <w:bCs/>
          <w:szCs w:val="24"/>
        </w:rPr>
        <w:t xml:space="preserve"> is </w:t>
      </w:r>
      <w:r w:rsidR="003325C8">
        <w:rPr>
          <w:bCs/>
          <w:szCs w:val="24"/>
        </w:rPr>
        <w:t xml:space="preserve">used in this </w:t>
      </w:r>
      <w:r w:rsidR="00B54A2F">
        <w:rPr>
          <w:bCs/>
          <w:szCs w:val="24"/>
        </w:rPr>
        <w:t xml:space="preserve">information </w:t>
      </w:r>
      <w:r w:rsidRPr="007A1AE6">
        <w:rPr>
          <w:bCs/>
          <w:szCs w:val="24"/>
        </w:rPr>
        <w:t>collect</w:t>
      </w:r>
      <w:r w:rsidR="003325C8">
        <w:rPr>
          <w:bCs/>
          <w:szCs w:val="24"/>
        </w:rPr>
        <w:t>ion</w:t>
      </w:r>
      <w:r w:rsidRPr="007A1AE6">
        <w:rPr>
          <w:bCs/>
          <w:szCs w:val="24"/>
        </w:rPr>
        <w:t>.</w:t>
      </w:r>
      <w:r w:rsidR="00B54A2F">
        <w:rPr>
          <w:bCs/>
          <w:szCs w:val="24"/>
        </w:rPr>
        <w:t xml:space="preserve"> </w:t>
      </w:r>
      <w:r w:rsidR="009E1CBA">
        <w:rPr>
          <w:bCs/>
          <w:szCs w:val="24"/>
        </w:rPr>
        <w:t>C</w:t>
      </w:r>
      <w:r w:rsidR="005E63E6">
        <w:rPr>
          <w:bCs/>
          <w:szCs w:val="24"/>
        </w:rPr>
        <w:t>onfidential</w:t>
      </w:r>
      <w:r w:rsidR="009E1CBA">
        <w:rPr>
          <w:bCs/>
          <w:szCs w:val="24"/>
        </w:rPr>
        <w:t xml:space="preserve">ity </w:t>
      </w:r>
      <w:r w:rsidR="00D37C67">
        <w:rPr>
          <w:bCs/>
          <w:szCs w:val="24"/>
        </w:rPr>
        <w:t xml:space="preserve">is addressed in the </w:t>
      </w:r>
      <w:r w:rsidRPr="00C548FD" w:rsidR="00D37C67">
        <w:rPr>
          <w:szCs w:val="24"/>
        </w:rPr>
        <w:t>OFPA [</w:t>
      </w:r>
      <w:hyperlink r:id="rId11" w:history="1">
        <w:r w:rsidRPr="00116A75" w:rsidR="00D37C67">
          <w:rPr>
            <w:rStyle w:val="Hyperlink"/>
            <w:szCs w:val="24"/>
          </w:rPr>
          <w:t>7 U.S.C. 6519(a</w:t>
        </w:r>
        <w:r w:rsidR="00D37C67">
          <w:rPr>
            <w:rStyle w:val="Hyperlink"/>
            <w:szCs w:val="24"/>
          </w:rPr>
          <w:t>)(5</w:t>
        </w:r>
        <w:r w:rsidRPr="00116A75" w:rsidR="00D37C67">
          <w:rPr>
            <w:rStyle w:val="Hyperlink"/>
            <w:szCs w:val="24"/>
          </w:rPr>
          <w:t>)</w:t>
        </w:r>
      </w:hyperlink>
      <w:r w:rsidRPr="00C548FD" w:rsidR="00D37C67">
        <w:rPr>
          <w:szCs w:val="24"/>
        </w:rPr>
        <w:t>]</w:t>
      </w:r>
      <w:r w:rsidR="00D37C67">
        <w:rPr>
          <w:szCs w:val="24"/>
        </w:rPr>
        <w:t xml:space="preserve">, </w:t>
      </w:r>
      <w:r>
        <w:rPr>
          <w:szCs w:val="24"/>
        </w:rPr>
        <w:t xml:space="preserve">which </w:t>
      </w:r>
      <w:r w:rsidRPr="00B3242B">
        <w:t>states</w:t>
      </w:r>
      <w:r>
        <w:rPr>
          <w:szCs w:val="24"/>
        </w:rPr>
        <w:t>:</w:t>
      </w:r>
    </w:p>
    <w:p w:rsidR="005A6CC2" w:rsidRPr="002C4DD4" w:rsidP="00AC2E3C" w14:paraId="317C4800" w14:textId="09FA71EE">
      <w:pPr>
        <w:pStyle w:val="EndnoteText"/>
        <w:tabs>
          <w:tab w:val="left" w:pos="-720"/>
        </w:tabs>
        <w:suppressAutoHyphens/>
        <w:spacing w:before="240" w:after="120"/>
        <w:ind w:left="720"/>
        <w:rPr>
          <w:i/>
          <w:szCs w:val="24"/>
        </w:rPr>
      </w:pPr>
      <w:r w:rsidRPr="002C4DD4">
        <w:rPr>
          <w:i/>
          <w:szCs w:val="24"/>
        </w:rPr>
        <w:t>§6519. Recordkeeping, investigations, and enforcement</w:t>
      </w:r>
    </w:p>
    <w:p w:rsidR="005A6CC2" w:rsidRPr="002C4DD4" w:rsidP="002C4DD4" w14:paraId="3CCF54A7" w14:textId="30B2F566">
      <w:pPr>
        <w:pStyle w:val="EndnoteText"/>
        <w:tabs>
          <w:tab w:val="left" w:pos="-720"/>
        </w:tabs>
        <w:suppressAutoHyphens/>
        <w:ind w:left="720"/>
        <w:rPr>
          <w:i/>
          <w:szCs w:val="24"/>
        </w:rPr>
      </w:pPr>
      <w:r w:rsidRPr="002C4DD4">
        <w:rPr>
          <w:i/>
          <w:szCs w:val="24"/>
        </w:rPr>
        <w:t>(a) Recordkeeping</w:t>
      </w:r>
    </w:p>
    <w:p w:rsidR="00027100" w:rsidP="00B3242B" w14:paraId="75CF7C09" w14:textId="4F5692C2">
      <w:pPr>
        <w:pStyle w:val="EndnoteText"/>
        <w:tabs>
          <w:tab w:val="left" w:pos="-720"/>
        </w:tabs>
        <w:suppressAutoHyphens/>
        <w:spacing w:after="120"/>
        <w:ind w:left="720"/>
        <w:rPr>
          <w:bCs/>
          <w:i/>
          <w:iCs/>
          <w:szCs w:val="24"/>
        </w:rPr>
      </w:pPr>
      <w:r>
        <w:rPr>
          <w:bCs/>
          <w:i/>
          <w:iCs/>
          <w:szCs w:val="24"/>
        </w:rPr>
        <w:t>…</w:t>
      </w:r>
    </w:p>
    <w:p w:rsidR="00027100" w:rsidRPr="002C4DD4" w:rsidP="00B3242B" w14:paraId="5E2B4CFC" w14:textId="4B8F8340">
      <w:pPr>
        <w:pStyle w:val="EndnoteText"/>
        <w:tabs>
          <w:tab w:val="left" w:pos="-720"/>
        </w:tabs>
        <w:suppressAutoHyphens/>
        <w:spacing w:after="120"/>
        <w:ind w:left="720"/>
        <w:rPr>
          <w:i/>
          <w:szCs w:val="24"/>
        </w:rPr>
      </w:pPr>
      <w:r w:rsidRPr="002C4DD4">
        <w:rPr>
          <w:i/>
          <w:szCs w:val="24"/>
        </w:rPr>
        <w:t>(5) Confidentiality</w:t>
      </w:r>
    </w:p>
    <w:p w:rsidR="00B3242B" w:rsidRPr="00143B9F" w:rsidP="00B3242B" w14:paraId="127D7735" w14:textId="0E496A36">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B3242B" w:rsidRPr="00143B9F" w:rsidP="00143B9F" w14:paraId="717D4DAC" w14:textId="6798C715">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B3242B" w:rsidRPr="00143B9F" w:rsidP="00735F5F" w14:paraId="6E34EF20" w14:textId="6F19A2E9">
      <w:pPr>
        <w:pStyle w:val="EndnoteText"/>
        <w:tabs>
          <w:tab w:val="left" w:pos="-720"/>
        </w:tabs>
        <w:suppressAutoHyphens/>
        <w:ind w:left="1440"/>
        <w:rPr>
          <w:bCs/>
          <w:i/>
          <w:iCs/>
          <w:szCs w:val="24"/>
        </w:rPr>
      </w:pPr>
      <w:r w:rsidRPr="00143B9F">
        <w:rPr>
          <w:bCs/>
          <w:i/>
          <w:iCs/>
          <w:szCs w:val="24"/>
        </w:rPr>
        <w:t>(B) proprietary business information.</w:t>
      </w:r>
    </w:p>
    <w:p w:rsidR="00B94233" w:rsidP="003650CB" w14:paraId="5C12295F" w14:textId="77777777">
      <w:pPr>
        <w:pStyle w:val="EndnoteText"/>
        <w:tabs>
          <w:tab w:val="left" w:pos="-720"/>
        </w:tabs>
        <w:suppressAutoHyphens/>
      </w:pPr>
    </w:p>
    <w:p w:rsidR="00DC32BA" w:rsidP="00194B4C" w14:paraId="0AAA0DD5" w14:textId="0CCC962A">
      <w:pPr>
        <w:pStyle w:val="EndnoteText"/>
        <w:tabs>
          <w:tab w:val="left" w:pos="-720"/>
        </w:tabs>
        <w:suppressAutoHyphens/>
      </w:pPr>
      <w:r>
        <w:t xml:space="preserve">Certifying agents must also remain compliant with the USDA organic regulations, </w:t>
      </w:r>
      <w:hyperlink r:id="rId15" w:anchor="p-205.501(a)(10)" w:history="1">
        <w:r w:rsidRPr="00B05D38">
          <w:rPr>
            <w:rStyle w:val="Hyperlink"/>
          </w:rPr>
          <w:t>7 CFR 205.501(a)(10)</w:t>
        </w:r>
      </w:hyperlink>
      <w:r>
        <w:t xml:space="preserve">, which incorporates additional certifying agent confidentiality requirements from OFPA </w:t>
      </w:r>
      <w:hyperlink r:id="rId11" w:history="1">
        <w:r w:rsidRPr="00194B4C">
          <w:rPr>
            <w:rStyle w:val="Hyperlink"/>
          </w:rPr>
          <w:t>7 U.S.C. 6515(f)</w:t>
        </w:r>
      </w:hyperlink>
      <w:r>
        <w:t>. The USDA organic regulations state:</w:t>
      </w:r>
    </w:p>
    <w:p w:rsidR="00401F47" w:rsidRPr="002C4DD4" w:rsidP="00AC2E3C" w14:paraId="00B286D7" w14:textId="4705C8BB">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401F47" w:rsidRPr="002C4DD4" w:rsidP="002C4DD4" w14:paraId="5BEB91CA"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401F47" w:rsidRPr="003C1571" w:rsidP="00401F47" w14:paraId="7744C840" w14:textId="77777777">
      <w:pPr>
        <w:pStyle w:val="EndnoteText"/>
        <w:tabs>
          <w:tab w:val="left" w:pos="-720"/>
        </w:tabs>
        <w:suppressAutoHyphens/>
        <w:spacing w:after="120"/>
        <w:ind w:left="720"/>
        <w:rPr>
          <w:bCs/>
          <w:i/>
          <w:iCs/>
          <w:szCs w:val="24"/>
        </w:rPr>
      </w:pPr>
      <w:r w:rsidRPr="003C1571">
        <w:rPr>
          <w:bCs/>
          <w:i/>
          <w:iCs/>
          <w:szCs w:val="24"/>
        </w:rPr>
        <w:t>…</w:t>
      </w:r>
    </w:p>
    <w:p w:rsidR="00401F47" w:rsidRPr="003C1571" w:rsidP="00401F47" w14:paraId="24C32AB3"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401F47" w:rsidRPr="003C1571" w:rsidP="00401F47" w14:paraId="6E49DAC8" w14:textId="77777777">
      <w:pPr>
        <w:pStyle w:val="EndnoteText"/>
        <w:tabs>
          <w:tab w:val="left" w:pos="-720"/>
        </w:tabs>
        <w:suppressAutoHyphens/>
        <w:spacing w:after="120"/>
        <w:ind w:left="1440"/>
        <w:rPr>
          <w:bCs/>
          <w:i/>
          <w:iCs/>
          <w:szCs w:val="24"/>
        </w:rPr>
      </w:pPr>
      <w:r w:rsidRPr="003C1571">
        <w:rPr>
          <w:bCs/>
          <w:i/>
          <w:iCs/>
          <w:szCs w:val="24"/>
        </w:rPr>
        <w:t>(i) For information that must be made available to any member of the public, as provided for in § 205.504(b)(5</w:t>
      </w:r>
      <w:r w:rsidRPr="003C1571">
        <w:rPr>
          <w:bCs/>
          <w:i/>
          <w:iCs/>
          <w:szCs w:val="24"/>
        </w:rPr>
        <w:t>);</w:t>
      </w:r>
    </w:p>
    <w:p w:rsidR="00401F47" w:rsidRPr="003C1571" w:rsidP="00401F47" w14:paraId="225B2EFB"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401F47" w:rsidP="00DA4C4E" w14:paraId="33EC94D6" w14:textId="6FC37E08">
      <w:pPr>
        <w:pStyle w:val="EndnoteText"/>
        <w:tabs>
          <w:tab w:val="left" w:pos="-720"/>
        </w:tabs>
        <w:suppressAutoHyphens/>
        <w:ind w:left="1440"/>
        <w:rPr>
          <w:bCs/>
          <w:i/>
          <w:iCs/>
          <w:szCs w:val="24"/>
        </w:rPr>
      </w:pPr>
      <w:r w:rsidRPr="003C1571">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DA4C4E" w:rsidRPr="00DA4C4E" w:rsidP="00DA4C4E" w14:paraId="1FF6D4C3" w14:textId="77777777">
      <w:pPr>
        <w:pStyle w:val="EndnoteText"/>
        <w:tabs>
          <w:tab w:val="left" w:pos="-720"/>
        </w:tabs>
        <w:suppressAutoHyphens/>
        <w:rPr>
          <w:bCs/>
          <w:szCs w:val="24"/>
        </w:rPr>
      </w:pPr>
    </w:p>
    <w:p w:rsidR="00AF381A" w:rsidRPr="0009469D" w:rsidP="002C4DD4" w14:paraId="03DE78B4" w14:textId="706AE94B">
      <w:pPr>
        <w:pStyle w:val="Heading3"/>
      </w:pPr>
      <w:r w:rsidRPr="007F3245">
        <w:t>R</w:t>
      </w:r>
      <w:r w:rsidR="00704B09">
        <w:t>equiring respondents to submit proprietary trade secret, or other confidential information unless the agency can demonstrate that it has instituted procedures to protect the information’s confidentiality to the extent permitted by law.</w:t>
      </w:r>
    </w:p>
    <w:p w:rsidR="00824036" w:rsidP="00DA4C4E" w14:paraId="78F779B2" w14:textId="0669818D">
      <w:pPr>
        <w:pStyle w:val="EndnoteText"/>
        <w:tabs>
          <w:tab w:val="left" w:pos="-720"/>
        </w:tabs>
        <w:suppressAutoHyphens/>
        <w:rPr>
          <w:szCs w:val="24"/>
        </w:rPr>
      </w:pPr>
      <w:r>
        <w:t>There are no other special circumstances</w:t>
      </w:r>
      <w:r w:rsidR="00520334">
        <w:t xml:space="preserve"> that require respondents to submit proprietary trade secret, or other confidential information</w:t>
      </w:r>
      <w:r>
        <w:t xml:space="preserve">. </w:t>
      </w:r>
      <w:r>
        <w:rPr>
          <w:bCs/>
          <w:szCs w:val="24"/>
        </w:rPr>
        <w:t xml:space="preserve">Confidentiality is addressed in the </w:t>
      </w:r>
      <w:r w:rsidRPr="00C548FD">
        <w:rPr>
          <w:szCs w:val="24"/>
        </w:rPr>
        <w:t>OFPA [</w:t>
      </w:r>
      <w:hyperlink r:id="rId11" w:history="1">
        <w:r w:rsidRPr="00116A75">
          <w:rPr>
            <w:rStyle w:val="Hyperlink"/>
            <w:szCs w:val="24"/>
          </w:rPr>
          <w:t>7 U.S.C. 6519(a</w:t>
        </w:r>
        <w:r>
          <w:rPr>
            <w:rStyle w:val="Hyperlink"/>
            <w:szCs w:val="24"/>
          </w:rPr>
          <w:t>)(5</w:t>
        </w:r>
        <w:r w:rsidRPr="00116A75">
          <w:rPr>
            <w:rStyle w:val="Hyperlink"/>
            <w:szCs w:val="24"/>
          </w:rPr>
          <w:t>)</w:t>
        </w:r>
      </w:hyperlink>
      <w:r w:rsidRPr="00C548FD">
        <w:rPr>
          <w:szCs w:val="24"/>
        </w:rPr>
        <w:t>]</w:t>
      </w:r>
      <w:r>
        <w:rPr>
          <w:szCs w:val="24"/>
        </w:rPr>
        <w:t xml:space="preserve">, which </w:t>
      </w:r>
      <w:r w:rsidRPr="00B3242B">
        <w:t>states</w:t>
      </w:r>
      <w:r>
        <w:rPr>
          <w:szCs w:val="24"/>
        </w:rPr>
        <w:t>:</w:t>
      </w:r>
    </w:p>
    <w:p w:rsidR="00824036" w:rsidRPr="002C4DD4" w:rsidP="005B6C78" w14:paraId="4904A71C"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824036" w:rsidRPr="002C4DD4" w:rsidP="002C4DD4" w14:paraId="528BCA57" w14:textId="77777777">
      <w:pPr>
        <w:pStyle w:val="EndnoteText"/>
        <w:tabs>
          <w:tab w:val="left" w:pos="-720"/>
        </w:tabs>
        <w:suppressAutoHyphens/>
        <w:ind w:left="720"/>
        <w:rPr>
          <w:i/>
          <w:szCs w:val="24"/>
        </w:rPr>
      </w:pPr>
      <w:r w:rsidRPr="002C4DD4">
        <w:rPr>
          <w:i/>
          <w:szCs w:val="24"/>
        </w:rPr>
        <w:t>(a) Recordkeeping</w:t>
      </w:r>
    </w:p>
    <w:p w:rsidR="00824036" w:rsidP="00824036" w14:paraId="57DE5E65" w14:textId="77777777">
      <w:pPr>
        <w:pStyle w:val="EndnoteText"/>
        <w:tabs>
          <w:tab w:val="left" w:pos="-720"/>
        </w:tabs>
        <w:suppressAutoHyphens/>
        <w:spacing w:after="120"/>
        <w:ind w:left="720"/>
        <w:rPr>
          <w:bCs/>
          <w:i/>
          <w:iCs/>
          <w:szCs w:val="24"/>
        </w:rPr>
      </w:pPr>
      <w:r>
        <w:rPr>
          <w:bCs/>
          <w:i/>
          <w:iCs/>
          <w:szCs w:val="24"/>
        </w:rPr>
        <w:t>…</w:t>
      </w:r>
    </w:p>
    <w:p w:rsidR="00824036" w:rsidRPr="002C4DD4" w:rsidP="00824036" w14:paraId="08D82D06" w14:textId="77777777">
      <w:pPr>
        <w:pStyle w:val="EndnoteText"/>
        <w:tabs>
          <w:tab w:val="left" w:pos="-720"/>
        </w:tabs>
        <w:suppressAutoHyphens/>
        <w:spacing w:after="120"/>
        <w:ind w:left="720"/>
        <w:rPr>
          <w:i/>
          <w:szCs w:val="24"/>
        </w:rPr>
      </w:pPr>
      <w:r w:rsidRPr="002C4DD4">
        <w:rPr>
          <w:i/>
          <w:szCs w:val="24"/>
        </w:rPr>
        <w:t>(5) Confidentiality</w:t>
      </w:r>
    </w:p>
    <w:p w:rsidR="00824036" w:rsidRPr="00143B9F" w:rsidP="00824036" w14:paraId="6843FAF8"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w:t>
      </w:r>
      <w:r w:rsidRPr="00143B9F">
        <w:rPr>
          <w:bCs/>
          <w:i/>
          <w:iCs/>
          <w:szCs w:val="24"/>
        </w:rPr>
        <w:t>agent of the United States shall make available to the public any information, statistic, or document obtained from, or made available by, any person under this chapter, other than in a manner that ensures that confidentiality is preserved regarding—</w:t>
      </w:r>
    </w:p>
    <w:p w:rsidR="00824036" w:rsidRPr="00143B9F" w:rsidP="00824036" w14:paraId="12FFFA5A"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824036" w:rsidRPr="00143B9F" w:rsidP="00824036" w14:paraId="013404A6" w14:textId="77777777">
      <w:pPr>
        <w:pStyle w:val="EndnoteText"/>
        <w:tabs>
          <w:tab w:val="left" w:pos="-720"/>
        </w:tabs>
        <w:suppressAutoHyphens/>
        <w:ind w:left="1440"/>
        <w:rPr>
          <w:bCs/>
          <w:i/>
          <w:iCs/>
          <w:szCs w:val="24"/>
        </w:rPr>
      </w:pPr>
      <w:r w:rsidRPr="00143B9F">
        <w:rPr>
          <w:bCs/>
          <w:i/>
          <w:iCs/>
          <w:szCs w:val="24"/>
        </w:rPr>
        <w:t>(B) proprietary business information.</w:t>
      </w:r>
    </w:p>
    <w:p w:rsidR="00824036" w:rsidP="00824036" w14:paraId="43A2FF63" w14:textId="77777777">
      <w:pPr>
        <w:pStyle w:val="EndnoteText"/>
        <w:tabs>
          <w:tab w:val="left" w:pos="-720"/>
        </w:tabs>
        <w:suppressAutoHyphens/>
      </w:pPr>
    </w:p>
    <w:p w:rsidR="00722FB3" w:rsidP="00194B4C" w14:paraId="69F163B5" w14:textId="38317B9F">
      <w:pPr>
        <w:pStyle w:val="EndnoteText"/>
        <w:tabs>
          <w:tab w:val="left" w:pos="-720"/>
        </w:tabs>
        <w:suppressAutoHyphens/>
      </w:pPr>
      <w:r>
        <w:t xml:space="preserve">Certifying agents must also remain compliant with the USDA organic regulations, </w:t>
      </w:r>
      <w:hyperlink r:id="rId15" w:anchor="p-205.501(a)(10)" w:history="1">
        <w:r w:rsidRPr="00B05D38">
          <w:rPr>
            <w:rStyle w:val="Hyperlink"/>
          </w:rPr>
          <w:t>7 CFR 205.501(a)(10)</w:t>
        </w:r>
      </w:hyperlink>
      <w:r>
        <w:t xml:space="preserve">, which incorporates additional certifying agent confidentiality requirements from OFPA </w:t>
      </w:r>
      <w:hyperlink r:id="rId11" w:history="1">
        <w:r w:rsidRPr="00194B4C">
          <w:rPr>
            <w:rStyle w:val="Hyperlink"/>
          </w:rPr>
          <w:t>7 U.S.C. 6515(f)</w:t>
        </w:r>
      </w:hyperlink>
      <w:r>
        <w:t>. The USDA organic regulations state:</w:t>
      </w:r>
    </w:p>
    <w:p w:rsidR="00F57DC8" w:rsidRPr="002C4DD4" w:rsidP="005B6C78" w14:paraId="0F36305D" w14:textId="4A0DE94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F57DC8" w:rsidRPr="002C4DD4" w:rsidP="002C4DD4" w14:paraId="2CEA174F"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F57DC8" w:rsidRPr="003C1571" w:rsidP="00F57DC8" w14:paraId="2B8CFC08" w14:textId="77777777">
      <w:pPr>
        <w:pStyle w:val="EndnoteText"/>
        <w:tabs>
          <w:tab w:val="left" w:pos="-720"/>
        </w:tabs>
        <w:suppressAutoHyphens/>
        <w:spacing w:after="120"/>
        <w:ind w:left="720"/>
        <w:rPr>
          <w:bCs/>
          <w:i/>
          <w:iCs/>
          <w:szCs w:val="24"/>
        </w:rPr>
      </w:pPr>
      <w:r w:rsidRPr="003C1571">
        <w:rPr>
          <w:bCs/>
          <w:i/>
          <w:iCs/>
          <w:szCs w:val="24"/>
        </w:rPr>
        <w:t>…</w:t>
      </w:r>
    </w:p>
    <w:p w:rsidR="00F57DC8" w:rsidRPr="003C1571" w:rsidP="00F57DC8" w14:paraId="5AAD7993"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F57DC8" w:rsidRPr="003C1571" w:rsidP="00F57DC8" w14:paraId="4C1DDEDC" w14:textId="77777777">
      <w:pPr>
        <w:pStyle w:val="EndnoteText"/>
        <w:tabs>
          <w:tab w:val="left" w:pos="-720"/>
        </w:tabs>
        <w:suppressAutoHyphens/>
        <w:spacing w:after="120"/>
        <w:ind w:left="1440"/>
        <w:rPr>
          <w:bCs/>
          <w:i/>
          <w:iCs/>
          <w:szCs w:val="24"/>
        </w:rPr>
      </w:pPr>
      <w:r w:rsidRPr="003C1571">
        <w:rPr>
          <w:bCs/>
          <w:i/>
          <w:iCs/>
          <w:szCs w:val="24"/>
        </w:rPr>
        <w:t>(i) For information that must be made available to any member of the public, as provided for in § 205.504(b)(5</w:t>
      </w:r>
      <w:r w:rsidRPr="003C1571">
        <w:rPr>
          <w:bCs/>
          <w:i/>
          <w:iCs/>
          <w:szCs w:val="24"/>
        </w:rPr>
        <w:t>);</w:t>
      </w:r>
    </w:p>
    <w:p w:rsidR="00F57DC8" w:rsidRPr="003C1571" w:rsidP="00F57DC8" w14:paraId="30FB6B53"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F57DC8" w:rsidP="0021658A" w14:paraId="1A84E222" w14:textId="517463AB">
      <w:pPr>
        <w:pStyle w:val="EndnoteText"/>
        <w:tabs>
          <w:tab w:val="left" w:pos="-720"/>
        </w:tabs>
        <w:suppressAutoHyphens/>
        <w:spacing w:after="120"/>
        <w:ind w:left="1440"/>
        <w:rPr>
          <w:bCs/>
          <w:i/>
          <w:iCs/>
          <w:szCs w:val="24"/>
        </w:rPr>
      </w:pPr>
      <w:r w:rsidRPr="003C1571">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025607" w:rsidRPr="00025607" w:rsidP="00025607" w14:paraId="7E72C2A2" w14:textId="77777777">
      <w:pPr>
        <w:tabs>
          <w:tab w:val="left" w:pos="-720"/>
        </w:tabs>
        <w:suppressAutoHyphens/>
        <w:rPr>
          <w:bCs/>
          <w:szCs w:val="24"/>
        </w:rPr>
      </w:pPr>
    </w:p>
    <w:p w:rsidR="00B94233" w:rsidP="003650CB" w14:paraId="6C3F36CA" w14:textId="1D5BC14D">
      <w:pPr>
        <w:pStyle w:val="Heading2"/>
      </w:pPr>
      <w:r w:rsidRPr="00830416">
        <w:t>8.</w:t>
      </w:r>
      <w:r>
        <w:tab/>
      </w:r>
      <w:r w:rsidRPr="00E8329D">
        <w:rPr>
          <w:szCs w:val="24"/>
        </w:rPr>
        <w:t>I</w:t>
      </w:r>
      <w:r w:rsidR="003123A6">
        <w:rPr>
          <w:szCs w:val="24"/>
        </w:rPr>
        <w:t xml:space="preserve">f applicable, provide a copy and identify the date </w:t>
      </w:r>
      <w:r w:rsidR="003123A6">
        <w:t xml:space="preserve">and page number of </w:t>
      </w:r>
      <w:r w:rsidR="003123A6">
        <w:t>publication</w:t>
      </w:r>
      <w:r w:rsidR="003123A6">
        <w:t xml:space="preserve"> in the Federal Register of the agency’s notice</w:t>
      </w:r>
      <w:r>
        <w:t xml:space="preserve">, </w:t>
      </w:r>
      <w:r w:rsidR="003123A6">
        <w:t>required by 5 CFR 1320.8(d)</w:t>
      </w:r>
      <w:r>
        <w:t xml:space="preserve">, </w:t>
      </w:r>
      <w:r w:rsidR="003123A6">
        <w:t xml:space="preserve">soliciting comments on the information collection prior to submission to </w:t>
      </w:r>
      <w:r>
        <w:t>OMB</w:t>
      </w:r>
      <w:r w:rsidR="003123A6">
        <w:t xml:space="preserve">. </w:t>
      </w:r>
      <w:r w:rsidRPr="002C4DD4">
        <w:t>S</w:t>
      </w:r>
      <w:r w:rsidRPr="002C4DD4" w:rsidR="003123A6">
        <w:t>ummarize public comments received in response to that notice</w:t>
      </w:r>
      <w:r w:rsidRPr="002C4DD4" w:rsidR="00D60FEE">
        <w:t xml:space="preserve"> and describe actions taken by the agency in response to these comments.</w:t>
      </w:r>
      <w:r w:rsidRPr="002C4DD4">
        <w:t xml:space="preserve"> S</w:t>
      </w:r>
      <w:r w:rsidRPr="002C4DD4" w:rsidR="00D60FEE">
        <w:t>pecifically address comments received on cost and hour burden</w:t>
      </w:r>
      <w:r w:rsidRPr="002C4DD4">
        <w:t>.</w:t>
      </w:r>
    </w:p>
    <w:p w:rsidR="002A2829" w:rsidRPr="009757DE" w:rsidP="002A2829" w14:paraId="39011AC6" w14:textId="2C291DB2">
      <w:pPr>
        <w:tabs>
          <w:tab w:val="left" w:pos="-720"/>
        </w:tabs>
        <w:suppressAutoHyphens/>
      </w:pPr>
      <w:r w:rsidRPr="009757DE">
        <w:t>AMS published a notice and request for public comment in the Federal Register (Vol. 88, No. 80) on April 26, 2023, on page 25,289 (</w:t>
      </w:r>
      <w:hyperlink r:id="rId21" w:history="1">
        <w:r w:rsidRPr="009757DE">
          <w:rPr>
            <w:color w:val="0000FF"/>
            <w:u w:val="single"/>
          </w:rPr>
          <w:t>88 FR 25289</w:t>
        </w:r>
      </w:hyperlink>
      <w:r w:rsidRPr="009757DE">
        <w:t xml:space="preserve">). </w:t>
      </w:r>
      <w:r w:rsidRPr="009757DE">
        <w:rPr>
          <w:rFonts w:eastAsiaTheme="minorHAnsi"/>
          <w:szCs w:val="24"/>
          <w:shd w:val="clear" w:color="auto" w:fill="FFFFFF"/>
        </w:rPr>
        <w:t xml:space="preserve">The 60-day comment period ended on June 26, 2023, and </w:t>
      </w:r>
      <w:r w:rsidRPr="009757DE">
        <w:t xml:space="preserve">AMS received eight comments. </w:t>
      </w:r>
      <w:r w:rsidRPr="009757DE">
        <w:rPr>
          <w:rFonts w:eastAsiaTheme="minorHAnsi"/>
          <w:szCs w:val="24"/>
        </w:rPr>
        <w:t xml:space="preserve">Some comments did not respond to the </w:t>
      </w:r>
      <w:r w:rsidRPr="009757DE">
        <w:rPr>
          <w:rFonts w:eastAsiaTheme="minorHAnsi"/>
          <w:szCs w:val="24"/>
        </w:rPr>
        <w:t>questions asked by AMS, but instead commented on the existing USDA organic regulat</w:t>
      </w:r>
      <w:r>
        <w:rPr>
          <w:szCs w:val="24"/>
        </w:rPr>
        <w:t>ory language</w:t>
      </w:r>
      <w:r w:rsidRPr="009757DE">
        <w:rPr>
          <w:rFonts w:eastAsiaTheme="minorHAnsi"/>
          <w:szCs w:val="24"/>
        </w:rPr>
        <w:t xml:space="preserve"> </w:t>
      </w:r>
      <w:r>
        <w:rPr>
          <w:szCs w:val="24"/>
        </w:rPr>
        <w:t>for the variance request [</w:t>
      </w:r>
      <w:hyperlink r:id="rId15" w:anchor="p-205.236(d)" w:history="1">
        <w:r w:rsidRPr="00FE4B6E">
          <w:rPr>
            <w:rStyle w:val="Hyperlink"/>
            <w:rFonts w:eastAsiaTheme="minorHAnsi"/>
            <w:szCs w:val="24"/>
          </w:rPr>
          <w:t>7 CFR 205.236(d)</w:t>
        </w:r>
      </w:hyperlink>
      <w:r>
        <w:rPr>
          <w:szCs w:val="24"/>
        </w:rPr>
        <w:t>]</w:t>
      </w:r>
      <w:r w:rsidRPr="009757DE">
        <w:rPr>
          <w:rFonts w:eastAsiaTheme="minorHAnsi"/>
          <w:szCs w:val="24"/>
        </w:rPr>
        <w:t>. Other comments addressed the lack of data available for the organic dairy market or other topics unrelated to the information collection. AMS d</w:t>
      </w:r>
      <w:r w:rsidR="00380DCF">
        <w:rPr>
          <w:rFonts w:eastAsiaTheme="minorHAnsi"/>
          <w:szCs w:val="24"/>
        </w:rPr>
        <w:t xml:space="preserve">oes not address </w:t>
      </w:r>
      <w:r w:rsidRPr="009757DE">
        <w:rPr>
          <w:rFonts w:eastAsiaTheme="minorHAnsi"/>
          <w:szCs w:val="24"/>
        </w:rPr>
        <w:t xml:space="preserve">comments </w:t>
      </w:r>
      <w:r w:rsidR="00380DCF">
        <w:rPr>
          <w:rFonts w:eastAsiaTheme="minorHAnsi"/>
          <w:szCs w:val="24"/>
        </w:rPr>
        <w:t xml:space="preserve">that are </w:t>
      </w:r>
      <w:r w:rsidRPr="009757DE">
        <w:rPr>
          <w:rFonts w:eastAsiaTheme="minorHAnsi"/>
          <w:szCs w:val="24"/>
        </w:rPr>
        <w:t>unrelated to this information collection</w:t>
      </w:r>
      <w:r w:rsidR="00612E70">
        <w:rPr>
          <w:rFonts w:eastAsiaTheme="minorHAnsi"/>
          <w:szCs w:val="24"/>
        </w:rPr>
        <w:t xml:space="preserve"> here</w:t>
      </w:r>
      <w:r w:rsidRPr="009757DE">
        <w:rPr>
          <w:rFonts w:eastAsiaTheme="minorHAnsi"/>
          <w:szCs w:val="24"/>
        </w:rPr>
        <w:t xml:space="preserve">, but all comments can be found </w:t>
      </w:r>
      <w:r w:rsidR="00612E70">
        <w:rPr>
          <w:rFonts w:eastAsiaTheme="minorHAnsi"/>
          <w:szCs w:val="24"/>
        </w:rPr>
        <w:t>at</w:t>
      </w:r>
      <w:r w:rsidRPr="009757DE">
        <w:rPr>
          <w:rFonts w:eastAsiaTheme="minorHAnsi"/>
          <w:szCs w:val="24"/>
        </w:rPr>
        <w:t xml:space="preserve"> </w:t>
      </w:r>
      <w:hyperlink r:id="rId22" w:history="1">
        <w:r w:rsidRPr="009757DE">
          <w:rPr>
            <w:rFonts w:eastAsiaTheme="minorHAnsi"/>
            <w:color w:val="0000FF"/>
            <w:u w:val="single"/>
          </w:rPr>
          <w:t>https://www.</w:t>
        </w:r>
        <w:r w:rsidRPr="003C1571">
          <w:rPr>
            <w:rStyle w:val="Hyperlink"/>
            <w:rFonts w:eastAsiaTheme="minorHAnsi"/>
          </w:rPr>
          <w:t>regulations</w:t>
        </w:r>
        <w:r w:rsidRPr="009757DE">
          <w:rPr>
            <w:rFonts w:eastAsiaTheme="minorHAnsi"/>
            <w:color w:val="0000FF"/>
            <w:u w:val="single"/>
          </w:rPr>
          <w:t>.gov/docket/AMS-NOP-22-0055/comments</w:t>
        </w:r>
      </w:hyperlink>
      <w:r w:rsidRPr="009757DE">
        <w:rPr>
          <w:rFonts w:eastAsiaTheme="minorHAnsi"/>
          <w:szCs w:val="24"/>
        </w:rPr>
        <w:t>.</w:t>
      </w:r>
    </w:p>
    <w:p w:rsidR="002A2829" w:rsidP="002A2829" w14:paraId="7A6CF9DD" w14:textId="77777777">
      <w:pPr>
        <w:tabs>
          <w:tab w:val="left" w:pos="-720"/>
        </w:tabs>
        <w:suppressAutoHyphens/>
      </w:pPr>
    </w:p>
    <w:p w:rsidR="006750CF" w:rsidP="006750CF" w14:paraId="47040C57" w14:textId="43C945B5">
      <w:pPr>
        <w:tabs>
          <w:tab w:val="left" w:pos="-720"/>
        </w:tabs>
        <w:suppressAutoHyphens/>
        <w:rPr>
          <w:szCs w:val="24"/>
        </w:rPr>
      </w:pPr>
      <w:r>
        <w:rPr>
          <w:szCs w:val="24"/>
        </w:rPr>
        <w:t xml:space="preserve">One certifying agent </w:t>
      </w:r>
      <w:r w:rsidRPr="00361A92">
        <w:rPr>
          <w:szCs w:val="24"/>
        </w:rPr>
        <w:t>stated that AMS</w:t>
      </w:r>
      <w:r>
        <w:rPr>
          <w:szCs w:val="24"/>
        </w:rPr>
        <w:t xml:space="preserve"> significantly underestimated the time it will take </w:t>
      </w:r>
      <w:r w:rsidRPr="00361A92">
        <w:rPr>
          <w:szCs w:val="24"/>
        </w:rPr>
        <w:t>for a</w:t>
      </w:r>
      <w:r>
        <w:rPr>
          <w:szCs w:val="24"/>
        </w:rPr>
        <w:t xml:space="preserve"> certified organic </w:t>
      </w:r>
      <w:r w:rsidR="0061583D">
        <w:rPr>
          <w:szCs w:val="24"/>
        </w:rPr>
        <w:t xml:space="preserve">dairy </w:t>
      </w:r>
      <w:r w:rsidRPr="00361A92">
        <w:rPr>
          <w:szCs w:val="24"/>
        </w:rPr>
        <w:t xml:space="preserve">operation to collect </w:t>
      </w:r>
      <w:r>
        <w:rPr>
          <w:szCs w:val="24"/>
        </w:rPr>
        <w:t xml:space="preserve">and submit information to their certifying agent, </w:t>
      </w:r>
      <w:r w:rsidRPr="00361A92">
        <w:rPr>
          <w:szCs w:val="24"/>
        </w:rPr>
        <w:t xml:space="preserve">and for </w:t>
      </w:r>
      <w:r>
        <w:rPr>
          <w:szCs w:val="24"/>
        </w:rPr>
        <w:t xml:space="preserve">their certifying agent </w:t>
      </w:r>
      <w:r w:rsidRPr="00361A92">
        <w:rPr>
          <w:szCs w:val="24"/>
        </w:rPr>
        <w:t xml:space="preserve">to review the </w:t>
      </w:r>
      <w:r>
        <w:rPr>
          <w:szCs w:val="24"/>
        </w:rPr>
        <w:t xml:space="preserve">information </w:t>
      </w:r>
      <w:r w:rsidRPr="00361A92">
        <w:rPr>
          <w:szCs w:val="24"/>
        </w:rPr>
        <w:t xml:space="preserve">and submit </w:t>
      </w:r>
      <w:r>
        <w:rPr>
          <w:szCs w:val="24"/>
        </w:rPr>
        <w:t xml:space="preserve">the variance </w:t>
      </w:r>
      <w:r w:rsidRPr="00361A92">
        <w:rPr>
          <w:szCs w:val="24"/>
        </w:rPr>
        <w:t xml:space="preserve">request </w:t>
      </w:r>
      <w:r>
        <w:rPr>
          <w:szCs w:val="24"/>
        </w:rPr>
        <w:t>to AMS</w:t>
      </w:r>
      <w:r w:rsidRPr="00361A92">
        <w:rPr>
          <w:szCs w:val="24"/>
        </w:rPr>
        <w:t xml:space="preserve">. </w:t>
      </w:r>
      <w:r>
        <w:rPr>
          <w:szCs w:val="24"/>
        </w:rPr>
        <w:t xml:space="preserve">In the Federal Register notice, AMS presented an estimation of one hour each for both certifying agents and certified organic </w:t>
      </w:r>
      <w:r w:rsidR="00DD2ADF">
        <w:rPr>
          <w:szCs w:val="24"/>
        </w:rPr>
        <w:t xml:space="preserve">dairy </w:t>
      </w:r>
      <w:r>
        <w:rPr>
          <w:szCs w:val="24"/>
        </w:rPr>
        <w:t xml:space="preserve">operations to collect and submit this information. This commenter </w:t>
      </w:r>
      <w:r w:rsidRPr="00361A92">
        <w:rPr>
          <w:szCs w:val="24"/>
        </w:rPr>
        <w:t xml:space="preserve">noted that the </w:t>
      </w:r>
      <w:r>
        <w:rPr>
          <w:szCs w:val="24"/>
        </w:rPr>
        <w:t>records</w:t>
      </w:r>
      <w:r w:rsidRPr="00361A92">
        <w:rPr>
          <w:szCs w:val="24"/>
        </w:rPr>
        <w:t xml:space="preserve"> a </w:t>
      </w:r>
      <w:r>
        <w:rPr>
          <w:szCs w:val="24"/>
        </w:rPr>
        <w:t xml:space="preserve">certified organic </w:t>
      </w:r>
      <w:r w:rsidR="00DD2ADF">
        <w:rPr>
          <w:szCs w:val="24"/>
        </w:rPr>
        <w:t xml:space="preserve">dairy </w:t>
      </w:r>
      <w:r w:rsidRPr="00361A92">
        <w:rPr>
          <w:szCs w:val="24"/>
        </w:rPr>
        <w:t xml:space="preserve">operation will </w:t>
      </w:r>
      <w:r>
        <w:rPr>
          <w:szCs w:val="24"/>
        </w:rPr>
        <w:t xml:space="preserve">need to submit will </w:t>
      </w:r>
      <w:r w:rsidRPr="00361A92">
        <w:rPr>
          <w:szCs w:val="24"/>
        </w:rPr>
        <w:t>vary widely</w:t>
      </w:r>
      <w:r>
        <w:rPr>
          <w:szCs w:val="24"/>
        </w:rPr>
        <w:t>,</w:t>
      </w:r>
      <w:r w:rsidRPr="00361A92">
        <w:rPr>
          <w:szCs w:val="24"/>
        </w:rPr>
        <w:t xml:space="preserve"> depending on </w:t>
      </w:r>
      <w:r>
        <w:rPr>
          <w:szCs w:val="24"/>
        </w:rPr>
        <w:t xml:space="preserve">which of the qualifying three reasons identified in </w:t>
      </w:r>
      <w:hyperlink r:id="rId15" w:anchor="p-205.236(d)(1)" w:history="1">
        <w:r w:rsidR="00BF37FA">
          <w:rPr>
            <w:rStyle w:val="Hyperlink"/>
            <w:szCs w:val="24"/>
          </w:rPr>
          <w:t>7 CFR </w:t>
        </w:r>
        <w:r w:rsidRPr="00990219">
          <w:rPr>
            <w:rStyle w:val="Hyperlink"/>
            <w:szCs w:val="24"/>
          </w:rPr>
          <w:t>205.236(d)(1)</w:t>
        </w:r>
      </w:hyperlink>
      <w:r>
        <w:rPr>
          <w:szCs w:val="24"/>
        </w:rPr>
        <w:t xml:space="preserve"> the operation fits into</w:t>
      </w:r>
      <w:r w:rsidR="003B4FE4">
        <w:rPr>
          <w:szCs w:val="24"/>
        </w:rPr>
        <w:t>:</w:t>
      </w:r>
      <w:r>
        <w:rPr>
          <w:szCs w:val="24"/>
        </w:rPr>
        <w:t xml:space="preserve"> (1) bankruptcy or forced sale, (2) insolvency or liquidating animals as a result of ceasing operations, </w:t>
      </w:r>
      <w:r w:rsidR="007F7CE8">
        <w:rPr>
          <w:szCs w:val="24"/>
        </w:rPr>
        <w:t>or</w:t>
      </w:r>
      <w:r>
        <w:rPr>
          <w:szCs w:val="24"/>
        </w:rPr>
        <w:t xml:space="preserve"> (3) intergenerational transfer of animals. The commenter noted that records </w:t>
      </w:r>
      <w:r w:rsidRPr="00361A92">
        <w:rPr>
          <w:szCs w:val="24"/>
        </w:rPr>
        <w:t>prov</w:t>
      </w:r>
      <w:r>
        <w:rPr>
          <w:szCs w:val="24"/>
        </w:rPr>
        <w:t>ing</w:t>
      </w:r>
      <w:r w:rsidRPr="00361A92">
        <w:rPr>
          <w:szCs w:val="24"/>
        </w:rPr>
        <w:t xml:space="preserve"> insolvency and the necessity of liquidation may be complex and extensive.</w:t>
      </w:r>
    </w:p>
    <w:p w:rsidR="006750CF" w:rsidP="006750CF" w14:paraId="015A364F" w14:textId="77777777">
      <w:pPr>
        <w:tabs>
          <w:tab w:val="left" w:pos="-720"/>
        </w:tabs>
        <w:suppressAutoHyphens/>
        <w:rPr>
          <w:szCs w:val="24"/>
        </w:rPr>
      </w:pPr>
    </w:p>
    <w:p w:rsidR="006750CF" w:rsidP="006750CF" w14:paraId="7CE219DC" w14:textId="1B840D71">
      <w:pPr>
        <w:tabs>
          <w:tab w:val="left" w:pos="-720"/>
        </w:tabs>
        <w:suppressAutoHyphens/>
        <w:rPr>
          <w:szCs w:val="24"/>
        </w:rPr>
      </w:pPr>
      <w:r>
        <w:rPr>
          <w:szCs w:val="24"/>
        </w:rPr>
        <w:t>In contrast, a</w:t>
      </w:r>
      <w:r w:rsidRPr="00361A92">
        <w:rPr>
          <w:szCs w:val="24"/>
        </w:rPr>
        <w:t xml:space="preserve">nother certifier </w:t>
      </w:r>
      <w:r>
        <w:rPr>
          <w:szCs w:val="24"/>
        </w:rPr>
        <w:t>stat</w:t>
      </w:r>
      <w:r>
        <w:rPr>
          <w:szCs w:val="24"/>
        </w:rPr>
        <w:t>ed</w:t>
      </w:r>
      <w:r>
        <w:rPr>
          <w:szCs w:val="24"/>
        </w:rPr>
        <w:t xml:space="preserve"> that AMS’s </w:t>
      </w:r>
      <w:r w:rsidRPr="00361A92">
        <w:rPr>
          <w:szCs w:val="24"/>
        </w:rPr>
        <w:t xml:space="preserve">recordkeeping </w:t>
      </w:r>
      <w:r>
        <w:rPr>
          <w:szCs w:val="24"/>
        </w:rPr>
        <w:t>and reporting estimate</w:t>
      </w:r>
      <w:r w:rsidR="001D7532">
        <w:rPr>
          <w:szCs w:val="24"/>
        </w:rPr>
        <w:t>s</w:t>
      </w:r>
      <w:r>
        <w:rPr>
          <w:szCs w:val="24"/>
        </w:rPr>
        <w:t xml:space="preserve"> </w:t>
      </w:r>
      <w:r w:rsidR="001D7532">
        <w:rPr>
          <w:szCs w:val="24"/>
        </w:rPr>
        <w:t>were</w:t>
      </w:r>
      <w:r>
        <w:rPr>
          <w:szCs w:val="24"/>
        </w:rPr>
        <w:t xml:space="preserve"> </w:t>
      </w:r>
      <w:r w:rsidRPr="00361A92">
        <w:rPr>
          <w:szCs w:val="24"/>
        </w:rPr>
        <w:t>reasonable</w:t>
      </w:r>
      <w:r>
        <w:rPr>
          <w:szCs w:val="24"/>
        </w:rPr>
        <w:t>. However</w:t>
      </w:r>
      <w:r w:rsidRPr="00361A92">
        <w:rPr>
          <w:szCs w:val="24"/>
        </w:rPr>
        <w:t xml:space="preserve">, </w:t>
      </w:r>
      <w:r>
        <w:rPr>
          <w:szCs w:val="24"/>
        </w:rPr>
        <w:t xml:space="preserve">this commenter suggested that </w:t>
      </w:r>
      <w:r w:rsidRPr="00361A92">
        <w:rPr>
          <w:szCs w:val="24"/>
        </w:rPr>
        <w:t xml:space="preserve">additional time </w:t>
      </w:r>
      <w:r>
        <w:rPr>
          <w:szCs w:val="24"/>
        </w:rPr>
        <w:t xml:space="preserve">will be </w:t>
      </w:r>
      <w:r w:rsidRPr="00361A92">
        <w:rPr>
          <w:szCs w:val="24"/>
        </w:rPr>
        <w:t xml:space="preserve">needed </w:t>
      </w:r>
      <w:r>
        <w:rPr>
          <w:szCs w:val="24"/>
        </w:rPr>
        <w:t xml:space="preserve">for certifying agents </w:t>
      </w:r>
      <w:r w:rsidRPr="00361A92">
        <w:rPr>
          <w:szCs w:val="24"/>
        </w:rPr>
        <w:t xml:space="preserve">to develop and implement new </w:t>
      </w:r>
      <w:r>
        <w:rPr>
          <w:szCs w:val="24"/>
        </w:rPr>
        <w:t xml:space="preserve">variance request </w:t>
      </w:r>
      <w:r w:rsidRPr="00361A92">
        <w:rPr>
          <w:szCs w:val="24"/>
        </w:rPr>
        <w:t>system</w:t>
      </w:r>
      <w:r>
        <w:rPr>
          <w:szCs w:val="24"/>
        </w:rPr>
        <w:t>s</w:t>
      </w:r>
      <w:r w:rsidRPr="00361A92">
        <w:rPr>
          <w:szCs w:val="24"/>
        </w:rPr>
        <w:t xml:space="preserve">. Other </w:t>
      </w:r>
      <w:r>
        <w:rPr>
          <w:szCs w:val="24"/>
        </w:rPr>
        <w:t>commenters</w:t>
      </w:r>
      <w:r w:rsidRPr="00361A92">
        <w:rPr>
          <w:szCs w:val="24"/>
        </w:rPr>
        <w:t xml:space="preserve"> suggested that AMS’s estimation </w:t>
      </w:r>
      <w:r>
        <w:rPr>
          <w:szCs w:val="24"/>
        </w:rPr>
        <w:t xml:space="preserve">for certified organic </w:t>
      </w:r>
      <w:r w:rsidR="00DD2ADF">
        <w:rPr>
          <w:szCs w:val="24"/>
        </w:rPr>
        <w:t xml:space="preserve">dairy </w:t>
      </w:r>
      <w:r>
        <w:rPr>
          <w:szCs w:val="24"/>
        </w:rPr>
        <w:t xml:space="preserve">operations was reasonable but </w:t>
      </w:r>
      <w:r w:rsidR="004900C2">
        <w:rPr>
          <w:szCs w:val="24"/>
        </w:rPr>
        <w:t>believed</w:t>
      </w:r>
      <w:r w:rsidR="00EF01D9">
        <w:rPr>
          <w:szCs w:val="24"/>
        </w:rPr>
        <w:t xml:space="preserve"> </w:t>
      </w:r>
      <w:r>
        <w:rPr>
          <w:szCs w:val="24"/>
        </w:rPr>
        <w:t xml:space="preserve">the estimate </w:t>
      </w:r>
      <w:r w:rsidRPr="00361A92">
        <w:rPr>
          <w:szCs w:val="24"/>
        </w:rPr>
        <w:t xml:space="preserve">for </w:t>
      </w:r>
      <w:r>
        <w:rPr>
          <w:szCs w:val="24"/>
        </w:rPr>
        <w:t xml:space="preserve">certifying agents </w:t>
      </w:r>
      <w:r w:rsidRPr="00361A92">
        <w:rPr>
          <w:szCs w:val="24"/>
        </w:rPr>
        <w:t>was too low. The</w:t>
      </w:r>
      <w:r>
        <w:rPr>
          <w:szCs w:val="24"/>
        </w:rPr>
        <w:t>se commenters</w:t>
      </w:r>
      <w:r w:rsidRPr="00361A92">
        <w:rPr>
          <w:szCs w:val="24"/>
        </w:rPr>
        <w:t xml:space="preserve"> also estimated </w:t>
      </w:r>
      <w:r>
        <w:rPr>
          <w:szCs w:val="24"/>
        </w:rPr>
        <w:t xml:space="preserve">that AMS would receive </w:t>
      </w:r>
      <w:r w:rsidRPr="00361A92">
        <w:rPr>
          <w:szCs w:val="24"/>
        </w:rPr>
        <w:t>no more than 10 variance requests per year</w:t>
      </w:r>
      <w:r w:rsidR="00ED10FA">
        <w:rPr>
          <w:szCs w:val="24"/>
        </w:rPr>
        <w:t xml:space="preserve"> rather than </w:t>
      </w:r>
      <w:r w:rsidR="00235D11">
        <w:rPr>
          <w:szCs w:val="24"/>
        </w:rPr>
        <w:t xml:space="preserve">the </w:t>
      </w:r>
      <w:r>
        <w:rPr>
          <w:szCs w:val="24"/>
        </w:rPr>
        <w:t>28 variance request</w:t>
      </w:r>
      <w:r w:rsidR="00A10842">
        <w:rPr>
          <w:szCs w:val="24"/>
        </w:rPr>
        <w:t>s</w:t>
      </w:r>
      <w:r>
        <w:rPr>
          <w:szCs w:val="24"/>
        </w:rPr>
        <w:t xml:space="preserve"> </w:t>
      </w:r>
      <w:r w:rsidR="00A10842">
        <w:rPr>
          <w:szCs w:val="24"/>
        </w:rPr>
        <w:t>AMS</w:t>
      </w:r>
      <w:r>
        <w:rPr>
          <w:szCs w:val="24"/>
        </w:rPr>
        <w:t xml:space="preserve"> estimated in the Federal Register notice</w:t>
      </w:r>
      <w:r w:rsidRPr="00361A92">
        <w:rPr>
          <w:szCs w:val="24"/>
        </w:rPr>
        <w:t>.</w:t>
      </w:r>
    </w:p>
    <w:p w:rsidR="003760FF" w:rsidP="006750CF" w14:paraId="2785F725" w14:textId="77777777">
      <w:pPr>
        <w:tabs>
          <w:tab w:val="left" w:pos="-720"/>
        </w:tabs>
        <w:suppressAutoHyphens/>
        <w:rPr>
          <w:szCs w:val="24"/>
        </w:rPr>
      </w:pPr>
    </w:p>
    <w:p w:rsidR="003760FF" w:rsidP="006750CF" w14:paraId="5450234D" w14:textId="2C6D205C">
      <w:pPr>
        <w:tabs>
          <w:tab w:val="left" w:pos="-720"/>
        </w:tabs>
        <w:suppressAutoHyphens/>
        <w:rPr>
          <w:szCs w:val="24"/>
        </w:rPr>
      </w:pPr>
      <w:r w:rsidRPr="00361A92">
        <w:rPr>
          <w:szCs w:val="24"/>
        </w:rPr>
        <w:t xml:space="preserve">Two </w:t>
      </w:r>
      <w:r>
        <w:rPr>
          <w:szCs w:val="24"/>
        </w:rPr>
        <w:t>certifying agents</w:t>
      </w:r>
      <w:r w:rsidRPr="00361A92">
        <w:rPr>
          <w:szCs w:val="24"/>
        </w:rPr>
        <w:t xml:space="preserve"> noted that they had not yet had a</w:t>
      </w:r>
      <w:r w:rsidR="002947FE">
        <w:rPr>
          <w:szCs w:val="24"/>
        </w:rPr>
        <w:t>ny</w:t>
      </w:r>
      <w:r w:rsidRPr="00361A92">
        <w:rPr>
          <w:szCs w:val="24"/>
        </w:rPr>
        <w:t xml:space="preserve"> </w:t>
      </w:r>
      <w:r w:rsidR="002947FE">
        <w:rPr>
          <w:szCs w:val="24"/>
        </w:rPr>
        <w:t xml:space="preserve">certified organic dairy </w:t>
      </w:r>
      <w:r w:rsidRPr="00361A92">
        <w:rPr>
          <w:szCs w:val="24"/>
        </w:rPr>
        <w:t>operation request a variance</w:t>
      </w:r>
      <w:r>
        <w:rPr>
          <w:szCs w:val="24"/>
        </w:rPr>
        <w:t>. A</w:t>
      </w:r>
      <w:r w:rsidRPr="00361A92">
        <w:rPr>
          <w:szCs w:val="24"/>
        </w:rPr>
        <w:t xml:space="preserve">s such, one </w:t>
      </w:r>
      <w:r>
        <w:rPr>
          <w:szCs w:val="24"/>
        </w:rPr>
        <w:t xml:space="preserve">of them noted that </w:t>
      </w:r>
      <w:r w:rsidRPr="00361A92">
        <w:rPr>
          <w:szCs w:val="24"/>
        </w:rPr>
        <w:t xml:space="preserve">it has been unable to evaluate the </w:t>
      </w:r>
      <w:r>
        <w:rPr>
          <w:szCs w:val="24"/>
        </w:rPr>
        <w:t xml:space="preserve">burden </w:t>
      </w:r>
      <w:r w:rsidRPr="00361A92">
        <w:rPr>
          <w:szCs w:val="24"/>
        </w:rPr>
        <w:t xml:space="preserve">of </w:t>
      </w:r>
      <w:r>
        <w:rPr>
          <w:szCs w:val="24"/>
        </w:rPr>
        <w:t xml:space="preserve">this </w:t>
      </w:r>
      <w:r w:rsidRPr="00361A92">
        <w:rPr>
          <w:szCs w:val="24"/>
        </w:rPr>
        <w:t>information collection</w:t>
      </w:r>
      <w:r>
        <w:rPr>
          <w:szCs w:val="24"/>
        </w:rPr>
        <w:t xml:space="preserve">. The other </w:t>
      </w:r>
      <w:r w:rsidRPr="00361A92">
        <w:rPr>
          <w:szCs w:val="24"/>
        </w:rPr>
        <w:t xml:space="preserve">stated that while information collection costs will be significantly higher than </w:t>
      </w:r>
      <w:r w:rsidR="00E060B0">
        <w:rPr>
          <w:szCs w:val="24"/>
        </w:rPr>
        <w:t xml:space="preserve">AMS </w:t>
      </w:r>
      <w:r w:rsidRPr="00361A92">
        <w:rPr>
          <w:szCs w:val="24"/>
        </w:rPr>
        <w:t xml:space="preserve">estimated, </w:t>
      </w:r>
      <w:r>
        <w:rPr>
          <w:szCs w:val="24"/>
        </w:rPr>
        <w:t xml:space="preserve">they do </w:t>
      </w:r>
      <w:r w:rsidRPr="00361A92">
        <w:rPr>
          <w:szCs w:val="24"/>
        </w:rPr>
        <w:t xml:space="preserve">not think </w:t>
      </w:r>
      <w:r>
        <w:rPr>
          <w:szCs w:val="24"/>
        </w:rPr>
        <w:t xml:space="preserve">the burden </w:t>
      </w:r>
      <w:r w:rsidRPr="00361A92">
        <w:rPr>
          <w:szCs w:val="24"/>
        </w:rPr>
        <w:t xml:space="preserve">will have a detrimental impact on the </w:t>
      </w:r>
      <w:r>
        <w:rPr>
          <w:szCs w:val="24"/>
        </w:rPr>
        <w:t xml:space="preserve">organic </w:t>
      </w:r>
      <w:r w:rsidRPr="00361A92">
        <w:rPr>
          <w:szCs w:val="24"/>
        </w:rPr>
        <w:t>dairy industry or certif</w:t>
      </w:r>
      <w:r>
        <w:rPr>
          <w:szCs w:val="24"/>
        </w:rPr>
        <w:t>ying agents</w:t>
      </w:r>
      <w:r w:rsidRPr="00361A92">
        <w:rPr>
          <w:szCs w:val="24"/>
        </w:rPr>
        <w:t>.</w:t>
      </w:r>
    </w:p>
    <w:p w:rsidR="006750CF" w:rsidRPr="00361A92" w:rsidP="006750CF" w14:paraId="090710BA" w14:textId="77777777">
      <w:pPr>
        <w:tabs>
          <w:tab w:val="left" w:pos="-720"/>
        </w:tabs>
        <w:suppressAutoHyphens/>
        <w:rPr>
          <w:szCs w:val="24"/>
        </w:rPr>
      </w:pPr>
    </w:p>
    <w:p w:rsidR="006750CF" w:rsidP="006750CF" w14:paraId="6F195BB3" w14:textId="717F2B82">
      <w:pPr>
        <w:tabs>
          <w:tab w:val="left" w:pos="-720"/>
        </w:tabs>
        <w:suppressAutoHyphens/>
        <w:rPr>
          <w:szCs w:val="24"/>
        </w:rPr>
      </w:pPr>
      <w:r>
        <w:rPr>
          <w:szCs w:val="24"/>
        </w:rPr>
        <w:t xml:space="preserve">After reviewing the </w:t>
      </w:r>
      <w:r w:rsidRPr="00361A92">
        <w:rPr>
          <w:szCs w:val="24"/>
        </w:rPr>
        <w:t>public comment</w:t>
      </w:r>
      <w:r>
        <w:rPr>
          <w:szCs w:val="24"/>
        </w:rPr>
        <w:t>s</w:t>
      </w:r>
      <w:r w:rsidRPr="00361A92">
        <w:rPr>
          <w:szCs w:val="24"/>
        </w:rPr>
        <w:t xml:space="preserve">, AMS </w:t>
      </w:r>
      <w:r>
        <w:rPr>
          <w:szCs w:val="24"/>
        </w:rPr>
        <w:t xml:space="preserve">is </w:t>
      </w:r>
      <w:r w:rsidRPr="00361A92">
        <w:rPr>
          <w:szCs w:val="24"/>
        </w:rPr>
        <w:t>proceed</w:t>
      </w:r>
      <w:r>
        <w:rPr>
          <w:szCs w:val="24"/>
        </w:rPr>
        <w:t>ing</w:t>
      </w:r>
      <w:r w:rsidRPr="00361A92">
        <w:rPr>
          <w:szCs w:val="24"/>
        </w:rPr>
        <w:t xml:space="preserve"> with </w:t>
      </w:r>
      <w:r>
        <w:rPr>
          <w:szCs w:val="24"/>
        </w:rPr>
        <w:t xml:space="preserve">this </w:t>
      </w:r>
      <w:r w:rsidRPr="00361A92">
        <w:rPr>
          <w:szCs w:val="24"/>
        </w:rPr>
        <w:t xml:space="preserve">proposed </w:t>
      </w:r>
      <w:r>
        <w:rPr>
          <w:szCs w:val="24"/>
        </w:rPr>
        <w:t xml:space="preserve">information </w:t>
      </w:r>
      <w:r w:rsidRPr="00361A92">
        <w:rPr>
          <w:szCs w:val="24"/>
        </w:rPr>
        <w:t xml:space="preserve">collection. AMS recognizes that the burden to </w:t>
      </w:r>
      <w:r>
        <w:rPr>
          <w:szCs w:val="24"/>
        </w:rPr>
        <w:t xml:space="preserve">certified organic </w:t>
      </w:r>
      <w:r w:rsidR="00F34D40">
        <w:rPr>
          <w:szCs w:val="24"/>
        </w:rPr>
        <w:t xml:space="preserve">dairy </w:t>
      </w:r>
      <w:r w:rsidRPr="00361A92">
        <w:rPr>
          <w:szCs w:val="24"/>
        </w:rPr>
        <w:t xml:space="preserve">operations and </w:t>
      </w:r>
      <w:r>
        <w:rPr>
          <w:szCs w:val="24"/>
        </w:rPr>
        <w:t xml:space="preserve">certifying agents may </w:t>
      </w:r>
      <w:r w:rsidR="00E346DD">
        <w:rPr>
          <w:szCs w:val="24"/>
        </w:rPr>
        <w:t>vary</w:t>
      </w:r>
      <w:r w:rsidRPr="00361A92">
        <w:rPr>
          <w:szCs w:val="24"/>
        </w:rPr>
        <w:t xml:space="preserve"> depending on </w:t>
      </w:r>
      <w:r>
        <w:rPr>
          <w:szCs w:val="24"/>
        </w:rPr>
        <w:t>which of the three qualifying reasons the operation is applying for the variance under. In response to these p</w:t>
      </w:r>
      <w:r w:rsidRPr="00361A92">
        <w:rPr>
          <w:szCs w:val="24"/>
        </w:rPr>
        <w:t xml:space="preserve">ublic comments, AMS has increased the reporting burden for </w:t>
      </w:r>
      <w:r>
        <w:rPr>
          <w:szCs w:val="24"/>
        </w:rPr>
        <w:t xml:space="preserve">certifying agents </w:t>
      </w:r>
      <w:r w:rsidRPr="00361A92">
        <w:rPr>
          <w:szCs w:val="24"/>
        </w:rPr>
        <w:t>from one hour to two</w:t>
      </w:r>
      <w:r>
        <w:rPr>
          <w:szCs w:val="24"/>
        </w:rPr>
        <w:t xml:space="preserve"> hours</w:t>
      </w:r>
      <w:r w:rsidRPr="00361A92">
        <w:rPr>
          <w:szCs w:val="24"/>
        </w:rPr>
        <w:t xml:space="preserve">. AMS also recognizes that </w:t>
      </w:r>
      <w:r>
        <w:rPr>
          <w:szCs w:val="24"/>
        </w:rPr>
        <w:t xml:space="preserve">the </w:t>
      </w:r>
      <w:r w:rsidRPr="00361A92">
        <w:rPr>
          <w:szCs w:val="24"/>
        </w:rPr>
        <w:t xml:space="preserve">28 </w:t>
      </w:r>
      <w:r>
        <w:rPr>
          <w:szCs w:val="24"/>
        </w:rPr>
        <w:t xml:space="preserve">variance requests </w:t>
      </w:r>
      <w:r w:rsidRPr="00361A92">
        <w:rPr>
          <w:szCs w:val="24"/>
        </w:rPr>
        <w:t xml:space="preserve">per year may be </w:t>
      </w:r>
      <w:r w:rsidRPr="00361A92" w:rsidR="00DF07A7">
        <w:rPr>
          <w:szCs w:val="24"/>
        </w:rPr>
        <w:t>overestimated</w:t>
      </w:r>
      <w:r w:rsidR="00DF07A7">
        <w:rPr>
          <w:szCs w:val="24"/>
        </w:rPr>
        <w:t xml:space="preserve"> but</w:t>
      </w:r>
      <w:r>
        <w:rPr>
          <w:szCs w:val="24"/>
        </w:rPr>
        <w:t xml:space="preserve"> </w:t>
      </w:r>
      <w:r w:rsidRPr="00361A92">
        <w:rPr>
          <w:szCs w:val="24"/>
        </w:rPr>
        <w:t xml:space="preserve">has decided to retain </w:t>
      </w:r>
      <w:r>
        <w:rPr>
          <w:szCs w:val="24"/>
        </w:rPr>
        <w:t xml:space="preserve">this </w:t>
      </w:r>
      <w:r w:rsidRPr="00361A92">
        <w:rPr>
          <w:szCs w:val="24"/>
        </w:rPr>
        <w:t>estimate</w:t>
      </w:r>
      <w:r>
        <w:rPr>
          <w:szCs w:val="24"/>
        </w:rPr>
        <w:t>. In response</w:t>
      </w:r>
      <w:r w:rsidRPr="00361A92">
        <w:rPr>
          <w:szCs w:val="24"/>
        </w:rPr>
        <w:t xml:space="preserve">, </w:t>
      </w:r>
      <w:r>
        <w:rPr>
          <w:szCs w:val="24"/>
        </w:rPr>
        <w:t xml:space="preserve">however, AMS has reduced the number of </w:t>
      </w:r>
      <w:r>
        <w:rPr>
          <w:szCs w:val="24"/>
        </w:rPr>
        <w:t>respondent</w:t>
      </w:r>
      <w:r>
        <w:rPr>
          <w:szCs w:val="24"/>
        </w:rPr>
        <w:t xml:space="preserve"> certifying agents from 57 to 28. Fifty-seven (57) is the number of certifying agents currently accredited to certify organic livestock, but AMS believes the </w:t>
      </w:r>
      <w:r w:rsidR="00466783">
        <w:rPr>
          <w:szCs w:val="24"/>
        </w:rPr>
        <w:t xml:space="preserve">burden </w:t>
      </w:r>
      <w:r>
        <w:rPr>
          <w:szCs w:val="24"/>
        </w:rPr>
        <w:t>estimate is more accurate if this number matches the estimated number of variance requests (28) submitted to AMS in a year.</w:t>
      </w:r>
    </w:p>
    <w:p w:rsidR="002A2829" w:rsidP="002A2829" w14:paraId="2CFE1CA4" w14:textId="77777777">
      <w:pPr>
        <w:tabs>
          <w:tab w:val="left" w:pos="-720"/>
        </w:tabs>
        <w:suppressAutoHyphens/>
        <w:rPr>
          <w:szCs w:val="24"/>
        </w:rPr>
      </w:pPr>
    </w:p>
    <w:p w:rsidR="006750CF" w:rsidP="006750CF" w14:paraId="67A87D87" w14:textId="55CEC66E">
      <w:pPr>
        <w:tabs>
          <w:tab w:val="left" w:pos="-720"/>
        </w:tabs>
        <w:suppressAutoHyphens/>
        <w:rPr>
          <w:szCs w:val="24"/>
        </w:rPr>
      </w:pPr>
      <w:r>
        <w:rPr>
          <w:szCs w:val="24"/>
        </w:rPr>
        <w:t xml:space="preserve">Other public comments that AMS </w:t>
      </w:r>
      <w:r w:rsidR="006A2AF6">
        <w:rPr>
          <w:szCs w:val="24"/>
        </w:rPr>
        <w:t xml:space="preserve">received, but is not </w:t>
      </w:r>
      <w:r w:rsidR="006A2AF6">
        <w:rPr>
          <w:szCs w:val="24"/>
        </w:rPr>
        <w:t>taking action</w:t>
      </w:r>
      <w:r w:rsidR="006A2AF6">
        <w:rPr>
          <w:szCs w:val="24"/>
        </w:rPr>
        <w:t xml:space="preserve"> on, are outlined below.</w:t>
      </w:r>
    </w:p>
    <w:p w:rsidR="006A2AF6" w:rsidP="006750CF" w14:paraId="3AF3C1B6" w14:textId="77777777">
      <w:pPr>
        <w:tabs>
          <w:tab w:val="left" w:pos="-720"/>
        </w:tabs>
        <w:suppressAutoHyphens/>
        <w:rPr>
          <w:szCs w:val="24"/>
        </w:rPr>
      </w:pPr>
    </w:p>
    <w:p w:rsidR="006750CF" w:rsidP="006750CF" w14:paraId="45E48FF1" w14:textId="0E38AC1D">
      <w:pPr>
        <w:tabs>
          <w:tab w:val="left" w:pos="-720"/>
        </w:tabs>
        <w:suppressAutoHyphens/>
        <w:rPr>
          <w:szCs w:val="24"/>
        </w:rPr>
      </w:pPr>
      <w:r w:rsidRPr="00361A92">
        <w:rPr>
          <w:szCs w:val="24"/>
        </w:rPr>
        <w:t xml:space="preserve">One </w:t>
      </w:r>
      <w:r>
        <w:rPr>
          <w:szCs w:val="24"/>
        </w:rPr>
        <w:t>commenter</w:t>
      </w:r>
      <w:r w:rsidRPr="00361A92">
        <w:rPr>
          <w:szCs w:val="24"/>
        </w:rPr>
        <w:t xml:space="preserve"> requested a resource or fact</w:t>
      </w:r>
      <w:r>
        <w:rPr>
          <w:szCs w:val="24"/>
        </w:rPr>
        <w:t>sheet</w:t>
      </w:r>
      <w:r w:rsidRPr="00361A92">
        <w:rPr>
          <w:szCs w:val="24"/>
        </w:rPr>
        <w:t xml:space="preserve"> with examples </w:t>
      </w:r>
      <w:r>
        <w:rPr>
          <w:szCs w:val="24"/>
        </w:rPr>
        <w:t xml:space="preserve">of appropriate records that can </w:t>
      </w:r>
      <w:r>
        <w:rPr>
          <w:szCs w:val="24"/>
        </w:rPr>
        <w:t>be used in a variance request</w:t>
      </w:r>
      <w:r w:rsidRPr="00361A92">
        <w:rPr>
          <w:szCs w:val="24"/>
        </w:rPr>
        <w:t>.</w:t>
      </w:r>
      <w:r>
        <w:rPr>
          <w:szCs w:val="24"/>
        </w:rPr>
        <w:t xml:space="preserve"> AMS maintains and develops many resources, factsheets, and trainings regarding organic certification on the </w:t>
      </w:r>
      <w:hyperlink r:id="rId23" w:history="1">
        <w:r w:rsidRPr="00FF58BA">
          <w:rPr>
            <w:rStyle w:val="Hyperlink"/>
            <w:szCs w:val="24"/>
          </w:rPr>
          <w:t>USDA website</w:t>
        </w:r>
      </w:hyperlink>
      <w:r>
        <w:rPr>
          <w:szCs w:val="24"/>
        </w:rPr>
        <w:t xml:space="preserve"> (including in the NOP’s </w:t>
      </w:r>
      <w:hyperlink r:id="rId24" w:history="1">
        <w:r w:rsidRPr="004D1586">
          <w:rPr>
            <w:rStyle w:val="Hyperlink"/>
            <w:szCs w:val="24"/>
          </w:rPr>
          <w:t>Organic Integrity Learning Center</w:t>
        </w:r>
      </w:hyperlink>
      <w:r>
        <w:rPr>
          <w:szCs w:val="24"/>
        </w:rPr>
        <w:t>) that are available for public access. AMS will continue to develop training and resource materials</w:t>
      </w:r>
      <w:r w:rsidR="00D550FE">
        <w:rPr>
          <w:szCs w:val="24"/>
        </w:rPr>
        <w:t>,</w:t>
      </w:r>
      <w:r>
        <w:rPr>
          <w:szCs w:val="24"/>
        </w:rPr>
        <w:t xml:space="preserve"> as need</w:t>
      </w:r>
      <w:r w:rsidR="00D550FE">
        <w:rPr>
          <w:szCs w:val="24"/>
        </w:rPr>
        <w:t>ed</w:t>
      </w:r>
      <w:r>
        <w:rPr>
          <w:szCs w:val="24"/>
        </w:rPr>
        <w:t>.</w:t>
      </w:r>
    </w:p>
    <w:p w:rsidR="006750CF" w:rsidP="006750CF" w14:paraId="0D28B7DF" w14:textId="77777777">
      <w:pPr>
        <w:tabs>
          <w:tab w:val="left" w:pos="-720"/>
        </w:tabs>
        <w:suppressAutoHyphens/>
        <w:rPr>
          <w:szCs w:val="24"/>
        </w:rPr>
      </w:pPr>
    </w:p>
    <w:p w:rsidR="00282CF6" w:rsidP="002A2829" w14:paraId="44503349" w14:textId="1E3C8EF4">
      <w:pPr>
        <w:tabs>
          <w:tab w:val="left" w:pos="-720"/>
        </w:tabs>
        <w:suppressAutoHyphens/>
        <w:rPr>
          <w:szCs w:val="24"/>
        </w:rPr>
      </w:pPr>
      <w:r w:rsidRPr="00361A92">
        <w:rPr>
          <w:szCs w:val="24"/>
        </w:rPr>
        <w:t xml:space="preserve">A </w:t>
      </w:r>
      <w:r>
        <w:rPr>
          <w:szCs w:val="24"/>
        </w:rPr>
        <w:t>certifying agent</w:t>
      </w:r>
      <w:r w:rsidRPr="00361A92">
        <w:rPr>
          <w:szCs w:val="24"/>
        </w:rPr>
        <w:t xml:space="preserve"> suggested that </w:t>
      </w:r>
      <w:r>
        <w:rPr>
          <w:szCs w:val="24"/>
        </w:rPr>
        <w:t xml:space="preserve">certified organic </w:t>
      </w:r>
      <w:r w:rsidR="008F56AF">
        <w:rPr>
          <w:szCs w:val="24"/>
        </w:rPr>
        <w:t xml:space="preserve">dairy </w:t>
      </w:r>
      <w:r w:rsidRPr="00361A92">
        <w:rPr>
          <w:szCs w:val="24"/>
        </w:rPr>
        <w:t xml:space="preserve">operations </w:t>
      </w:r>
      <w:r>
        <w:rPr>
          <w:szCs w:val="24"/>
        </w:rPr>
        <w:t xml:space="preserve">requesting a variance should </w:t>
      </w:r>
      <w:r w:rsidRPr="00361A92">
        <w:rPr>
          <w:szCs w:val="24"/>
        </w:rPr>
        <w:t xml:space="preserve">submit information directly to AMS to minimize the burden </w:t>
      </w:r>
      <w:r>
        <w:rPr>
          <w:szCs w:val="24"/>
        </w:rPr>
        <w:t xml:space="preserve">on </w:t>
      </w:r>
      <w:r w:rsidRPr="00361A92">
        <w:rPr>
          <w:szCs w:val="24"/>
        </w:rPr>
        <w:t>certif</w:t>
      </w:r>
      <w:r>
        <w:rPr>
          <w:szCs w:val="24"/>
        </w:rPr>
        <w:t xml:space="preserve">ying agents. This commenter then also </w:t>
      </w:r>
      <w:r w:rsidRPr="00361A92">
        <w:rPr>
          <w:szCs w:val="24"/>
        </w:rPr>
        <w:t>acknowledg</w:t>
      </w:r>
      <w:r>
        <w:rPr>
          <w:szCs w:val="24"/>
        </w:rPr>
        <w:t>ed</w:t>
      </w:r>
      <w:r w:rsidRPr="00361A92">
        <w:rPr>
          <w:szCs w:val="24"/>
        </w:rPr>
        <w:t xml:space="preserve"> that removing certif</w:t>
      </w:r>
      <w:r>
        <w:rPr>
          <w:szCs w:val="24"/>
        </w:rPr>
        <w:t>ying agents</w:t>
      </w:r>
      <w:r w:rsidRPr="00361A92">
        <w:rPr>
          <w:szCs w:val="24"/>
        </w:rPr>
        <w:t xml:space="preserve"> from the variance request process would </w:t>
      </w:r>
      <w:r>
        <w:rPr>
          <w:szCs w:val="24"/>
        </w:rPr>
        <w:t xml:space="preserve">not align with the </w:t>
      </w:r>
      <w:r w:rsidRPr="00361A92">
        <w:rPr>
          <w:szCs w:val="24"/>
        </w:rPr>
        <w:t xml:space="preserve">monitoring role </w:t>
      </w:r>
      <w:r>
        <w:rPr>
          <w:szCs w:val="24"/>
        </w:rPr>
        <w:t>certifying agents hold</w:t>
      </w:r>
      <w:r w:rsidRPr="00361A92">
        <w:rPr>
          <w:szCs w:val="24"/>
        </w:rPr>
        <w:t>. Conversely, another certif</w:t>
      </w:r>
      <w:r>
        <w:rPr>
          <w:szCs w:val="24"/>
        </w:rPr>
        <w:t>ying agent</w:t>
      </w:r>
      <w:r w:rsidRPr="00361A92">
        <w:rPr>
          <w:szCs w:val="24"/>
        </w:rPr>
        <w:t xml:space="preserve"> suggested that </w:t>
      </w:r>
      <w:r>
        <w:rPr>
          <w:szCs w:val="24"/>
        </w:rPr>
        <w:t xml:space="preserve">they </w:t>
      </w:r>
      <w:r w:rsidR="00E450E5">
        <w:rPr>
          <w:szCs w:val="24"/>
        </w:rPr>
        <w:t xml:space="preserve">(certifying agents) </w:t>
      </w:r>
      <w:r>
        <w:rPr>
          <w:szCs w:val="24"/>
        </w:rPr>
        <w:t xml:space="preserve">should </w:t>
      </w:r>
      <w:r w:rsidRPr="00361A92">
        <w:rPr>
          <w:szCs w:val="24"/>
        </w:rPr>
        <w:t>approve variance request</w:t>
      </w:r>
      <w:r>
        <w:rPr>
          <w:szCs w:val="24"/>
        </w:rPr>
        <w:t>s,</w:t>
      </w:r>
      <w:r w:rsidRPr="00361A92">
        <w:rPr>
          <w:szCs w:val="24"/>
        </w:rPr>
        <w:t xml:space="preserve"> rather than AMS.</w:t>
      </w:r>
      <w:r>
        <w:rPr>
          <w:szCs w:val="24"/>
        </w:rPr>
        <w:t xml:space="preserve"> </w:t>
      </w:r>
      <w:r w:rsidR="00177C3F">
        <w:rPr>
          <w:szCs w:val="24"/>
        </w:rPr>
        <w:t xml:space="preserve">AMS is not responding to these comments, as the variance request process was </w:t>
      </w:r>
      <w:r w:rsidRPr="00262A26" w:rsidR="00177C3F">
        <w:t>established by the OOL final rule</w:t>
      </w:r>
      <w:r w:rsidR="00177C3F">
        <w:t xml:space="preserve"> </w:t>
      </w:r>
      <w:r w:rsidR="00357526">
        <w:t>(</w:t>
      </w:r>
      <w:hyperlink r:id="rId13" w:history="1">
        <w:r w:rsidRPr="008F6978" w:rsidR="00357526">
          <w:rPr>
            <w:rStyle w:val="Hyperlink"/>
            <w:szCs w:val="24"/>
          </w:rPr>
          <w:t>87 FR 19740</w:t>
        </w:r>
      </w:hyperlink>
      <w:r w:rsidRPr="00FF72D7" w:rsidR="00357526">
        <w:rPr>
          <w:szCs w:val="24"/>
        </w:rPr>
        <w:t>, April 5, 2022</w:t>
      </w:r>
      <w:r w:rsidR="00357526">
        <w:rPr>
          <w:szCs w:val="24"/>
        </w:rPr>
        <w:t xml:space="preserve">) </w:t>
      </w:r>
      <w:r w:rsidR="00177C3F">
        <w:rPr>
          <w:szCs w:val="24"/>
        </w:rPr>
        <w:t>and cannot be modified in the course of this information collection request.</w:t>
      </w:r>
      <w:r w:rsidRPr="00DE2697" w:rsidR="00DE2697">
        <w:rPr>
          <w:szCs w:val="24"/>
        </w:rPr>
        <w:t xml:space="preserve"> </w:t>
      </w:r>
      <w:r w:rsidR="0017516E">
        <w:rPr>
          <w:szCs w:val="24"/>
        </w:rPr>
        <w:t>The OOL final rule</w:t>
      </w:r>
      <w:r w:rsidR="00DE2697">
        <w:rPr>
          <w:szCs w:val="24"/>
        </w:rPr>
        <w:t xml:space="preserve"> require</w:t>
      </w:r>
      <w:r w:rsidR="0017516E">
        <w:rPr>
          <w:szCs w:val="24"/>
        </w:rPr>
        <w:t>s that</w:t>
      </w:r>
      <w:r w:rsidR="00DE2697">
        <w:rPr>
          <w:szCs w:val="24"/>
        </w:rPr>
        <w:t xml:space="preserve"> variance requests be submitted to AMS through </w:t>
      </w:r>
      <w:r w:rsidR="008A53A0">
        <w:rPr>
          <w:szCs w:val="24"/>
        </w:rPr>
        <w:t>a</w:t>
      </w:r>
      <w:r w:rsidR="00DE2697">
        <w:rPr>
          <w:szCs w:val="24"/>
        </w:rPr>
        <w:t xml:space="preserve"> certifying agent.</w:t>
      </w:r>
      <w:r w:rsidR="00B74A0C">
        <w:rPr>
          <w:szCs w:val="24"/>
        </w:rPr>
        <w:t xml:space="preserve"> AMS’s rationale for this process is described in the final rule (</w:t>
      </w:r>
      <w:r w:rsidR="005D0EFD">
        <w:rPr>
          <w:szCs w:val="24"/>
        </w:rPr>
        <w:t xml:space="preserve">see </w:t>
      </w:r>
      <w:hyperlink r:id="rId18" w:history="1">
        <w:r w:rsidRPr="00EC5A0B" w:rsidR="005E4C41">
          <w:rPr>
            <w:rStyle w:val="Hyperlink"/>
            <w:szCs w:val="24"/>
          </w:rPr>
          <w:t>page</w:t>
        </w:r>
        <w:r w:rsidRPr="00EC5A0B" w:rsidR="00B74A0C">
          <w:rPr>
            <w:rStyle w:val="Hyperlink"/>
            <w:szCs w:val="24"/>
          </w:rPr>
          <w:t xml:space="preserve"> </w:t>
        </w:r>
        <w:r w:rsidRPr="00EC5A0B" w:rsidR="00825713">
          <w:rPr>
            <w:rStyle w:val="Hyperlink"/>
            <w:szCs w:val="24"/>
          </w:rPr>
          <w:t>19750</w:t>
        </w:r>
      </w:hyperlink>
      <w:r w:rsidR="00825713">
        <w:rPr>
          <w:szCs w:val="24"/>
        </w:rPr>
        <w:t>).</w:t>
      </w:r>
    </w:p>
    <w:p w:rsidR="00282CF6" w:rsidP="002A2829" w14:paraId="4093C60B" w14:textId="77777777">
      <w:pPr>
        <w:tabs>
          <w:tab w:val="left" w:pos="-720"/>
        </w:tabs>
        <w:suppressAutoHyphens/>
        <w:rPr>
          <w:szCs w:val="24"/>
        </w:rPr>
      </w:pPr>
    </w:p>
    <w:p w:rsidR="002A2829" w:rsidP="002A2829" w14:paraId="18DFF42C" w14:textId="2A68EFA1">
      <w:pPr>
        <w:tabs>
          <w:tab w:val="left" w:pos="-720"/>
        </w:tabs>
        <w:suppressAutoHyphens/>
        <w:rPr>
          <w:szCs w:val="24"/>
        </w:rPr>
      </w:pPr>
      <w:r>
        <w:rPr>
          <w:szCs w:val="24"/>
        </w:rPr>
        <w:t xml:space="preserve">Several commenters </w:t>
      </w:r>
      <w:r w:rsidRPr="00361A92">
        <w:rPr>
          <w:szCs w:val="24"/>
        </w:rPr>
        <w:t xml:space="preserve">noted that </w:t>
      </w:r>
      <w:r>
        <w:rPr>
          <w:szCs w:val="24"/>
        </w:rPr>
        <w:t xml:space="preserve">some certified organic </w:t>
      </w:r>
      <w:r w:rsidR="00B6565B">
        <w:rPr>
          <w:szCs w:val="24"/>
        </w:rPr>
        <w:t xml:space="preserve">dairy </w:t>
      </w:r>
      <w:r>
        <w:rPr>
          <w:szCs w:val="24"/>
        </w:rPr>
        <w:t>operations</w:t>
      </w:r>
      <w:r w:rsidRPr="00361A92">
        <w:rPr>
          <w:szCs w:val="24"/>
        </w:rPr>
        <w:t xml:space="preserve"> may not be comfortable with</w:t>
      </w:r>
      <w:r>
        <w:rPr>
          <w:szCs w:val="24"/>
        </w:rPr>
        <w:t>,</w:t>
      </w:r>
      <w:r w:rsidRPr="00361A92">
        <w:rPr>
          <w:szCs w:val="24"/>
        </w:rPr>
        <w:t xml:space="preserve"> or may object on religious grounds</w:t>
      </w:r>
      <w:r>
        <w:rPr>
          <w:szCs w:val="24"/>
        </w:rPr>
        <w:t>,</w:t>
      </w:r>
      <w:r w:rsidRPr="00361A92">
        <w:rPr>
          <w:szCs w:val="24"/>
        </w:rPr>
        <w:t xml:space="preserve"> to using certain technologies to collect information.</w:t>
      </w:r>
      <w:r>
        <w:rPr>
          <w:szCs w:val="24"/>
        </w:rPr>
        <w:t xml:space="preserve"> These commenters </w:t>
      </w:r>
      <w:r w:rsidRPr="00361A92">
        <w:rPr>
          <w:szCs w:val="24"/>
        </w:rPr>
        <w:t xml:space="preserve">requested AMS provide </w:t>
      </w:r>
      <w:r>
        <w:rPr>
          <w:szCs w:val="24"/>
        </w:rPr>
        <w:t xml:space="preserve">certified organic </w:t>
      </w:r>
      <w:r w:rsidR="00B6565B">
        <w:rPr>
          <w:szCs w:val="24"/>
        </w:rPr>
        <w:t xml:space="preserve">dairy </w:t>
      </w:r>
      <w:r>
        <w:rPr>
          <w:szCs w:val="24"/>
        </w:rPr>
        <w:t>operations</w:t>
      </w:r>
      <w:r w:rsidRPr="00361A92">
        <w:rPr>
          <w:szCs w:val="24"/>
        </w:rPr>
        <w:t xml:space="preserve"> with options for multiple communication methods, such as mail, fax, and email</w:t>
      </w:r>
      <w:r>
        <w:rPr>
          <w:szCs w:val="24"/>
        </w:rPr>
        <w:t xml:space="preserve">. </w:t>
      </w:r>
      <w:r w:rsidR="00C579B5">
        <w:rPr>
          <w:szCs w:val="24"/>
        </w:rPr>
        <w:t>C</w:t>
      </w:r>
      <w:r>
        <w:rPr>
          <w:szCs w:val="24"/>
        </w:rPr>
        <w:t>ertifying agents are free to offer multiple communication methods for their clients, as many already do.</w:t>
      </w:r>
    </w:p>
    <w:p w:rsidR="002A2829" w:rsidP="002A2829" w14:paraId="0493ECE7" w14:textId="4C07D911">
      <w:pPr>
        <w:tabs>
          <w:tab w:val="left" w:pos="-720"/>
        </w:tabs>
        <w:suppressAutoHyphens/>
        <w:rPr>
          <w:szCs w:val="24"/>
        </w:rPr>
      </w:pPr>
    </w:p>
    <w:p w:rsidR="0093039A" w:rsidP="002C4DD4" w14:paraId="57ADB5BD" w14:textId="1C29AB4F">
      <w:pPr>
        <w:pStyle w:val="Heading3"/>
      </w:pPr>
      <w:r w:rsidRPr="008864E7">
        <w:rPr>
          <w:szCs w:val="24"/>
        </w:rPr>
        <w:t>D</w:t>
      </w:r>
      <w:r w:rsidR="008864E7">
        <w:rPr>
          <w:szCs w:val="24"/>
        </w:rPr>
        <w:t>escribe efforts to consult with persons outside the agency</w:t>
      </w:r>
      <w:r>
        <w:t xml:space="preserve"> </w:t>
      </w:r>
      <w:r w:rsidR="008864E7">
        <w:t>to obtain their views on the availability of data, frequency of collection, the clarity of instructions</w:t>
      </w:r>
      <w:r w:rsidR="006C09ED">
        <w:t xml:space="preserve"> and recordkeeping, disclosure, or reporting format (if any), and on the data elements to be recorded, disclosed, or reported.</w:t>
      </w:r>
    </w:p>
    <w:p w:rsidR="00626825" w:rsidP="00325B03" w14:paraId="0683216E" w14:textId="094FEEA4">
      <w:pPr>
        <w:pStyle w:val="EndnoteText"/>
        <w:tabs>
          <w:tab w:val="left" w:pos="-720"/>
        </w:tabs>
        <w:suppressAutoHyphens/>
      </w:pPr>
      <w:r>
        <w:t>The NOP</w:t>
      </w:r>
      <w:r w:rsidR="00184D0F">
        <w:t>, regularly sends email bulletins</w:t>
      </w:r>
      <w:r w:rsidR="00002632">
        <w:t>, the “</w:t>
      </w:r>
      <w:hyperlink r:id="rId25" w:history="1">
        <w:r w:rsidRPr="005F15E8" w:rsidR="00002632">
          <w:rPr>
            <w:rStyle w:val="Hyperlink"/>
          </w:rPr>
          <w:t>Organic Insider</w:t>
        </w:r>
      </w:hyperlink>
      <w:r w:rsidR="00002632">
        <w:t xml:space="preserve">”, </w:t>
      </w:r>
      <w:r>
        <w:t xml:space="preserve">to members of the public who are subscribed to </w:t>
      </w:r>
      <w:r w:rsidR="00322F64">
        <w:t>“</w:t>
      </w:r>
      <w:hyperlink r:id="rId26" w:history="1">
        <w:r w:rsidR="00322F64">
          <w:rPr>
            <w:rStyle w:val="Hyperlink"/>
          </w:rPr>
          <w:t>GovDelivery</w:t>
        </w:r>
      </w:hyperlink>
      <w:r w:rsidR="00322F64">
        <w:t>”</w:t>
      </w:r>
      <w:r w:rsidR="00DF2571">
        <w:t xml:space="preserve"> </w:t>
      </w:r>
      <w:r>
        <w:t>updates from AMS</w:t>
      </w:r>
      <w:r w:rsidR="00002632">
        <w:t>.</w:t>
      </w:r>
      <w:r w:rsidR="00C20317">
        <w:t xml:space="preserve"> </w:t>
      </w:r>
      <w:r w:rsidR="000F31A7">
        <w:t xml:space="preserve">Through this bulletin, </w:t>
      </w:r>
      <w:r w:rsidR="008B0625">
        <w:t>t</w:t>
      </w:r>
      <w:r w:rsidR="00C20317">
        <w:t xml:space="preserve">he NOP </w:t>
      </w:r>
      <w:r w:rsidR="00786B4C">
        <w:t xml:space="preserve">sent a </w:t>
      </w:r>
      <w:r w:rsidR="001D0BFA">
        <w:t>“</w:t>
      </w:r>
      <w:hyperlink r:id="rId27" w:history="1">
        <w:r w:rsidRPr="00204BAD" w:rsidR="001D0BFA">
          <w:rPr>
            <w:rStyle w:val="Hyperlink"/>
          </w:rPr>
          <w:t>Origin of Livestock Information Collection Notice</w:t>
        </w:r>
      </w:hyperlink>
      <w:r w:rsidR="001D0BFA">
        <w:t>”</w:t>
      </w:r>
      <w:r w:rsidR="00786B4C">
        <w:t xml:space="preserve"> request for public comment on April 26, 2023, </w:t>
      </w:r>
      <w:r w:rsidR="008B0625">
        <w:t xml:space="preserve">to </w:t>
      </w:r>
      <w:r w:rsidR="00307CE0">
        <w:t xml:space="preserve">over </w:t>
      </w:r>
      <w:r w:rsidR="0071275B">
        <w:t>125,</w:t>
      </w:r>
      <w:r w:rsidR="001D0BFA">
        <w:t>000</w:t>
      </w:r>
      <w:r w:rsidR="0071275B">
        <w:t xml:space="preserve"> subscribers</w:t>
      </w:r>
      <w:r w:rsidR="0052097B">
        <w:t>.</w:t>
      </w:r>
    </w:p>
    <w:p w:rsidR="00AC0AE7" w:rsidP="00325B03" w14:paraId="253B5A93" w14:textId="77777777">
      <w:pPr>
        <w:pStyle w:val="EndnoteText"/>
        <w:tabs>
          <w:tab w:val="left" w:pos="-720"/>
        </w:tabs>
        <w:suppressAutoHyphens/>
      </w:pPr>
    </w:p>
    <w:p w:rsidR="00324917" w:rsidP="002C4DD4" w14:paraId="5163BEBB" w14:textId="1F444DA7">
      <w:pPr>
        <w:pStyle w:val="EndnoteText"/>
        <w:tabs>
          <w:tab w:val="left" w:pos="-720"/>
        </w:tabs>
        <w:suppressAutoHyphens/>
      </w:pPr>
      <w:r>
        <w:t xml:space="preserve">Consultant responses were submitted via public comment and are addressed in </w:t>
      </w:r>
      <w:r w:rsidR="00B34CA8">
        <w:t>I</w:t>
      </w:r>
      <w:r>
        <w:t>tem 8 abo</w:t>
      </w:r>
      <w:r w:rsidRPr="002C4DD4" w:rsidR="00A75174">
        <w:t>v</w:t>
      </w:r>
      <w:r w:rsidR="00A75174">
        <w:t>e.</w:t>
      </w:r>
    </w:p>
    <w:p w:rsidR="00324917" w:rsidP="003650CB" w14:paraId="7A98F1C2" w14:textId="77777777">
      <w:pPr>
        <w:pStyle w:val="EndnoteText"/>
        <w:tabs>
          <w:tab w:val="left" w:pos="-720"/>
        </w:tabs>
        <w:suppressAutoHyphens/>
      </w:pPr>
    </w:p>
    <w:p w:rsidR="0093039A" w:rsidP="002C4DD4" w14:paraId="587F99E9" w14:textId="1EDD0884">
      <w:pPr>
        <w:pStyle w:val="Heading3"/>
      </w:pPr>
      <w:r w:rsidRPr="006E48AC">
        <w:rPr>
          <w:szCs w:val="24"/>
        </w:rPr>
        <w:t>C</w:t>
      </w:r>
      <w:r w:rsidR="006E48AC">
        <w:rPr>
          <w:szCs w:val="24"/>
        </w:rPr>
        <w:t xml:space="preserve">onsultation with representatives of </w:t>
      </w:r>
      <w:r w:rsidR="006E48AC">
        <w:t>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D4ACE" w:rsidP="002C4DD4" w14:paraId="0E8A0BFC" w14:textId="19C155E9">
      <w:pPr>
        <w:pStyle w:val="EndnoteText"/>
        <w:tabs>
          <w:tab w:val="left" w:pos="-720"/>
        </w:tabs>
        <w:suppressAutoHyphens/>
      </w:pPr>
      <w:r>
        <w:t xml:space="preserve">As described in </w:t>
      </w:r>
      <w:r w:rsidR="00C859DA">
        <w:t>I</w:t>
      </w:r>
      <w:r>
        <w:t xml:space="preserve">tem </w:t>
      </w:r>
      <w:r w:rsidR="00D16DF6">
        <w:t xml:space="preserve">8 above, </w:t>
      </w:r>
      <w:r w:rsidR="009E4941">
        <w:t xml:space="preserve">AMS </w:t>
      </w:r>
      <w:r w:rsidR="00B44A52">
        <w:t xml:space="preserve">reached out to over 125,000 subscribers </w:t>
      </w:r>
      <w:r w:rsidR="0053648A">
        <w:t xml:space="preserve">asking for </w:t>
      </w:r>
      <w:r w:rsidR="005C2644">
        <w:t xml:space="preserve">public comment on this information collection </w:t>
      </w:r>
      <w:r w:rsidR="00422838">
        <w:t>throu</w:t>
      </w:r>
      <w:r w:rsidR="009E4941">
        <w:t xml:space="preserve">gh </w:t>
      </w:r>
      <w:r w:rsidR="0053648A">
        <w:t xml:space="preserve">NOP’s </w:t>
      </w:r>
      <w:r w:rsidR="006E0EDF">
        <w:t xml:space="preserve">Organic Insider email bulletin. </w:t>
      </w:r>
      <w:r w:rsidR="007807D9">
        <w:t xml:space="preserve">After approval, this new OOL variance request information collection </w:t>
      </w:r>
      <w:r w:rsidR="00E578F3">
        <w:t xml:space="preserve">will be merged with </w:t>
      </w:r>
      <w:r w:rsidR="00B12EF1">
        <w:t>currently approved information collection package for the NOP (OMB #0581-0191)</w:t>
      </w:r>
      <w:r w:rsidR="00E578F3">
        <w:t xml:space="preserve">. </w:t>
      </w:r>
      <w:r w:rsidR="005F14A2">
        <w:t xml:space="preserve">Consultation with representatives of those from whom information is to be obtained will occur once every three years </w:t>
      </w:r>
      <w:r w:rsidR="00EC5606">
        <w:t xml:space="preserve">as the NOP renews </w:t>
      </w:r>
      <w:r w:rsidR="0040374C">
        <w:t xml:space="preserve">the </w:t>
      </w:r>
      <w:r w:rsidR="004E3134">
        <w:t>information collection package and seeks public comment in that process.</w:t>
      </w:r>
    </w:p>
    <w:p w:rsidR="003D4ACE" w14:paraId="2CC3D70F" w14:textId="77777777">
      <w:pPr>
        <w:pStyle w:val="EndnoteText"/>
        <w:tabs>
          <w:tab w:val="left" w:pos="-720"/>
        </w:tabs>
        <w:suppressAutoHyphens/>
      </w:pPr>
    </w:p>
    <w:p w:rsidR="000C696B" w:rsidP="00E32B49" w14:paraId="65272080" w14:textId="66A666D3">
      <w:pPr>
        <w:pStyle w:val="Heading2"/>
      </w:pPr>
      <w:r>
        <w:t>9.</w:t>
      </w:r>
      <w:r>
        <w:tab/>
      </w:r>
      <w:r w:rsidRPr="00E32B49">
        <w:t>E</w:t>
      </w:r>
      <w:r w:rsidRPr="00E32B49" w:rsidR="006E48AC">
        <w:t xml:space="preserve">xplain any decision to provide any </w:t>
      </w:r>
      <w:r w:rsidR="006E48AC">
        <w:t>payment or gift to respondents, other than remuneration of contractors or grantees.</w:t>
      </w:r>
    </w:p>
    <w:p w:rsidR="00B94233" w:rsidP="00174A6B" w14:paraId="3DCC053F" w14:textId="0569CAB5">
      <w:pPr>
        <w:pStyle w:val="EndnoteText"/>
        <w:tabs>
          <w:tab w:val="left" w:pos="-720"/>
        </w:tabs>
        <w:suppressAutoHyphens/>
      </w:pPr>
      <w:r>
        <w:t>N</w:t>
      </w:r>
      <w:r>
        <w:t>o payment</w:t>
      </w:r>
      <w:r w:rsidR="00C12C72">
        <w:t>s</w:t>
      </w:r>
      <w:r>
        <w:t xml:space="preserve"> or gift</w:t>
      </w:r>
      <w:r w:rsidR="00C12C72">
        <w:t>s</w:t>
      </w:r>
      <w:r>
        <w:t xml:space="preserve"> </w:t>
      </w:r>
      <w:r>
        <w:t>will be provided</w:t>
      </w:r>
      <w:r w:rsidR="00FC0369">
        <w:t xml:space="preserve"> to</w:t>
      </w:r>
      <w:r>
        <w:t xml:space="preserve"> respondent</w:t>
      </w:r>
      <w:r>
        <w:t>s</w:t>
      </w:r>
      <w:r>
        <w:t>.</w:t>
      </w:r>
    </w:p>
    <w:p w:rsidR="00CB2400" w:rsidP="0093039A" w14:paraId="017ED16C" w14:textId="77777777">
      <w:pPr>
        <w:tabs>
          <w:tab w:val="left" w:pos="-720"/>
        </w:tabs>
        <w:suppressAutoHyphens/>
      </w:pPr>
    </w:p>
    <w:p w:rsidR="00006FDF" w:rsidP="00174A6B" w14:paraId="2A7A86E7" w14:textId="1C292BDC">
      <w:pPr>
        <w:pStyle w:val="Heading2"/>
      </w:pPr>
      <w:r>
        <w:t>10.</w:t>
      </w:r>
      <w:r>
        <w:tab/>
      </w:r>
      <w:r w:rsidRPr="00E8329D">
        <w:rPr>
          <w:szCs w:val="24"/>
        </w:rPr>
        <w:t>D</w:t>
      </w:r>
      <w:r w:rsidR="006E48AC">
        <w:rPr>
          <w:szCs w:val="24"/>
        </w:rPr>
        <w:t>escribe any assurance of confidentiality provided to respondents and the basis for the assurance in statue, regulation, or agency policy</w:t>
      </w:r>
      <w:r>
        <w:t>.</w:t>
      </w:r>
    </w:p>
    <w:p w:rsidR="0074337A" w:rsidP="002C4DD4" w14:paraId="71C43270" w14:textId="319CDC5D">
      <w:pPr>
        <w:pStyle w:val="EndnoteText"/>
        <w:tabs>
          <w:tab w:val="left" w:pos="-720"/>
        </w:tabs>
        <w:suppressAutoHyphens/>
        <w:rPr>
          <w:szCs w:val="24"/>
        </w:rPr>
      </w:pPr>
      <w:r>
        <w:t xml:space="preserve">Respondents are provided confidentiality assurance as the variance requests are </w:t>
      </w:r>
      <w:r w:rsidR="004445AD">
        <w:t>to be submitted to AMS through their certifying agent</w:t>
      </w:r>
      <w:r w:rsidR="00566EA7">
        <w:t xml:space="preserve">. </w:t>
      </w:r>
      <w:r w:rsidR="00265C63">
        <w:t>As certifying agents</w:t>
      </w:r>
      <w:r w:rsidR="002355E7">
        <w:t xml:space="preserve"> accredited by AMS</w:t>
      </w:r>
      <w:r w:rsidR="00265C63">
        <w:t xml:space="preserve">, </w:t>
      </w:r>
      <w:r w:rsidR="00C60E07">
        <w:t>certifying agents</w:t>
      </w:r>
      <w:r w:rsidR="00FA31D0">
        <w:t xml:space="preserve"> (along with all government employees and government contractors)</w:t>
      </w:r>
      <w:r w:rsidR="00C60E07">
        <w:t xml:space="preserve"> are considered an “agent of the United States” and </w:t>
      </w:r>
      <w:r w:rsidR="00D66088">
        <w:t xml:space="preserve">are held to the confidentiality </w:t>
      </w:r>
      <w:r w:rsidR="008E5A70">
        <w:t xml:space="preserve">statues in </w:t>
      </w:r>
      <w:r w:rsidR="008E5A70">
        <w:rPr>
          <w:bCs/>
          <w:szCs w:val="24"/>
        </w:rPr>
        <w:t>t</w:t>
      </w:r>
      <w:r w:rsidR="00B80C59">
        <w:rPr>
          <w:bCs/>
          <w:szCs w:val="24"/>
        </w:rPr>
        <w:t xml:space="preserve">he </w:t>
      </w:r>
      <w:r w:rsidRPr="00C548FD">
        <w:rPr>
          <w:szCs w:val="24"/>
        </w:rPr>
        <w:t>OFPA [</w:t>
      </w:r>
      <w:hyperlink r:id="rId11" w:history="1">
        <w:r w:rsidRPr="00116A75">
          <w:rPr>
            <w:rStyle w:val="Hyperlink"/>
            <w:szCs w:val="24"/>
          </w:rPr>
          <w:t>7 U.S.C. 6519(a</w:t>
        </w:r>
        <w:r>
          <w:rPr>
            <w:rStyle w:val="Hyperlink"/>
            <w:szCs w:val="24"/>
          </w:rPr>
          <w:t>)(5</w:t>
        </w:r>
        <w:r w:rsidRPr="00116A75">
          <w:rPr>
            <w:rStyle w:val="Hyperlink"/>
            <w:szCs w:val="24"/>
          </w:rPr>
          <w:t>)</w:t>
        </w:r>
      </w:hyperlink>
      <w:r w:rsidRPr="00C548FD">
        <w:rPr>
          <w:szCs w:val="24"/>
        </w:rPr>
        <w:t>]</w:t>
      </w:r>
      <w:r w:rsidR="008E5A70">
        <w:rPr>
          <w:szCs w:val="24"/>
        </w:rPr>
        <w:t xml:space="preserve">, which </w:t>
      </w:r>
      <w:r w:rsidRPr="00B3242B">
        <w:t>states</w:t>
      </w:r>
      <w:r>
        <w:rPr>
          <w:szCs w:val="24"/>
        </w:rPr>
        <w:t>:</w:t>
      </w:r>
    </w:p>
    <w:p w:rsidR="0074337A" w:rsidRPr="002C4DD4" w:rsidP="0021658A" w14:paraId="0ECFE841"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74337A" w:rsidRPr="002C4DD4" w:rsidP="002C4DD4" w14:paraId="590DB8F0" w14:textId="77777777">
      <w:pPr>
        <w:pStyle w:val="EndnoteText"/>
        <w:tabs>
          <w:tab w:val="left" w:pos="-720"/>
        </w:tabs>
        <w:suppressAutoHyphens/>
        <w:ind w:left="720"/>
        <w:rPr>
          <w:i/>
          <w:szCs w:val="24"/>
        </w:rPr>
      </w:pPr>
      <w:r w:rsidRPr="002C4DD4">
        <w:rPr>
          <w:i/>
          <w:szCs w:val="24"/>
        </w:rPr>
        <w:t>(a) Recordkeeping</w:t>
      </w:r>
    </w:p>
    <w:p w:rsidR="0074337A" w:rsidP="0074337A" w14:paraId="7E7CB948" w14:textId="77777777">
      <w:pPr>
        <w:pStyle w:val="EndnoteText"/>
        <w:tabs>
          <w:tab w:val="left" w:pos="-720"/>
        </w:tabs>
        <w:suppressAutoHyphens/>
        <w:spacing w:after="120"/>
        <w:ind w:left="720"/>
        <w:rPr>
          <w:bCs/>
          <w:i/>
          <w:iCs/>
          <w:szCs w:val="24"/>
        </w:rPr>
      </w:pPr>
      <w:r>
        <w:rPr>
          <w:bCs/>
          <w:i/>
          <w:iCs/>
          <w:szCs w:val="24"/>
        </w:rPr>
        <w:t>…</w:t>
      </w:r>
    </w:p>
    <w:p w:rsidR="0074337A" w:rsidRPr="002C4DD4" w:rsidP="0074337A" w14:paraId="11DD0727" w14:textId="77777777">
      <w:pPr>
        <w:pStyle w:val="EndnoteText"/>
        <w:tabs>
          <w:tab w:val="left" w:pos="-720"/>
        </w:tabs>
        <w:suppressAutoHyphens/>
        <w:spacing w:after="120"/>
        <w:ind w:left="720"/>
        <w:rPr>
          <w:i/>
          <w:szCs w:val="24"/>
        </w:rPr>
      </w:pPr>
      <w:r w:rsidRPr="002C4DD4">
        <w:rPr>
          <w:i/>
          <w:szCs w:val="24"/>
        </w:rPr>
        <w:t>(5) Confidentiality</w:t>
      </w:r>
    </w:p>
    <w:p w:rsidR="0074337A" w:rsidRPr="00143B9F" w:rsidP="0074337A" w14:paraId="676830B7"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74337A" w:rsidRPr="00143B9F" w:rsidP="0074337A" w14:paraId="2321DC9C"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74337A" w:rsidRPr="00143B9F" w:rsidP="0074337A" w14:paraId="65191760" w14:textId="77777777">
      <w:pPr>
        <w:pStyle w:val="EndnoteText"/>
        <w:tabs>
          <w:tab w:val="left" w:pos="-720"/>
        </w:tabs>
        <w:suppressAutoHyphens/>
        <w:ind w:left="1440"/>
        <w:rPr>
          <w:bCs/>
          <w:i/>
          <w:iCs/>
          <w:szCs w:val="24"/>
        </w:rPr>
      </w:pPr>
      <w:r w:rsidRPr="00143B9F">
        <w:rPr>
          <w:bCs/>
          <w:i/>
          <w:iCs/>
          <w:szCs w:val="24"/>
        </w:rPr>
        <w:t>(B) proprietary business information.</w:t>
      </w:r>
    </w:p>
    <w:p w:rsidR="0074337A" w:rsidP="0074337A" w14:paraId="0EA29B64" w14:textId="77777777">
      <w:pPr>
        <w:pStyle w:val="EndnoteText"/>
        <w:tabs>
          <w:tab w:val="left" w:pos="-720"/>
        </w:tabs>
        <w:suppressAutoHyphens/>
      </w:pPr>
    </w:p>
    <w:p w:rsidR="00824958" w:rsidP="0074337A" w14:paraId="0F5521A6" w14:textId="7880A1A5">
      <w:pPr>
        <w:pStyle w:val="EndnoteText"/>
        <w:tabs>
          <w:tab w:val="left" w:pos="-720"/>
        </w:tabs>
        <w:suppressAutoHyphens/>
      </w:pPr>
      <w:r>
        <w:t xml:space="preserve">Certifying </w:t>
      </w:r>
      <w:r w:rsidR="00102FB3">
        <w:t xml:space="preserve">agents </w:t>
      </w:r>
      <w:r w:rsidR="0016396A">
        <w:t>must also</w:t>
      </w:r>
      <w:r w:rsidR="00C1369E">
        <w:t xml:space="preserve"> </w:t>
      </w:r>
      <w:r w:rsidR="00BC1F8D">
        <w:t xml:space="preserve">remain compliant with the USDA organic regulations, </w:t>
      </w:r>
      <w:hyperlink r:id="rId15" w:anchor="p-205.501(a)(10)" w:history="1">
        <w:r w:rsidRPr="00B05D38" w:rsidR="00393E07">
          <w:rPr>
            <w:rStyle w:val="Hyperlink"/>
          </w:rPr>
          <w:t>7 CFR 205.501</w:t>
        </w:r>
        <w:r w:rsidRPr="00B05D38" w:rsidR="00B05D38">
          <w:rPr>
            <w:rStyle w:val="Hyperlink"/>
          </w:rPr>
          <w:t>(a)(10)</w:t>
        </w:r>
      </w:hyperlink>
      <w:r w:rsidR="00CC2DDB">
        <w:t xml:space="preserve">, </w:t>
      </w:r>
      <w:r w:rsidR="004B3DEA">
        <w:t xml:space="preserve">which incorporates </w:t>
      </w:r>
      <w:r w:rsidR="00194B4C">
        <w:t xml:space="preserve">additional certifying agent confidentiality requirements from OFPA </w:t>
      </w:r>
      <w:hyperlink r:id="rId11" w:history="1">
        <w:r w:rsidRPr="00194B4C" w:rsidR="00194B4C">
          <w:rPr>
            <w:rStyle w:val="Hyperlink"/>
          </w:rPr>
          <w:t>7 U.S.C. 6515(f)</w:t>
        </w:r>
      </w:hyperlink>
      <w:r w:rsidR="00194B4C">
        <w:t xml:space="preserve">. The USDA organic regulations </w:t>
      </w:r>
      <w:r w:rsidR="00507D65">
        <w:t>state:</w:t>
      </w:r>
    </w:p>
    <w:p w:rsidR="00507D65" w:rsidRPr="002C4DD4" w:rsidP="0021658A" w14:paraId="37CA9549" w14:textId="0F5A6067">
      <w:pPr>
        <w:pStyle w:val="EndnoteText"/>
        <w:tabs>
          <w:tab w:val="left" w:pos="-720"/>
        </w:tabs>
        <w:suppressAutoHyphens/>
        <w:spacing w:before="240" w:after="120"/>
        <w:ind w:left="720"/>
        <w:rPr>
          <w:i/>
          <w:szCs w:val="24"/>
        </w:rPr>
      </w:pPr>
      <w:r>
        <w:rPr>
          <w:i/>
          <w:szCs w:val="24"/>
        </w:rPr>
        <w:t>§</w:t>
      </w:r>
      <w:r w:rsidRPr="002C4DD4" w:rsidR="008B4320">
        <w:rPr>
          <w:i/>
          <w:szCs w:val="24"/>
        </w:rPr>
        <w:t> 205.501 General requirements for accreditation.</w:t>
      </w:r>
    </w:p>
    <w:p w:rsidR="00CD3927" w:rsidRPr="002C4DD4" w:rsidP="002C4DD4" w14:paraId="248B7603" w14:textId="500A1FE4">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CD3927" w:rsidRPr="002C4DD4" w:rsidP="008B4320" w14:paraId="788C201F" w14:textId="7BC4808E">
      <w:pPr>
        <w:pStyle w:val="EndnoteText"/>
        <w:tabs>
          <w:tab w:val="left" w:pos="-720"/>
        </w:tabs>
        <w:suppressAutoHyphens/>
        <w:spacing w:after="120"/>
        <w:ind w:left="720"/>
        <w:rPr>
          <w:bCs/>
          <w:i/>
          <w:iCs/>
          <w:szCs w:val="24"/>
        </w:rPr>
      </w:pPr>
      <w:r w:rsidRPr="002C4DD4">
        <w:rPr>
          <w:bCs/>
          <w:i/>
          <w:iCs/>
          <w:szCs w:val="24"/>
        </w:rPr>
        <w:t>…</w:t>
      </w:r>
    </w:p>
    <w:p w:rsidR="003B68FF" w:rsidRPr="002C4DD4" w:rsidP="002C4DD4" w14:paraId="56102B00" w14:textId="76379638">
      <w:pPr>
        <w:pStyle w:val="EndnoteText"/>
        <w:tabs>
          <w:tab w:val="left" w:pos="-720"/>
        </w:tabs>
        <w:suppressAutoHyphens/>
        <w:spacing w:after="120"/>
        <w:ind w:left="720"/>
        <w:rPr>
          <w:i/>
          <w:iCs/>
        </w:rPr>
      </w:pPr>
      <w:r w:rsidRPr="002C4DD4">
        <w:rPr>
          <w:i/>
          <w:iCs/>
        </w:rPr>
        <w:t xml:space="preserve">(10) </w:t>
      </w:r>
      <w:r w:rsidRPr="002C4DD4">
        <w:rPr>
          <w:bCs/>
          <w:i/>
          <w:iCs/>
          <w:szCs w:val="24"/>
        </w:rPr>
        <w:t>Maintain</w:t>
      </w:r>
      <w:r w:rsidRPr="002C4DD4">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3B68FF" w:rsidRPr="002C4DD4" w:rsidP="002C4DD4" w14:paraId="71C03C45" w14:textId="65915CA2">
      <w:pPr>
        <w:pStyle w:val="EndnoteText"/>
        <w:tabs>
          <w:tab w:val="left" w:pos="-720"/>
        </w:tabs>
        <w:suppressAutoHyphens/>
        <w:spacing w:after="120"/>
        <w:ind w:left="1440"/>
        <w:rPr>
          <w:bCs/>
          <w:i/>
          <w:iCs/>
          <w:szCs w:val="24"/>
        </w:rPr>
      </w:pPr>
      <w:r w:rsidRPr="002C4DD4">
        <w:rPr>
          <w:bCs/>
          <w:i/>
          <w:iCs/>
          <w:szCs w:val="24"/>
        </w:rPr>
        <w:t>(i) For information that must be made available to any member of the public, as provided for in § 205.504(b)(5</w:t>
      </w:r>
      <w:r w:rsidRPr="002C4DD4">
        <w:rPr>
          <w:bCs/>
          <w:i/>
          <w:iCs/>
          <w:szCs w:val="24"/>
        </w:rPr>
        <w:t>);</w:t>
      </w:r>
    </w:p>
    <w:p w:rsidR="003B68FF" w:rsidRPr="002C4DD4" w:rsidP="002C4DD4" w14:paraId="68C56AAD" w14:textId="30E8D3AB">
      <w:pPr>
        <w:pStyle w:val="EndnoteText"/>
        <w:tabs>
          <w:tab w:val="left" w:pos="-720"/>
        </w:tabs>
        <w:suppressAutoHyphens/>
        <w:spacing w:after="120"/>
        <w:ind w:left="1440"/>
        <w:rPr>
          <w:bCs/>
          <w:i/>
          <w:iCs/>
          <w:szCs w:val="24"/>
        </w:rPr>
      </w:pPr>
      <w:r w:rsidRPr="002C4DD4">
        <w:rPr>
          <w:bCs/>
          <w:i/>
          <w:iCs/>
          <w:szCs w:val="24"/>
        </w:rPr>
        <w:t xml:space="preserve">(ii) For enforcement purposes, certifying agents must exchange any compliance-related information that is credibly needed to certify, decertify, or investigate an operation, including for the purpose of verifying supply chain traceability and </w:t>
      </w:r>
      <w:r w:rsidRPr="002C4DD4">
        <w:rPr>
          <w:bCs/>
          <w:i/>
          <w:iCs/>
          <w:szCs w:val="24"/>
        </w:rPr>
        <w:t>audit trail documentation; and</w:t>
      </w:r>
    </w:p>
    <w:p w:rsidR="00824958" w:rsidP="00B83746" w14:paraId="3E9B3B82" w14:textId="4E2C0B28">
      <w:pPr>
        <w:pStyle w:val="EndnoteText"/>
        <w:tabs>
          <w:tab w:val="left" w:pos="-720"/>
        </w:tabs>
        <w:suppressAutoHyphens/>
        <w:ind w:left="1440"/>
        <w:rPr>
          <w:bCs/>
          <w:i/>
          <w:iCs/>
          <w:szCs w:val="24"/>
        </w:rPr>
      </w:pPr>
      <w:r w:rsidRPr="002C4DD4">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B83746" w:rsidRPr="00B83746" w:rsidP="00B83746" w14:paraId="7FB30AE3" w14:textId="77777777">
      <w:pPr>
        <w:pStyle w:val="EndnoteText"/>
        <w:tabs>
          <w:tab w:val="left" w:pos="-720"/>
        </w:tabs>
        <w:suppressAutoHyphens/>
        <w:rPr>
          <w:bCs/>
          <w:szCs w:val="24"/>
        </w:rPr>
      </w:pPr>
    </w:p>
    <w:p w:rsidR="000C696B" w:rsidP="00E32103" w14:paraId="66D4714D" w14:textId="15529055">
      <w:pPr>
        <w:pStyle w:val="Heading2"/>
      </w:pPr>
      <w:r>
        <w:t>11.</w:t>
      </w:r>
      <w:r>
        <w:tab/>
      </w:r>
      <w:r w:rsidRPr="00E8329D">
        <w:rPr>
          <w:szCs w:val="24"/>
        </w:rPr>
        <w:t>P</w:t>
      </w:r>
      <w:r w:rsidR="006E48AC">
        <w:rPr>
          <w:szCs w:val="24"/>
        </w:rPr>
        <w:t>rovide additional justification for any questions of a sensitive nature, such as sexual behavior and attitudes, religious beliefs, and other matters that are commonly considered private</w:t>
      </w:r>
      <w:r>
        <w:t>. T</w:t>
      </w:r>
      <w:r w:rsidR="006E48AC">
        <w: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rsidR="002B4CE5" w:rsidP="00E32103" w14:paraId="4C3CA450" w14:textId="3CEA629C">
      <w:pPr>
        <w:pStyle w:val="EndnoteText"/>
        <w:tabs>
          <w:tab w:val="left" w:pos="-720"/>
        </w:tabs>
        <w:suppressAutoHyphens/>
        <w:rPr>
          <w:szCs w:val="24"/>
        </w:rPr>
      </w:pPr>
      <w:r>
        <w:rPr>
          <w:szCs w:val="24"/>
        </w:rPr>
        <w:t xml:space="preserve">No questions in this information collection </w:t>
      </w:r>
      <w:r w:rsidR="008C072C">
        <w:rPr>
          <w:szCs w:val="24"/>
        </w:rPr>
        <w:t xml:space="preserve">relate to sexual behavior and attitudes or religious beliefs. </w:t>
      </w:r>
      <w:r>
        <w:rPr>
          <w:szCs w:val="24"/>
        </w:rPr>
        <w:t xml:space="preserve">Certified organic </w:t>
      </w:r>
      <w:r w:rsidR="00F23D31">
        <w:rPr>
          <w:szCs w:val="24"/>
        </w:rPr>
        <w:t xml:space="preserve">dairy </w:t>
      </w:r>
      <w:r>
        <w:rPr>
          <w:szCs w:val="24"/>
        </w:rPr>
        <w:t>operations requesting a variance</w:t>
      </w:r>
      <w:r w:rsidR="00E65AAD">
        <w:rPr>
          <w:szCs w:val="24"/>
        </w:rPr>
        <w:t xml:space="preserve"> </w:t>
      </w:r>
      <w:r w:rsidR="001635D1">
        <w:rPr>
          <w:szCs w:val="24"/>
        </w:rPr>
        <w:t>must</w:t>
      </w:r>
      <w:r w:rsidR="00E65AAD">
        <w:rPr>
          <w:szCs w:val="24"/>
        </w:rPr>
        <w:t xml:space="preserve"> submit </w:t>
      </w:r>
      <w:r w:rsidR="00DC6F43">
        <w:rPr>
          <w:szCs w:val="24"/>
        </w:rPr>
        <w:t xml:space="preserve">information </w:t>
      </w:r>
      <w:r w:rsidR="00C05F65">
        <w:rPr>
          <w:szCs w:val="24"/>
        </w:rPr>
        <w:t xml:space="preserve">showing that they meet one of the </w:t>
      </w:r>
      <w:r>
        <w:rPr>
          <w:szCs w:val="24"/>
        </w:rPr>
        <w:t xml:space="preserve">qualifying three reasons </w:t>
      </w:r>
      <w:r w:rsidR="00FE49AE">
        <w:rPr>
          <w:szCs w:val="24"/>
        </w:rPr>
        <w:t xml:space="preserve">for a variance </w:t>
      </w:r>
      <w:r>
        <w:rPr>
          <w:szCs w:val="24"/>
        </w:rPr>
        <w:t xml:space="preserve">identified in </w:t>
      </w:r>
      <w:hyperlink r:id="rId15" w:anchor="p-205.236(d)(1)" w:history="1">
        <w:r w:rsidR="00394CC7">
          <w:rPr>
            <w:rStyle w:val="Hyperlink"/>
            <w:szCs w:val="24"/>
          </w:rPr>
          <w:t>7 CFR</w:t>
        </w:r>
        <w:r w:rsidRPr="00990219">
          <w:rPr>
            <w:rStyle w:val="Hyperlink"/>
            <w:szCs w:val="24"/>
          </w:rPr>
          <w:t> 205.236(d)(1)</w:t>
        </w:r>
      </w:hyperlink>
      <w:r w:rsidR="00FE49AE">
        <w:rPr>
          <w:szCs w:val="24"/>
        </w:rPr>
        <w:t>:</w:t>
      </w:r>
      <w:r>
        <w:rPr>
          <w:szCs w:val="24"/>
        </w:rPr>
        <w:t xml:space="preserve"> (1) bankruptcy or forced sale, (2) insolvency or liquidating animals as a result of ceasing operations, or (3) intergenerational transfer of animals</w:t>
      </w:r>
      <w:r w:rsidR="00FE49AE">
        <w:rPr>
          <w:szCs w:val="24"/>
        </w:rPr>
        <w:t>.</w:t>
      </w:r>
      <w:r w:rsidR="003526AE">
        <w:rPr>
          <w:szCs w:val="24"/>
        </w:rPr>
        <w:t xml:space="preserve"> </w:t>
      </w:r>
      <w:r w:rsidR="00CA5348">
        <w:rPr>
          <w:szCs w:val="24"/>
        </w:rPr>
        <w:t>Respondents may consider b</w:t>
      </w:r>
      <w:r w:rsidR="003526AE">
        <w:rPr>
          <w:szCs w:val="24"/>
        </w:rPr>
        <w:t xml:space="preserve">ankruptcy </w:t>
      </w:r>
      <w:r w:rsidR="00FD769D">
        <w:rPr>
          <w:szCs w:val="24"/>
        </w:rPr>
        <w:t xml:space="preserve">and </w:t>
      </w:r>
      <w:r w:rsidR="00686326">
        <w:rPr>
          <w:szCs w:val="24"/>
        </w:rPr>
        <w:t>the cessation</w:t>
      </w:r>
      <w:r w:rsidR="000B4DFD">
        <w:rPr>
          <w:szCs w:val="24"/>
        </w:rPr>
        <w:t xml:space="preserve"> of an </w:t>
      </w:r>
      <w:r w:rsidR="005676C3">
        <w:rPr>
          <w:szCs w:val="24"/>
        </w:rPr>
        <w:t xml:space="preserve">operation </w:t>
      </w:r>
      <w:r w:rsidR="00CA5348">
        <w:rPr>
          <w:szCs w:val="24"/>
        </w:rPr>
        <w:t xml:space="preserve">to be </w:t>
      </w:r>
      <w:r w:rsidR="00F706C2">
        <w:rPr>
          <w:szCs w:val="24"/>
        </w:rPr>
        <w:t>of a sensitive nature</w:t>
      </w:r>
      <w:r w:rsidR="00765287">
        <w:rPr>
          <w:szCs w:val="24"/>
        </w:rPr>
        <w:t xml:space="preserve">, but </w:t>
      </w:r>
      <w:r w:rsidR="00EF213E">
        <w:rPr>
          <w:szCs w:val="24"/>
        </w:rPr>
        <w:t xml:space="preserve">AMS does not </w:t>
      </w:r>
      <w:r w:rsidR="00E402E8">
        <w:rPr>
          <w:szCs w:val="24"/>
        </w:rPr>
        <w:t xml:space="preserve">consider this information to be private, as </w:t>
      </w:r>
      <w:r w:rsidR="00644684">
        <w:rPr>
          <w:szCs w:val="24"/>
        </w:rPr>
        <w:t xml:space="preserve">most </w:t>
      </w:r>
      <w:r w:rsidR="00077B10">
        <w:rPr>
          <w:szCs w:val="24"/>
        </w:rPr>
        <w:t xml:space="preserve">bankruptcy </w:t>
      </w:r>
      <w:r w:rsidR="0061115B">
        <w:rPr>
          <w:szCs w:val="24"/>
        </w:rPr>
        <w:t>cases</w:t>
      </w:r>
      <w:r w:rsidR="007756EE">
        <w:rPr>
          <w:szCs w:val="24"/>
        </w:rPr>
        <w:t xml:space="preserve"> are public </w:t>
      </w:r>
      <w:r w:rsidR="00571674">
        <w:rPr>
          <w:szCs w:val="24"/>
        </w:rPr>
        <w:t>record,</w:t>
      </w:r>
      <w:r w:rsidR="00F12EF6">
        <w:rPr>
          <w:szCs w:val="24"/>
        </w:rPr>
        <w:t xml:space="preserve"> </w:t>
      </w:r>
      <w:r w:rsidR="0062485E">
        <w:rPr>
          <w:szCs w:val="24"/>
        </w:rPr>
        <w:t xml:space="preserve">and </w:t>
      </w:r>
      <w:r w:rsidR="00475585">
        <w:rPr>
          <w:szCs w:val="24"/>
        </w:rPr>
        <w:t>the cessation of an operation is not an unusual or uncommon occurrence.</w:t>
      </w:r>
    </w:p>
    <w:p w:rsidR="00A3203A" w:rsidP="00E32103" w14:paraId="457C50CD" w14:textId="77777777">
      <w:pPr>
        <w:pStyle w:val="EndnoteText"/>
        <w:tabs>
          <w:tab w:val="left" w:pos="-720"/>
        </w:tabs>
        <w:suppressAutoHyphens/>
        <w:rPr>
          <w:szCs w:val="24"/>
        </w:rPr>
      </w:pPr>
    </w:p>
    <w:p w:rsidR="00A3203A" w:rsidP="00E32103" w14:paraId="75320CC2" w14:textId="488A7F83">
      <w:pPr>
        <w:pStyle w:val="EndnoteText"/>
        <w:tabs>
          <w:tab w:val="left" w:pos="-720"/>
        </w:tabs>
        <w:suppressAutoHyphens/>
      </w:pPr>
      <w:r>
        <w:rPr>
          <w:szCs w:val="24"/>
        </w:rPr>
        <w:t xml:space="preserve">AMS considers this information to be necessary to collect, </w:t>
      </w:r>
      <w:r w:rsidR="00F3647C">
        <w:rPr>
          <w:szCs w:val="24"/>
        </w:rPr>
        <w:t xml:space="preserve">as this variance </w:t>
      </w:r>
      <w:r w:rsidR="00CA2BB3">
        <w:rPr>
          <w:szCs w:val="24"/>
        </w:rPr>
        <w:t xml:space="preserve">is intended </w:t>
      </w:r>
      <w:r>
        <w:rPr>
          <w:szCs w:val="24"/>
        </w:rPr>
        <w:t xml:space="preserve">to </w:t>
      </w:r>
      <w:r w:rsidR="0070092B">
        <w:rPr>
          <w:szCs w:val="24"/>
        </w:rPr>
        <w:t xml:space="preserve">reduce </w:t>
      </w:r>
      <w:r w:rsidR="00013647">
        <w:rPr>
          <w:szCs w:val="24"/>
        </w:rPr>
        <w:t xml:space="preserve">economic burden that would otherwise exist </w:t>
      </w:r>
      <w:r w:rsidR="00041F12">
        <w:rPr>
          <w:szCs w:val="24"/>
        </w:rPr>
        <w:t xml:space="preserve">for </w:t>
      </w:r>
      <w:r w:rsidR="00013647">
        <w:rPr>
          <w:szCs w:val="24"/>
        </w:rPr>
        <w:t>these small operations</w:t>
      </w:r>
      <w:r w:rsidR="00D006C7">
        <w:rPr>
          <w:szCs w:val="24"/>
        </w:rPr>
        <w:t xml:space="preserve"> if </w:t>
      </w:r>
      <w:r w:rsidR="00397AE3">
        <w:rPr>
          <w:szCs w:val="24"/>
        </w:rPr>
        <w:t xml:space="preserve">they were unable to </w:t>
      </w:r>
      <w:r w:rsidR="003F3776">
        <w:rPr>
          <w:szCs w:val="24"/>
        </w:rPr>
        <w:t xml:space="preserve">obtain a variance for the origin of livestock in the three </w:t>
      </w:r>
      <w:r w:rsidR="00404C51">
        <w:rPr>
          <w:szCs w:val="24"/>
        </w:rPr>
        <w:t>scenarios described.</w:t>
      </w:r>
      <w:r w:rsidR="00C835FB">
        <w:rPr>
          <w:szCs w:val="24"/>
        </w:rPr>
        <w:t xml:space="preserve"> This is described in further detail </w:t>
      </w:r>
      <w:r w:rsidR="00294712">
        <w:rPr>
          <w:szCs w:val="24"/>
        </w:rPr>
        <w:t xml:space="preserve">in the </w:t>
      </w:r>
      <w:r w:rsidRPr="00262A26" w:rsidR="00C835FB">
        <w:t>OOL final rule</w:t>
      </w:r>
      <w:r w:rsidR="00C835FB">
        <w:t xml:space="preserve"> </w:t>
      </w:r>
      <w:r w:rsidR="00964BFA">
        <w:t xml:space="preserve">that established this variance </w:t>
      </w:r>
      <w:r w:rsidR="00C835FB">
        <w:t>(</w:t>
      </w:r>
      <w:hyperlink r:id="rId13" w:history="1">
        <w:r w:rsidRPr="00262A26" w:rsidR="00C835FB">
          <w:rPr>
            <w:color w:val="0000FF"/>
            <w:szCs w:val="24"/>
            <w:u w:val="single"/>
          </w:rPr>
          <w:t>87 FR 19740</w:t>
        </w:r>
      </w:hyperlink>
      <w:r w:rsidR="00C835FB">
        <w:rPr>
          <w:szCs w:val="24"/>
        </w:rPr>
        <w:t xml:space="preserve">, </w:t>
      </w:r>
      <w:r w:rsidR="000F3E61">
        <w:rPr>
          <w:szCs w:val="24"/>
        </w:rPr>
        <w:t xml:space="preserve">April </w:t>
      </w:r>
      <w:r w:rsidR="00C835FB">
        <w:rPr>
          <w:szCs w:val="24"/>
        </w:rPr>
        <w:t>5</w:t>
      </w:r>
      <w:r w:rsidR="000F3E61">
        <w:rPr>
          <w:szCs w:val="24"/>
        </w:rPr>
        <w:t xml:space="preserve">, </w:t>
      </w:r>
      <w:r w:rsidR="00C835FB">
        <w:rPr>
          <w:szCs w:val="24"/>
        </w:rPr>
        <w:t>2022</w:t>
      </w:r>
      <w:r w:rsidR="00F91A79">
        <w:rPr>
          <w:szCs w:val="24"/>
        </w:rPr>
        <w:t xml:space="preserve">, </w:t>
      </w:r>
      <w:hyperlink r:id="rId18" w:history="1">
        <w:r w:rsidRPr="00F91A79" w:rsidR="00F91A79">
          <w:rPr>
            <w:rStyle w:val="Hyperlink"/>
            <w:szCs w:val="24"/>
          </w:rPr>
          <w:t>page 19750</w:t>
        </w:r>
      </w:hyperlink>
      <w:r w:rsidR="00C835FB">
        <w:rPr>
          <w:szCs w:val="24"/>
        </w:rPr>
        <w:t>)</w:t>
      </w:r>
      <w:r w:rsidR="00964BFA">
        <w:rPr>
          <w:szCs w:val="24"/>
        </w:rPr>
        <w:t>.</w:t>
      </w:r>
    </w:p>
    <w:p w:rsidR="00436B1D" w:rsidP="00E32103" w14:paraId="712D5A93" w14:textId="77777777">
      <w:pPr>
        <w:pStyle w:val="EndnoteText"/>
        <w:tabs>
          <w:tab w:val="left" w:pos="-720"/>
        </w:tabs>
        <w:suppressAutoHyphens/>
      </w:pPr>
    </w:p>
    <w:p w:rsidR="000C696B" w:rsidP="00994AC7" w14:paraId="7547097B" w14:textId="53B95338">
      <w:pPr>
        <w:pStyle w:val="Heading2"/>
      </w:pPr>
      <w:r w:rsidRPr="00C079C7">
        <w:t>12.</w:t>
      </w:r>
      <w:r w:rsidRPr="00C079C7">
        <w:tab/>
        <w:t>P</w:t>
      </w:r>
      <w:r w:rsidR="00AF13CC">
        <w:t>rovide estimates of the hour burden of the collection of information</w:t>
      </w:r>
      <w:r w:rsidRPr="00C079C7">
        <w:t>.</w:t>
      </w:r>
      <w:r w:rsidR="00994AC7">
        <w:t xml:space="preserve"> The statement should:</w:t>
      </w:r>
    </w:p>
    <w:p w:rsidR="00994AC7" w:rsidRPr="00994AC7" w:rsidP="00314B28" w14:paraId="76B20FFF" w14:textId="77777777"/>
    <w:p w:rsidR="00994AC7" w:rsidRPr="00C079C7" w:rsidP="002C4DD4" w14:paraId="608C2E4A" w14:textId="06391684">
      <w:pPr>
        <w:pStyle w:val="Heading3"/>
      </w:pPr>
      <w:r w:rsidRPr="00C079C7">
        <w:t>I</w:t>
      </w:r>
      <w:r>
        <w:t xml:space="preserve">ndicate the number of respondents, frequency of response, annual hour burden, and </w:t>
      </w:r>
      <w:r w:rsidRPr="00AD0431">
        <w:t>an explanation of how the burden was estimated</w:t>
      </w:r>
      <w:r>
        <w:t xml:space="preserve">. Unless directed to do so, agencies should not conduct special surveys to obtain information on which to base hour burden estimates. </w:t>
      </w:r>
      <w:r w:rsidRPr="00C079C7">
        <w:t>C</w:t>
      </w:r>
      <w:r>
        <w:t xml:space="preserve">onsultation with a sample (fewer than 10) of </w:t>
      </w:r>
      <w:r w:rsidR="0058639A">
        <w:t xml:space="preserve">potential respondents is desirable. </w:t>
      </w:r>
      <w:r w:rsidRPr="00C079C7">
        <w:t>I</w:t>
      </w:r>
      <w:r w:rsidR="0058639A">
        <w:t xml:space="preserve">f the hour burden on respondents is expected to vary widely because of difference in activity, size, or complexity, show the range of estimated hour burden, and explain the reasons for the variance. </w:t>
      </w:r>
      <w:r w:rsidRPr="00C079C7">
        <w:t>G</w:t>
      </w:r>
      <w:r w:rsidR="0058639A">
        <w:t>enerally, estimates should not include burden hours for customary and usual business practices</w:t>
      </w:r>
      <w:r w:rsidRPr="00C079C7">
        <w:t>.</w:t>
      </w:r>
    </w:p>
    <w:p w:rsidR="005C2292" w:rsidRPr="002C4DD4" w:rsidP="00314B28" w14:paraId="694C7233" w14:textId="19B49B14">
      <w:pPr>
        <w:pStyle w:val="EndnoteText"/>
        <w:tabs>
          <w:tab w:val="left" w:pos="-720"/>
        </w:tabs>
        <w:suppressAutoHyphens/>
        <w:rPr>
          <w:szCs w:val="24"/>
        </w:rPr>
      </w:pPr>
      <w:r w:rsidRPr="002C4DD4">
        <w:rPr>
          <w:szCs w:val="24"/>
        </w:rPr>
        <w:t xml:space="preserve">This burden estimate accounts for </w:t>
      </w:r>
      <w:r w:rsidRPr="002C4DD4" w:rsidR="00DD712E">
        <w:rPr>
          <w:szCs w:val="24"/>
        </w:rPr>
        <w:t xml:space="preserve">certified organic </w:t>
      </w:r>
      <w:r w:rsidR="003C26D8">
        <w:rPr>
          <w:szCs w:val="24"/>
        </w:rPr>
        <w:t>dairy</w:t>
      </w:r>
      <w:r w:rsidRPr="002C4DD4" w:rsidR="003C26D8">
        <w:rPr>
          <w:szCs w:val="24"/>
        </w:rPr>
        <w:t xml:space="preserve"> </w:t>
      </w:r>
      <w:r w:rsidRPr="002C4DD4" w:rsidR="00DD712E">
        <w:rPr>
          <w:szCs w:val="24"/>
        </w:rPr>
        <w:t xml:space="preserve">operations </w:t>
      </w:r>
      <w:r w:rsidRPr="002C4DD4" w:rsidR="00250527">
        <w:rPr>
          <w:szCs w:val="24"/>
        </w:rPr>
        <w:t>submitting a variance request to AMS.</w:t>
      </w:r>
    </w:p>
    <w:p w:rsidR="00250527" w:rsidRPr="00250527" w:rsidP="00314B28" w14:paraId="70FEB540" w14:textId="77777777">
      <w:pPr>
        <w:pStyle w:val="EndnoteText"/>
        <w:tabs>
          <w:tab w:val="left" w:pos="-720"/>
        </w:tabs>
        <w:suppressAutoHyphens/>
        <w:rPr>
          <w:szCs w:val="24"/>
        </w:rPr>
      </w:pPr>
    </w:p>
    <w:p w:rsidR="005C2292" w:rsidRPr="00250527" w:rsidP="00314B28" w14:paraId="0C2A310B" w14:textId="6D3B8048">
      <w:pPr>
        <w:pStyle w:val="EndnoteText"/>
        <w:tabs>
          <w:tab w:val="left" w:pos="-720"/>
        </w:tabs>
        <w:suppressAutoHyphens/>
        <w:rPr>
          <w:szCs w:val="24"/>
        </w:rPr>
      </w:pPr>
      <w:r w:rsidRPr="00250527">
        <w:rPr>
          <w:szCs w:val="24"/>
        </w:rPr>
        <w:t xml:space="preserve">Number of </w:t>
      </w:r>
      <w:r w:rsidRPr="002C4DD4" w:rsidR="00070C50">
        <w:rPr>
          <w:szCs w:val="24"/>
        </w:rPr>
        <w:t>R</w:t>
      </w:r>
      <w:r w:rsidRPr="00250527">
        <w:rPr>
          <w:szCs w:val="24"/>
        </w:rPr>
        <w:t>espondents:</w:t>
      </w:r>
      <w:r w:rsidRPr="00250527" w:rsidR="00132472">
        <w:rPr>
          <w:szCs w:val="24"/>
        </w:rPr>
        <w:t xml:space="preserve"> 56</w:t>
      </w:r>
    </w:p>
    <w:p w:rsidR="000967D3" w:rsidRPr="00250527" w:rsidP="00314B28" w14:paraId="03602B90" w14:textId="5D34E792">
      <w:pPr>
        <w:pStyle w:val="EndnoteText"/>
        <w:tabs>
          <w:tab w:val="left" w:pos="-720"/>
        </w:tabs>
        <w:suppressAutoHyphens/>
        <w:rPr>
          <w:szCs w:val="24"/>
        </w:rPr>
      </w:pPr>
      <w:r w:rsidRPr="00250527">
        <w:rPr>
          <w:szCs w:val="24"/>
        </w:rPr>
        <w:t xml:space="preserve">Frequency of </w:t>
      </w:r>
      <w:r w:rsidRPr="002C4DD4" w:rsidR="001A1A16">
        <w:rPr>
          <w:szCs w:val="24"/>
        </w:rPr>
        <w:t>R</w:t>
      </w:r>
      <w:r w:rsidRPr="00250527">
        <w:rPr>
          <w:szCs w:val="24"/>
        </w:rPr>
        <w:t>esponse:</w:t>
      </w:r>
      <w:r w:rsidRPr="00250527" w:rsidR="00871EDE">
        <w:rPr>
          <w:szCs w:val="24"/>
        </w:rPr>
        <w:t xml:space="preserve"> </w:t>
      </w:r>
      <w:r w:rsidRPr="002C4DD4" w:rsidR="00193445">
        <w:rPr>
          <w:szCs w:val="24"/>
        </w:rPr>
        <w:t>1</w:t>
      </w:r>
      <w:r w:rsidR="00872D59">
        <w:rPr>
          <w:szCs w:val="24"/>
        </w:rPr>
        <w:t xml:space="preserve"> per </w:t>
      </w:r>
      <w:r w:rsidRPr="002C4DD4" w:rsidR="00193445">
        <w:rPr>
          <w:szCs w:val="24"/>
        </w:rPr>
        <w:t>year</w:t>
      </w:r>
    </w:p>
    <w:p w:rsidR="000967D3" w:rsidRPr="002C4DD4" w:rsidP="00314B28" w14:paraId="492BA1FA" w14:textId="04D5B45F">
      <w:pPr>
        <w:pStyle w:val="EndnoteText"/>
        <w:tabs>
          <w:tab w:val="left" w:pos="-720"/>
        </w:tabs>
        <w:suppressAutoHyphens/>
        <w:rPr>
          <w:szCs w:val="24"/>
        </w:rPr>
      </w:pPr>
      <w:r w:rsidRPr="00250527">
        <w:rPr>
          <w:szCs w:val="24"/>
        </w:rPr>
        <w:t>Annual hour burden:</w:t>
      </w:r>
      <w:r w:rsidRPr="00250527" w:rsidR="003A3F04">
        <w:rPr>
          <w:szCs w:val="24"/>
        </w:rPr>
        <w:t xml:space="preserve"> </w:t>
      </w:r>
      <w:r w:rsidRPr="00250527" w:rsidR="00A720A7">
        <w:rPr>
          <w:szCs w:val="24"/>
        </w:rPr>
        <w:t>98</w:t>
      </w:r>
    </w:p>
    <w:p w:rsidR="00F005BC" w:rsidP="00314B28" w14:paraId="0F6C895A" w14:textId="77777777">
      <w:pPr>
        <w:pStyle w:val="EndnoteText"/>
        <w:tabs>
          <w:tab w:val="left" w:pos="-720"/>
        </w:tabs>
        <w:suppressAutoHyphens/>
        <w:rPr>
          <w:szCs w:val="24"/>
          <w:highlight w:val="yellow"/>
        </w:rPr>
      </w:pPr>
    </w:p>
    <w:p w:rsidR="0085350A" w:rsidRPr="002C4DD4" w:rsidP="00314B28" w14:paraId="22745840" w14:textId="36DDDEFE">
      <w:pPr>
        <w:pStyle w:val="EndnoteText"/>
        <w:tabs>
          <w:tab w:val="left" w:pos="-720"/>
        </w:tabs>
        <w:suppressAutoHyphens/>
        <w:rPr>
          <w:szCs w:val="24"/>
        </w:rPr>
      </w:pPr>
      <w:r w:rsidRPr="002C4DD4">
        <w:rPr>
          <w:szCs w:val="24"/>
        </w:rPr>
        <w:t xml:space="preserve">The 56 respondents </w:t>
      </w:r>
      <w:r w:rsidRPr="002C4DD4" w:rsidR="00B90565">
        <w:rPr>
          <w:szCs w:val="24"/>
        </w:rPr>
        <w:t>include</w:t>
      </w:r>
      <w:r w:rsidRPr="002C4DD4">
        <w:rPr>
          <w:szCs w:val="24"/>
        </w:rPr>
        <w:t xml:space="preserve"> 28 certified organic </w:t>
      </w:r>
      <w:r w:rsidR="003C26D8">
        <w:rPr>
          <w:szCs w:val="24"/>
        </w:rPr>
        <w:t>dairy</w:t>
      </w:r>
      <w:r w:rsidRPr="002C4DD4" w:rsidR="003C26D8">
        <w:rPr>
          <w:szCs w:val="24"/>
        </w:rPr>
        <w:t xml:space="preserve"> </w:t>
      </w:r>
      <w:r w:rsidRPr="002C4DD4">
        <w:rPr>
          <w:szCs w:val="24"/>
        </w:rPr>
        <w:t>operations and 28 certifying agen</w:t>
      </w:r>
      <w:r w:rsidRPr="002C4DD4" w:rsidR="00B90565">
        <w:rPr>
          <w:szCs w:val="24"/>
        </w:rPr>
        <w:t xml:space="preserve">ts. </w:t>
      </w:r>
      <w:r w:rsidRPr="002C4DD4">
        <w:rPr>
          <w:szCs w:val="24"/>
        </w:rPr>
        <w:t xml:space="preserve">AMS estimated that 28 certified organic </w:t>
      </w:r>
      <w:r w:rsidR="00C9773A">
        <w:rPr>
          <w:szCs w:val="24"/>
        </w:rPr>
        <w:t xml:space="preserve">dairy </w:t>
      </w:r>
      <w:r w:rsidRPr="002C4DD4">
        <w:rPr>
          <w:szCs w:val="24"/>
        </w:rPr>
        <w:t xml:space="preserve">operations would submit a variance request to AMS </w:t>
      </w:r>
      <w:r w:rsidRPr="002C4DD4">
        <w:rPr>
          <w:szCs w:val="24"/>
        </w:rPr>
        <w:t xml:space="preserve">in a </w:t>
      </w:r>
      <w:r w:rsidRPr="002C4DD4" w:rsidR="007761C6">
        <w:rPr>
          <w:szCs w:val="24"/>
        </w:rPr>
        <w:t xml:space="preserve">given </w:t>
      </w:r>
      <w:r w:rsidRPr="002C4DD4">
        <w:rPr>
          <w:szCs w:val="24"/>
        </w:rPr>
        <w:t>year</w:t>
      </w:r>
      <w:r w:rsidRPr="002C4DD4">
        <w:rPr>
          <w:szCs w:val="24"/>
        </w:rPr>
        <w:t xml:space="preserve">. </w:t>
      </w:r>
      <w:r w:rsidRPr="002C4DD4" w:rsidR="00B90565">
        <w:rPr>
          <w:szCs w:val="24"/>
        </w:rPr>
        <w:t>While t</w:t>
      </w:r>
      <w:r w:rsidRPr="002C4DD4" w:rsidR="003343DB">
        <w:rPr>
          <w:szCs w:val="24"/>
        </w:rPr>
        <w:t xml:space="preserve">here are </w:t>
      </w:r>
      <w:r w:rsidRPr="002C4DD4" w:rsidR="00B90565">
        <w:rPr>
          <w:szCs w:val="24"/>
        </w:rPr>
        <w:t xml:space="preserve">currently </w:t>
      </w:r>
      <w:r w:rsidRPr="002C4DD4" w:rsidR="003343DB">
        <w:rPr>
          <w:szCs w:val="24"/>
        </w:rPr>
        <w:t xml:space="preserve">57 </w:t>
      </w:r>
      <w:r w:rsidRPr="002C4DD4" w:rsidR="004A140D">
        <w:rPr>
          <w:szCs w:val="24"/>
        </w:rPr>
        <w:t>certifying agents accredited by AMS to certify livestock, AMS only included 28 certifying agents in this estimate</w:t>
      </w:r>
      <w:r w:rsidR="006E4D4C">
        <w:rPr>
          <w:szCs w:val="24"/>
        </w:rPr>
        <w:t>,</w:t>
      </w:r>
      <w:r w:rsidRPr="002C4DD4" w:rsidR="004A140D">
        <w:rPr>
          <w:szCs w:val="24"/>
        </w:rPr>
        <w:t xml:space="preserve"> </w:t>
      </w:r>
      <w:r w:rsidRPr="002C4DD4" w:rsidR="00B62510">
        <w:rPr>
          <w:szCs w:val="24"/>
        </w:rPr>
        <w:t xml:space="preserve">as the number of certifying agents involved in submitting a variance request </w:t>
      </w:r>
      <w:r w:rsidR="006E4D4C">
        <w:rPr>
          <w:szCs w:val="24"/>
        </w:rPr>
        <w:t>could not</w:t>
      </w:r>
      <w:r w:rsidRPr="002C4DD4" w:rsidR="006E4D4C">
        <w:rPr>
          <w:szCs w:val="24"/>
        </w:rPr>
        <w:t xml:space="preserve"> </w:t>
      </w:r>
      <w:r w:rsidRPr="002C4DD4" w:rsidR="00B62510">
        <w:rPr>
          <w:szCs w:val="24"/>
        </w:rPr>
        <w:t xml:space="preserve">be </w:t>
      </w:r>
      <w:r w:rsidR="006E4D4C">
        <w:rPr>
          <w:szCs w:val="24"/>
        </w:rPr>
        <w:t>higher</w:t>
      </w:r>
      <w:r w:rsidRPr="002C4DD4" w:rsidR="006E4D4C">
        <w:rPr>
          <w:szCs w:val="24"/>
        </w:rPr>
        <w:t xml:space="preserve"> </w:t>
      </w:r>
      <w:r w:rsidRPr="002C4DD4" w:rsidR="00B62510">
        <w:rPr>
          <w:szCs w:val="24"/>
        </w:rPr>
        <w:t xml:space="preserve">than the number of certified organic </w:t>
      </w:r>
      <w:r w:rsidR="007B19EC">
        <w:rPr>
          <w:szCs w:val="24"/>
        </w:rPr>
        <w:t xml:space="preserve">dairy </w:t>
      </w:r>
      <w:r w:rsidRPr="002C4DD4" w:rsidR="00B62510">
        <w:rPr>
          <w:szCs w:val="24"/>
        </w:rPr>
        <w:t>operations requesting a variance.</w:t>
      </w:r>
    </w:p>
    <w:p w:rsidR="00B90565" w:rsidP="00314B28" w14:paraId="22D0A116" w14:textId="77777777">
      <w:pPr>
        <w:pStyle w:val="EndnoteText"/>
        <w:tabs>
          <w:tab w:val="left" w:pos="-720"/>
        </w:tabs>
        <w:suppressAutoHyphens/>
        <w:rPr>
          <w:szCs w:val="24"/>
          <w:highlight w:val="yellow"/>
        </w:rPr>
      </w:pPr>
    </w:p>
    <w:p w:rsidR="00B90565" w:rsidRPr="002C4DD4" w:rsidP="00314B28" w14:paraId="7DF59563" w14:textId="6C4FDD7C">
      <w:pPr>
        <w:pStyle w:val="EndnoteText"/>
        <w:tabs>
          <w:tab w:val="left" w:pos="-720"/>
        </w:tabs>
        <w:suppressAutoHyphens/>
        <w:rPr>
          <w:szCs w:val="24"/>
        </w:rPr>
      </w:pPr>
      <w:r w:rsidRPr="002C4DD4">
        <w:rPr>
          <w:szCs w:val="24"/>
        </w:rPr>
        <w:t xml:space="preserve">AMS </w:t>
      </w:r>
      <w:r w:rsidRPr="002C4DD4" w:rsidR="00E24D95">
        <w:rPr>
          <w:szCs w:val="24"/>
        </w:rPr>
        <w:t xml:space="preserve">estimated </w:t>
      </w:r>
      <w:r w:rsidRPr="002C4DD4" w:rsidR="00F56811">
        <w:rPr>
          <w:szCs w:val="24"/>
        </w:rPr>
        <w:t xml:space="preserve">that </w:t>
      </w:r>
      <w:r w:rsidRPr="002C4DD4" w:rsidR="00080558">
        <w:rPr>
          <w:szCs w:val="24"/>
        </w:rPr>
        <w:t xml:space="preserve">each response </w:t>
      </w:r>
      <w:r w:rsidRPr="002C4DD4" w:rsidR="00F56811">
        <w:rPr>
          <w:szCs w:val="24"/>
        </w:rPr>
        <w:t xml:space="preserve">would take certified organic </w:t>
      </w:r>
      <w:r w:rsidR="007B19EC">
        <w:rPr>
          <w:szCs w:val="24"/>
        </w:rPr>
        <w:t>dairy</w:t>
      </w:r>
      <w:r w:rsidRPr="002C4DD4" w:rsidR="007B19EC">
        <w:rPr>
          <w:szCs w:val="24"/>
        </w:rPr>
        <w:t xml:space="preserve"> </w:t>
      </w:r>
      <w:r w:rsidRPr="002C4DD4" w:rsidR="00F56811">
        <w:rPr>
          <w:szCs w:val="24"/>
        </w:rPr>
        <w:t xml:space="preserve">operations </w:t>
      </w:r>
      <w:r w:rsidR="000C00BA">
        <w:rPr>
          <w:szCs w:val="24"/>
        </w:rPr>
        <w:t>one (</w:t>
      </w:r>
      <w:r w:rsidRPr="002C4DD4" w:rsidR="00B52A34">
        <w:rPr>
          <w:szCs w:val="24"/>
        </w:rPr>
        <w:t>1</w:t>
      </w:r>
      <w:r w:rsidR="000C00BA">
        <w:rPr>
          <w:szCs w:val="24"/>
        </w:rPr>
        <w:t>)</w:t>
      </w:r>
      <w:r w:rsidRPr="002C4DD4" w:rsidR="00B52A34">
        <w:rPr>
          <w:szCs w:val="24"/>
        </w:rPr>
        <w:t xml:space="preserve"> reporting hour</w:t>
      </w:r>
      <w:r w:rsidRPr="002C4DD4" w:rsidR="00B14EF2">
        <w:rPr>
          <w:szCs w:val="24"/>
        </w:rPr>
        <w:t xml:space="preserve"> and </w:t>
      </w:r>
      <w:r w:rsidRPr="002C4DD4" w:rsidR="004D0E1A">
        <w:rPr>
          <w:szCs w:val="24"/>
        </w:rPr>
        <w:t xml:space="preserve">certifying agents </w:t>
      </w:r>
      <w:r w:rsidR="000C00BA">
        <w:rPr>
          <w:szCs w:val="24"/>
        </w:rPr>
        <w:t>two (</w:t>
      </w:r>
      <w:r w:rsidRPr="002C4DD4" w:rsidR="00662E72">
        <w:rPr>
          <w:szCs w:val="24"/>
        </w:rPr>
        <w:t>2</w:t>
      </w:r>
      <w:r w:rsidR="000C00BA">
        <w:rPr>
          <w:szCs w:val="24"/>
        </w:rPr>
        <w:t>)</w:t>
      </w:r>
      <w:r w:rsidRPr="002C4DD4" w:rsidR="00662E72">
        <w:rPr>
          <w:szCs w:val="24"/>
        </w:rPr>
        <w:t xml:space="preserve"> reporting hours</w:t>
      </w:r>
      <w:r w:rsidRPr="002C4DD4" w:rsidR="00710458">
        <w:rPr>
          <w:szCs w:val="24"/>
        </w:rPr>
        <w:t>, for a total of 84 hours</w:t>
      </w:r>
      <w:r w:rsidRPr="002C4DD4" w:rsidR="00662E72">
        <w:rPr>
          <w:szCs w:val="24"/>
        </w:rPr>
        <w:t xml:space="preserve">. </w:t>
      </w:r>
      <w:r w:rsidRPr="002C4DD4" w:rsidR="00F32FDF">
        <w:rPr>
          <w:szCs w:val="24"/>
        </w:rPr>
        <w:t xml:space="preserve">AMS estimated that each respondent </w:t>
      </w:r>
      <w:r w:rsidRPr="002C4DD4" w:rsidR="00E3505E">
        <w:rPr>
          <w:szCs w:val="24"/>
        </w:rPr>
        <w:t xml:space="preserve">would require 0.25 recordkeeping </w:t>
      </w:r>
      <w:r w:rsidRPr="002C4DD4" w:rsidR="00E24D95">
        <w:rPr>
          <w:szCs w:val="24"/>
        </w:rPr>
        <w:t>hours</w:t>
      </w:r>
      <w:r w:rsidRPr="002C4DD4" w:rsidR="00710458">
        <w:rPr>
          <w:szCs w:val="24"/>
        </w:rPr>
        <w:t xml:space="preserve">, for a total of 14 hours. </w:t>
      </w:r>
      <w:r w:rsidRPr="002C4DD4" w:rsidR="00D86CF2">
        <w:rPr>
          <w:szCs w:val="24"/>
        </w:rPr>
        <w:t xml:space="preserve">This </w:t>
      </w:r>
      <w:r w:rsidRPr="002C4DD4" w:rsidR="006D28CF">
        <w:rPr>
          <w:szCs w:val="24"/>
        </w:rPr>
        <w:t xml:space="preserve">results in a total annual hour burden of </w:t>
      </w:r>
      <w:r w:rsidRPr="002C4DD4" w:rsidR="005C2EAC">
        <w:rPr>
          <w:szCs w:val="24"/>
        </w:rPr>
        <w:t>98.</w:t>
      </w:r>
      <w:r w:rsidR="00C2574B">
        <w:rPr>
          <w:szCs w:val="24"/>
        </w:rPr>
        <w:t xml:space="preserve"> These estimates are covered in further detail in </w:t>
      </w:r>
      <w:r w:rsidR="00A00F9C">
        <w:rPr>
          <w:szCs w:val="24"/>
        </w:rPr>
        <w:t xml:space="preserve">the </w:t>
      </w:r>
      <w:r w:rsidR="00C2574B">
        <w:rPr>
          <w:szCs w:val="24"/>
        </w:rPr>
        <w:t xml:space="preserve">accompanying OMB form 83-i </w:t>
      </w:r>
      <w:r w:rsidR="00AD0431">
        <w:rPr>
          <w:szCs w:val="24"/>
        </w:rPr>
        <w:t>and AMS 71 Grid spreadsheet.</w:t>
      </w:r>
    </w:p>
    <w:p w:rsidR="00B62510" w:rsidRPr="002C4DD4" w:rsidP="00314B28" w14:paraId="70D59E50" w14:textId="77777777">
      <w:pPr>
        <w:pStyle w:val="EndnoteText"/>
        <w:tabs>
          <w:tab w:val="left" w:pos="-720"/>
        </w:tabs>
        <w:suppressAutoHyphens/>
        <w:rPr>
          <w:szCs w:val="24"/>
          <w:highlight w:val="yellow"/>
        </w:rPr>
      </w:pPr>
    </w:p>
    <w:p w:rsidR="00C079C7" w:rsidRPr="00C079C7" w:rsidP="002C4DD4" w14:paraId="225F6F24" w14:textId="2D3CB448">
      <w:pPr>
        <w:pStyle w:val="Heading3"/>
      </w:pPr>
      <w:r w:rsidRPr="00C079C7">
        <w:t>I</w:t>
      </w:r>
      <w:r w:rsidR="00421E44">
        <w:t xml:space="preserve">f this request for approval covers more than one form, provide separate hour burden estimates for each </w:t>
      </w:r>
      <w:r w:rsidR="00421E44">
        <w:t>form</w:t>
      </w:r>
      <w:r w:rsidR="00421E44">
        <w:t xml:space="preserve"> and aggregate the hour burdens in item 13 of </w:t>
      </w:r>
      <w:r w:rsidRPr="00C079C7">
        <w:t xml:space="preserve">OMB </w:t>
      </w:r>
      <w:r w:rsidR="00421E44">
        <w:t xml:space="preserve">form </w:t>
      </w:r>
      <w:r w:rsidRPr="00C079C7">
        <w:t>83-</w:t>
      </w:r>
      <w:r w:rsidR="00421E44">
        <w:t>i</w:t>
      </w:r>
      <w:r w:rsidRPr="00C079C7">
        <w:t>.</w:t>
      </w:r>
    </w:p>
    <w:p w:rsidR="00C079C7" w:rsidP="0096090F" w14:paraId="42378601" w14:textId="0399DC9F">
      <w:pPr>
        <w:pStyle w:val="EndnoteText"/>
        <w:tabs>
          <w:tab w:val="left" w:pos="-720"/>
        </w:tabs>
        <w:suppressAutoHyphens/>
      </w:pPr>
      <w:r>
        <w:t>T</w:t>
      </w:r>
      <w:r w:rsidR="00E12719">
        <w:t xml:space="preserve">here is no form </w:t>
      </w:r>
      <w:r w:rsidR="00A649E1">
        <w:t>associated with this information collection</w:t>
      </w:r>
      <w:r w:rsidR="00E12719">
        <w:t xml:space="preserve">. How information is </w:t>
      </w:r>
      <w:r w:rsidR="00A649E1">
        <w:t>reported</w:t>
      </w:r>
      <w:r w:rsidR="00E12719">
        <w:t xml:space="preserve"> is explained in further detail above in </w:t>
      </w:r>
      <w:r w:rsidR="002512F4">
        <w:t>I</w:t>
      </w:r>
      <w:r w:rsidR="00E12719">
        <w:t>tem 2.</w:t>
      </w:r>
    </w:p>
    <w:p w:rsidR="00E12719" w:rsidRPr="00C079C7" w:rsidP="0096090F" w14:paraId="27E5CD3F" w14:textId="77777777">
      <w:pPr>
        <w:pStyle w:val="EndnoteText"/>
        <w:tabs>
          <w:tab w:val="left" w:pos="-720"/>
        </w:tabs>
        <w:suppressAutoHyphens/>
        <w:rPr>
          <w:szCs w:val="24"/>
        </w:rPr>
      </w:pPr>
    </w:p>
    <w:p w:rsidR="00237561" w:rsidP="002C4DD4" w14:paraId="51C9D8C5" w14:textId="7D38F051">
      <w:pPr>
        <w:pStyle w:val="Heading3"/>
      </w:pPr>
      <w:r w:rsidRPr="00C079C7">
        <w:t>P</w:t>
      </w:r>
      <w:r w:rsidR="00421E44">
        <w:t>rovide estimates of annualized cost to respondents for the hour burdens for collections of information, identifying and using appropriate wage rate categories</w:t>
      </w:r>
      <w:r w:rsidRPr="00C079C7">
        <w:t>.</w:t>
      </w:r>
    </w:p>
    <w:p w:rsidR="00845210" w:rsidP="00845210" w14:paraId="254BC959" w14:textId="33FAEF13">
      <w:pPr>
        <w:pStyle w:val="EndnoteText"/>
        <w:tabs>
          <w:tab w:val="left" w:pos="-720"/>
        </w:tabs>
        <w:suppressAutoHyphens/>
        <w:rPr>
          <w:szCs w:val="24"/>
        </w:rPr>
      </w:pPr>
      <w:r>
        <w:rPr>
          <w:snapToGrid/>
          <w:szCs w:val="24"/>
        </w:rPr>
        <w:t xml:space="preserve">The </w:t>
      </w:r>
      <w:r w:rsidR="00E631F6">
        <w:rPr>
          <w:snapToGrid/>
          <w:szCs w:val="24"/>
        </w:rPr>
        <w:t xml:space="preserve">estimated annual cost to </w:t>
      </w:r>
      <w:r>
        <w:rPr>
          <w:snapToGrid/>
          <w:szCs w:val="24"/>
        </w:rPr>
        <w:t>respondent</w:t>
      </w:r>
      <w:r w:rsidR="00E631F6">
        <w:rPr>
          <w:snapToGrid/>
          <w:szCs w:val="24"/>
        </w:rPr>
        <w:t xml:space="preserve">s for the hour burden for this collection of information </w:t>
      </w:r>
      <w:r w:rsidR="00023D92">
        <w:rPr>
          <w:snapToGrid/>
          <w:szCs w:val="24"/>
        </w:rPr>
        <w:t xml:space="preserve">is estimated to be </w:t>
      </w:r>
      <w:r w:rsidR="005F7211">
        <w:rPr>
          <w:snapToGrid/>
          <w:szCs w:val="24"/>
        </w:rPr>
        <w:t>$4,877.</w:t>
      </w:r>
      <w:r>
        <w:rPr>
          <w:snapToGrid/>
          <w:szCs w:val="24"/>
        </w:rPr>
        <w:t xml:space="preserve"> </w:t>
      </w:r>
      <w:r>
        <w:rPr>
          <w:szCs w:val="24"/>
        </w:rPr>
        <w:t xml:space="preserve">These estimates are covered in further detail in </w:t>
      </w:r>
      <w:r w:rsidR="00A00F9C">
        <w:rPr>
          <w:szCs w:val="24"/>
        </w:rPr>
        <w:t xml:space="preserve">the </w:t>
      </w:r>
      <w:r w:rsidR="00DD2C31">
        <w:rPr>
          <w:szCs w:val="24"/>
        </w:rPr>
        <w:t xml:space="preserve">“Summary Tables” </w:t>
      </w:r>
      <w:r w:rsidR="004C75A7">
        <w:rPr>
          <w:szCs w:val="24"/>
        </w:rPr>
        <w:t xml:space="preserve">and “Respondents” </w:t>
      </w:r>
      <w:r w:rsidR="00DD2C31">
        <w:rPr>
          <w:szCs w:val="24"/>
        </w:rPr>
        <w:t>page</w:t>
      </w:r>
      <w:r w:rsidR="004C75A7">
        <w:rPr>
          <w:szCs w:val="24"/>
        </w:rPr>
        <w:t>s</w:t>
      </w:r>
      <w:r w:rsidR="00DD2C31">
        <w:rPr>
          <w:szCs w:val="24"/>
        </w:rPr>
        <w:t xml:space="preserve"> of the </w:t>
      </w:r>
      <w:r>
        <w:rPr>
          <w:szCs w:val="24"/>
        </w:rPr>
        <w:t>accompanying AMS 71 Grid spreadsheet.</w:t>
      </w:r>
      <w:r w:rsidR="004C75A7">
        <w:rPr>
          <w:szCs w:val="24"/>
        </w:rPr>
        <w:t xml:space="preserve"> The Summary Tables (1 and 2) are </w:t>
      </w:r>
      <w:r w:rsidR="00305ECB">
        <w:rPr>
          <w:szCs w:val="24"/>
        </w:rPr>
        <w:t>included below:</w:t>
      </w:r>
    </w:p>
    <w:p w:rsidR="00305ECB" w:rsidRPr="00383B8E" w:rsidP="00845210" w14:paraId="53012987" w14:textId="77777777">
      <w:pPr>
        <w:pStyle w:val="EndnoteText"/>
        <w:tabs>
          <w:tab w:val="left" w:pos="-720"/>
        </w:tabs>
        <w:suppressAutoHyphens/>
        <w:rPr>
          <w:szCs w:val="24"/>
        </w:rPr>
      </w:pPr>
    </w:p>
    <w:tbl>
      <w:tblPr>
        <w:tblStyle w:val="TableGrid"/>
        <w:tblW w:w="0" w:type="auto"/>
        <w:jc w:val="center"/>
        <w:tblLook w:val="04A0"/>
      </w:tblPr>
      <w:tblGrid>
        <w:gridCol w:w="3055"/>
        <w:gridCol w:w="1260"/>
        <w:gridCol w:w="900"/>
        <w:gridCol w:w="1350"/>
        <w:gridCol w:w="1170"/>
      </w:tblGrid>
      <w:tr w14:paraId="48EF2B63" w14:textId="77777777" w:rsidTr="00B64D7A">
        <w:tblPrEx>
          <w:tblW w:w="0" w:type="auto"/>
          <w:jc w:val="center"/>
          <w:tblLook w:val="04A0"/>
        </w:tblPrEx>
        <w:trPr>
          <w:trHeight w:val="50"/>
          <w:jc w:val="center"/>
        </w:trPr>
        <w:tc>
          <w:tcPr>
            <w:tcW w:w="3055" w:type="dxa"/>
            <w:shd w:val="clear" w:color="auto" w:fill="E7E6E6" w:themeFill="background2"/>
            <w:hideMark/>
          </w:tcPr>
          <w:p w:rsidR="00F6618B" w:rsidRPr="00CD26B3" w:rsidP="00F6618B" w14:paraId="16D90789"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SUMMARY TABLE 1</w:t>
            </w:r>
          </w:p>
        </w:tc>
        <w:tc>
          <w:tcPr>
            <w:tcW w:w="4680" w:type="dxa"/>
            <w:gridSpan w:val="4"/>
            <w:shd w:val="clear" w:color="auto" w:fill="E7E6E6" w:themeFill="background2"/>
            <w:hideMark/>
          </w:tcPr>
          <w:p w:rsidR="00F6618B" w:rsidRPr="00CD26B3" w:rsidP="00F6618B" w14:paraId="1F02C93F"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Reporting Burden</w:t>
            </w:r>
          </w:p>
        </w:tc>
      </w:tr>
      <w:tr w14:paraId="1F915064" w14:textId="77777777" w:rsidTr="00B64D7A">
        <w:tblPrEx>
          <w:tblW w:w="0" w:type="auto"/>
          <w:jc w:val="center"/>
          <w:tblLook w:val="04A0"/>
        </w:tblPrEx>
        <w:trPr>
          <w:trHeight w:val="422"/>
          <w:jc w:val="center"/>
        </w:trPr>
        <w:tc>
          <w:tcPr>
            <w:tcW w:w="3055" w:type="dxa"/>
            <w:hideMark/>
          </w:tcPr>
          <w:p w:rsidR="00F6618B" w:rsidRPr="00CD26B3" w:rsidP="00F6618B" w14:paraId="1A6042F8"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USDA Existing Certified Dairy Operations</w:t>
            </w:r>
          </w:p>
        </w:tc>
        <w:tc>
          <w:tcPr>
            <w:tcW w:w="1260" w:type="dxa"/>
            <w:hideMark/>
          </w:tcPr>
          <w:p w:rsidR="00F6618B" w:rsidRPr="00CD26B3" w:rsidP="00F6618B" w14:paraId="79F5DAF0"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Number of Respondents</w:t>
            </w:r>
          </w:p>
        </w:tc>
        <w:tc>
          <w:tcPr>
            <w:tcW w:w="900" w:type="dxa"/>
            <w:hideMark/>
          </w:tcPr>
          <w:p w:rsidR="00F6618B" w:rsidRPr="00CD26B3" w:rsidP="00F6618B" w14:paraId="67DD27E4" w14:textId="20E28375">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 xml:space="preserve">Wage </w:t>
            </w:r>
            <w:r w:rsidR="00E76A30">
              <w:rPr>
                <w:rFonts w:ascii="Times New Roman" w:hAnsi="Times New Roman"/>
                <w:b/>
                <w:bCs/>
                <w:snapToGrid/>
                <w:sz w:val="18"/>
                <w:szCs w:val="18"/>
              </w:rPr>
              <w:t>&amp;</w:t>
            </w:r>
            <w:r w:rsidRPr="00CD26B3">
              <w:rPr>
                <w:rFonts w:ascii="Times New Roman" w:hAnsi="Times New Roman"/>
                <w:b/>
                <w:bCs/>
                <w:snapToGrid/>
                <w:sz w:val="18"/>
                <w:szCs w:val="18"/>
              </w:rPr>
              <w:t xml:space="preserve"> Benefits</w:t>
            </w:r>
          </w:p>
        </w:tc>
        <w:tc>
          <w:tcPr>
            <w:tcW w:w="1350" w:type="dxa"/>
            <w:hideMark/>
          </w:tcPr>
          <w:p w:rsidR="00F6618B" w:rsidRPr="00CD26B3" w:rsidP="00F6618B" w14:paraId="2A5035AA"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Total Reporting Hours</w:t>
            </w:r>
          </w:p>
        </w:tc>
        <w:tc>
          <w:tcPr>
            <w:tcW w:w="1170" w:type="dxa"/>
            <w:hideMark/>
          </w:tcPr>
          <w:p w:rsidR="00F6618B" w:rsidRPr="00CD26B3" w:rsidP="00F6618B" w14:paraId="62277A72"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Total Reporting Costs</w:t>
            </w:r>
          </w:p>
        </w:tc>
      </w:tr>
      <w:tr w14:paraId="172BD6CC" w14:textId="77777777" w:rsidTr="00B64D7A">
        <w:tblPrEx>
          <w:tblW w:w="0" w:type="auto"/>
          <w:jc w:val="center"/>
          <w:tblLook w:val="04A0"/>
        </w:tblPrEx>
        <w:trPr>
          <w:trHeight w:val="98"/>
          <w:jc w:val="center"/>
        </w:trPr>
        <w:tc>
          <w:tcPr>
            <w:tcW w:w="3055" w:type="dxa"/>
            <w:hideMark/>
          </w:tcPr>
          <w:p w:rsidR="00F6618B" w:rsidRPr="00CD26B3" w:rsidP="00F6618B" w14:paraId="24C5D22A"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USDA Certified Producers - Domestic</w:t>
            </w:r>
          </w:p>
        </w:tc>
        <w:tc>
          <w:tcPr>
            <w:tcW w:w="1260" w:type="dxa"/>
            <w:hideMark/>
          </w:tcPr>
          <w:p w:rsidR="00F6618B" w:rsidRPr="00CD26B3" w:rsidP="00F6618B" w14:paraId="541C53D2"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17</w:t>
            </w:r>
          </w:p>
        </w:tc>
        <w:tc>
          <w:tcPr>
            <w:tcW w:w="900" w:type="dxa"/>
            <w:hideMark/>
          </w:tcPr>
          <w:p w:rsidR="00F6618B" w:rsidRPr="00CD26B3" w:rsidP="00F6618B" w14:paraId="5DC892D4" w14:textId="6AFA0028">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$58.39</w:t>
            </w:r>
          </w:p>
        </w:tc>
        <w:tc>
          <w:tcPr>
            <w:tcW w:w="1350" w:type="dxa"/>
            <w:hideMark/>
          </w:tcPr>
          <w:p w:rsidR="00F6618B" w:rsidRPr="00CD26B3" w:rsidP="00F6618B" w14:paraId="72B5AC4C"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17.00</w:t>
            </w:r>
          </w:p>
        </w:tc>
        <w:tc>
          <w:tcPr>
            <w:tcW w:w="1170" w:type="dxa"/>
            <w:hideMark/>
          </w:tcPr>
          <w:p w:rsidR="00F6618B" w:rsidRPr="00CD26B3" w:rsidP="00F6618B" w14:paraId="3E9FE548" w14:textId="13E4ED5A">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$993</w:t>
            </w:r>
          </w:p>
        </w:tc>
      </w:tr>
      <w:tr w14:paraId="729708DA" w14:textId="77777777" w:rsidTr="00B64D7A">
        <w:tblPrEx>
          <w:tblW w:w="0" w:type="auto"/>
          <w:jc w:val="center"/>
          <w:tblLook w:val="04A0"/>
        </w:tblPrEx>
        <w:trPr>
          <w:trHeight w:val="134"/>
          <w:jc w:val="center"/>
        </w:trPr>
        <w:tc>
          <w:tcPr>
            <w:tcW w:w="3055" w:type="dxa"/>
            <w:hideMark/>
          </w:tcPr>
          <w:p w:rsidR="00F6618B" w:rsidRPr="00CD26B3" w:rsidP="00F6618B" w14:paraId="07DC0935"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USDA Certified Producers - Foreign</w:t>
            </w:r>
          </w:p>
        </w:tc>
        <w:tc>
          <w:tcPr>
            <w:tcW w:w="1260" w:type="dxa"/>
            <w:hideMark/>
          </w:tcPr>
          <w:p w:rsidR="00F6618B" w:rsidRPr="00CD26B3" w:rsidP="00F6618B" w14:paraId="1F59F978"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11</w:t>
            </w:r>
          </w:p>
        </w:tc>
        <w:tc>
          <w:tcPr>
            <w:tcW w:w="900" w:type="dxa"/>
            <w:hideMark/>
          </w:tcPr>
          <w:p w:rsidR="00F6618B" w:rsidRPr="00CD26B3" w:rsidP="00F6618B" w14:paraId="59C42172" w14:textId="16F5B3A8">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$43.42</w:t>
            </w:r>
          </w:p>
        </w:tc>
        <w:tc>
          <w:tcPr>
            <w:tcW w:w="1350" w:type="dxa"/>
            <w:hideMark/>
          </w:tcPr>
          <w:p w:rsidR="00F6618B" w:rsidRPr="00CD26B3" w:rsidP="00F6618B" w14:paraId="5443FCBD"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11.00</w:t>
            </w:r>
          </w:p>
        </w:tc>
        <w:tc>
          <w:tcPr>
            <w:tcW w:w="1170" w:type="dxa"/>
            <w:hideMark/>
          </w:tcPr>
          <w:p w:rsidR="00F6618B" w:rsidRPr="00CD26B3" w:rsidP="00F6618B" w14:paraId="4F43AED5" w14:textId="0D3CAC2B">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$478</w:t>
            </w:r>
          </w:p>
        </w:tc>
      </w:tr>
      <w:tr w14:paraId="2D87ACD4" w14:textId="77777777" w:rsidTr="00033E20">
        <w:tblPrEx>
          <w:tblW w:w="0" w:type="auto"/>
          <w:jc w:val="center"/>
          <w:tblLook w:val="04A0"/>
        </w:tblPrEx>
        <w:trPr>
          <w:trHeight w:val="170"/>
          <w:jc w:val="center"/>
        </w:trPr>
        <w:tc>
          <w:tcPr>
            <w:tcW w:w="3055" w:type="dxa"/>
            <w:hideMark/>
          </w:tcPr>
          <w:p w:rsidR="00F6618B" w:rsidRPr="00CD26B3" w:rsidP="00033E20" w14:paraId="273B8D7B" w14:textId="77777777">
            <w:pPr>
              <w:pStyle w:val="EndnoteText"/>
              <w:tabs>
                <w:tab w:val="left" w:pos="-720"/>
              </w:tabs>
              <w:suppressAutoHyphens/>
              <w:jc w:val="right"/>
              <w:rPr>
                <w:rFonts w:ascii="Times New Roman" w:hAnsi="Times New Roman"/>
                <w:b/>
                <w:bCs/>
                <w:i/>
                <w:iCs/>
                <w:snapToGrid/>
                <w:sz w:val="18"/>
                <w:szCs w:val="18"/>
              </w:rPr>
            </w:pPr>
            <w:r w:rsidRPr="00CD26B3">
              <w:rPr>
                <w:rFonts w:ascii="Times New Roman" w:hAnsi="Times New Roman"/>
                <w:b/>
                <w:bCs/>
                <w:i/>
                <w:iCs/>
                <w:snapToGrid/>
                <w:sz w:val="18"/>
                <w:szCs w:val="18"/>
              </w:rPr>
              <w:t>USDA Organic Operations - All</w:t>
            </w:r>
          </w:p>
        </w:tc>
        <w:tc>
          <w:tcPr>
            <w:tcW w:w="1260" w:type="dxa"/>
            <w:hideMark/>
          </w:tcPr>
          <w:p w:rsidR="00F6618B" w:rsidRPr="00CD26B3" w:rsidP="00F6618B" w14:paraId="32AF6BF2"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28</w:t>
            </w:r>
          </w:p>
        </w:tc>
        <w:tc>
          <w:tcPr>
            <w:tcW w:w="900" w:type="dxa"/>
            <w:hideMark/>
          </w:tcPr>
          <w:p w:rsidR="00F6618B" w:rsidRPr="00CD26B3" w:rsidP="00F6618B" w14:paraId="0ECCE89A" w14:textId="23733CF1">
            <w:pPr>
              <w:pStyle w:val="EndnoteText"/>
              <w:tabs>
                <w:tab w:val="left" w:pos="-720"/>
              </w:tabs>
              <w:suppressAutoHyphens/>
              <w:rPr>
                <w:rFonts w:ascii="Times New Roman" w:hAnsi="Times New Roman"/>
                <w:b/>
                <w:bCs/>
                <w:snapToGrid/>
                <w:sz w:val="18"/>
                <w:szCs w:val="18"/>
              </w:rPr>
            </w:pPr>
          </w:p>
        </w:tc>
        <w:tc>
          <w:tcPr>
            <w:tcW w:w="1350" w:type="dxa"/>
            <w:hideMark/>
          </w:tcPr>
          <w:p w:rsidR="00F6618B" w:rsidRPr="00CD26B3" w:rsidP="00F6618B" w14:paraId="66040C92"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28.00</w:t>
            </w:r>
          </w:p>
        </w:tc>
        <w:tc>
          <w:tcPr>
            <w:tcW w:w="1170" w:type="dxa"/>
            <w:hideMark/>
          </w:tcPr>
          <w:p w:rsidR="00F6618B" w:rsidRPr="00CD26B3" w:rsidP="00F6618B" w14:paraId="446338D2" w14:textId="22BECFF5">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$1,470</w:t>
            </w:r>
          </w:p>
        </w:tc>
      </w:tr>
      <w:tr w14:paraId="72AB9D8B" w14:textId="77777777" w:rsidTr="00B64D7A">
        <w:tblPrEx>
          <w:tblW w:w="0" w:type="auto"/>
          <w:jc w:val="center"/>
          <w:tblLook w:val="04A0"/>
        </w:tblPrEx>
        <w:trPr>
          <w:trHeight w:val="107"/>
          <w:jc w:val="center"/>
        </w:trPr>
        <w:tc>
          <w:tcPr>
            <w:tcW w:w="3055" w:type="dxa"/>
            <w:hideMark/>
          </w:tcPr>
          <w:p w:rsidR="00F6618B" w:rsidRPr="00CD26B3" w:rsidP="00F6618B" w14:paraId="48FE0101" w14:textId="2A5B910C">
            <w:pPr>
              <w:pStyle w:val="EndnoteText"/>
              <w:tabs>
                <w:tab w:val="left" w:pos="-720"/>
              </w:tabs>
              <w:suppressAutoHyphens/>
              <w:rPr>
                <w:rFonts w:ascii="Times New Roman" w:hAnsi="Times New Roman"/>
                <w:b/>
                <w:bCs/>
                <w:snapToGrid/>
                <w:sz w:val="18"/>
                <w:szCs w:val="18"/>
              </w:rPr>
            </w:pPr>
          </w:p>
        </w:tc>
        <w:tc>
          <w:tcPr>
            <w:tcW w:w="4680" w:type="dxa"/>
            <w:gridSpan w:val="4"/>
            <w:hideMark/>
          </w:tcPr>
          <w:p w:rsidR="00F6618B" w:rsidRPr="00CD26B3" w:rsidP="00F6618B" w14:paraId="537961D9" w14:textId="0353366C">
            <w:pPr>
              <w:pStyle w:val="EndnoteText"/>
              <w:tabs>
                <w:tab w:val="left" w:pos="-720"/>
              </w:tabs>
              <w:suppressAutoHyphens/>
              <w:rPr>
                <w:rFonts w:ascii="Times New Roman" w:hAnsi="Times New Roman"/>
                <w:b/>
                <w:bCs/>
                <w:snapToGrid/>
                <w:sz w:val="18"/>
                <w:szCs w:val="18"/>
              </w:rPr>
            </w:pPr>
          </w:p>
        </w:tc>
      </w:tr>
      <w:tr w14:paraId="49149746" w14:textId="77777777" w:rsidTr="00B64D7A">
        <w:tblPrEx>
          <w:tblW w:w="0" w:type="auto"/>
          <w:jc w:val="center"/>
          <w:tblLook w:val="04A0"/>
        </w:tblPrEx>
        <w:trPr>
          <w:trHeight w:val="332"/>
          <w:jc w:val="center"/>
        </w:trPr>
        <w:tc>
          <w:tcPr>
            <w:tcW w:w="3055" w:type="dxa"/>
            <w:hideMark/>
          </w:tcPr>
          <w:p w:rsidR="00F6618B" w:rsidRPr="00CD26B3" w:rsidP="00F6618B" w14:paraId="3CC7C3EC" w14:textId="15D83B9A">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USDA Certifying Agents Reporting Burden</w:t>
            </w:r>
          </w:p>
        </w:tc>
        <w:tc>
          <w:tcPr>
            <w:tcW w:w="1260" w:type="dxa"/>
            <w:hideMark/>
          </w:tcPr>
          <w:p w:rsidR="00F6618B" w:rsidRPr="00CD26B3" w:rsidP="00F6618B" w14:paraId="56B41A43"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Number of Respondents</w:t>
            </w:r>
          </w:p>
        </w:tc>
        <w:tc>
          <w:tcPr>
            <w:tcW w:w="900" w:type="dxa"/>
            <w:hideMark/>
          </w:tcPr>
          <w:p w:rsidR="00F6618B" w:rsidRPr="00CD26B3" w:rsidP="00F6618B" w14:paraId="56605AE6" w14:textId="05D498AF">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 xml:space="preserve">Wage </w:t>
            </w:r>
            <w:r w:rsidR="00E76A30">
              <w:rPr>
                <w:rFonts w:ascii="Times New Roman" w:hAnsi="Times New Roman"/>
                <w:b/>
                <w:bCs/>
                <w:snapToGrid/>
                <w:sz w:val="18"/>
                <w:szCs w:val="18"/>
              </w:rPr>
              <w:t xml:space="preserve">&amp; </w:t>
            </w:r>
            <w:r w:rsidRPr="00CD26B3">
              <w:rPr>
                <w:rFonts w:ascii="Times New Roman" w:hAnsi="Times New Roman"/>
                <w:b/>
                <w:bCs/>
                <w:snapToGrid/>
                <w:sz w:val="18"/>
                <w:szCs w:val="18"/>
              </w:rPr>
              <w:t>Benefits</w:t>
            </w:r>
          </w:p>
        </w:tc>
        <w:tc>
          <w:tcPr>
            <w:tcW w:w="1350" w:type="dxa"/>
            <w:hideMark/>
          </w:tcPr>
          <w:p w:rsidR="00F6618B" w:rsidRPr="00CD26B3" w:rsidP="00F6618B" w14:paraId="498C0C3C"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Total Reporting Hours</w:t>
            </w:r>
          </w:p>
        </w:tc>
        <w:tc>
          <w:tcPr>
            <w:tcW w:w="1170" w:type="dxa"/>
            <w:hideMark/>
          </w:tcPr>
          <w:p w:rsidR="00F6618B" w:rsidRPr="00CD26B3" w:rsidP="00F6618B" w14:paraId="1CBE3C1B" w14:textId="1A3C9F7A">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Total Reporting Costs</w:t>
            </w:r>
          </w:p>
        </w:tc>
      </w:tr>
      <w:tr w14:paraId="75E50B16" w14:textId="77777777" w:rsidTr="00B64D7A">
        <w:tblPrEx>
          <w:tblW w:w="0" w:type="auto"/>
          <w:jc w:val="center"/>
          <w:tblLook w:val="04A0"/>
        </w:tblPrEx>
        <w:trPr>
          <w:trHeight w:val="89"/>
          <w:jc w:val="center"/>
        </w:trPr>
        <w:tc>
          <w:tcPr>
            <w:tcW w:w="3055" w:type="dxa"/>
            <w:hideMark/>
          </w:tcPr>
          <w:p w:rsidR="00F6618B" w:rsidRPr="00CD26B3" w:rsidP="00F6618B" w14:paraId="35FC2C80"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USDA U.S.-Based Certifiers</w:t>
            </w:r>
          </w:p>
        </w:tc>
        <w:tc>
          <w:tcPr>
            <w:tcW w:w="1260" w:type="dxa"/>
            <w:hideMark/>
          </w:tcPr>
          <w:p w:rsidR="00F6618B" w:rsidRPr="00CD26B3" w:rsidP="00F6618B" w14:paraId="2643FCB3"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17</w:t>
            </w:r>
          </w:p>
        </w:tc>
        <w:tc>
          <w:tcPr>
            <w:tcW w:w="900" w:type="dxa"/>
            <w:hideMark/>
          </w:tcPr>
          <w:p w:rsidR="00F6618B" w:rsidRPr="00CD26B3" w:rsidP="00F6618B" w14:paraId="19421C79" w14:textId="1954A804">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$53.64</w:t>
            </w:r>
          </w:p>
        </w:tc>
        <w:tc>
          <w:tcPr>
            <w:tcW w:w="1350" w:type="dxa"/>
            <w:hideMark/>
          </w:tcPr>
          <w:p w:rsidR="00F6618B" w:rsidRPr="00CD26B3" w:rsidP="00F6618B" w14:paraId="184AFF56"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34.00</w:t>
            </w:r>
          </w:p>
        </w:tc>
        <w:tc>
          <w:tcPr>
            <w:tcW w:w="1170" w:type="dxa"/>
            <w:hideMark/>
          </w:tcPr>
          <w:p w:rsidR="00F6618B" w:rsidRPr="00CD26B3" w:rsidP="00F6618B" w14:paraId="1032549F" w14:textId="6BA5B001">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$1,824</w:t>
            </w:r>
          </w:p>
        </w:tc>
      </w:tr>
      <w:tr w14:paraId="48268119" w14:textId="77777777" w:rsidTr="00B64D7A">
        <w:tblPrEx>
          <w:tblW w:w="0" w:type="auto"/>
          <w:jc w:val="center"/>
          <w:tblLook w:val="04A0"/>
        </w:tblPrEx>
        <w:trPr>
          <w:trHeight w:val="224"/>
          <w:jc w:val="center"/>
        </w:trPr>
        <w:tc>
          <w:tcPr>
            <w:tcW w:w="3055" w:type="dxa"/>
            <w:hideMark/>
          </w:tcPr>
          <w:p w:rsidR="00F6618B" w:rsidRPr="00CD26B3" w:rsidP="00F6618B" w14:paraId="6EE73517"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USDA Foreign-Based Certifiers</w:t>
            </w:r>
          </w:p>
        </w:tc>
        <w:tc>
          <w:tcPr>
            <w:tcW w:w="1260" w:type="dxa"/>
            <w:hideMark/>
          </w:tcPr>
          <w:p w:rsidR="00F6618B" w:rsidRPr="00CD26B3" w:rsidP="00F6618B" w14:paraId="36EC94FD"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11</w:t>
            </w:r>
          </w:p>
        </w:tc>
        <w:tc>
          <w:tcPr>
            <w:tcW w:w="900" w:type="dxa"/>
            <w:hideMark/>
          </w:tcPr>
          <w:p w:rsidR="00F6618B" w:rsidRPr="00CD26B3" w:rsidP="00F6618B" w14:paraId="2D1C7B76" w14:textId="7FD49492">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$39.88</w:t>
            </w:r>
          </w:p>
        </w:tc>
        <w:tc>
          <w:tcPr>
            <w:tcW w:w="1350" w:type="dxa"/>
            <w:hideMark/>
          </w:tcPr>
          <w:p w:rsidR="00F6618B" w:rsidRPr="00CD26B3" w:rsidP="00F6618B" w14:paraId="38B937A2"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22.00</w:t>
            </w:r>
          </w:p>
        </w:tc>
        <w:tc>
          <w:tcPr>
            <w:tcW w:w="1170" w:type="dxa"/>
            <w:hideMark/>
          </w:tcPr>
          <w:p w:rsidR="00F6618B" w:rsidRPr="00CD26B3" w:rsidP="00F6618B" w14:paraId="34980C8E" w14:textId="4E5E1404">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$877</w:t>
            </w:r>
          </w:p>
        </w:tc>
      </w:tr>
      <w:tr w14:paraId="12179F76" w14:textId="77777777" w:rsidTr="00033E20">
        <w:tblPrEx>
          <w:tblW w:w="0" w:type="auto"/>
          <w:jc w:val="center"/>
          <w:tblLook w:val="04A0"/>
        </w:tblPrEx>
        <w:trPr>
          <w:trHeight w:val="161"/>
          <w:jc w:val="center"/>
        </w:trPr>
        <w:tc>
          <w:tcPr>
            <w:tcW w:w="3055" w:type="dxa"/>
            <w:hideMark/>
          </w:tcPr>
          <w:p w:rsidR="00F6618B" w:rsidRPr="00CD26B3" w:rsidP="00033E20" w14:paraId="083369F0" w14:textId="77777777">
            <w:pPr>
              <w:pStyle w:val="EndnoteText"/>
              <w:tabs>
                <w:tab w:val="left" w:pos="-720"/>
              </w:tabs>
              <w:suppressAutoHyphens/>
              <w:jc w:val="right"/>
              <w:rPr>
                <w:rFonts w:ascii="Times New Roman" w:hAnsi="Times New Roman"/>
                <w:b/>
                <w:bCs/>
                <w:i/>
                <w:iCs/>
                <w:snapToGrid/>
                <w:sz w:val="18"/>
                <w:szCs w:val="18"/>
              </w:rPr>
            </w:pPr>
            <w:r w:rsidRPr="00CD26B3">
              <w:rPr>
                <w:rFonts w:ascii="Times New Roman" w:hAnsi="Times New Roman"/>
                <w:b/>
                <w:bCs/>
                <w:i/>
                <w:iCs/>
                <w:snapToGrid/>
                <w:sz w:val="18"/>
                <w:szCs w:val="18"/>
              </w:rPr>
              <w:t>Total USDA Certifiers - All</w:t>
            </w:r>
          </w:p>
        </w:tc>
        <w:tc>
          <w:tcPr>
            <w:tcW w:w="1260" w:type="dxa"/>
            <w:hideMark/>
          </w:tcPr>
          <w:p w:rsidR="00F6618B" w:rsidRPr="00CD26B3" w:rsidP="00F6618B" w14:paraId="3773C519"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28</w:t>
            </w:r>
          </w:p>
        </w:tc>
        <w:tc>
          <w:tcPr>
            <w:tcW w:w="900" w:type="dxa"/>
            <w:hideMark/>
          </w:tcPr>
          <w:p w:rsidR="00F6618B" w:rsidRPr="00CD26B3" w:rsidP="00F6618B" w14:paraId="6F5D30A9" w14:textId="00816A38">
            <w:pPr>
              <w:pStyle w:val="EndnoteText"/>
              <w:tabs>
                <w:tab w:val="left" w:pos="-720"/>
              </w:tabs>
              <w:suppressAutoHyphens/>
              <w:rPr>
                <w:rFonts w:ascii="Times New Roman" w:hAnsi="Times New Roman"/>
                <w:b/>
                <w:bCs/>
                <w:snapToGrid/>
                <w:sz w:val="18"/>
                <w:szCs w:val="18"/>
              </w:rPr>
            </w:pPr>
          </w:p>
        </w:tc>
        <w:tc>
          <w:tcPr>
            <w:tcW w:w="1350" w:type="dxa"/>
            <w:hideMark/>
          </w:tcPr>
          <w:p w:rsidR="00F6618B" w:rsidRPr="00CD26B3" w:rsidP="00F6618B" w14:paraId="6520C8C4"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56.00</w:t>
            </w:r>
          </w:p>
        </w:tc>
        <w:tc>
          <w:tcPr>
            <w:tcW w:w="1170" w:type="dxa"/>
            <w:hideMark/>
          </w:tcPr>
          <w:p w:rsidR="00F6618B" w:rsidRPr="00CD26B3" w:rsidP="00F6618B" w14:paraId="35C2ED55" w14:textId="0A32CED3">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$2,701</w:t>
            </w:r>
          </w:p>
        </w:tc>
      </w:tr>
      <w:tr w14:paraId="12A5ECEA" w14:textId="77777777" w:rsidTr="00B64D7A">
        <w:tblPrEx>
          <w:tblW w:w="0" w:type="auto"/>
          <w:jc w:val="center"/>
          <w:tblLook w:val="04A0"/>
        </w:tblPrEx>
        <w:trPr>
          <w:trHeight w:val="161"/>
          <w:jc w:val="center"/>
        </w:trPr>
        <w:tc>
          <w:tcPr>
            <w:tcW w:w="3055" w:type="dxa"/>
          </w:tcPr>
          <w:p w:rsidR="00033E20" w:rsidRPr="00CD26B3" w:rsidP="00F6618B" w14:paraId="2966D10D" w14:textId="77777777">
            <w:pPr>
              <w:pStyle w:val="EndnoteText"/>
              <w:tabs>
                <w:tab w:val="left" w:pos="-720"/>
              </w:tabs>
              <w:suppressAutoHyphens/>
              <w:rPr>
                <w:b/>
                <w:bCs/>
                <w:i/>
                <w:iCs/>
                <w:snapToGrid/>
                <w:sz w:val="18"/>
                <w:szCs w:val="18"/>
              </w:rPr>
            </w:pPr>
          </w:p>
        </w:tc>
        <w:tc>
          <w:tcPr>
            <w:tcW w:w="1260" w:type="dxa"/>
          </w:tcPr>
          <w:p w:rsidR="00033E20" w:rsidRPr="00CD26B3" w:rsidP="00F6618B" w14:paraId="686E9D16" w14:textId="77777777">
            <w:pPr>
              <w:pStyle w:val="EndnoteText"/>
              <w:tabs>
                <w:tab w:val="left" w:pos="-720"/>
              </w:tabs>
              <w:suppressAutoHyphens/>
              <w:rPr>
                <w:b/>
                <w:bCs/>
                <w:snapToGrid/>
                <w:sz w:val="18"/>
                <w:szCs w:val="18"/>
              </w:rPr>
            </w:pPr>
          </w:p>
        </w:tc>
        <w:tc>
          <w:tcPr>
            <w:tcW w:w="900" w:type="dxa"/>
          </w:tcPr>
          <w:p w:rsidR="00033E20" w:rsidRPr="00CD26B3" w:rsidP="00F6618B" w14:paraId="768D4C20" w14:textId="77777777">
            <w:pPr>
              <w:pStyle w:val="EndnoteText"/>
              <w:tabs>
                <w:tab w:val="left" w:pos="-720"/>
              </w:tabs>
              <w:suppressAutoHyphens/>
              <w:rPr>
                <w:b/>
                <w:bCs/>
                <w:snapToGrid/>
                <w:sz w:val="18"/>
                <w:szCs w:val="18"/>
              </w:rPr>
            </w:pPr>
          </w:p>
        </w:tc>
        <w:tc>
          <w:tcPr>
            <w:tcW w:w="1350" w:type="dxa"/>
          </w:tcPr>
          <w:p w:rsidR="00033E20" w:rsidRPr="00CD26B3" w:rsidP="00F6618B" w14:paraId="25AE607C" w14:textId="77777777">
            <w:pPr>
              <w:pStyle w:val="EndnoteText"/>
              <w:tabs>
                <w:tab w:val="left" w:pos="-720"/>
              </w:tabs>
              <w:suppressAutoHyphens/>
              <w:rPr>
                <w:b/>
                <w:bCs/>
                <w:snapToGrid/>
                <w:sz w:val="18"/>
                <w:szCs w:val="18"/>
              </w:rPr>
            </w:pPr>
          </w:p>
        </w:tc>
        <w:tc>
          <w:tcPr>
            <w:tcW w:w="1170" w:type="dxa"/>
          </w:tcPr>
          <w:p w:rsidR="00033E20" w:rsidRPr="00CD26B3" w:rsidP="00F6618B" w14:paraId="2DB84E70" w14:textId="77777777">
            <w:pPr>
              <w:pStyle w:val="EndnoteText"/>
              <w:tabs>
                <w:tab w:val="left" w:pos="-720"/>
              </w:tabs>
              <w:suppressAutoHyphens/>
              <w:rPr>
                <w:b/>
                <w:bCs/>
                <w:snapToGrid/>
                <w:sz w:val="18"/>
                <w:szCs w:val="18"/>
              </w:rPr>
            </w:pPr>
          </w:p>
        </w:tc>
      </w:tr>
      <w:tr w14:paraId="44E9CFB2" w14:textId="77777777" w:rsidTr="00B64D7A">
        <w:tblPrEx>
          <w:tblW w:w="0" w:type="auto"/>
          <w:jc w:val="center"/>
          <w:tblLook w:val="04A0"/>
        </w:tblPrEx>
        <w:trPr>
          <w:trHeight w:val="170"/>
          <w:jc w:val="center"/>
        </w:trPr>
        <w:tc>
          <w:tcPr>
            <w:tcW w:w="3055" w:type="dxa"/>
            <w:shd w:val="clear" w:color="auto" w:fill="E7E6E6" w:themeFill="background2"/>
            <w:noWrap/>
            <w:hideMark/>
          </w:tcPr>
          <w:p w:rsidR="00F6618B" w:rsidRPr="00CD26B3" w:rsidP="00F6618B" w14:paraId="2F4D3395" w14:textId="77777777">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All Respondents - Reporting Burden</w:t>
            </w:r>
          </w:p>
        </w:tc>
        <w:tc>
          <w:tcPr>
            <w:tcW w:w="1260" w:type="dxa"/>
            <w:shd w:val="clear" w:color="auto" w:fill="E7E6E6" w:themeFill="background2"/>
            <w:noWrap/>
            <w:hideMark/>
          </w:tcPr>
          <w:p w:rsidR="00F6618B" w:rsidRPr="00CD26B3" w:rsidP="00F6618B" w14:paraId="3FC09A12"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56</w:t>
            </w:r>
          </w:p>
        </w:tc>
        <w:tc>
          <w:tcPr>
            <w:tcW w:w="900" w:type="dxa"/>
            <w:shd w:val="clear" w:color="auto" w:fill="E7E6E6" w:themeFill="background2"/>
            <w:noWrap/>
            <w:hideMark/>
          </w:tcPr>
          <w:p w:rsidR="00F6618B" w:rsidRPr="00CD26B3" w:rsidP="00F6618B" w14:paraId="5AE36E31" w14:textId="18F4C049">
            <w:pPr>
              <w:pStyle w:val="EndnoteText"/>
              <w:tabs>
                <w:tab w:val="left" w:pos="-720"/>
              </w:tabs>
              <w:suppressAutoHyphens/>
              <w:rPr>
                <w:rFonts w:ascii="Times New Roman" w:hAnsi="Times New Roman"/>
                <w:snapToGrid/>
                <w:sz w:val="18"/>
                <w:szCs w:val="18"/>
              </w:rPr>
            </w:pPr>
          </w:p>
        </w:tc>
        <w:tc>
          <w:tcPr>
            <w:tcW w:w="1350" w:type="dxa"/>
            <w:shd w:val="clear" w:color="auto" w:fill="E7E6E6" w:themeFill="background2"/>
            <w:noWrap/>
            <w:hideMark/>
          </w:tcPr>
          <w:p w:rsidR="00F6618B" w:rsidRPr="00CD26B3" w:rsidP="00F6618B" w14:paraId="62073CD8" w14:textId="77777777">
            <w:pPr>
              <w:pStyle w:val="EndnoteText"/>
              <w:tabs>
                <w:tab w:val="left" w:pos="-720"/>
              </w:tabs>
              <w:suppressAutoHyphens/>
              <w:rPr>
                <w:rFonts w:ascii="Times New Roman" w:hAnsi="Times New Roman"/>
                <w:snapToGrid/>
                <w:sz w:val="18"/>
                <w:szCs w:val="18"/>
              </w:rPr>
            </w:pPr>
            <w:r w:rsidRPr="00CD26B3">
              <w:rPr>
                <w:rFonts w:ascii="Times New Roman" w:hAnsi="Times New Roman"/>
                <w:snapToGrid/>
                <w:sz w:val="18"/>
                <w:szCs w:val="18"/>
              </w:rPr>
              <w:t>84.00</w:t>
            </w:r>
          </w:p>
        </w:tc>
        <w:tc>
          <w:tcPr>
            <w:tcW w:w="1170" w:type="dxa"/>
            <w:shd w:val="clear" w:color="auto" w:fill="E7E6E6" w:themeFill="background2"/>
            <w:noWrap/>
            <w:hideMark/>
          </w:tcPr>
          <w:p w:rsidR="00F6618B" w:rsidRPr="00CD26B3" w:rsidP="00F6618B" w14:paraId="4AB60BA7" w14:textId="5A35214F">
            <w:pPr>
              <w:pStyle w:val="EndnoteText"/>
              <w:tabs>
                <w:tab w:val="left" w:pos="-720"/>
              </w:tabs>
              <w:suppressAutoHyphens/>
              <w:rPr>
                <w:rFonts w:ascii="Times New Roman" w:hAnsi="Times New Roman"/>
                <w:b/>
                <w:bCs/>
                <w:snapToGrid/>
                <w:sz w:val="18"/>
                <w:szCs w:val="18"/>
              </w:rPr>
            </w:pPr>
            <w:r w:rsidRPr="00CD26B3">
              <w:rPr>
                <w:rFonts w:ascii="Times New Roman" w:hAnsi="Times New Roman"/>
                <w:b/>
                <w:bCs/>
                <w:snapToGrid/>
                <w:sz w:val="18"/>
                <w:szCs w:val="18"/>
              </w:rPr>
              <w:t>$4,171</w:t>
            </w:r>
          </w:p>
        </w:tc>
      </w:tr>
    </w:tbl>
    <w:p w:rsidR="00CD26B3" w14:paraId="32608FAE" w14:textId="77777777">
      <w:pPr>
        <w:pStyle w:val="EndnoteText"/>
        <w:tabs>
          <w:tab w:val="left" w:pos="-720"/>
        </w:tabs>
        <w:suppressAutoHyphens/>
        <w:rPr>
          <w:szCs w:val="24"/>
        </w:rPr>
      </w:pPr>
    </w:p>
    <w:p w:rsidR="00B64D7A" w14:paraId="176A2B41" w14:textId="77777777">
      <w:pPr>
        <w:pStyle w:val="EndnoteText"/>
        <w:tabs>
          <w:tab w:val="left" w:pos="-720"/>
        </w:tabs>
        <w:suppressAutoHyphens/>
        <w:rPr>
          <w:szCs w:val="24"/>
        </w:rPr>
      </w:pPr>
    </w:p>
    <w:tbl>
      <w:tblPr>
        <w:tblStyle w:val="TableGrid"/>
        <w:tblW w:w="0" w:type="auto"/>
        <w:jc w:val="center"/>
        <w:tblLook w:val="04A0"/>
      </w:tblPr>
      <w:tblGrid>
        <w:gridCol w:w="3055"/>
        <w:gridCol w:w="1260"/>
        <w:gridCol w:w="900"/>
        <w:gridCol w:w="1350"/>
        <w:gridCol w:w="1170"/>
      </w:tblGrid>
      <w:tr w14:paraId="709AE4E8" w14:textId="77777777" w:rsidTr="00B64D7A">
        <w:tblPrEx>
          <w:tblW w:w="0" w:type="auto"/>
          <w:jc w:val="center"/>
          <w:tblLook w:val="04A0"/>
        </w:tblPrEx>
        <w:trPr>
          <w:trHeight w:val="80"/>
          <w:jc w:val="center"/>
        </w:trPr>
        <w:tc>
          <w:tcPr>
            <w:tcW w:w="3055" w:type="dxa"/>
            <w:shd w:val="clear" w:color="auto" w:fill="E7E6E6" w:themeFill="background2"/>
            <w:hideMark/>
          </w:tcPr>
          <w:p w:rsidR="004C75A7" w:rsidRPr="00CD26B3" w:rsidP="004C75A7" w14:paraId="3827EAF3"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SUMMARY TABLE 2</w:t>
            </w:r>
          </w:p>
        </w:tc>
        <w:tc>
          <w:tcPr>
            <w:tcW w:w="4680" w:type="dxa"/>
            <w:gridSpan w:val="4"/>
            <w:shd w:val="clear" w:color="auto" w:fill="E7E6E6" w:themeFill="background2"/>
            <w:hideMark/>
          </w:tcPr>
          <w:p w:rsidR="004C75A7" w:rsidRPr="00CD26B3" w:rsidP="004C75A7" w14:paraId="6E6D4271"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Recordkeeping Burden</w:t>
            </w:r>
          </w:p>
        </w:tc>
      </w:tr>
      <w:tr w14:paraId="45ECE412" w14:textId="77777777" w:rsidTr="00B64D7A">
        <w:tblPrEx>
          <w:tblW w:w="0" w:type="auto"/>
          <w:jc w:val="center"/>
          <w:tblLook w:val="04A0"/>
        </w:tblPrEx>
        <w:trPr>
          <w:trHeight w:val="50"/>
          <w:jc w:val="center"/>
        </w:trPr>
        <w:tc>
          <w:tcPr>
            <w:tcW w:w="3055" w:type="dxa"/>
            <w:hideMark/>
          </w:tcPr>
          <w:p w:rsidR="004C75A7" w:rsidRPr="00CD26B3" w:rsidP="004C75A7" w14:paraId="014C7BDD"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USDA Existing Certified Dairy Operations</w:t>
            </w:r>
          </w:p>
        </w:tc>
        <w:tc>
          <w:tcPr>
            <w:tcW w:w="1260" w:type="dxa"/>
            <w:hideMark/>
          </w:tcPr>
          <w:p w:rsidR="004C75A7" w:rsidRPr="00CD26B3" w:rsidP="004C75A7" w14:paraId="6E389032"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Number of Respondents</w:t>
            </w:r>
          </w:p>
        </w:tc>
        <w:tc>
          <w:tcPr>
            <w:tcW w:w="900" w:type="dxa"/>
            <w:hideMark/>
          </w:tcPr>
          <w:p w:rsidR="004C75A7" w:rsidRPr="00CD26B3" w:rsidP="004C75A7" w14:paraId="0B00AFE0" w14:textId="2D53AE9D">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 xml:space="preserve">Wage </w:t>
            </w:r>
            <w:r w:rsidR="00E76A30">
              <w:rPr>
                <w:rFonts w:ascii="Times New Roman" w:hAnsi="Times New Roman"/>
                <w:b/>
                <w:bCs/>
                <w:sz w:val="18"/>
                <w:szCs w:val="18"/>
              </w:rPr>
              <w:t>&amp;</w:t>
            </w:r>
            <w:r w:rsidRPr="00CD26B3">
              <w:rPr>
                <w:rFonts w:ascii="Times New Roman" w:hAnsi="Times New Roman"/>
                <w:b/>
                <w:bCs/>
                <w:sz w:val="18"/>
                <w:szCs w:val="18"/>
              </w:rPr>
              <w:t xml:space="preserve"> Benefits</w:t>
            </w:r>
          </w:p>
        </w:tc>
        <w:tc>
          <w:tcPr>
            <w:tcW w:w="1350" w:type="dxa"/>
            <w:hideMark/>
          </w:tcPr>
          <w:p w:rsidR="004C75A7" w:rsidRPr="00CD26B3" w:rsidP="004C75A7" w14:paraId="3467DDFF" w14:textId="49C37654">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Total Record</w:t>
            </w:r>
            <w:r w:rsidR="00CD26B3">
              <w:rPr>
                <w:rFonts w:ascii="Times New Roman" w:hAnsi="Times New Roman"/>
                <w:b/>
                <w:bCs/>
                <w:sz w:val="18"/>
                <w:szCs w:val="18"/>
              </w:rPr>
              <w:t>-</w:t>
            </w:r>
            <w:r w:rsidRPr="00CD26B3">
              <w:rPr>
                <w:rFonts w:ascii="Times New Roman" w:hAnsi="Times New Roman"/>
                <w:b/>
                <w:bCs/>
                <w:sz w:val="18"/>
                <w:szCs w:val="18"/>
              </w:rPr>
              <w:t>keeping Hours</w:t>
            </w:r>
          </w:p>
        </w:tc>
        <w:tc>
          <w:tcPr>
            <w:tcW w:w="1170" w:type="dxa"/>
            <w:hideMark/>
          </w:tcPr>
          <w:p w:rsidR="004C75A7" w:rsidRPr="00CD26B3" w:rsidP="004C75A7" w14:paraId="0FBC4D44" w14:textId="7F6F1984">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Total Record</w:t>
            </w:r>
            <w:r w:rsidR="00CD26B3">
              <w:rPr>
                <w:rFonts w:ascii="Times New Roman" w:hAnsi="Times New Roman"/>
                <w:b/>
                <w:bCs/>
                <w:sz w:val="18"/>
                <w:szCs w:val="18"/>
              </w:rPr>
              <w:t>-</w:t>
            </w:r>
            <w:r w:rsidRPr="00CD26B3">
              <w:rPr>
                <w:rFonts w:ascii="Times New Roman" w:hAnsi="Times New Roman"/>
                <w:b/>
                <w:bCs/>
                <w:sz w:val="18"/>
                <w:szCs w:val="18"/>
              </w:rPr>
              <w:t>keeping Costs</w:t>
            </w:r>
          </w:p>
        </w:tc>
      </w:tr>
      <w:tr w14:paraId="40051019" w14:textId="77777777" w:rsidTr="00B64D7A">
        <w:tblPrEx>
          <w:tblW w:w="0" w:type="auto"/>
          <w:jc w:val="center"/>
          <w:tblLook w:val="04A0"/>
        </w:tblPrEx>
        <w:trPr>
          <w:trHeight w:val="50"/>
          <w:jc w:val="center"/>
        </w:trPr>
        <w:tc>
          <w:tcPr>
            <w:tcW w:w="3055" w:type="dxa"/>
            <w:hideMark/>
          </w:tcPr>
          <w:p w:rsidR="004C75A7" w:rsidRPr="00CD26B3" w:rsidP="004C75A7" w14:paraId="2BF6737D"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USDA Certified Producers - Domestic</w:t>
            </w:r>
          </w:p>
        </w:tc>
        <w:tc>
          <w:tcPr>
            <w:tcW w:w="1260" w:type="dxa"/>
            <w:hideMark/>
          </w:tcPr>
          <w:p w:rsidR="004C75A7" w:rsidRPr="00CD26B3" w:rsidP="004C75A7" w14:paraId="28B939EF"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17</w:t>
            </w:r>
          </w:p>
        </w:tc>
        <w:tc>
          <w:tcPr>
            <w:tcW w:w="900" w:type="dxa"/>
            <w:hideMark/>
          </w:tcPr>
          <w:p w:rsidR="004C75A7" w:rsidRPr="00CD26B3" w:rsidP="004C75A7" w14:paraId="64F05027"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$58.39</w:t>
            </w:r>
          </w:p>
        </w:tc>
        <w:tc>
          <w:tcPr>
            <w:tcW w:w="1350" w:type="dxa"/>
            <w:hideMark/>
          </w:tcPr>
          <w:p w:rsidR="004C75A7" w:rsidRPr="00CD26B3" w:rsidP="004C75A7" w14:paraId="723FC933"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4.25</w:t>
            </w:r>
          </w:p>
        </w:tc>
        <w:tc>
          <w:tcPr>
            <w:tcW w:w="1170" w:type="dxa"/>
            <w:hideMark/>
          </w:tcPr>
          <w:p w:rsidR="004C75A7" w:rsidRPr="00CD26B3" w:rsidP="004C75A7" w14:paraId="14168BFC" w14:textId="434BB76E">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$248</w:t>
            </w:r>
          </w:p>
        </w:tc>
      </w:tr>
      <w:tr w14:paraId="5D87300C" w14:textId="77777777" w:rsidTr="00B64D7A">
        <w:tblPrEx>
          <w:tblW w:w="0" w:type="auto"/>
          <w:jc w:val="center"/>
          <w:tblLook w:val="04A0"/>
        </w:tblPrEx>
        <w:trPr>
          <w:trHeight w:val="224"/>
          <w:jc w:val="center"/>
        </w:trPr>
        <w:tc>
          <w:tcPr>
            <w:tcW w:w="3055" w:type="dxa"/>
            <w:hideMark/>
          </w:tcPr>
          <w:p w:rsidR="004C75A7" w:rsidRPr="00CD26B3" w:rsidP="004C75A7" w14:paraId="1D4768D9"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USDA Certified Producers - Foreign</w:t>
            </w:r>
          </w:p>
        </w:tc>
        <w:tc>
          <w:tcPr>
            <w:tcW w:w="1260" w:type="dxa"/>
            <w:hideMark/>
          </w:tcPr>
          <w:p w:rsidR="004C75A7" w:rsidRPr="00CD26B3" w:rsidP="004C75A7" w14:paraId="578E1789"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11</w:t>
            </w:r>
          </w:p>
        </w:tc>
        <w:tc>
          <w:tcPr>
            <w:tcW w:w="900" w:type="dxa"/>
            <w:hideMark/>
          </w:tcPr>
          <w:p w:rsidR="004C75A7" w:rsidRPr="00CD26B3" w:rsidP="004C75A7" w14:paraId="0129C049"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$43.42</w:t>
            </w:r>
          </w:p>
        </w:tc>
        <w:tc>
          <w:tcPr>
            <w:tcW w:w="1350" w:type="dxa"/>
            <w:hideMark/>
          </w:tcPr>
          <w:p w:rsidR="004C75A7" w:rsidRPr="00CD26B3" w:rsidP="004C75A7" w14:paraId="39C25802"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2.75</w:t>
            </w:r>
          </w:p>
        </w:tc>
        <w:tc>
          <w:tcPr>
            <w:tcW w:w="1170" w:type="dxa"/>
            <w:hideMark/>
          </w:tcPr>
          <w:p w:rsidR="004C75A7" w:rsidRPr="00CD26B3" w:rsidP="004C75A7" w14:paraId="6FB71400" w14:textId="4AC8C7BC">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$119</w:t>
            </w:r>
          </w:p>
        </w:tc>
      </w:tr>
      <w:tr w14:paraId="50758DA9" w14:textId="77777777" w:rsidTr="00033E20">
        <w:tblPrEx>
          <w:tblW w:w="0" w:type="auto"/>
          <w:jc w:val="center"/>
          <w:tblLook w:val="04A0"/>
        </w:tblPrEx>
        <w:trPr>
          <w:trHeight w:val="170"/>
          <w:jc w:val="center"/>
        </w:trPr>
        <w:tc>
          <w:tcPr>
            <w:tcW w:w="3055" w:type="dxa"/>
            <w:hideMark/>
          </w:tcPr>
          <w:p w:rsidR="004C75A7" w:rsidRPr="00CD26B3" w:rsidP="00033E20" w14:paraId="264B1381" w14:textId="77777777">
            <w:pPr>
              <w:pStyle w:val="EndnoteText"/>
              <w:tabs>
                <w:tab w:val="left" w:pos="-720"/>
              </w:tabs>
              <w:suppressAutoHyphens/>
              <w:jc w:val="right"/>
              <w:rPr>
                <w:rFonts w:ascii="Times New Roman" w:hAnsi="Times New Roman"/>
                <w:b/>
                <w:bCs/>
                <w:i/>
                <w:iCs/>
                <w:sz w:val="18"/>
                <w:szCs w:val="18"/>
              </w:rPr>
            </w:pPr>
            <w:r w:rsidRPr="00CD26B3">
              <w:rPr>
                <w:rFonts w:ascii="Times New Roman" w:hAnsi="Times New Roman"/>
                <w:b/>
                <w:bCs/>
                <w:i/>
                <w:iCs/>
                <w:sz w:val="18"/>
                <w:szCs w:val="18"/>
              </w:rPr>
              <w:t>USDA Organic Operations - All</w:t>
            </w:r>
          </w:p>
        </w:tc>
        <w:tc>
          <w:tcPr>
            <w:tcW w:w="1260" w:type="dxa"/>
            <w:hideMark/>
          </w:tcPr>
          <w:p w:rsidR="004C75A7" w:rsidRPr="00CD26B3" w:rsidP="004C75A7" w14:paraId="2937F8DB"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28</w:t>
            </w:r>
          </w:p>
        </w:tc>
        <w:tc>
          <w:tcPr>
            <w:tcW w:w="900" w:type="dxa"/>
            <w:hideMark/>
          </w:tcPr>
          <w:p w:rsidR="004C75A7" w:rsidRPr="00CD26B3" w:rsidP="004C75A7" w14:paraId="6352BDDA" w14:textId="018F2461">
            <w:pPr>
              <w:pStyle w:val="EndnoteText"/>
              <w:tabs>
                <w:tab w:val="left" w:pos="-720"/>
              </w:tabs>
              <w:suppressAutoHyphens/>
              <w:rPr>
                <w:rFonts w:ascii="Times New Roman" w:hAnsi="Times New Roman"/>
                <w:b/>
                <w:bCs/>
                <w:sz w:val="18"/>
                <w:szCs w:val="18"/>
              </w:rPr>
            </w:pPr>
          </w:p>
        </w:tc>
        <w:tc>
          <w:tcPr>
            <w:tcW w:w="1350" w:type="dxa"/>
            <w:hideMark/>
          </w:tcPr>
          <w:p w:rsidR="004C75A7" w:rsidRPr="00CD26B3" w:rsidP="004C75A7" w14:paraId="784A3B4B"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7.00</w:t>
            </w:r>
          </w:p>
        </w:tc>
        <w:tc>
          <w:tcPr>
            <w:tcW w:w="1170" w:type="dxa"/>
            <w:hideMark/>
          </w:tcPr>
          <w:p w:rsidR="004C75A7" w:rsidRPr="00CD26B3" w:rsidP="004C75A7" w14:paraId="52D1AA0D" w14:textId="13A349CC">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$368</w:t>
            </w:r>
          </w:p>
        </w:tc>
      </w:tr>
      <w:tr w14:paraId="58F5C1FA" w14:textId="77777777" w:rsidTr="00B64D7A">
        <w:tblPrEx>
          <w:tblW w:w="0" w:type="auto"/>
          <w:jc w:val="center"/>
          <w:tblLook w:val="04A0"/>
        </w:tblPrEx>
        <w:trPr>
          <w:trHeight w:val="50"/>
          <w:jc w:val="center"/>
        </w:trPr>
        <w:tc>
          <w:tcPr>
            <w:tcW w:w="3055" w:type="dxa"/>
            <w:hideMark/>
          </w:tcPr>
          <w:p w:rsidR="004C75A7" w:rsidRPr="00CD26B3" w:rsidP="004C75A7" w14:paraId="48C87D89" w14:textId="18B3863C">
            <w:pPr>
              <w:pStyle w:val="EndnoteText"/>
              <w:tabs>
                <w:tab w:val="left" w:pos="-720"/>
              </w:tabs>
              <w:suppressAutoHyphens/>
              <w:rPr>
                <w:rFonts w:ascii="Times New Roman" w:hAnsi="Times New Roman"/>
                <w:b/>
                <w:bCs/>
                <w:sz w:val="18"/>
                <w:szCs w:val="18"/>
              </w:rPr>
            </w:pPr>
          </w:p>
        </w:tc>
        <w:tc>
          <w:tcPr>
            <w:tcW w:w="4680" w:type="dxa"/>
            <w:gridSpan w:val="4"/>
            <w:hideMark/>
          </w:tcPr>
          <w:p w:rsidR="004C75A7" w:rsidRPr="00CD26B3" w:rsidP="004C75A7" w14:paraId="4E84D53F" w14:textId="6B733BBB">
            <w:pPr>
              <w:pStyle w:val="EndnoteText"/>
              <w:tabs>
                <w:tab w:val="left" w:pos="-720"/>
              </w:tabs>
              <w:suppressAutoHyphens/>
              <w:rPr>
                <w:rFonts w:ascii="Times New Roman" w:hAnsi="Times New Roman"/>
                <w:b/>
                <w:bCs/>
                <w:sz w:val="18"/>
                <w:szCs w:val="18"/>
              </w:rPr>
            </w:pPr>
          </w:p>
        </w:tc>
      </w:tr>
      <w:tr w14:paraId="320CDB49" w14:textId="77777777" w:rsidTr="00B64D7A">
        <w:tblPrEx>
          <w:tblW w:w="0" w:type="auto"/>
          <w:jc w:val="center"/>
          <w:tblLook w:val="04A0"/>
        </w:tblPrEx>
        <w:trPr>
          <w:trHeight w:val="152"/>
          <w:jc w:val="center"/>
        </w:trPr>
        <w:tc>
          <w:tcPr>
            <w:tcW w:w="3055" w:type="dxa"/>
            <w:hideMark/>
          </w:tcPr>
          <w:p w:rsidR="004C75A7" w:rsidRPr="00CD26B3" w:rsidP="004C75A7" w14:paraId="671F89D5" w14:textId="3A317108">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USDA Certifying Agents Reporting Burden</w:t>
            </w:r>
          </w:p>
        </w:tc>
        <w:tc>
          <w:tcPr>
            <w:tcW w:w="1260" w:type="dxa"/>
            <w:hideMark/>
          </w:tcPr>
          <w:p w:rsidR="004C75A7" w:rsidRPr="00CD26B3" w:rsidP="004C75A7" w14:paraId="3FF78D71"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Number of Respondents</w:t>
            </w:r>
          </w:p>
        </w:tc>
        <w:tc>
          <w:tcPr>
            <w:tcW w:w="900" w:type="dxa"/>
            <w:hideMark/>
          </w:tcPr>
          <w:p w:rsidR="004C75A7" w:rsidRPr="00CD26B3" w:rsidP="004C75A7" w14:paraId="16F9F275" w14:textId="0D700551">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 xml:space="preserve">Wage </w:t>
            </w:r>
            <w:r w:rsidR="00E76A30">
              <w:rPr>
                <w:rFonts w:ascii="Times New Roman" w:hAnsi="Times New Roman"/>
                <w:b/>
                <w:bCs/>
                <w:sz w:val="18"/>
                <w:szCs w:val="18"/>
              </w:rPr>
              <w:t>&amp;</w:t>
            </w:r>
            <w:r w:rsidRPr="00CD26B3">
              <w:rPr>
                <w:rFonts w:ascii="Times New Roman" w:hAnsi="Times New Roman"/>
                <w:b/>
                <w:bCs/>
                <w:sz w:val="18"/>
                <w:szCs w:val="18"/>
              </w:rPr>
              <w:t xml:space="preserve"> Benefits</w:t>
            </w:r>
          </w:p>
        </w:tc>
        <w:tc>
          <w:tcPr>
            <w:tcW w:w="1350" w:type="dxa"/>
            <w:hideMark/>
          </w:tcPr>
          <w:p w:rsidR="004C75A7" w:rsidRPr="00CD26B3" w:rsidP="004C75A7" w14:paraId="0DD73425" w14:textId="6A9F6192">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Total Record</w:t>
            </w:r>
            <w:r w:rsidR="00CD26B3">
              <w:rPr>
                <w:rFonts w:ascii="Times New Roman" w:hAnsi="Times New Roman"/>
                <w:b/>
                <w:bCs/>
                <w:sz w:val="18"/>
                <w:szCs w:val="18"/>
              </w:rPr>
              <w:t>-</w:t>
            </w:r>
            <w:r w:rsidRPr="00CD26B3">
              <w:rPr>
                <w:rFonts w:ascii="Times New Roman" w:hAnsi="Times New Roman"/>
                <w:b/>
                <w:bCs/>
                <w:sz w:val="18"/>
                <w:szCs w:val="18"/>
              </w:rPr>
              <w:t>keeping Hours</w:t>
            </w:r>
          </w:p>
        </w:tc>
        <w:tc>
          <w:tcPr>
            <w:tcW w:w="1170" w:type="dxa"/>
            <w:hideMark/>
          </w:tcPr>
          <w:p w:rsidR="004C75A7" w:rsidRPr="00CD26B3" w:rsidP="004C75A7" w14:paraId="13F8276A" w14:textId="6432EA5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Total Record</w:t>
            </w:r>
            <w:r w:rsidR="00CD26B3">
              <w:rPr>
                <w:rFonts w:ascii="Times New Roman" w:hAnsi="Times New Roman"/>
                <w:b/>
                <w:bCs/>
                <w:sz w:val="18"/>
                <w:szCs w:val="18"/>
              </w:rPr>
              <w:t>-</w:t>
            </w:r>
            <w:r w:rsidRPr="00CD26B3">
              <w:rPr>
                <w:rFonts w:ascii="Times New Roman" w:hAnsi="Times New Roman"/>
                <w:b/>
                <w:bCs/>
                <w:sz w:val="18"/>
                <w:szCs w:val="18"/>
              </w:rPr>
              <w:t>keeping Costs</w:t>
            </w:r>
          </w:p>
        </w:tc>
      </w:tr>
      <w:tr w14:paraId="403E1725" w14:textId="77777777" w:rsidTr="00B64D7A">
        <w:tblPrEx>
          <w:tblW w:w="0" w:type="auto"/>
          <w:jc w:val="center"/>
          <w:tblLook w:val="04A0"/>
        </w:tblPrEx>
        <w:trPr>
          <w:trHeight w:val="89"/>
          <w:jc w:val="center"/>
        </w:trPr>
        <w:tc>
          <w:tcPr>
            <w:tcW w:w="3055" w:type="dxa"/>
            <w:hideMark/>
          </w:tcPr>
          <w:p w:rsidR="004C75A7" w:rsidRPr="00CD26B3" w:rsidP="004C75A7" w14:paraId="324547D4"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USDA U.S.-Based Certifiers</w:t>
            </w:r>
          </w:p>
        </w:tc>
        <w:tc>
          <w:tcPr>
            <w:tcW w:w="1260" w:type="dxa"/>
            <w:hideMark/>
          </w:tcPr>
          <w:p w:rsidR="004C75A7" w:rsidRPr="00CD26B3" w:rsidP="004C75A7" w14:paraId="26E14E5C"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17</w:t>
            </w:r>
          </w:p>
        </w:tc>
        <w:tc>
          <w:tcPr>
            <w:tcW w:w="900" w:type="dxa"/>
            <w:hideMark/>
          </w:tcPr>
          <w:p w:rsidR="004C75A7" w:rsidRPr="00CD26B3" w:rsidP="004C75A7" w14:paraId="2C87D7B2"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$53.64</w:t>
            </w:r>
          </w:p>
        </w:tc>
        <w:tc>
          <w:tcPr>
            <w:tcW w:w="1350" w:type="dxa"/>
            <w:hideMark/>
          </w:tcPr>
          <w:p w:rsidR="004C75A7" w:rsidRPr="00CD26B3" w:rsidP="004C75A7" w14:paraId="726A8AF2"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4.25</w:t>
            </w:r>
          </w:p>
        </w:tc>
        <w:tc>
          <w:tcPr>
            <w:tcW w:w="1170" w:type="dxa"/>
            <w:hideMark/>
          </w:tcPr>
          <w:p w:rsidR="004C75A7" w:rsidRPr="00CD26B3" w:rsidP="004C75A7" w14:paraId="7C616A75" w14:textId="7A52CA0F">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$228</w:t>
            </w:r>
          </w:p>
        </w:tc>
      </w:tr>
      <w:tr w14:paraId="3E7EC036" w14:textId="77777777" w:rsidTr="00B64D7A">
        <w:tblPrEx>
          <w:tblW w:w="0" w:type="auto"/>
          <w:jc w:val="center"/>
          <w:tblLook w:val="04A0"/>
        </w:tblPrEx>
        <w:trPr>
          <w:trHeight w:val="134"/>
          <w:jc w:val="center"/>
        </w:trPr>
        <w:tc>
          <w:tcPr>
            <w:tcW w:w="3055" w:type="dxa"/>
            <w:hideMark/>
          </w:tcPr>
          <w:p w:rsidR="004C75A7" w:rsidRPr="00CD26B3" w:rsidP="004C75A7" w14:paraId="290ABE09"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USDA Foreign-Based Certifiers</w:t>
            </w:r>
          </w:p>
        </w:tc>
        <w:tc>
          <w:tcPr>
            <w:tcW w:w="1260" w:type="dxa"/>
            <w:hideMark/>
          </w:tcPr>
          <w:p w:rsidR="004C75A7" w:rsidRPr="00CD26B3" w:rsidP="004C75A7" w14:paraId="1C291FB6"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11</w:t>
            </w:r>
          </w:p>
        </w:tc>
        <w:tc>
          <w:tcPr>
            <w:tcW w:w="900" w:type="dxa"/>
            <w:hideMark/>
          </w:tcPr>
          <w:p w:rsidR="004C75A7" w:rsidRPr="00CD26B3" w:rsidP="004C75A7" w14:paraId="70B244AF"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$39.88</w:t>
            </w:r>
          </w:p>
        </w:tc>
        <w:tc>
          <w:tcPr>
            <w:tcW w:w="1350" w:type="dxa"/>
            <w:hideMark/>
          </w:tcPr>
          <w:p w:rsidR="004C75A7" w:rsidRPr="00CD26B3" w:rsidP="004C75A7" w14:paraId="0201D6ED"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2.75</w:t>
            </w:r>
          </w:p>
        </w:tc>
        <w:tc>
          <w:tcPr>
            <w:tcW w:w="1170" w:type="dxa"/>
            <w:hideMark/>
          </w:tcPr>
          <w:p w:rsidR="004C75A7" w:rsidRPr="00CD26B3" w:rsidP="004C75A7" w14:paraId="1B9F0490" w14:textId="551E8F11">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$110</w:t>
            </w:r>
          </w:p>
        </w:tc>
      </w:tr>
      <w:tr w14:paraId="53B0D84B" w14:textId="77777777" w:rsidTr="00033E20">
        <w:tblPrEx>
          <w:tblW w:w="0" w:type="auto"/>
          <w:jc w:val="center"/>
          <w:tblLook w:val="04A0"/>
        </w:tblPrEx>
        <w:trPr>
          <w:trHeight w:val="161"/>
          <w:jc w:val="center"/>
        </w:trPr>
        <w:tc>
          <w:tcPr>
            <w:tcW w:w="3055" w:type="dxa"/>
            <w:hideMark/>
          </w:tcPr>
          <w:p w:rsidR="004C75A7" w:rsidRPr="00CD26B3" w:rsidP="00033E20" w14:paraId="1FA0B56E" w14:textId="77777777">
            <w:pPr>
              <w:pStyle w:val="EndnoteText"/>
              <w:tabs>
                <w:tab w:val="left" w:pos="-720"/>
              </w:tabs>
              <w:suppressAutoHyphens/>
              <w:jc w:val="right"/>
              <w:rPr>
                <w:rFonts w:ascii="Times New Roman" w:hAnsi="Times New Roman"/>
                <w:b/>
                <w:bCs/>
                <w:i/>
                <w:iCs/>
                <w:sz w:val="18"/>
                <w:szCs w:val="18"/>
              </w:rPr>
            </w:pPr>
            <w:r w:rsidRPr="00CD26B3">
              <w:rPr>
                <w:rFonts w:ascii="Times New Roman" w:hAnsi="Times New Roman"/>
                <w:b/>
                <w:bCs/>
                <w:i/>
                <w:iCs/>
                <w:sz w:val="18"/>
                <w:szCs w:val="18"/>
              </w:rPr>
              <w:t>Total USDA Certifiers - All</w:t>
            </w:r>
          </w:p>
        </w:tc>
        <w:tc>
          <w:tcPr>
            <w:tcW w:w="1260" w:type="dxa"/>
            <w:hideMark/>
          </w:tcPr>
          <w:p w:rsidR="004C75A7" w:rsidRPr="00CD26B3" w:rsidP="004C75A7" w14:paraId="735D0052"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28</w:t>
            </w:r>
          </w:p>
        </w:tc>
        <w:tc>
          <w:tcPr>
            <w:tcW w:w="900" w:type="dxa"/>
            <w:hideMark/>
          </w:tcPr>
          <w:p w:rsidR="004C75A7" w:rsidRPr="00CD26B3" w:rsidP="004C75A7" w14:paraId="51E22EF1" w14:textId="393C25BB">
            <w:pPr>
              <w:pStyle w:val="EndnoteText"/>
              <w:tabs>
                <w:tab w:val="left" w:pos="-720"/>
              </w:tabs>
              <w:suppressAutoHyphens/>
              <w:rPr>
                <w:rFonts w:ascii="Times New Roman" w:hAnsi="Times New Roman"/>
                <w:b/>
                <w:bCs/>
                <w:sz w:val="18"/>
                <w:szCs w:val="18"/>
              </w:rPr>
            </w:pPr>
          </w:p>
        </w:tc>
        <w:tc>
          <w:tcPr>
            <w:tcW w:w="1350" w:type="dxa"/>
            <w:hideMark/>
          </w:tcPr>
          <w:p w:rsidR="004C75A7" w:rsidRPr="00CD26B3" w:rsidP="004C75A7" w14:paraId="6D2FB5C8"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7.00</w:t>
            </w:r>
          </w:p>
        </w:tc>
        <w:tc>
          <w:tcPr>
            <w:tcW w:w="1170" w:type="dxa"/>
            <w:hideMark/>
          </w:tcPr>
          <w:p w:rsidR="004C75A7" w:rsidRPr="00CD26B3" w:rsidP="004C75A7" w14:paraId="5A5D9884" w14:textId="1063757E">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$338</w:t>
            </w:r>
          </w:p>
        </w:tc>
      </w:tr>
      <w:tr w14:paraId="732B20F7" w14:textId="77777777" w:rsidTr="00B64D7A">
        <w:tblPrEx>
          <w:tblW w:w="0" w:type="auto"/>
          <w:jc w:val="center"/>
          <w:tblLook w:val="04A0"/>
        </w:tblPrEx>
        <w:trPr>
          <w:trHeight w:val="161"/>
          <w:jc w:val="center"/>
        </w:trPr>
        <w:tc>
          <w:tcPr>
            <w:tcW w:w="3055" w:type="dxa"/>
          </w:tcPr>
          <w:p w:rsidR="00033E20" w:rsidRPr="00CD26B3" w:rsidP="004C75A7" w14:paraId="42F9A1EC" w14:textId="77777777">
            <w:pPr>
              <w:pStyle w:val="EndnoteText"/>
              <w:tabs>
                <w:tab w:val="left" w:pos="-720"/>
              </w:tabs>
              <w:suppressAutoHyphens/>
              <w:rPr>
                <w:b/>
                <w:bCs/>
                <w:i/>
                <w:iCs/>
                <w:sz w:val="18"/>
                <w:szCs w:val="18"/>
              </w:rPr>
            </w:pPr>
          </w:p>
        </w:tc>
        <w:tc>
          <w:tcPr>
            <w:tcW w:w="1260" w:type="dxa"/>
          </w:tcPr>
          <w:p w:rsidR="00033E20" w:rsidRPr="00CD26B3" w:rsidP="004C75A7" w14:paraId="7DC5B4A5" w14:textId="77777777">
            <w:pPr>
              <w:pStyle w:val="EndnoteText"/>
              <w:tabs>
                <w:tab w:val="left" w:pos="-720"/>
              </w:tabs>
              <w:suppressAutoHyphens/>
              <w:rPr>
                <w:b/>
                <w:bCs/>
                <w:sz w:val="18"/>
                <w:szCs w:val="18"/>
              </w:rPr>
            </w:pPr>
          </w:p>
        </w:tc>
        <w:tc>
          <w:tcPr>
            <w:tcW w:w="900" w:type="dxa"/>
          </w:tcPr>
          <w:p w:rsidR="00033E20" w:rsidRPr="00CD26B3" w:rsidP="004C75A7" w14:paraId="24B01CF2" w14:textId="77777777">
            <w:pPr>
              <w:pStyle w:val="EndnoteText"/>
              <w:tabs>
                <w:tab w:val="left" w:pos="-720"/>
              </w:tabs>
              <w:suppressAutoHyphens/>
              <w:rPr>
                <w:b/>
                <w:bCs/>
                <w:sz w:val="18"/>
                <w:szCs w:val="18"/>
              </w:rPr>
            </w:pPr>
          </w:p>
        </w:tc>
        <w:tc>
          <w:tcPr>
            <w:tcW w:w="1350" w:type="dxa"/>
          </w:tcPr>
          <w:p w:rsidR="00033E20" w:rsidRPr="00CD26B3" w:rsidP="004C75A7" w14:paraId="13534543" w14:textId="77777777">
            <w:pPr>
              <w:pStyle w:val="EndnoteText"/>
              <w:tabs>
                <w:tab w:val="left" w:pos="-720"/>
              </w:tabs>
              <w:suppressAutoHyphens/>
              <w:rPr>
                <w:b/>
                <w:bCs/>
                <w:sz w:val="18"/>
                <w:szCs w:val="18"/>
              </w:rPr>
            </w:pPr>
          </w:p>
        </w:tc>
        <w:tc>
          <w:tcPr>
            <w:tcW w:w="1170" w:type="dxa"/>
          </w:tcPr>
          <w:p w:rsidR="00033E20" w:rsidRPr="00CD26B3" w:rsidP="004C75A7" w14:paraId="7C94CA8B" w14:textId="77777777">
            <w:pPr>
              <w:pStyle w:val="EndnoteText"/>
              <w:tabs>
                <w:tab w:val="left" w:pos="-720"/>
              </w:tabs>
              <w:suppressAutoHyphens/>
              <w:rPr>
                <w:b/>
                <w:bCs/>
                <w:sz w:val="18"/>
                <w:szCs w:val="18"/>
              </w:rPr>
            </w:pPr>
          </w:p>
        </w:tc>
      </w:tr>
      <w:tr w14:paraId="55E539FB" w14:textId="77777777" w:rsidTr="00B64D7A">
        <w:tblPrEx>
          <w:tblW w:w="0" w:type="auto"/>
          <w:jc w:val="center"/>
          <w:tblLook w:val="04A0"/>
        </w:tblPrEx>
        <w:trPr>
          <w:trHeight w:val="107"/>
          <w:jc w:val="center"/>
        </w:trPr>
        <w:tc>
          <w:tcPr>
            <w:tcW w:w="3055" w:type="dxa"/>
            <w:shd w:val="clear" w:color="auto" w:fill="E7E6E6" w:themeFill="background2"/>
            <w:noWrap/>
            <w:hideMark/>
          </w:tcPr>
          <w:p w:rsidR="004C75A7" w:rsidRPr="00CD26B3" w:rsidP="004C75A7" w14:paraId="42669501" w14:textId="77777777">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All Respondents - Recordkeeping Burden</w:t>
            </w:r>
          </w:p>
        </w:tc>
        <w:tc>
          <w:tcPr>
            <w:tcW w:w="1260" w:type="dxa"/>
            <w:shd w:val="clear" w:color="auto" w:fill="E7E6E6" w:themeFill="background2"/>
            <w:noWrap/>
            <w:hideMark/>
          </w:tcPr>
          <w:p w:rsidR="004C75A7" w:rsidRPr="00CD26B3" w:rsidP="004C75A7" w14:paraId="746F2672"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56</w:t>
            </w:r>
          </w:p>
        </w:tc>
        <w:tc>
          <w:tcPr>
            <w:tcW w:w="900" w:type="dxa"/>
            <w:shd w:val="clear" w:color="auto" w:fill="E7E6E6" w:themeFill="background2"/>
            <w:noWrap/>
            <w:hideMark/>
          </w:tcPr>
          <w:p w:rsidR="004C75A7" w:rsidRPr="00CD26B3" w:rsidP="004C75A7" w14:paraId="6722D082" w14:textId="3B0E9378">
            <w:pPr>
              <w:pStyle w:val="EndnoteText"/>
              <w:tabs>
                <w:tab w:val="left" w:pos="-720"/>
              </w:tabs>
              <w:suppressAutoHyphens/>
              <w:rPr>
                <w:rFonts w:ascii="Times New Roman" w:hAnsi="Times New Roman"/>
                <w:sz w:val="18"/>
                <w:szCs w:val="18"/>
              </w:rPr>
            </w:pPr>
          </w:p>
        </w:tc>
        <w:tc>
          <w:tcPr>
            <w:tcW w:w="1350" w:type="dxa"/>
            <w:shd w:val="clear" w:color="auto" w:fill="E7E6E6" w:themeFill="background2"/>
            <w:noWrap/>
            <w:hideMark/>
          </w:tcPr>
          <w:p w:rsidR="004C75A7" w:rsidRPr="00CD26B3" w:rsidP="004C75A7" w14:paraId="3DA5F70D" w14:textId="77777777">
            <w:pPr>
              <w:pStyle w:val="EndnoteText"/>
              <w:tabs>
                <w:tab w:val="left" w:pos="-720"/>
              </w:tabs>
              <w:suppressAutoHyphens/>
              <w:rPr>
                <w:rFonts w:ascii="Times New Roman" w:hAnsi="Times New Roman"/>
                <w:sz w:val="18"/>
                <w:szCs w:val="18"/>
              </w:rPr>
            </w:pPr>
            <w:r w:rsidRPr="00CD26B3">
              <w:rPr>
                <w:rFonts w:ascii="Times New Roman" w:hAnsi="Times New Roman"/>
                <w:sz w:val="18"/>
                <w:szCs w:val="18"/>
              </w:rPr>
              <w:t>14.00</w:t>
            </w:r>
          </w:p>
        </w:tc>
        <w:tc>
          <w:tcPr>
            <w:tcW w:w="1170" w:type="dxa"/>
            <w:shd w:val="clear" w:color="auto" w:fill="E7E6E6" w:themeFill="background2"/>
            <w:noWrap/>
            <w:hideMark/>
          </w:tcPr>
          <w:p w:rsidR="004C75A7" w:rsidRPr="00CD26B3" w:rsidP="004C75A7" w14:paraId="23036FD0" w14:textId="529F0EFB">
            <w:pPr>
              <w:pStyle w:val="EndnoteText"/>
              <w:tabs>
                <w:tab w:val="left" w:pos="-720"/>
              </w:tabs>
              <w:suppressAutoHyphens/>
              <w:rPr>
                <w:rFonts w:ascii="Times New Roman" w:hAnsi="Times New Roman"/>
                <w:b/>
                <w:bCs/>
                <w:sz w:val="18"/>
                <w:szCs w:val="18"/>
              </w:rPr>
            </w:pPr>
            <w:r w:rsidRPr="00CD26B3">
              <w:rPr>
                <w:rFonts w:ascii="Times New Roman" w:hAnsi="Times New Roman"/>
                <w:b/>
                <w:bCs/>
                <w:sz w:val="18"/>
                <w:szCs w:val="18"/>
              </w:rPr>
              <w:t>$705</w:t>
            </w:r>
          </w:p>
        </w:tc>
      </w:tr>
    </w:tbl>
    <w:p w:rsidR="004C75A7" w:rsidP="002C4DD4" w14:paraId="1DE945C8" w14:textId="77777777">
      <w:pPr>
        <w:pStyle w:val="EndnoteText"/>
        <w:tabs>
          <w:tab w:val="left" w:pos="-720"/>
        </w:tabs>
        <w:suppressAutoHyphens/>
        <w:rPr>
          <w:szCs w:val="24"/>
        </w:rPr>
      </w:pPr>
    </w:p>
    <w:p w:rsidR="000A3710" w:rsidP="006818E1" w14:paraId="5F69E816" w14:textId="12A5F5B2">
      <w:pPr>
        <w:pStyle w:val="Heading2"/>
      </w:pPr>
      <w:r>
        <w:t>13.</w:t>
      </w:r>
      <w:r>
        <w:tab/>
      </w:r>
      <w:r w:rsidRPr="00E8329D">
        <w:rPr>
          <w:szCs w:val="24"/>
        </w:rPr>
        <w:t>P</w:t>
      </w:r>
      <w:r w:rsidR="006F3707">
        <w:rPr>
          <w:szCs w:val="24"/>
        </w:rPr>
        <w:t>rovide an estimate of the total annual cost burden to respondents for recordkeep</w:t>
      </w:r>
      <w:r w:rsidR="00614406">
        <w:rPr>
          <w:szCs w:val="24"/>
        </w:rPr>
        <w:t>ers resulting from the collection of information. Do not include the cost of any hour burden shown in items 12 and 14</w:t>
      </w:r>
      <w:r w:rsidR="008D0FBA">
        <w:rPr>
          <w:szCs w:val="24"/>
        </w:rPr>
        <w:t>.</w:t>
      </w:r>
    </w:p>
    <w:p w:rsidR="008B4760" w:rsidP="009B5ECE" w14:paraId="6E4FAE61" w14:textId="047B41B7">
      <w:pPr>
        <w:pStyle w:val="EndnoteText"/>
        <w:tabs>
          <w:tab w:val="left" w:pos="-720"/>
        </w:tabs>
        <w:suppressAutoHyphens/>
        <w:rPr>
          <w:szCs w:val="24"/>
        </w:rPr>
      </w:pPr>
      <w:r>
        <w:rPr>
          <w:rFonts w:eastAsia="Calibri"/>
          <w:snapToGrid/>
          <w:szCs w:val="24"/>
        </w:rPr>
        <w:t xml:space="preserve">The hourly burden estimate resulting from this information collection is described in </w:t>
      </w:r>
      <w:r w:rsidR="003F056E">
        <w:rPr>
          <w:rFonts w:eastAsia="Calibri"/>
          <w:snapToGrid/>
          <w:szCs w:val="24"/>
        </w:rPr>
        <w:t>I</w:t>
      </w:r>
      <w:r>
        <w:rPr>
          <w:rFonts w:eastAsia="Calibri"/>
          <w:snapToGrid/>
          <w:szCs w:val="24"/>
        </w:rPr>
        <w:t xml:space="preserve">tem 12. There is no </w:t>
      </w:r>
      <w:r w:rsidR="00C417FD">
        <w:rPr>
          <w:rFonts w:eastAsia="Calibri"/>
          <w:snapToGrid/>
          <w:szCs w:val="24"/>
        </w:rPr>
        <w:t xml:space="preserve">other </w:t>
      </w:r>
      <w:r w:rsidR="006D1502">
        <w:rPr>
          <w:rFonts w:eastAsia="Calibri"/>
          <w:snapToGrid/>
          <w:szCs w:val="24"/>
        </w:rPr>
        <w:t xml:space="preserve">annual cost burden to respondents for recordkeepers to describe here as there are no </w:t>
      </w:r>
      <w:r w:rsidR="009B5ECE">
        <w:rPr>
          <w:rFonts w:eastAsia="Calibri"/>
          <w:snapToGrid/>
          <w:szCs w:val="24"/>
        </w:rPr>
        <w:t>c</w:t>
      </w:r>
      <w:r w:rsidRPr="004C33BB">
        <w:rPr>
          <w:szCs w:val="24"/>
        </w:rPr>
        <w:t xml:space="preserve">apital and </w:t>
      </w:r>
      <w:r w:rsidR="009B5ECE">
        <w:rPr>
          <w:szCs w:val="24"/>
        </w:rPr>
        <w:t>s</w:t>
      </w:r>
      <w:r w:rsidRPr="004C33BB">
        <w:rPr>
          <w:szCs w:val="24"/>
        </w:rPr>
        <w:t xml:space="preserve">tart-up </w:t>
      </w:r>
      <w:r w:rsidR="009B5ECE">
        <w:rPr>
          <w:szCs w:val="24"/>
        </w:rPr>
        <w:t>c</w:t>
      </w:r>
      <w:r w:rsidRPr="004C33BB">
        <w:rPr>
          <w:szCs w:val="24"/>
        </w:rPr>
        <w:t>osts</w:t>
      </w:r>
      <w:r>
        <w:rPr>
          <w:szCs w:val="24"/>
        </w:rPr>
        <w:t xml:space="preserve"> associated with this information collection.</w:t>
      </w:r>
    </w:p>
    <w:p w:rsidR="008B4760" w:rsidP="005D366D" w14:paraId="3B9CF61F" w14:textId="77777777">
      <w:pPr>
        <w:pStyle w:val="EndnoteText"/>
        <w:tabs>
          <w:tab w:val="left" w:pos="-720"/>
        </w:tabs>
        <w:suppressAutoHyphens/>
        <w:rPr>
          <w:szCs w:val="24"/>
        </w:rPr>
      </w:pPr>
    </w:p>
    <w:p w:rsidR="00B94233" w:rsidP="002C4DD4" w14:paraId="657772C1" w14:textId="6782EA49">
      <w:pPr>
        <w:pStyle w:val="Heading3"/>
      </w:pPr>
      <w:r>
        <w:t>T</w:t>
      </w:r>
      <w:r w:rsidR="005D366D">
        <w:t>he cost estimate should be split into two components</w:t>
      </w:r>
      <w:r>
        <w:t xml:space="preserve">: (a) A </w:t>
      </w:r>
      <w:r w:rsidR="005D366D">
        <w:t xml:space="preserve">total capital and start-up cost component </w:t>
      </w:r>
      <w:r>
        <w:t>(</w:t>
      </w:r>
      <w:r w:rsidR="005D366D">
        <w:t>annualized over its expected useful life</w:t>
      </w:r>
      <w:r>
        <w:t xml:space="preserve">); </w:t>
      </w:r>
      <w:r w:rsidR="005D366D">
        <w:t>and</w:t>
      </w:r>
      <w:r>
        <w:t xml:space="preserve"> (b) A </w:t>
      </w:r>
      <w:r w:rsidR="005D366D">
        <w:t>total operation and maintenance and purchase of services component</w:t>
      </w:r>
      <w:r>
        <w:t>. T</w:t>
      </w:r>
      <w:r w:rsidR="005D366D">
        <w:t xml:space="preserve">he estimates should </w:t>
      </w:r>
      <w:r w:rsidR="005D366D">
        <w:t>take into account</w:t>
      </w:r>
      <w:r w:rsidR="005D366D">
        <w:t xml:space="preserve"> costs associated with generating, maintaining, and disclosing or providing the information</w:t>
      </w:r>
      <w:r>
        <w:t>. I</w:t>
      </w:r>
      <w:r w:rsidR="005D366D">
        <w:t>nclude descriptions of methods used to estimate major cost factors including system and technology acquisition</w:t>
      </w:r>
      <w:r>
        <w:t xml:space="preserve">, </w:t>
      </w:r>
      <w:r w:rsidR="00DF2477">
        <w:t>expected useful life of capital equipment</w:t>
      </w:r>
      <w:r>
        <w:t xml:space="preserve">, </w:t>
      </w:r>
      <w:r w:rsidR="00DF2477">
        <w:t>the discount rate(s)</w:t>
      </w:r>
      <w:r>
        <w:t xml:space="preserve">, </w:t>
      </w:r>
      <w:r w:rsidR="00DF2477">
        <w:t xml:space="preserve">and the </w:t>
      </w:r>
      <w:r w:rsidR="00DF2477">
        <w:t>time period</w:t>
      </w:r>
      <w:r w:rsidR="00DF2477">
        <w:t xml:space="preserve"> over which costs would be incurred</w:t>
      </w:r>
      <w:r>
        <w:t>. C</w:t>
      </w:r>
      <w:r w:rsidR="00DF2477">
        <w:t>apital and start-up costs include</w:t>
      </w:r>
      <w:r>
        <w:t xml:space="preserve">, </w:t>
      </w:r>
      <w:r w:rsidR="00DF2477">
        <w:t>among other items</w:t>
      </w:r>
      <w:r>
        <w:t xml:space="preserve">, </w:t>
      </w:r>
      <w:r w:rsidR="00DF2477">
        <w:t>preparations for collecting information such as purchasing computers and software</w:t>
      </w:r>
      <w:r>
        <w:t xml:space="preserve">; </w:t>
      </w:r>
      <w:r w:rsidR="00DF2477">
        <w:t>monitoring</w:t>
      </w:r>
      <w:r>
        <w:t xml:space="preserve">, </w:t>
      </w:r>
      <w:r w:rsidR="00DF2477">
        <w:t>sampling</w:t>
      </w:r>
      <w:r>
        <w:t xml:space="preserve">, </w:t>
      </w:r>
      <w:r w:rsidR="00DF2477">
        <w:t>drilling</w:t>
      </w:r>
      <w:r w:rsidR="00DF2477">
        <w:t xml:space="preserve"> and testing equipment</w:t>
      </w:r>
      <w:r>
        <w:t xml:space="preserve">; </w:t>
      </w:r>
      <w:r w:rsidR="00DF2477">
        <w:t>and record storage facilities</w:t>
      </w:r>
      <w:r>
        <w:t>.</w:t>
      </w:r>
    </w:p>
    <w:p w:rsidR="00B94233" w:rsidP="00E94AF2" w14:paraId="327A5053" w14:textId="68C39363">
      <w:pPr>
        <w:pStyle w:val="EndnoteText"/>
        <w:tabs>
          <w:tab w:val="left" w:pos="-720"/>
        </w:tabs>
        <w:suppressAutoHyphens/>
        <w:rPr>
          <w:szCs w:val="24"/>
        </w:rPr>
      </w:pPr>
      <w:r>
        <w:rPr>
          <w:szCs w:val="24"/>
        </w:rPr>
        <w:t>T</w:t>
      </w:r>
      <w:r w:rsidR="00AC0F0C">
        <w:rPr>
          <w:szCs w:val="24"/>
        </w:rPr>
        <w:t xml:space="preserve">here is </w:t>
      </w:r>
      <w:r>
        <w:rPr>
          <w:szCs w:val="24"/>
        </w:rPr>
        <w:t xml:space="preserve">no (a) </w:t>
      </w:r>
      <w:r w:rsidR="0006681A">
        <w:rPr>
          <w:szCs w:val="24"/>
        </w:rPr>
        <w:t xml:space="preserve">capital and start-up cost estimated </w:t>
      </w:r>
      <w:r>
        <w:rPr>
          <w:szCs w:val="24"/>
        </w:rPr>
        <w:t xml:space="preserve">or (b) operation </w:t>
      </w:r>
      <w:r w:rsidR="00332ED8">
        <w:rPr>
          <w:szCs w:val="24"/>
        </w:rPr>
        <w:t xml:space="preserve">maintenance or service purchasing </w:t>
      </w:r>
      <w:r w:rsidR="00E017E8">
        <w:rPr>
          <w:szCs w:val="24"/>
        </w:rPr>
        <w:t>cost associated with this information collection.</w:t>
      </w:r>
    </w:p>
    <w:p w:rsidR="00E017E8" w:rsidRPr="002C4DD4" w:rsidP="00E94AF2" w14:paraId="1E16CCBD" w14:textId="77777777">
      <w:pPr>
        <w:pStyle w:val="EndnoteText"/>
        <w:tabs>
          <w:tab w:val="left" w:pos="-720"/>
        </w:tabs>
        <w:suppressAutoHyphens/>
        <w:rPr>
          <w:szCs w:val="24"/>
        </w:rPr>
      </w:pPr>
    </w:p>
    <w:p w:rsidR="006E5C0F" w:rsidP="002C4DD4" w14:paraId="19683D72" w14:textId="16B5FC0F">
      <w:pPr>
        <w:pStyle w:val="Heading3"/>
      </w:pPr>
      <w:r>
        <w:t>I</w:t>
      </w:r>
      <w:r w:rsidR="00E94AF2">
        <w:t>f cost estimates are expected to vary widely, agencies should present ranges of cost burdens and explain the reasons for the variance. The cost of purchasing or contracting out information collection services should be a part of this cost burden estimate</w:t>
      </w:r>
      <w:r>
        <w:t>. I</w:t>
      </w:r>
      <w:r w:rsidR="00E94AF2">
        <w:t>n developing cost burden estimates, agencies may consult with a sample of respondents (fewer than 10</w:t>
      </w:r>
      <w:r w:rsidRPr="00A4322A">
        <w:t>),</w:t>
      </w:r>
      <w:r w:rsidR="00E94AF2">
        <w:t xml:space="preserve"> utilize the </w:t>
      </w:r>
      <w:r>
        <w:t>60-</w:t>
      </w:r>
      <w:r w:rsidR="00E94AF2">
        <w:t>day</w:t>
      </w:r>
      <w:r>
        <w:t xml:space="preserve"> </w:t>
      </w:r>
      <w:r w:rsidR="00E94AF2">
        <w:t>pre</w:t>
      </w:r>
      <w:r>
        <w:t xml:space="preserve">-OMB </w:t>
      </w:r>
      <w:r w:rsidR="00E94AF2">
        <w:t xml:space="preserve">submission public comment </w:t>
      </w:r>
      <w:r w:rsidR="00E94AF2">
        <w:t>process</w:t>
      </w:r>
      <w:r w:rsidR="00E94AF2">
        <w:t xml:space="preserve"> and use existing economic or regulatory impact analysis associated with the rulemaking containing the information collection, as appropriate.</w:t>
      </w:r>
    </w:p>
    <w:p w:rsidR="008D0FBA" w:rsidP="00E94AF2" w14:paraId="7AB6EC30" w14:textId="7CCCFDB1">
      <w:pPr>
        <w:pStyle w:val="BodyTextIndent3"/>
        <w:tabs>
          <w:tab w:val="clear" w:pos="-720"/>
        </w:tabs>
        <w:spacing w:line="240" w:lineRule="auto"/>
        <w:ind w:left="0" w:firstLine="0"/>
        <w:rPr>
          <w:b w:val="0"/>
          <w:bCs/>
        </w:rPr>
      </w:pPr>
      <w:r>
        <w:rPr>
          <w:b w:val="0"/>
          <w:bCs/>
        </w:rPr>
        <w:t>Burden</w:t>
      </w:r>
      <w:r w:rsidR="00593D6F">
        <w:rPr>
          <w:b w:val="0"/>
          <w:bCs/>
        </w:rPr>
        <w:t xml:space="preserve"> estimates </w:t>
      </w:r>
      <w:r>
        <w:rPr>
          <w:b w:val="0"/>
          <w:bCs/>
        </w:rPr>
        <w:t>and their associated cost</w:t>
      </w:r>
      <w:r w:rsidR="005446D1">
        <w:rPr>
          <w:b w:val="0"/>
          <w:bCs/>
        </w:rPr>
        <w:t xml:space="preserve"> </w:t>
      </w:r>
      <w:r>
        <w:rPr>
          <w:b w:val="0"/>
          <w:bCs/>
        </w:rPr>
        <w:t>are</w:t>
      </w:r>
      <w:r w:rsidR="00593D6F">
        <w:rPr>
          <w:b w:val="0"/>
          <w:bCs/>
        </w:rPr>
        <w:t xml:space="preserve"> described in </w:t>
      </w:r>
      <w:r w:rsidR="003F056E">
        <w:rPr>
          <w:b w:val="0"/>
          <w:bCs/>
        </w:rPr>
        <w:t>I</w:t>
      </w:r>
      <w:r w:rsidR="00593D6F">
        <w:rPr>
          <w:b w:val="0"/>
          <w:bCs/>
        </w:rPr>
        <w:t>tem 12.</w:t>
      </w:r>
      <w:r w:rsidR="00295C3B">
        <w:rPr>
          <w:b w:val="0"/>
          <w:bCs/>
        </w:rPr>
        <w:t xml:space="preserve"> </w:t>
      </w:r>
      <w:r w:rsidR="00134971">
        <w:rPr>
          <w:b w:val="0"/>
          <w:bCs/>
        </w:rPr>
        <w:t xml:space="preserve">AMS does not expect </w:t>
      </w:r>
      <w:r>
        <w:rPr>
          <w:b w:val="0"/>
          <w:bCs/>
        </w:rPr>
        <w:t>a wide range of recordkeeping or reporting burden due to this collection of information.</w:t>
      </w:r>
    </w:p>
    <w:p w:rsidR="00593D6F" w:rsidRPr="00E94AF2" w:rsidP="00E94AF2" w14:paraId="1A2373C6" w14:textId="77777777">
      <w:pPr>
        <w:pStyle w:val="BodyTextIndent3"/>
        <w:tabs>
          <w:tab w:val="clear" w:pos="-720"/>
        </w:tabs>
        <w:spacing w:line="240" w:lineRule="auto"/>
        <w:ind w:left="0" w:firstLine="0"/>
        <w:rPr>
          <w:b w:val="0"/>
          <w:bCs/>
        </w:rPr>
      </w:pPr>
    </w:p>
    <w:p w:rsidR="005D3199" w:rsidP="002C4DD4" w14:paraId="73EF2A0B" w14:textId="10263262">
      <w:pPr>
        <w:pStyle w:val="Heading3"/>
      </w:pPr>
      <w:r>
        <w:t>Generally</w:t>
      </w:r>
      <w:r w:rsidR="00E94AF2">
        <w:t xml:space="preserve">, estimates should not include purchases of equipment or </w:t>
      </w:r>
      <w:r>
        <w:t>services</w:t>
      </w:r>
      <w:r w:rsidRPr="006E5C0F" w:rsidR="00B94233">
        <w:t xml:space="preserve">, </w:t>
      </w:r>
      <w:r>
        <w:t>or portions thereof</w:t>
      </w:r>
      <w:r w:rsidRPr="006E5C0F" w:rsidR="00B94233">
        <w:t xml:space="preserve">, </w:t>
      </w:r>
      <w:r>
        <w:t>made</w:t>
      </w:r>
      <w:r w:rsidRPr="006E5C0F" w:rsidR="00B94233">
        <w:t>: (1) P</w:t>
      </w:r>
      <w:r>
        <w:t xml:space="preserve">rior to October </w:t>
      </w:r>
      <w:r w:rsidRPr="006E5C0F" w:rsidR="00B94233">
        <w:t>1, 1995, (2) T</w:t>
      </w:r>
      <w:r>
        <w:t>o achieve regulatory compliance with requirements not associated with the information collection,</w:t>
      </w:r>
      <w:r w:rsidRPr="006E5C0F" w:rsidR="00B94233">
        <w:t xml:space="preserve"> (3) F</w:t>
      </w:r>
      <w:r>
        <w:t>or reasons other than to provide information or keeping records for the government, or</w:t>
      </w:r>
      <w:r w:rsidRPr="006E5C0F" w:rsidR="00B94233">
        <w:t xml:space="preserve"> (4) A</w:t>
      </w:r>
      <w:r>
        <w:t>s part of customary and usual business or private practices</w:t>
      </w:r>
      <w:r w:rsidRPr="006E5C0F" w:rsidR="00B94233">
        <w:t>.</w:t>
      </w:r>
    </w:p>
    <w:p w:rsidR="00944DA3" w:rsidP="00E94AF2" w14:paraId="6B6CB07D" w14:textId="46F8B0F5">
      <w:pPr>
        <w:pStyle w:val="EndnoteText"/>
        <w:tabs>
          <w:tab w:val="left" w:pos="-720"/>
        </w:tabs>
        <w:suppressAutoHyphens/>
        <w:rPr>
          <w:szCs w:val="24"/>
        </w:rPr>
      </w:pPr>
      <w:r>
        <w:rPr>
          <w:szCs w:val="24"/>
        </w:rPr>
        <w:t>This information collection does not require the purchase of equipment or services.</w:t>
      </w:r>
    </w:p>
    <w:p w:rsidR="0093039A" w:rsidP="002C4DD4" w14:paraId="3A240357" w14:textId="77777777">
      <w:pPr>
        <w:pStyle w:val="EndnoteText"/>
        <w:tabs>
          <w:tab w:val="left" w:pos="-720"/>
        </w:tabs>
        <w:suppressAutoHyphens/>
      </w:pPr>
    </w:p>
    <w:p w:rsidR="00B94233" w:rsidP="002C4DD4" w14:paraId="4330AA8C" w14:textId="5FFD4F85">
      <w:pPr>
        <w:pStyle w:val="Heading2"/>
      </w:pPr>
      <w:r>
        <w:t>14.</w:t>
      </w:r>
      <w:r>
        <w:tab/>
      </w:r>
      <w:r w:rsidRPr="00E8329D">
        <w:rPr>
          <w:szCs w:val="24"/>
        </w:rPr>
        <w:t>P</w:t>
      </w:r>
      <w:r w:rsidR="000F184C">
        <w:rPr>
          <w:szCs w:val="24"/>
        </w:rPr>
        <w:t xml:space="preserve">rovide estimates of annualized cost to the Federal Government. </w:t>
      </w:r>
      <w:r>
        <w:t>A</w:t>
      </w:r>
      <w:r w:rsidR="000F184C">
        <w:t xml:space="preserve">lso, provide a description of the method used to estimate cost, which should include quantification of hours, operation expenses </w:t>
      </w:r>
      <w:r>
        <w:t>(</w:t>
      </w:r>
      <w:r w:rsidR="000F184C">
        <w:t>such as equipment, overhead, printing, and support staff</w:t>
      </w:r>
      <w:r>
        <w:t xml:space="preserve">), </w:t>
      </w:r>
      <w:r w:rsidR="000F184C">
        <w:t xml:space="preserve">and any other expense that would not have been incurred without this collection of information. </w:t>
      </w:r>
      <w:r>
        <w:t>A</w:t>
      </w:r>
      <w:r w:rsidR="000F184C">
        <w:t>gencies also may aggregate cost estimates from items 12, 13, and 14 in a single table.</w:t>
      </w:r>
    </w:p>
    <w:p w:rsidR="000E777B" w:rsidRPr="002C4DD4" w14:paraId="20A05DE4" w14:textId="042DFCEF">
      <w:pPr>
        <w:pStyle w:val="EndnoteText"/>
        <w:tabs>
          <w:tab w:val="left" w:pos="-720"/>
        </w:tabs>
        <w:suppressAutoHyphens/>
      </w:pPr>
      <w:r w:rsidRPr="002C4DD4">
        <w:t xml:space="preserve">AMS does not </w:t>
      </w:r>
      <w:r w:rsidRPr="002C4DD4" w:rsidR="00B866AB">
        <w:t xml:space="preserve">expect </w:t>
      </w:r>
      <w:r w:rsidRPr="002C4DD4" w:rsidR="004775E0">
        <w:t xml:space="preserve">any </w:t>
      </w:r>
      <w:r w:rsidRPr="002C4DD4" w:rsidR="005C46FD">
        <w:t xml:space="preserve">variance requests submitted </w:t>
      </w:r>
      <w:r w:rsidR="006C1BA5">
        <w:t xml:space="preserve">to AMS </w:t>
      </w:r>
      <w:r w:rsidRPr="002C4DD4" w:rsidR="006F1922">
        <w:t xml:space="preserve">to impact the existing annualized cost </w:t>
      </w:r>
      <w:r w:rsidRPr="002C4DD4" w:rsidR="00506E25">
        <w:t xml:space="preserve">of conducting business </w:t>
      </w:r>
      <w:r w:rsidRPr="002C4DD4" w:rsidR="004775E0">
        <w:t>at AMS or the NOP.</w:t>
      </w:r>
    </w:p>
    <w:p w:rsidR="000E777B" w14:paraId="0763517C" w14:textId="77777777">
      <w:pPr>
        <w:pStyle w:val="EndnoteText"/>
        <w:tabs>
          <w:tab w:val="left" w:pos="-720"/>
        </w:tabs>
        <w:suppressAutoHyphens/>
        <w:rPr>
          <w:highlight w:val="yellow"/>
        </w:rPr>
      </w:pPr>
    </w:p>
    <w:p w:rsidR="00B94233" w:rsidP="002C4DD4" w14:paraId="3CE347FD" w14:textId="4B871BB6">
      <w:pPr>
        <w:pStyle w:val="Heading2"/>
      </w:pPr>
      <w:r>
        <w:t>15.</w:t>
      </w:r>
      <w:r>
        <w:tab/>
      </w:r>
      <w:r w:rsidRPr="00E8329D">
        <w:rPr>
          <w:szCs w:val="24"/>
        </w:rPr>
        <w:t>E</w:t>
      </w:r>
      <w:r w:rsidR="005D1E12">
        <w:rPr>
          <w:szCs w:val="24"/>
        </w:rPr>
        <w:t xml:space="preserve">xplain the reason for any program changes or adjustments reported in items 13 or 14 of the </w:t>
      </w:r>
      <w:r>
        <w:t xml:space="preserve">OMB </w:t>
      </w:r>
      <w:r w:rsidR="005D1E12">
        <w:t xml:space="preserve">form </w:t>
      </w:r>
      <w:r>
        <w:t>83-</w:t>
      </w:r>
      <w:r w:rsidR="005D1E12">
        <w:t>i</w:t>
      </w:r>
      <w:r>
        <w:t>.</w:t>
      </w:r>
    </w:p>
    <w:p w:rsidR="001E2425" w:rsidP="00306435" w14:paraId="1F005A53" w14:textId="0BA81AFE">
      <w:pPr>
        <w:pStyle w:val="EndnoteText"/>
        <w:tabs>
          <w:tab w:val="left" w:pos="-720"/>
        </w:tabs>
        <w:suppressAutoHyphens/>
        <w:rPr>
          <w:rStyle w:val="normaltextrun"/>
          <w:color w:val="000000"/>
          <w:shd w:val="clear" w:color="auto" w:fill="FFFFFF"/>
        </w:rPr>
      </w:pPr>
      <w:r w:rsidRPr="002C4DD4">
        <w:rPr>
          <w:rStyle w:val="normaltextrun"/>
          <w:color w:val="000000"/>
          <w:shd w:val="clear" w:color="auto" w:fill="FFFFFF"/>
        </w:rPr>
        <w:t xml:space="preserve">AMS reports </w:t>
      </w:r>
      <w:r w:rsidRPr="002C4DD4" w:rsidR="00B74694">
        <w:rPr>
          <w:rStyle w:val="normaltextrun"/>
          <w:color w:val="000000"/>
          <w:shd w:val="clear" w:color="auto" w:fill="FFFFFF"/>
        </w:rPr>
        <w:t>a program change of 98 hours</w:t>
      </w:r>
      <w:r w:rsidRPr="002C4DD4" w:rsidR="00B13F54">
        <w:rPr>
          <w:rStyle w:val="normaltextrun"/>
          <w:color w:val="000000"/>
          <w:shd w:val="clear" w:color="auto" w:fill="FFFFFF"/>
        </w:rPr>
        <w:t xml:space="preserve"> in </w:t>
      </w:r>
      <w:r w:rsidRPr="002C4DD4" w:rsidR="00675845">
        <w:rPr>
          <w:rStyle w:val="normaltextrun"/>
          <w:color w:val="000000"/>
          <w:shd w:val="clear" w:color="auto" w:fill="FFFFFF"/>
        </w:rPr>
        <w:t>13(f) of OMB form 83-</w:t>
      </w:r>
      <w:r w:rsidRPr="002C4DD4" w:rsidR="007574A4">
        <w:rPr>
          <w:rStyle w:val="normaltextrun"/>
          <w:color w:val="000000"/>
          <w:shd w:val="clear" w:color="auto" w:fill="FFFFFF"/>
        </w:rPr>
        <w:t>i</w:t>
      </w:r>
      <w:r w:rsidR="00A16226">
        <w:rPr>
          <w:rStyle w:val="normaltextrun"/>
          <w:color w:val="000000"/>
          <w:shd w:val="clear" w:color="auto" w:fill="FFFFFF"/>
        </w:rPr>
        <w:t>. A</w:t>
      </w:r>
      <w:r w:rsidRPr="002C4DD4" w:rsidR="007574A4">
        <w:rPr>
          <w:rStyle w:val="normaltextrun"/>
          <w:color w:val="000000"/>
          <w:shd w:val="clear" w:color="auto" w:fill="FFFFFF"/>
        </w:rPr>
        <w:t>s t</w:t>
      </w:r>
      <w:r w:rsidRPr="00A16226" w:rsidR="00A5239F">
        <w:rPr>
          <w:rStyle w:val="normaltextrun"/>
          <w:color w:val="000000"/>
          <w:shd w:val="clear" w:color="auto" w:fill="FFFFFF"/>
        </w:rPr>
        <w:t>his is a new information collection</w:t>
      </w:r>
      <w:r w:rsidR="00A16226">
        <w:rPr>
          <w:rStyle w:val="normaltextrun"/>
          <w:color w:val="000000"/>
          <w:shd w:val="clear" w:color="auto" w:fill="FFFFFF"/>
        </w:rPr>
        <w:t xml:space="preserve">, certified organic </w:t>
      </w:r>
      <w:r w:rsidR="00992DE5">
        <w:rPr>
          <w:rStyle w:val="normaltextrun"/>
          <w:color w:val="000000"/>
          <w:shd w:val="clear" w:color="auto" w:fill="FFFFFF"/>
        </w:rPr>
        <w:t xml:space="preserve">dairy </w:t>
      </w:r>
      <w:r w:rsidR="00A16226">
        <w:rPr>
          <w:rStyle w:val="normaltextrun"/>
          <w:color w:val="000000"/>
          <w:shd w:val="clear" w:color="auto" w:fill="FFFFFF"/>
        </w:rPr>
        <w:t>operations and certifying agents were not previously recording and reporting variance requests</w:t>
      </w:r>
      <w:r w:rsidR="006D423A">
        <w:rPr>
          <w:rStyle w:val="normaltextrun"/>
          <w:color w:val="000000"/>
          <w:shd w:val="clear" w:color="auto" w:fill="FFFFFF"/>
        </w:rPr>
        <w:t xml:space="preserve"> (zero hours). How this program change was estimated is explained above in </w:t>
      </w:r>
      <w:r w:rsidR="000C1945">
        <w:rPr>
          <w:rStyle w:val="normaltextrun"/>
          <w:color w:val="000000"/>
          <w:shd w:val="clear" w:color="auto" w:fill="FFFFFF"/>
        </w:rPr>
        <w:t>I</w:t>
      </w:r>
      <w:r w:rsidR="006D423A">
        <w:rPr>
          <w:rStyle w:val="normaltextrun"/>
          <w:color w:val="000000"/>
          <w:shd w:val="clear" w:color="auto" w:fill="FFFFFF"/>
        </w:rPr>
        <w:t>tem 12.</w:t>
      </w:r>
    </w:p>
    <w:p w:rsidR="00B94233" w:rsidP="00306435" w14:paraId="15D5222C" w14:textId="44471C6A">
      <w:pPr>
        <w:pStyle w:val="EndnoteText"/>
        <w:tabs>
          <w:tab w:val="left" w:pos="-720"/>
        </w:tabs>
        <w:suppressAutoHyphens/>
        <w:rPr>
          <w:b/>
        </w:rPr>
      </w:pPr>
    </w:p>
    <w:p w:rsidR="00B94233" w:rsidP="00306435" w14:paraId="2C8CB725" w14:textId="2076AAA8">
      <w:pPr>
        <w:pStyle w:val="Heading2"/>
      </w:pPr>
      <w:r>
        <w:t>16.</w:t>
      </w:r>
      <w:r>
        <w:tab/>
        <w:t>F</w:t>
      </w:r>
      <w:r w:rsidR="005D1E12">
        <w:t xml:space="preserve">or collections of information whose results would be published, outline plans for tabulation, and publication. Address any complex analytical techniques that will be used. </w:t>
      </w:r>
      <w:r>
        <w:t>P</w:t>
      </w:r>
      <w:r w:rsidR="005D1E12">
        <w:t>rovide the time schedule for the entire project, including beginning and ending dates of the collection of information, completion of report, publication dates, and other actions.</w:t>
      </w:r>
    </w:p>
    <w:p w:rsidR="00B94233" w:rsidP="00306435" w14:paraId="105E32B9" w14:textId="04DCFF58">
      <w:pPr>
        <w:pStyle w:val="EndnoteText"/>
        <w:tabs>
          <w:tab w:val="left" w:pos="-720"/>
        </w:tabs>
        <w:suppressAutoHyphens/>
      </w:pPr>
      <w:r>
        <w:t xml:space="preserve">AMS does not plan to </w:t>
      </w:r>
      <w:r w:rsidR="00250E10">
        <w:t>publi</w:t>
      </w:r>
      <w:r>
        <w:t>sh</w:t>
      </w:r>
      <w:r w:rsidR="00250E10">
        <w:t xml:space="preserve"> data obtained through </w:t>
      </w:r>
      <w:r>
        <w:t>this information collection</w:t>
      </w:r>
      <w:r w:rsidR="00250E10">
        <w:t xml:space="preserve">. </w:t>
      </w:r>
      <w:r>
        <w:t xml:space="preserve">However, the NOP </w:t>
      </w:r>
      <w:r w:rsidR="0006265D">
        <w:t xml:space="preserve">frequently updates the organic industry </w:t>
      </w:r>
      <w:r w:rsidR="00F8671C">
        <w:t xml:space="preserve">on the activities of the program at annual certification agency training (not open to the public) and at biannual </w:t>
      </w:r>
      <w:r w:rsidR="003072DB">
        <w:t xml:space="preserve">National Organic Standards Board </w:t>
      </w:r>
      <w:r w:rsidR="00D47EBE">
        <w:t>[</w:t>
      </w:r>
      <w:r w:rsidR="003072DB">
        <w:t>the NOP’s Federal Advisory Committee</w:t>
      </w:r>
      <w:r w:rsidR="00D47EBE">
        <w:t xml:space="preserve"> (FACA)]</w:t>
      </w:r>
      <w:r w:rsidR="007C6E31">
        <w:t xml:space="preserve"> meetings</w:t>
      </w:r>
      <w:r w:rsidR="00D47EBE">
        <w:t xml:space="preserve">. </w:t>
      </w:r>
      <w:r w:rsidR="009B7B8F">
        <w:t xml:space="preserve">AMS may </w:t>
      </w:r>
      <w:r w:rsidR="009E30EF">
        <w:t xml:space="preserve">share </w:t>
      </w:r>
      <w:r w:rsidR="00E37B47">
        <w:t xml:space="preserve">summaries </w:t>
      </w:r>
      <w:r w:rsidR="00F57595">
        <w:t>of variances reviewed</w:t>
      </w:r>
      <w:r w:rsidR="00577C64">
        <w:t xml:space="preserve"> at these events</w:t>
      </w:r>
      <w:r w:rsidR="0027018C">
        <w:t xml:space="preserve">. </w:t>
      </w:r>
      <w:r w:rsidR="007C72F4">
        <w:t>No complex analytical techniques will be used</w:t>
      </w:r>
      <w:r w:rsidR="00A1102A">
        <w:t xml:space="preserve">. If published, AMS </w:t>
      </w:r>
      <w:r w:rsidR="00B765EF">
        <w:t xml:space="preserve">would share </w:t>
      </w:r>
      <w:r w:rsidR="00DA5A46">
        <w:t>information such as</w:t>
      </w:r>
      <w:r w:rsidR="00C637F7">
        <w:t>,</w:t>
      </w:r>
      <w:r w:rsidR="00DA5A46">
        <w:t xml:space="preserve"> how many requests were received</w:t>
      </w:r>
      <w:r w:rsidR="00652614">
        <w:t xml:space="preserve"> in a certain timeframe and </w:t>
      </w:r>
      <w:r w:rsidR="00DA5A46">
        <w:t>how many requests were granted</w:t>
      </w:r>
      <w:r w:rsidR="00652614">
        <w:t>.</w:t>
      </w:r>
      <w:r w:rsidR="000E5651">
        <w:t xml:space="preserve"> No confidential information</w:t>
      </w:r>
      <w:r w:rsidR="00C14305">
        <w:t xml:space="preserve"> would be published.</w:t>
      </w:r>
    </w:p>
    <w:p w:rsidR="00B94233" w:rsidP="00306435" w14:paraId="08CC96C3" w14:textId="77777777">
      <w:pPr>
        <w:pStyle w:val="EndnoteText"/>
        <w:tabs>
          <w:tab w:val="left" w:pos="-720"/>
        </w:tabs>
        <w:suppressAutoHyphens/>
        <w:rPr>
          <w:b/>
        </w:rPr>
      </w:pPr>
    </w:p>
    <w:p w:rsidR="00B94233" w:rsidP="00306435" w14:paraId="2BC0691E" w14:textId="1098E510">
      <w:pPr>
        <w:pStyle w:val="Heading2"/>
      </w:pPr>
      <w:r>
        <w:t>17.</w:t>
      </w:r>
      <w:r>
        <w:tab/>
        <w:t>I</w:t>
      </w:r>
      <w:r w:rsidR="007B12F2">
        <w:t xml:space="preserve">f seeking approval to not display the expiration date for </w:t>
      </w:r>
      <w:r>
        <w:t xml:space="preserve">OMB </w:t>
      </w:r>
      <w:r w:rsidR="007B12F2">
        <w:t>approval of the information collection, explain the reasons that display would be inappropriate.</w:t>
      </w:r>
    </w:p>
    <w:p w:rsidR="00B94233" w:rsidP="00306435" w14:paraId="416E3539" w14:textId="2670B711">
      <w:pPr>
        <w:pStyle w:val="EndnoteText"/>
        <w:tabs>
          <w:tab w:val="left" w:pos="-720"/>
        </w:tabs>
        <w:suppressAutoHyphens/>
      </w:pPr>
      <w:r>
        <w:t xml:space="preserve">AMS is seeking approval to not display the expiration date for OMB approval of this information collection, as there is no form on which </w:t>
      </w:r>
      <w:r w:rsidR="00E064BE">
        <w:t xml:space="preserve">to display the expiration date. How information is collected is explained in further detail above in </w:t>
      </w:r>
      <w:r w:rsidR="000C1945">
        <w:t>I</w:t>
      </w:r>
      <w:r w:rsidR="00E064BE">
        <w:t>tem 2.</w:t>
      </w:r>
    </w:p>
    <w:p w:rsidR="00B94233" w:rsidP="0093039A" w14:paraId="3BFC93F0" w14:textId="77777777">
      <w:pPr>
        <w:tabs>
          <w:tab w:val="left" w:pos="-720"/>
        </w:tabs>
        <w:suppressAutoHyphens/>
      </w:pPr>
    </w:p>
    <w:p w:rsidR="00B94233" w:rsidP="00306435" w14:paraId="7A3BAF7D" w14:textId="4EDBE2CE">
      <w:pPr>
        <w:pStyle w:val="Heading2"/>
      </w:pPr>
      <w:r>
        <w:t>18.</w:t>
      </w:r>
      <w:r>
        <w:tab/>
        <w:t>E</w:t>
      </w:r>
      <w:r w:rsidR="00055326">
        <w:t xml:space="preserve">xplain each exception to the certification statement identified in item 19, “Certification for Paperwork Reduction Act Submissions” of </w:t>
      </w:r>
      <w:r>
        <w:t xml:space="preserve">OMB </w:t>
      </w:r>
      <w:r w:rsidR="00055326">
        <w:t xml:space="preserve">form </w:t>
      </w:r>
      <w:r>
        <w:t>83-</w:t>
      </w:r>
      <w:r w:rsidR="00055326">
        <w:t>i</w:t>
      </w:r>
      <w:r>
        <w:t>.</w:t>
      </w:r>
    </w:p>
    <w:p w:rsidR="00B94233" w:rsidP="00306435" w14:paraId="5EC837AF" w14:textId="6DC9D301">
      <w:pPr>
        <w:pStyle w:val="EndnoteText"/>
        <w:tabs>
          <w:tab w:val="left" w:pos="-720"/>
        </w:tabs>
        <w:suppressAutoHyphens/>
      </w:pPr>
      <w:r>
        <w:t xml:space="preserve">AMS is not </w:t>
      </w:r>
      <w:r w:rsidR="00072102">
        <w:t xml:space="preserve">claiming any exceptions to the </w:t>
      </w:r>
      <w:r w:rsidR="00C9142D">
        <w:t xml:space="preserve">certification </w:t>
      </w:r>
      <w:r w:rsidR="00072102">
        <w:t>s</w:t>
      </w:r>
      <w:r w:rsidR="00C9142D">
        <w:t xml:space="preserve">tatement identified in </w:t>
      </w:r>
      <w:r w:rsidR="000C1945">
        <w:t>I</w:t>
      </w:r>
      <w:r w:rsidR="00C9142D">
        <w:t xml:space="preserve">tem 19 of </w:t>
      </w:r>
      <w:r w:rsidR="000C1945">
        <w:t xml:space="preserve">the </w:t>
      </w:r>
      <w:r w:rsidR="00C9142D">
        <w:t>OMB form 83-i</w:t>
      </w:r>
      <w:r w:rsidRPr="00EA74B8">
        <w:t>.</w:t>
      </w:r>
    </w:p>
    <w:p w:rsidR="008F64E2" w:rsidP="00306435" w14:paraId="5BF8BE17" w14:textId="77777777">
      <w:pPr>
        <w:pStyle w:val="EndnoteText"/>
        <w:tabs>
          <w:tab w:val="left" w:pos="-720"/>
        </w:tabs>
        <w:suppressAutoHyphens/>
      </w:pPr>
    </w:p>
    <w:p w:rsidR="008F64E2" w:rsidP="008F64E2" w14:paraId="2E7F2BA5" w14:textId="797B52CF">
      <w:pPr>
        <w:pStyle w:val="EndnoteText"/>
        <w:tabs>
          <w:tab w:val="left" w:pos="-720"/>
        </w:tabs>
        <w:suppressAutoHyphens/>
      </w:pPr>
      <w:r>
        <w:t xml:space="preserve">In </w:t>
      </w:r>
      <w:r w:rsidR="0087267A">
        <w:t xml:space="preserve">Item </w:t>
      </w:r>
      <w:r>
        <w:t>19</w:t>
      </w:r>
      <w:r w:rsidR="0087267A">
        <w:t xml:space="preserve"> (</w:t>
      </w:r>
      <w:r>
        <w:t>Certification for Paperwork Reduction Act Submissions</w:t>
      </w:r>
      <w:r w:rsidR="0087267A">
        <w:t xml:space="preserve">) </w:t>
      </w:r>
      <w:r w:rsidR="0045313F">
        <w:t>of OMB 83-i</w:t>
      </w:r>
      <w:r>
        <w:t xml:space="preserve">, AMS </w:t>
      </w:r>
      <w:r>
        <w:t>certif</w:t>
      </w:r>
      <w:r>
        <w:t>ies</w:t>
      </w:r>
      <w:r>
        <w:t xml:space="preserve"> that the collection of information encompassed by this request complies with 5</w:t>
      </w:r>
      <w:r>
        <w:t> </w:t>
      </w:r>
      <w:r>
        <w:t>CFR</w:t>
      </w:r>
      <w:r w:rsidR="00042CB7">
        <w:t> 1320.9</w:t>
      </w:r>
      <w:r w:rsidR="00EB1885">
        <w:t>.</w:t>
      </w:r>
      <w:r w:rsidR="001A374F">
        <w:t xml:space="preserve"> </w:t>
      </w:r>
      <w:r>
        <w:t>The following is a summary of the topics, regarding the proposed collection of information, that the certification covers:</w:t>
      </w:r>
    </w:p>
    <w:p w:rsidR="005852F6" w:rsidP="005852F6" w14:paraId="2C0B7868" w14:textId="4F1703F3">
      <w:pPr>
        <w:pStyle w:val="EndnoteText"/>
        <w:numPr>
          <w:ilvl w:val="0"/>
          <w:numId w:val="5"/>
        </w:numPr>
        <w:tabs>
          <w:tab w:val="left" w:pos="-720"/>
        </w:tabs>
        <w:suppressAutoHyphens/>
      </w:pPr>
      <w:r>
        <w:t xml:space="preserve">It is necessary for the proper performance of agency </w:t>
      </w:r>
      <w:r>
        <w:t>functions;</w:t>
      </w:r>
    </w:p>
    <w:p w:rsidR="005852F6" w:rsidP="008F64E2" w14:paraId="2CD75DDB" w14:textId="77777777">
      <w:pPr>
        <w:pStyle w:val="EndnoteText"/>
        <w:numPr>
          <w:ilvl w:val="0"/>
          <w:numId w:val="5"/>
        </w:numPr>
        <w:tabs>
          <w:tab w:val="left" w:pos="-720"/>
        </w:tabs>
        <w:suppressAutoHyphens/>
      </w:pPr>
      <w:r>
        <w:t xml:space="preserve">It avoids unnecessary </w:t>
      </w:r>
      <w:r>
        <w:t>duplication;</w:t>
      </w:r>
    </w:p>
    <w:p w:rsidR="005852F6" w:rsidP="008F64E2" w14:paraId="57388815" w14:textId="77777777">
      <w:pPr>
        <w:pStyle w:val="EndnoteText"/>
        <w:numPr>
          <w:ilvl w:val="0"/>
          <w:numId w:val="5"/>
        </w:numPr>
        <w:tabs>
          <w:tab w:val="left" w:pos="-720"/>
        </w:tabs>
        <w:suppressAutoHyphens/>
      </w:pPr>
      <w:r>
        <w:t xml:space="preserve">It reduces burden on small </w:t>
      </w:r>
      <w:r>
        <w:t>entities;</w:t>
      </w:r>
    </w:p>
    <w:p w:rsidR="005852F6" w:rsidP="008F64E2" w14:paraId="64B78B34" w14:textId="77777777">
      <w:pPr>
        <w:pStyle w:val="EndnoteText"/>
        <w:numPr>
          <w:ilvl w:val="0"/>
          <w:numId w:val="5"/>
        </w:numPr>
        <w:tabs>
          <w:tab w:val="left" w:pos="-720"/>
        </w:tabs>
        <w:suppressAutoHyphens/>
      </w:pPr>
      <w:r>
        <w:t xml:space="preserve">It uses plain, coherent, and unambiguous terminology that is understandable to </w:t>
      </w:r>
      <w:r>
        <w:t>respondents;</w:t>
      </w:r>
    </w:p>
    <w:p w:rsidR="005852F6" w:rsidP="008F64E2" w14:paraId="1B02E53A" w14:textId="77777777">
      <w:pPr>
        <w:pStyle w:val="EndnoteText"/>
        <w:numPr>
          <w:ilvl w:val="0"/>
          <w:numId w:val="5"/>
        </w:numPr>
        <w:tabs>
          <w:tab w:val="left" w:pos="-720"/>
        </w:tabs>
        <w:suppressAutoHyphens/>
      </w:pPr>
      <w:r>
        <w:t xml:space="preserve">Its implementation will be consistent and compatible with current reporting and recordkeeping </w:t>
      </w:r>
      <w:r>
        <w:t>practices;</w:t>
      </w:r>
    </w:p>
    <w:p w:rsidR="004A4634" w:rsidP="008F64E2" w14:paraId="1AFCB363" w14:textId="77777777">
      <w:pPr>
        <w:pStyle w:val="EndnoteText"/>
        <w:numPr>
          <w:ilvl w:val="0"/>
          <w:numId w:val="5"/>
        </w:numPr>
        <w:tabs>
          <w:tab w:val="left" w:pos="-720"/>
        </w:tabs>
        <w:suppressAutoHyphens/>
      </w:pPr>
      <w:r>
        <w:t xml:space="preserve">It indicates the retention period for recordkeeping </w:t>
      </w:r>
      <w:r>
        <w:t>requirements;</w:t>
      </w:r>
    </w:p>
    <w:p w:rsidR="003417EE" w:rsidP="008F64E2" w14:paraId="313F885E" w14:textId="77777777">
      <w:pPr>
        <w:pStyle w:val="EndnoteText"/>
        <w:numPr>
          <w:ilvl w:val="0"/>
          <w:numId w:val="5"/>
        </w:numPr>
        <w:tabs>
          <w:tab w:val="left" w:pos="-720"/>
        </w:tabs>
        <w:suppressAutoHyphens/>
      </w:pPr>
      <w:r>
        <w:t>It informs respondents of the information called for under 5 CFR 1320.8(b)(3):</w:t>
      </w:r>
    </w:p>
    <w:p w:rsidR="003417EE" w:rsidP="008F64E2" w14:paraId="66B24E76" w14:textId="77777777">
      <w:pPr>
        <w:pStyle w:val="EndnoteText"/>
        <w:numPr>
          <w:ilvl w:val="1"/>
          <w:numId w:val="5"/>
        </w:numPr>
        <w:tabs>
          <w:tab w:val="left" w:pos="-720"/>
        </w:tabs>
        <w:suppressAutoHyphens/>
      </w:pPr>
      <w:r>
        <w:t xml:space="preserve">Why the information is being </w:t>
      </w:r>
      <w:r>
        <w:t>collected;</w:t>
      </w:r>
    </w:p>
    <w:p w:rsidR="003417EE" w:rsidP="008F64E2" w14:paraId="6DF57FCF" w14:textId="77777777">
      <w:pPr>
        <w:pStyle w:val="EndnoteText"/>
        <w:numPr>
          <w:ilvl w:val="1"/>
          <w:numId w:val="5"/>
        </w:numPr>
        <w:tabs>
          <w:tab w:val="left" w:pos="-720"/>
        </w:tabs>
        <w:suppressAutoHyphens/>
      </w:pPr>
      <w:r>
        <w:t xml:space="preserve">Use of </w:t>
      </w:r>
      <w:r>
        <w:t>information;</w:t>
      </w:r>
    </w:p>
    <w:p w:rsidR="00DB291E" w:rsidP="008F64E2" w14:paraId="33919B83" w14:textId="77777777">
      <w:pPr>
        <w:pStyle w:val="EndnoteText"/>
        <w:numPr>
          <w:ilvl w:val="1"/>
          <w:numId w:val="5"/>
        </w:numPr>
        <w:tabs>
          <w:tab w:val="left" w:pos="-720"/>
        </w:tabs>
        <w:suppressAutoHyphens/>
      </w:pPr>
      <w:r>
        <w:t>Nature of response (voluntary, required for a benefit, or mandatory</w:t>
      </w:r>
      <w:r>
        <w:t>);</w:t>
      </w:r>
    </w:p>
    <w:p w:rsidR="00DB291E" w:rsidP="008F64E2" w14:paraId="43B9A6A9" w14:textId="77777777">
      <w:pPr>
        <w:pStyle w:val="EndnoteText"/>
        <w:numPr>
          <w:ilvl w:val="1"/>
          <w:numId w:val="5"/>
        </w:numPr>
        <w:tabs>
          <w:tab w:val="left" w:pos="-720"/>
        </w:tabs>
        <w:suppressAutoHyphens/>
      </w:pPr>
      <w:r>
        <w:t>Nature and extent of confidentiality; and</w:t>
      </w:r>
    </w:p>
    <w:p w:rsidR="00DB291E" w:rsidP="008F64E2" w14:paraId="37D2DD3B" w14:textId="77777777">
      <w:pPr>
        <w:pStyle w:val="EndnoteText"/>
        <w:numPr>
          <w:ilvl w:val="1"/>
          <w:numId w:val="5"/>
        </w:numPr>
        <w:tabs>
          <w:tab w:val="left" w:pos="-720"/>
        </w:tabs>
        <w:suppressAutoHyphens/>
      </w:pPr>
      <w:r>
        <w:t xml:space="preserve">Need to display currently valid OMB control </w:t>
      </w:r>
      <w:r>
        <w:t>number;</w:t>
      </w:r>
    </w:p>
    <w:p w:rsidR="00DB291E" w:rsidP="008F64E2" w14:paraId="1126D97F" w14:textId="77777777">
      <w:pPr>
        <w:pStyle w:val="EndnoteText"/>
        <w:numPr>
          <w:ilvl w:val="0"/>
          <w:numId w:val="5"/>
        </w:numPr>
        <w:tabs>
          <w:tab w:val="left" w:pos="-720"/>
        </w:tabs>
        <w:suppressAutoHyphens/>
      </w:pPr>
      <w:r>
        <w:t>It was developed by an office that has planned and allocated resources for the efficient and effective</w:t>
      </w:r>
      <w:r>
        <w:t xml:space="preserve"> </w:t>
      </w:r>
      <w:r>
        <w:t>management and use of the information to be collected (see note in Item 19 of the instructions</w:t>
      </w:r>
      <w:r>
        <w:t>);</w:t>
      </w:r>
    </w:p>
    <w:p w:rsidR="007C34E7" w:rsidP="008F64E2" w14:paraId="4A161C8E" w14:textId="77777777">
      <w:pPr>
        <w:pStyle w:val="EndnoteText"/>
        <w:numPr>
          <w:ilvl w:val="0"/>
          <w:numId w:val="5"/>
        </w:numPr>
        <w:tabs>
          <w:tab w:val="left" w:pos="-720"/>
        </w:tabs>
        <w:suppressAutoHyphens/>
      </w:pPr>
      <w:r>
        <w:t>It uses effective and efficient statistical survey methodology; and</w:t>
      </w:r>
    </w:p>
    <w:p w:rsidR="008F64E2" w:rsidP="008F64E2" w14:paraId="7C58E61A" w14:textId="4C3C23B6">
      <w:pPr>
        <w:pStyle w:val="EndnoteText"/>
        <w:numPr>
          <w:ilvl w:val="0"/>
          <w:numId w:val="5"/>
        </w:numPr>
        <w:tabs>
          <w:tab w:val="left" w:pos="-720"/>
        </w:tabs>
        <w:suppressAutoHyphens/>
      </w:pPr>
      <w:r>
        <w:t>It makes appropriate use of information technology.</w:t>
      </w:r>
    </w:p>
    <w:sectPr w:rsidSect="00B94233">
      <w:footerReference w:type="even" r:id="rId28"/>
      <w:footerReference w:type="default" r:id="rId29"/>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1984" w14:paraId="74543944" w14:textId="77777777">
      <w:pPr>
        <w:spacing w:line="20" w:lineRule="exact"/>
      </w:pPr>
    </w:p>
  </w:endnote>
  <w:endnote w:type="continuationSeparator" w:id="1">
    <w:p w:rsidR="00181984" w14:paraId="6D177C70" w14:textId="77777777">
      <w:r>
        <w:t xml:space="preserve"> </w:t>
      </w:r>
    </w:p>
  </w:endnote>
  <w:endnote w:type="continuationNotice" w:id="2">
    <w:p w:rsidR="00181984" w14:paraId="631D1B9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3869026A" w14:textId="7B722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0B2">
      <w:rPr>
        <w:rStyle w:val="PageNumber"/>
        <w:noProof/>
      </w:rPr>
      <w:t>2</w:t>
    </w:r>
    <w:r>
      <w:rPr>
        <w:rStyle w:val="PageNumber"/>
      </w:rPr>
      <w:fldChar w:fldCharType="end"/>
    </w:r>
  </w:p>
  <w:p w:rsidR="00F51379" w14:paraId="2F8E5F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6BEB89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51379" w:rsidP="008540B2" w14:paraId="6132E0CA" w14:textId="77777777">
    <w:pPr>
      <w:tabs>
        <w:tab w:val="left" w:pos="-72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1984" w14:paraId="0DD4AC3B" w14:textId="77777777">
      <w:r>
        <w:separator/>
      </w:r>
    </w:p>
  </w:footnote>
  <w:footnote w:type="continuationSeparator" w:id="1">
    <w:p w:rsidR="00181984" w14:paraId="58F4391D" w14:textId="77777777">
      <w:r>
        <w:continuationSeparator/>
      </w:r>
    </w:p>
  </w:footnote>
  <w:footnote w:type="continuationNotice" w:id="2">
    <w:p w:rsidR="00181984" w14:paraId="2EA4111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768B1"/>
    <w:multiLevelType w:val="hybridMultilevel"/>
    <w:tmpl w:val="01766FB0"/>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2E17800"/>
    <w:multiLevelType w:val="hybridMultilevel"/>
    <w:tmpl w:val="85CA38AC"/>
    <w:lvl w:ilvl="0">
      <w:start w:val="1"/>
      <w:numFmt w:val="bullet"/>
      <w:pStyle w:val="Heading3"/>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5AED7621"/>
    <w:multiLevelType w:val="hybridMultilevel"/>
    <w:tmpl w:val="277C1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4">
    <w:nsid w:val="7F1E7308"/>
    <w:multiLevelType w:val="hybridMultilevel"/>
    <w:tmpl w:val="8D7A2CE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119915">
    <w:abstractNumId w:val="3"/>
  </w:num>
  <w:num w:numId="2" w16cid:durableId="463624796">
    <w:abstractNumId w:val="1"/>
  </w:num>
  <w:num w:numId="3" w16cid:durableId="1443188183">
    <w:abstractNumId w:val="4"/>
  </w:num>
  <w:num w:numId="4" w16cid:durableId="1378512595">
    <w:abstractNumId w:val="2"/>
  </w:num>
  <w:num w:numId="5" w16cid:durableId="16028316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24" w:allStyles="0" w:alternateStyleNames="0"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type"/>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FF"/>
    <w:rsid w:val="00000FF6"/>
    <w:rsid w:val="00001529"/>
    <w:rsid w:val="000015DC"/>
    <w:rsid w:val="00002632"/>
    <w:rsid w:val="00002D47"/>
    <w:rsid w:val="00003D3F"/>
    <w:rsid w:val="000058B9"/>
    <w:rsid w:val="00005A70"/>
    <w:rsid w:val="00005F2D"/>
    <w:rsid w:val="00006D62"/>
    <w:rsid w:val="00006FDF"/>
    <w:rsid w:val="000079E9"/>
    <w:rsid w:val="00011481"/>
    <w:rsid w:val="0001287B"/>
    <w:rsid w:val="00013647"/>
    <w:rsid w:val="0001460A"/>
    <w:rsid w:val="00015099"/>
    <w:rsid w:val="00016550"/>
    <w:rsid w:val="00017FC9"/>
    <w:rsid w:val="00017FE9"/>
    <w:rsid w:val="00020F14"/>
    <w:rsid w:val="00021032"/>
    <w:rsid w:val="00021682"/>
    <w:rsid w:val="00021BBB"/>
    <w:rsid w:val="00022570"/>
    <w:rsid w:val="00023D92"/>
    <w:rsid w:val="00025607"/>
    <w:rsid w:val="00027100"/>
    <w:rsid w:val="000309D2"/>
    <w:rsid w:val="00031D2C"/>
    <w:rsid w:val="0003216E"/>
    <w:rsid w:val="0003364B"/>
    <w:rsid w:val="00033D5B"/>
    <w:rsid w:val="00033E20"/>
    <w:rsid w:val="00033E34"/>
    <w:rsid w:val="000374F8"/>
    <w:rsid w:val="00040CFF"/>
    <w:rsid w:val="00041688"/>
    <w:rsid w:val="00041A6B"/>
    <w:rsid w:val="00041F12"/>
    <w:rsid w:val="00042026"/>
    <w:rsid w:val="00042CB7"/>
    <w:rsid w:val="000430B2"/>
    <w:rsid w:val="00043246"/>
    <w:rsid w:val="000441AD"/>
    <w:rsid w:val="0004434A"/>
    <w:rsid w:val="00044A6D"/>
    <w:rsid w:val="0004574D"/>
    <w:rsid w:val="00045C42"/>
    <w:rsid w:val="00045F51"/>
    <w:rsid w:val="00047F8C"/>
    <w:rsid w:val="00051F52"/>
    <w:rsid w:val="00052C3C"/>
    <w:rsid w:val="00053030"/>
    <w:rsid w:val="00054AB4"/>
    <w:rsid w:val="00055312"/>
    <w:rsid w:val="00055326"/>
    <w:rsid w:val="00055476"/>
    <w:rsid w:val="00056CA7"/>
    <w:rsid w:val="00057CBC"/>
    <w:rsid w:val="00057CCB"/>
    <w:rsid w:val="000600C1"/>
    <w:rsid w:val="00060513"/>
    <w:rsid w:val="00061681"/>
    <w:rsid w:val="0006235F"/>
    <w:rsid w:val="0006265D"/>
    <w:rsid w:val="0006396E"/>
    <w:rsid w:val="00063DA8"/>
    <w:rsid w:val="000648B7"/>
    <w:rsid w:val="0006588C"/>
    <w:rsid w:val="00065C03"/>
    <w:rsid w:val="0006681A"/>
    <w:rsid w:val="0006715B"/>
    <w:rsid w:val="000674FA"/>
    <w:rsid w:val="00070C50"/>
    <w:rsid w:val="0007125A"/>
    <w:rsid w:val="00071AB2"/>
    <w:rsid w:val="00072102"/>
    <w:rsid w:val="00073414"/>
    <w:rsid w:val="000736E1"/>
    <w:rsid w:val="00073901"/>
    <w:rsid w:val="00073921"/>
    <w:rsid w:val="00074E3D"/>
    <w:rsid w:val="00075C67"/>
    <w:rsid w:val="0007799F"/>
    <w:rsid w:val="00077B10"/>
    <w:rsid w:val="00077EEC"/>
    <w:rsid w:val="000800D0"/>
    <w:rsid w:val="000801E6"/>
    <w:rsid w:val="0008038E"/>
    <w:rsid w:val="00080558"/>
    <w:rsid w:val="0008188E"/>
    <w:rsid w:val="00081AE7"/>
    <w:rsid w:val="00081BBF"/>
    <w:rsid w:val="00082720"/>
    <w:rsid w:val="00082894"/>
    <w:rsid w:val="000829EE"/>
    <w:rsid w:val="00082CA6"/>
    <w:rsid w:val="0008358C"/>
    <w:rsid w:val="0008520A"/>
    <w:rsid w:val="0008607E"/>
    <w:rsid w:val="00091DD5"/>
    <w:rsid w:val="00092470"/>
    <w:rsid w:val="00092E3E"/>
    <w:rsid w:val="00093CF0"/>
    <w:rsid w:val="0009469D"/>
    <w:rsid w:val="0009486B"/>
    <w:rsid w:val="0009552F"/>
    <w:rsid w:val="000959F3"/>
    <w:rsid w:val="000967C6"/>
    <w:rsid w:val="000967D3"/>
    <w:rsid w:val="000970C4"/>
    <w:rsid w:val="000A06E5"/>
    <w:rsid w:val="000A21C2"/>
    <w:rsid w:val="000A3710"/>
    <w:rsid w:val="000A4AED"/>
    <w:rsid w:val="000A5620"/>
    <w:rsid w:val="000A6DFB"/>
    <w:rsid w:val="000A70E1"/>
    <w:rsid w:val="000A7D63"/>
    <w:rsid w:val="000A7D8B"/>
    <w:rsid w:val="000B0849"/>
    <w:rsid w:val="000B41F3"/>
    <w:rsid w:val="000B4DFD"/>
    <w:rsid w:val="000B4EE7"/>
    <w:rsid w:val="000B5DCE"/>
    <w:rsid w:val="000C00BA"/>
    <w:rsid w:val="000C1945"/>
    <w:rsid w:val="000C1ABA"/>
    <w:rsid w:val="000C2027"/>
    <w:rsid w:val="000C23D6"/>
    <w:rsid w:val="000C2597"/>
    <w:rsid w:val="000C27A9"/>
    <w:rsid w:val="000C2A62"/>
    <w:rsid w:val="000C4C76"/>
    <w:rsid w:val="000C5288"/>
    <w:rsid w:val="000C696B"/>
    <w:rsid w:val="000D0607"/>
    <w:rsid w:val="000D220C"/>
    <w:rsid w:val="000D2412"/>
    <w:rsid w:val="000D2F89"/>
    <w:rsid w:val="000D3289"/>
    <w:rsid w:val="000D34AD"/>
    <w:rsid w:val="000D5793"/>
    <w:rsid w:val="000E2C12"/>
    <w:rsid w:val="000E3CCA"/>
    <w:rsid w:val="000E5651"/>
    <w:rsid w:val="000E777B"/>
    <w:rsid w:val="000F184C"/>
    <w:rsid w:val="000F2471"/>
    <w:rsid w:val="000F256C"/>
    <w:rsid w:val="000F29B4"/>
    <w:rsid w:val="000F31A7"/>
    <w:rsid w:val="000F3E61"/>
    <w:rsid w:val="000F3F4A"/>
    <w:rsid w:val="000F4820"/>
    <w:rsid w:val="000F4FF4"/>
    <w:rsid w:val="000F6282"/>
    <w:rsid w:val="001016A3"/>
    <w:rsid w:val="00102FB3"/>
    <w:rsid w:val="00106C1E"/>
    <w:rsid w:val="00106D32"/>
    <w:rsid w:val="00106F8D"/>
    <w:rsid w:val="00110168"/>
    <w:rsid w:val="0011053E"/>
    <w:rsid w:val="00110EED"/>
    <w:rsid w:val="00111C31"/>
    <w:rsid w:val="00111C5B"/>
    <w:rsid w:val="001149A7"/>
    <w:rsid w:val="00114FCE"/>
    <w:rsid w:val="00115F81"/>
    <w:rsid w:val="001160A3"/>
    <w:rsid w:val="00116175"/>
    <w:rsid w:val="00116A75"/>
    <w:rsid w:val="00120097"/>
    <w:rsid w:val="00121715"/>
    <w:rsid w:val="00122C61"/>
    <w:rsid w:val="00123395"/>
    <w:rsid w:val="00124B4D"/>
    <w:rsid w:val="001266E4"/>
    <w:rsid w:val="00127E45"/>
    <w:rsid w:val="001305FA"/>
    <w:rsid w:val="00130FB8"/>
    <w:rsid w:val="00131B91"/>
    <w:rsid w:val="00132472"/>
    <w:rsid w:val="00133578"/>
    <w:rsid w:val="0013389F"/>
    <w:rsid w:val="00134971"/>
    <w:rsid w:val="001355FC"/>
    <w:rsid w:val="00135E79"/>
    <w:rsid w:val="00136346"/>
    <w:rsid w:val="001366BC"/>
    <w:rsid w:val="00136C56"/>
    <w:rsid w:val="00136F56"/>
    <w:rsid w:val="00137DA6"/>
    <w:rsid w:val="00140542"/>
    <w:rsid w:val="00141AF1"/>
    <w:rsid w:val="00143B9F"/>
    <w:rsid w:val="00144F28"/>
    <w:rsid w:val="00145A36"/>
    <w:rsid w:val="00145AC5"/>
    <w:rsid w:val="00146F6A"/>
    <w:rsid w:val="001477BD"/>
    <w:rsid w:val="00151827"/>
    <w:rsid w:val="001542A6"/>
    <w:rsid w:val="0015472D"/>
    <w:rsid w:val="001564D4"/>
    <w:rsid w:val="001569AC"/>
    <w:rsid w:val="001602C0"/>
    <w:rsid w:val="0016037D"/>
    <w:rsid w:val="00160510"/>
    <w:rsid w:val="00160CAB"/>
    <w:rsid w:val="00161866"/>
    <w:rsid w:val="00162332"/>
    <w:rsid w:val="0016293E"/>
    <w:rsid w:val="001635D1"/>
    <w:rsid w:val="0016372F"/>
    <w:rsid w:val="0016396A"/>
    <w:rsid w:val="0016442C"/>
    <w:rsid w:val="0016452A"/>
    <w:rsid w:val="001648D7"/>
    <w:rsid w:val="0016683E"/>
    <w:rsid w:val="001669CD"/>
    <w:rsid w:val="001677B5"/>
    <w:rsid w:val="00170CF6"/>
    <w:rsid w:val="00171031"/>
    <w:rsid w:val="00171A32"/>
    <w:rsid w:val="001741B2"/>
    <w:rsid w:val="00174A6B"/>
    <w:rsid w:val="0017516E"/>
    <w:rsid w:val="00175839"/>
    <w:rsid w:val="001759F1"/>
    <w:rsid w:val="00175BED"/>
    <w:rsid w:val="00176021"/>
    <w:rsid w:val="001769A7"/>
    <w:rsid w:val="00177695"/>
    <w:rsid w:val="00177C3F"/>
    <w:rsid w:val="001810CC"/>
    <w:rsid w:val="00181984"/>
    <w:rsid w:val="00181A5A"/>
    <w:rsid w:val="001822C8"/>
    <w:rsid w:val="00184D0F"/>
    <w:rsid w:val="00184FB3"/>
    <w:rsid w:val="0018653A"/>
    <w:rsid w:val="001867AE"/>
    <w:rsid w:val="00186BB4"/>
    <w:rsid w:val="00186E2D"/>
    <w:rsid w:val="00186F13"/>
    <w:rsid w:val="00186F37"/>
    <w:rsid w:val="0018768F"/>
    <w:rsid w:val="00190C1C"/>
    <w:rsid w:val="00190C77"/>
    <w:rsid w:val="0019194E"/>
    <w:rsid w:val="00193445"/>
    <w:rsid w:val="001935E3"/>
    <w:rsid w:val="001939EA"/>
    <w:rsid w:val="00194B4C"/>
    <w:rsid w:val="00195DE8"/>
    <w:rsid w:val="00196004"/>
    <w:rsid w:val="00196C11"/>
    <w:rsid w:val="001975AA"/>
    <w:rsid w:val="001A1059"/>
    <w:rsid w:val="001A1368"/>
    <w:rsid w:val="001A1777"/>
    <w:rsid w:val="001A17DF"/>
    <w:rsid w:val="001A1A16"/>
    <w:rsid w:val="001A22CC"/>
    <w:rsid w:val="001A2907"/>
    <w:rsid w:val="001A374F"/>
    <w:rsid w:val="001A4895"/>
    <w:rsid w:val="001A4D34"/>
    <w:rsid w:val="001A5B9D"/>
    <w:rsid w:val="001A6269"/>
    <w:rsid w:val="001B0F91"/>
    <w:rsid w:val="001B281B"/>
    <w:rsid w:val="001B3164"/>
    <w:rsid w:val="001B3873"/>
    <w:rsid w:val="001B3CF9"/>
    <w:rsid w:val="001B3FBA"/>
    <w:rsid w:val="001B3FBB"/>
    <w:rsid w:val="001B59AC"/>
    <w:rsid w:val="001B59AF"/>
    <w:rsid w:val="001B5E35"/>
    <w:rsid w:val="001B6773"/>
    <w:rsid w:val="001C01B1"/>
    <w:rsid w:val="001C0437"/>
    <w:rsid w:val="001C05C9"/>
    <w:rsid w:val="001C0C53"/>
    <w:rsid w:val="001C2067"/>
    <w:rsid w:val="001C3383"/>
    <w:rsid w:val="001C487E"/>
    <w:rsid w:val="001C55B3"/>
    <w:rsid w:val="001C5F9F"/>
    <w:rsid w:val="001C7D65"/>
    <w:rsid w:val="001C7DA3"/>
    <w:rsid w:val="001D01F4"/>
    <w:rsid w:val="001D0BFA"/>
    <w:rsid w:val="001D17B0"/>
    <w:rsid w:val="001D2AC1"/>
    <w:rsid w:val="001D2C8B"/>
    <w:rsid w:val="001D3151"/>
    <w:rsid w:val="001D32BB"/>
    <w:rsid w:val="001D5A2E"/>
    <w:rsid w:val="001D653C"/>
    <w:rsid w:val="001D65E4"/>
    <w:rsid w:val="001D741D"/>
    <w:rsid w:val="001D742A"/>
    <w:rsid w:val="001D7532"/>
    <w:rsid w:val="001D7DD7"/>
    <w:rsid w:val="001E132C"/>
    <w:rsid w:val="001E214C"/>
    <w:rsid w:val="001E2425"/>
    <w:rsid w:val="001E3018"/>
    <w:rsid w:val="001E4912"/>
    <w:rsid w:val="001E4C4C"/>
    <w:rsid w:val="001E514D"/>
    <w:rsid w:val="001E5C0B"/>
    <w:rsid w:val="001E612F"/>
    <w:rsid w:val="001E785C"/>
    <w:rsid w:val="001E7E89"/>
    <w:rsid w:val="001F1B16"/>
    <w:rsid w:val="001F1FBD"/>
    <w:rsid w:val="001F2407"/>
    <w:rsid w:val="001F2B88"/>
    <w:rsid w:val="001F4624"/>
    <w:rsid w:val="001F4C4E"/>
    <w:rsid w:val="001F4DFF"/>
    <w:rsid w:val="001F5043"/>
    <w:rsid w:val="001F610B"/>
    <w:rsid w:val="001F660B"/>
    <w:rsid w:val="001F705D"/>
    <w:rsid w:val="001F77A3"/>
    <w:rsid w:val="00200BE5"/>
    <w:rsid w:val="00200CA5"/>
    <w:rsid w:val="00202CB4"/>
    <w:rsid w:val="00202EC2"/>
    <w:rsid w:val="00203A30"/>
    <w:rsid w:val="00203B5F"/>
    <w:rsid w:val="00204942"/>
    <w:rsid w:val="00204BAD"/>
    <w:rsid w:val="00205707"/>
    <w:rsid w:val="0020739D"/>
    <w:rsid w:val="0020748F"/>
    <w:rsid w:val="002076AA"/>
    <w:rsid w:val="00211474"/>
    <w:rsid w:val="00211F9A"/>
    <w:rsid w:val="002133FA"/>
    <w:rsid w:val="002149B8"/>
    <w:rsid w:val="00216181"/>
    <w:rsid w:val="0021658A"/>
    <w:rsid w:val="00217E83"/>
    <w:rsid w:val="002213FE"/>
    <w:rsid w:val="00221F44"/>
    <w:rsid w:val="0022203B"/>
    <w:rsid w:val="002233B1"/>
    <w:rsid w:val="00224B99"/>
    <w:rsid w:val="00224E8C"/>
    <w:rsid w:val="002257F4"/>
    <w:rsid w:val="00226D5B"/>
    <w:rsid w:val="0022714D"/>
    <w:rsid w:val="0022799A"/>
    <w:rsid w:val="00230135"/>
    <w:rsid w:val="00230DB2"/>
    <w:rsid w:val="002315E2"/>
    <w:rsid w:val="00232A65"/>
    <w:rsid w:val="00232C8F"/>
    <w:rsid w:val="002355E7"/>
    <w:rsid w:val="00235D11"/>
    <w:rsid w:val="00236DC6"/>
    <w:rsid w:val="00236E78"/>
    <w:rsid w:val="00237450"/>
    <w:rsid w:val="00237561"/>
    <w:rsid w:val="0023769B"/>
    <w:rsid w:val="002402BE"/>
    <w:rsid w:val="002437B4"/>
    <w:rsid w:val="002440E1"/>
    <w:rsid w:val="00245468"/>
    <w:rsid w:val="002456D3"/>
    <w:rsid w:val="002479FA"/>
    <w:rsid w:val="00247D72"/>
    <w:rsid w:val="00250487"/>
    <w:rsid w:val="00250527"/>
    <w:rsid w:val="00250E10"/>
    <w:rsid w:val="002512F4"/>
    <w:rsid w:val="0025133E"/>
    <w:rsid w:val="0025245E"/>
    <w:rsid w:val="002527BE"/>
    <w:rsid w:val="002536B9"/>
    <w:rsid w:val="00254188"/>
    <w:rsid w:val="002547C1"/>
    <w:rsid w:val="00254D83"/>
    <w:rsid w:val="00254E90"/>
    <w:rsid w:val="0025624C"/>
    <w:rsid w:val="00261BA6"/>
    <w:rsid w:val="00261F24"/>
    <w:rsid w:val="00261FDF"/>
    <w:rsid w:val="00262A26"/>
    <w:rsid w:val="002631D2"/>
    <w:rsid w:val="00263B44"/>
    <w:rsid w:val="00264DE0"/>
    <w:rsid w:val="00264E5B"/>
    <w:rsid w:val="00265B37"/>
    <w:rsid w:val="00265C63"/>
    <w:rsid w:val="00265E70"/>
    <w:rsid w:val="00267BC6"/>
    <w:rsid w:val="0027018C"/>
    <w:rsid w:val="00270934"/>
    <w:rsid w:val="00270E22"/>
    <w:rsid w:val="00271C97"/>
    <w:rsid w:val="00271DE5"/>
    <w:rsid w:val="00273E50"/>
    <w:rsid w:val="002744EB"/>
    <w:rsid w:val="00274AB5"/>
    <w:rsid w:val="0027554F"/>
    <w:rsid w:val="00276F26"/>
    <w:rsid w:val="002773B8"/>
    <w:rsid w:val="002776A2"/>
    <w:rsid w:val="00280799"/>
    <w:rsid w:val="00280903"/>
    <w:rsid w:val="00281543"/>
    <w:rsid w:val="00281BCB"/>
    <w:rsid w:val="00281BE1"/>
    <w:rsid w:val="00282CF6"/>
    <w:rsid w:val="00285E51"/>
    <w:rsid w:val="0028733C"/>
    <w:rsid w:val="00287AC8"/>
    <w:rsid w:val="00290DF1"/>
    <w:rsid w:val="00291857"/>
    <w:rsid w:val="002937C4"/>
    <w:rsid w:val="0029465A"/>
    <w:rsid w:val="00294712"/>
    <w:rsid w:val="002947FE"/>
    <w:rsid w:val="00294A90"/>
    <w:rsid w:val="00295C3B"/>
    <w:rsid w:val="002963F8"/>
    <w:rsid w:val="002A032F"/>
    <w:rsid w:val="002A1A09"/>
    <w:rsid w:val="002A2193"/>
    <w:rsid w:val="002A2829"/>
    <w:rsid w:val="002A2B14"/>
    <w:rsid w:val="002A3E72"/>
    <w:rsid w:val="002A426F"/>
    <w:rsid w:val="002A5952"/>
    <w:rsid w:val="002A59C6"/>
    <w:rsid w:val="002A66CC"/>
    <w:rsid w:val="002A6B73"/>
    <w:rsid w:val="002A76F2"/>
    <w:rsid w:val="002B08F6"/>
    <w:rsid w:val="002B099E"/>
    <w:rsid w:val="002B09DB"/>
    <w:rsid w:val="002B13BC"/>
    <w:rsid w:val="002B265E"/>
    <w:rsid w:val="002B2ECB"/>
    <w:rsid w:val="002B3A96"/>
    <w:rsid w:val="002B3FC0"/>
    <w:rsid w:val="002B49FA"/>
    <w:rsid w:val="002B4CE5"/>
    <w:rsid w:val="002B5437"/>
    <w:rsid w:val="002B62F2"/>
    <w:rsid w:val="002B6C42"/>
    <w:rsid w:val="002B7606"/>
    <w:rsid w:val="002C1394"/>
    <w:rsid w:val="002C2096"/>
    <w:rsid w:val="002C28A6"/>
    <w:rsid w:val="002C2957"/>
    <w:rsid w:val="002C3BB1"/>
    <w:rsid w:val="002C4705"/>
    <w:rsid w:val="002C4DD4"/>
    <w:rsid w:val="002C4F01"/>
    <w:rsid w:val="002C4F9A"/>
    <w:rsid w:val="002C4FA9"/>
    <w:rsid w:val="002C5C3F"/>
    <w:rsid w:val="002C7166"/>
    <w:rsid w:val="002D007E"/>
    <w:rsid w:val="002D029C"/>
    <w:rsid w:val="002D2475"/>
    <w:rsid w:val="002D2664"/>
    <w:rsid w:val="002D7E87"/>
    <w:rsid w:val="002E0376"/>
    <w:rsid w:val="002E0E01"/>
    <w:rsid w:val="002E150A"/>
    <w:rsid w:val="002E2261"/>
    <w:rsid w:val="002E229F"/>
    <w:rsid w:val="002E4A8D"/>
    <w:rsid w:val="002E4CF2"/>
    <w:rsid w:val="002E5BD4"/>
    <w:rsid w:val="002E6A02"/>
    <w:rsid w:val="002F131F"/>
    <w:rsid w:val="002F440D"/>
    <w:rsid w:val="002F5FC8"/>
    <w:rsid w:val="002F71ED"/>
    <w:rsid w:val="002F778D"/>
    <w:rsid w:val="00301453"/>
    <w:rsid w:val="00301DAE"/>
    <w:rsid w:val="0030256F"/>
    <w:rsid w:val="00302864"/>
    <w:rsid w:val="00305ECB"/>
    <w:rsid w:val="00306435"/>
    <w:rsid w:val="00306E8F"/>
    <w:rsid w:val="003072DB"/>
    <w:rsid w:val="00307CE0"/>
    <w:rsid w:val="0031007B"/>
    <w:rsid w:val="00310A2D"/>
    <w:rsid w:val="003110E7"/>
    <w:rsid w:val="003115A6"/>
    <w:rsid w:val="00311863"/>
    <w:rsid w:val="00312003"/>
    <w:rsid w:val="003123A6"/>
    <w:rsid w:val="0031432E"/>
    <w:rsid w:val="00314B28"/>
    <w:rsid w:val="00314E90"/>
    <w:rsid w:val="00316135"/>
    <w:rsid w:val="0031695A"/>
    <w:rsid w:val="00320133"/>
    <w:rsid w:val="0032074D"/>
    <w:rsid w:val="003219BD"/>
    <w:rsid w:val="00322293"/>
    <w:rsid w:val="00322F64"/>
    <w:rsid w:val="0032358C"/>
    <w:rsid w:val="003240DA"/>
    <w:rsid w:val="00324917"/>
    <w:rsid w:val="00325B03"/>
    <w:rsid w:val="003310B5"/>
    <w:rsid w:val="003321E6"/>
    <w:rsid w:val="0033234F"/>
    <w:rsid w:val="003325C8"/>
    <w:rsid w:val="00332B91"/>
    <w:rsid w:val="00332ED8"/>
    <w:rsid w:val="00333B3A"/>
    <w:rsid w:val="00333F50"/>
    <w:rsid w:val="00333F66"/>
    <w:rsid w:val="003343DB"/>
    <w:rsid w:val="00334704"/>
    <w:rsid w:val="003349A5"/>
    <w:rsid w:val="00335113"/>
    <w:rsid w:val="00337F40"/>
    <w:rsid w:val="003402B6"/>
    <w:rsid w:val="003417EE"/>
    <w:rsid w:val="0034197B"/>
    <w:rsid w:val="0034246B"/>
    <w:rsid w:val="00343481"/>
    <w:rsid w:val="00343939"/>
    <w:rsid w:val="003448A7"/>
    <w:rsid w:val="003475D3"/>
    <w:rsid w:val="003503C3"/>
    <w:rsid w:val="0035095E"/>
    <w:rsid w:val="003526AE"/>
    <w:rsid w:val="00352CE7"/>
    <w:rsid w:val="00353106"/>
    <w:rsid w:val="0035594C"/>
    <w:rsid w:val="00355E2E"/>
    <w:rsid w:val="003567B8"/>
    <w:rsid w:val="00357526"/>
    <w:rsid w:val="00360A8F"/>
    <w:rsid w:val="00361A92"/>
    <w:rsid w:val="0036201A"/>
    <w:rsid w:val="003621C8"/>
    <w:rsid w:val="00363F18"/>
    <w:rsid w:val="0036406B"/>
    <w:rsid w:val="003650CB"/>
    <w:rsid w:val="003652E9"/>
    <w:rsid w:val="00365482"/>
    <w:rsid w:val="00367C50"/>
    <w:rsid w:val="00370819"/>
    <w:rsid w:val="00373211"/>
    <w:rsid w:val="00374816"/>
    <w:rsid w:val="00374DB3"/>
    <w:rsid w:val="00375BCE"/>
    <w:rsid w:val="003760FF"/>
    <w:rsid w:val="0037615A"/>
    <w:rsid w:val="00377335"/>
    <w:rsid w:val="0037789F"/>
    <w:rsid w:val="00380299"/>
    <w:rsid w:val="00380DCF"/>
    <w:rsid w:val="00380EEF"/>
    <w:rsid w:val="0038278D"/>
    <w:rsid w:val="00383537"/>
    <w:rsid w:val="00383B8E"/>
    <w:rsid w:val="00383E5A"/>
    <w:rsid w:val="00383FCA"/>
    <w:rsid w:val="00385A18"/>
    <w:rsid w:val="00385EB3"/>
    <w:rsid w:val="003860B2"/>
    <w:rsid w:val="0038651B"/>
    <w:rsid w:val="00387F41"/>
    <w:rsid w:val="00390361"/>
    <w:rsid w:val="00393E07"/>
    <w:rsid w:val="00393EB5"/>
    <w:rsid w:val="00394CC7"/>
    <w:rsid w:val="00394F4E"/>
    <w:rsid w:val="00395795"/>
    <w:rsid w:val="00395F7F"/>
    <w:rsid w:val="00396A98"/>
    <w:rsid w:val="003974A6"/>
    <w:rsid w:val="00397875"/>
    <w:rsid w:val="00397AE3"/>
    <w:rsid w:val="00397B27"/>
    <w:rsid w:val="003A1599"/>
    <w:rsid w:val="003A3F04"/>
    <w:rsid w:val="003A43A2"/>
    <w:rsid w:val="003A4C99"/>
    <w:rsid w:val="003A61D6"/>
    <w:rsid w:val="003A6F57"/>
    <w:rsid w:val="003A7EE6"/>
    <w:rsid w:val="003B0A80"/>
    <w:rsid w:val="003B0C51"/>
    <w:rsid w:val="003B112A"/>
    <w:rsid w:val="003B234C"/>
    <w:rsid w:val="003B3B01"/>
    <w:rsid w:val="003B4A6A"/>
    <w:rsid w:val="003B4D39"/>
    <w:rsid w:val="003B4FE4"/>
    <w:rsid w:val="003B574E"/>
    <w:rsid w:val="003B5824"/>
    <w:rsid w:val="003B68E5"/>
    <w:rsid w:val="003B68FF"/>
    <w:rsid w:val="003B696A"/>
    <w:rsid w:val="003B76AF"/>
    <w:rsid w:val="003C1571"/>
    <w:rsid w:val="003C26D8"/>
    <w:rsid w:val="003C270D"/>
    <w:rsid w:val="003C2991"/>
    <w:rsid w:val="003C5D96"/>
    <w:rsid w:val="003D0EC8"/>
    <w:rsid w:val="003D1350"/>
    <w:rsid w:val="003D151A"/>
    <w:rsid w:val="003D1AA8"/>
    <w:rsid w:val="003D3ED6"/>
    <w:rsid w:val="003D3F51"/>
    <w:rsid w:val="003D445E"/>
    <w:rsid w:val="003D4ACE"/>
    <w:rsid w:val="003D598F"/>
    <w:rsid w:val="003D5D4A"/>
    <w:rsid w:val="003D6151"/>
    <w:rsid w:val="003D729D"/>
    <w:rsid w:val="003D7D10"/>
    <w:rsid w:val="003E35A8"/>
    <w:rsid w:val="003E396B"/>
    <w:rsid w:val="003E4396"/>
    <w:rsid w:val="003E464B"/>
    <w:rsid w:val="003E5836"/>
    <w:rsid w:val="003E6185"/>
    <w:rsid w:val="003E6C28"/>
    <w:rsid w:val="003E7D3F"/>
    <w:rsid w:val="003F056E"/>
    <w:rsid w:val="003F0A6E"/>
    <w:rsid w:val="003F0FAD"/>
    <w:rsid w:val="003F3776"/>
    <w:rsid w:val="003F4FA9"/>
    <w:rsid w:val="003F50E5"/>
    <w:rsid w:val="003F57F4"/>
    <w:rsid w:val="003F5BFF"/>
    <w:rsid w:val="003F6147"/>
    <w:rsid w:val="00400E82"/>
    <w:rsid w:val="00401F47"/>
    <w:rsid w:val="0040374C"/>
    <w:rsid w:val="00403E89"/>
    <w:rsid w:val="00404C51"/>
    <w:rsid w:val="00405B6D"/>
    <w:rsid w:val="00406FCA"/>
    <w:rsid w:val="00407D04"/>
    <w:rsid w:val="00407F26"/>
    <w:rsid w:val="00411D64"/>
    <w:rsid w:val="00412FB8"/>
    <w:rsid w:val="0041310A"/>
    <w:rsid w:val="0041441D"/>
    <w:rsid w:val="00415AC8"/>
    <w:rsid w:val="004164DD"/>
    <w:rsid w:val="00417D1B"/>
    <w:rsid w:val="00417E15"/>
    <w:rsid w:val="00421066"/>
    <w:rsid w:val="004214AD"/>
    <w:rsid w:val="00421B58"/>
    <w:rsid w:val="00421E44"/>
    <w:rsid w:val="00421F31"/>
    <w:rsid w:val="00422838"/>
    <w:rsid w:val="00423305"/>
    <w:rsid w:val="0042380A"/>
    <w:rsid w:val="00424E4D"/>
    <w:rsid w:val="00426A73"/>
    <w:rsid w:val="004272DE"/>
    <w:rsid w:val="0043087D"/>
    <w:rsid w:val="004313A7"/>
    <w:rsid w:val="004323E2"/>
    <w:rsid w:val="00432C05"/>
    <w:rsid w:val="0043409D"/>
    <w:rsid w:val="004352DF"/>
    <w:rsid w:val="00435498"/>
    <w:rsid w:val="00436429"/>
    <w:rsid w:val="00436B1D"/>
    <w:rsid w:val="004373DD"/>
    <w:rsid w:val="00437F0E"/>
    <w:rsid w:val="00441002"/>
    <w:rsid w:val="00441368"/>
    <w:rsid w:val="00442084"/>
    <w:rsid w:val="00442B99"/>
    <w:rsid w:val="004445AD"/>
    <w:rsid w:val="004460DB"/>
    <w:rsid w:val="004461BC"/>
    <w:rsid w:val="00446E42"/>
    <w:rsid w:val="0044706C"/>
    <w:rsid w:val="00447A1E"/>
    <w:rsid w:val="00447EF7"/>
    <w:rsid w:val="00451D86"/>
    <w:rsid w:val="00453005"/>
    <w:rsid w:val="0045313F"/>
    <w:rsid w:val="0045360F"/>
    <w:rsid w:val="00453C92"/>
    <w:rsid w:val="00454903"/>
    <w:rsid w:val="004558A0"/>
    <w:rsid w:val="0045619C"/>
    <w:rsid w:val="0045691D"/>
    <w:rsid w:val="00456B03"/>
    <w:rsid w:val="00457C8D"/>
    <w:rsid w:val="00457E28"/>
    <w:rsid w:val="00457F57"/>
    <w:rsid w:val="004604FB"/>
    <w:rsid w:val="00460841"/>
    <w:rsid w:val="004609DA"/>
    <w:rsid w:val="00460C8F"/>
    <w:rsid w:val="00463428"/>
    <w:rsid w:val="00463516"/>
    <w:rsid w:val="00463CC7"/>
    <w:rsid w:val="00463D6C"/>
    <w:rsid w:val="004659AF"/>
    <w:rsid w:val="00465F0A"/>
    <w:rsid w:val="0046651C"/>
    <w:rsid w:val="00466782"/>
    <w:rsid w:val="00466783"/>
    <w:rsid w:val="004677D1"/>
    <w:rsid w:val="00467FD0"/>
    <w:rsid w:val="004734AB"/>
    <w:rsid w:val="00473AFD"/>
    <w:rsid w:val="00475585"/>
    <w:rsid w:val="004757C8"/>
    <w:rsid w:val="004775E0"/>
    <w:rsid w:val="00477AFB"/>
    <w:rsid w:val="004809D2"/>
    <w:rsid w:val="00480D86"/>
    <w:rsid w:val="00480FA5"/>
    <w:rsid w:val="00483C1F"/>
    <w:rsid w:val="00484A3C"/>
    <w:rsid w:val="00486210"/>
    <w:rsid w:val="004863EE"/>
    <w:rsid w:val="0048749E"/>
    <w:rsid w:val="004900C2"/>
    <w:rsid w:val="004903B6"/>
    <w:rsid w:val="004908F0"/>
    <w:rsid w:val="00490C6F"/>
    <w:rsid w:val="004915F8"/>
    <w:rsid w:val="00491DB8"/>
    <w:rsid w:val="00492AF1"/>
    <w:rsid w:val="00493341"/>
    <w:rsid w:val="00493F1F"/>
    <w:rsid w:val="00494560"/>
    <w:rsid w:val="004965E3"/>
    <w:rsid w:val="00496BDC"/>
    <w:rsid w:val="00496CF9"/>
    <w:rsid w:val="004A00BA"/>
    <w:rsid w:val="004A07F0"/>
    <w:rsid w:val="004A140D"/>
    <w:rsid w:val="004A2DB9"/>
    <w:rsid w:val="004A2EA0"/>
    <w:rsid w:val="004A3223"/>
    <w:rsid w:val="004A4634"/>
    <w:rsid w:val="004A4CC3"/>
    <w:rsid w:val="004A502F"/>
    <w:rsid w:val="004A7004"/>
    <w:rsid w:val="004B03C3"/>
    <w:rsid w:val="004B1945"/>
    <w:rsid w:val="004B2D2A"/>
    <w:rsid w:val="004B3DEA"/>
    <w:rsid w:val="004B546B"/>
    <w:rsid w:val="004B54B7"/>
    <w:rsid w:val="004B660C"/>
    <w:rsid w:val="004B6A02"/>
    <w:rsid w:val="004B6DEC"/>
    <w:rsid w:val="004B7BDA"/>
    <w:rsid w:val="004C1051"/>
    <w:rsid w:val="004C15D1"/>
    <w:rsid w:val="004C2075"/>
    <w:rsid w:val="004C33BB"/>
    <w:rsid w:val="004C34FD"/>
    <w:rsid w:val="004C36FE"/>
    <w:rsid w:val="004C3CDB"/>
    <w:rsid w:val="004C62B9"/>
    <w:rsid w:val="004C71A1"/>
    <w:rsid w:val="004C75A7"/>
    <w:rsid w:val="004C7D60"/>
    <w:rsid w:val="004D0E1A"/>
    <w:rsid w:val="004D1280"/>
    <w:rsid w:val="004D1586"/>
    <w:rsid w:val="004D16EF"/>
    <w:rsid w:val="004D1ADA"/>
    <w:rsid w:val="004D3D10"/>
    <w:rsid w:val="004D3DC4"/>
    <w:rsid w:val="004D55EE"/>
    <w:rsid w:val="004E0A29"/>
    <w:rsid w:val="004E2ED8"/>
    <w:rsid w:val="004E3134"/>
    <w:rsid w:val="004E4229"/>
    <w:rsid w:val="004E64CB"/>
    <w:rsid w:val="004E7020"/>
    <w:rsid w:val="004E736D"/>
    <w:rsid w:val="004F0521"/>
    <w:rsid w:val="004F0A4C"/>
    <w:rsid w:val="004F1358"/>
    <w:rsid w:val="004F1B71"/>
    <w:rsid w:val="004F21CF"/>
    <w:rsid w:val="004F22A5"/>
    <w:rsid w:val="004F30A9"/>
    <w:rsid w:val="004F3F8F"/>
    <w:rsid w:val="004F4CF1"/>
    <w:rsid w:val="004F5010"/>
    <w:rsid w:val="004F5935"/>
    <w:rsid w:val="004F718A"/>
    <w:rsid w:val="004F7D56"/>
    <w:rsid w:val="005028C9"/>
    <w:rsid w:val="00504D6C"/>
    <w:rsid w:val="00505020"/>
    <w:rsid w:val="00506373"/>
    <w:rsid w:val="00506E25"/>
    <w:rsid w:val="00507D65"/>
    <w:rsid w:val="00507E20"/>
    <w:rsid w:val="00511CED"/>
    <w:rsid w:val="00512697"/>
    <w:rsid w:val="005132AA"/>
    <w:rsid w:val="00513FE3"/>
    <w:rsid w:val="00514794"/>
    <w:rsid w:val="00515894"/>
    <w:rsid w:val="00516FAC"/>
    <w:rsid w:val="0051700D"/>
    <w:rsid w:val="00520334"/>
    <w:rsid w:val="0052097B"/>
    <w:rsid w:val="00522380"/>
    <w:rsid w:val="00523389"/>
    <w:rsid w:val="00526DB7"/>
    <w:rsid w:val="00527008"/>
    <w:rsid w:val="00530FF1"/>
    <w:rsid w:val="00531844"/>
    <w:rsid w:val="00534665"/>
    <w:rsid w:val="005349FE"/>
    <w:rsid w:val="0053648A"/>
    <w:rsid w:val="00536A12"/>
    <w:rsid w:val="0053705C"/>
    <w:rsid w:val="005379B3"/>
    <w:rsid w:val="00537FA1"/>
    <w:rsid w:val="00540A44"/>
    <w:rsid w:val="00540C94"/>
    <w:rsid w:val="00541417"/>
    <w:rsid w:val="0054278E"/>
    <w:rsid w:val="00543209"/>
    <w:rsid w:val="0054399B"/>
    <w:rsid w:val="005446D1"/>
    <w:rsid w:val="00545044"/>
    <w:rsid w:val="005459E0"/>
    <w:rsid w:val="00547D3B"/>
    <w:rsid w:val="00552196"/>
    <w:rsid w:val="00552F7D"/>
    <w:rsid w:val="00553A0C"/>
    <w:rsid w:val="00555D6B"/>
    <w:rsid w:val="00556F39"/>
    <w:rsid w:val="005605E4"/>
    <w:rsid w:val="00560876"/>
    <w:rsid w:val="00563245"/>
    <w:rsid w:val="005633B4"/>
    <w:rsid w:val="00564863"/>
    <w:rsid w:val="0056496F"/>
    <w:rsid w:val="00566EA7"/>
    <w:rsid w:val="00567120"/>
    <w:rsid w:val="005676C3"/>
    <w:rsid w:val="005678EC"/>
    <w:rsid w:val="005679B9"/>
    <w:rsid w:val="00567CCD"/>
    <w:rsid w:val="00570508"/>
    <w:rsid w:val="00570A05"/>
    <w:rsid w:val="00571674"/>
    <w:rsid w:val="00572175"/>
    <w:rsid w:val="0057232C"/>
    <w:rsid w:val="0057479D"/>
    <w:rsid w:val="00577B9A"/>
    <w:rsid w:val="00577C64"/>
    <w:rsid w:val="0058018F"/>
    <w:rsid w:val="0058115F"/>
    <w:rsid w:val="005852F6"/>
    <w:rsid w:val="0058639A"/>
    <w:rsid w:val="00586A56"/>
    <w:rsid w:val="0059160E"/>
    <w:rsid w:val="00591EDD"/>
    <w:rsid w:val="00593706"/>
    <w:rsid w:val="00593D6F"/>
    <w:rsid w:val="00594C92"/>
    <w:rsid w:val="00596416"/>
    <w:rsid w:val="00596727"/>
    <w:rsid w:val="005968AE"/>
    <w:rsid w:val="00596AB5"/>
    <w:rsid w:val="00597A41"/>
    <w:rsid w:val="005A0450"/>
    <w:rsid w:val="005A0724"/>
    <w:rsid w:val="005A37DB"/>
    <w:rsid w:val="005A4367"/>
    <w:rsid w:val="005A4885"/>
    <w:rsid w:val="005A507D"/>
    <w:rsid w:val="005A6CC2"/>
    <w:rsid w:val="005A7C7C"/>
    <w:rsid w:val="005B0A3A"/>
    <w:rsid w:val="005B11FB"/>
    <w:rsid w:val="005B25F1"/>
    <w:rsid w:val="005B2D9B"/>
    <w:rsid w:val="005B505D"/>
    <w:rsid w:val="005B6C78"/>
    <w:rsid w:val="005B6D6E"/>
    <w:rsid w:val="005B78D6"/>
    <w:rsid w:val="005C07F9"/>
    <w:rsid w:val="005C2292"/>
    <w:rsid w:val="005C2644"/>
    <w:rsid w:val="005C2EAC"/>
    <w:rsid w:val="005C46FD"/>
    <w:rsid w:val="005C6676"/>
    <w:rsid w:val="005D05D2"/>
    <w:rsid w:val="005D0EFD"/>
    <w:rsid w:val="005D125D"/>
    <w:rsid w:val="005D1690"/>
    <w:rsid w:val="005D1E12"/>
    <w:rsid w:val="005D3199"/>
    <w:rsid w:val="005D366D"/>
    <w:rsid w:val="005D38CC"/>
    <w:rsid w:val="005D3AAE"/>
    <w:rsid w:val="005D3F9D"/>
    <w:rsid w:val="005D4D33"/>
    <w:rsid w:val="005D5145"/>
    <w:rsid w:val="005D54AE"/>
    <w:rsid w:val="005D5658"/>
    <w:rsid w:val="005D5BFC"/>
    <w:rsid w:val="005D603D"/>
    <w:rsid w:val="005D6EB6"/>
    <w:rsid w:val="005D70CA"/>
    <w:rsid w:val="005D7A93"/>
    <w:rsid w:val="005E1459"/>
    <w:rsid w:val="005E3236"/>
    <w:rsid w:val="005E3D08"/>
    <w:rsid w:val="005E4C41"/>
    <w:rsid w:val="005E511F"/>
    <w:rsid w:val="005E63E6"/>
    <w:rsid w:val="005F01D0"/>
    <w:rsid w:val="005F14A2"/>
    <w:rsid w:val="005F1533"/>
    <w:rsid w:val="005F15E8"/>
    <w:rsid w:val="005F3D1F"/>
    <w:rsid w:val="005F6AEF"/>
    <w:rsid w:val="005F7211"/>
    <w:rsid w:val="0060025D"/>
    <w:rsid w:val="00601593"/>
    <w:rsid w:val="00601AB0"/>
    <w:rsid w:val="00602360"/>
    <w:rsid w:val="006029D5"/>
    <w:rsid w:val="00602AC3"/>
    <w:rsid w:val="00604931"/>
    <w:rsid w:val="00606FDE"/>
    <w:rsid w:val="00607A75"/>
    <w:rsid w:val="0061085C"/>
    <w:rsid w:val="0061115B"/>
    <w:rsid w:val="00611A17"/>
    <w:rsid w:val="00612E70"/>
    <w:rsid w:val="00613D0D"/>
    <w:rsid w:val="00613EAF"/>
    <w:rsid w:val="00614406"/>
    <w:rsid w:val="00614F2C"/>
    <w:rsid w:val="0061583D"/>
    <w:rsid w:val="006174C7"/>
    <w:rsid w:val="00617DBB"/>
    <w:rsid w:val="00622750"/>
    <w:rsid w:val="0062350A"/>
    <w:rsid w:val="00623D70"/>
    <w:rsid w:val="0062485E"/>
    <w:rsid w:val="00625733"/>
    <w:rsid w:val="006263A7"/>
    <w:rsid w:val="00626825"/>
    <w:rsid w:val="006268D6"/>
    <w:rsid w:val="00626DAB"/>
    <w:rsid w:val="00627CE4"/>
    <w:rsid w:val="00630378"/>
    <w:rsid w:val="00630C62"/>
    <w:rsid w:val="00633985"/>
    <w:rsid w:val="0063421B"/>
    <w:rsid w:val="00634591"/>
    <w:rsid w:val="006347D1"/>
    <w:rsid w:val="006369F0"/>
    <w:rsid w:val="00637288"/>
    <w:rsid w:val="006418D8"/>
    <w:rsid w:val="00644684"/>
    <w:rsid w:val="00644BDE"/>
    <w:rsid w:val="006469E2"/>
    <w:rsid w:val="00651111"/>
    <w:rsid w:val="006519B2"/>
    <w:rsid w:val="00652614"/>
    <w:rsid w:val="006545C1"/>
    <w:rsid w:val="00654DAB"/>
    <w:rsid w:val="0065606D"/>
    <w:rsid w:val="00656241"/>
    <w:rsid w:val="00657E9F"/>
    <w:rsid w:val="006604E0"/>
    <w:rsid w:val="00661CC3"/>
    <w:rsid w:val="00662063"/>
    <w:rsid w:val="006620B8"/>
    <w:rsid w:val="006627AD"/>
    <w:rsid w:val="00662E72"/>
    <w:rsid w:val="006642E3"/>
    <w:rsid w:val="006651B6"/>
    <w:rsid w:val="00667549"/>
    <w:rsid w:val="006675D9"/>
    <w:rsid w:val="00667946"/>
    <w:rsid w:val="00667F3D"/>
    <w:rsid w:val="0067027E"/>
    <w:rsid w:val="00670A7E"/>
    <w:rsid w:val="00670E73"/>
    <w:rsid w:val="00672C76"/>
    <w:rsid w:val="00673095"/>
    <w:rsid w:val="006738A0"/>
    <w:rsid w:val="0067420D"/>
    <w:rsid w:val="0067456E"/>
    <w:rsid w:val="006750CF"/>
    <w:rsid w:val="00675845"/>
    <w:rsid w:val="00675D17"/>
    <w:rsid w:val="00675E66"/>
    <w:rsid w:val="00675E7F"/>
    <w:rsid w:val="00676747"/>
    <w:rsid w:val="00676FAB"/>
    <w:rsid w:val="006818E1"/>
    <w:rsid w:val="00681AAA"/>
    <w:rsid w:val="00682F23"/>
    <w:rsid w:val="006850C1"/>
    <w:rsid w:val="00685B65"/>
    <w:rsid w:val="006862F7"/>
    <w:rsid w:val="00686326"/>
    <w:rsid w:val="00687A66"/>
    <w:rsid w:val="00692AE1"/>
    <w:rsid w:val="006944E1"/>
    <w:rsid w:val="006A0064"/>
    <w:rsid w:val="006A1320"/>
    <w:rsid w:val="006A1437"/>
    <w:rsid w:val="006A17CC"/>
    <w:rsid w:val="006A18E2"/>
    <w:rsid w:val="006A208F"/>
    <w:rsid w:val="006A2AF6"/>
    <w:rsid w:val="006A3610"/>
    <w:rsid w:val="006A48F7"/>
    <w:rsid w:val="006A5BBE"/>
    <w:rsid w:val="006A761A"/>
    <w:rsid w:val="006B4430"/>
    <w:rsid w:val="006B5A77"/>
    <w:rsid w:val="006C0976"/>
    <w:rsid w:val="006C09ED"/>
    <w:rsid w:val="006C1858"/>
    <w:rsid w:val="006C1BA5"/>
    <w:rsid w:val="006C2129"/>
    <w:rsid w:val="006C2EF4"/>
    <w:rsid w:val="006C4B88"/>
    <w:rsid w:val="006C65B0"/>
    <w:rsid w:val="006C72ED"/>
    <w:rsid w:val="006D0E01"/>
    <w:rsid w:val="006D1502"/>
    <w:rsid w:val="006D2506"/>
    <w:rsid w:val="006D28CF"/>
    <w:rsid w:val="006D3351"/>
    <w:rsid w:val="006D423A"/>
    <w:rsid w:val="006D479B"/>
    <w:rsid w:val="006D4C75"/>
    <w:rsid w:val="006D5437"/>
    <w:rsid w:val="006D5B07"/>
    <w:rsid w:val="006D6C44"/>
    <w:rsid w:val="006D72AD"/>
    <w:rsid w:val="006D76AC"/>
    <w:rsid w:val="006E0494"/>
    <w:rsid w:val="006E09FC"/>
    <w:rsid w:val="006E0EDF"/>
    <w:rsid w:val="006E2852"/>
    <w:rsid w:val="006E463A"/>
    <w:rsid w:val="006E48AC"/>
    <w:rsid w:val="006E4D4C"/>
    <w:rsid w:val="006E52AA"/>
    <w:rsid w:val="006E531B"/>
    <w:rsid w:val="006E5659"/>
    <w:rsid w:val="006E5C0F"/>
    <w:rsid w:val="006E6B3E"/>
    <w:rsid w:val="006E6E16"/>
    <w:rsid w:val="006E7785"/>
    <w:rsid w:val="006F023D"/>
    <w:rsid w:val="006F16CB"/>
    <w:rsid w:val="006F1922"/>
    <w:rsid w:val="006F3707"/>
    <w:rsid w:val="006F3912"/>
    <w:rsid w:val="006F4072"/>
    <w:rsid w:val="006F46E5"/>
    <w:rsid w:val="006F4B25"/>
    <w:rsid w:val="006F5A73"/>
    <w:rsid w:val="006F5E4A"/>
    <w:rsid w:val="006F6F93"/>
    <w:rsid w:val="0070016D"/>
    <w:rsid w:val="0070092B"/>
    <w:rsid w:val="007043B8"/>
    <w:rsid w:val="00704B09"/>
    <w:rsid w:val="00710072"/>
    <w:rsid w:val="00710458"/>
    <w:rsid w:val="0071067E"/>
    <w:rsid w:val="007110AC"/>
    <w:rsid w:val="00711335"/>
    <w:rsid w:val="00711F07"/>
    <w:rsid w:val="0071275B"/>
    <w:rsid w:val="007134EF"/>
    <w:rsid w:val="00713FA6"/>
    <w:rsid w:val="00715C5B"/>
    <w:rsid w:val="0071699C"/>
    <w:rsid w:val="00717D95"/>
    <w:rsid w:val="0072070A"/>
    <w:rsid w:val="00721EAB"/>
    <w:rsid w:val="00721F91"/>
    <w:rsid w:val="00722FB3"/>
    <w:rsid w:val="00725FE9"/>
    <w:rsid w:val="00726448"/>
    <w:rsid w:val="00727675"/>
    <w:rsid w:val="00727E71"/>
    <w:rsid w:val="007306E4"/>
    <w:rsid w:val="00730B55"/>
    <w:rsid w:val="00731629"/>
    <w:rsid w:val="00733C71"/>
    <w:rsid w:val="0073488E"/>
    <w:rsid w:val="007353B9"/>
    <w:rsid w:val="00735524"/>
    <w:rsid w:val="0073562D"/>
    <w:rsid w:val="00735F5F"/>
    <w:rsid w:val="0073671C"/>
    <w:rsid w:val="00743254"/>
    <w:rsid w:val="0074337A"/>
    <w:rsid w:val="007439B7"/>
    <w:rsid w:val="00743CC2"/>
    <w:rsid w:val="00743DC8"/>
    <w:rsid w:val="00744136"/>
    <w:rsid w:val="00744144"/>
    <w:rsid w:val="007451E1"/>
    <w:rsid w:val="007460C8"/>
    <w:rsid w:val="007461B7"/>
    <w:rsid w:val="0075143D"/>
    <w:rsid w:val="00751693"/>
    <w:rsid w:val="00751BE1"/>
    <w:rsid w:val="00751C23"/>
    <w:rsid w:val="00751C7B"/>
    <w:rsid w:val="00751F0C"/>
    <w:rsid w:val="00753C89"/>
    <w:rsid w:val="00754306"/>
    <w:rsid w:val="00756B0C"/>
    <w:rsid w:val="007574A4"/>
    <w:rsid w:val="0076136C"/>
    <w:rsid w:val="00761CF9"/>
    <w:rsid w:val="00762F88"/>
    <w:rsid w:val="00765287"/>
    <w:rsid w:val="00765D2C"/>
    <w:rsid w:val="00766B4B"/>
    <w:rsid w:val="00766F18"/>
    <w:rsid w:val="00766F19"/>
    <w:rsid w:val="00767051"/>
    <w:rsid w:val="00767149"/>
    <w:rsid w:val="00772358"/>
    <w:rsid w:val="0077288F"/>
    <w:rsid w:val="00772F09"/>
    <w:rsid w:val="00773F96"/>
    <w:rsid w:val="007756EE"/>
    <w:rsid w:val="00775DEF"/>
    <w:rsid w:val="007761C6"/>
    <w:rsid w:val="0077624A"/>
    <w:rsid w:val="00776854"/>
    <w:rsid w:val="00776EA1"/>
    <w:rsid w:val="007807D9"/>
    <w:rsid w:val="00781879"/>
    <w:rsid w:val="00783022"/>
    <w:rsid w:val="007834BB"/>
    <w:rsid w:val="0078358D"/>
    <w:rsid w:val="00783846"/>
    <w:rsid w:val="007847FD"/>
    <w:rsid w:val="00785F57"/>
    <w:rsid w:val="0078620B"/>
    <w:rsid w:val="00786538"/>
    <w:rsid w:val="0078654E"/>
    <w:rsid w:val="00786B4C"/>
    <w:rsid w:val="007902EE"/>
    <w:rsid w:val="00790638"/>
    <w:rsid w:val="0079154D"/>
    <w:rsid w:val="0079158B"/>
    <w:rsid w:val="007924C0"/>
    <w:rsid w:val="007929B1"/>
    <w:rsid w:val="00793855"/>
    <w:rsid w:val="00797F9D"/>
    <w:rsid w:val="007A02AD"/>
    <w:rsid w:val="007A1AE6"/>
    <w:rsid w:val="007A4EF0"/>
    <w:rsid w:val="007A59D2"/>
    <w:rsid w:val="007A60BF"/>
    <w:rsid w:val="007A6A50"/>
    <w:rsid w:val="007A740F"/>
    <w:rsid w:val="007B0441"/>
    <w:rsid w:val="007B12F2"/>
    <w:rsid w:val="007B19EC"/>
    <w:rsid w:val="007B245F"/>
    <w:rsid w:val="007B2F65"/>
    <w:rsid w:val="007B3A0D"/>
    <w:rsid w:val="007B652D"/>
    <w:rsid w:val="007B675C"/>
    <w:rsid w:val="007B7427"/>
    <w:rsid w:val="007B79FA"/>
    <w:rsid w:val="007C2FC4"/>
    <w:rsid w:val="007C34E7"/>
    <w:rsid w:val="007C3EB9"/>
    <w:rsid w:val="007C419A"/>
    <w:rsid w:val="007C51F1"/>
    <w:rsid w:val="007C5C08"/>
    <w:rsid w:val="007C6E31"/>
    <w:rsid w:val="007C72F4"/>
    <w:rsid w:val="007D1553"/>
    <w:rsid w:val="007D1E96"/>
    <w:rsid w:val="007D32F2"/>
    <w:rsid w:val="007D4372"/>
    <w:rsid w:val="007D5D2F"/>
    <w:rsid w:val="007D5E6D"/>
    <w:rsid w:val="007D68E5"/>
    <w:rsid w:val="007E01B0"/>
    <w:rsid w:val="007E0AED"/>
    <w:rsid w:val="007E1853"/>
    <w:rsid w:val="007E1C01"/>
    <w:rsid w:val="007E314A"/>
    <w:rsid w:val="007E3971"/>
    <w:rsid w:val="007E4221"/>
    <w:rsid w:val="007E56F5"/>
    <w:rsid w:val="007E5836"/>
    <w:rsid w:val="007E5F40"/>
    <w:rsid w:val="007E67FE"/>
    <w:rsid w:val="007E6DBB"/>
    <w:rsid w:val="007E78ED"/>
    <w:rsid w:val="007E7A0B"/>
    <w:rsid w:val="007E7F64"/>
    <w:rsid w:val="007F124F"/>
    <w:rsid w:val="007F162D"/>
    <w:rsid w:val="007F1F23"/>
    <w:rsid w:val="007F3245"/>
    <w:rsid w:val="007F352F"/>
    <w:rsid w:val="007F388E"/>
    <w:rsid w:val="007F4954"/>
    <w:rsid w:val="007F58C6"/>
    <w:rsid w:val="007F6476"/>
    <w:rsid w:val="007F66AE"/>
    <w:rsid w:val="007F6BE7"/>
    <w:rsid w:val="007F6FCE"/>
    <w:rsid w:val="007F7CE8"/>
    <w:rsid w:val="0080117A"/>
    <w:rsid w:val="00801C3A"/>
    <w:rsid w:val="008022EE"/>
    <w:rsid w:val="00806751"/>
    <w:rsid w:val="008072AB"/>
    <w:rsid w:val="008108F6"/>
    <w:rsid w:val="00812839"/>
    <w:rsid w:val="00812EC4"/>
    <w:rsid w:val="008132BE"/>
    <w:rsid w:val="00813315"/>
    <w:rsid w:val="00814033"/>
    <w:rsid w:val="0081439E"/>
    <w:rsid w:val="00815619"/>
    <w:rsid w:val="00815E8F"/>
    <w:rsid w:val="00816438"/>
    <w:rsid w:val="0081725E"/>
    <w:rsid w:val="0081776A"/>
    <w:rsid w:val="00817880"/>
    <w:rsid w:val="0082039C"/>
    <w:rsid w:val="00820B09"/>
    <w:rsid w:val="008217C5"/>
    <w:rsid w:val="008229A4"/>
    <w:rsid w:val="00822BFB"/>
    <w:rsid w:val="00824036"/>
    <w:rsid w:val="00824958"/>
    <w:rsid w:val="00825106"/>
    <w:rsid w:val="00825713"/>
    <w:rsid w:val="00825A8A"/>
    <w:rsid w:val="008266E6"/>
    <w:rsid w:val="00826F76"/>
    <w:rsid w:val="0082723C"/>
    <w:rsid w:val="00827454"/>
    <w:rsid w:val="008302B0"/>
    <w:rsid w:val="00830416"/>
    <w:rsid w:val="0083234D"/>
    <w:rsid w:val="008339BD"/>
    <w:rsid w:val="00834922"/>
    <w:rsid w:val="00835648"/>
    <w:rsid w:val="008357DF"/>
    <w:rsid w:val="00835A00"/>
    <w:rsid w:val="00836D36"/>
    <w:rsid w:val="00840D34"/>
    <w:rsid w:val="0084103B"/>
    <w:rsid w:val="008416B6"/>
    <w:rsid w:val="00841CB2"/>
    <w:rsid w:val="00841F29"/>
    <w:rsid w:val="00843460"/>
    <w:rsid w:val="00844222"/>
    <w:rsid w:val="0084464D"/>
    <w:rsid w:val="00845210"/>
    <w:rsid w:val="0084616A"/>
    <w:rsid w:val="008476C8"/>
    <w:rsid w:val="008476D9"/>
    <w:rsid w:val="008520F9"/>
    <w:rsid w:val="008524EF"/>
    <w:rsid w:val="0085350A"/>
    <w:rsid w:val="00853E18"/>
    <w:rsid w:val="008540B2"/>
    <w:rsid w:val="008547D8"/>
    <w:rsid w:val="008557AD"/>
    <w:rsid w:val="00856AD5"/>
    <w:rsid w:val="008577DA"/>
    <w:rsid w:val="00860239"/>
    <w:rsid w:val="00860396"/>
    <w:rsid w:val="00862890"/>
    <w:rsid w:val="00863186"/>
    <w:rsid w:val="008637CC"/>
    <w:rsid w:val="00864C1E"/>
    <w:rsid w:val="00865025"/>
    <w:rsid w:val="00865544"/>
    <w:rsid w:val="008655AF"/>
    <w:rsid w:val="00866260"/>
    <w:rsid w:val="008665ED"/>
    <w:rsid w:val="008701AF"/>
    <w:rsid w:val="008706FE"/>
    <w:rsid w:val="008708AE"/>
    <w:rsid w:val="00871EDE"/>
    <w:rsid w:val="00871F81"/>
    <w:rsid w:val="00871FD3"/>
    <w:rsid w:val="008724DC"/>
    <w:rsid w:val="0087267A"/>
    <w:rsid w:val="00872D59"/>
    <w:rsid w:val="0087488B"/>
    <w:rsid w:val="00874E48"/>
    <w:rsid w:val="0087554E"/>
    <w:rsid w:val="00876169"/>
    <w:rsid w:val="008762A9"/>
    <w:rsid w:val="00876989"/>
    <w:rsid w:val="0087766C"/>
    <w:rsid w:val="008813D7"/>
    <w:rsid w:val="008818EA"/>
    <w:rsid w:val="00881DF8"/>
    <w:rsid w:val="008827F0"/>
    <w:rsid w:val="00883273"/>
    <w:rsid w:val="00885CAF"/>
    <w:rsid w:val="008864E7"/>
    <w:rsid w:val="008865FD"/>
    <w:rsid w:val="00887D68"/>
    <w:rsid w:val="008914CA"/>
    <w:rsid w:val="00892706"/>
    <w:rsid w:val="00894EEC"/>
    <w:rsid w:val="00895636"/>
    <w:rsid w:val="00896478"/>
    <w:rsid w:val="008968FC"/>
    <w:rsid w:val="00896F2E"/>
    <w:rsid w:val="00897616"/>
    <w:rsid w:val="0089779D"/>
    <w:rsid w:val="008A0C4A"/>
    <w:rsid w:val="008A2538"/>
    <w:rsid w:val="008A3CB2"/>
    <w:rsid w:val="008A3E2D"/>
    <w:rsid w:val="008A5134"/>
    <w:rsid w:val="008A53A0"/>
    <w:rsid w:val="008A585F"/>
    <w:rsid w:val="008A5C5B"/>
    <w:rsid w:val="008A646E"/>
    <w:rsid w:val="008A7926"/>
    <w:rsid w:val="008B0625"/>
    <w:rsid w:val="008B306D"/>
    <w:rsid w:val="008B342F"/>
    <w:rsid w:val="008B4320"/>
    <w:rsid w:val="008B4760"/>
    <w:rsid w:val="008B7167"/>
    <w:rsid w:val="008B76DA"/>
    <w:rsid w:val="008C0144"/>
    <w:rsid w:val="008C072C"/>
    <w:rsid w:val="008C19C7"/>
    <w:rsid w:val="008C20BF"/>
    <w:rsid w:val="008C39AA"/>
    <w:rsid w:val="008C3A13"/>
    <w:rsid w:val="008C43BC"/>
    <w:rsid w:val="008C4E6B"/>
    <w:rsid w:val="008C5811"/>
    <w:rsid w:val="008C5D4F"/>
    <w:rsid w:val="008C6513"/>
    <w:rsid w:val="008C7E22"/>
    <w:rsid w:val="008D0865"/>
    <w:rsid w:val="008D087E"/>
    <w:rsid w:val="008D0FBA"/>
    <w:rsid w:val="008D21CA"/>
    <w:rsid w:val="008D26F4"/>
    <w:rsid w:val="008D2A02"/>
    <w:rsid w:val="008D2CC4"/>
    <w:rsid w:val="008D2F9B"/>
    <w:rsid w:val="008D58F2"/>
    <w:rsid w:val="008D5C2E"/>
    <w:rsid w:val="008D7440"/>
    <w:rsid w:val="008E016A"/>
    <w:rsid w:val="008E1BFA"/>
    <w:rsid w:val="008E36BF"/>
    <w:rsid w:val="008E3B39"/>
    <w:rsid w:val="008E437D"/>
    <w:rsid w:val="008E4385"/>
    <w:rsid w:val="008E4A9B"/>
    <w:rsid w:val="008E4E11"/>
    <w:rsid w:val="008E56C6"/>
    <w:rsid w:val="008E5A70"/>
    <w:rsid w:val="008E73A1"/>
    <w:rsid w:val="008F0CD5"/>
    <w:rsid w:val="008F0FAC"/>
    <w:rsid w:val="008F258E"/>
    <w:rsid w:val="008F31F2"/>
    <w:rsid w:val="008F37D9"/>
    <w:rsid w:val="008F3DA5"/>
    <w:rsid w:val="008F4D38"/>
    <w:rsid w:val="008F56AF"/>
    <w:rsid w:val="008F64E2"/>
    <w:rsid w:val="008F6978"/>
    <w:rsid w:val="008F7E8D"/>
    <w:rsid w:val="00900DCC"/>
    <w:rsid w:val="00901A5F"/>
    <w:rsid w:val="00904CAE"/>
    <w:rsid w:val="00905128"/>
    <w:rsid w:val="0090563D"/>
    <w:rsid w:val="00907E98"/>
    <w:rsid w:val="0091066D"/>
    <w:rsid w:val="009109FD"/>
    <w:rsid w:val="00915AF6"/>
    <w:rsid w:val="009162B3"/>
    <w:rsid w:val="009173EE"/>
    <w:rsid w:val="00917997"/>
    <w:rsid w:val="0092288C"/>
    <w:rsid w:val="00925B85"/>
    <w:rsid w:val="00926EAE"/>
    <w:rsid w:val="00927A6A"/>
    <w:rsid w:val="0093039A"/>
    <w:rsid w:val="00930E9D"/>
    <w:rsid w:val="00930EB9"/>
    <w:rsid w:val="00932B41"/>
    <w:rsid w:val="00934A0C"/>
    <w:rsid w:val="00934D79"/>
    <w:rsid w:val="00935448"/>
    <w:rsid w:val="0093644B"/>
    <w:rsid w:val="00937755"/>
    <w:rsid w:val="00937A0A"/>
    <w:rsid w:val="00940DD3"/>
    <w:rsid w:val="00941556"/>
    <w:rsid w:val="009415C6"/>
    <w:rsid w:val="00942A68"/>
    <w:rsid w:val="00943316"/>
    <w:rsid w:val="00943722"/>
    <w:rsid w:val="009446F2"/>
    <w:rsid w:val="00944DA3"/>
    <w:rsid w:val="009450BA"/>
    <w:rsid w:val="009454B2"/>
    <w:rsid w:val="009456A9"/>
    <w:rsid w:val="00946482"/>
    <w:rsid w:val="00947538"/>
    <w:rsid w:val="00947764"/>
    <w:rsid w:val="009479E6"/>
    <w:rsid w:val="00951569"/>
    <w:rsid w:val="00951A6F"/>
    <w:rsid w:val="00951B4A"/>
    <w:rsid w:val="00951C8E"/>
    <w:rsid w:val="0095424E"/>
    <w:rsid w:val="009548EB"/>
    <w:rsid w:val="00955576"/>
    <w:rsid w:val="00955DCD"/>
    <w:rsid w:val="0095672C"/>
    <w:rsid w:val="0095692D"/>
    <w:rsid w:val="0096039A"/>
    <w:rsid w:val="0096090F"/>
    <w:rsid w:val="0096175D"/>
    <w:rsid w:val="00962DF1"/>
    <w:rsid w:val="009631C0"/>
    <w:rsid w:val="009633F5"/>
    <w:rsid w:val="0096390E"/>
    <w:rsid w:val="009639A3"/>
    <w:rsid w:val="00963A08"/>
    <w:rsid w:val="00964840"/>
    <w:rsid w:val="00964BBF"/>
    <w:rsid w:val="00964BFA"/>
    <w:rsid w:val="009651E5"/>
    <w:rsid w:val="0097074E"/>
    <w:rsid w:val="0097109A"/>
    <w:rsid w:val="00971411"/>
    <w:rsid w:val="009716A4"/>
    <w:rsid w:val="00971D69"/>
    <w:rsid w:val="00972F6B"/>
    <w:rsid w:val="0097372A"/>
    <w:rsid w:val="00973E5E"/>
    <w:rsid w:val="009740DA"/>
    <w:rsid w:val="009757DE"/>
    <w:rsid w:val="009769DD"/>
    <w:rsid w:val="00976D8E"/>
    <w:rsid w:val="0097741B"/>
    <w:rsid w:val="00977AD9"/>
    <w:rsid w:val="00980029"/>
    <w:rsid w:val="0098092A"/>
    <w:rsid w:val="00981549"/>
    <w:rsid w:val="009816E4"/>
    <w:rsid w:val="009826E4"/>
    <w:rsid w:val="00987D8C"/>
    <w:rsid w:val="00990219"/>
    <w:rsid w:val="00990843"/>
    <w:rsid w:val="009918E7"/>
    <w:rsid w:val="00991C9B"/>
    <w:rsid w:val="00992DE5"/>
    <w:rsid w:val="00992E1E"/>
    <w:rsid w:val="00994AC7"/>
    <w:rsid w:val="00994F2E"/>
    <w:rsid w:val="00995DF2"/>
    <w:rsid w:val="009974F2"/>
    <w:rsid w:val="009A284F"/>
    <w:rsid w:val="009A41A1"/>
    <w:rsid w:val="009A42A3"/>
    <w:rsid w:val="009A50E8"/>
    <w:rsid w:val="009A52D9"/>
    <w:rsid w:val="009A53A0"/>
    <w:rsid w:val="009A5806"/>
    <w:rsid w:val="009A5B2B"/>
    <w:rsid w:val="009A7058"/>
    <w:rsid w:val="009B0799"/>
    <w:rsid w:val="009B1D79"/>
    <w:rsid w:val="009B21CA"/>
    <w:rsid w:val="009B22B5"/>
    <w:rsid w:val="009B292A"/>
    <w:rsid w:val="009B321A"/>
    <w:rsid w:val="009B3D91"/>
    <w:rsid w:val="009B416B"/>
    <w:rsid w:val="009B42C8"/>
    <w:rsid w:val="009B4616"/>
    <w:rsid w:val="009B4E79"/>
    <w:rsid w:val="009B5ECE"/>
    <w:rsid w:val="009B66DA"/>
    <w:rsid w:val="009B7B8F"/>
    <w:rsid w:val="009B7C2C"/>
    <w:rsid w:val="009C079F"/>
    <w:rsid w:val="009C0B25"/>
    <w:rsid w:val="009C0C02"/>
    <w:rsid w:val="009C1DED"/>
    <w:rsid w:val="009C37ED"/>
    <w:rsid w:val="009C3EFF"/>
    <w:rsid w:val="009C41C4"/>
    <w:rsid w:val="009C4E16"/>
    <w:rsid w:val="009C7F40"/>
    <w:rsid w:val="009D207B"/>
    <w:rsid w:val="009D44BA"/>
    <w:rsid w:val="009D5860"/>
    <w:rsid w:val="009D65AF"/>
    <w:rsid w:val="009D6794"/>
    <w:rsid w:val="009D6EAF"/>
    <w:rsid w:val="009D7E56"/>
    <w:rsid w:val="009E033C"/>
    <w:rsid w:val="009E0F86"/>
    <w:rsid w:val="009E1CBA"/>
    <w:rsid w:val="009E2BCF"/>
    <w:rsid w:val="009E30EF"/>
    <w:rsid w:val="009E465A"/>
    <w:rsid w:val="009E4941"/>
    <w:rsid w:val="009E5E99"/>
    <w:rsid w:val="009E6048"/>
    <w:rsid w:val="009E6D72"/>
    <w:rsid w:val="009E7F04"/>
    <w:rsid w:val="009E7F2E"/>
    <w:rsid w:val="009F02EC"/>
    <w:rsid w:val="009F0384"/>
    <w:rsid w:val="009F06A6"/>
    <w:rsid w:val="009F16AE"/>
    <w:rsid w:val="009F1961"/>
    <w:rsid w:val="009F44BB"/>
    <w:rsid w:val="009F4567"/>
    <w:rsid w:val="009F4B4B"/>
    <w:rsid w:val="009F727D"/>
    <w:rsid w:val="009F74BC"/>
    <w:rsid w:val="00A00F9C"/>
    <w:rsid w:val="00A01DFF"/>
    <w:rsid w:val="00A02E34"/>
    <w:rsid w:val="00A0333E"/>
    <w:rsid w:val="00A03BC6"/>
    <w:rsid w:val="00A03FF8"/>
    <w:rsid w:val="00A04AE0"/>
    <w:rsid w:val="00A04BF8"/>
    <w:rsid w:val="00A062F5"/>
    <w:rsid w:val="00A06437"/>
    <w:rsid w:val="00A06672"/>
    <w:rsid w:val="00A067AE"/>
    <w:rsid w:val="00A10842"/>
    <w:rsid w:val="00A1102A"/>
    <w:rsid w:val="00A1203E"/>
    <w:rsid w:val="00A1223D"/>
    <w:rsid w:val="00A12FE7"/>
    <w:rsid w:val="00A13AB7"/>
    <w:rsid w:val="00A14F55"/>
    <w:rsid w:val="00A15740"/>
    <w:rsid w:val="00A15B9D"/>
    <w:rsid w:val="00A15BF4"/>
    <w:rsid w:val="00A16226"/>
    <w:rsid w:val="00A16F34"/>
    <w:rsid w:val="00A17870"/>
    <w:rsid w:val="00A22358"/>
    <w:rsid w:val="00A2324E"/>
    <w:rsid w:val="00A245B1"/>
    <w:rsid w:val="00A2468F"/>
    <w:rsid w:val="00A24DC1"/>
    <w:rsid w:val="00A25B6F"/>
    <w:rsid w:val="00A26838"/>
    <w:rsid w:val="00A27CB9"/>
    <w:rsid w:val="00A315F9"/>
    <w:rsid w:val="00A31C78"/>
    <w:rsid w:val="00A3203A"/>
    <w:rsid w:val="00A333DE"/>
    <w:rsid w:val="00A3405F"/>
    <w:rsid w:val="00A34594"/>
    <w:rsid w:val="00A3470F"/>
    <w:rsid w:val="00A37603"/>
    <w:rsid w:val="00A37932"/>
    <w:rsid w:val="00A4015F"/>
    <w:rsid w:val="00A40A66"/>
    <w:rsid w:val="00A4311E"/>
    <w:rsid w:val="00A4322A"/>
    <w:rsid w:val="00A436F0"/>
    <w:rsid w:val="00A43BC8"/>
    <w:rsid w:val="00A44561"/>
    <w:rsid w:val="00A44A3B"/>
    <w:rsid w:val="00A44D4E"/>
    <w:rsid w:val="00A46C9F"/>
    <w:rsid w:val="00A47133"/>
    <w:rsid w:val="00A474AE"/>
    <w:rsid w:val="00A500E4"/>
    <w:rsid w:val="00A50889"/>
    <w:rsid w:val="00A50A0F"/>
    <w:rsid w:val="00A5239F"/>
    <w:rsid w:val="00A534D4"/>
    <w:rsid w:val="00A57C02"/>
    <w:rsid w:val="00A60EAF"/>
    <w:rsid w:val="00A60F1F"/>
    <w:rsid w:val="00A60F68"/>
    <w:rsid w:val="00A624BD"/>
    <w:rsid w:val="00A638BE"/>
    <w:rsid w:val="00A64880"/>
    <w:rsid w:val="00A649E1"/>
    <w:rsid w:val="00A66153"/>
    <w:rsid w:val="00A66583"/>
    <w:rsid w:val="00A677FE"/>
    <w:rsid w:val="00A67A94"/>
    <w:rsid w:val="00A67D30"/>
    <w:rsid w:val="00A700B9"/>
    <w:rsid w:val="00A720A7"/>
    <w:rsid w:val="00A747C0"/>
    <w:rsid w:val="00A75174"/>
    <w:rsid w:val="00A76267"/>
    <w:rsid w:val="00A77FDB"/>
    <w:rsid w:val="00A82217"/>
    <w:rsid w:val="00A82D7E"/>
    <w:rsid w:val="00A82F2F"/>
    <w:rsid w:val="00A8395B"/>
    <w:rsid w:val="00A842BD"/>
    <w:rsid w:val="00A8597F"/>
    <w:rsid w:val="00A85A20"/>
    <w:rsid w:val="00A85F59"/>
    <w:rsid w:val="00A91701"/>
    <w:rsid w:val="00A91C16"/>
    <w:rsid w:val="00A92716"/>
    <w:rsid w:val="00A928BB"/>
    <w:rsid w:val="00A934CA"/>
    <w:rsid w:val="00A936E9"/>
    <w:rsid w:val="00A94DC0"/>
    <w:rsid w:val="00A9627F"/>
    <w:rsid w:val="00A963BE"/>
    <w:rsid w:val="00AA1088"/>
    <w:rsid w:val="00AA1419"/>
    <w:rsid w:val="00AA3D91"/>
    <w:rsid w:val="00AA779B"/>
    <w:rsid w:val="00AA79D4"/>
    <w:rsid w:val="00AB10CB"/>
    <w:rsid w:val="00AB2D6C"/>
    <w:rsid w:val="00AB2EAF"/>
    <w:rsid w:val="00AB30A8"/>
    <w:rsid w:val="00AC0AE7"/>
    <w:rsid w:val="00AC0F0C"/>
    <w:rsid w:val="00AC1EE3"/>
    <w:rsid w:val="00AC28BD"/>
    <w:rsid w:val="00AC2E3C"/>
    <w:rsid w:val="00AC2E9F"/>
    <w:rsid w:val="00AC3D92"/>
    <w:rsid w:val="00AC3E54"/>
    <w:rsid w:val="00AC45D5"/>
    <w:rsid w:val="00AC481A"/>
    <w:rsid w:val="00AC5015"/>
    <w:rsid w:val="00AC6AAA"/>
    <w:rsid w:val="00AC7C33"/>
    <w:rsid w:val="00AD0196"/>
    <w:rsid w:val="00AD0431"/>
    <w:rsid w:val="00AD1705"/>
    <w:rsid w:val="00AD1A3B"/>
    <w:rsid w:val="00AD1CEE"/>
    <w:rsid w:val="00AD2DE3"/>
    <w:rsid w:val="00AD32C5"/>
    <w:rsid w:val="00AD3B75"/>
    <w:rsid w:val="00AD3E13"/>
    <w:rsid w:val="00AD5454"/>
    <w:rsid w:val="00AD5A59"/>
    <w:rsid w:val="00AD76BF"/>
    <w:rsid w:val="00AE0825"/>
    <w:rsid w:val="00AE1688"/>
    <w:rsid w:val="00AE1BAA"/>
    <w:rsid w:val="00AE2A07"/>
    <w:rsid w:val="00AE2A33"/>
    <w:rsid w:val="00AE42BC"/>
    <w:rsid w:val="00AE47FF"/>
    <w:rsid w:val="00AE48AD"/>
    <w:rsid w:val="00AE49CD"/>
    <w:rsid w:val="00AE4C39"/>
    <w:rsid w:val="00AE50F5"/>
    <w:rsid w:val="00AE53C5"/>
    <w:rsid w:val="00AE5A04"/>
    <w:rsid w:val="00AE5E6A"/>
    <w:rsid w:val="00AE63BC"/>
    <w:rsid w:val="00AE6FEC"/>
    <w:rsid w:val="00AF13CC"/>
    <w:rsid w:val="00AF2BF1"/>
    <w:rsid w:val="00AF381A"/>
    <w:rsid w:val="00AF5E35"/>
    <w:rsid w:val="00B00083"/>
    <w:rsid w:val="00B006FA"/>
    <w:rsid w:val="00B020F3"/>
    <w:rsid w:val="00B026AC"/>
    <w:rsid w:val="00B04029"/>
    <w:rsid w:val="00B055BF"/>
    <w:rsid w:val="00B05AC3"/>
    <w:rsid w:val="00B05B83"/>
    <w:rsid w:val="00B05D38"/>
    <w:rsid w:val="00B07208"/>
    <w:rsid w:val="00B112C4"/>
    <w:rsid w:val="00B11C87"/>
    <w:rsid w:val="00B12EF1"/>
    <w:rsid w:val="00B136B2"/>
    <w:rsid w:val="00B13BBF"/>
    <w:rsid w:val="00B13EE1"/>
    <w:rsid w:val="00B13F54"/>
    <w:rsid w:val="00B144C9"/>
    <w:rsid w:val="00B145E6"/>
    <w:rsid w:val="00B14EF2"/>
    <w:rsid w:val="00B1557E"/>
    <w:rsid w:val="00B17069"/>
    <w:rsid w:val="00B173A8"/>
    <w:rsid w:val="00B209B4"/>
    <w:rsid w:val="00B22496"/>
    <w:rsid w:val="00B22AA6"/>
    <w:rsid w:val="00B2327A"/>
    <w:rsid w:val="00B242F3"/>
    <w:rsid w:val="00B253DC"/>
    <w:rsid w:val="00B25821"/>
    <w:rsid w:val="00B263E7"/>
    <w:rsid w:val="00B2767A"/>
    <w:rsid w:val="00B27F5E"/>
    <w:rsid w:val="00B30B43"/>
    <w:rsid w:val="00B316E6"/>
    <w:rsid w:val="00B317CA"/>
    <w:rsid w:val="00B31E1D"/>
    <w:rsid w:val="00B3242B"/>
    <w:rsid w:val="00B33662"/>
    <w:rsid w:val="00B3390F"/>
    <w:rsid w:val="00B33F82"/>
    <w:rsid w:val="00B34CA8"/>
    <w:rsid w:val="00B362DF"/>
    <w:rsid w:val="00B367E2"/>
    <w:rsid w:val="00B377AB"/>
    <w:rsid w:val="00B4073A"/>
    <w:rsid w:val="00B40FAE"/>
    <w:rsid w:val="00B41193"/>
    <w:rsid w:val="00B416C8"/>
    <w:rsid w:val="00B44226"/>
    <w:rsid w:val="00B442B7"/>
    <w:rsid w:val="00B44A52"/>
    <w:rsid w:val="00B47681"/>
    <w:rsid w:val="00B47C7B"/>
    <w:rsid w:val="00B50229"/>
    <w:rsid w:val="00B5087D"/>
    <w:rsid w:val="00B50F69"/>
    <w:rsid w:val="00B5119F"/>
    <w:rsid w:val="00B51412"/>
    <w:rsid w:val="00B51661"/>
    <w:rsid w:val="00B52607"/>
    <w:rsid w:val="00B52A34"/>
    <w:rsid w:val="00B52BF7"/>
    <w:rsid w:val="00B52C06"/>
    <w:rsid w:val="00B53B79"/>
    <w:rsid w:val="00B54A2F"/>
    <w:rsid w:val="00B55D3E"/>
    <w:rsid w:val="00B5621C"/>
    <w:rsid w:val="00B56D77"/>
    <w:rsid w:val="00B5747A"/>
    <w:rsid w:val="00B574F4"/>
    <w:rsid w:val="00B57E81"/>
    <w:rsid w:val="00B57ECA"/>
    <w:rsid w:val="00B6012A"/>
    <w:rsid w:val="00B62510"/>
    <w:rsid w:val="00B62804"/>
    <w:rsid w:val="00B6488D"/>
    <w:rsid w:val="00B64980"/>
    <w:rsid w:val="00B64D7A"/>
    <w:rsid w:val="00B6565B"/>
    <w:rsid w:val="00B65FF8"/>
    <w:rsid w:val="00B67E3E"/>
    <w:rsid w:val="00B71AEC"/>
    <w:rsid w:val="00B73497"/>
    <w:rsid w:val="00B74694"/>
    <w:rsid w:val="00B7497A"/>
    <w:rsid w:val="00B74A0C"/>
    <w:rsid w:val="00B75228"/>
    <w:rsid w:val="00B7532E"/>
    <w:rsid w:val="00B75DC5"/>
    <w:rsid w:val="00B7640A"/>
    <w:rsid w:val="00B765EF"/>
    <w:rsid w:val="00B76DD5"/>
    <w:rsid w:val="00B77052"/>
    <w:rsid w:val="00B802BA"/>
    <w:rsid w:val="00B8082B"/>
    <w:rsid w:val="00B80B0A"/>
    <w:rsid w:val="00B80C59"/>
    <w:rsid w:val="00B819F4"/>
    <w:rsid w:val="00B81FFD"/>
    <w:rsid w:val="00B82032"/>
    <w:rsid w:val="00B836DF"/>
    <w:rsid w:val="00B83746"/>
    <w:rsid w:val="00B8417C"/>
    <w:rsid w:val="00B85480"/>
    <w:rsid w:val="00B86429"/>
    <w:rsid w:val="00B866AB"/>
    <w:rsid w:val="00B86E09"/>
    <w:rsid w:val="00B90565"/>
    <w:rsid w:val="00B9071E"/>
    <w:rsid w:val="00B90CED"/>
    <w:rsid w:val="00B90E28"/>
    <w:rsid w:val="00B916A5"/>
    <w:rsid w:val="00B91905"/>
    <w:rsid w:val="00B924FE"/>
    <w:rsid w:val="00B927B9"/>
    <w:rsid w:val="00B94185"/>
    <w:rsid w:val="00B94233"/>
    <w:rsid w:val="00B9668B"/>
    <w:rsid w:val="00B96E99"/>
    <w:rsid w:val="00B972E8"/>
    <w:rsid w:val="00B97754"/>
    <w:rsid w:val="00BA0184"/>
    <w:rsid w:val="00BA2A40"/>
    <w:rsid w:val="00BA4525"/>
    <w:rsid w:val="00BA57D9"/>
    <w:rsid w:val="00BA5E82"/>
    <w:rsid w:val="00BA6660"/>
    <w:rsid w:val="00BA754E"/>
    <w:rsid w:val="00BB002A"/>
    <w:rsid w:val="00BB121D"/>
    <w:rsid w:val="00BB194F"/>
    <w:rsid w:val="00BB21E2"/>
    <w:rsid w:val="00BB2A94"/>
    <w:rsid w:val="00BB48D9"/>
    <w:rsid w:val="00BB5262"/>
    <w:rsid w:val="00BB5384"/>
    <w:rsid w:val="00BB5CFF"/>
    <w:rsid w:val="00BB69B3"/>
    <w:rsid w:val="00BC0622"/>
    <w:rsid w:val="00BC1F8D"/>
    <w:rsid w:val="00BC21CF"/>
    <w:rsid w:val="00BC220A"/>
    <w:rsid w:val="00BC265A"/>
    <w:rsid w:val="00BC2CD8"/>
    <w:rsid w:val="00BC2DB6"/>
    <w:rsid w:val="00BC3B6D"/>
    <w:rsid w:val="00BC4B6D"/>
    <w:rsid w:val="00BC6406"/>
    <w:rsid w:val="00BC7265"/>
    <w:rsid w:val="00BC752C"/>
    <w:rsid w:val="00BC7731"/>
    <w:rsid w:val="00BD0308"/>
    <w:rsid w:val="00BD089E"/>
    <w:rsid w:val="00BD0A1A"/>
    <w:rsid w:val="00BD2536"/>
    <w:rsid w:val="00BD5542"/>
    <w:rsid w:val="00BD5638"/>
    <w:rsid w:val="00BD7A45"/>
    <w:rsid w:val="00BE06F2"/>
    <w:rsid w:val="00BE11E1"/>
    <w:rsid w:val="00BE4224"/>
    <w:rsid w:val="00BE4A44"/>
    <w:rsid w:val="00BE5BFE"/>
    <w:rsid w:val="00BE6ADE"/>
    <w:rsid w:val="00BE6F90"/>
    <w:rsid w:val="00BF15B4"/>
    <w:rsid w:val="00BF187D"/>
    <w:rsid w:val="00BF31B3"/>
    <w:rsid w:val="00BF37FA"/>
    <w:rsid w:val="00BF43CE"/>
    <w:rsid w:val="00BF4F64"/>
    <w:rsid w:val="00BF5DBA"/>
    <w:rsid w:val="00BF73D9"/>
    <w:rsid w:val="00BF79D7"/>
    <w:rsid w:val="00C0094B"/>
    <w:rsid w:val="00C01132"/>
    <w:rsid w:val="00C01CB9"/>
    <w:rsid w:val="00C02C61"/>
    <w:rsid w:val="00C02DD1"/>
    <w:rsid w:val="00C031FA"/>
    <w:rsid w:val="00C03C9F"/>
    <w:rsid w:val="00C0401E"/>
    <w:rsid w:val="00C05A8C"/>
    <w:rsid w:val="00C05F65"/>
    <w:rsid w:val="00C079C7"/>
    <w:rsid w:val="00C11E1B"/>
    <w:rsid w:val="00C12C72"/>
    <w:rsid w:val="00C1369E"/>
    <w:rsid w:val="00C1372F"/>
    <w:rsid w:val="00C13DA1"/>
    <w:rsid w:val="00C14305"/>
    <w:rsid w:val="00C14DA6"/>
    <w:rsid w:val="00C15A25"/>
    <w:rsid w:val="00C16201"/>
    <w:rsid w:val="00C16D6C"/>
    <w:rsid w:val="00C20317"/>
    <w:rsid w:val="00C218B7"/>
    <w:rsid w:val="00C224BC"/>
    <w:rsid w:val="00C236E2"/>
    <w:rsid w:val="00C23C57"/>
    <w:rsid w:val="00C245D7"/>
    <w:rsid w:val="00C24D5C"/>
    <w:rsid w:val="00C2574B"/>
    <w:rsid w:val="00C26589"/>
    <w:rsid w:val="00C30F29"/>
    <w:rsid w:val="00C310F8"/>
    <w:rsid w:val="00C31445"/>
    <w:rsid w:val="00C31648"/>
    <w:rsid w:val="00C3239C"/>
    <w:rsid w:val="00C35C79"/>
    <w:rsid w:val="00C36C44"/>
    <w:rsid w:val="00C36F29"/>
    <w:rsid w:val="00C37087"/>
    <w:rsid w:val="00C400CE"/>
    <w:rsid w:val="00C407F3"/>
    <w:rsid w:val="00C40C24"/>
    <w:rsid w:val="00C417FD"/>
    <w:rsid w:val="00C419A2"/>
    <w:rsid w:val="00C44AFC"/>
    <w:rsid w:val="00C44E3A"/>
    <w:rsid w:val="00C45CC2"/>
    <w:rsid w:val="00C45EE5"/>
    <w:rsid w:val="00C515CA"/>
    <w:rsid w:val="00C51762"/>
    <w:rsid w:val="00C534AD"/>
    <w:rsid w:val="00C53676"/>
    <w:rsid w:val="00C53756"/>
    <w:rsid w:val="00C53E6A"/>
    <w:rsid w:val="00C542F3"/>
    <w:rsid w:val="00C548FD"/>
    <w:rsid w:val="00C54B98"/>
    <w:rsid w:val="00C55970"/>
    <w:rsid w:val="00C55B23"/>
    <w:rsid w:val="00C55F02"/>
    <w:rsid w:val="00C562D4"/>
    <w:rsid w:val="00C5649A"/>
    <w:rsid w:val="00C579B5"/>
    <w:rsid w:val="00C60A68"/>
    <w:rsid w:val="00C60E07"/>
    <w:rsid w:val="00C61DBA"/>
    <w:rsid w:val="00C623FA"/>
    <w:rsid w:val="00C627D9"/>
    <w:rsid w:val="00C634BE"/>
    <w:rsid w:val="00C63626"/>
    <w:rsid w:val="00C637F7"/>
    <w:rsid w:val="00C63A80"/>
    <w:rsid w:val="00C63AD3"/>
    <w:rsid w:val="00C64A3A"/>
    <w:rsid w:val="00C6532F"/>
    <w:rsid w:val="00C65382"/>
    <w:rsid w:val="00C65441"/>
    <w:rsid w:val="00C676A4"/>
    <w:rsid w:val="00C6783A"/>
    <w:rsid w:val="00C67F4F"/>
    <w:rsid w:val="00C707A6"/>
    <w:rsid w:val="00C70AA1"/>
    <w:rsid w:val="00C729FC"/>
    <w:rsid w:val="00C72C88"/>
    <w:rsid w:val="00C72E4D"/>
    <w:rsid w:val="00C741DF"/>
    <w:rsid w:val="00C77C4E"/>
    <w:rsid w:val="00C82962"/>
    <w:rsid w:val="00C835FB"/>
    <w:rsid w:val="00C844A4"/>
    <w:rsid w:val="00C859DA"/>
    <w:rsid w:val="00C86301"/>
    <w:rsid w:val="00C878D8"/>
    <w:rsid w:val="00C87C71"/>
    <w:rsid w:val="00C87DC7"/>
    <w:rsid w:val="00C9008B"/>
    <w:rsid w:val="00C90DB8"/>
    <w:rsid w:val="00C9142D"/>
    <w:rsid w:val="00C91BD2"/>
    <w:rsid w:val="00C95352"/>
    <w:rsid w:val="00C9686E"/>
    <w:rsid w:val="00C96FD4"/>
    <w:rsid w:val="00C9773A"/>
    <w:rsid w:val="00CA07C1"/>
    <w:rsid w:val="00CA16D3"/>
    <w:rsid w:val="00CA1B54"/>
    <w:rsid w:val="00CA2BB3"/>
    <w:rsid w:val="00CA31D5"/>
    <w:rsid w:val="00CA3E81"/>
    <w:rsid w:val="00CA4549"/>
    <w:rsid w:val="00CA5348"/>
    <w:rsid w:val="00CA6D72"/>
    <w:rsid w:val="00CA7053"/>
    <w:rsid w:val="00CA74CF"/>
    <w:rsid w:val="00CB0D83"/>
    <w:rsid w:val="00CB180D"/>
    <w:rsid w:val="00CB2397"/>
    <w:rsid w:val="00CB2400"/>
    <w:rsid w:val="00CB2F8D"/>
    <w:rsid w:val="00CB4100"/>
    <w:rsid w:val="00CB752E"/>
    <w:rsid w:val="00CB7B29"/>
    <w:rsid w:val="00CB7B2C"/>
    <w:rsid w:val="00CC1015"/>
    <w:rsid w:val="00CC1D1C"/>
    <w:rsid w:val="00CC2339"/>
    <w:rsid w:val="00CC2C4C"/>
    <w:rsid w:val="00CC2DDB"/>
    <w:rsid w:val="00CC3DD7"/>
    <w:rsid w:val="00CC4026"/>
    <w:rsid w:val="00CC4173"/>
    <w:rsid w:val="00CC423C"/>
    <w:rsid w:val="00CC44BD"/>
    <w:rsid w:val="00CC56FD"/>
    <w:rsid w:val="00CC63AD"/>
    <w:rsid w:val="00CC6867"/>
    <w:rsid w:val="00CC6D45"/>
    <w:rsid w:val="00CC709D"/>
    <w:rsid w:val="00CD26B3"/>
    <w:rsid w:val="00CD26D1"/>
    <w:rsid w:val="00CD26E6"/>
    <w:rsid w:val="00CD2DD4"/>
    <w:rsid w:val="00CD31EF"/>
    <w:rsid w:val="00CD3927"/>
    <w:rsid w:val="00CD3F15"/>
    <w:rsid w:val="00CD3F51"/>
    <w:rsid w:val="00CD4C65"/>
    <w:rsid w:val="00CD4EB4"/>
    <w:rsid w:val="00CD74C4"/>
    <w:rsid w:val="00CE06AB"/>
    <w:rsid w:val="00CE1563"/>
    <w:rsid w:val="00CE17EA"/>
    <w:rsid w:val="00CE18E9"/>
    <w:rsid w:val="00CE1F3B"/>
    <w:rsid w:val="00CE2C10"/>
    <w:rsid w:val="00CE3253"/>
    <w:rsid w:val="00CE4087"/>
    <w:rsid w:val="00CE47AD"/>
    <w:rsid w:val="00CE5376"/>
    <w:rsid w:val="00CE63F0"/>
    <w:rsid w:val="00CE6401"/>
    <w:rsid w:val="00CE6707"/>
    <w:rsid w:val="00CF0143"/>
    <w:rsid w:val="00CF031F"/>
    <w:rsid w:val="00CF0A14"/>
    <w:rsid w:val="00CF1A87"/>
    <w:rsid w:val="00CF2087"/>
    <w:rsid w:val="00CF21BB"/>
    <w:rsid w:val="00CF640C"/>
    <w:rsid w:val="00CF7CAA"/>
    <w:rsid w:val="00D006C7"/>
    <w:rsid w:val="00D00717"/>
    <w:rsid w:val="00D01B7B"/>
    <w:rsid w:val="00D01BA6"/>
    <w:rsid w:val="00D022FF"/>
    <w:rsid w:val="00D026A3"/>
    <w:rsid w:val="00D0272B"/>
    <w:rsid w:val="00D03BC7"/>
    <w:rsid w:val="00D04A63"/>
    <w:rsid w:val="00D051E0"/>
    <w:rsid w:val="00D05593"/>
    <w:rsid w:val="00D06A65"/>
    <w:rsid w:val="00D077A9"/>
    <w:rsid w:val="00D07A75"/>
    <w:rsid w:val="00D104B9"/>
    <w:rsid w:val="00D10542"/>
    <w:rsid w:val="00D10B37"/>
    <w:rsid w:val="00D10F4E"/>
    <w:rsid w:val="00D11D87"/>
    <w:rsid w:val="00D12115"/>
    <w:rsid w:val="00D123B1"/>
    <w:rsid w:val="00D147F5"/>
    <w:rsid w:val="00D14F1A"/>
    <w:rsid w:val="00D1504F"/>
    <w:rsid w:val="00D1507A"/>
    <w:rsid w:val="00D15CF2"/>
    <w:rsid w:val="00D16A42"/>
    <w:rsid w:val="00D16DF6"/>
    <w:rsid w:val="00D1716F"/>
    <w:rsid w:val="00D17603"/>
    <w:rsid w:val="00D202D4"/>
    <w:rsid w:val="00D2222A"/>
    <w:rsid w:val="00D22C59"/>
    <w:rsid w:val="00D2360F"/>
    <w:rsid w:val="00D24533"/>
    <w:rsid w:val="00D30789"/>
    <w:rsid w:val="00D30CF7"/>
    <w:rsid w:val="00D3191E"/>
    <w:rsid w:val="00D32661"/>
    <w:rsid w:val="00D33927"/>
    <w:rsid w:val="00D33C65"/>
    <w:rsid w:val="00D35092"/>
    <w:rsid w:val="00D3586C"/>
    <w:rsid w:val="00D35F71"/>
    <w:rsid w:val="00D379B3"/>
    <w:rsid w:val="00D37C67"/>
    <w:rsid w:val="00D417C2"/>
    <w:rsid w:val="00D45493"/>
    <w:rsid w:val="00D456B9"/>
    <w:rsid w:val="00D468EE"/>
    <w:rsid w:val="00D479BD"/>
    <w:rsid w:val="00D47EBE"/>
    <w:rsid w:val="00D50C19"/>
    <w:rsid w:val="00D50D32"/>
    <w:rsid w:val="00D51505"/>
    <w:rsid w:val="00D53123"/>
    <w:rsid w:val="00D53756"/>
    <w:rsid w:val="00D53B92"/>
    <w:rsid w:val="00D54066"/>
    <w:rsid w:val="00D549EF"/>
    <w:rsid w:val="00D550FE"/>
    <w:rsid w:val="00D55838"/>
    <w:rsid w:val="00D56FAE"/>
    <w:rsid w:val="00D57CC9"/>
    <w:rsid w:val="00D60132"/>
    <w:rsid w:val="00D60FEE"/>
    <w:rsid w:val="00D61355"/>
    <w:rsid w:val="00D629F6"/>
    <w:rsid w:val="00D642BC"/>
    <w:rsid w:val="00D655C1"/>
    <w:rsid w:val="00D65A11"/>
    <w:rsid w:val="00D66088"/>
    <w:rsid w:val="00D66224"/>
    <w:rsid w:val="00D667E6"/>
    <w:rsid w:val="00D70EF6"/>
    <w:rsid w:val="00D723AE"/>
    <w:rsid w:val="00D73947"/>
    <w:rsid w:val="00D75EA0"/>
    <w:rsid w:val="00D76FB2"/>
    <w:rsid w:val="00D80767"/>
    <w:rsid w:val="00D80965"/>
    <w:rsid w:val="00D81DCC"/>
    <w:rsid w:val="00D828AD"/>
    <w:rsid w:val="00D83094"/>
    <w:rsid w:val="00D83FBA"/>
    <w:rsid w:val="00D85F0E"/>
    <w:rsid w:val="00D86600"/>
    <w:rsid w:val="00D86CF2"/>
    <w:rsid w:val="00D91422"/>
    <w:rsid w:val="00D9192A"/>
    <w:rsid w:val="00D91D43"/>
    <w:rsid w:val="00D93035"/>
    <w:rsid w:val="00D94935"/>
    <w:rsid w:val="00D95DAE"/>
    <w:rsid w:val="00D9629C"/>
    <w:rsid w:val="00D96526"/>
    <w:rsid w:val="00D96D90"/>
    <w:rsid w:val="00D96E8B"/>
    <w:rsid w:val="00D970D2"/>
    <w:rsid w:val="00DA03D5"/>
    <w:rsid w:val="00DA3D80"/>
    <w:rsid w:val="00DA4C4E"/>
    <w:rsid w:val="00DA50CC"/>
    <w:rsid w:val="00DA572D"/>
    <w:rsid w:val="00DA58B6"/>
    <w:rsid w:val="00DA5A46"/>
    <w:rsid w:val="00DA6723"/>
    <w:rsid w:val="00DA7D94"/>
    <w:rsid w:val="00DA7F1D"/>
    <w:rsid w:val="00DB1DA5"/>
    <w:rsid w:val="00DB1F51"/>
    <w:rsid w:val="00DB1FB3"/>
    <w:rsid w:val="00DB291E"/>
    <w:rsid w:val="00DB2AA7"/>
    <w:rsid w:val="00DB3003"/>
    <w:rsid w:val="00DB45F4"/>
    <w:rsid w:val="00DB46DB"/>
    <w:rsid w:val="00DB5CE3"/>
    <w:rsid w:val="00DB6111"/>
    <w:rsid w:val="00DB645A"/>
    <w:rsid w:val="00DB69F3"/>
    <w:rsid w:val="00DB71EB"/>
    <w:rsid w:val="00DC006C"/>
    <w:rsid w:val="00DC32BA"/>
    <w:rsid w:val="00DC34E4"/>
    <w:rsid w:val="00DC3527"/>
    <w:rsid w:val="00DC3560"/>
    <w:rsid w:val="00DC3685"/>
    <w:rsid w:val="00DC4BB2"/>
    <w:rsid w:val="00DC5112"/>
    <w:rsid w:val="00DC6527"/>
    <w:rsid w:val="00DC67C3"/>
    <w:rsid w:val="00DC6D3A"/>
    <w:rsid w:val="00DC6F43"/>
    <w:rsid w:val="00DC733A"/>
    <w:rsid w:val="00DC737A"/>
    <w:rsid w:val="00DC7D4B"/>
    <w:rsid w:val="00DD0628"/>
    <w:rsid w:val="00DD1429"/>
    <w:rsid w:val="00DD2364"/>
    <w:rsid w:val="00DD2ADF"/>
    <w:rsid w:val="00DD2C31"/>
    <w:rsid w:val="00DD42D2"/>
    <w:rsid w:val="00DD5F89"/>
    <w:rsid w:val="00DD712E"/>
    <w:rsid w:val="00DE2166"/>
    <w:rsid w:val="00DE2393"/>
    <w:rsid w:val="00DE2697"/>
    <w:rsid w:val="00DE4C64"/>
    <w:rsid w:val="00DE6223"/>
    <w:rsid w:val="00DE6514"/>
    <w:rsid w:val="00DE718F"/>
    <w:rsid w:val="00DF07A7"/>
    <w:rsid w:val="00DF11DE"/>
    <w:rsid w:val="00DF1672"/>
    <w:rsid w:val="00DF2477"/>
    <w:rsid w:val="00DF2571"/>
    <w:rsid w:val="00DF3357"/>
    <w:rsid w:val="00DF3FB6"/>
    <w:rsid w:val="00DF5592"/>
    <w:rsid w:val="00DF59A2"/>
    <w:rsid w:val="00DF5BC8"/>
    <w:rsid w:val="00DF630D"/>
    <w:rsid w:val="00DF63D5"/>
    <w:rsid w:val="00DF7B8E"/>
    <w:rsid w:val="00E0088C"/>
    <w:rsid w:val="00E017E8"/>
    <w:rsid w:val="00E02B6F"/>
    <w:rsid w:val="00E04A56"/>
    <w:rsid w:val="00E04CA4"/>
    <w:rsid w:val="00E053E9"/>
    <w:rsid w:val="00E05476"/>
    <w:rsid w:val="00E060B0"/>
    <w:rsid w:val="00E06417"/>
    <w:rsid w:val="00E064BE"/>
    <w:rsid w:val="00E07986"/>
    <w:rsid w:val="00E07ACA"/>
    <w:rsid w:val="00E1003D"/>
    <w:rsid w:val="00E10294"/>
    <w:rsid w:val="00E102C1"/>
    <w:rsid w:val="00E11DC6"/>
    <w:rsid w:val="00E12023"/>
    <w:rsid w:val="00E12719"/>
    <w:rsid w:val="00E12DE1"/>
    <w:rsid w:val="00E14829"/>
    <w:rsid w:val="00E14EC1"/>
    <w:rsid w:val="00E15098"/>
    <w:rsid w:val="00E1610A"/>
    <w:rsid w:val="00E164ED"/>
    <w:rsid w:val="00E17367"/>
    <w:rsid w:val="00E17877"/>
    <w:rsid w:val="00E17DBA"/>
    <w:rsid w:val="00E20E65"/>
    <w:rsid w:val="00E21005"/>
    <w:rsid w:val="00E2115B"/>
    <w:rsid w:val="00E212EC"/>
    <w:rsid w:val="00E22BE5"/>
    <w:rsid w:val="00E24D95"/>
    <w:rsid w:val="00E24E75"/>
    <w:rsid w:val="00E24F91"/>
    <w:rsid w:val="00E25531"/>
    <w:rsid w:val="00E256B2"/>
    <w:rsid w:val="00E27B9A"/>
    <w:rsid w:val="00E27E79"/>
    <w:rsid w:val="00E301FF"/>
    <w:rsid w:val="00E32103"/>
    <w:rsid w:val="00E32B49"/>
    <w:rsid w:val="00E3303D"/>
    <w:rsid w:val="00E3362E"/>
    <w:rsid w:val="00E346DD"/>
    <w:rsid w:val="00E3505E"/>
    <w:rsid w:val="00E3774B"/>
    <w:rsid w:val="00E37774"/>
    <w:rsid w:val="00E377B6"/>
    <w:rsid w:val="00E37B47"/>
    <w:rsid w:val="00E402E8"/>
    <w:rsid w:val="00E4084D"/>
    <w:rsid w:val="00E40B9A"/>
    <w:rsid w:val="00E42A89"/>
    <w:rsid w:val="00E43B41"/>
    <w:rsid w:val="00E43ED8"/>
    <w:rsid w:val="00E450E5"/>
    <w:rsid w:val="00E453A6"/>
    <w:rsid w:val="00E47E25"/>
    <w:rsid w:val="00E50682"/>
    <w:rsid w:val="00E53AE1"/>
    <w:rsid w:val="00E53C63"/>
    <w:rsid w:val="00E53D03"/>
    <w:rsid w:val="00E5693C"/>
    <w:rsid w:val="00E578F3"/>
    <w:rsid w:val="00E62B39"/>
    <w:rsid w:val="00E6311E"/>
    <w:rsid w:val="00E631F6"/>
    <w:rsid w:val="00E65AAD"/>
    <w:rsid w:val="00E670A5"/>
    <w:rsid w:val="00E6763D"/>
    <w:rsid w:val="00E67FFC"/>
    <w:rsid w:val="00E71533"/>
    <w:rsid w:val="00E71F5C"/>
    <w:rsid w:val="00E71FF8"/>
    <w:rsid w:val="00E72D44"/>
    <w:rsid w:val="00E7455F"/>
    <w:rsid w:val="00E76A30"/>
    <w:rsid w:val="00E771E9"/>
    <w:rsid w:val="00E779A6"/>
    <w:rsid w:val="00E80A25"/>
    <w:rsid w:val="00E82303"/>
    <w:rsid w:val="00E83189"/>
    <w:rsid w:val="00E8329D"/>
    <w:rsid w:val="00E83301"/>
    <w:rsid w:val="00E83794"/>
    <w:rsid w:val="00E83A62"/>
    <w:rsid w:val="00E84E7A"/>
    <w:rsid w:val="00E85BAB"/>
    <w:rsid w:val="00E8616B"/>
    <w:rsid w:val="00E87061"/>
    <w:rsid w:val="00E87BB8"/>
    <w:rsid w:val="00E903CD"/>
    <w:rsid w:val="00E90FC7"/>
    <w:rsid w:val="00E93848"/>
    <w:rsid w:val="00E93E62"/>
    <w:rsid w:val="00E94AF2"/>
    <w:rsid w:val="00E95B52"/>
    <w:rsid w:val="00E96C60"/>
    <w:rsid w:val="00E973DC"/>
    <w:rsid w:val="00E97A03"/>
    <w:rsid w:val="00EA1555"/>
    <w:rsid w:val="00EA1E0A"/>
    <w:rsid w:val="00EA2430"/>
    <w:rsid w:val="00EA29EB"/>
    <w:rsid w:val="00EA2A8C"/>
    <w:rsid w:val="00EA49BD"/>
    <w:rsid w:val="00EA674D"/>
    <w:rsid w:val="00EA74B8"/>
    <w:rsid w:val="00EB01F2"/>
    <w:rsid w:val="00EB1063"/>
    <w:rsid w:val="00EB127D"/>
    <w:rsid w:val="00EB1885"/>
    <w:rsid w:val="00EB336F"/>
    <w:rsid w:val="00EB3541"/>
    <w:rsid w:val="00EB50DF"/>
    <w:rsid w:val="00EC0684"/>
    <w:rsid w:val="00EC06B6"/>
    <w:rsid w:val="00EC1545"/>
    <w:rsid w:val="00EC15A2"/>
    <w:rsid w:val="00EC1D21"/>
    <w:rsid w:val="00EC24C9"/>
    <w:rsid w:val="00EC28AA"/>
    <w:rsid w:val="00EC2F46"/>
    <w:rsid w:val="00EC3794"/>
    <w:rsid w:val="00EC3C49"/>
    <w:rsid w:val="00EC43FB"/>
    <w:rsid w:val="00EC462A"/>
    <w:rsid w:val="00EC4ECC"/>
    <w:rsid w:val="00EC55DF"/>
    <w:rsid w:val="00EC5606"/>
    <w:rsid w:val="00EC580F"/>
    <w:rsid w:val="00EC5A0B"/>
    <w:rsid w:val="00ED10FA"/>
    <w:rsid w:val="00ED2D12"/>
    <w:rsid w:val="00ED3A1E"/>
    <w:rsid w:val="00ED45E2"/>
    <w:rsid w:val="00EE0274"/>
    <w:rsid w:val="00EE0A97"/>
    <w:rsid w:val="00EE0A9B"/>
    <w:rsid w:val="00EE3A8D"/>
    <w:rsid w:val="00EE3DF9"/>
    <w:rsid w:val="00EE55ED"/>
    <w:rsid w:val="00EE5AF2"/>
    <w:rsid w:val="00EE641C"/>
    <w:rsid w:val="00EE65BE"/>
    <w:rsid w:val="00EE66AC"/>
    <w:rsid w:val="00EF01D9"/>
    <w:rsid w:val="00EF213E"/>
    <w:rsid w:val="00EF272A"/>
    <w:rsid w:val="00EF4915"/>
    <w:rsid w:val="00EF4FA6"/>
    <w:rsid w:val="00EF7A0F"/>
    <w:rsid w:val="00F005BC"/>
    <w:rsid w:val="00F00625"/>
    <w:rsid w:val="00F00B0D"/>
    <w:rsid w:val="00F01F53"/>
    <w:rsid w:val="00F025BC"/>
    <w:rsid w:val="00F02C9E"/>
    <w:rsid w:val="00F03441"/>
    <w:rsid w:val="00F0583E"/>
    <w:rsid w:val="00F07041"/>
    <w:rsid w:val="00F07049"/>
    <w:rsid w:val="00F074BE"/>
    <w:rsid w:val="00F078E7"/>
    <w:rsid w:val="00F07CC0"/>
    <w:rsid w:val="00F07F79"/>
    <w:rsid w:val="00F10766"/>
    <w:rsid w:val="00F11360"/>
    <w:rsid w:val="00F11872"/>
    <w:rsid w:val="00F11BEA"/>
    <w:rsid w:val="00F11FC3"/>
    <w:rsid w:val="00F125F9"/>
    <w:rsid w:val="00F12EF6"/>
    <w:rsid w:val="00F132BD"/>
    <w:rsid w:val="00F14D4A"/>
    <w:rsid w:val="00F179D9"/>
    <w:rsid w:val="00F20120"/>
    <w:rsid w:val="00F20F33"/>
    <w:rsid w:val="00F2158C"/>
    <w:rsid w:val="00F224F9"/>
    <w:rsid w:val="00F226DE"/>
    <w:rsid w:val="00F227B0"/>
    <w:rsid w:val="00F2283A"/>
    <w:rsid w:val="00F22DD8"/>
    <w:rsid w:val="00F237A6"/>
    <w:rsid w:val="00F23D31"/>
    <w:rsid w:val="00F265B7"/>
    <w:rsid w:val="00F27EAF"/>
    <w:rsid w:val="00F301D2"/>
    <w:rsid w:val="00F307E7"/>
    <w:rsid w:val="00F314F5"/>
    <w:rsid w:val="00F31CE0"/>
    <w:rsid w:val="00F31F26"/>
    <w:rsid w:val="00F322BA"/>
    <w:rsid w:val="00F3270B"/>
    <w:rsid w:val="00F32FDF"/>
    <w:rsid w:val="00F330B6"/>
    <w:rsid w:val="00F33883"/>
    <w:rsid w:val="00F34D40"/>
    <w:rsid w:val="00F35172"/>
    <w:rsid w:val="00F35AE2"/>
    <w:rsid w:val="00F3647C"/>
    <w:rsid w:val="00F37104"/>
    <w:rsid w:val="00F41C01"/>
    <w:rsid w:val="00F42CD7"/>
    <w:rsid w:val="00F43467"/>
    <w:rsid w:val="00F43BC5"/>
    <w:rsid w:val="00F44CFD"/>
    <w:rsid w:val="00F450B4"/>
    <w:rsid w:val="00F46366"/>
    <w:rsid w:val="00F46CDC"/>
    <w:rsid w:val="00F46D2E"/>
    <w:rsid w:val="00F4704E"/>
    <w:rsid w:val="00F471FE"/>
    <w:rsid w:val="00F473F1"/>
    <w:rsid w:val="00F47707"/>
    <w:rsid w:val="00F51379"/>
    <w:rsid w:val="00F5192D"/>
    <w:rsid w:val="00F51E3B"/>
    <w:rsid w:val="00F52645"/>
    <w:rsid w:val="00F52902"/>
    <w:rsid w:val="00F52FB9"/>
    <w:rsid w:val="00F53023"/>
    <w:rsid w:val="00F533B6"/>
    <w:rsid w:val="00F535B7"/>
    <w:rsid w:val="00F54833"/>
    <w:rsid w:val="00F56811"/>
    <w:rsid w:val="00F56EDD"/>
    <w:rsid w:val="00F57595"/>
    <w:rsid w:val="00F575A5"/>
    <w:rsid w:val="00F57694"/>
    <w:rsid w:val="00F57DC8"/>
    <w:rsid w:val="00F6070E"/>
    <w:rsid w:val="00F60E3F"/>
    <w:rsid w:val="00F6380E"/>
    <w:rsid w:val="00F639F0"/>
    <w:rsid w:val="00F64F10"/>
    <w:rsid w:val="00F6568C"/>
    <w:rsid w:val="00F6596C"/>
    <w:rsid w:val="00F6617B"/>
    <w:rsid w:val="00F6618B"/>
    <w:rsid w:val="00F6694E"/>
    <w:rsid w:val="00F66C07"/>
    <w:rsid w:val="00F66F43"/>
    <w:rsid w:val="00F706C2"/>
    <w:rsid w:val="00F720D4"/>
    <w:rsid w:val="00F744A2"/>
    <w:rsid w:val="00F77DCF"/>
    <w:rsid w:val="00F81D6C"/>
    <w:rsid w:val="00F837F4"/>
    <w:rsid w:val="00F83A67"/>
    <w:rsid w:val="00F86623"/>
    <w:rsid w:val="00F8671C"/>
    <w:rsid w:val="00F86BA9"/>
    <w:rsid w:val="00F86ECB"/>
    <w:rsid w:val="00F87741"/>
    <w:rsid w:val="00F90659"/>
    <w:rsid w:val="00F91972"/>
    <w:rsid w:val="00F919E3"/>
    <w:rsid w:val="00F91A79"/>
    <w:rsid w:val="00F92023"/>
    <w:rsid w:val="00F94C63"/>
    <w:rsid w:val="00F9700A"/>
    <w:rsid w:val="00F97015"/>
    <w:rsid w:val="00F971B4"/>
    <w:rsid w:val="00F97DA9"/>
    <w:rsid w:val="00FA09FA"/>
    <w:rsid w:val="00FA1211"/>
    <w:rsid w:val="00FA2034"/>
    <w:rsid w:val="00FA244D"/>
    <w:rsid w:val="00FA2DC1"/>
    <w:rsid w:val="00FA3025"/>
    <w:rsid w:val="00FA31D0"/>
    <w:rsid w:val="00FA47EB"/>
    <w:rsid w:val="00FA4BDF"/>
    <w:rsid w:val="00FA57B8"/>
    <w:rsid w:val="00FB169F"/>
    <w:rsid w:val="00FB1A05"/>
    <w:rsid w:val="00FB3260"/>
    <w:rsid w:val="00FB60FF"/>
    <w:rsid w:val="00FC0369"/>
    <w:rsid w:val="00FC38FC"/>
    <w:rsid w:val="00FC58CE"/>
    <w:rsid w:val="00FC6404"/>
    <w:rsid w:val="00FC6BED"/>
    <w:rsid w:val="00FD08C7"/>
    <w:rsid w:val="00FD0FFB"/>
    <w:rsid w:val="00FD15E5"/>
    <w:rsid w:val="00FD1E86"/>
    <w:rsid w:val="00FD2962"/>
    <w:rsid w:val="00FD3E9D"/>
    <w:rsid w:val="00FD45DF"/>
    <w:rsid w:val="00FD4621"/>
    <w:rsid w:val="00FD67C6"/>
    <w:rsid w:val="00FD769D"/>
    <w:rsid w:val="00FD7742"/>
    <w:rsid w:val="00FD7C49"/>
    <w:rsid w:val="00FD7F3D"/>
    <w:rsid w:val="00FE03E8"/>
    <w:rsid w:val="00FE04C9"/>
    <w:rsid w:val="00FE11BD"/>
    <w:rsid w:val="00FE17C2"/>
    <w:rsid w:val="00FE1B54"/>
    <w:rsid w:val="00FE2366"/>
    <w:rsid w:val="00FE330E"/>
    <w:rsid w:val="00FE49AE"/>
    <w:rsid w:val="00FE4B6E"/>
    <w:rsid w:val="00FE4E9D"/>
    <w:rsid w:val="00FE5756"/>
    <w:rsid w:val="00FE57DE"/>
    <w:rsid w:val="00FE6360"/>
    <w:rsid w:val="00FF0DD0"/>
    <w:rsid w:val="00FF156C"/>
    <w:rsid w:val="00FF2262"/>
    <w:rsid w:val="00FF41CB"/>
    <w:rsid w:val="00FF43F4"/>
    <w:rsid w:val="00FF58BA"/>
    <w:rsid w:val="00FF6032"/>
    <w:rsid w:val="00FF72D7"/>
    <w:rsid w:val="05A976F7"/>
    <w:rsid w:val="07E6F5EE"/>
    <w:rsid w:val="125AC4C3"/>
    <w:rsid w:val="1CB10A85"/>
    <w:rsid w:val="1CD94AFE"/>
    <w:rsid w:val="1D153D76"/>
    <w:rsid w:val="1FD26399"/>
    <w:rsid w:val="2846F99A"/>
    <w:rsid w:val="309123F0"/>
    <w:rsid w:val="31B3F78D"/>
    <w:rsid w:val="32E2364B"/>
    <w:rsid w:val="3C96584F"/>
    <w:rsid w:val="51761215"/>
    <w:rsid w:val="5B0B71E2"/>
    <w:rsid w:val="68A8115A"/>
    <w:rsid w:val="6D9AEF6F"/>
    <w:rsid w:val="6F0CFDB1"/>
    <w:rsid w:val="76DD7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B867F"/>
  <w15:chartTrackingRefBased/>
  <w15:docId w15:val="{B6AA90E0-5BF6-417F-80AD-27B3C932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36B2"/>
    <w:pPr>
      <w:widowControl w:val="0"/>
    </w:pPr>
    <w:rPr>
      <w:snapToGrid w:val="0"/>
      <w:sz w:val="24"/>
    </w:rPr>
  </w:style>
  <w:style w:type="paragraph" w:styleId="Heading1">
    <w:name w:val="heading 1"/>
    <w:basedOn w:val="Normal"/>
    <w:next w:val="Normal"/>
    <w:qFormat/>
    <w:rsid w:val="00DC67C3"/>
    <w:pPr>
      <w:tabs>
        <w:tab w:val="left" w:pos="-720"/>
      </w:tabs>
      <w:suppressAutoHyphens/>
      <w:outlineLvl w:val="0"/>
    </w:pPr>
    <w:rPr>
      <w:b/>
    </w:rPr>
  </w:style>
  <w:style w:type="paragraph" w:styleId="Heading2">
    <w:name w:val="heading 2"/>
    <w:basedOn w:val="BodyTextIndent3"/>
    <w:next w:val="Normal"/>
    <w:qFormat/>
    <w:rsid w:val="0080117A"/>
    <w:pPr>
      <w:spacing w:line="240" w:lineRule="auto"/>
      <w:ind w:left="0" w:firstLine="0"/>
      <w:outlineLvl w:val="1"/>
    </w:pPr>
  </w:style>
  <w:style w:type="paragraph" w:styleId="Heading3">
    <w:name w:val="heading 3"/>
    <w:basedOn w:val="BodyTextIndent3"/>
    <w:next w:val="Normal"/>
    <w:link w:val="Heading3Char"/>
    <w:unhideWhenUsed/>
    <w:qFormat/>
    <w:rsid w:val="00B136B2"/>
    <w:pPr>
      <w:numPr>
        <w:numId w:val="2"/>
      </w:numPr>
      <w:tabs>
        <w:tab w:val="clear" w:pos="0"/>
        <w:tab w:val="left" w:pos="720"/>
      </w:tabs>
      <w:spacing w:line="240" w:lineRule="auto"/>
      <w:ind w:left="720"/>
      <w:outlineLvl w:val="2"/>
    </w:pPr>
  </w:style>
  <w:style w:type="paragraph" w:styleId="Heading6">
    <w:name w:val="heading 6"/>
    <w:basedOn w:val="Normal"/>
    <w:next w:val="Normal"/>
    <w:link w:val="Heading6Char"/>
    <w:semiHidden/>
    <w:unhideWhenUsed/>
    <w:qFormat/>
    <w:rsid w:val="0086289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left" w:pos="-720"/>
      </w:tabs>
      <w:suppressAutoHyphens/>
    </w:pPr>
    <w:rPr>
      <w:sz w:val="20"/>
    </w:rPr>
  </w:style>
  <w:style w:type="paragraph" w:styleId="BodyText2">
    <w:name w:val="Body Text 2"/>
    <w:basedOn w:val="Normal"/>
    <w:pPr>
      <w:tabs>
        <w:tab w:val="left" w:pos="-720"/>
      </w:tabs>
      <w:suppressAutoHyphens/>
    </w:pPr>
    <w:rPr>
      <w:b/>
      <w:sz w:val="20"/>
    </w:rPr>
  </w:style>
  <w:style w:type="paragraph" w:styleId="BodyTextIndent">
    <w:name w:val="Body Text Indent"/>
    <w:basedOn w:val="Normal"/>
    <w:pPr>
      <w:tabs>
        <w:tab w:val="left" w:pos="-720"/>
      </w:tabs>
      <w:suppressAutoHyphens/>
      <w:ind w:left="720" w:hanging="720"/>
    </w:pPr>
    <w:rPr>
      <w:sz w:val="20"/>
    </w:rPr>
  </w:style>
  <w:style w:type="paragraph" w:styleId="BodyTextIndent2">
    <w:name w:val="Body Text Indent 2"/>
    <w:basedOn w:val="Normal"/>
    <w:pPr>
      <w:tabs>
        <w:tab w:val="left" w:pos="-720"/>
      </w:tabs>
      <w:suppressAutoHyphens/>
      <w:ind w:left="2160" w:hanging="2160"/>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spacing w:line="480" w:lineRule="auto"/>
      <w:ind w:left="720" w:hanging="720"/>
    </w:pPr>
    <w:rPr>
      <w:b/>
    </w:rPr>
  </w:style>
  <w:style w:type="paragraph" w:styleId="BodyText3">
    <w:name w:val="Body Text 3"/>
    <w:basedOn w:val="Normal"/>
    <w:pPr>
      <w:tabs>
        <w:tab w:val="left" w:pos="-720"/>
      </w:tabs>
      <w:suppressAutoHyphens/>
      <w:spacing w:line="480" w:lineRule="auto"/>
    </w:pPr>
    <w:rPr>
      <w:b/>
    </w:rPr>
  </w:style>
  <w:style w:type="paragraph" w:styleId="Header">
    <w:name w:val="header"/>
    <w:basedOn w:val="Normal"/>
    <w:pPr>
      <w:tabs>
        <w:tab w:val="center" w:pos="4320"/>
        <w:tab w:val="right" w:pos="8640"/>
      </w:tabs>
    </w:pPr>
  </w:style>
  <w:style w:type="character" w:styleId="Hyperlink">
    <w:name w:val="Hyperlink"/>
    <w:uiPriority w:val="99"/>
    <w:rsid w:val="00082611"/>
    <w:rPr>
      <w:color w:val="0000FF"/>
      <w:u w:val="single"/>
    </w:rPr>
  </w:style>
  <w:style w:type="character" w:styleId="FollowedHyperlink">
    <w:name w:val="FollowedHyperlink"/>
    <w:rsid w:val="002A131C"/>
    <w:rPr>
      <w:color w:val="800080"/>
      <w:u w:val="single"/>
    </w:rPr>
  </w:style>
  <w:style w:type="paragraph" w:customStyle="1" w:styleId="ColorfulList-Accent11">
    <w:name w:val="Colorful List - Accent 11"/>
    <w:basedOn w:val="Normal"/>
    <w:uiPriority w:val="34"/>
    <w:qFormat/>
    <w:rsid w:val="00967905"/>
    <w:pPr>
      <w:ind w:left="720"/>
      <w:contextualSpacing/>
    </w:pPr>
  </w:style>
  <w:style w:type="character" w:styleId="CommentReference">
    <w:name w:val="annotation reference"/>
    <w:uiPriority w:val="99"/>
    <w:rsid w:val="00257FEE"/>
    <w:rPr>
      <w:sz w:val="16"/>
      <w:szCs w:val="16"/>
    </w:rPr>
  </w:style>
  <w:style w:type="paragraph" w:styleId="CommentText">
    <w:name w:val="annotation text"/>
    <w:basedOn w:val="Normal"/>
    <w:link w:val="CommentTextChar"/>
    <w:rsid w:val="00257FEE"/>
    <w:rPr>
      <w:sz w:val="20"/>
    </w:rPr>
  </w:style>
  <w:style w:type="character" w:customStyle="1" w:styleId="CommentTextChar">
    <w:name w:val="Comment Text Char"/>
    <w:link w:val="CommentText"/>
    <w:rsid w:val="00257FEE"/>
    <w:rPr>
      <w:snapToGrid w:val="0"/>
    </w:rPr>
  </w:style>
  <w:style w:type="paragraph" w:styleId="CommentSubject">
    <w:name w:val="annotation subject"/>
    <w:basedOn w:val="CommentText"/>
    <w:next w:val="CommentText"/>
    <w:link w:val="CommentSubjectChar"/>
    <w:rsid w:val="00257FEE"/>
    <w:rPr>
      <w:b/>
      <w:bCs/>
    </w:rPr>
  </w:style>
  <w:style w:type="character" w:customStyle="1" w:styleId="CommentSubjectChar">
    <w:name w:val="Comment Subject Char"/>
    <w:link w:val="CommentSubject"/>
    <w:rsid w:val="00257FEE"/>
    <w:rPr>
      <w:b/>
      <w:bCs/>
      <w:snapToGrid w:val="0"/>
    </w:rPr>
  </w:style>
  <w:style w:type="paragraph" w:styleId="BalloonText">
    <w:name w:val="Balloon Text"/>
    <w:basedOn w:val="Normal"/>
    <w:link w:val="BalloonTextChar"/>
    <w:rsid w:val="00257FEE"/>
    <w:rPr>
      <w:rFonts w:ascii="Tahoma" w:hAnsi="Tahoma" w:cs="Tahoma"/>
      <w:sz w:val="16"/>
      <w:szCs w:val="16"/>
    </w:rPr>
  </w:style>
  <w:style w:type="character" w:customStyle="1" w:styleId="BalloonTextChar">
    <w:name w:val="Balloon Text Char"/>
    <w:link w:val="BalloonText"/>
    <w:rsid w:val="00257FEE"/>
    <w:rPr>
      <w:rFonts w:ascii="Tahoma" w:hAnsi="Tahoma" w:cs="Tahoma"/>
      <w:snapToGrid w:val="0"/>
      <w:sz w:val="16"/>
      <w:szCs w:val="16"/>
    </w:rPr>
  </w:style>
  <w:style w:type="paragraph" w:customStyle="1" w:styleId="Default">
    <w:name w:val="Default"/>
    <w:rsid w:val="005E3D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646E"/>
    <w:rPr>
      <w:snapToGrid w:val="0"/>
      <w:sz w:val="24"/>
    </w:rPr>
  </w:style>
  <w:style w:type="table" w:styleId="TableGrid">
    <w:name w:val="Table Grid"/>
    <w:basedOn w:val="TableNormal"/>
    <w:uiPriority w:val="59"/>
    <w:rsid w:val="007451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0F"/>
    <w:pPr>
      <w:ind w:left="720"/>
    </w:pPr>
  </w:style>
  <w:style w:type="character" w:styleId="UnresolvedMention">
    <w:name w:val="Unresolved Mention"/>
    <w:uiPriority w:val="99"/>
    <w:semiHidden/>
    <w:unhideWhenUsed/>
    <w:rsid w:val="000F256C"/>
    <w:rPr>
      <w:color w:val="605E5C"/>
      <w:shd w:val="clear" w:color="auto" w:fill="E1DFDD"/>
    </w:rPr>
  </w:style>
  <w:style w:type="character" w:customStyle="1" w:styleId="FootnoteTextChar">
    <w:name w:val="Footnote Text Char"/>
    <w:link w:val="FootnoteText"/>
    <w:uiPriority w:val="99"/>
    <w:rsid w:val="00675D17"/>
    <w:rPr>
      <w:snapToGrid w:val="0"/>
      <w:sz w:val="24"/>
    </w:rPr>
  </w:style>
  <w:style w:type="character" w:customStyle="1" w:styleId="normaltextrun">
    <w:name w:val="normaltextrun"/>
    <w:basedOn w:val="DefaultParagraphFont"/>
    <w:rsid w:val="00843460"/>
  </w:style>
  <w:style w:type="character" w:customStyle="1" w:styleId="eop">
    <w:name w:val="eop"/>
    <w:basedOn w:val="DefaultParagraphFont"/>
    <w:rsid w:val="00843460"/>
  </w:style>
  <w:style w:type="character" w:customStyle="1" w:styleId="BodyTextChar">
    <w:name w:val="Body Text Char"/>
    <w:basedOn w:val="DefaultParagraphFont"/>
    <w:link w:val="BodyText"/>
    <w:rsid w:val="00EC462A"/>
    <w:rPr>
      <w:snapToGrid w:val="0"/>
    </w:rPr>
  </w:style>
  <w:style w:type="character" w:customStyle="1" w:styleId="Heading6Char">
    <w:name w:val="Heading 6 Char"/>
    <w:basedOn w:val="DefaultParagraphFont"/>
    <w:link w:val="Heading6"/>
    <w:semiHidden/>
    <w:rsid w:val="00862890"/>
    <w:rPr>
      <w:rFonts w:asciiTheme="majorHAnsi" w:eastAsiaTheme="majorEastAsia" w:hAnsiTheme="majorHAnsi" w:cstheme="majorBidi"/>
      <w:snapToGrid w:val="0"/>
      <w:color w:val="1F3763" w:themeColor="accent1" w:themeShade="7F"/>
      <w:sz w:val="24"/>
    </w:rPr>
  </w:style>
  <w:style w:type="paragraph" w:customStyle="1" w:styleId="indent-1">
    <w:name w:val="indent-1"/>
    <w:basedOn w:val="Normal"/>
    <w:rsid w:val="00862890"/>
    <w:pPr>
      <w:widowControl/>
      <w:spacing w:before="100" w:beforeAutospacing="1" w:after="100" w:afterAutospacing="1"/>
    </w:pPr>
    <w:rPr>
      <w:snapToGrid/>
      <w:szCs w:val="24"/>
    </w:rPr>
  </w:style>
  <w:style w:type="character" w:customStyle="1" w:styleId="paragraph-hierarchy">
    <w:name w:val="paragraph-hierarchy"/>
    <w:basedOn w:val="DefaultParagraphFont"/>
    <w:rsid w:val="00862890"/>
  </w:style>
  <w:style w:type="character" w:customStyle="1" w:styleId="paren">
    <w:name w:val="paren"/>
    <w:basedOn w:val="DefaultParagraphFont"/>
    <w:rsid w:val="00862890"/>
  </w:style>
  <w:style w:type="paragraph" w:customStyle="1" w:styleId="indent-2">
    <w:name w:val="indent-2"/>
    <w:basedOn w:val="Normal"/>
    <w:rsid w:val="00862890"/>
    <w:pPr>
      <w:widowControl/>
      <w:spacing w:before="100" w:beforeAutospacing="1" w:after="100" w:afterAutospacing="1"/>
    </w:pPr>
    <w:rPr>
      <w:snapToGrid/>
      <w:szCs w:val="24"/>
    </w:rPr>
  </w:style>
  <w:style w:type="paragraph" w:customStyle="1" w:styleId="indent-3">
    <w:name w:val="indent-3"/>
    <w:basedOn w:val="Normal"/>
    <w:rsid w:val="00862890"/>
    <w:pPr>
      <w:widowControl/>
      <w:spacing w:before="100" w:beforeAutospacing="1" w:after="100" w:afterAutospacing="1"/>
    </w:pPr>
    <w:rPr>
      <w:snapToGrid/>
      <w:szCs w:val="24"/>
    </w:rPr>
  </w:style>
  <w:style w:type="character" w:customStyle="1" w:styleId="ui-provider">
    <w:name w:val="ui-provider"/>
    <w:basedOn w:val="DefaultParagraphFont"/>
    <w:rsid w:val="00D56FAE"/>
  </w:style>
  <w:style w:type="character" w:styleId="Emphasis">
    <w:name w:val="Emphasis"/>
    <w:basedOn w:val="DefaultParagraphFont"/>
    <w:uiPriority w:val="20"/>
    <w:qFormat/>
    <w:rsid w:val="00265E70"/>
    <w:rPr>
      <w:i/>
      <w:iCs/>
    </w:rPr>
  </w:style>
  <w:style w:type="character" w:customStyle="1" w:styleId="Heading3Char">
    <w:name w:val="Heading 3 Char"/>
    <w:basedOn w:val="DefaultParagraphFont"/>
    <w:link w:val="Heading3"/>
    <w:rsid w:val="00B136B2"/>
    <w:rPr>
      <w:b/>
      <w:snapToGrid w:val="0"/>
      <w:sz w:val="24"/>
    </w:rPr>
  </w:style>
  <w:style w:type="character" w:styleId="Mention">
    <w:name w:val="Mention"/>
    <w:basedOn w:val="DefaultParagraphFont"/>
    <w:uiPriority w:val="99"/>
    <w:unhideWhenUsed/>
    <w:rsid w:val="00430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uscode.house.gov/view.xhtml?req=granuleid%3AUSC-prelim-title7-chapter94&amp;saved=%7CZ3JhbnVsZWlkOlVTQy1wcmVsaW0tdGl0bGU3LWNoYXB0ZXI5NC1mcm9udA%3D%3D%7C%7C%7C0%7Cfalse%7Cprelim&amp;edition=prelim" TargetMode="External" /><Relationship Id="rId12" Type="http://schemas.openxmlformats.org/officeDocument/2006/relationships/hyperlink" Target="https://uscode.house.gov/view.xhtml?req=(title:7%20section:6501%20edition:prelim)%20OR%20(granuleid:USC-prelim-title7-section6501)&amp;f=treesort&amp;edition=prelim&amp;num=0&amp;jumpTo=true" TargetMode="External" /><Relationship Id="rId13" Type="http://schemas.openxmlformats.org/officeDocument/2006/relationships/hyperlink" Target="https://www.federalregister.gov/d/2022-06957" TargetMode="External" /><Relationship Id="rId14" Type="http://schemas.openxmlformats.org/officeDocument/2006/relationships/hyperlink" Target="https://www.ecfr.gov/current/title-7/subtitle-B/chapter-I/subchapter-M/part-205" TargetMode="External" /><Relationship Id="rId15" Type="http://schemas.openxmlformats.org/officeDocument/2006/relationships/hyperlink" Target="https://www.ecfr.gov/current/title-7/part-205" TargetMode="External" /><Relationship Id="rId16" Type="http://schemas.openxmlformats.org/officeDocument/2006/relationships/hyperlink" Target="https://www.ecfr.gov/current/title-7/section-205.236" TargetMode="External" /><Relationship Id="rId17" Type="http://schemas.openxmlformats.org/officeDocument/2006/relationships/hyperlink" Target="https://www.ecfr.gov/current/title-13/part-121" TargetMode="External" /><Relationship Id="rId18" Type="http://schemas.openxmlformats.org/officeDocument/2006/relationships/hyperlink" Target="https://www.federalregister.gov/d/2022-06957/p-147" TargetMode="External" /><Relationship Id="rId19" Type="http://schemas.openxmlformats.org/officeDocument/2006/relationships/hyperlink" Target="https://www.ecfr.gov/current/title-13/section-121.201" TargetMode="External" /><Relationship Id="rId2" Type="http://schemas.openxmlformats.org/officeDocument/2006/relationships/endnotes" Target="endnotes.xml" /><Relationship Id="rId20" Type="http://schemas.openxmlformats.org/officeDocument/2006/relationships/hyperlink" Target="https://www.ecfr.gov/current/title-7/part-205/subpart-F" TargetMode="External" /><Relationship Id="rId21" Type="http://schemas.openxmlformats.org/officeDocument/2006/relationships/hyperlink" Target="https://www.federalregister.gov/d/2023-06885" TargetMode="External" /><Relationship Id="rId22" Type="http://schemas.openxmlformats.org/officeDocument/2006/relationships/hyperlink" Target="https://www.regulations.gov/docket/AMS-NOP-22-0055/comments" TargetMode="External" /><Relationship Id="rId23" Type="http://schemas.openxmlformats.org/officeDocument/2006/relationships/hyperlink" Target="https://www.ams.usda.gov/about-ams/programs-offices/national-organic-program" TargetMode="External" /><Relationship Id="rId24" Type="http://schemas.openxmlformats.org/officeDocument/2006/relationships/hyperlink" Target="https://www.ams.usda.gov/services/organic-certification/training" TargetMode="External" /><Relationship Id="rId25" Type="http://schemas.openxmlformats.org/officeDocument/2006/relationships/hyperlink" Target="https://www.ams.usda.gov/reports/organic-insider" TargetMode="External" /><Relationship Id="rId26" Type="http://schemas.openxmlformats.org/officeDocument/2006/relationships/hyperlink" Target="https://public.govdelivery.com/accounts/GOVENGAGE/subscriber/new" TargetMode="External" /><Relationship Id="rId27" Type="http://schemas.openxmlformats.org/officeDocument/2006/relationships/hyperlink" Target="https://content.govdelivery.com/accounts/USDAAMS/bulletins/357167c" TargetMode="Externa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83CB14BAFB7479AD2D1CBB069F90C" ma:contentTypeVersion="3" ma:contentTypeDescription="Create a new document." ma:contentTypeScope="" ma:versionID="d4041b19146a86a127a1831863f24829">
  <xsd:schema xmlns:xsd="http://www.w3.org/2001/XMLSchema" xmlns:xs="http://www.w3.org/2001/XMLSchema" xmlns:p="http://schemas.microsoft.com/office/2006/metadata/properties" xmlns:ns2="aa16a7f6-ad7c-47b6-99e8-107db7961b82" xmlns:ns3="a04419eb-7f90-4092-a6f1-7c0553266d52" targetNamespace="http://schemas.microsoft.com/office/2006/metadata/properties" ma:root="true" ma:fieldsID="f8a167f25e28a763254c7b51843956d8" ns2:_="" ns3:_="">
    <xsd:import namespace="aa16a7f6-ad7c-47b6-99e8-107db7961b82"/>
    <xsd:import namespace="a04419eb-7f90-4092-a6f1-7c0553266d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4419eb-7f90-4092-a6f1-7c0553266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THTAUHCSY2F2-1636586870-793</_dlc_DocId>
    <_dlc_DocIdUrl xmlns="aa16a7f6-ad7c-47b6-99e8-107db7961b82">
      <Url>https://usdagcc.sharepoint.com/sites/ams/AMS-NOP/standards/_layouts/15/DocIdRedir.aspx?ID=THTAUHCSY2F2-1636586870-793</Url>
      <Description>THTAUHCSY2F2-1636586870-793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E199FE-9765-4CC0-ADA3-3F955D39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a04419eb-7f90-4092-a6f1-7c0553266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BEE92-0AA8-4BAB-85E6-807D3ECD749C}">
  <ds:schemaRefs>
    <ds:schemaRef ds:uri="http://schemas.microsoft.com/office/2006/metadata/properties"/>
    <ds:schemaRef ds:uri="http://schemas.microsoft.com/office/infopath/2007/PartnerControls"/>
    <ds:schemaRef ds:uri="aa16a7f6-ad7c-47b6-99e8-107db7961b82"/>
  </ds:schemaRefs>
</ds:datastoreItem>
</file>

<file path=customXml/itemProps3.xml><?xml version="1.0" encoding="utf-8"?>
<ds:datastoreItem xmlns:ds="http://schemas.openxmlformats.org/officeDocument/2006/customXml" ds:itemID="{34F66F14-31EC-4B13-B7AA-D91B4D132E3E}">
  <ds:schemaRefs>
    <ds:schemaRef ds:uri="http://schemas.microsoft.com/sharepoint/v3/contenttype/forms"/>
  </ds:schemaRefs>
</ds:datastoreItem>
</file>

<file path=customXml/itemProps4.xml><?xml version="1.0" encoding="utf-8"?>
<ds:datastoreItem xmlns:ds="http://schemas.openxmlformats.org/officeDocument/2006/customXml" ds:itemID="{4086B7BC-3BFF-4964-ABD1-F6F5FE78FCC8}">
  <ds:schemaRefs>
    <ds:schemaRef ds:uri="http://schemas.openxmlformats.org/officeDocument/2006/bibliography"/>
  </ds:schemaRefs>
</ds:datastoreItem>
</file>

<file path=customXml/itemProps5.xml><?xml version="1.0" encoding="utf-8"?>
<ds:datastoreItem xmlns:ds="http://schemas.openxmlformats.org/officeDocument/2006/customXml" ds:itemID="{D3714C58-CD44-470B-8964-3A56CBE451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15</Pages>
  <Words>6267</Words>
  <Characters>40430</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NOP OOL PRA Supporting Statement</vt:lpstr>
    </vt:vector>
  </TitlesOfParts>
  <Company>USDA/AMS</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Andrea.Holm@usda.gov</dc:creator>
  <cp:lastModifiedBy>Gilham, Norma - MRP-AMS</cp:lastModifiedBy>
  <cp:revision>1187</cp:revision>
  <cp:lastPrinted>2019-11-01T02:08:00Z</cp:lastPrinted>
  <dcterms:created xsi:type="dcterms:W3CDTF">2022-06-15T04:51:00Z</dcterms:created>
  <dcterms:modified xsi:type="dcterms:W3CDTF">2023-09-07T12:29:00Z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0x0101003C083CB14BAFB7479AD2D1CBB069F90C</vt:lpwstr>
  </property>
  <property fmtid="{D5CDD505-2E9C-101B-9397-08002B2CF9AE}" pid="3" name="SharedWithUsers">
    <vt:lpwstr>975;#Pattillo, Devon - MRP-AMS;#20401;#Drinkall, Scott (CTR) - MRP-AMS;#20102;#Edmondson, Jason - MRP-AMS;#16690;#Holm, Andrea - MRP-AMS</vt:lpwstr>
  </property>
  <property fmtid="{D5CDD505-2E9C-101B-9397-08002B2CF9AE}" pid="4" name="_dlc_DocIdItemGuid">
    <vt:lpwstr>d6508bb5-97c3-42d5-ae97-772ee9cdf26a</vt:lpwstr>
  </property>
  <property fmtid="{D5CDD505-2E9C-101B-9397-08002B2CF9AE}" pid="5" name="_DocHome">
    <vt:i4>911601448</vt:i4>
  </property>
</Properties>
</file>