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1D2CF37">
      <w:pPr>
        <w:pStyle w:val="NoSpacing"/>
        <w:jc w:val="center"/>
        <w:rPr>
          <w:rFonts w:ascii="Calibri" w:hAnsi="Calibri" w:cs="Calibri"/>
          <w:b/>
          <w:sz w:val="24"/>
        </w:rPr>
      </w:pPr>
      <w:r w:rsidRPr="00532B4F">
        <w:rPr>
          <w:rFonts w:ascii="Calibri" w:hAnsi="Calibri" w:cs="Calibri"/>
          <w:b/>
          <w:sz w:val="24"/>
        </w:rPr>
        <w:t>Census Household Panel</w:t>
      </w:r>
      <w:r w:rsidRPr="00532B4F" w:rsidR="001F2674">
        <w:rPr>
          <w:rFonts w:ascii="Calibri" w:hAnsi="Calibri" w:cs="Calibri"/>
          <w:b/>
          <w:sz w:val="24"/>
        </w:rPr>
        <w:t xml:space="preserve"> </w:t>
      </w:r>
    </w:p>
    <w:p w:rsidR="00201347" w:rsidRPr="00E12A81" w:rsidP="00E12A81" w14:paraId="55C6B4DF" w14:textId="7777777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D06587">
        <w:rPr>
          <w:rFonts w:ascii="Calibri" w:hAnsi="Calibri" w:cs="Calibri"/>
          <w:b/>
          <w:sz w:val="24"/>
        </w:rPr>
        <w:t>XXXX</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4B4366" w:rsidRPr="00CD6C4D" w:rsidP="3A4BA631" w14:paraId="2690F7AE" w14:textId="277D8CE6">
      <w:pPr>
        <w:spacing w:line="360" w:lineRule="auto"/>
        <w:ind w:left="360"/>
        <w:rPr>
          <w:rFonts w:eastAsia="Times New Roman" w:asciiTheme="minorHAnsi" w:hAnsiTheme="minorHAnsi" w:cstheme="minorBidi"/>
          <w:sz w:val="24"/>
          <w:szCs w:val="24"/>
        </w:rPr>
      </w:pPr>
      <w:r>
        <w:rPr>
          <w:rFonts w:eastAsia="Times New Roman" w:asciiTheme="minorHAnsi" w:hAnsiTheme="minorHAnsi" w:cstheme="minorBidi"/>
          <w:sz w:val="24"/>
          <w:szCs w:val="24"/>
        </w:rPr>
        <w:t>Previous</w:t>
      </w:r>
      <w:r w:rsidRPr="3A4BA631">
        <w:rPr>
          <w:rFonts w:eastAsia="Times New Roman" w:asciiTheme="minorHAnsi" w:hAnsiTheme="minorHAnsi" w:cstheme="minorBidi"/>
          <w:sz w:val="24"/>
          <w:szCs w:val="24"/>
        </w:rPr>
        <w:t xml:space="preserve"> </w:t>
      </w:r>
      <w:r w:rsidRPr="3A4BA631" w:rsidR="00CC74D0">
        <w:rPr>
          <w:rFonts w:eastAsia="Times New Roman" w:asciiTheme="minorHAnsi" w:hAnsiTheme="minorHAnsi" w:cstheme="minorBidi"/>
          <w:sz w:val="24"/>
          <w:szCs w:val="24"/>
        </w:rPr>
        <w:t>research and development work</w:t>
      </w:r>
      <w:r>
        <w:rPr>
          <w:rFonts w:eastAsia="Times New Roman" w:asciiTheme="minorHAnsi" w:hAnsiTheme="minorHAnsi" w:cstheme="minorBidi"/>
          <w:sz w:val="24"/>
          <w:szCs w:val="24"/>
        </w:rPr>
        <w:t xml:space="preserve"> conducted by the Census Bureau (Control No. </w:t>
      </w:r>
      <w:r w:rsidRPr="00416BD6" w:rsidR="00416BD6">
        <w:rPr>
          <w:rFonts w:eastAsia="Times New Roman" w:asciiTheme="minorHAnsi" w:hAnsiTheme="minorHAnsi" w:cstheme="minorBidi"/>
          <w:sz w:val="24"/>
          <w:szCs w:val="24"/>
        </w:rPr>
        <w:t>0607-0978</w:t>
      </w:r>
      <w:r w:rsidR="00416BD6">
        <w:rPr>
          <w:rFonts w:eastAsia="Times New Roman" w:asciiTheme="minorHAnsi" w:hAnsiTheme="minorHAnsi" w:cstheme="minorBidi"/>
          <w:sz w:val="24"/>
          <w:szCs w:val="24"/>
        </w:rPr>
        <w:t>)</w:t>
      </w:r>
      <w:r w:rsidRPr="3A4BA631" w:rsidR="00CC74D0">
        <w:rPr>
          <w:rFonts w:eastAsia="Times New Roman" w:asciiTheme="minorHAnsi" w:hAnsiTheme="minorHAnsi" w:cstheme="minorBidi"/>
          <w:sz w:val="24"/>
          <w:szCs w:val="24"/>
        </w:rPr>
        <w:t xml:space="preserve"> demonstrated the value of a high-quality panel to improve representativeness and significantly reduce burden on households in the </w:t>
      </w:r>
      <w:r>
        <w:rPr>
          <w:rFonts w:eastAsia="Times New Roman" w:asciiTheme="minorHAnsi" w:hAnsiTheme="minorHAnsi" w:cstheme="minorBidi"/>
          <w:sz w:val="24"/>
          <w:szCs w:val="24"/>
        </w:rPr>
        <w:t>collection of</w:t>
      </w:r>
      <w:r w:rsidRPr="3A4BA631" w:rsidR="00CC74D0">
        <w:rPr>
          <w:rFonts w:eastAsia="Times New Roman" w:asciiTheme="minorHAnsi" w:hAnsiTheme="minorHAnsi" w:cstheme="minorBidi"/>
          <w:sz w:val="24"/>
          <w:szCs w:val="24"/>
        </w:rPr>
        <w:t xml:space="preserve"> high-frequency data. This notice outlines plans for the development of the Census Household Panel</w:t>
      </w:r>
      <w:r w:rsidR="002D4267">
        <w:rPr>
          <w:rFonts w:eastAsia="Times New Roman" w:asciiTheme="minorHAnsi" w:hAnsiTheme="minorHAnsi" w:cstheme="minorBidi"/>
          <w:sz w:val="24"/>
          <w:szCs w:val="24"/>
        </w:rPr>
        <w:t xml:space="preserve"> (CHP)</w:t>
      </w:r>
      <w:r w:rsidRPr="3A4BA631" w:rsidR="00CC74D0">
        <w:rPr>
          <w:rFonts w:eastAsia="Times New Roman" w:asciiTheme="minorHAnsi" w:hAnsiTheme="minorHAnsi" w:cstheme="minorBidi"/>
          <w:sz w:val="24"/>
          <w:szCs w:val="24"/>
        </w:rPr>
        <w:t xml:space="preserve"> consisting of a pool of households carefully selected and recruited by the Census Bureau to reflect the diversity of our Nation’s population. Panel participants will respond to </w:t>
      </w:r>
      <w:r w:rsidR="00C939E6">
        <w:rPr>
          <w:rFonts w:eastAsia="Times New Roman" w:asciiTheme="minorHAnsi" w:hAnsiTheme="minorHAnsi" w:cstheme="minorBidi"/>
          <w:sz w:val="24"/>
          <w:szCs w:val="24"/>
        </w:rPr>
        <w:t xml:space="preserve">a </w:t>
      </w:r>
      <w:r w:rsidR="00AD5DA9">
        <w:rPr>
          <w:rFonts w:eastAsia="Times New Roman" w:asciiTheme="minorHAnsi" w:hAnsiTheme="minorHAnsi" w:cstheme="minorBidi"/>
          <w:sz w:val="24"/>
          <w:szCs w:val="24"/>
        </w:rPr>
        <w:t>screener/</w:t>
      </w:r>
      <w:r w:rsidR="00C939E6">
        <w:rPr>
          <w:rFonts w:eastAsia="Times New Roman" w:asciiTheme="minorHAnsi" w:hAnsiTheme="minorHAnsi" w:cstheme="minorBidi"/>
          <w:sz w:val="24"/>
          <w:szCs w:val="24"/>
        </w:rPr>
        <w:t xml:space="preserve">baseline survey and a series of </w:t>
      </w:r>
      <w:r w:rsidRPr="3A4BA631" w:rsidR="00CC74D0">
        <w:rPr>
          <w:rFonts w:eastAsia="Times New Roman" w:asciiTheme="minorHAnsi" w:hAnsiTheme="minorHAnsi" w:cstheme="minorBidi"/>
          <w:sz w:val="24"/>
          <w:szCs w:val="24"/>
        </w:rPr>
        <w:t xml:space="preserve">different survey requests </w:t>
      </w:r>
      <w:r w:rsidR="00C939E6">
        <w:rPr>
          <w:rFonts w:eastAsia="Times New Roman" w:asciiTheme="minorHAnsi" w:hAnsiTheme="minorHAnsi" w:cstheme="minorBidi"/>
          <w:sz w:val="24"/>
          <w:szCs w:val="24"/>
        </w:rPr>
        <w:t>(topical surveys).</w:t>
      </w:r>
      <w:r w:rsidRPr="3A4BA631" w:rsidR="678CC733">
        <w:rPr>
          <w:rFonts w:eastAsia="Times New Roman" w:asciiTheme="minorHAnsi" w:hAnsiTheme="minorHAnsi" w:cstheme="minorBidi"/>
          <w:sz w:val="24"/>
          <w:szCs w:val="24"/>
        </w:rPr>
        <w:t xml:space="preserve"> </w:t>
      </w:r>
      <w:r w:rsidR="00C939E6">
        <w:rPr>
          <w:rFonts w:eastAsia="Times New Roman" w:asciiTheme="minorHAnsi" w:hAnsiTheme="minorHAnsi" w:cstheme="minorBidi"/>
          <w:sz w:val="24"/>
          <w:szCs w:val="24"/>
        </w:rPr>
        <w:t>I</w:t>
      </w:r>
      <w:r w:rsidRPr="3A4BA631" w:rsidR="00CC74D0">
        <w:rPr>
          <w:rFonts w:eastAsia="Times New Roman" w:asciiTheme="minorHAnsi" w:hAnsiTheme="minorHAnsi" w:cstheme="minorBidi"/>
          <w:sz w:val="24"/>
          <w:szCs w:val="24"/>
        </w:rPr>
        <w:t xml:space="preserve">mportantly, </w:t>
      </w:r>
      <w:r w:rsidR="00AD5DA9">
        <w:rPr>
          <w:rFonts w:eastAsia="Times New Roman" w:asciiTheme="minorHAnsi" w:hAnsiTheme="minorHAnsi" w:cstheme="minorBidi"/>
          <w:sz w:val="24"/>
          <w:szCs w:val="24"/>
        </w:rPr>
        <w:t>some</w:t>
      </w:r>
      <w:r w:rsidR="00C939E6">
        <w:rPr>
          <w:rFonts w:eastAsia="Times New Roman" w:asciiTheme="minorHAnsi" w:hAnsiTheme="minorHAnsi" w:cstheme="minorBidi"/>
          <w:sz w:val="24"/>
          <w:szCs w:val="24"/>
        </w:rPr>
        <w:t xml:space="preserve"> of these surveys </w:t>
      </w:r>
      <w:r w:rsidRPr="3A4BA631" w:rsidR="37CD8CD0">
        <w:rPr>
          <w:rFonts w:eastAsia="Times New Roman" w:asciiTheme="minorHAnsi" w:hAnsiTheme="minorHAnsi" w:cstheme="minorBidi"/>
          <w:sz w:val="24"/>
          <w:szCs w:val="24"/>
        </w:rPr>
        <w:t xml:space="preserve">will </w:t>
      </w:r>
      <w:r w:rsidR="00C939E6">
        <w:rPr>
          <w:rFonts w:eastAsia="Times New Roman" w:asciiTheme="minorHAnsi" w:hAnsiTheme="minorHAnsi" w:cstheme="minorBidi"/>
          <w:sz w:val="24"/>
          <w:szCs w:val="24"/>
        </w:rPr>
        <w:t>essentially function as the</w:t>
      </w:r>
      <w:r w:rsidRPr="3A4BA631" w:rsidR="00CC74D0">
        <w:rPr>
          <w:rFonts w:eastAsia="Times New Roman" w:asciiTheme="minorHAnsi" w:hAnsiTheme="minorHAnsi" w:cstheme="minorBidi"/>
          <w:sz w:val="24"/>
          <w:szCs w:val="24"/>
        </w:rPr>
        <w:t xml:space="preserve"> same survey over time to produce longitudinal data that measure change over time. </w:t>
      </w:r>
      <w:r w:rsidRPr="3A4BA631" w:rsidR="00CC74D0">
        <w:rPr>
          <w:rFonts w:asciiTheme="minorHAnsi" w:hAnsiTheme="minorHAnsi" w:cstheme="minorBidi"/>
          <w:sz w:val="24"/>
          <w:szCs w:val="24"/>
        </w:rPr>
        <w:t>Development of th</w:t>
      </w:r>
      <w:r w:rsidR="002D4267">
        <w:rPr>
          <w:rFonts w:asciiTheme="minorHAnsi" w:hAnsiTheme="minorHAnsi" w:cstheme="minorBidi"/>
          <w:sz w:val="24"/>
          <w:szCs w:val="24"/>
        </w:rPr>
        <w:t>e</w:t>
      </w:r>
      <w:r w:rsidRPr="3A4BA631" w:rsidR="00CC74D0">
        <w:rPr>
          <w:rFonts w:asciiTheme="minorHAnsi" w:hAnsiTheme="minorHAnsi" w:cstheme="minorBidi"/>
          <w:sz w:val="24"/>
          <w:szCs w:val="24"/>
        </w:rPr>
        <w:t xml:space="preserve"> </w:t>
      </w:r>
      <w:r w:rsidR="002D4267">
        <w:rPr>
          <w:rFonts w:asciiTheme="minorHAnsi" w:hAnsiTheme="minorHAnsi" w:cstheme="minorBidi"/>
          <w:sz w:val="24"/>
          <w:szCs w:val="24"/>
        </w:rPr>
        <w:t>CHP</w:t>
      </w:r>
      <w:r w:rsidRPr="3A4BA631" w:rsidR="002D4267">
        <w:rPr>
          <w:rFonts w:asciiTheme="minorHAnsi" w:hAnsiTheme="minorHAnsi" w:cstheme="minorBidi"/>
          <w:sz w:val="24"/>
          <w:szCs w:val="24"/>
        </w:rPr>
        <w:t xml:space="preserve"> </w:t>
      </w:r>
      <w:r w:rsidRPr="3A4BA631" w:rsidR="00CC74D0">
        <w:rPr>
          <w:rFonts w:asciiTheme="minorHAnsi" w:hAnsiTheme="minorHAnsi" w:cstheme="minorBidi"/>
          <w:sz w:val="24"/>
          <w:szCs w:val="24"/>
        </w:rPr>
        <w:t xml:space="preserve">at the Census Bureau allows the </w:t>
      </w:r>
      <w:r>
        <w:rPr>
          <w:rFonts w:asciiTheme="minorHAnsi" w:hAnsiTheme="minorHAnsi" w:cstheme="minorBidi"/>
          <w:sz w:val="24"/>
          <w:szCs w:val="24"/>
        </w:rPr>
        <w:t xml:space="preserve">use of internal Census data </w:t>
      </w:r>
      <w:r w:rsidRPr="3A4BA631" w:rsidR="00CC74D0">
        <w:rPr>
          <w:rFonts w:asciiTheme="minorHAnsi" w:hAnsiTheme="minorHAnsi" w:cstheme="minorBidi"/>
          <w:sz w:val="24"/>
          <w:szCs w:val="24"/>
        </w:rPr>
        <w:t xml:space="preserve">to </w:t>
      </w:r>
      <w:r>
        <w:rPr>
          <w:rFonts w:asciiTheme="minorHAnsi" w:hAnsiTheme="minorHAnsi" w:cstheme="minorBidi"/>
          <w:sz w:val="24"/>
          <w:szCs w:val="24"/>
        </w:rPr>
        <w:t>identify and select</w:t>
      </w:r>
      <w:r w:rsidRPr="3A4BA631" w:rsidR="00CC74D0">
        <w:rPr>
          <w:rFonts w:asciiTheme="minorHAnsi" w:hAnsiTheme="minorHAnsi" w:cstheme="minorBidi"/>
          <w:sz w:val="24"/>
          <w:szCs w:val="24"/>
        </w:rPr>
        <w:t xml:space="preserve"> representative samples accurately and quickly, responding to the need for timely insights on an array of topics and improving data outputs inclusive of historically undercounted populations.</w:t>
      </w:r>
      <w:r w:rsidRPr="3A4BA631" w:rsidR="00CC74D0">
        <w:rPr>
          <w:rFonts w:asciiTheme="minorHAnsi" w:hAnsiTheme="minorHAnsi" w:cstheme="minorBidi"/>
        </w:rPr>
        <w:t xml:space="preserve"> </w:t>
      </w:r>
    </w:p>
    <w:p w:rsidR="00606B4E" w:rsidP="00606B4E" w14:paraId="1C4687C6" w14:textId="77777777">
      <w:pPr>
        <w:spacing w:line="360" w:lineRule="auto"/>
        <w:ind w:left="360"/>
        <w:rPr>
          <w:rFonts w:eastAsia="Times New Roman" w:asciiTheme="minorHAnsi" w:hAnsiTheme="minorHAnsi" w:cstheme="minorHAnsi"/>
          <w:sz w:val="24"/>
          <w:szCs w:val="24"/>
        </w:rPr>
      </w:pPr>
    </w:p>
    <w:p w:rsidR="004B4366" w:rsidRPr="00CD6C4D" w:rsidP="00606B4E" w14:paraId="227A86B6" w14:textId="21A33E39">
      <w:pPr>
        <w:spacing w:line="360" w:lineRule="auto"/>
        <w:ind w:left="360"/>
        <w:rPr>
          <w:rFonts w:eastAsia="Times New Roman" w:asciiTheme="minorHAnsi" w:hAnsiTheme="minorHAnsi" w:cstheme="minorHAnsi"/>
          <w:sz w:val="24"/>
          <w:szCs w:val="24"/>
        </w:rPr>
      </w:pPr>
      <w:r w:rsidRPr="4B650D8D">
        <w:rPr>
          <w:rFonts w:eastAsia="Times New Roman" w:asciiTheme="minorHAnsi" w:hAnsiTheme="minorHAnsi" w:cstheme="minorBidi"/>
          <w:sz w:val="24"/>
          <w:szCs w:val="24"/>
        </w:rPr>
        <w:t>Th</w:t>
      </w:r>
      <w:r w:rsidRPr="4B650D8D" w:rsidR="002D4267">
        <w:rPr>
          <w:rFonts w:eastAsia="Times New Roman" w:asciiTheme="minorHAnsi" w:hAnsiTheme="minorHAnsi" w:cstheme="minorBidi"/>
          <w:sz w:val="24"/>
          <w:szCs w:val="24"/>
        </w:rPr>
        <w:t xml:space="preserve">e CHP </w:t>
      </w:r>
      <w:r w:rsidRPr="4B650D8D">
        <w:rPr>
          <w:rFonts w:eastAsia="Times New Roman" w:asciiTheme="minorHAnsi" w:hAnsiTheme="minorHAnsi" w:cstheme="minorBidi"/>
          <w:sz w:val="24"/>
          <w:szCs w:val="24"/>
        </w:rPr>
        <w:t xml:space="preserve">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w:t>
      </w:r>
      <w:r w:rsidRPr="4B650D8D" w:rsidR="002D4267">
        <w:rPr>
          <w:rFonts w:eastAsia="Times New Roman" w:asciiTheme="minorHAnsi" w:hAnsiTheme="minorHAnsi" w:cstheme="minorBidi"/>
          <w:sz w:val="24"/>
          <w:szCs w:val="24"/>
        </w:rPr>
        <w:t>CHP</w:t>
      </w:r>
      <w:r w:rsidRPr="4B650D8D">
        <w:rPr>
          <w:rFonts w:eastAsia="Times New Roman" w:asciiTheme="minorHAnsi" w:hAnsiTheme="minorHAnsi" w:cstheme="minorBidi"/>
          <w:sz w:val="24"/>
          <w:szCs w:val="24"/>
        </w:rPr>
        <w:t xml:space="preserve"> which can produce data much closer to real time as the </w:t>
      </w:r>
      <w:r w:rsidRPr="4B650D8D" w:rsidR="00602EBD">
        <w:rPr>
          <w:rFonts w:eastAsia="Times New Roman" w:asciiTheme="minorHAnsi" w:hAnsiTheme="minorHAnsi" w:cstheme="minorBidi"/>
          <w:sz w:val="24"/>
          <w:szCs w:val="24"/>
        </w:rPr>
        <w:t>information needs</w:t>
      </w:r>
      <w:r w:rsidRPr="4B650D8D">
        <w:rPr>
          <w:rFonts w:eastAsia="Times New Roman" w:asciiTheme="minorHAnsi" w:hAnsiTheme="minorHAnsi" w:cstheme="minorBidi"/>
          <w:sz w:val="24"/>
          <w:szCs w:val="24"/>
        </w:rPr>
        <w:t xml:space="preserve"> develop. </w:t>
      </w:r>
      <w:r w:rsidRPr="4B650D8D" w:rsidR="00B20F55">
        <w:rPr>
          <w:rFonts w:eastAsia="Times New Roman" w:asciiTheme="minorHAnsi" w:hAnsiTheme="minorHAnsi" w:cstheme="minorBidi"/>
          <w:sz w:val="24"/>
          <w:szCs w:val="24"/>
        </w:rPr>
        <w:t xml:space="preserve">The continued success of the Census </w:t>
      </w:r>
      <w:r w:rsidRPr="4B650D8D" w:rsidR="002D4267">
        <w:rPr>
          <w:rFonts w:eastAsia="Times New Roman" w:asciiTheme="minorHAnsi" w:hAnsiTheme="minorHAnsi" w:cstheme="minorBidi"/>
          <w:sz w:val="24"/>
          <w:szCs w:val="24"/>
        </w:rPr>
        <w:t xml:space="preserve">Bureau’s </w:t>
      </w:r>
      <w:r w:rsidRPr="4B650D8D" w:rsidR="00B20F55">
        <w:rPr>
          <w:rFonts w:eastAsia="Times New Roman" w:asciiTheme="minorHAnsi" w:hAnsiTheme="minorHAnsi" w:cstheme="minorBidi"/>
          <w:sz w:val="24"/>
          <w:szCs w:val="24"/>
        </w:rPr>
        <w:t xml:space="preserve">Household Pulse Survey demonstrates the need for a wider variety of survey products to inform public and private decision-making. </w:t>
      </w:r>
      <w:r w:rsidRPr="4B650D8D">
        <w:rPr>
          <w:rFonts w:eastAsia="Times New Roman" w:asciiTheme="minorHAnsi" w:hAnsiTheme="minorHAnsi" w:cstheme="minorBidi"/>
          <w:sz w:val="24"/>
          <w:szCs w:val="24"/>
        </w:rPr>
        <w:t xml:space="preserve">The </w:t>
      </w:r>
      <w:r w:rsidRPr="4B650D8D" w:rsidR="002D4267">
        <w:rPr>
          <w:rFonts w:eastAsia="Times New Roman" w:asciiTheme="minorHAnsi" w:hAnsiTheme="minorHAnsi" w:cstheme="minorBidi"/>
          <w:sz w:val="24"/>
          <w:szCs w:val="24"/>
        </w:rPr>
        <w:t xml:space="preserve">CHP </w:t>
      </w:r>
      <w:r w:rsidRPr="4B650D8D">
        <w:rPr>
          <w:rFonts w:eastAsia="Times New Roman" w:asciiTheme="minorHAnsi" w:hAnsiTheme="minorHAnsi" w:cstheme="minorBidi"/>
          <w:sz w:val="24"/>
          <w:szCs w:val="24"/>
        </w:rPr>
        <w:t>will also help us research questions related to surveys. For example, th</w:t>
      </w:r>
      <w:r w:rsidRPr="4B650D8D" w:rsidR="002D4267">
        <w:rPr>
          <w:rFonts w:eastAsia="Times New Roman" w:asciiTheme="minorHAnsi" w:hAnsiTheme="minorHAnsi" w:cstheme="minorBidi"/>
          <w:sz w:val="24"/>
          <w:szCs w:val="24"/>
        </w:rPr>
        <w:t xml:space="preserve">e CHP </w:t>
      </w:r>
      <w:r w:rsidRPr="4B650D8D">
        <w:rPr>
          <w:rFonts w:eastAsia="Times New Roman" w:asciiTheme="minorHAnsi" w:hAnsiTheme="minorHAnsi" w:cstheme="minorBidi"/>
          <w:sz w:val="24"/>
          <w:szCs w:val="24"/>
        </w:rPr>
        <w:t>will allow us to conduct nationally representative field tests to test content changes in an efficient and reliable fashion</w:t>
      </w:r>
      <w:r w:rsidR="004E6378">
        <w:rPr>
          <w:rFonts w:eastAsia="Times New Roman" w:asciiTheme="minorHAnsi" w:hAnsiTheme="minorHAnsi" w:cstheme="minorBidi"/>
          <w:sz w:val="24"/>
          <w:szCs w:val="24"/>
        </w:rPr>
        <w:t xml:space="preserve">, serving the Census Bureau and the broader Federal community </w:t>
      </w:r>
      <w:r w:rsidRPr="4B650D8D">
        <w:rPr>
          <w:rFonts w:eastAsia="Times New Roman" w:asciiTheme="minorHAnsi" w:hAnsiTheme="minorHAnsi" w:cstheme="minorBidi"/>
          <w:sz w:val="24"/>
          <w:szCs w:val="24"/>
        </w:rPr>
        <w:t xml:space="preserve">in support of other </w:t>
      </w:r>
      <w:r w:rsidRPr="4B650D8D">
        <w:rPr>
          <w:rFonts w:eastAsia="Times New Roman" w:asciiTheme="minorHAnsi" w:hAnsiTheme="minorHAnsi" w:cstheme="minorBidi"/>
          <w:sz w:val="24"/>
          <w:szCs w:val="24"/>
        </w:rPr>
        <w:t xml:space="preserve">surveys. </w:t>
      </w:r>
    </w:p>
    <w:p w:rsidR="00606B4E" w:rsidP="00606B4E" w14:paraId="50F74907" w14:textId="77777777">
      <w:pPr>
        <w:spacing w:line="360" w:lineRule="auto"/>
        <w:ind w:left="360"/>
        <w:rPr>
          <w:rFonts w:eastAsia="Times New Roman" w:asciiTheme="minorHAnsi" w:hAnsiTheme="minorHAnsi" w:cstheme="minorHAnsi"/>
          <w:sz w:val="24"/>
          <w:szCs w:val="24"/>
        </w:rPr>
      </w:pPr>
      <w:bookmarkStart w:id="0" w:name="_Hlk131086946"/>
    </w:p>
    <w:p w:rsidR="004B4366" w:rsidRPr="00CD6C4D" w:rsidP="00606B4E" w14:paraId="518EA5F2" w14:textId="0EDB322C">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Leveraging its experience reaching and engaging households, and its reputation for statistical rigor and transparency in the production of Federal statistics, the Census Bureau will build the </w:t>
      </w:r>
      <w:r w:rsidR="002D4267">
        <w:rPr>
          <w:rFonts w:eastAsia="Times New Roman" w:asciiTheme="minorHAnsi" w:hAnsiTheme="minorHAnsi" w:cstheme="minorHAnsi"/>
          <w:sz w:val="24"/>
          <w:szCs w:val="24"/>
        </w:rPr>
        <w:t>CHP</w:t>
      </w:r>
      <w:r w:rsidRPr="00CD6C4D">
        <w:rPr>
          <w:rFonts w:eastAsia="Times New Roman" w:asciiTheme="minorHAnsi" w:hAnsiTheme="minorHAnsi" w:cstheme="minorHAnsi"/>
          <w:sz w:val="24"/>
          <w:szCs w:val="24"/>
        </w:rPr>
        <w:t xml:space="preserve"> in-house in a manner that affords users a full understanding of the methodology in keeping with Federal statistical standards, including response rates and weighting. This transparency into the way in which the statistics are developed will provide Federal agencies the confidence necessary to </w:t>
      </w:r>
      <w:r w:rsidR="00B20F55">
        <w:rPr>
          <w:rFonts w:eastAsia="Times New Roman" w:asciiTheme="minorHAnsi" w:hAnsiTheme="minorHAnsi" w:cstheme="minorHAnsi"/>
          <w:sz w:val="24"/>
          <w:szCs w:val="24"/>
        </w:rPr>
        <w:t xml:space="preserve">evaluate the appropriate </w:t>
      </w:r>
      <w:r w:rsidRPr="00CD6C4D">
        <w:rPr>
          <w:rFonts w:eastAsia="Times New Roman" w:asciiTheme="minorHAnsi" w:hAnsiTheme="minorHAnsi" w:cstheme="minorHAnsi"/>
          <w:sz w:val="24"/>
          <w:szCs w:val="24"/>
        </w:rPr>
        <w:t xml:space="preserve">use </w:t>
      </w:r>
      <w:r w:rsidR="00B20F55">
        <w:rPr>
          <w:rFonts w:eastAsia="Times New Roman" w:asciiTheme="minorHAnsi" w:hAnsiTheme="minorHAnsi" w:cstheme="minorHAnsi"/>
          <w:sz w:val="24"/>
          <w:szCs w:val="24"/>
        </w:rPr>
        <w:t xml:space="preserve">of </w:t>
      </w:r>
      <w:r w:rsidRPr="00CD6C4D">
        <w:rPr>
          <w:rFonts w:eastAsia="Times New Roman" w:asciiTheme="minorHAnsi" w:hAnsiTheme="minorHAnsi" w:cstheme="minorHAnsi"/>
          <w:sz w:val="24"/>
          <w:szCs w:val="24"/>
        </w:rPr>
        <w:t>the data in their policy making.</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9E6" w:rsidRPr="00CD6C4D" w:rsidP="00606B4E" w14:paraId="1091F524" w14:textId="7B14385E">
      <w:pPr>
        <w:spacing w:before="161" w:line="360" w:lineRule="auto"/>
        <w:ind w:left="360"/>
        <w:rPr>
          <w:rFonts w:ascii="Calibri" w:hAnsi="Calibri" w:cs="Calibri"/>
          <w:bCs/>
          <w:sz w:val="24"/>
        </w:rPr>
      </w:pPr>
      <w:r w:rsidRPr="00CD6C4D">
        <w:rPr>
          <w:rFonts w:ascii="Calibri" w:hAnsi="Calibri" w:cs="Calibri"/>
          <w:bCs/>
          <w:sz w:val="24"/>
        </w:rPr>
        <w:t xml:space="preserve">The </w:t>
      </w:r>
      <w:r w:rsidR="002D4267">
        <w:rPr>
          <w:rFonts w:ascii="Calibri" w:hAnsi="Calibri" w:cs="Calibri"/>
          <w:bCs/>
          <w:sz w:val="24"/>
        </w:rPr>
        <w:t>CHP</w:t>
      </w:r>
      <w:r w:rsidRPr="00CD6C4D">
        <w:rPr>
          <w:rFonts w:ascii="Calibri" w:hAnsi="Calibri" w:cs="Calibri"/>
          <w:bCs/>
          <w:sz w:val="24"/>
        </w:rPr>
        <w:t xml:space="preserve"> will recruit a probability-based nationwide survey panel to test the methods to collect data on a variety of topics of interest, and for conducting experimentation on alternative question wording and methodological approaches. The goal of the </w:t>
      </w:r>
      <w:r w:rsidR="002D4267">
        <w:rPr>
          <w:rFonts w:ascii="Calibri" w:hAnsi="Calibri" w:cs="Calibri"/>
          <w:bCs/>
          <w:sz w:val="24"/>
        </w:rPr>
        <w:t>CHP</w:t>
      </w:r>
      <w:r w:rsidRPr="00CD6C4D">
        <w:rPr>
          <w:rFonts w:ascii="Calibri" w:hAnsi="Calibri" w:cs="Calibri"/>
          <w:bCs/>
          <w:sz w:val="24"/>
        </w:rPr>
        <w:t xml:space="preserve"> is to ensure availability of frequent data collection for nationwide estimates on a variety of topics </w:t>
      </w:r>
      <w:r w:rsidR="00602EBD">
        <w:rPr>
          <w:rFonts w:ascii="Calibri" w:hAnsi="Calibri" w:cs="Calibri"/>
          <w:bCs/>
          <w:sz w:val="24"/>
        </w:rPr>
        <w:t>for</w:t>
      </w:r>
      <w:r w:rsidRPr="00CD6C4D">
        <w:rPr>
          <w:rFonts w:ascii="Calibri" w:hAnsi="Calibri" w:cs="Calibri"/>
          <w:bCs/>
          <w:sz w:val="24"/>
        </w:rPr>
        <w:t xml:space="preserve"> a variety of subgroups of the population, meeting standards for transparent quality reporting of the Federal Statistical Agencies and the Office of Management and Budget (OMB).  </w:t>
      </w:r>
    </w:p>
    <w:p w:rsidR="00606B4E" w:rsidP="00606B4E" w14:paraId="0ECA7AE8" w14:textId="77777777">
      <w:pPr>
        <w:spacing w:before="161" w:line="360" w:lineRule="auto"/>
        <w:ind w:left="360"/>
        <w:rPr>
          <w:rFonts w:ascii="Calibri" w:hAnsi="Calibri" w:cs="Calibri"/>
          <w:bCs/>
          <w:sz w:val="24"/>
        </w:rPr>
      </w:pPr>
    </w:p>
    <w:p w:rsidR="007F2304" w:rsidRPr="00CD6C4D" w:rsidP="527260B2" w14:paraId="552F4C3D" w14:textId="69149BFB">
      <w:pPr>
        <w:spacing w:before="161" w:line="360" w:lineRule="auto"/>
        <w:ind w:left="360"/>
        <w:rPr>
          <w:rFonts w:ascii="Calibri" w:hAnsi="Calibri" w:cs="Calibri"/>
          <w:sz w:val="24"/>
          <w:szCs w:val="24"/>
        </w:rPr>
      </w:pPr>
      <w:r w:rsidRPr="527260B2">
        <w:rPr>
          <w:rFonts w:ascii="Calibri" w:hAnsi="Calibri" w:cs="Calibri"/>
          <w:sz w:val="24"/>
          <w:szCs w:val="24"/>
        </w:rPr>
        <w:t xml:space="preserve">The initial goal for the size of the </w:t>
      </w:r>
      <w:r w:rsidR="002D4267">
        <w:rPr>
          <w:rFonts w:ascii="Calibri" w:hAnsi="Calibri" w:cs="Calibri"/>
          <w:sz w:val="24"/>
          <w:szCs w:val="24"/>
        </w:rPr>
        <w:t>CHP</w:t>
      </w:r>
      <w:r w:rsidRPr="527260B2" w:rsidR="002D4267">
        <w:rPr>
          <w:rFonts w:ascii="Calibri" w:hAnsi="Calibri" w:cs="Calibri"/>
          <w:sz w:val="24"/>
          <w:szCs w:val="24"/>
        </w:rPr>
        <w:t xml:space="preserve"> </w:t>
      </w:r>
      <w:r w:rsidRPr="527260B2">
        <w:rPr>
          <w:rFonts w:ascii="Calibri" w:hAnsi="Calibri" w:cs="Calibri"/>
          <w:sz w:val="24"/>
          <w:szCs w:val="24"/>
        </w:rPr>
        <w:t>is 15,000 panelists</w:t>
      </w:r>
      <w:r w:rsidR="00B20F55">
        <w:rPr>
          <w:rFonts w:ascii="Calibri" w:hAnsi="Calibri" w:cs="Calibri"/>
          <w:sz w:val="24"/>
          <w:szCs w:val="24"/>
        </w:rPr>
        <w:t>.</w:t>
      </w:r>
      <w:r w:rsidRPr="527260B2">
        <w:rPr>
          <w:rFonts w:ascii="Calibri" w:hAnsi="Calibri" w:cs="Calibri"/>
          <w:sz w:val="24"/>
          <w:szCs w:val="24"/>
        </w:rPr>
        <w:t xml:space="preserve"> </w:t>
      </w:r>
      <w:r w:rsidR="00B20F55">
        <w:rPr>
          <w:rFonts w:ascii="Calibri" w:hAnsi="Calibri" w:cs="Calibri"/>
          <w:sz w:val="24"/>
          <w:szCs w:val="24"/>
        </w:rPr>
        <w:t>H</w:t>
      </w:r>
      <w:r w:rsidRPr="527260B2">
        <w:rPr>
          <w:rFonts w:ascii="Calibri" w:hAnsi="Calibri" w:cs="Calibri"/>
          <w:sz w:val="24"/>
          <w:szCs w:val="24"/>
        </w:rPr>
        <w:t>ouseholds</w:t>
      </w:r>
      <w:r w:rsidRPr="527260B2" w:rsidR="00380128">
        <w:rPr>
          <w:rFonts w:ascii="Calibri" w:hAnsi="Calibri" w:cs="Calibri"/>
          <w:sz w:val="24"/>
          <w:szCs w:val="24"/>
        </w:rPr>
        <w:t xml:space="preserve"> will be</w:t>
      </w:r>
      <w:r w:rsidRPr="527260B2">
        <w:rPr>
          <w:rFonts w:ascii="Calibri" w:hAnsi="Calibri" w:cs="Calibri"/>
          <w:sz w:val="24"/>
          <w:szCs w:val="24"/>
        </w:rPr>
        <w:t xml:space="preserve"> selected from the Census Bureau’s gold standard Master Address File. This ensures the </w:t>
      </w:r>
      <w:r w:rsidR="002D4267">
        <w:rPr>
          <w:rFonts w:ascii="Calibri" w:hAnsi="Calibri" w:cs="Calibri"/>
          <w:sz w:val="24"/>
          <w:szCs w:val="24"/>
        </w:rPr>
        <w:t>CHP</w:t>
      </w:r>
      <w:r w:rsidRPr="527260B2" w:rsidR="002D4267">
        <w:rPr>
          <w:rFonts w:ascii="Calibri" w:hAnsi="Calibri" w:cs="Calibri"/>
          <w:sz w:val="24"/>
          <w:szCs w:val="24"/>
        </w:rPr>
        <w:t xml:space="preserve"> </w:t>
      </w:r>
      <w:r w:rsidRPr="527260B2">
        <w:rPr>
          <w:rFonts w:ascii="Calibri" w:hAnsi="Calibri" w:cs="Calibri"/>
          <w:sz w:val="24"/>
          <w:szCs w:val="24"/>
        </w:rPr>
        <w:t>is rooted in this rigorously developed and maintained frame and available for linkage to administrative records securely maintained and curated by the Census Bureau.</w:t>
      </w:r>
      <w:r w:rsidRPr="527260B2" w:rsidR="71063F43">
        <w:rPr>
          <w:rFonts w:ascii="Calibri" w:hAnsi="Calibri" w:cs="Calibri"/>
          <w:sz w:val="24"/>
          <w:szCs w:val="24"/>
        </w:rPr>
        <w:t xml:space="preserve"> </w:t>
      </w:r>
      <w:r w:rsidRPr="00916590" w:rsidR="71063F43">
        <w:rPr>
          <w:rFonts w:ascii="Calibri" w:hAnsi="Calibri" w:cs="Calibri"/>
          <w:sz w:val="24"/>
          <w:szCs w:val="24"/>
        </w:rPr>
        <w:t xml:space="preserve">This foundation and the </w:t>
      </w:r>
      <w:r w:rsidRPr="00916590" w:rsidR="36D33458">
        <w:rPr>
          <w:rFonts w:ascii="Calibri" w:hAnsi="Calibri" w:cs="Calibri"/>
          <w:sz w:val="24"/>
          <w:szCs w:val="24"/>
        </w:rPr>
        <w:t xml:space="preserve">incorporation </w:t>
      </w:r>
      <w:r w:rsidRPr="00916590" w:rsidR="71063F43">
        <w:rPr>
          <w:rFonts w:ascii="Calibri" w:hAnsi="Calibri" w:cs="Calibri"/>
          <w:sz w:val="24"/>
          <w:szCs w:val="24"/>
        </w:rPr>
        <w:t xml:space="preserve">of the </w:t>
      </w:r>
      <w:r w:rsidR="00937F7D">
        <w:rPr>
          <w:rFonts w:ascii="Calibri" w:hAnsi="Calibri" w:cs="Calibri"/>
          <w:sz w:val="24"/>
          <w:szCs w:val="24"/>
        </w:rPr>
        <w:t>CHP</w:t>
      </w:r>
      <w:r w:rsidRPr="00916590" w:rsidR="00937F7D">
        <w:rPr>
          <w:rFonts w:ascii="Calibri" w:hAnsi="Calibri" w:cs="Calibri"/>
          <w:sz w:val="24"/>
          <w:szCs w:val="24"/>
        </w:rPr>
        <w:t xml:space="preserve"> </w:t>
      </w:r>
      <w:r w:rsidRPr="00916590" w:rsidR="71063F43">
        <w:rPr>
          <w:rFonts w:ascii="Calibri" w:hAnsi="Calibri" w:cs="Calibri"/>
          <w:sz w:val="24"/>
          <w:szCs w:val="24"/>
        </w:rPr>
        <w:t>into the Title 13 infras</w:t>
      </w:r>
      <w:r w:rsidRPr="00916590" w:rsidR="6F8FB1AF">
        <w:rPr>
          <w:rFonts w:ascii="Calibri" w:hAnsi="Calibri" w:cs="Calibri"/>
          <w:sz w:val="24"/>
          <w:szCs w:val="24"/>
        </w:rPr>
        <w:t>tructure at the Census Bureau allows for the Census Bureau and partner agencies to leverage administrative records</w:t>
      </w:r>
      <w:r w:rsidRPr="00916590" w:rsidR="60D7F26B">
        <w:rPr>
          <w:rFonts w:ascii="Calibri" w:hAnsi="Calibri" w:cs="Calibri"/>
          <w:sz w:val="24"/>
          <w:szCs w:val="24"/>
        </w:rPr>
        <w:t xml:space="preserve"> and other non-survey data</w:t>
      </w:r>
      <w:r w:rsidRPr="00916590" w:rsidR="6F8FB1AF">
        <w:rPr>
          <w:rFonts w:ascii="Calibri" w:hAnsi="Calibri" w:cs="Calibri"/>
          <w:sz w:val="24"/>
          <w:szCs w:val="24"/>
        </w:rPr>
        <w:t xml:space="preserve"> in combination with </w:t>
      </w:r>
      <w:r w:rsidRPr="00916590" w:rsidR="3FBE4ED5">
        <w:rPr>
          <w:rFonts w:ascii="Calibri" w:hAnsi="Calibri" w:cs="Calibri"/>
          <w:sz w:val="24"/>
          <w:szCs w:val="24"/>
        </w:rPr>
        <w:t xml:space="preserve">data from the </w:t>
      </w:r>
      <w:r w:rsidR="002D4267">
        <w:rPr>
          <w:rFonts w:ascii="Calibri" w:hAnsi="Calibri" w:cs="Calibri"/>
          <w:sz w:val="24"/>
          <w:szCs w:val="24"/>
        </w:rPr>
        <w:t>CHP</w:t>
      </w:r>
      <w:r w:rsidRPr="00916590" w:rsidR="002D4267">
        <w:rPr>
          <w:rFonts w:ascii="Calibri" w:hAnsi="Calibri" w:cs="Calibri"/>
          <w:sz w:val="24"/>
          <w:szCs w:val="24"/>
        </w:rPr>
        <w:t xml:space="preserve"> </w:t>
      </w:r>
      <w:r w:rsidRPr="00916590" w:rsidR="11A0EE79">
        <w:rPr>
          <w:rFonts w:ascii="Calibri" w:hAnsi="Calibri" w:cs="Calibri"/>
          <w:sz w:val="24"/>
          <w:szCs w:val="24"/>
        </w:rPr>
        <w:t xml:space="preserve">to </w:t>
      </w:r>
      <w:r w:rsidRPr="00916590" w:rsidR="22EE9D35">
        <w:rPr>
          <w:rFonts w:ascii="Calibri" w:hAnsi="Calibri" w:cs="Calibri"/>
          <w:sz w:val="24"/>
          <w:szCs w:val="24"/>
        </w:rPr>
        <w:t xml:space="preserve">create a platform for a </w:t>
      </w:r>
      <w:r w:rsidRPr="00916590" w:rsidR="6977BCA8">
        <w:rPr>
          <w:rFonts w:ascii="Calibri" w:hAnsi="Calibri" w:cs="Calibri"/>
          <w:sz w:val="24"/>
          <w:szCs w:val="24"/>
        </w:rPr>
        <w:t>high-quality</w:t>
      </w:r>
      <w:r w:rsidRPr="00916590" w:rsidR="22EE9D35">
        <w:rPr>
          <w:rFonts w:ascii="Calibri" w:hAnsi="Calibri" w:cs="Calibri"/>
          <w:sz w:val="24"/>
          <w:szCs w:val="24"/>
        </w:rPr>
        <w:t xml:space="preserve"> integrated data program.</w:t>
      </w:r>
      <w:r w:rsidRPr="527260B2">
        <w:rPr>
          <w:rFonts w:ascii="Calibri" w:hAnsi="Calibri" w:cs="Calibri"/>
          <w:sz w:val="24"/>
          <w:szCs w:val="24"/>
        </w:rPr>
        <w:t xml:space="preserve"> Initial invitations to enroll in the </w:t>
      </w:r>
      <w:r w:rsidR="002D4267">
        <w:rPr>
          <w:rFonts w:ascii="Calibri" w:hAnsi="Calibri" w:cs="Calibri"/>
          <w:sz w:val="24"/>
          <w:szCs w:val="24"/>
        </w:rPr>
        <w:t>CHP</w:t>
      </w:r>
      <w:r w:rsidRPr="527260B2" w:rsidR="002D4267">
        <w:rPr>
          <w:rFonts w:ascii="Calibri" w:hAnsi="Calibri" w:cs="Calibri"/>
          <w:sz w:val="24"/>
          <w:szCs w:val="24"/>
        </w:rPr>
        <w:t xml:space="preserve"> </w:t>
      </w:r>
      <w:r w:rsidRPr="527260B2">
        <w:rPr>
          <w:rFonts w:ascii="Calibri" w:hAnsi="Calibri" w:cs="Calibri"/>
          <w:sz w:val="24"/>
          <w:szCs w:val="24"/>
        </w:rPr>
        <w:t xml:space="preserve">will be sent by mail and </w:t>
      </w:r>
      <w:r w:rsidRPr="527260B2" w:rsidR="00602EBD">
        <w:rPr>
          <w:rFonts w:ascii="Calibri" w:hAnsi="Calibri" w:cs="Calibri"/>
          <w:sz w:val="24"/>
          <w:szCs w:val="24"/>
        </w:rPr>
        <w:t>post-recru</w:t>
      </w:r>
      <w:r w:rsidRPr="527260B2" w:rsidR="00E6360A">
        <w:rPr>
          <w:rFonts w:ascii="Calibri" w:hAnsi="Calibri" w:cs="Calibri"/>
          <w:sz w:val="24"/>
          <w:szCs w:val="24"/>
        </w:rPr>
        <w:t>i</w:t>
      </w:r>
      <w:r w:rsidRPr="527260B2" w:rsidR="00602EBD">
        <w:rPr>
          <w:rFonts w:ascii="Calibri" w:hAnsi="Calibri" w:cs="Calibri"/>
          <w:sz w:val="24"/>
          <w:szCs w:val="24"/>
        </w:rPr>
        <w:t xml:space="preserve">tment panel </w:t>
      </w:r>
      <w:r w:rsidRPr="527260B2">
        <w:rPr>
          <w:rFonts w:ascii="Calibri" w:hAnsi="Calibri" w:cs="Calibri"/>
          <w:sz w:val="24"/>
          <w:szCs w:val="24"/>
        </w:rPr>
        <w:t xml:space="preserve">questionnaires will be mainly internet self-response. The </w:t>
      </w:r>
      <w:r w:rsidR="002D4267">
        <w:rPr>
          <w:rFonts w:ascii="Calibri" w:hAnsi="Calibri" w:cs="Calibri"/>
          <w:sz w:val="24"/>
          <w:szCs w:val="24"/>
        </w:rPr>
        <w:t>CHP</w:t>
      </w:r>
      <w:r w:rsidRPr="527260B2" w:rsidR="002D4267">
        <w:rPr>
          <w:rFonts w:ascii="Calibri" w:hAnsi="Calibri" w:cs="Calibri"/>
          <w:sz w:val="24"/>
          <w:szCs w:val="24"/>
        </w:rPr>
        <w:t xml:space="preserve"> </w:t>
      </w:r>
      <w:r w:rsidRPr="527260B2">
        <w:rPr>
          <w:rFonts w:ascii="Calibri" w:hAnsi="Calibri" w:cs="Calibri"/>
          <w:sz w:val="24"/>
          <w:szCs w:val="24"/>
        </w:rPr>
        <w:t xml:space="preserve">will maintain representativeness by allowing </w:t>
      </w:r>
      <w:r w:rsidRPr="527260B2">
        <w:rPr>
          <w:rFonts w:ascii="Calibri" w:hAnsi="Calibri" w:cs="Calibri"/>
          <w:sz w:val="24"/>
          <w:szCs w:val="24"/>
        </w:rPr>
        <w:t>respondents who do not use the internet to respond via in-bound computer-assisted telephone interviewing (CATI). All panelists will receive an incentive for each complete questionnaire. Periodic replenishment samples will maintain representativeness and panelists will be replaced after a period of three years.</w:t>
      </w: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1408AF" w:rsidRPr="00CD6C4D" w:rsidP="00606B4E" w14:paraId="6C3A2AB1" w14:textId="13FAE2BB">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w:t>
      </w:r>
      <w:r w:rsidR="002D4267">
        <w:rPr>
          <w:rFonts w:asciiTheme="minorHAnsi" w:hAnsiTheme="minorHAnsi" w:cstheme="minorHAnsi"/>
          <w:sz w:val="24"/>
          <w:szCs w:val="24"/>
        </w:rPr>
        <w:t>CHP</w:t>
      </w:r>
      <w:r w:rsidRPr="00CD6C4D" w:rsidR="002D4267">
        <w:rPr>
          <w:rFonts w:asciiTheme="minorHAnsi" w:hAnsiTheme="minorHAnsi" w:cstheme="minorHAnsi"/>
          <w:sz w:val="24"/>
          <w:szCs w:val="24"/>
        </w:rPr>
        <w:t xml:space="preserve"> </w:t>
      </w:r>
      <w:r w:rsidRPr="00CD6C4D">
        <w:rPr>
          <w:rFonts w:asciiTheme="minorHAnsi" w:hAnsiTheme="minorHAnsi" w:cstheme="minorHAnsi"/>
          <w:sz w:val="24"/>
          <w:szCs w:val="24"/>
        </w:rPr>
        <w:t xml:space="preserve">are expected to be comparable to those developed for high-frequency survey programs (e.g., the Household Pulse Survey). Examples include Tables in Excel format posted on the Census Bureau’s Experimental Data page, a Public Use Microdata File (PUF), and reports. </w:t>
      </w:r>
      <w:r w:rsidR="00937F7D">
        <w:rPr>
          <w:rFonts w:asciiTheme="minorHAnsi" w:hAnsiTheme="minorHAnsi" w:cstheme="minorHAnsi"/>
          <w:sz w:val="24"/>
          <w:szCs w:val="24"/>
        </w:rPr>
        <w:t>To maximize timeliness, p</w:t>
      </w:r>
      <w:r w:rsidRPr="00CD6C4D">
        <w:rPr>
          <w:rFonts w:asciiTheme="minorHAnsi" w:hAnsiTheme="minorHAnsi" w:cstheme="minorHAnsi"/>
          <w:sz w:val="24"/>
          <w:szCs w:val="24"/>
        </w:rPr>
        <w:t xml:space="preserve">rocessing will include minimal edits and basic weighting. </w:t>
      </w:r>
    </w:p>
    <w:p w:rsidR="001408AF" w:rsidRPr="00CD6C4D" w:rsidP="00606B4E" w14:paraId="0E84A909" w14:textId="77777777">
      <w:pPr>
        <w:spacing w:line="360" w:lineRule="auto"/>
        <w:ind w:left="360"/>
        <w:rPr>
          <w:rFonts w:asciiTheme="minorHAnsi" w:hAnsiTheme="minorHAnsi" w:cstheme="minorHAnsi"/>
          <w:sz w:val="24"/>
          <w:szCs w:val="24"/>
        </w:rPr>
      </w:pPr>
    </w:p>
    <w:p w:rsidR="001408AF" w:rsidRPr="00CD6C4D" w:rsidP="00606B4E" w14:paraId="125584EE" w14:textId="7F534B09">
      <w:pPr>
        <w:spacing w:line="360" w:lineRule="auto"/>
        <w:ind w:left="360"/>
        <w:rPr>
          <w:rFonts w:asciiTheme="minorHAnsi" w:hAnsiTheme="minorHAnsi" w:cstheme="minorHAnsi"/>
          <w:sz w:val="24"/>
          <w:szCs w:val="24"/>
        </w:rPr>
      </w:pPr>
      <w:r w:rsidRPr="00916590">
        <w:rPr>
          <w:rFonts w:asciiTheme="minorHAnsi" w:hAnsiTheme="minorHAnsi" w:cstheme="minorHAnsi"/>
          <w:sz w:val="24"/>
          <w:szCs w:val="24"/>
        </w:rPr>
        <w:t>Specific data products will be negotiated with topical survey sponsors. As with all Census Bureau products</w:t>
      </w:r>
      <w:r w:rsidRPr="00916590" w:rsidR="00E13638">
        <w:rPr>
          <w:rFonts w:asciiTheme="minorHAnsi" w:hAnsiTheme="minorHAnsi" w:cstheme="minorHAnsi"/>
          <w:sz w:val="24"/>
          <w:szCs w:val="24"/>
        </w:rPr>
        <w:t xml:space="preserve"> and public use data files</w:t>
      </w:r>
      <w:r w:rsidRPr="00916590">
        <w:rPr>
          <w:rFonts w:asciiTheme="minorHAnsi" w:hAnsiTheme="minorHAnsi" w:cstheme="minorHAnsi"/>
          <w:sz w:val="24"/>
          <w:szCs w:val="24"/>
        </w:rPr>
        <w:t xml:space="preserve">, data will be reviewed and approved for release by the Census Bureau Disclosure Review Board (DRB). Census </w:t>
      </w:r>
      <w:r w:rsidRPr="00916590" w:rsidR="00E13638">
        <w:rPr>
          <w:rFonts w:asciiTheme="minorHAnsi" w:hAnsiTheme="minorHAnsi" w:cstheme="minorHAnsi"/>
          <w:sz w:val="24"/>
          <w:szCs w:val="24"/>
        </w:rPr>
        <w:t xml:space="preserve">Bureau staff with appropriate business need to know </w:t>
      </w:r>
      <w:r w:rsidRPr="00916590">
        <w:rPr>
          <w:rFonts w:asciiTheme="minorHAnsi" w:hAnsiTheme="minorHAnsi" w:cstheme="minorHAnsi"/>
          <w:sz w:val="24"/>
          <w:szCs w:val="24"/>
        </w:rPr>
        <w:t>can receive raw data if requested.</w:t>
      </w:r>
      <w:r w:rsidRPr="00CD6C4D">
        <w:rPr>
          <w:rFonts w:asciiTheme="minorHAnsi" w:hAnsiTheme="minorHAnsi" w:cstheme="minorHAnsi"/>
          <w:sz w:val="24"/>
          <w:szCs w:val="24"/>
        </w:rPr>
        <w:t xml:space="preserve">  </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157C6C70">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sidR="002D4267">
        <w:rPr>
          <w:rFonts w:ascii="Calibri" w:hAnsi="Calibri" w:cs="Calibri"/>
          <w:bCs/>
          <w:sz w:val="24"/>
        </w:rPr>
        <w:t>CHP</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5DC76C70">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w:t>
      </w:r>
      <w:r w:rsidRPr="00BF3C29">
        <w:rPr>
          <w:rFonts w:ascii="Calibri" w:hAnsi="Calibri" w:cs="Calibri"/>
          <w:bCs/>
          <w:sz w:val="24"/>
        </w:rPr>
        <w:t xml:space="preserve">electronically via email and/or SMS.  Survey </w:t>
      </w:r>
      <w:r w:rsidR="00630698">
        <w:rPr>
          <w:rFonts w:ascii="Calibri" w:hAnsi="Calibri" w:cs="Calibri"/>
          <w:bCs/>
          <w:sz w:val="24"/>
        </w:rPr>
        <w:t>invitations</w:t>
      </w:r>
      <w:r w:rsidRPr="00BF3C29">
        <w:rPr>
          <w:rFonts w:ascii="Calibri" w:hAnsi="Calibri" w:cs="Calibri"/>
          <w:bCs/>
          <w:sz w:val="24"/>
        </w:rPr>
        <w:t xml:space="preserve"> for the </w:t>
      </w:r>
      <w:r w:rsidR="002D4267">
        <w:rPr>
          <w:rFonts w:ascii="Calibri" w:hAnsi="Calibri" w:cs="Calibri"/>
          <w:bCs/>
          <w:sz w:val="24"/>
        </w:rPr>
        <w:t>CHP</w:t>
      </w:r>
      <w:r w:rsidRPr="00BF3C29">
        <w:rPr>
          <w:rFonts w:ascii="Calibri" w:hAnsi="Calibri" w:cs="Calibri"/>
          <w:bCs/>
          <w:sz w:val="24"/>
        </w:rPr>
        <w:t xml:space="preserve">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416BD6" w14:paraId="606E298F" w14:textId="77777777">
      <w:pPr>
        <w:pStyle w:val="ListParagraph"/>
        <w:numPr>
          <w:ilvl w:val="0"/>
          <w:numId w:val="7"/>
        </w:numPr>
        <w:spacing w:before="100" w:beforeAutospacing="1"/>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416BD6" w14:paraId="7225D920" w14:textId="7127D6E2">
      <w:pPr>
        <w:spacing w:before="161" w:line="360" w:lineRule="auto"/>
        <w:ind w:left="360"/>
        <w:rPr>
          <w:rFonts w:ascii="Calibri" w:hAnsi="Calibri" w:cs="Calibri"/>
          <w:sz w:val="24"/>
          <w:szCs w:val="24"/>
        </w:rPr>
      </w:pPr>
      <w:r w:rsidRPr="4B650D8D">
        <w:rPr>
          <w:rFonts w:ascii="Calibri" w:hAnsi="Calibri" w:cs="Calibri"/>
          <w:sz w:val="24"/>
          <w:szCs w:val="24"/>
        </w:rPr>
        <w:t xml:space="preserve">The content of each survey will be evaluated for duplication with existing information, and for suitability for this data collection. </w:t>
      </w:r>
      <w:r w:rsidRPr="4B650D8D" w:rsidR="00CC74D0">
        <w:rPr>
          <w:rFonts w:ascii="Calibri" w:hAnsi="Calibri" w:cs="Calibri"/>
          <w:sz w:val="24"/>
          <w:szCs w:val="24"/>
        </w:rPr>
        <w:t xml:space="preserve">  The purpose of this clearance is to </w:t>
      </w:r>
      <w:r w:rsidRPr="4B650D8D">
        <w:rPr>
          <w:rFonts w:ascii="Calibri" w:hAnsi="Calibri" w:cs="Calibri"/>
          <w:sz w:val="24"/>
          <w:szCs w:val="24"/>
        </w:rPr>
        <w:t>create a structure that can expand the types of research that the Census Bureau and other Federal agencies are able to conduct</w:t>
      </w:r>
      <w:r w:rsidRPr="4B650D8D" w:rsidR="009D12FB">
        <w:rPr>
          <w:rFonts w:ascii="Calibri" w:hAnsi="Calibri" w:cs="Calibri"/>
          <w:sz w:val="24"/>
          <w:szCs w:val="24"/>
        </w:rPr>
        <w:t xml:space="preserve"> using a Title 13 frame and for Title 13 benefits</w:t>
      </w:r>
      <w:r w:rsidRPr="4B650D8D" w:rsidR="00CC74D0">
        <w:rPr>
          <w:rFonts w:ascii="Calibri" w:hAnsi="Calibri" w:cs="Calibri"/>
          <w:sz w:val="24"/>
          <w:szCs w:val="24"/>
        </w:rPr>
        <w:t xml:space="preserve">.  </w:t>
      </w:r>
      <w:r w:rsidRPr="4B650D8D" w:rsidR="4421861A">
        <w:rPr>
          <w:rFonts w:ascii="Calibri" w:hAnsi="Calibri" w:cs="Calibri"/>
          <w:sz w:val="24"/>
          <w:szCs w:val="24"/>
        </w:rPr>
        <w:t xml:space="preserve">The Census Household Panel is sampled from the Census Bureau’s Master Address File (MAF), which contains an accurate, up to date inventory of all known living quarters in the United States, Puerto </w:t>
      </w:r>
      <w:r w:rsidRPr="4B650D8D" w:rsidR="00416BD6">
        <w:rPr>
          <w:rFonts w:ascii="Calibri" w:hAnsi="Calibri" w:cs="Calibri"/>
          <w:sz w:val="24"/>
          <w:szCs w:val="24"/>
        </w:rPr>
        <w:t>Rico,</w:t>
      </w:r>
      <w:r w:rsidRPr="4B650D8D" w:rsidR="4421861A">
        <w:rPr>
          <w:rFonts w:ascii="Calibri" w:hAnsi="Calibri" w:cs="Calibri"/>
          <w:sz w:val="24"/>
          <w:szCs w:val="24"/>
        </w:rPr>
        <w:t xml:space="preserve"> and associated island areas. </w:t>
      </w:r>
      <w:r w:rsidRPr="4B650D8D" w:rsidR="3C5551CB">
        <w:rPr>
          <w:rFonts w:ascii="Calibri" w:hAnsi="Calibri" w:cs="Calibri"/>
          <w:sz w:val="24"/>
          <w:szCs w:val="24"/>
        </w:rPr>
        <w:t xml:space="preserve">This foundation of the CHP in the Title 13 infrastructure at the Census Bureau allows for the Census Bureau and partner agencies to leverage administrative records and other non-survey data, in combination with data from the </w:t>
      </w:r>
      <w:r w:rsidR="00C07E7E">
        <w:rPr>
          <w:rFonts w:ascii="Calibri" w:hAnsi="Calibri" w:cs="Calibri"/>
          <w:sz w:val="24"/>
          <w:szCs w:val="24"/>
        </w:rPr>
        <w:t>CHP</w:t>
      </w:r>
      <w:r w:rsidRPr="4B650D8D" w:rsidR="3C5551CB">
        <w:rPr>
          <w:rFonts w:ascii="Calibri" w:hAnsi="Calibri" w:cs="Calibri"/>
          <w:sz w:val="24"/>
          <w:szCs w:val="24"/>
        </w:rPr>
        <w:t xml:space="preserve"> to create a platform for high-quality integrated data.</w:t>
      </w:r>
      <w:r w:rsidR="003A17FB">
        <w:rPr>
          <w:rFonts w:ascii="Calibri" w:hAnsi="Calibri" w:cs="Calibri"/>
          <w:sz w:val="24"/>
          <w:szCs w:val="24"/>
        </w:rPr>
        <w:t xml:space="preserve"> This is vital for both quality adjustments to collected </w:t>
      </w:r>
      <w:r w:rsidR="00C07E7E">
        <w:rPr>
          <w:rFonts w:ascii="Calibri" w:hAnsi="Calibri" w:cs="Calibri"/>
          <w:sz w:val="24"/>
          <w:szCs w:val="24"/>
        </w:rPr>
        <w:t>CHP</w:t>
      </w:r>
      <w:r w:rsidR="003A17FB">
        <w:rPr>
          <w:rFonts w:ascii="Calibri" w:hAnsi="Calibri" w:cs="Calibri"/>
          <w:sz w:val="24"/>
          <w:szCs w:val="24"/>
        </w:rPr>
        <w:t xml:space="preserve"> data, and to supplement/combine with </w:t>
      </w:r>
      <w:r w:rsidR="00C07E7E">
        <w:rPr>
          <w:rFonts w:ascii="Calibri" w:hAnsi="Calibri" w:cs="Calibri"/>
          <w:sz w:val="24"/>
          <w:szCs w:val="24"/>
        </w:rPr>
        <w:t>CHP</w:t>
      </w:r>
      <w:r w:rsidR="003A17FB">
        <w:rPr>
          <w:rFonts w:ascii="Calibri" w:hAnsi="Calibri" w:cs="Calibri"/>
          <w:sz w:val="24"/>
          <w:szCs w:val="24"/>
        </w:rPr>
        <w:t xml:space="preserve"> data to provide a unique data resource to address critical Census and partner agency questions. </w:t>
      </w:r>
    </w:p>
    <w:p w:rsidR="00DD7257" w:rsidRPr="00CD6C4D" w:rsidP="4B650D8D" w14:paraId="47F50CDE" w14:textId="4069F0FB">
      <w:pPr>
        <w:spacing w:before="161" w:line="360" w:lineRule="auto"/>
        <w:ind w:left="360"/>
        <w:rPr>
          <w:rFonts w:ascii="Calibri" w:hAnsi="Calibri" w:cs="Calibri"/>
          <w:sz w:val="24"/>
          <w:szCs w:val="24"/>
        </w:rPr>
      </w:pPr>
      <w:r w:rsidRPr="4B650D8D">
        <w:rPr>
          <w:rFonts w:ascii="Calibri" w:hAnsi="Calibri" w:cs="Calibri"/>
          <w:sz w:val="24"/>
          <w:szCs w:val="24"/>
        </w:rPr>
        <w:t>This research will involve collaboration with staff from other agencies.  All efforts would be collaborative in nature, and no duplication in this area is anticipated.</w:t>
      </w:r>
    </w:p>
    <w:p w:rsidR="00B82768" w:rsidRPr="00CD6C4D" w:rsidP="3A4BA631" w14:paraId="265EECE8" w14:textId="0CAC8D49">
      <w:pPr>
        <w:spacing w:before="161" w:line="360" w:lineRule="auto"/>
        <w:ind w:left="360"/>
        <w:rPr>
          <w:rFonts w:ascii="Calibri" w:hAnsi="Calibri" w:cs="Calibri"/>
          <w:sz w:val="24"/>
          <w:szCs w:val="24"/>
        </w:rPr>
      </w:pPr>
      <w:r w:rsidRPr="3A4BA631">
        <w:rPr>
          <w:rFonts w:ascii="Calibri" w:hAnsi="Calibri" w:cs="Calibri"/>
          <w:sz w:val="24"/>
          <w:szCs w:val="24"/>
        </w:rPr>
        <w:t xml:space="preserve">To the maximum extent possible, we will make use of </w:t>
      </w:r>
      <w:r w:rsidRPr="3A4BA631">
        <w:rPr>
          <w:rFonts w:ascii="Calibri" w:hAnsi="Calibri" w:cs="Calibri"/>
          <w:sz w:val="24"/>
          <w:szCs w:val="24"/>
        </w:rPr>
        <w:t>previously</w:t>
      </w:r>
      <w:r w:rsidRPr="3A4BA631" w:rsidR="0F201C6E">
        <w:rPr>
          <w:rFonts w:ascii="Calibri" w:hAnsi="Calibri" w:cs="Calibri"/>
          <w:sz w:val="24"/>
          <w:szCs w:val="24"/>
        </w:rPr>
        <w:t>-</w:t>
      </w:r>
      <w:r w:rsidRPr="3A4BA631">
        <w:rPr>
          <w:rFonts w:ascii="Calibri" w:hAnsi="Calibri" w:cs="Calibri"/>
          <w:sz w:val="24"/>
          <w:szCs w:val="24"/>
        </w:rPr>
        <w:t>collected</w:t>
      </w:r>
      <w:r w:rsidRPr="3A4BA631">
        <w:rPr>
          <w:rFonts w:ascii="Calibri" w:hAnsi="Calibri" w:cs="Calibri"/>
          <w:sz w:val="24"/>
          <w:szCs w:val="24"/>
        </w:rPr>
        <w:t xml:space="preserve"> data by agencies, external data sources, and results from previous collections of survey.  </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rsidP="00616AF4"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416BD6" w:rsidP="00416BD6" w14:paraId="723DB850" w14:textId="5B4347AC">
      <w:pPr>
        <w:pStyle w:val="BodyText"/>
        <w:spacing w:before="115" w:line="360" w:lineRule="auto"/>
        <w:ind w:left="403"/>
        <w:rPr>
          <w:rFonts w:ascii="Calibri" w:hAnsi="Calibri" w:cs="Calibri"/>
          <w:bCs/>
          <w:szCs w:val="22"/>
        </w:rPr>
      </w:pPr>
      <w:r w:rsidRPr="008B19D0">
        <w:rPr>
          <w:rFonts w:ascii="Calibri" w:hAnsi="Calibri" w:cs="Calibri"/>
          <w:bCs/>
          <w:szCs w:val="22"/>
        </w:rPr>
        <w:t>Th</w:t>
      </w:r>
      <w:r w:rsidR="002D4267">
        <w:rPr>
          <w:rFonts w:ascii="Calibri" w:hAnsi="Calibri" w:cs="Calibri"/>
          <w:bCs/>
          <w:szCs w:val="22"/>
        </w:rPr>
        <w:t>e</w:t>
      </w:r>
      <w:r w:rsidRPr="008B19D0">
        <w:rPr>
          <w:rFonts w:ascii="Calibri" w:hAnsi="Calibri" w:cs="Calibri"/>
          <w:bCs/>
          <w:szCs w:val="22"/>
        </w:rPr>
        <w:t xml:space="preserve"> </w:t>
      </w:r>
      <w:r w:rsidR="002D4267">
        <w:rPr>
          <w:rFonts w:ascii="Calibri" w:hAnsi="Calibri" w:cs="Calibri"/>
          <w:bCs/>
          <w:szCs w:val="22"/>
        </w:rPr>
        <w:t>CHP</w:t>
      </w:r>
      <w:r w:rsidRPr="008B19D0">
        <w:rPr>
          <w:rFonts w:ascii="Calibri" w:hAnsi="Calibri" w:cs="Calibri"/>
          <w:bCs/>
          <w:szCs w:val="22"/>
        </w:rPr>
        <w:t xml:space="preserve"> will become integral to rapidly providing insight on national events that may impact social, economic, or demographic characteristics of the population. </w:t>
      </w:r>
      <w:r>
        <w:rPr>
          <w:rFonts w:ascii="Calibri" w:hAnsi="Calibri" w:cs="Calibri"/>
          <w:bCs/>
          <w:szCs w:val="22"/>
        </w:rPr>
        <w:t xml:space="preserve">Without mechanisms such as the </w:t>
      </w:r>
      <w:r w:rsidR="002D4267">
        <w:rPr>
          <w:rFonts w:ascii="Calibri" w:hAnsi="Calibri" w:cs="Calibri"/>
          <w:bCs/>
          <w:szCs w:val="22"/>
        </w:rPr>
        <w:t>CHP</w:t>
      </w:r>
      <w:r>
        <w:rPr>
          <w:rFonts w:ascii="Calibri" w:hAnsi="Calibri" w:cs="Calibri"/>
          <w:bCs/>
          <w:szCs w:val="22"/>
        </w:rPr>
        <w:t>, the Census Bureau will miss out on the many benefits of a Panel survey, including the ability to</w:t>
      </w:r>
      <w:r w:rsidRPr="008B19D0">
        <w:rPr>
          <w:rFonts w:ascii="Calibri" w:hAnsi="Calibri" w:cs="Calibri"/>
          <w:bCs/>
          <w:szCs w:val="22"/>
        </w:rPr>
        <w:t xml:space="preserve"> produce data </w:t>
      </w:r>
      <w:r>
        <w:rPr>
          <w:rFonts w:ascii="Calibri" w:hAnsi="Calibri" w:cs="Calibri"/>
          <w:bCs/>
          <w:szCs w:val="22"/>
        </w:rPr>
        <w:t>close</w:t>
      </w:r>
      <w:r w:rsidRPr="008B19D0">
        <w:rPr>
          <w:rFonts w:ascii="Calibri" w:hAnsi="Calibri" w:cs="Calibri"/>
          <w:bCs/>
          <w:szCs w:val="22"/>
        </w:rPr>
        <w:t xml:space="preserve"> to real time as the events </w:t>
      </w:r>
      <w:r>
        <w:rPr>
          <w:rFonts w:ascii="Calibri" w:hAnsi="Calibri" w:cs="Calibri"/>
          <w:bCs/>
          <w:szCs w:val="22"/>
        </w:rPr>
        <w:t xml:space="preserve">develop, </w:t>
      </w:r>
      <w:r w:rsidRPr="008B19D0">
        <w:rPr>
          <w:rFonts w:ascii="Calibri" w:hAnsi="Calibri" w:cs="Calibri"/>
          <w:bCs/>
          <w:szCs w:val="22"/>
        </w:rPr>
        <w:t>research questions related to surveys</w:t>
      </w:r>
      <w:r>
        <w:rPr>
          <w:rFonts w:ascii="Calibri" w:hAnsi="Calibri" w:cs="Calibri"/>
          <w:bCs/>
          <w:szCs w:val="22"/>
        </w:rPr>
        <w:t>, and enhance</w:t>
      </w:r>
      <w:r w:rsidRPr="008B19D0">
        <w:rPr>
          <w:rFonts w:ascii="Calibri" w:hAnsi="Calibri" w:cs="Calibri"/>
          <w:bCs/>
          <w:szCs w:val="22"/>
        </w:rPr>
        <w:t xml:space="preserve"> data with administrative and other external data sources. </w:t>
      </w:r>
      <w:r>
        <w:rPr>
          <w:rFonts w:ascii="Calibri" w:hAnsi="Calibri" w:cs="Calibri"/>
          <w:bCs/>
          <w:szCs w:val="22"/>
        </w:rPr>
        <w:t xml:space="preserve">The Bureau would also lose </w:t>
      </w:r>
      <w:r w:rsidRPr="008B19D0">
        <w:rPr>
          <w:rFonts w:ascii="Calibri" w:hAnsi="Calibri" w:cs="Calibri"/>
          <w:bCs/>
          <w:szCs w:val="22"/>
        </w:rPr>
        <w:t>a critical platform for developing adaptive design procedures that use auxiliary data sources</w:t>
      </w:r>
      <w:r>
        <w:rPr>
          <w:rFonts w:ascii="Calibri" w:hAnsi="Calibri" w:cs="Calibri"/>
          <w:bCs/>
          <w:szCs w:val="22"/>
        </w:rPr>
        <w:t>, a method proven</w:t>
      </w:r>
      <w:r w:rsidRPr="008B19D0">
        <w:rPr>
          <w:rFonts w:ascii="Calibri" w:hAnsi="Calibri" w:cs="Calibri"/>
          <w:bCs/>
          <w:szCs w:val="22"/>
        </w:rPr>
        <w:t xml:space="preserve"> to reduce costs, improve data quality, and maintain and improve representativeness in the data we collect and use.</w:t>
      </w:r>
    </w:p>
    <w:p w:rsidR="00416BD6" w:rsidP="00416BD6" w14:paraId="755B37D2" w14:textId="77777777">
      <w:pPr>
        <w:pStyle w:val="BodyText"/>
        <w:spacing w:before="115" w:line="360" w:lineRule="auto"/>
        <w:ind w:left="403"/>
        <w:rPr>
          <w:rFonts w:eastAsia="Times" w:asciiTheme="minorHAnsi" w:hAnsiTheme="minorHAnsi" w:cstheme="minorHAnsi"/>
        </w:rPr>
      </w:pPr>
      <w:r w:rsidRPr="00416BD6">
        <w:rPr>
          <w:rFonts w:eastAsia="Times" w:asciiTheme="minorHAnsi" w:hAnsiTheme="minorHAnsi" w:cstheme="minorHAnsi"/>
        </w:rPr>
        <w:t xml:space="preserve">Any federal agency or consortium of groups including a federal agency may submit a proposal to conduct a topical survey to the Census Household Panel, which includes the purpose and goals of the topical; proposed questions (if developed) and question testing results or a plan for developing and/or testing questions; and the request fielding period. For inclusion in the CHP, the following criteria must be met: the subject matter must be in the public interest and appropriate for inclusion in a government-run survey; the inquiry must not have an adverse effect on the CHP or on the image of the Census Bureau; sensitive populations and topics must be addressed thoughtfully; inclusion of content must be feasible without jeopardizing resources and infrastructure needed to support other Panel operations; all topical surveys must abide by the Census Bureau’s enabling legislation; the release of the topical survey data is governed by OMB Statistical Policy Directive, and the data should be released in a timely matter. </w:t>
      </w:r>
    </w:p>
    <w:p w:rsidR="71E81FB7" w:rsidRPr="00416BD6" w:rsidP="00416BD6" w14:paraId="159A1676" w14:textId="0484CA8D">
      <w:pPr>
        <w:pStyle w:val="BodyText"/>
        <w:spacing w:before="115" w:line="360" w:lineRule="auto"/>
        <w:ind w:left="403"/>
        <w:rPr>
          <w:rFonts w:ascii="Calibri" w:hAnsi="Calibri" w:cs="Calibri"/>
          <w:bCs/>
          <w:szCs w:val="22"/>
        </w:rPr>
      </w:pPr>
      <w:r w:rsidRPr="00416BD6">
        <w:rPr>
          <w:rFonts w:eastAsia="Times" w:asciiTheme="minorHAnsi" w:hAnsiTheme="minorHAnsi" w:cstheme="minorHAnsi"/>
        </w:rPr>
        <w:t>If the Census Household Panel is deemed the appropriate vehicle for meeting the sponsoring agency’s needs, the Census Bureau will work with the agency to prepare an Interagency Agreement (IAA). The IAA shall include language articulating the purpose, features, benefits, and limitations of the Panel By signing the IAA, the sponsoring agency accepts the characteristics, including the limitations, of data produced under the CHP.</w:t>
      </w:r>
    </w:p>
    <w:p w:rsidR="4B650D8D" w:rsidP="00D73009" w14:paraId="7E1EE0D8" w14:textId="5B080F1C">
      <w:pPr>
        <w:pStyle w:val="BodyText"/>
        <w:spacing w:before="115" w:line="360" w:lineRule="auto"/>
        <w:ind w:left="360"/>
        <w:rPr>
          <w:rFonts w:ascii="Calibri" w:hAnsi="Calibri" w:cs="Calibri"/>
        </w:rPr>
      </w:pPr>
      <w:r w:rsidRPr="00F81E25">
        <w:rPr>
          <w:rFonts w:ascii="Calibri" w:hAnsi="Calibri" w:cs="Calibri"/>
        </w:rPr>
        <w:t xml:space="preserve">The Census Bureau will maintain the authority and responsibility under the PRA and other relevant    statutes for the content of the CHP. Topical surveys will be submitted to OMB for review and </w:t>
      </w:r>
      <w:r w:rsidRPr="00F81E25">
        <w:rPr>
          <w:rFonts w:ascii="Calibri" w:hAnsi="Calibri" w:cs="Calibri"/>
        </w:rPr>
        <w:t>approval as substantive revisions to this ICR, with 30 days of public comment. If a topical survey meets the requirements for an emergency clearance described in 5 CFR 1320.13, it will be submitted for emergency review under a new control number and this ICR will be updated with a change request that lists the control number and describes the topical survey.</w:t>
      </w:r>
    </w:p>
    <w:p w:rsidR="00201347" w:rsidRPr="00124446" w:rsidP="00844D2F" w14:paraId="74BEDF83" w14:textId="02239F28">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937F7D">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requiring respondents to prepare a written response to a collection of information in fewer than 30 days after receipt of </w:t>
      </w:r>
      <w:r w:rsidRPr="00606B4E">
        <w:rPr>
          <w:rFonts w:ascii="Calibri" w:hAnsi="Calibri" w:cs="Calibri"/>
          <w:b/>
          <w:bCs/>
          <w:sz w:val="24"/>
        </w:rPr>
        <w:t>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 xml:space="preserve">requiring the use of a statistical data classification that has not been reviewed and approved by </w:t>
      </w:r>
      <w:r w:rsidRPr="00606B4E">
        <w:rPr>
          <w:rFonts w:ascii="Calibri" w:hAnsi="Calibri" w:cs="Calibri"/>
          <w:b/>
          <w:bCs/>
          <w:sz w:val="24"/>
        </w:rPr>
        <w:t>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2D4267" w14:paraId="1F6ACA81" w14:textId="28DD3DE7">
      <w:pPr>
        <w:spacing w:before="161" w:line="360" w:lineRule="auto"/>
        <w:ind w:left="360"/>
        <w:rPr>
          <w:rFonts w:ascii="Calibri" w:hAnsi="Calibri" w:cs="Calibri"/>
          <w:bCs/>
          <w:sz w:val="24"/>
          <w:szCs w:val="24"/>
        </w:rPr>
      </w:pPr>
      <w:r w:rsidRPr="00916590">
        <w:rPr>
          <w:rFonts w:ascii="Calibri" w:hAnsi="Calibri" w:cs="Calibri"/>
          <w:bCs/>
          <w:sz w:val="24"/>
          <w:szCs w:val="24"/>
        </w:rPr>
        <w:t>Respondents are not required to participate</w:t>
      </w:r>
      <w:r w:rsidRPr="00916590" w:rsidR="00AF376E">
        <w:rPr>
          <w:rFonts w:ascii="Calibri" w:hAnsi="Calibri" w:cs="Calibri"/>
          <w:bCs/>
          <w:sz w:val="24"/>
          <w:szCs w:val="24"/>
        </w:rPr>
        <w:t xml:space="preserve"> as </w:t>
      </w:r>
      <w:r w:rsidRPr="00916590">
        <w:rPr>
          <w:rFonts w:ascii="Calibri" w:hAnsi="Calibri" w:cs="Calibri"/>
          <w:bCs/>
          <w:sz w:val="24"/>
          <w:szCs w:val="24"/>
        </w:rPr>
        <w:t xml:space="preserve">participation is voluntary. The </w:t>
      </w:r>
      <w:r w:rsidR="002D4267">
        <w:rPr>
          <w:rFonts w:ascii="Calibri" w:hAnsi="Calibri" w:cs="Calibri"/>
          <w:bCs/>
          <w:sz w:val="24"/>
          <w:szCs w:val="24"/>
        </w:rPr>
        <w:t>CHP</w:t>
      </w:r>
      <w:r w:rsidRPr="00916590" w:rsidR="002D4267">
        <w:rPr>
          <w:rFonts w:ascii="Calibri" w:hAnsi="Calibri" w:cs="Calibri"/>
          <w:bCs/>
          <w:sz w:val="24"/>
          <w:szCs w:val="24"/>
        </w:rPr>
        <w:t xml:space="preserve"> </w:t>
      </w:r>
      <w:r w:rsidRPr="00916590">
        <w:rPr>
          <w:rFonts w:ascii="Calibri" w:hAnsi="Calibri" w:cs="Calibri"/>
          <w:bCs/>
          <w:sz w:val="24"/>
          <w:szCs w:val="24"/>
        </w:rPr>
        <w:t>will be designed to produce valid and reliable results that can be generalized to the intended universe</w:t>
      </w:r>
      <w:r w:rsidRPr="00916590" w:rsidR="00AF376E">
        <w:rPr>
          <w:rFonts w:ascii="Calibri" w:hAnsi="Calibri" w:cs="Calibri"/>
          <w:bCs/>
          <w:sz w:val="24"/>
          <w:szCs w:val="24"/>
        </w:rPr>
        <w:t>,</w:t>
      </w:r>
      <w:r w:rsidRPr="00916590">
        <w:rPr>
          <w:rFonts w:ascii="Calibri" w:hAnsi="Calibri" w:cs="Calibri"/>
          <w:bCs/>
          <w:sz w:val="24"/>
          <w:szCs w:val="24"/>
        </w:rPr>
        <w:t xml:space="preserve"> or it will be clearly noted otherwise. The </w:t>
      </w:r>
      <w:r w:rsidR="002D4267">
        <w:rPr>
          <w:rFonts w:ascii="Calibri" w:hAnsi="Calibri" w:cs="Calibri"/>
          <w:bCs/>
          <w:sz w:val="24"/>
          <w:szCs w:val="24"/>
        </w:rPr>
        <w:t>CHP</w:t>
      </w:r>
      <w:r w:rsidRPr="00916590" w:rsidR="002D4267">
        <w:rPr>
          <w:rFonts w:ascii="Calibri" w:hAnsi="Calibri" w:cs="Calibri"/>
          <w:bCs/>
          <w:sz w:val="24"/>
          <w:szCs w:val="24"/>
        </w:rPr>
        <w:t xml:space="preserve"> </w:t>
      </w:r>
      <w:r w:rsidRPr="00916590">
        <w:rPr>
          <w:rFonts w:ascii="Calibri" w:hAnsi="Calibri" w:cs="Calibri"/>
          <w:bCs/>
          <w:sz w:val="24"/>
          <w:szCs w:val="24"/>
        </w:rPr>
        <w:t xml:space="preserve">will not require the use of a statistical data classification that has </w:t>
      </w:r>
      <w:r w:rsidRPr="00916590">
        <w:rPr>
          <w:rFonts w:ascii="Calibri" w:hAnsi="Calibri" w:cs="Calibri"/>
          <w:bCs/>
          <w:sz w:val="24"/>
          <w:szCs w:val="24"/>
        </w:rPr>
        <w:t>not been reviewed and approved by OMB.</w:t>
      </w:r>
      <w:r w:rsidRPr="00916590">
        <w:rPr>
          <w:bCs/>
          <w:sz w:val="24"/>
          <w:szCs w:val="24"/>
        </w:rPr>
        <w:t xml:space="preserve"> </w:t>
      </w:r>
      <w:r w:rsidRPr="00916590" w:rsidR="00BF4BBE">
        <w:rPr>
          <w:rFonts w:ascii="Calibri" w:hAnsi="Calibri" w:cs="Calibri"/>
          <w:bCs/>
          <w:sz w:val="24"/>
          <w:szCs w:val="24"/>
        </w:rPr>
        <w:t xml:space="preserve">The information to be collected is protected under the confidentiality provisions of Title 13 U.S.C.  </w:t>
      </w:r>
      <w:r w:rsidRPr="00916590">
        <w:rPr>
          <w:rFonts w:ascii="Calibri" w:hAnsi="Calibri" w:cs="Calibri"/>
          <w:bCs/>
          <w:sz w:val="24"/>
          <w:szCs w:val="24"/>
        </w:rPr>
        <w:t>No respondents will be asked to submit proprietary trade secret information.  All data will have all applicable, legally</w:t>
      </w:r>
      <w:r w:rsidRPr="00916590" w:rsidR="00AF376E">
        <w:rPr>
          <w:rFonts w:ascii="Calibri" w:hAnsi="Calibri" w:cs="Calibri"/>
          <w:bCs/>
          <w:sz w:val="24"/>
          <w:szCs w:val="24"/>
        </w:rPr>
        <w:t xml:space="preserve"> </w:t>
      </w:r>
      <w:r w:rsidRPr="00916590">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FAF" w:rsidRPr="00CD6C4D" w:rsidP="00606B4E" w14:paraId="63F9301E" w14:textId="0B6F4ABF">
      <w:pPr>
        <w:spacing w:before="161" w:line="360" w:lineRule="auto"/>
        <w:ind w:left="360"/>
        <w:rPr>
          <w:rFonts w:ascii="Calibri" w:hAnsi="Calibri" w:cs="Calibri"/>
          <w:bCs/>
          <w:sz w:val="24"/>
        </w:rPr>
      </w:pPr>
      <w:r w:rsidRPr="00CD6C4D">
        <w:rPr>
          <w:rFonts w:ascii="Calibri" w:hAnsi="Calibri" w:cs="Calibri"/>
          <w:bCs/>
          <w:sz w:val="24"/>
        </w:rPr>
        <w:t xml:space="preserve">The Census Bureau published a notice in the Federal Register on February 6, </w:t>
      </w:r>
      <w:r w:rsidRPr="00CD6C4D">
        <w:rPr>
          <w:rFonts w:ascii="Calibri" w:hAnsi="Calibri" w:cs="Calibri"/>
          <w:bCs/>
          <w:sz w:val="24"/>
        </w:rPr>
        <w:t>2023</w:t>
      </w:r>
      <w:r w:rsidRPr="00CD6C4D">
        <w:rPr>
          <w:rFonts w:ascii="Calibri" w:hAnsi="Calibri" w:cs="Calibri"/>
          <w:bCs/>
          <w:sz w:val="24"/>
        </w:rPr>
        <w:t xml:space="preserve"> soliciting public comments on our plans to submit this request (</w:t>
      </w:r>
      <w:r w:rsidRPr="00CD6C4D" w:rsidR="00AF376E">
        <w:rPr>
          <w:rFonts w:ascii="Calibri" w:hAnsi="Calibri" w:cs="Calibri"/>
          <w:bCs/>
          <w:sz w:val="24"/>
        </w:rPr>
        <w:t>88 FR 7681</w:t>
      </w:r>
      <w:r w:rsidRPr="00CD6C4D">
        <w:rPr>
          <w:rFonts w:ascii="Calibri" w:hAnsi="Calibri" w:cs="Calibri"/>
          <w:bCs/>
          <w:sz w:val="24"/>
        </w:rPr>
        <w:t xml:space="preserve">). There were no </w:t>
      </w:r>
      <w:r w:rsidR="00283535">
        <w:rPr>
          <w:rFonts w:ascii="Calibri" w:hAnsi="Calibri" w:cs="Calibri"/>
          <w:bCs/>
          <w:sz w:val="24"/>
        </w:rPr>
        <w:t xml:space="preserve">substantive or relevant </w:t>
      </w:r>
      <w:r w:rsidRPr="00CD6C4D">
        <w:rPr>
          <w:rFonts w:ascii="Calibri" w:hAnsi="Calibri" w:cs="Calibri"/>
          <w:bCs/>
          <w:sz w:val="24"/>
        </w:rPr>
        <w:t>comments to this data collection.</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3F996A4C">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w:t>
      </w:r>
      <w:r w:rsidR="00BF4BBE">
        <w:rPr>
          <w:rFonts w:ascii="Calibri" w:hAnsi="Calibri" w:cs="Calibri"/>
          <w:bCs/>
          <w:sz w:val="24"/>
        </w:rPr>
        <w:t xml:space="preserve"> and</w:t>
      </w:r>
      <w:r w:rsidRPr="00CD6C4D">
        <w:rPr>
          <w:rFonts w:ascii="Calibri" w:hAnsi="Calibri" w:cs="Calibri"/>
          <w:bCs/>
          <w:sz w:val="24"/>
        </w:rPr>
        <w:t xml:space="preserve"> </w:t>
      </w:r>
      <w:r w:rsidR="00BF4BBE">
        <w:rPr>
          <w:rFonts w:ascii="Calibri" w:hAnsi="Calibri" w:cs="Calibri"/>
          <w:bCs/>
          <w:sz w:val="24"/>
        </w:rPr>
        <w:t>adjusting based on</w:t>
      </w:r>
      <w:r w:rsidRPr="00CD6C4D">
        <w:rPr>
          <w:rFonts w:ascii="Calibri" w:hAnsi="Calibri" w:cs="Calibri"/>
          <w:bCs/>
          <w:sz w:val="24"/>
        </w:rPr>
        <w:t xml:space="preserve"> burden.</w:t>
      </w:r>
    </w:p>
    <w:p w:rsidR="00532B4F" w:rsidRPr="00532B4F" w:rsidP="00532B4F" w14:paraId="64A0FC37" w14:textId="7364AEC6">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w:t>
      </w:r>
      <w:r w:rsidR="002D4267">
        <w:rPr>
          <w:rFonts w:ascii="Calibri" w:hAnsi="Calibri" w:cs="Calibri"/>
          <w:bCs/>
          <w:sz w:val="24"/>
        </w:rPr>
        <w:t>CHP</w:t>
      </w:r>
      <w:r>
        <w:rPr>
          <w:rFonts w:ascii="Calibri" w:hAnsi="Calibri" w:cs="Calibri"/>
          <w:bCs/>
          <w:sz w:val="24"/>
        </w:rPr>
        <w:t xml:space="preserve"> </w:t>
      </w:r>
      <w:r w:rsidRPr="00532B4F">
        <w:rPr>
          <w:rFonts w:ascii="Calibri" w:hAnsi="Calibri" w:cs="Calibri"/>
          <w:bCs/>
          <w:sz w:val="24"/>
        </w:rPr>
        <w:t xml:space="preserve">includes the following: </w:t>
      </w:r>
    </w:p>
    <w:p w:rsidR="00532B4F" w:rsidP="00532B4F" w14:paraId="1E2F0E0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Initial Invitation: $5 visible prepaid incentive with the initial invitation to complete the screener.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00532B4F" w14:paraId="4FED359C" w14:textId="3E1C7FA5">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Topical Surveys: $10 for each 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9E1B5E">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9E1B5E">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9E1B5E">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9E1B5E">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9E1B5E">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9E1B5E">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9E1B5E">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9E1B5E">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9E1B5E">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9E1B5E">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9E1B5E">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9E1B5E">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9E1B5E">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9E1B5E">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F4BBE" w:rsidP="00BF4BBE" w14:paraId="68EF81FC" w14:textId="3D96F0B7">
      <w:pPr>
        <w:pStyle w:val="BodyText"/>
        <w:spacing w:before="158" w:line="360" w:lineRule="auto"/>
        <w:ind w:left="360"/>
        <w:rPr>
          <w:rFonts w:ascii="Calibri" w:hAnsi="Calibri" w:cs="Calibri"/>
          <w:bCs/>
        </w:rPr>
      </w:pPr>
      <w:r w:rsidRPr="00591765">
        <w:rPr>
          <w:rFonts w:ascii="Calibri" w:hAnsi="Calibri" w:cs="Calibri"/>
          <w:bCs/>
          <w:szCs w:val="22"/>
        </w:rPr>
        <w:t xml:space="preserve">All respondents who participate in research under this clearance will be informed that the information they provide </w:t>
      </w:r>
      <w:r w:rsidR="00554BC6">
        <w:rPr>
          <w:rFonts w:ascii="Calibri" w:hAnsi="Calibri" w:cs="Calibri"/>
          <w:bCs/>
          <w:szCs w:val="22"/>
        </w:rPr>
        <w:t>a</w:t>
      </w:r>
      <w:r w:rsidR="00554BC6">
        <w:rPr>
          <w:rFonts w:ascii="Calibri" w:hAnsi="Calibri" w:cs="Calibri"/>
          <w:bCs/>
        </w:rPr>
        <w:t xml:space="preserve">re protected from disclosure by 13 U.S.C. Section 9.  </w:t>
      </w:r>
      <w:r w:rsidRPr="00591765">
        <w:rPr>
          <w:rFonts w:ascii="Calibri" w:hAnsi="Calibri" w:cs="Calibri"/>
          <w:bCs/>
          <w:szCs w:val="22"/>
        </w:rPr>
        <w:t xml:space="preserve">This disclosure will </w:t>
      </w:r>
      <w:r w:rsidRPr="00591765">
        <w:rPr>
          <w:rFonts w:ascii="Calibri" w:hAnsi="Calibri" w:cs="Calibri"/>
          <w:bCs/>
          <w:szCs w:val="22"/>
        </w:rPr>
        <w:t>be made prior to any data collection.</w:t>
      </w:r>
      <w:r>
        <w:rPr>
          <w:rFonts w:ascii="Calibri" w:hAnsi="Calibri" w:cs="Calibri"/>
          <w:bCs/>
          <w:szCs w:val="22"/>
        </w:rPr>
        <w:t xml:space="preserve"> T</w:t>
      </w:r>
      <w:r w:rsidRPr="00591765">
        <w:rPr>
          <w:rFonts w:ascii="Calibri" w:hAnsi="Calibri" w:cs="Calibri"/>
          <w:bCs/>
        </w:rPr>
        <w:t xml:space="preserve">he </w:t>
      </w:r>
      <w:r w:rsidR="00A11966">
        <w:rPr>
          <w:rFonts w:ascii="Calibri" w:hAnsi="Calibri" w:cs="Calibri"/>
          <w:bCs/>
        </w:rPr>
        <w:t xml:space="preserve">creation of the baseline </w:t>
      </w:r>
      <w:r w:rsidRPr="00591765">
        <w:rPr>
          <w:rFonts w:ascii="Calibri" w:hAnsi="Calibri" w:cs="Calibri"/>
          <w:bCs/>
        </w:rPr>
        <w:t xml:space="preserve">panel </w:t>
      </w:r>
      <w:r w:rsidR="00A11966">
        <w:rPr>
          <w:rFonts w:ascii="Calibri" w:hAnsi="Calibri" w:cs="Calibri"/>
          <w:bCs/>
        </w:rPr>
        <w:t xml:space="preserve">and the collection of Census Bureau-sponsored topical surveys </w:t>
      </w:r>
      <w:r w:rsidRPr="00591765">
        <w:rPr>
          <w:rFonts w:ascii="Calibri" w:hAnsi="Calibri" w:cs="Calibri"/>
          <w:bCs/>
        </w:rPr>
        <w:t xml:space="preserve">is </w:t>
      </w:r>
      <w:r w:rsidR="00A11966">
        <w:rPr>
          <w:rFonts w:ascii="Calibri" w:hAnsi="Calibri" w:cs="Calibri"/>
          <w:bCs/>
        </w:rPr>
        <w:t xml:space="preserve">authorized by </w:t>
      </w:r>
      <w:r w:rsidRPr="00591765">
        <w:rPr>
          <w:rFonts w:ascii="Calibri" w:hAnsi="Calibri" w:cs="Calibri"/>
          <w:bCs/>
        </w:rPr>
        <w:t>Title 13, United States Code, Sections</w:t>
      </w:r>
      <w:r w:rsidR="00A11966">
        <w:rPr>
          <w:rFonts w:ascii="Calibri" w:hAnsi="Calibri" w:cs="Calibri"/>
          <w:bCs/>
        </w:rPr>
        <w:t xml:space="preserve"> 141</w:t>
      </w:r>
      <w:r w:rsidRPr="00591765">
        <w:rPr>
          <w:rFonts w:ascii="Calibri" w:hAnsi="Calibri" w:cs="Calibri"/>
          <w:bCs/>
        </w:rPr>
        <w:t>, 182 and 19</w:t>
      </w:r>
      <w:r w:rsidR="00A11966">
        <w:rPr>
          <w:rFonts w:ascii="Calibri" w:hAnsi="Calibri" w:cs="Calibri"/>
          <w:bCs/>
        </w:rPr>
        <w:t>3</w:t>
      </w:r>
      <w:r>
        <w:rPr>
          <w:rFonts w:ascii="Calibri" w:hAnsi="Calibri" w:cs="Calibri"/>
          <w:bCs/>
        </w:rPr>
        <w:t>.</w:t>
      </w:r>
      <w:r w:rsidR="00253FDE">
        <w:rPr>
          <w:rFonts w:ascii="Calibri" w:hAnsi="Calibri" w:cs="Calibri"/>
          <w:bCs/>
        </w:rPr>
        <w:t xml:space="preserve"> The </w:t>
      </w:r>
      <w:r w:rsidR="00380128">
        <w:rPr>
          <w:rFonts w:ascii="Calibri" w:hAnsi="Calibri" w:cs="Calibri"/>
          <w:bCs/>
        </w:rPr>
        <w:t xml:space="preserve">collection </w:t>
      </w:r>
      <w:r w:rsidR="00253FDE">
        <w:rPr>
          <w:rFonts w:ascii="Calibri" w:hAnsi="Calibri" w:cs="Calibri"/>
          <w:bCs/>
        </w:rPr>
        <w:t>authority for the Census Bureau to collect data</w:t>
      </w:r>
      <w:r w:rsidR="00380128">
        <w:rPr>
          <w:rFonts w:ascii="Calibri" w:hAnsi="Calibri" w:cs="Calibri"/>
          <w:bCs/>
        </w:rPr>
        <w:t xml:space="preserve"> </w:t>
      </w:r>
      <w:r w:rsidR="00253FDE">
        <w:rPr>
          <w:rFonts w:ascii="Calibri" w:hAnsi="Calibri" w:cs="Calibri"/>
          <w:bCs/>
        </w:rPr>
        <w:t xml:space="preserve">for topical surveys sponsored by other federal agencies </w:t>
      </w:r>
      <w:r w:rsidR="00380128">
        <w:rPr>
          <w:rFonts w:ascii="Calibri" w:hAnsi="Calibri" w:cs="Calibri"/>
          <w:bCs/>
        </w:rPr>
        <w:t>may</w:t>
      </w:r>
      <w:r w:rsidR="00253FDE">
        <w:rPr>
          <w:rFonts w:ascii="Calibri" w:hAnsi="Calibri" w:cs="Calibri"/>
          <w:bCs/>
        </w:rPr>
        <w:t xml:space="preserve"> differ depending on the agency.  </w:t>
      </w:r>
      <w:r w:rsidR="00F12441">
        <w:rPr>
          <w:rFonts w:ascii="Calibri" w:hAnsi="Calibri" w:cs="Calibri"/>
          <w:bCs/>
        </w:rPr>
        <w:t>Respondents will be informed of the applicable authorities for each topical survey prior to data collection for that topical survey.</w:t>
      </w:r>
    </w:p>
    <w:p w:rsidR="00BF4BBE" w:rsidP="00BF4BBE" w14:paraId="0D6FFB61" w14:textId="77777777">
      <w:pPr>
        <w:pStyle w:val="BodyText"/>
        <w:spacing w:before="158" w:line="360" w:lineRule="auto"/>
        <w:ind w:left="360"/>
        <w:rPr>
          <w:rFonts w:ascii="Calibri" w:hAnsi="Calibri" w:cs="Calibri"/>
          <w:bCs/>
        </w:rPr>
      </w:pPr>
    </w:p>
    <w:p w:rsidR="004E16A4" w:rsidRPr="004E16A4" w:rsidP="00BF4BBE" w14:paraId="4AF64F0A" w14:textId="77777777">
      <w:pPr>
        <w:pStyle w:val="BodyText"/>
        <w:numPr>
          <w:ilvl w:val="0"/>
          <w:numId w:val="7"/>
        </w:numPr>
        <w:spacing w:before="80" w:line="360" w:lineRule="auto"/>
        <w:ind w:left="360" w:right="374" w:hanging="360"/>
        <w:rPr>
          <w:rStyle w:val="eop"/>
          <w:rFonts w:ascii="Calibri" w:hAnsi="Calibri" w:cs="Calibri"/>
          <w:bCs/>
          <w:szCs w:val="22"/>
        </w:rPr>
      </w:pPr>
      <w:r>
        <w:rPr>
          <w:rStyle w:val="normaltextrun"/>
          <w:rFonts w:ascii="Calibri" w:hAnsi="Calibri" w:cs="Calibri"/>
          <w:b/>
          <w:bCs/>
          <w:color w:val="000000"/>
          <w:shd w:val="clear" w:color="auto" w:fill="FFFFF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Fonts w:ascii="Calibri" w:hAnsi="Calibri" w:cs="Calibri"/>
          <w:b/>
          <w:bCs/>
          <w:color w:val="000000"/>
          <w:shd w:val="clear" w:color="auto" w:fill="FFFFFF"/>
        </w:rPr>
        <w:t> </w:t>
      </w:r>
    </w:p>
    <w:p w:rsidR="004C13A1" w:rsidRPr="00CD6C4D" w:rsidP="004E16A4" w14:paraId="05BEB6A3" w14:textId="31557F42">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w:t>
      </w:r>
      <w:r w:rsidR="002D4267">
        <w:rPr>
          <w:rFonts w:ascii="Calibri" w:hAnsi="Calibri" w:cs="Calibri"/>
          <w:bCs/>
          <w:szCs w:val="22"/>
        </w:rPr>
        <w:t>CHP</w:t>
      </w:r>
      <w:r w:rsidRPr="00CD6C4D" w:rsidR="002D4267">
        <w:rPr>
          <w:rFonts w:ascii="Calibri" w:hAnsi="Calibri" w:cs="Calibri"/>
          <w:bCs/>
          <w:szCs w:val="22"/>
        </w:rPr>
        <w:t xml:space="preserve"> </w:t>
      </w:r>
      <w:r w:rsidRPr="00CD6C4D">
        <w:rPr>
          <w:rFonts w:ascii="Calibri" w:hAnsi="Calibri" w:cs="Calibri"/>
          <w:bCs/>
          <w:szCs w:val="22"/>
        </w:rPr>
        <w:t xml:space="preserve">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w:t>
      </w:r>
      <w:r w:rsidR="002D4267">
        <w:rPr>
          <w:rFonts w:ascii="Calibri" w:hAnsi="Calibri" w:cs="Calibri"/>
          <w:bCs/>
          <w:szCs w:val="22"/>
        </w:rPr>
        <w:t>CHP</w:t>
      </w:r>
      <w:r w:rsidRPr="00CD6C4D">
        <w:rPr>
          <w:rFonts w:ascii="Calibri" w:hAnsi="Calibri" w:cs="Calibri"/>
          <w:bCs/>
          <w:szCs w:val="22"/>
        </w:rPr>
        <w:t xml:space="preserve">)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0311EF">
        <w:rPr>
          <w:rFonts w:ascii="Calibri" w:hAnsi="Calibri" w:cs="Calibri"/>
          <w:b/>
          <w:sz w:val="24"/>
        </w:rPr>
        <w:t>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66430AE5">
      <w:pPr>
        <w:spacing w:line="360" w:lineRule="auto"/>
        <w:ind w:left="360" w:right="360"/>
        <w:rPr>
          <w:rFonts w:ascii="Calibri" w:hAnsi="Calibri" w:cs="Calibri"/>
          <w:sz w:val="24"/>
          <w:szCs w:val="24"/>
        </w:rPr>
      </w:pPr>
      <w:r w:rsidRPr="3A4BA631">
        <w:rPr>
          <w:rFonts w:ascii="Calibri" w:hAnsi="Calibri" w:cs="Calibri"/>
          <w:sz w:val="24"/>
          <w:szCs w:val="24"/>
        </w:rPr>
        <w:t xml:space="preserve">The Census Bureau estimates that, for the average household, each survey will take about 20 minutes to complete. This </w:t>
      </w:r>
      <w:r w:rsidR="00F12441">
        <w:rPr>
          <w:rFonts w:ascii="Calibri" w:hAnsi="Calibri" w:cs="Calibri"/>
          <w:sz w:val="24"/>
          <w:szCs w:val="24"/>
        </w:rPr>
        <w:t xml:space="preserve">estimate </w:t>
      </w:r>
      <w:r w:rsidRPr="3A4BA631">
        <w:rPr>
          <w:rFonts w:ascii="Calibri" w:hAnsi="Calibri" w:cs="Calibri"/>
          <w:sz w:val="24"/>
          <w:szCs w:val="24"/>
        </w:rPr>
        <w:t>includes the time for reviewing the instructions and</w:t>
      </w:r>
      <w:r w:rsidR="00F12441">
        <w:rPr>
          <w:rFonts w:ascii="Calibri" w:hAnsi="Calibri" w:cs="Calibri"/>
          <w:sz w:val="24"/>
          <w:szCs w:val="24"/>
        </w:rPr>
        <w:t xml:space="preserve"> providing</w:t>
      </w:r>
      <w:r w:rsidRPr="3A4BA631">
        <w:rPr>
          <w:rFonts w:ascii="Calibri" w:hAnsi="Calibri" w:cs="Calibri"/>
          <w:sz w:val="24"/>
          <w:szCs w:val="24"/>
        </w:rPr>
        <w:t xml:space="preserve"> answers. For the screener instrument, we expect </w:t>
      </w:r>
      <w:r w:rsidRPr="3A4BA631" w:rsidR="75604C67">
        <w:rPr>
          <w:rFonts w:ascii="Calibri" w:hAnsi="Calibri" w:cs="Calibri"/>
          <w:sz w:val="24"/>
          <w:szCs w:val="24"/>
        </w:rPr>
        <w:t>to receive</w:t>
      </w:r>
      <w:r w:rsidRPr="3A4BA631">
        <w:rPr>
          <w:rFonts w:ascii="Calibri" w:hAnsi="Calibri" w:cs="Calibri"/>
          <w:sz w:val="24"/>
          <w:szCs w:val="24"/>
        </w:rPr>
        <w:t xml:space="preserve"> 22,500 responses for a total of 7,493 burden hours (22,500 x 0.33hours). For the baseline instrument, we anticipate 15,000 respondents will complete the survey. This burden is estimated at 4,995 hours (15,000 x 0.33 hours).  For each monthly collection period, we anticipate receiving 15,000 responses per month (total responses = 180,000). The total burden is estimated to be 59,940 hours (180,000 x 0.33 hours)</w:t>
      </w:r>
      <w:r w:rsidRPr="3A4BA631" w:rsidR="71EF52F1">
        <w:rPr>
          <w:rFonts w:ascii="Calibri" w:hAnsi="Calibri" w:cs="Calibri"/>
          <w:sz w:val="24"/>
          <w:szCs w:val="24"/>
        </w:rPr>
        <w:t xml:space="preserve"> for one year of data collection</w:t>
      </w:r>
      <w:r w:rsidRPr="3A4BA631">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RPr="00204999" w:rsidP="00591765" w14:paraId="0BEC1074" w14:textId="582A320B">
      <w:pPr>
        <w:spacing w:line="360" w:lineRule="auto"/>
        <w:ind w:left="360" w:right="360"/>
        <w:rPr>
          <w:rFonts w:ascii="Calibri" w:hAnsi="Calibri" w:cs="Calibri"/>
          <w:sz w:val="24"/>
          <w:szCs w:val="24"/>
        </w:rPr>
      </w:pPr>
      <w:r w:rsidRPr="00204999">
        <w:rPr>
          <w:rFonts w:ascii="Calibri" w:hAnsi="Calibri" w:cs="Calibri"/>
          <w:sz w:val="24"/>
          <w:szCs w:val="24"/>
        </w:rPr>
        <w:t>We calculate the cost of a respondent’s time to complete this survey to be $8.49. The estimated total annual respondent cost burden based on these hours is $</w:t>
      </w:r>
      <w:r>
        <w:rPr>
          <w:rFonts w:ascii="Calibri" w:hAnsi="Calibri" w:cs="Calibri"/>
          <w:sz w:val="24"/>
          <w:szCs w:val="24"/>
        </w:rPr>
        <w:t>614,909</w:t>
      </w:r>
      <w:r w:rsidRPr="00204999">
        <w:rPr>
          <w:rFonts w:ascii="Calibri" w:hAnsi="Calibri" w:cs="Calibri"/>
          <w:sz w:val="24"/>
          <w:szCs w:val="24"/>
        </w:rPr>
        <w:t>. For individuals, the wage rate is $25.72 per hour based on hourly earnings for employees as reported by the Bureau of Labor Statistics.</w:t>
      </w:r>
    </w:p>
    <w:p w:rsidR="00204999" w:rsidP="00A93D97" w14:paraId="274D95A3" w14:textId="77777777">
      <w:pPr>
        <w:spacing w:line="259" w:lineRule="auto"/>
        <w:ind w:left="399" w:right="359" w:firstLine="50"/>
        <w:rPr>
          <w:rFonts w:ascii="Calibri" w:hAnsi="Calibri" w:cs="Calibri"/>
        </w:rPr>
      </w:pPr>
    </w:p>
    <w:tbl>
      <w:tblPr>
        <w:tblW w:w="11970" w:type="dxa"/>
        <w:tblInd w:w="-910" w:type="dxa"/>
        <w:tblLook w:val="04A0"/>
      </w:tblPr>
      <w:tblGrid>
        <w:gridCol w:w="1544"/>
        <w:gridCol w:w="1909"/>
        <w:gridCol w:w="2036"/>
        <w:gridCol w:w="1668"/>
        <w:gridCol w:w="1658"/>
        <w:gridCol w:w="1445"/>
        <w:gridCol w:w="1710"/>
      </w:tblGrid>
      <w:tr w14:paraId="7A54F3A7" w14:textId="77777777" w:rsidTr="3A4BA631">
        <w:tblPrEx>
          <w:tblW w:w="11970" w:type="dxa"/>
          <w:tblInd w:w="-910" w:type="dxa"/>
          <w:tblLook w:val="04A0"/>
        </w:tblPrEx>
        <w:trPr>
          <w:trHeight w:val="930"/>
        </w:trPr>
        <w:tc>
          <w:tcPr>
            <w:tcW w:w="1544"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E44772" w:rsidRPr="00BF3C29" w:rsidP="00E44772" w14:paraId="116DE3F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909"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3FCE37F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2036"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546E1E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668"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B54C0C4"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658"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D74105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445"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58A3E49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1710"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285994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1753324C" w14:textId="77777777" w:rsidTr="3A4BA631">
        <w:tblPrEx>
          <w:tblW w:w="11970" w:type="dxa"/>
          <w:tblInd w:w="-910" w:type="dxa"/>
          <w:tblLook w:val="04A0"/>
        </w:tblPrEx>
        <w:trPr>
          <w:trHeight w:val="320"/>
        </w:trPr>
        <w:tc>
          <w:tcPr>
            <w:tcW w:w="1544" w:type="dxa"/>
            <w:tcBorders>
              <w:top w:val="nil"/>
              <w:left w:val="single" w:sz="8" w:space="0" w:color="auto"/>
              <w:bottom w:val="single" w:sz="8" w:space="0" w:color="auto"/>
              <w:right w:val="single" w:sz="8" w:space="0" w:color="auto"/>
            </w:tcBorders>
            <w:shd w:val="clear" w:color="auto" w:fill="auto"/>
            <w:vAlign w:val="center"/>
            <w:hideMark/>
          </w:tcPr>
          <w:p w:rsidR="00E44772" w:rsidRPr="00BF3C29" w:rsidP="00E44772" w14:paraId="281451D8"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Screener </w:t>
            </w:r>
          </w:p>
        </w:tc>
        <w:tc>
          <w:tcPr>
            <w:tcW w:w="1909" w:type="dxa"/>
            <w:tcBorders>
              <w:top w:val="nil"/>
              <w:left w:val="nil"/>
              <w:bottom w:val="single" w:sz="8" w:space="0" w:color="auto"/>
              <w:right w:val="single" w:sz="8" w:space="0" w:color="auto"/>
            </w:tcBorders>
            <w:shd w:val="clear" w:color="auto" w:fill="auto"/>
            <w:vAlign w:val="center"/>
            <w:hideMark/>
          </w:tcPr>
          <w:p w:rsidR="00E44772" w:rsidRPr="00BF3C29" w:rsidP="00E44772" w14:paraId="2E948ED5"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2036" w:type="dxa"/>
            <w:tcBorders>
              <w:top w:val="nil"/>
              <w:left w:val="nil"/>
              <w:bottom w:val="single" w:sz="8" w:space="0" w:color="auto"/>
              <w:right w:val="single" w:sz="8" w:space="0" w:color="auto"/>
            </w:tcBorders>
            <w:shd w:val="clear" w:color="auto" w:fill="auto"/>
            <w:vAlign w:val="center"/>
            <w:hideMark/>
          </w:tcPr>
          <w:p w:rsidR="00E44772" w:rsidRPr="00BF3C29" w:rsidP="00E44772" w14:paraId="1438402C"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22,500</w:t>
            </w:r>
          </w:p>
        </w:tc>
        <w:tc>
          <w:tcPr>
            <w:tcW w:w="1668" w:type="dxa"/>
            <w:tcBorders>
              <w:top w:val="nil"/>
              <w:left w:val="nil"/>
              <w:bottom w:val="single" w:sz="8" w:space="0" w:color="auto"/>
              <w:right w:val="single" w:sz="8" w:space="0" w:color="auto"/>
            </w:tcBorders>
            <w:shd w:val="clear" w:color="auto" w:fill="auto"/>
            <w:vAlign w:val="center"/>
            <w:hideMark/>
          </w:tcPr>
          <w:p w:rsidR="00E44772" w:rsidRPr="00BF3C29" w:rsidP="00E44772" w14:paraId="4D0293B4"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0.333</w:t>
            </w:r>
          </w:p>
        </w:tc>
        <w:tc>
          <w:tcPr>
            <w:tcW w:w="1658" w:type="dxa"/>
            <w:tcBorders>
              <w:top w:val="nil"/>
              <w:left w:val="nil"/>
              <w:bottom w:val="single" w:sz="8" w:space="0" w:color="auto"/>
              <w:right w:val="single" w:sz="8" w:space="0" w:color="auto"/>
            </w:tcBorders>
            <w:shd w:val="clear" w:color="auto" w:fill="auto"/>
            <w:vAlign w:val="center"/>
            <w:hideMark/>
          </w:tcPr>
          <w:p w:rsidR="00E44772" w:rsidRPr="00BF3C29" w:rsidP="00E44772" w14:paraId="76E9314F"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7,493</w:t>
            </w:r>
          </w:p>
        </w:tc>
        <w:tc>
          <w:tcPr>
            <w:tcW w:w="1445" w:type="dxa"/>
            <w:tcBorders>
              <w:top w:val="nil"/>
              <w:left w:val="nil"/>
              <w:bottom w:val="single" w:sz="8" w:space="0" w:color="auto"/>
              <w:right w:val="single" w:sz="8" w:space="0" w:color="auto"/>
            </w:tcBorders>
            <w:shd w:val="clear" w:color="auto" w:fill="auto"/>
            <w:vAlign w:val="center"/>
            <w:hideMark/>
          </w:tcPr>
          <w:p w:rsidR="00E44772" w:rsidRPr="00BF3C29" w:rsidP="00E44772" w14:paraId="6B15AA7E" w14:textId="1CB489DB">
            <w:pPr>
              <w:widowControl/>
              <w:autoSpaceDE/>
              <w:autoSpaceDN/>
              <w:jc w:val="center"/>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2098F6BD">
              <w:rPr>
                <w:rFonts w:ascii="Calibri" w:eastAsia="Times New Roman" w:hAnsi="Calibri" w:cs="Calibri"/>
                <w:b/>
                <w:bCs/>
                <w:color w:val="000000" w:themeColor="text1"/>
                <w:lang w:bidi="ar-SA"/>
              </w:rPr>
              <w:t>25.72</w:t>
            </w:r>
            <w:r w:rsidRPr="3A4BA631">
              <w:rPr>
                <w:rFonts w:ascii="Calibri" w:eastAsia="Times New Roman" w:hAnsi="Calibri" w:cs="Calibri"/>
                <w:b/>
                <w:bCs/>
                <w:color w:val="000000" w:themeColor="text1"/>
                <w:lang w:bidi="ar-SA"/>
              </w:rPr>
              <w:t xml:space="preserve"> </w:t>
            </w:r>
          </w:p>
        </w:tc>
        <w:tc>
          <w:tcPr>
            <w:tcW w:w="1710" w:type="dxa"/>
            <w:tcBorders>
              <w:top w:val="nil"/>
              <w:left w:val="nil"/>
              <w:bottom w:val="single" w:sz="8" w:space="0" w:color="auto"/>
              <w:right w:val="single" w:sz="8" w:space="0" w:color="auto"/>
            </w:tcBorders>
            <w:shd w:val="clear" w:color="auto" w:fill="auto"/>
            <w:vAlign w:val="center"/>
            <w:hideMark/>
          </w:tcPr>
          <w:p w:rsidR="00E44772" w:rsidRPr="00BF3C29" w:rsidP="00E44772" w14:paraId="393A9B49" w14:textId="585ABED2">
            <w:pPr>
              <w:widowControl/>
              <w:autoSpaceDE/>
              <w:autoSpaceDN/>
              <w:ind w:firstLine="440" w:firstLineChars="200"/>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65D77E0C">
              <w:rPr>
                <w:rFonts w:ascii="Calibri" w:eastAsia="Times New Roman" w:hAnsi="Calibri" w:cs="Calibri"/>
                <w:b/>
                <w:bCs/>
                <w:color w:val="000000" w:themeColor="text1"/>
                <w:lang w:bidi="ar-SA"/>
              </w:rPr>
              <w:t>192,707</w:t>
            </w:r>
            <w:r w:rsidRPr="3A4BA631">
              <w:rPr>
                <w:rFonts w:ascii="Calibri" w:eastAsia="Times New Roman" w:hAnsi="Calibri" w:cs="Calibri"/>
                <w:b/>
                <w:bCs/>
                <w:color w:val="000000" w:themeColor="text1"/>
                <w:lang w:bidi="ar-SA"/>
              </w:rPr>
              <w:t xml:space="preserve"> </w:t>
            </w:r>
          </w:p>
        </w:tc>
      </w:tr>
      <w:tr w14:paraId="5A7756D3" w14:textId="77777777" w:rsidTr="3A4BA631">
        <w:tblPrEx>
          <w:tblW w:w="11970" w:type="dxa"/>
          <w:tblInd w:w="-910" w:type="dxa"/>
          <w:tblLook w:val="04A0"/>
        </w:tblPrEx>
        <w:trPr>
          <w:trHeight w:val="320"/>
        </w:trPr>
        <w:tc>
          <w:tcPr>
            <w:tcW w:w="1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44772" w:rsidRPr="00BF3C29" w:rsidP="00E44772" w14:paraId="518FC2B7"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Baseline Instrument</w:t>
            </w:r>
          </w:p>
        </w:tc>
        <w:tc>
          <w:tcPr>
            <w:tcW w:w="1909"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132DD1DB"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2036"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5FD87D32"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15,000</w:t>
            </w:r>
          </w:p>
        </w:tc>
        <w:tc>
          <w:tcPr>
            <w:tcW w:w="166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0F47E1AD"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0.333</w:t>
            </w:r>
          </w:p>
        </w:tc>
        <w:tc>
          <w:tcPr>
            <w:tcW w:w="165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53A95CA6"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4,995</w:t>
            </w:r>
          </w:p>
        </w:tc>
        <w:tc>
          <w:tcPr>
            <w:tcW w:w="1445"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3542BFD" w14:textId="4E1E6545">
            <w:pPr>
              <w:widowControl/>
              <w:autoSpaceDE/>
              <w:autoSpaceDN/>
              <w:jc w:val="center"/>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054C936F">
              <w:rPr>
                <w:rFonts w:ascii="Calibri" w:eastAsia="Times New Roman" w:hAnsi="Calibri" w:cs="Calibri"/>
                <w:b/>
                <w:bCs/>
                <w:color w:val="000000" w:themeColor="text1"/>
                <w:lang w:bidi="ar-SA"/>
              </w:rPr>
              <w:t>25.72</w:t>
            </w:r>
            <w:r w:rsidRPr="3A4BA631">
              <w:rPr>
                <w:rFonts w:ascii="Calibri" w:eastAsia="Times New Roman" w:hAnsi="Calibri" w:cs="Calibri"/>
                <w:b/>
                <w:bCs/>
                <w:color w:val="000000" w:themeColor="text1"/>
                <w:lang w:bidi="ar-SA"/>
              </w:rPr>
              <w:t xml:space="preserve">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6F286106" w14:textId="5DE3D9B2">
            <w:pPr>
              <w:widowControl/>
              <w:autoSpaceDE/>
              <w:autoSpaceDN/>
              <w:ind w:firstLine="440" w:firstLineChars="200"/>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3E15D63C">
              <w:rPr>
                <w:rFonts w:ascii="Calibri" w:eastAsia="Times New Roman" w:hAnsi="Calibri" w:cs="Calibri"/>
                <w:b/>
                <w:bCs/>
                <w:color w:val="000000" w:themeColor="text1"/>
                <w:lang w:bidi="ar-SA"/>
              </w:rPr>
              <w:t>128,471</w:t>
            </w:r>
            <w:r w:rsidRPr="3A4BA631">
              <w:rPr>
                <w:rFonts w:ascii="Calibri" w:eastAsia="Times New Roman" w:hAnsi="Calibri" w:cs="Calibri"/>
                <w:b/>
                <w:bCs/>
                <w:color w:val="000000" w:themeColor="text1"/>
                <w:lang w:bidi="ar-SA"/>
              </w:rPr>
              <w:t xml:space="preserve"> </w:t>
            </w:r>
          </w:p>
        </w:tc>
      </w:tr>
      <w:tr w14:paraId="1EA0EDE7" w14:textId="77777777" w:rsidTr="3A4BA631">
        <w:tblPrEx>
          <w:tblW w:w="11970" w:type="dxa"/>
          <w:tblInd w:w="-910" w:type="dxa"/>
          <w:tblLook w:val="04A0"/>
        </w:tblPrEx>
        <w:trPr>
          <w:trHeight w:val="320"/>
        </w:trPr>
        <w:tc>
          <w:tcPr>
            <w:tcW w:w="1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44772" w:rsidRPr="00BF3C29" w:rsidP="00E44772" w14:paraId="725E523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909"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784D4A2"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2036"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DDE1DCC"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180,000</w:t>
            </w:r>
          </w:p>
        </w:tc>
        <w:tc>
          <w:tcPr>
            <w:tcW w:w="166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3D29F7D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0.333</w:t>
            </w:r>
          </w:p>
        </w:tc>
        <w:tc>
          <w:tcPr>
            <w:tcW w:w="165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0E16FAE9"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59,940</w:t>
            </w:r>
          </w:p>
        </w:tc>
        <w:tc>
          <w:tcPr>
            <w:tcW w:w="1445"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2A46868" w14:textId="5677B713">
            <w:pPr>
              <w:widowControl/>
              <w:autoSpaceDE/>
              <w:autoSpaceDN/>
              <w:jc w:val="center"/>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040D9D63">
              <w:rPr>
                <w:rFonts w:ascii="Calibri" w:eastAsia="Times New Roman" w:hAnsi="Calibri" w:cs="Calibri"/>
                <w:b/>
                <w:bCs/>
                <w:color w:val="000000" w:themeColor="text1"/>
                <w:lang w:bidi="ar-SA"/>
              </w:rPr>
              <w:t>25.72</w:t>
            </w:r>
            <w:r w:rsidRPr="3A4BA631">
              <w:rPr>
                <w:rFonts w:ascii="Calibri" w:eastAsia="Times New Roman" w:hAnsi="Calibri" w:cs="Calibri"/>
                <w:b/>
                <w:bCs/>
                <w:color w:val="000000" w:themeColor="text1"/>
                <w:lang w:bidi="ar-SA"/>
              </w:rPr>
              <w:t xml:space="preserve">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18461442" w14:textId="4C7D699E">
            <w:pPr>
              <w:widowControl/>
              <w:autoSpaceDE/>
              <w:autoSpaceDN/>
              <w:ind w:firstLine="440" w:firstLineChars="200"/>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5612DE91">
              <w:rPr>
                <w:rFonts w:ascii="Calibri" w:eastAsia="Times New Roman" w:hAnsi="Calibri" w:cs="Calibri"/>
                <w:b/>
                <w:bCs/>
                <w:color w:val="000000" w:themeColor="text1"/>
                <w:lang w:bidi="ar-SA"/>
              </w:rPr>
              <w:t>1,541,657</w:t>
            </w:r>
            <w:r w:rsidRPr="3A4BA631">
              <w:rPr>
                <w:rFonts w:ascii="Calibri" w:eastAsia="Times New Roman" w:hAnsi="Calibri" w:cs="Calibri"/>
                <w:b/>
                <w:bCs/>
                <w:color w:val="000000" w:themeColor="text1"/>
                <w:lang w:bidi="ar-SA"/>
              </w:rPr>
              <w:t xml:space="preserve"> </w:t>
            </w:r>
          </w:p>
        </w:tc>
      </w:tr>
      <w:tr w14:paraId="3782EA13" w14:textId="77777777" w:rsidTr="3A4BA631">
        <w:tblPrEx>
          <w:tblW w:w="11970" w:type="dxa"/>
          <w:tblInd w:w="-910" w:type="dxa"/>
          <w:tblLook w:val="04A0"/>
        </w:tblPrEx>
        <w:trPr>
          <w:trHeight w:val="320"/>
        </w:trPr>
        <w:tc>
          <w:tcPr>
            <w:tcW w:w="1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44772" w:rsidRPr="00BF3C29" w:rsidP="00E44772" w14:paraId="04D45F53"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Totals</w:t>
            </w:r>
          </w:p>
        </w:tc>
        <w:tc>
          <w:tcPr>
            <w:tcW w:w="1909"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6259AA00"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 </w:t>
            </w:r>
          </w:p>
        </w:tc>
        <w:tc>
          <w:tcPr>
            <w:tcW w:w="2036"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4DB9A58"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217,500</w:t>
            </w:r>
          </w:p>
        </w:tc>
        <w:tc>
          <w:tcPr>
            <w:tcW w:w="166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17BCDB5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0.333</w:t>
            </w:r>
          </w:p>
        </w:tc>
        <w:tc>
          <w:tcPr>
            <w:tcW w:w="165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43385DDF" w14:textId="77777777">
            <w:pPr>
              <w:widowControl/>
              <w:autoSpaceDE/>
              <w:autoSpaceDN/>
              <w:jc w:val="center"/>
              <w:rPr>
                <w:rFonts w:ascii="Calibri" w:eastAsia="Times New Roman" w:hAnsi="Calibri" w:cs="Calibri"/>
                <w:lang w:bidi="ar-SA"/>
              </w:rPr>
            </w:pPr>
            <w:r w:rsidRPr="00BF3C29">
              <w:rPr>
                <w:rFonts w:ascii="Calibri" w:eastAsia="Times New Roman" w:hAnsi="Calibri" w:cs="Calibri"/>
                <w:lang w:bidi="ar-SA"/>
              </w:rPr>
              <w:t>72,428</w:t>
            </w:r>
          </w:p>
        </w:tc>
        <w:tc>
          <w:tcPr>
            <w:tcW w:w="1445"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6475FABE" w14:textId="6553964E">
            <w:pPr>
              <w:widowControl/>
              <w:autoSpaceDE/>
              <w:autoSpaceDN/>
              <w:jc w:val="center"/>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280DF0F2">
              <w:rPr>
                <w:rFonts w:ascii="Calibri" w:eastAsia="Times New Roman" w:hAnsi="Calibri" w:cs="Calibri"/>
                <w:b/>
                <w:bCs/>
                <w:color w:val="000000" w:themeColor="text1"/>
                <w:lang w:bidi="ar-SA"/>
              </w:rPr>
              <w:t>25.72</w:t>
            </w:r>
            <w:r w:rsidRPr="3A4BA631">
              <w:rPr>
                <w:rFonts w:ascii="Calibri" w:eastAsia="Times New Roman" w:hAnsi="Calibri" w:cs="Calibri"/>
                <w:b/>
                <w:bCs/>
                <w:color w:val="000000" w:themeColor="text1"/>
                <w:lang w:bidi="ar-SA"/>
              </w:rPr>
              <w:t xml:space="preserve">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1D2136D9" w14:textId="336EACA7">
            <w:pPr>
              <w:widowControl/>
              <w:autoSpaceDE/>
              <w:autoSpaceDN/>
              <w:ind w:firstLine="440" w:firstLineChars="200"/>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71CDAED3">
              <w:rPr>
                <w:rFonts w:ascii="Calibri" w:eastAsia="Times New Roman" w:hAnsi="Calibri" w:cs="Calibri"/>
                <w:b/>
                <w:bCs/>
                <w:color w:val="000000" w:themeColor="text1"/>
                <w:lang w:bidi="ar-SA"/>
              </w:rPr>
              <w:t>1,862,835</w:t>
            </w:r>
            <w:r w:rsidRPr="3A4BA631">
              <w:rPr>
                <w:rFonts w:ascii="Calibri" w:eastAsia="Times New Roman" w:hAnsi="Calibri" w:cs="Calibri"/>
                <w:b/>
                <w:bCs/>
                <w:color w:val="000000" w:themeColor="text1"/>
                <w:lang w:bidi="ar-SA"/>
              </w:rPr>
              <w:t xml:space="preserve"> </w:t>
            </w:r>
          </w:p>
        </w:tc>
      </w:tr>
    </w:tbl>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 xml:space="preserve">keepers resulting </w:t>
      </w:r>
      <w:r w:rsidRPr="00A82C0C">
        <w:rPr>
          <w:rFonts w:ascii="Calibri" w:hAnsi="Calibri" w:cs="Calibri"/>
          <w:b/>
          <w:sz w:val="24"/>
          <w:szCs w:val="24"/>
        </w:rPr>
        <w:t>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RPr="00BE642B" w:rsidP="00591765" w14:paraId="7ABB2A12" w14:textId="2472CDB8">
      <w:pPr>
        <w:spacing w:line="360" w:lineRule="auto"/>
        <w:ind w:left="360"/>
        <w:rPr>
          <w:rFonts w:ascii="Calibri" w:hAnsi="Calibri" w:cs="Calibri"/>
          <w:bCs/>
          <w:sz w:val="24"/>
        </w:rPr>
      </w:pPr>
      <w:r w:rsidRPr="00BE642B">
        <w:rPr>
          <w:rFonts w:ascii="Calibri" w:hAnsi="Calibri" w:cs="Calibri"/>
          <w:bCs/>
          <w:sz w:val="24"/>
        </w:rPr>
        <w:t xml:space="preserve">The government cost for the </w:t>
      </w:r>
      <w:r w:rsidR="002D4267">
        <w:rPr>
          <w:rFonts w:ascii="Calibri" w:hAnsi="Calibri" w:cs="Calibri"/>
          <w:bCs/>
          <w:sz w:val="24"/>
        </w:rPr>
        <w:t>CHP</w:t>
      </w:r>
      <w:r w:rsidRPr="00BE642B">
        <w:rPr>
          <w:rFonts w:ascii="Calibri" w:hAnsi="Calibri" w:cs="Calibri"/>
          <w:bCs/>
          <w:sz w:val="24"/>
        </w:rPr>
        <w:t xml:space="preserve"> is approximately $</w:t>
      </w:r>
      <w:r w:rsidRPr="00BE642B" w:rsidR="00BF3C29">
        <w:rPr>
          <w:rFonts w:ascii="Calibri" w:hAnsi="Calibri" w:cs="Calibri"/>
          <w:bCs/>
          <w:sz w:val="24"/>
        </w:rPr>
        <w:t>2</w:t>
      </w:r>
      <w:r w:rsidRPr="00BE642B" w:rsidR="00BE642B">
        <w:rPr>
          <w:rFonts w:ascii="Calibri" w:hAnsi="Calibri" w:cs="Calibri"/>
          <w:bCs/>
          <w:sz w:val="24"/>
        </w:rPr>
        <w:t>M</w:t>
      </w:r>
      <w:r w:rsidRPr="00BE642B">
        <w:rPr>
          <w:rFonts w:ascii="Calibri" w:hAnsi="Calibri" w:cs="Calibri"/>
          <w:bCs/>
          <w:sz w:val="24"/>
        </w:rPr>
        <w:t xml:space="preserve"> per year.  This assumes data collection would continue monthly starting in August 2023.  </w:t>
      </w:r>
      <w:r w:rsidR="002D4267">
        <w:rPr>
          <w:rFonts w:ascii="Calibri" w:hAnsi="Calibri" w:cs="Calibri"/>
          <w:bCs/>
          <w:sz w:val="24"/>
        </w:rPr>
        <w:t>CHP</w:t>
      </w:r>
      <w:r w:rsidRPr="00BE642B">
        <w:rPr>
          <w:rFonts w:ascii="Calibri" w:hAnsi="Calibri" w:cs="Calibri"/>
          <w:bCs/>
          <w:sz w:val="24"/>
        </w:rPr>
        <w:t xml:space="preserve"> include subscriptions costs for Qualtrics and costs of monetary incentives.</w:t>
      </w:r>
    </w:p>
    <w:tbl>
      <w:tblPr>
        <w:tblW w:w="6650" w:type="dxa"/>
        <w:tblInd w:w="485" w:type="dxa"/>
        <w:tblLook w:val="04A0"/>
      </w:tblPr>
      <w:tblGrid>
        <w:gridCol w:w="4800"/>
        <w:gridCol w:w="1850"/>
      </w:tblGrid>
      <w:tr w14:paraId="53A8561C" w14:textId="77777777" w:rsidTr="00591765">
        <w:tblPrEx>
          <w:tblW w:w="6650" w:type="dxa"/>
          <w:tblInd w:w="485"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591765" w:rsidRPr="00591765" w:rsidP="00591765" w14:paraId="22A63A50" w14:textId="77777777">
            <w:pPr>
              <w:widowControl/>
              <w:autoSpaceDE/>
              <w:autoSpaceDN/>
              <w:jc w:val="center"/>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Annualized  Costs</w:t>
            </w:r>
          </w:p>
        </w:tc>
        <w:tc>
          <w:tcPr>
            <w:tcW w:w="1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1765" w:rsidRPr="00591765" w:rsidP="00591765" w14:paraId="5E17D738" w14:textId="77777777">
            <w:pPr>
              <w:widowControl/>
              <w:autoSpaceDE/>
              <w:autoSpaceDN/>
              <w:jc w:val="center"/>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Total</w:t>
            </w:r>
          </w:p>
        </w:tc>
      </w:tr>
      <w:tr w14:paraId="2CA7D935" w14:textId="77777777" w:rsidTr="00591765">
        <w:tblPrEx>
          <w:tblW w:w="6650" w:type="dxa"/>
          <w:tblInd w:w="485" w:type="dxa"/>
          <w:tblLook w:val="04A0"/>
        </w:tblPrEx>
        <w:trPr>
          <w:trHeight w:val="310"/>
        </w:trPr>
        <w:tc>
          <w:tcPr>
            <w:tcW w:w="4800" w:type="dxa"/>
            <w:tcBorders>
              <w:top w:val="nil"/>
              <w:left w:val="single" w:sz="8" w:space="0" w:color="auto"/>
              <w:bottom w:val="nil"/>
              <w:right w:val="nil"/>
            </w:tcBorders>
            <w:shd w:val="clear" w:color="auto" w:fill="auto"/>
            <w:noWrap/>
            <w:vAlign w:val="bottom"/>
            <w:hideMark/>
          </w:tcPr>
          <w:p w:rsidR="00591765" w:rsidRPr="00591765" w:rsidP="00591765" w14:paraId="7BFC570C"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Project Management</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1AA45043" w14:textId="16D984D4">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403,568</w:t>
            </w:r>
            <w:r w:rsidRPr="00591765">
              <w:rPr>
                <w:rFonts w:ascii="Calibri" w:eastAsia="Times New Roman" w:hAnsi="Calibri" w:cs="Calibri"/>
                <w:color w:val="000000"/>
                <w:sz w:val="24"/>
                <w:szCs w:val="24"/>
                <w:lang w:bidi="ar-SA"/>
              </w:rPr>
              <w:t xml:space="preserve"> </w:t>
            </w:r>
          </w:p>
        </w:tc>
      </w:tr>
      <w:tr w14:paraId="32D22781" w14:textId="77777777" w:rsidTr="00591765">
        <w:tblPrEx>
          <w:tblW w:w="6650" w:type="dxa"/>
          <w:tblInd w:w="485" w:type="dxa"/>
          <w:tblLook w:val="04A0"/>
        </w:tblPrEx>
        <w:trPr>
          <w:trHeight w:val="310"/>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591765" w:rsidRPr="00591765" w:rsidP="00591765" w14:paraId="3E4488F1" w14:textId="77777777">
            <w:pPr>
              <w:widowControl/>
              <w:autoSpaceDE/>
              <w:autoSpaceDN/>
              <w:ind w:firstLine="240" w:firstLineChars="100"/>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Incentives</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646525A" w14:textId="27A2E0D3">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175,000</w:t>
            </w:r>
            <w:r w:rsidRPr="00591765">
              <w:rPr>
                <w:rFonts w:ascii="Calibri" w:eastAsia="Times New Roman" w:hAnsi="Calibri" w:cs="Calibri"/>
                <w:color w:val="000000"/>
                <w:sz w:val="24"/>
                <w:szCs w:val="24"/>
                <w:lang w:bidi="ar-SA"/>
              </w:rPr>
              <w:t xml:space="preserve"> </w:t>
            </w:r>
          </w:p>
        </w:tc>
      </w:tr>
      <w:tr w14:paraId="6D570921"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43424D6A"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Sample Design, Management and Estimation</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1A0B545" w14:textId="78183CB6">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311,759</w:t>
            </w:r>
            <w:r w:rsidRPr="00591765">
              <w:rPr>
                <w:rFonts w:ascii="Calibri" w:eastAsia="Times New Roman" w:hAnsi="Calibri" w:cs="Calibri"/>
                <w:color w:val="000000"/>
                <w:sz w:val="24"/>
                <w:szCs w:val="24"/>
                <w:lang w:bidi="ar-SA"/>
              </w:rPr>
              <w:t xml:space="preserve"> </w:t>
            </w:r>
          </w:p>
        </w:tc>
      </w:tr>
      <w:tr w14:paraId="267E53FE"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3F063ADD"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 xml:space="preserve">Instrument Design and Development  </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D0CFE22" w14:textId="4D515D84">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171,240</w:t>
            </w:r>
            <w:r w:rsidRPr="00591765">
              <w:rPr>
                <w:rFonts w:ascii="Calibri" w:eastAsia="Times New Roman" w:hAnsi="Calibri" w:cs="Calibri"/>
                <w:color w:val="000000"/>
                <w:sz w:val="24"/>
                <w:szCs w:val="24"/>
                <w:lang w:bidi="ar-SA"/>
              </w:rPr>
              <w:t xml:space="preserve"> </w:t>
            </w:r>
          </w:p>
        </w:tc>
      </w:tr>
      <w:tr w14:paraId="7312AB90"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5768F1A4"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Data Product Development and Review</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700B0D85" w14:textId="61B9433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217,665</w:t>
            </w:r>
            <w:r w:rsidRPr="00591765">
              <w:rPr>
                <w:rFonts w:ascii="Calibri" w:eastAsia="Times New Roman" w:hAnsi="Calibri" w:cs="Calibri"/>
                <w:color w:val="000000"/>
                <w:sz w:val="24"/>
                <w:szCs w:val="24"/>
                <w:lang w:bidi="ar-SA"/>
              </w:rPr>
              <w:t xml:space="preserve"> </w:t>
            </w:r>
          </w:p>
        </w:tc>
      </w:tr>
      <w:tr w14:paraId="176B9DE9"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2E4CA415"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Data Processing and Dissemination</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4D3F7B57" w14:textId="12D9B20E">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310,517</w:t>
            </w:r>
            <w:r w:rsidRPr="00591765">
              <w:rPr>
                <w:rFonts w:ascii="Calibri" w:eastAsia="Times New Roman" w:hAnsi="Calibri" w:cs="Calibri"/>
                <w:color w:val="000000"/>
                <w:sz w:val="24"/>
                <w:szCs w:val="24"/>
                <w:lang w:bidi="ar-SA"/>
              </w:rPr>
              <w:t xml:space="preserve"> </w:t>
            </w:r>
          </w:p>
        </w:tc>
      </w:tr>
      <w:tr w14:paraId="5A4216D9"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1695BD4D"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Mailout Operations</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098BFBA8" w14:textId="060E933A">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227,928</w:t>
            </w:r>
            <w:r w:rsidRPr="00591765">
              <w:rPr>
                <w:rFonts w:ascii="Calibri" w:eastAsia="Times New Roman" w:hAnsi="Calibri" w:cs="Calibri"/>
                <w:color w:val="000000"/>
                <w:sz w:val="24"/>
                <w:szCs w:val="24"/>
                <w:lang w:bidi="ar-SA"/>
              </w:rPr>
              <w:t xml:space="preserve"> </w:t>
            </w:r>
          </w:p>
        </w:tc>
      </w:tr>
      <w:tr w14:paraId="58F1CD02"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3473733A"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Telephone Operations</w:t>
            </w:r>
          </w:p>
        </w:tc>
        <w:tc>
          <w:tcPr>
            <w:tcW w:w="1850" w:type="dxa"/>
            <w:tcBorders>
              <w:top w:val="nil"/>
              <w:left w:val="single" w:sz="8" w:space="0" w:color="auto"/>
              <w:bottom w:val="nil"/>
              <w:right w:val="single" w:sz="8" w:space="0" w:color="auto"/>
            </w:tcBorders>
            <w:shd w:val="clear" w:color="auto" w:fill="auto"/>
            <w:noWrap/>
            <w:vAlign w:val="bottom"/>
            <w:hideMark/>
          </w:tcPr>
          <w:p w:rsidR="00591765" w:rsidRPr="00591765" w:rsidP="00BF3C29" w14:paraId="4C183D3B" w14:textId="4734817A">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 xml:space="preserve">    208,117</w:t>
            </w:r>
            <w:r w:rsidRPr="00591765">
              <w:rPr>
                <w:rFonts w:ascii="Calibri" w:eastAsia="Times New Roman" w:hAnsi="Calibri" w:cs="Calibri"/>
                <w:color w:val="000000"/>
                <w:sz w:val="24"/>
                <w:szCs w:val="24"/>
                <w:lang w:bidi="ar-SA"/>
              </w:rPr>
              <w:t xml:space="preserve"> </w:t>
            </w:r>
          </w:p>
        </w:tc>
      </w:tr>
      <w:tr w14:paraId="6D5BBB13" w14:textId="77777777" w:rsidTr="00591765">
        <w:tblPrEx>
          <w:tblW w:w="6650" w:type="dxa"/>
          <w:tblInd w:w="485" w:type="dxa"/>
          <w:tblLook w:val="04A0"/>
        </w:tblPrEx>
        <w:trPr>
          <w:trHeight w:val="320"/>
        </w:trPr>
        <w:tc>
          <w:tcPr>
            <w:tcW w:w="4800" w:type="dxa"/>
            <w:tcBorders>
              <w:top w:val="nil"/>
              <w:left w:val="single" w:sz="8" w:space="0" w:color="auto"/>
              <w:bottom w:val="single" w:sz="8" w:space="0" w:color="auto"/>
              <w:right w:val="nil"/>
            </w:tcBorders>
            <w:shd w:val="clear" w:color="auto" w:fill="auto"/>
            <w:noWrap/>
            <w:vAlign w:val="bottom"/>
            <w:hideMark/>
          </w:tcPr>
          <w:p w:rsidR="00591765" w:rsidRPr="00591765" w:rsidP="00591765" w14:paraId="4F52B7FE" w14:textId="77777777">
            <w:pPr>
              <w:widowControl/>
              <w:autoSpaceDE/>
              <w:autoSpaceDN/>
              <w:rPr>
                <w:rFonts w:ascii="Calibri" w:eastAsia="Times New Roman" w:hAnsi="Calibri" w:cs="Calibri"/>
                <w:color w:val="000000"/>
                <w:lang w:bidi="ar-SA"/>
              </w:rPr>
            </w:pPr>
            <w:r w:rsidRPr="00591765">
              <w:rPr>
                <w:rFonts w:ascii="Calibri" w:eastAsia="Times New Roman" w:hAnsi="Calibri" w:cs="Calibri"/>
                <w:color w:val="000000"/>
                <w:lang w:bidi="ar-SA"/>
              </w:rPr>
              <w:t> </w:t>
            </w:r>
          </w:p>
        </w:tc>
        <w:tc>
          <w:tcPr>
            <w:tcW w:w="185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91765" w:rsidRPr="00591765" w:rsidP="00591765" w14:paraId="33696530" w14:textId="6210AB69">
            <w:pPr>
              <w:widowControl/>
              <w:autoSpaceDE/>
              <w:autoSpaceDN/>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 xml:space="preserve"> $    </w:t>
            </w:r>
            <w:r w:rsidR="00BF3C29">
              <w:rPr>
                <w:rFonts w:ascii="Calibri" w:eastAsia="Times New Roman" w:hAnsi="Calibri" w:cs="Calibri"/>
                <w:b/>
                <w:bCs/>
                <w:color w:val="000000"/>
                <w:sz w:val="24"/>
                <w:szCs w:val="24"/>
                <w:lang w:bidi="ar-SA"/>
              </w:rPr>
              <w:t xml:space="preserve"> 2,025,794</w:t>
            </w:r>
            <w:r w:rsidRPr="00591765">
              <w:rPr>
                <w:rFonts w:ascii="Calibri" w:eastAsia="Times New Roman" w:hAnsi="Calibri" w:cs="Calibri"/>
                <w:b/>
                <w:bCs/>
                <w:color w:val="000000"/>
                <w:sz w:val="24"/>
                <w:szCs w:val="24"/>
                <w:lang w:bidi="ar-SA"/>
              </w:rPr>
              <w:t xml:space="preserve">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00061D50" w14:paraId="717ECC34" w14:textId="57091E7F">
      <w:pPr>
        <w:spacing w:line="259" w:lineRule="auto"/>
        <w:ind w:left="399" w:right="359" w:firstLine="50"/>
        <w:rPr>
          <w:rFonts w:ascii="Calibri" w:hAnsi="Calibri" w:cs="Calibri"/>
          <w:bCs/>
          <w:sz w:val="24"/>
        </w:rPr>
      </w:pPr>
      <w:r w:rsidRPr="00BF3C29">
        <w:rPr>
          <w:rFonts w:ascii="Calibri" w:hAnsi="Calibri" w:cs="Calibri"/>
          <w:bCs/>
          <w:sz w:val="24"/>
        </w:rPr>
        <w:t>N/A – This is a new information collection</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RPr="00BE642B" w:rsidP="003843BB" w14:paraId="6BBB4DB3" w14:textId="79D21E33">
      <w:pPr>
        <w:spacing w:line="360" w:lineRule="auto"/>
        <w:ind w:left="360" w:right="360"/>
        <w:rPr>
          <w:rFonts w:ascii="Calibri" w:hAnsi="Calibri" w:cs="Calibri"/>
          <w:bCs/>
          <w:sz w:val="24"/>
        </w:rPr>
      </w:pPr>
      <w:r w:rsidRPr="00BE642B">
        <w:rPr>
          <w:rFonts w:ascii="Calibri" w:hAnsi="Calibri" w:cs="Calibri"/>
          <w:bCs/>
          <w:sz w:val="24"/>
        </w:rPr>
        <w:t xml:space="preserve">Data products for the </w:t>
      </w:r>
      <w:r w:rsidR="002D4267">
        <w:rPr>
          <w:rFonts w:ascii="Calibri" w:hAnsi="Calibri" w:cs="Calibri"/>
          <w:bCs/>
          <w:sz w:val="24"/>
        </w:rPr>
        <w:t>CHP</w:t>
      </w:r>
      <w:r w:rsidRPr="00BE642B" w:rsidR="002D4267">
        <w:rPr>
          <w:rFonts w:ascii="Calibri" w:hAnsi="Calibri" w:cs="Calibri"/>
          <w:bCs/>
          <w:sz w:val="24"/>
        </w:rPr>
        <w:t xml:space="preserve"> </w:t>
      </w:r>
      <w:r w:rsidRPr="00BE642B">
        <w:rPr>
          <w:rFonts w:ascii="Calibri" w:hAnsi="Calibri" w:cs="Calibri"/>
          <w:bCs/>
          <w:sz w:val="24"/>
        </w:rPr>
        <w:t xml:space="preserve">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972981" w:rsidRPr="00BE642B" w:rsidP="003843BB" w14:paraId="6D9C8D39" w14:textId="70AACCD1">
      <w:pPr>
        <w:pStyle w:val="BodyText"/>
        <w:spacing w:before="160" w:line="360" w:lineRule="auto"/>
        <w:ind w:left="403"/>
        <w:rPr>
          <w:rFonts w:ascii="Calibri" w:hAnsi="Calibri" w:cs="Calibri"/>
          <w:bCs/>
        </w:rPr>
      </w:pPr>
      <w:r w:rsidRPr="00BE642B">
        <w:rPr>
          <w:rFonts w:ascii="Calibri" w:hAnsi="Calibri" w:cs="Calibri"/>
          <w:bCs/>
        </w:rPr>
        <w:t>Specific data products will be negotiated with topical survey sponsors. As with all Census Bureau products</w:t>
      </w:r>
      <w:r w:rsidR="00E13638">
        <w:rPr>
          <w:rFonts w:ascii="Calibri" w:hAnsi="Calibri" w:cs="Calibri"/>
          <w:bCs/>
        </w:rPr>
        <w:t xml:space="preserve"> and public use data files</w:t>
      </w:r>
      <w:r w:rsidRPr="00BE642B">
        <w:rPr>
          <w:rFonts w:ascii="Calibri" w:hAnsi="Calibri" w:cs="Calibri"/>
          <w:bCs/>
        </w:rPr>
        <w:t xml:space="preserve">, data will be reviewed and approved for release by the Census Bureau Disclosure Review Board (DRB). </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4">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5">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5">
        <w:r w:rsidRPr="00591765">
          <w:rPr>
            <w:rFonts w:ascii="Calibri" w:hAnsi="Calibri" w:cs="Calibri"/>
            <w:bCs/>
            <w:iCs/>
            <w:sz w:val="24"/>
            <w:u w:val="thick" w:color="0563C1"/>
          </w:rPr>
          <w:t>1320.8(b)(3)</w:t>
        </w:r>
      </w:hyperlink>
    </w:p>
    <w:p w:rsidR="00591765" w:rsidP="00220406" w14:paraId="6B0038C6" w14:textId="0440469B">
      <w:pPr>
        <w:spacing w:before="221" w:line="259" w:lineRule="auto"/>
        <w:ind w:left="400" w:right="477"/>
        <w:rPr>
          <w:rFonts w:ascii="Calibri" w:hAnsi="Calibri" w:cs="Calibri"/>
          <w:bCs/>
          <w:iCs/>
          <w:sz w:val="24"/>
          <w:u w:val="thick" w:color="0563C1"/>
        </w:rPr>
      </w:pPr>
    </w:p>
    <w:p w:rsidR="00591765" w:rsidRPr="00591765" w:rsidP="00ED6223" w14:paraId="38BA8820" w14:textId="32DF11E1">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Census Household Panel Screener and Baseline Questionnaire </w:t>
      </w:r>
    </w:p>
    <w:p w:rsidR="00591765" w:rsidRPr="00591765" w:rsidP="00ED6223" w14:paraId="474726E3" w14:textId="757180D4">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Pr>
          <w:rFonts w:ascii="Calibri" w:hAnsi="Calibri" w:cs="Calibri"/>
          <w:bCs/>
          <w:iCs/>
          <w:sz w:val="24"/>
          <w:szCs w:val="24"/>
        </w:rPr>
        <w:t>Privacy Act/Paper Reduction Act Statement</w:t>
      </w:r>
    </w:p>
    <w:p w:rsidR="00591765" w:rsidRPr="00591765" w:rsidP="00591765" w14:paraId="0FABA437" w14:textId="24A8F3F1">
      <w:pPr>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C</w:t>
      </w:r>
      <w:r w:rsidRPr="00591765">
        <w:rPr>
          <w:rFonts w:ascii="Calibri" w:hAnsi="Calibri" w:cs="Calibri"/>
          <w:bCs/>
          <w:iCs/>
          <w:sz w:val="24"/>
          <w:szCs w:val="24"/>
        </w:rPr>
        <w:t>:   Respondent Contact Language</w:t>
      </w:r>
    </w:p>
    <w:p w:rsidR="00591765" w:rsidRPr="00591765" w:rsidP="00ED6223" w14:paraId="30E16500" w14:textId="15E259ED">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D</w:t>
      </w:r>
      <w:r w:rsidRPr="00591765">
        <w:rPr>
          <w:rFonts w:ascii="Calibri" w:hAnsi="Calibri" w:cs="Calibri"/>
          <w:bCs/>
          <w:iCs/>
          <w:sz w:val="24"/>
          <w:szCs w:val="24"/>
        </w:rPr>
        <w:t xml:space="preserve">:  </w:t>
      </w:r>
      <w:r w:rsidR="00ED6223">
        <w:rPr>
          <w:rFonts w:ascii="Calibri" w:hAnsi="Calibri" w:cs="Calibri"/>
          <w:bCs/>
          <w:iCs/>
          <w:sz w:val="24"/>
          <w:szCs w:val="24"/>
        </w:rPr>
        <w:tab/>
      </w:r>
      <w:r w:rsidRPr="00591765">
        <w:rPr>
          <w:rFonts w:ascii="Calibri" w:hAnsi="Calibri" w:cs="Calibri"/>
          <w:bCs/>
          <w:iCs/>
          <w:sz w:val="24"/>
          <w:szCs w:val="24"/>
        </w:rPr>
        <w:t>Guiding Principles for Experimental Statistical Products</w:t>
      </w:r>
    </w:p>
    <w:sectPr w:rsidSect="002A1D08">
      <w:footerReference w:type="default" r:id="rId6"/>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C2365C"/>
    <w:multiLevelType w:val="hybridMultilevel"/>
    <w:tmpl w:val="443403A0"/>
    <w:lvl w:ilvl="0">
      <w:start w:val="1"/>
      <w:numFmt w:val="decimal"/>
      <w:lvlText w:val="%1."/>
      <w:lvlJc w:val="left"/>
      <w:pPr>
        <w:ind w:left="72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4157795"/>
    <w:multiLevelType w:val="hybridMultilevel"/>
    <w:tmpl w:val="A94C465C"/>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8">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0">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1">
    <w:nsid w:val="308F148A"/>
    <w:multiLevelType w:val="hybridMultilevel"/>
    <w:tmpl w:val="570CC2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4">
    <w:nsid w:val="47584C3F"/>
    <w:multiLevelType w:val="hybridMultilevel"/>
    <w:tmpl w:val="95DC8A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EBD3D0F"/>
    <w:multiLevelType w:val="hybridMultilevel"/>
    <w:tmpl w:val="5EF45438"/>
    <w:lvl w:ilvl="0">
      <w:start w:val="1"/>
      <w:numFmt w:val="decimal"/>
      <w:lvlText w:val="%1."/>
      <w:lvlJc w:val="left"/>
      <w:pPr>
        <w:ind w:left="21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9">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0">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142622896">
    <w:abstractNumId w:val="0"/>
  </w:num>
  <w:num w:numId="2" w16cid:durableId="1463500241">
    <w:abstractNumId w:val="6"/>
  </w:num>
  <w:num w:numId="3" w16cid:durableId="740055165">
    <w:abstractNumId w:val="18"/>
  </w:num>
  <w:num w:numId="4" w16cid:durableId="454718100">
    <w:abstractNumId w:val="9"/>
  </w:num>
  <w:num w:numId="5" w16cid:durableId="1852991468">
    <w:abstractNumId w:val="1"/>
  </w:num>
  <w:num w:numId="6" w16cid:durableId="1415281500">
    <w:abstractNumId w:val="8"/>
  </w:num>
  <w:num w:numId="7" w16cid:durableId="2090691047">
    <w:abstractNumId w:val="15"/>
  </w:num>
  <w:num w:numId="8" w16cid:durableId="1075398982">
    <w:abstractNumId w:val="3"/>
  </w:num>
  <w:num w:numId="9" w16cid:durableId="716471216">
    <w:abstractNumId w:val="10"/>
  </w:num>
  <w:num w:numId="10" w16cid:durableId="2081249510">
    <w:abstractNumId w:val="19"/>
  </w:num>
  <w:num w:numId="11" w16cid:durableId="1820417421">
    <w:abstractNumId w:val="20"/>
  </w:num>
  <w:num w:numId="12" w16cid:durableId="1093629459">
    <w:abstractNumId w:val="12"/>
  </w:num>
  <w:num w:numId="13" w16cid:durableId="1190072527">
    <w:abstractNumId w:val="4"/>
  </w:num>
  <w:num w:numId="14" w16cid:durableId="1804231623">
    <w:abstractNumId w:val="13"/>
  </w:num>
  <w:num w:numId="15" w16cid:durableId="2014718523">
    <w:abstractNumId w:val="2"/>
  </w:num>
  <w:num w:numId="16" w16cid:durableId="1782412404">
    <w:abstractNumId w:val="16"/>
  </w:num>
  <w:num w:numId="17" w16cid:durableId="1483502345">
    <w:abstractNumId w:val="11"/>
  </w:num>
  <w:num w:numId="18" w16cid:durableId="1551458521">
    <w:abstractNumId w:val="14"/>
  </w:num>
  <w:num w:numId="19" w16cid:durableId="1913277507">
    <w:abstractNumId w:val="17"/>
  </w:num>
  <w:num w:numId="20" w16cid:durableId="594557805">
    <w:abstractNumId w:val="5"/>
  </w:num>
  <w:num w:numId="21" w16cid:durableId="972710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11EF"/>
    <w:rsid w:val="00031C81"/>
    <w:rsid w:val="00060FAF"/>
    <w:rsid w:val="00061D50"/>
    <w:rsid w:val="0008190A"/>
    <w:rsid w:val="00087454"/>
    <w:rsid w:val="001235D4"/>
    <w:rsid w:val="00124446"/>
    <w:rsid w:val="00133D6C"/>
    <w:rsid w:val="001359A4"/>
    <w:rsid w:val="001408AF"/>
    <w:rsid w:val="00147F27"/>
    <w:rsid w:val="00154292"/>
    <w:rsid w:val="00155AB3"/>
    <w:rsid w:val="00157254"/>
    <w:rsid w:val="001831B3"/>
    <w:rsid w:val="00197427"/>
    <w:rsid w:val="001E22D7"/>
    <w:rsid w:val="001E2788"/>
    <w:rsid w:val="001F2674"/>
    <w:rsid w:val="00201347"/>
    <w:rsid w:val="00204999"/>
    <w:rsid w:val="00220406"/>
    <w:rsid w:val="00241D51"/>
    <w:rsid w:val="00253FDE"/>
    <w:rsid w:val="00277DE3"/>
    <w:rsid w:val="00283535"/>
    <w:rsid w:val="002A1D08"/>
    <w:rsid w:val="002D0D06"/>
    <w:rsid w:val="002D2382"/>
    <w:rsid w:val="002D4267"/>
    <w:rsid w:val="0035155B"/>
    <w:rsid w:val="00380128"/>
    <w:rsid w:val="003843BB"/>
    <w:rsid w:val="003A17FB"/>
    <w:rsid w:val="003B1309"/>
    <w:rsid w:val="003C66B9"/>
    <w:rsid w:val="00416BD6"/>
    <w:rsid w:val="004B4366"/>
    <w:rsid w:val="004C13A1"/>
    <w:rsid w:val="004C6F21"/>
    <w:rsid w:val="004D2532"/>
    <w:rsid w:val="004E16A4"/>
    <w:rsid w:val="004E6378"/>
    <w:rsid w:val="005122C5"/>
    <w:rsid w:val="00520952"/>
    <w:rsid w:val="00532B4F"/>
    <w:rsid w:val="00535424"/>
    <w:rsid w:val="00545A05"/>
    <w:rsid w:val="00554BC6"/>
    <w:rsid w:val="0056581F"/>
    <w:rsid w:val="005861DD"/>
    <w:rsid w:val="00591765"/>
    <w:rsid w:val="005C29BD"/>
    <w:rsid w:val="00602EBD"/>
    <w:rsid w:val="00606B4E"/>
    <w:rsid w:val="00616AF4"/>
    <w:rsid w:val="00630698"/>
    <w:rsid w:val="00630A09"/>
    <w:rsid w:val="00683754"/>
    <w:rsid w:val="006E3A96"/>
    <w:rsid w:val="00710DB3"/>
    <w:rsid w:val="00792DB4"/>
    <w:rsid w:val="00793856"/>
    <w:rsid w:val="007B0A5B"/>
    <w:rsid w:val="007D6F83"/>
    <w:rsid w:val="007E0601"/>
    <w:rsid w:val="007E59E6"/>
    <w:rsid w:val="007F2304"/>
    <w:rsid w:val="00844D2F"/>
    <w:rsid w:val="008557BA"/>
    <w:rsid w:val="00867DB2"/>
    <w:rsid w:val="00870935"/>
    <w:rsid w:val="0087490B"/>
    <w:rsid w:val="00883624"/>
    <w:rsid w:val="008A6B72"/>
    <w:rsid w:val="008B19D0"/>
    <w:rsid w:val="008D6D12"/>
    <w:rsid w:val="009154D0"/>
    <w:rsid w:val="00916590"/>
    <w:rsid w:val="00922932"/>
    <w:rsid w:val="00937F7D"/>
    <w:rsid w:val="0096082B"/>
    <w:rsid w:val="00972981"/>
    <w:rsid w:val="009D12FB"/>
    <w:rsid w:val="009D5824"/>
    <w:rsid w:val="009E1B5E"/>
    <w:rsid w:val="009E5FCC"/>
    <w:rsid w:val="00A10DFC"/>
    <w:rsid w:val="00A11966"/>
    <w:rsid w:val="00A82C0C"/>
    <w:rsid w:val="00A93D97"/>
    <w:rsid w:val="00AB1D23"/>
    <w:rsid w:val="00AD3DF0"/>
    <w:rsid w:val="00AD5DA9"/>
    <w:rsid w:val="00AE7B6C"/>
    <w:rsid w:val="00AF376E"/>
    <w:rsid w:val="00B041A8"/>
    <w:rsid w:val="00B20F55"/>
    <w:rsid w:val="00B82768"/>
    <w:rsid w:val="00BE642B"/>
    <w:rsid w:val="00BF3C29"/>
    <w:rsid w:val="00BF4BBE"/>
    <w:rsid w:val="00C07E7E"/>
    <w:rsid w:val="00C43467"/>
    <w:rsid w:val="00C939E6"/>
    <w:rsid w:val="00CC74D0"/>
    <w:rsid w:val="00CD6C4D"/>
    <w:rsid w:val="00D01C47"/>
    <w:rsid w:val="00D06587"/>
    <w:rsid w:val="00D53D3B"/>
    <w:rsid w:val="00D73009"/>
    <w:rsid w:val="00D917B5"/>
    <w:rsid w:val="00D9711E"/>
    <w:rsid w:val="00DD7257"/>
    <w:rsid w:val="00E12A81"/>
    <w:rsid w:val="00E13638"/>
    <w:rsid w:val="00E44772"/>
    <w:rsid w:val="00E47708"/>
    <w:rsid w:val="00E6360A"/>
    <w:rsid w:val="00EB723C"/>
    <w:rsid w:val="00EC47CC"/>
    <w:rsid w:val="00ED6223"/>
    <w:rsid w:val="00EE46BC"/>
    <w:rsid w:val="00F12441"/>
    <w:rsid w:val="00F148E8"/>
    <w:rsid w:val="00F57BD9"/>
    <w:rsid w:val="00F81E25"/>
    <w:rsid w:val="00F95DC8"/>
    <w:rsid w:val="00FB7832"/>
    <w:rsid w:val="00FF1A79"/>
    <w:rsid w:val="00FF2759"/>
    <w:rsid w:val="01E9EE27"/>
    <w:rsid w:val="040D9D63"/>
    <w:rsid w:val="054C936F"/>
    <w:rsid w:val="0BDEEF07"/>
    <w:rsid w:val="0BFD775D"/>
    <w:rsid w:val="0EE28D7F"/>
    <w:rsid w:val="0F201C6E"/>
    <w:rsid w:val="11A0EE79"/>
    <w:rsid w:val="1274ED89"/>
    <w:rsid w:val="15C0E59C"/>
    <w:rsid w:val="17406DCC"/>
    <w:rsid w:val="17D98ABF"/>
    <w:rsid w:val="2098F6BD"/>
    <w:rsid w:val="22EE9D35"/>
    <w:rsid w:val="256AA177"/>
    <w:rsid w:val="27EAF232"/>
    <w:rsid w:val="280DF0F2"/>
    <w:rsid w:val="2DDF10C6"/>
    <w:rsid w:val="36D33458"/>
    <w:rsid w:val="37ABF91A"/>
    <w:rsid w:val="37CD8CD0"/>
    <w:rsid w:val="3A19DCD2"/>
    <w:rsid w:val="3A4BA631"/>
    <w:rsid w:val="3A9B3F03"/>
    <w:rsid w:val="3C5551CB"/>
    <w:rsid w:val="3CF758CA"/>
    <w:rsid w:val="3D6CFF09"/>
    <w:rsid w:val="3E15D63C"/>
    <w:rsid w:val="3FBE4ED5"/>
    <w:rsid w:val="4359FBA8"/>
    <w:rsid w:val="4421861A"/>
    <w:rsid w:val="46919C6A"/>
    <w:rsid w:val="482D6CCB"/>
    <w:rsid w:val="4B650D8D"/>
    <w:rsid w:val="4CB651B3"/>
    <w:rsid w:val="51F9305B"/>
    <w:rsid w:val="527260B2"/>
    <w:rsid w:val="5298F969"/>
    <w:rsid w:val="5612DE91"/>
    <w:rsid w:val="60D7F26B"/>
    <w:rsid w:val="65D77E0C"/>
    <w:rsid w:val="665EFE88"/>
    <w:rsid w:val="678CC733"/>
    <w:rsid w:val="6977BCA8"/>
    <w:rsid w:val="69D40B31"/>
    <w:rsid w:val="6F267C1F"/>
    <w:rsid w:val="6F8FB1AF"/>
    <w:rsid w:val="71063F43"/>
    <w:rsid w:val="71CDAED3"/>
    <w:rsid w:val="71E81FB7"/>
    <w:rsid w:val="71EF52F1"/>
    <w:rsid w:val="73C33CCD"/>
    <w:rsid w:val="75604C67"/>
    <w:rsid w:val="77B68FE4"/>
    <w:rsid w:val="7AAF1157"/>
    <w:rsid w:val="7F1599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semiHidden/>
    <w:unhideWhenUsed/>
    <w:rsid w:val="00DD7257"/>
    <w:rPr>
      <w:sz w:val="20"/>
      <w:szCs w:val="20"/>
    </w:rPr>
  </w:style>
  <w:style w:type="character" w:customStyle="1" w:styleId="CommentTextChar">
    <w:name w:val="Comment Text Char"/>
    <w:basedOn w:val="DefaultParagraphFont"/>
    <w:link w:val="CommentText"/>
    <w:uiPriority w:val="99"/>
    <w:semiHidden/>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character" w:styleId="UnresolvedMention">
    <w:name w:val="Unresolved Mention"/>
    <w:basedOn w:val="DefaultParagraphFont"/>
    <w:uiPriority w:val="99"/>
    <w:unhideWhenUsed/>
    <w:rsid w:val="00E13638"/>
    <w:rPr>
      <w:color w:val="605E5C"/>
      <w:shd w:val="clear" w:color="auto" w:fill="E1DFDD"/>
    </w:rPr>
  </w:style>
  <w:style w:type="character" w:styleId="Mention">
    <w:name w:val="Mention"/>
    <w:basedOn w:val="DefaultParagraphFont"/>
    <w:uiPriority w:val="99"/>
    <w:unhideWhenUsed/>
    <w:rsid w:val="00E13638"/>
    <w:rPr>
      <w:color w:val="2B579A"/>
      <w:shd w:val="clear" w:color="auto" w:fill="E1DFDD"/>
    </w:rPr>
  </w:style>
  <w:style w:type="character" w:customStyle="1" w:styleId="normaltextrun">
    <w:name w:val="normaltextrun"/>
    <w:basedOn w:val="DefaultParagraphFont"/>
    <w:rsid w:val="00BF4BBE"/>
  </w:style>
  <w:style w:type="character" w:customStyle="1" w:styleId="eop">
    <w:name w:val="eop"/>
    <w:basedOn w:val="DefaultParagraphFont"/>
    <w:rsid w:val="00BF4BBE"/>
  </w:style>
  <w:style w:type="paragraph" w:styleId="BalloonText">
    <w:name w:val="Balloon Text"/>
    <w:basedOn w:val="Normal"/>
    <w:link w:val="BalloonTextChar"/>
    <w:uiPriority w:val="99"/>
    <w:semiHidden/>
    <w:unhideWhenUsed/>
    <w:rsid w:val="00B20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55"/>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2023-06-29T21:08:00Z</dcterms:created>
  <dcterms:modified xsi:type="dcterms:W3CDTF">2023-06-29T21:09:00Z</dcterms:modified>
</cp:coreProperties>
</file>