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2617" w14:paraId="00000001" w14:textId="77777777">
      <w:pPr>
        <w:pStyle w:val="Heading1"/>
        <w:ind w:left="0"/>
        <w:jc w:val="center"/>
      </w:pPr>
      <w:r>
        <w:t>SUPPORTING STATEMENT</w:t>
      </w:r>
    </w:p>
    <w:p w:rsidR="00CA2617" w14:paraId="00000002" w14:textId="77777777">
      <w:pPr>
        <w:spacing w:before="22" w:line="259" w:lineRule="auto"/>
        <w:ind w:firstLine="14"/>
        <w:jc w:val="center"/>
        <w:rPr>
          <w:b/>
        </w:rPr>
      </w:pPr>
      <w:r>
        <w:rPr>
          <w:b/>
        </w:rPr>
        <w:t>U.S. Department of Commerce</w:t>
      </w:r>
    </w:p>
    <w:p w:rsidR="00CA2617" w14:paraId="00000003" w14:textId="77777777">
      <w:pPr>
        <w:spacing w:before="22" w:line="259" w:lineRule="auto"/>
        <w:ind w:firstLine="14"/>
        <w:jc w:val="center"/>
        <w:rPr>
          <w:b/>
        </w:rPr>
      </w:pPr>
      <w:r>
        <w:rPr>
          <w:b/>
        </w:rPr>
        <w:t>National Oceanic &amp; Atmospheric Administration</w:t>
      </w:r>
    </w:p>
    <w:p w:rsidR="00CA2617" w14:paraId="00000004" w14:textId="77777777">
      <w:pPr>
        <w:spacing w:line="259" w:lineRule="auto"/>
        <w:ind w:hanging="6"/>
        <w:jc w:val="center"/>
        <w:rPr>
          <w:b/>
        </w:rPr>
      </w:pPr>
      <w:r>
        <w:rPr>
          <w:b/>
        </w:rPr>
        <w:t>NOAA Diving Program</w:t>
      </w:r>
    </w:p>
    <w:p w:rsidR="00CA2617" w14:paraId="00000005" w14:textId="77777777">
      <w:pPr>
        <w:spacing w:line="259" w:lineRule="auto"/>
        <w:ind w:hanging="6"/>
        <w:jc w:val="center"/>
        <w:rPr>
          <w:b/>
        </w:rPr>
      </w:pPr>
      <w:r>
        <w:rPr>
          <w:b/>
        </w:rPr>
        <w:t>OMB Control No. 0648-XXXX</w:t>
      </w:r>
    </w:p>
    <w:p w:rsidR="00CA2617" w14:paraId="00000006" w14:textId="77777777">
      <w:pPr>
        <w:pBdr>
          <w:top w:val="nil"/>
          <w:left w:val="nil"/>
          <w:bottom w:val="nil"/>
          <w:right w:val="nil"/>
          <w:between w:val="nil"/>
        </w:pBdr>
        <w:spacing w:before="1"/>
        <w:jc w:val="center"/>
        <w:rPr>
          <w:b/>
          <w:color w:val="000000"/>
        </w:rPr>
      </w:pPr>
    </w:p>
    <w:p w:rsidR="00CA2617" w14:paraId="00000007" w14:textId="77777777">
      <w:pPr>
        <w:spacing w:before="1" w:line="398" w:lineRule="auto"/>
        <w:rPr>
          <w:b/>
        </w:rPr>
      </w:pPr>
      <w:r>
        <w:rPr>
          <w:b/>
          <w:color w:val="000000"/>
        </w:rPr>
        <w:t xml:space="preserve">SUPPORTING STATEMENT </w:t>
      </w:r>
      <w:r>
        <w:rPr>
          <w:b/>
          <w:color w:val="000000"/>
        </w:rPr>
        <w:t>PART</w:t>
      </w:r>
      <w:r>
        <w:rPr>
          <w:b/>
          <w:color w:val="000000"/>
        </w:rPr>
        <w:t xml:space="preserve"> A</w:t>
      </w:r>
      <w:r>
        <w:rPr>
          <w:b/>
          <w:color w:val="1F497D"/>
        </w:rPr>
        <w:t xml:space="preserve"> </w:t>
      </w:r>
    </w:p>
    <w:p w:rsidR="00CA2617" w14:paraId="00000008" w14:textId="77777777">
      <w:pPr>
        <w:pStyle w:val="Heading1"/>
        <w:spacing w:before="199"/>
        <w:ind w:left="0"/>
      </w:pPr>
      <w:r>
        <w:t>Abstract</w:t>
      </w:r>
    </w:p>
    <w:p w:rsidR="00CA2617" w14:paraId="00000009" w14:textId="77777777">
      <w:pPr>
        <w:spacing w:before="120"/>
      </w:pPr>
      <w:r>
        <w:t>This is a request for approval of a collection currently in use without OMB approval.</w:t>
      </w:r>
    </w:p>
    <w:p w:rsidR="00CA2617" w14:paraId="0000000A" w14:textId="77777777">
      <w:pPr>
        <w:spacing w:before="120"/>
        <w:rPr>
          <w:color w:val="2F5496"/>
        </w:rPr>
      </w:pPr>
      <w:r>
        <w:rPr>
          <w:color w:val="222222"/>
        </w:rPr>
        <w:t>The NOAA Diving Program (NDP) is administered by the U.S. Department of Commerce, National Oceanic and Atmospheric Administration (NOAA), and is headquartered at the NOAA</w:t>
      </w:r>
      <w:r>
        <w:rPr>
          <w:color w:val="222222"/>
        </w:rPr>
        <w:t xml:space="preserve"> Western Regional Center (WRC) in Seattle, Washington. The NDP provides the guidelines, policy, and training for all NOAA Divers, which includes all NOAA employees who dive, as well as contractors and volunteers, among others, who conduct diving operations</w:t>
      </w:r>
      <w:r>
        <w:rPr>
          <w:color w:val="222222"/>
        </w:rPr>
        <w:t xml:space="preserve">.  This collection covers the forms that are required to ensure proficiency </w:t>
      </w:r>
      <w:r>
        <w:rPr>
          <w:color w:val="222222"/>
        </w:rPr>
        <w:t>in order to</w:t>
      </w:r>
      <w:r>
        <w:rPr>
          <w:color w:val="222222"/>
        </w:rPr>
        <w:t xml:space="preserve"> dive for NOAA.</w:t>
      </w:r>
    </w:p>
    <w:p w:rsidR="00CA2617" w14:paraId="0000000B" w14:textId="77777777">
      <w:pPr>
        <w:pStyle w:val="Heading1"/>
        <w:spacing w:before="124"/>
        <w:ind w:left="0"/>
      </w:pPr>
      <w:r>
        <w:t>Justification</w:t>
      </w:r>
    </w:p>
    <w:p w:rsidR="00CA2617" w14:paraId="0000000C" w14:textId="77777777">
      <w:pPr>
        <w:numPr>
          <w:ilvl w:val="0"/>
          <w:numId w:val="2"/>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CA2617" w14:paraId="0000000D" w14:textId="77777777">
      <w:pPr>
        <w:shd w:val="clear" w:color="auto" w:fill="FFFFFF"/>
        <w:spacing w:before="120"/>
        <w:ind w:firstLine="20"/>
      </w:pPr>
      <w:r>
        <w:t>The NOAA Diving Program (NDP) is administered by the U.S. Department of Commerce, National Oceanic and Atmospheric Administration (NOAA), and is headquartered at the NOAA Western Regional Center (WRC) in Seattle, Washington.</w:t>
      </w:r>
      <w:r>
        <w:t xml:space="preserve"> The NDP provides the policy, guidelines, training, in addition to supplying and servicing diving safety equipment for all NOAA Divers, which includes all NOAA employees who dive (both FTEs and NOAA Corps officers), as well as contractors, and volunteers, </w:t>
      </w:r>
      <w:r>
        <w:t>among others, who conduct diving operations.</w:t>
      </w:r>
    </w:p>
    <w:p w:rsidR="00CA2617" w14:paraId="0000000E" w14:textId="77777777">
      <w:pPr>
        <w:spacing w:before="120"/>
        <w:ind w:firstLine="20"/>
      </w:pPr>
      <w:r>
        <w:t>With more than 300 divers, the National Oceanic and Atmospheric Administration (NOAA) has the largest complement of divers of any civilian federal agency. NOAA Divers conduct operations in our nation’s waters an</w:t>
      </w:r>
      <w:r>
        <w:t>d beyond in support of NOAA’s scientific research and operations. They are called upon to work in various conditions ranging from the warm, clear waters of a marine sanctuary, to the cold, murky waters of a commercial harbor. The tasks NOAA Divers complete</w:t>
      </w:r>
      <w:r>
        <w:t xml:space="preserve"> are as varied as the waters they dive in, with most divers supporting projects and research of the National Ocean Service (NOS), the National Marine Fisheries Service (NMFS), and the Office of Marine and Aviation Operations (OMAO).</w:t>
      </w:r>
    </w:p>
    <w:p w:rsidR="00CA2617" w14:paraId="0000000F" w14:textId="77777777">
      <w:pPr>
        <w:shd w:val="clear" w:color="auto" w:fill="FFFFFF"/>
        <w:spacing w:before="120"/>
        <w:ind w:firstLine="20"/>
        <w:rPr>
          <w:color w:val="222222"/>
        </w:rPr>
      </w:pPr>
      <w:r>
        <w:rPr>
          <w:color w:val="222222"/>
        </w:rPr>
        <w:t>NOAA Divers are require</w:t>
      </w:r>
      <w:r>
        <w:rPr>
          <w:color w:val="222222"/>
        </w:rPr>
        <w:t xml:space="preserve">d to maintain a high level of proficiency, both in practice (in the water) and in theoretical understanding (academic learning) </w:t>
      </w:r>
      <w:r>
        <w:rPr>
          <w:color w:val="222222"/>
        </w:rPr>
        <w:t>in order to</w:t>
      </w:r>
      <w:r>
        <w:rPr>
          <w:color w:val="222222"/>
        </w:rPr>
        <w:t xml:space="preserve"> continue to dive for NOAA. In addition, NOAA Divers must maintain medical fitness to dive and are required to send t</w:t>
      </w:r>
      <w:r>
        <w:rPr>
          <w:color w:val="222222"/>
        </w:rPr>
        <w:t xml:space="preserve">heir diving equipment out for maintenance as scheduled. If requirements are not met, </w:t>
      </w:r>
      <w:r>
        <w:t xml:space="preserve">divers may become unauthorized to dive or suspended. </w:t>
      </w:r>
      <w:r>
        <w:rPr>
          <w:color w:val="222222"/>
        </w:rPr>
        <w:t>In order to</w:t>
      </w:r>
      <w:r>
        <w:rPr>
          <w:color w:val="222222"/>
        </w:rPr>
        <w:t xml:space="preserve"> become NOAA Divers, candidates must first submit a diving physical to the NOAA Diving Medical Officers to </w:t>
      </w:r>
      <w:r>
        <w:rPr>
          <w:color w:val="222222"/>
        </w:rPr>
        <w:t>determine if they are medically fit to dive. After that, divers must complete medical documentation annually to maintain authorization to dive. To maintain fitness to dive, it is imperative that divers recognize the need for a continual and aggressive exer</w:t>
      </w:r>
      <w:r>
        <w:rPr>
          <w:color w:val="222222"/>
        </w:rPr>
        <w:t xml:space="preserve">cise program that exceeds basic health maintenance standards. </w:t>
      </w:r>
    </w:p>
    <w:p w:rsidR="00CA2617" w14:paraId="00000010" w14:textId="77777777">
      <w:pPr>
        <w:spacing w:before="120"/>
        <w:ind w:firstLine="20"/>
      </w:pPr>
      <w:r>
        <w:t xml:space="preserve">The NDP exists to ensure the safety and wellbeing of all NOAA Divers as they engage in NOAA scientific missions. The NDP does so via policy, guidelines, training, in addition to supplying and </w:t>
      </w:r>
      <w:r>
        <w:t>s</w:t>
      </w:r>
      <w:r>
        <w:t xml:space="preserve">ervicing diving safety equipment. To that end, the NOAA Diving Program collects information under the following authorities: </w:t>
      </w:r>
      <w:hyperlink r:id="rId5" w:anchor="T">
        <w:r>
          <w:rPr>
            <w:color w:val="1155CC"/>
            <w:u w:val="single"/>
          </w:rPr>
          <w:t xml:space="preserve">29 CFR Subpart </w:t>
        </w:r>
        <w:r>
          <w:rPr>
            <w:color w:val="1155CC"/>
            <w:u w:val="single"/>
          </w:rPr>
          <w:t>T, Commercial Diving Operations</w:t>
        </w:r>
      </w:hyperlink>
      <w:r>
        <w:t xml:space="preserve">; </w:t>
      </w:r>
      <w:hyperlink r:id="rId6">
        <w:r>
          <w:rPr>
            <w:color w:val="1155CC"/>
            <w:u w:val="single"/>
          </w:rPr>
          <w:t>NAO 209-123 NOAA Diving Program</w:t>
        </w:r>
      </w:hyperlink>
      <w:r>
        <w:t>; the NOAA Diving Safety and Control Board (NDCSB), including the NOAA Diving Medical Office</w:t>
      </w:r>
      <w:r>
        <w:t xml:space="preserve">r (DMO); the Director of OMAO; the NOAA Office of Health Services; the </w:t>
      </w:r>
      <w:hyperlink r:id="rId7">
        <w:r>
          <w:rPr>
            <w:color w:val="1155CC"/>
            <w:u w:val="single"/>
          </w:rPr>
          <w:t>NOAA Diving Standards and Safety Manual</w:t>
        </w:r>
      </w:hyperlink>
      <w:r>
        <w:t>. Information requested through various NDP forms addresses gear maintena</w:t>
      </w:r>
      <w:r>
        <w:t>nce, training, proficiency, and medical monitoring (all HIPAA rules are adhered to).  Without this information, many NOAA divers would be placed at greater risk as we have no other alternatives this needed data.</w:t>
      </w:r>
    </w:p>
    <w:p w:rsidR="00CA2617" w14:paraId="00000011" w14:textId="77777777">
      <w:pPr>
        <w:pBdr>
          <w:top w:val="nil"/>
          <w:left w:val="nil"/>
          <w:bottom w:val="nil"/>
          <w:right w:val="nil"/>
          <w:between w:val="nil"/>
        </w:pBdr>
        <w:spacing w:before="159" w:line="259" w:lineRule="auto"/>
        <w:rPr>
          <w:b/>
          <w:color w:val="2F5496"/>
          <w:u w:val="single"/>
        </w:rPr>
      </w:pPr>
    </w:p>
    <w:p w:rsidR="00CA2617" w14:paraId="00000012" w14:textId="77777777">
      <w:pPr>
        <w:pStyle w:val="Heading1"/>
        <w:numPr>
          <w:ilvl w:val="0"/>
          <w:numId w:val="2"/>
        </w:numPr>
        <w:tabs>
          <w:tab w:val="left" w:pos="360"/>
        </w:tabs>
        <w:spacing w:before="197"/>
        <w:ind w:left="0" w:firstLine="0"/>
      </w:pPr>
      <w:r>
        <w:t>Indicate how, by whom, and for what purpose</w:t>
      </w:r>
      <w:r>
        <w:t xml:space="preserve"> the information is to be used. Except for a new collection, indicate the actual use the agency has made of the information received from the current collection.</w:t>
      </w:r>
    </w:p>
    <w:p w:rsidR="00CA2617" w14:paraId="00000013" w14:textId="77777777">
      <w:pPr>
        <w:tabs>
          <w:tab w:val="left" w:pos="360"/>
        </w:tabs>
      </w:pPr>
    </w:p>
    <w:p w:rsidR="00CA2617" w14:paraId="00000014" w14:textId="77777777">
      <w:pPr>
        <w:tabs>
          <w:tab w:val="left" w:pos="360"/>
        </w:tabs>
      </w:pPr>
      <w:r>
        <w:rPr>
          <w:u w:val="single"/>
        </w:rPr>
        <w:t>How the NOAA Diving Program Collects Data</w:t>
      </w:r>
    </w:p>
    <w:p w:rsidR="00CA2617" w14:paraId="00000015" w14:textId="77777777">
      <w:pPr>
        <w:tabs>
          <w:tab w:val="left" w:pos="360"/>
        </w:tabs>
        <w:spacing w:before="200"/>
      </w:pPr>
      <w:r>
        <w:rPr>
          <w:color w:val="222222"/>
        </w:rPr>
        <w:t xml:space="preserve">The information is collected via forms submitted primarily by electronic means, however respondents may request paper forms. </w:t>
      </w:r>
      <w:r>
        <w:t>All NOAA Diving forms are electronic in nature. We utilize fillable PDF forms which allow digital signatures to document authentici</w:t>
      </w:r>
      <w:r>
        <w:t>ty. Very occasionally, a diver may choose to print a completed form and submit data via hard copy if electronic means are unavailable.</w:t>
      </w:r>
    </w:p>
    <w:p w:rsidR="00CA2617" w14:paraId="00000016" w14:textId="77777777">
      <w:pPr>
        <w:spacing w:before="240" w:after="240"/>
      </w:pPr>
      <w:r>
        <w:t>These are ongoing collections which have changed over time to reflect improvements in technology.  At one time forms were</w:t>
      </w:r>
      <w:r>
        <w:t xml:space="preserve"> printed, filled out by hand and mailed to the NOAA Diving Center. Then we changed to submission via fax, and now we prefer secure email.</w:t>
      </w:r>
    </w:p>
    <w:p w:rsidR="00CA2617" w14:paraId="00000017" w14:textId="77777777">
      <w:pPr>
        <w:spacing w:before="240" w:after="240"/>
      </w:pPr>
      <w:r>
        <w:t>Respondents do not generally have options for providing information. We prefer standardized electronic forms transmitt</w:t>
      </w:r>
      <w:r>
        <w:t xml:space="preserve">ed via secure email or directly input into NOAA databases. If a unique situation arises which prevents use of the standardized electronic forms, we will develop individualized methods to transmit and record the data, but there is no standard procedure for </w:t>
      </w:r>
      <w:r>
        <w:t>this.</w:t>
      </w:r>
    </w:p>
    <w:p w:rsidR="00CA2617" w14:paraId="00000019" w14:textId="77777777">
      <w:pPr>
        <w:spacing w:before="240" w:after="240"/>
        <w:rPr>
          <w:u w:val="single"/>
        </w:rPr>
      </w:pPr>
      <w:r>
        <w:rPr>
          <w:u w:val="single"/>
        </w:rPr>
        <w:t>Respondents</w:t>
      </w:r>
    </w:p>
    <w:p w:rsidR="00CA2617" w14:paraId="0000001A" w14:textId="77777777">
      <w:pPr>
        <w:tabs>
          <w:tab w:val="left" w:pos="360"/>
        </w:tabs>
        <w:spacing w:before="200"/>
        <w:rPr>
          <w:color w:val="222222"/>
        </w:rPr>
      </w:pPr>
      <w:r>
        <w:rPr>
          <w:color w:val="222222"/>
        </w:rPr>
        <w:t>Non-NOAA respondents are either other government employees who dive as part of their job description, and so are only submitting forms to attend our training courses; or they are prospective NOAA Divers entering the NDP as contractors, v</w:t>
      </w:r>
      <w:r>
        <w:rPr>
          <w:color w:val="222222"/>
        </w:rPr>
        <w:t>olunteers, or interns, and are submitting forms to both attend training, and to become divers for NOAA. Most forms are only completed once in a lifetime, whereas some forms must be completed every two or more years, or each time they request a different NO</w:t>
      </w:r>
      <w:r>
        <w:rPr>
          <w:color w:val="222222"/>
        </w:rPr>
        <w:t xml:space="preserve">AA Diving Center (NDC) training course. </w:t>
      </w:r>
    </w:p>
    <w:p w:rsidR="00CA2617" w14:paraId="0000001C" w14:textId="77777777">
      <w:pPr>
        <w:spacing w:before="240" w:after="240"/>
        <w:rPr>
          <w:u w:val="single"/>
        </w:rPr>
      </w:pPr>
      <w:r>
        <w:rPr>
          <w:u w:val="single"/>
        </w:rPr>
        <w:t>What Data are Collected</w:t>
      </w:r>
    </w:p>
    <w:p w:rsidR="00CA2617" w14:paraId="0000001D" w14:textId="77777777">
      <w:pPr>
        <w:tabs>
          <w:tab w:val="left" w:pos="360"/>
        </w:tabs>
        <w:spacing w:before="200"/>
        <w:rPr>
          <w:color w:val="222222"/>
        </w:rPr>
      </w:pPr>
      <w:r>
        <w:t>The data collected is generally confined to non-PII information. The specific types of information include service dates on diving equipment, training dates and names of entities providing t</w:t>
      </w:r>
      <w:r>
        <w:t>raining for diving safety certifications (e.g., first aid, CPR, oxygen administration), dive plans, records of actual dives completed (e.g., location, depth, breathing gas, bottom time, dive buddy), training requests and sizing information for NOAA-provide</w:t>
      </w:r>
      <w:r>
        <w:t>d diving gear. We do collect PII via diving medical forms, however those data are transmitted and maintained through a separate HIPAA-compliant process.</w:t>
      </w:r>
    </w:p>
    <w:p w:rsidR="00CA2617" w14:paraId="0000001E" w14:textId="77777777">
      <w:pPr>
        <w:spacing w:before="240" w:after="240"/>
      </w:pPr>
      <w:r>
        <w:t>Data is collected for all members of the NOAA Diving Program. Non-NOAA divers who participate on NOAA m</w:t>
      </w:r>
      <w:r>
        <w:t xml:space="preserve">issions may be asked to provide a much less detailed set of data, generally limited to metrics of </w:t>
      </w:r>
      <w:r>
        <w:t>dives completed (e.g., location, depth, breathing gas, bottom time, dive buddy).</w:t>
      </w:r>
    </w:p>
    <w:p w:rsidR="00CA2617" w14:paraId="00000020" w14:textId="77777777">
      <w:pPr>
        <w:tabs>
          <w:tab w:val="left" w:pos="360"/>
        </w:tabs>
        <w:spacing w:before="200" w:after="200"/>
        <w:rPr>
          <w:color w:val="222222"/>
          <w:u w:val="single"/>
        </w:rPr>
      </w:pPr>
      <w:r>
        <w:rPr>
          <w:color w:val="222222"/>
          <w:u w:val="single"/>
        </w:rPr>
        <w:t xml:space="preserve">How </w:t>
      </w:r>
      <w:r>
        <w:rPr>
          <w:color w:val="222222"/>
          <w:u w:val="single"/>
        </w:rPr>
        <w:t>The</w:t>
      </w:r>
      <w:r>
        <w:rPr>
          <w:color w:val="222222"/>
          <w:u w:val="single"/>
        </w:rPr>
        <w:t xml:space="preserve"> Data Is Used</w:t>
      </w:r>
    </w:p>
    <w:p w:rsidR="00CA2617" w14:paraId="00000021" w14:textId="77777777">
      <w:pPr>
        <w:tabs>
          <w:tab w:val="left" w:pos="360"/>
        </w:tabs>
        <w:spacing w:before="200" w:after="200"/>
      </w:pPr>
      <w:r>
        <w:rPr>
          <w:color w:val="222222"/>
        </w:rPr>
        <w:t>Information about individual divers, including their tr</w:t>
      </w:r>
      <w:r>
        <w:rPr>
          <w:color w:val="222222"/>
        </w:rPr>
        <w:t>aining level, certifications, when their diving medical status was updated, and the date of their last training in diving emergency response will be used at their local units and at the NDC for administrative and training purposes, as well as to assess whe</w:t>
      </w:r>
      <w:r>
        <w:rPr>
          <w:color w:val="222222"/>
        </w:rPr>
        <w:t>ther they have adequate proficiency to dive. Once collected, this information is maintained and updated via our secure online database called the NOAA Dive Log (NDL).</w:t>
      </w:r>
    </w:p>
    <w:p w:rsidR="00CA2617" w14:paraId="00000022" w14:textId="77777777">
      <w:pPr>
        <w:spacing w:before="240" w:after="240"/>
      </w:pPr>
      <w:r>
        <w:t>Data will be used to monitor compliance with NOAA Diving policies, to track trends in div</w:t>
      </w:r>
      <w:r>
        <w:t>ing missions, locations and techniques to allow policy changes for the improvement of diver safety. All data on individual divers is only used internally by the NOAA Diving leadership. Grossly aggregated data may be shared with diving partner entities (e.g</w:t>
      </w:r>
      <w:r>
        <w:t>., total number of dives by NOAA each year, total bottom time, total numbers of divers). Annual reports are available on publicly viewable websites, but no direct dissemination to the public occurs.</w:t>
      </w:r>
    </w:p>
    <w:p w:rsidR="00CA2617" w14:paraId="00000023" w14:textId="77777777">
      <w:pPr>
        <w:tabs>
          <w:tab w:val="left" w:pos="360"/>
        </w:tabs>
        <w:spacing w:after="200"/>
        <w:rPr>
          <w:color w:val="222222"/>
        </w:rPr>
      </w:pPr>
      <w:r>
        <w:rPr>
          <w:color w:val="222222"/>
        </w:rPr>
        <w:t>Information about the dives logged in the NDL is collecte</w:t>
      </w:r>
      <w:r>
        <w:rPr>
          <w:color w:val="222222"/>
        </w:rPr>
        <w:t xml:space="preserve">d and combined with the dives from all divers in the NDP for administrative purposes, for NDCSB policy changes or updates, and for OMAO Leadership Team reports such as the </w:t>
      </w:r>
      <w:hyperlink r:id="rId8">
        <w:r>
          <w:rPr>
            <w:color w:val="1155CC"/>
            <w:u w:val="single"/>
          </w:rPr>
          <w:t>Annual Reports</w:t>
        </w:r>
      </w:hyperlink>
      <w:r>
        <w:rPr>
          <w:color w:val="222222"/>
        </w:rPr>
        <w:t xml:space="preserve">. Aggregate certifications data are used by NDC and the NDP for administrative purposes, such as determining when certain training should occur, and where. </w:t>
      </w:r>
    </w:p>
    <w:p w:rsidR="00CA2617" w14:paraId="00000024" w14:textId="77777777">
      <w:pPr>
        <w:tabs>
          <w:tab w:val="left" w:pos="360"/>
        </w:tabs>
        <w:spacing w:after="200"/>
      </w:pPr>
      <w:r>
        <w:rPr>
          <w:color w:val="222222"/>
        </w:rPr>
        <w:t>Aggregate data about NOAA dives, missions, and their location</w:t>
      </w:r>
      <w:r>
        <w:rPr>
          <w:color w:val="222222"/>
        </w:rPr>
        <w:t xml:space="preserve">s are combined into </w:t>
      </w:r>
      <w:hyperlink r:id="rId8">
        <w:r>
          <w:rPr>
            <w:color w:val="1155CC"/>
            <w:u w:val="single"/>
          </w:rPr>
          <w:t>Annual Reports</w:t>
        </w:r>
      </w:hyperlink>
      <w:r>
        <w:t xml:space="preserve"> for </w:t>
      </w:r>
      <w:r>
        <w:rPr>
          <w:color w:val="222222"/>
        </w:rPr>
        <w:t>use in leadership and funding discussions with NOAA, Department of Commerce, and beyond. This is collected on</w:t>
      </w:r>
      <w:r>
        <w:rPr>
          <w:color w:val="222222"/>
        </w:rPr>
        <w:t>ce per calendar year from our NDL database, and is the only collected information that is shared outside of NOAA.</w:t>
      </w:r>
    </w:p>
    <w:p w:rsidR="00CA2617" w14:paraId="00000026" w14:textId="77777777">
      <w:pPr>
        <w:spacing w:before="240" w:after="240"/>
        <w:rPr>
          <w:u w:val="single"/>
        </w:rPr>
      </w:pPr>
      <w:r>
        <w:rPr>
          <w:u w:val="single"/>
        </w:rPr>
        <w:t>Collection Intervals, &amp; From Whom</w:t>
      </w:r>
    </w:p>
    <w:p w:rsidR="00CA2617" w14:paraId="00000027" w14:textId="77777777">
      <w:pPr>
        <w:spacing w:before="240" w:after="240"/>
      </w:pPr>
      <w:r>
        <w:t>Different types of information are collected at different intervals depending upon the type of data being s</w:t>
      </w:r>
      <w:r>
        <w:t xml:space="preserve">ought. For example, dive training may only be requested once during a diver’s entire career, whereas volunteer </w:t>
      </w:r>
      <w:r>
        <w:t>divers</w:t>
      </w:r>
      <w:r>
        <w:t xml:space="preserve"> must submit a Volunteer Diver Service Agreement every 2 years. Dive physical periodicity varies with the diver’s age: once every 5 years u</w:t>
      </w:r>
      <w:r>
        <w:t>p to age 47, every 4 years for divers aged 48, every 3 years for divers aged 49, every 2 years for ages 51-60, and annually after age 60.</w:t>
      </w:r>
    </w:p>
    <w:p w:rsidR="00CA2617" w14:paraId="00000028" w14:textId="77777777">
      <w:pPr>
        <w:tabs>
          <w:tab w:val="left" w:pos="360"/>
        </w:tabs>
        <w:spacing w:before="200" w:after="200"/>
        <w:rPr>
          <w:color w:val="222222"/>
        </w:rPr>
      </w:pPr>
      <w:r>
        <w:rPr>
          <w:color w:val="222222"/>
        </w:rPr>
        <w:t>Medical information is collected by both the respondent and their provider (who performs the diving medical physical e</w:t>
      </w:r>
      <w:r>
        <w:rPr>
          <w:color w:val="222222"/>
        </w:rPr>
        <w:t>xam), and then used by the</w:t>
      </w:r>
      <w:r>
        <w:t xml:space="preserve"> NOAA Diving Medical Officer (DMO)</w:t>
      </w:r>
      <w:r>
        <w:rPr>
          <w:color w:val="222222"/>
        </w:rPr>
        <w:t xml:space="preserve"> to determine whether the diver may safely work in a hyperbaric environment. This physical exam occurs periodically; when an exam is not due, divers submit an Annual Medical Update form directly t</w:t>
      </w:r>
      <w:r>
        <w:rPr>
          <w:color w:val="222222"/>
        </w:rPr>
        <w:t>o the DMO to verify that there has been no negative change to the diver’s medical status (no physician needs to use/record data on this form).</w:t>
      </w:r>
    </w:p>
    <w:p w:rsidR="00CA2617" w14:paraId="00000029" w14:textId="77777777">
      <w:pPr>
        <w:tabs>
          <w:tab w:val="left" w:pos="360"/>
        </w:tabs>
        <w:spacing w:before="200" w:after="200"/>
        <w:rPr>
          <w:color w:val="222222"/>
        </w:rPr>
      </w:pPr>
      <w:r>
        <w:rPr>
          <w:color w:val="222222"/>
        </w:rPr>
        <w:t xml:space="preserve">New diver training forms for divers who do not join the NDP — such as police, fire departments, state employees, </w:t>
      </w:r>
      <w:r>
        <w:rPr>
          <w:color w:val="222222"/>
        </w:rPr>
        <w:t>military, and some other federal agencies — are collected only to facilitate their attendance at the course they applied for. These forms collect medical information (to determine medical suitability to dive), a liability release, name/address/phone number</w:t>
      </w:r>
      <w:r>
        <w:rPr>
          <w:color w:val="222222"/>
        </w:rPr>
        <w:t xml:space="preserve">/reason for requesting the course/what electives/supervisor approval, and the supervisor’s information (to collect payment for the course </w:t>
      </w:r>
      <w:r>
        <w:rPr>
          <w:color w:val="222222"/>
        </w:rPr>
        <w:t>at a later date</w:t>
      </w:r>
      <w:r>
        <w:rPr>
          <w:color w:val="222222"/>
        </w:rPr>
        <w:t>). The aggregate data about how many attendees of which type and their prior experience levels are used</w:t>
      </w:r>
      <w:r>
        <w:rPr>
          <w:color w:val="222222"/>
        </w:rPr>
        <w:t xml:space="preserve"> for the </w:t>
      </w:r>
      <w:hyperlink r:id="rId8">
        <w:r>
          <w:rPr>
            <w:color w:val="1155CC"/>
            <w:u w:val="single"/>
          </w:rPr>
          <w:t>Annual Reports</w:t>
        </w:r>
      </w:hyperlink>
      <w:r>
        <w:t>, internal metrics, administrative purposes such as issuing certifications and collecting course payment, and to plan or impr</w:t>
      </w:r>
      <w:r>
        <w:t xml:space="preserve">ove training in the future. These forms are only </w:t>
      </w:r>
      <w:r>
        <w:t>collected when the diver requests training.</w:t>
      </w:r>
    </w:p>
    <w:p w:rsidR="00CA2617" w14:paraId="0000002A" w14:textId="77777777">
      <w:pPr>
        <w:pBdr>
          <w:top w:val="nil"/>
          <w:left w:val="nil"/>
          <w:bottom w:val="nil"/>
          <w:right w:val="nil"/>
          <w:between w:val="nil"/>
        </w:pBdr>
        <w:spacing w:before="160"/>
      </w:pPr>
    </w:p>
    <w:p w:rsidR="00CA2617" w14:paraId="0000002B" w14:textId="77777777">
      <w:pPr>
        <w:pBdr>
          <w:top w:val="nil"/>
          <w:left w:val="nil"/>
          <w:bottom w:val="nil"/>
          <w:right w:val="nil"/>
          <w:between w:val="nil"/>
        </w:pBdr>
        <w:spacing w:before="160"/>
        <w:rPr>
          <w:b/>
          <w:color w:val="000000"/>
        </w:rPr>
      </w:pPr>
      <w:r>
        <w:rPr>
          <w:b/>
        </w:rPr>
        <w:t>3.</w:t>
      </w:r>
      <w:r>
        <w:rPr>
          <w:color w:val="2F5496"/>
        </w:rPr>
        <w:tab/>
      </w: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w:t>
      </w:r>
      <w:r>
        <w:rPr>
          <w:b/>
          <w:color w:val="000000"/>
        </w:rPr>
        <w:t>nses, and the basis for the decision for adopting this means of collection. Also, describe any consideration of using information technology to reduce burden.</w:t>
      </w:r>
    </w:p>
    <w:p w:rsidR="00CA2617" w14:paraId="0000002C" w14:textId="77777777">
      <w:pPr>
        <w:spacing w:before="120"/>
      </w:pPr>
      <w:r>
        <w:t xml:space="preserve">Information will be collected electronically via email, electronic form, or other digital platforms. Paper forms are available upon request. </w:t>
      </w:r>
    </w:p>
    <w:p w:rsidR="00CA2617" w14:paraId="0000002D" w14:textId="77777777">
      <w:pPr>
        <w:spacing w:before="161"/>
      </w:pPr>
    </w:p>
    <w:p w:rsidR="00CA2617" w14:paraId="0000002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duplication. Show specifically why any similar information already available cannot </w:t>
      </w:r>
      <w:r>
        <w:rPr>
          <w:b/>
          <w:color w:val="000000"/>
        </w:rPr>
        <w:t>be used or modified for use for the purposes described in Question 2</w:t>
      </w:r>
    </w:p>
    <w:p w:rsidR="00CA2617" w14:paraId="0000002F" w14:textId="77777777">
      <w:pPr>
        <w:spacing w:before="120"/>
      </w:pPr>
      <w:r>
        <w:t>This program is unique to NOAA and there is no duplication with other efforts.</w:t>
      </w:r>
    </w:p>
    <w:p w:rsidR="00CA2617" w14:paraId="00000030" w14:textId="77777777">
      <w:pPr>
        <w:pBdr>
          <w:top w:val="nil"/>
          <w:left w:val="nil"/>
          <w:bottom w:val="nil"/>
          <w:right w:val="nil"/>
          <w:between w:val="nil"/>
        </w:pBdr>
        <w:spacing w:before="161"/>
        <w:rPr>
          <w:color w:val="2F5496"/>
        </w:rPr>
      </w:pPr>
    </w:p>
    <w:p w:rsidR="00CA2617" w14:paraId="0000003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w:t>
      </w:r>
      <w:r>
        <w:rPr>
          <w:b/>
          <w:color w:val="000000"/>
        </w:rPr>
        <w:t>d to minimize burden.</w:t>
      </w:r>
    </w:p>
    <w:p w:rsidR="00CA2617" w14:paraId="00000032" w14:textId="77777777">
      <w:pPr>
        <w:spacing w:before="120"/>
      </w:pPr>
      <w:r>
        <w:t>This collection of information does not involve any small business or other small entities.</w:t>
      </w:r>
    </w:p>
    <w:p w:rsidR="00CA2617" w14:paraId="00000033" w14:textId="77777777">
      <w:pPr>
        <w:pBdr>
          <w:top w:val="nil"/>
          <w:left w:val="nil"/>
          <w:bottom w:val="nil"/>
          <w:right w:val="nil"/>
          <w:between w:val="nil"/>
        </w:pBdr>
        <w:spacing w:before="160"/>
        <w:rPr>
          <w:color w:val="2F5496"/>
        </w:rPr>
      </w:pPr>
    </w:p>
    <w:p w:rsidR="00CA2617" w14:paraId="0000003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A2617" w14:paraId="00000035" w14:textId="77777777">
      <w:pPr>
        <w:spacing w:before="240" w:after="240"/>
      </w:pPr>
      <w:r>
        <w:t>The primary mission of the NOAA Diving Program is to provid</w:t>
      </w:r>
      <w:r>
        <w:t>e safety oversight for individuals subjecting themselves to hazardous conditions for the sake of advancing science and federal interests.  Diver safety can only be maintained by a holistic approach to the mission which incorporates information on training,</w:t>
      </w:r>
      <w:r>
        <w:t xml:space="preserve"> equipment, medical monitoring and operational reporting.</w:t>
      </w:r>
    </w:p>
    <w:p w:rsidR="00CA2617" w14:paraId="00000036" w14:textId="77777777">
      <w:pPr>
        <w:spacing w:before="120"/>
      </w:pPr>
      <w:r>
        <w:t>The information collected is used for identifying both minimum eligibility and level of qualification of applicants for the NOAA Diving Program. Reducing the frequency of collection or eliminating t</w:t>
      </w:r>
      <w:r>
        <w:t>he collection would severely hinder the ability of the NOAA to recruit divers with the educational background and qualifications required to serve NOAA.</w:t>
      </w:r>
    </w:p>
    <w:p w:rsidR="00CA2617" w14:paraId="00000037" w14:textId="77777777">
      <w:pPr>
        <w:spacing w:before="120"/>
      </w:pPr>
    </w:p>
    <w:p w:rsidR="00CA2617" w14:paraId="0000003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w:t>
      </w:r>
      <w:r>
        <w:rPr>
          <w:b/>
          <w:color w:val="000000"/>
        </w:rPr>
        <w:t>er inconsistent with OMB guidelines.</w:t>
      </w:r>
    </w:p>
    <w:p w:rsidR="00CA2617" w14:paraId="00000039" w14:textId="77777777">
      <w:pPr>
        <w:pBdr>
          <w:top w:val="nil"/>
          <w:left w:val="nil"/>
          <w:bottom w:val="nil"/>
          <w:right w:val="nil"/>
          <w:between w:val="nil"/>
        </w:pBdr>
        <w:spacing w:before="120"/>
      </w:pPr>
      <w:r>
        <w:t>This collection will be conducted in a manner consistent with OMB guidelines.</w:t>
      </w:r>
    </w:p>
    <w:p w:rsidR="00CA2617" w14:paraId="0000003A" w14:textId="77777777">
      <w:pPr>
        <w:pBdr>
          <w:top w:val="nil"/>
          <w:left w:val="nil"/>
          <w:bottom w:val="nil"/>
          <w:right w:val="nil"/>
          <w:between w:val="nil"/>
        </w:pBdr>
        <w:spacing w:before="80"/>
        <w:rPr>
          <w:b/>
          <w:color w:val="1F497D"/>
        </w:rPr>
      </w:pPr>
    </w:p>
    <w:p w:rsidR="00CA2617" w14:paraId="0000003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w:t>
      </w:r>
      <w:r>
        <w:rPr>
          <w:b/>
          <w:color w:val="000000"/>
        </w:rPr>
        <w:t xml:space="preserve"> by 5 CFR 1320.8 (d), soliciting comments on the information collection prior to submission to OMB. Summarize public comments received in response to that notice and describe actions taken by the agency in response to these comments. Specifically address c</w:t>
      </w:r>
      <w:r>
        <w:rPr>
          <w:b/>
          <w:color w:val="000000"/>
        </w:rPr>
        <w:t>omments received on cost and hour burden.</w:t>
      </w:r>
    </w:p>
    <w:p w:rsidR="00CA2617" w14:paraId="0000003C" w14:textId="77777777">
      <w:pPr>
        <w:spacing w:before="120" w:after="120"/>
        <w:rPr>
          <w:color w:val="2F5496"/>
        </w:rPr>
      </w:pPr>
      <w:r>
        <w:t xml:space="preserve">A </w:t>
      </w:r>
      <w:r>
        <w:rPr>
          <w:i/>
        </w:rPr>
        <w:t>Federal Register</w:t>
      </w:r>
      <w:r>
        <w:t xml:space="preserve"> Notice published on August 17, 2023 (88 FR 56010), solicited public comment on </w:t>
      </w:r>
      <w:r>
        <w:t xml:space="preserve">this collection. No comments were received. </w:t>
      </w:r>
    </w:p>
    <w:p w:rsidR="00CA2617" w14:paraId="0000003D" w14:textId="77777777">
      <w:pPr>
        <w:pBdr>
          <w:top w:val="nil"/>
          <w:left w:val="nil"/>
          <w:bottom w:val="nil"/>
          <w:right w:val="nil"/>
          <w:between w:val="nil"/>
        </w:pBdr>
        <w:spacing w:before="159"/>
        <w:rPr>
          <w:color w:val="2F5496"/>
        </w:rPr>
      </w:pPr>
    </w:p>
    <w:p w:rsidR="00CA2617" w14:paraId="0000003E"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CA2617" w14:paraId="0000003F" w14:textId="77777777">
      <w:pPr>
        <w:pBdr>
          <w:top w:val="nil"/>
          <w:left w:val="nil"/>
          <w:bottom w:val="nil"/>
          <w:right w:val="nil"/>
          <w:between w:val="nil"/>
        </w:pBdr>
        <w:spacing w:before="120"/>
      </w:pPr>
      <w:r>
        <w:t>No payments or gifts will be provided to respondents.</w:t>
      </w:r>
    </w:p>
    <w:p w:rsidR="00CA2617" w14:paraId="00000040" w14:textId="77777777">
      <w:pPr>
        <w:pBdr>
          <w:top w:val="nil"/>
          <w:left w:val="nil"/>
          <w:bottom w:val="nil"/>
          <w:right w:val="nil"/>
          <w:between w:val="nil"/>
        </w:pBdr>
        <w:spacing w:before="161"/>
        <w:rPr>
          <w:color w:val="2F5496"/>
        </w:rPr>
      </w:pPr>
    </w:p>
    <w:p w:rsidR="00CA2617" w14:paraId="00000041"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w:t>
      </w:r>
      <w:r>
        <w:rPr>
          <w:b/>
          <w:color w:val="000000"/>
        </w:rPr>
        <w:t>or the assurance in statute, regulation, or agency policy. If the collection requires a systems of records notice (SORN) or privacy impact assessment (PIA), those should be cited and described here.</w:t>
      </w:r>
    </w:p>
    <w:p w:rsidR="00CA2617" w14:paraId="00000042" w14:textId="77777777">
      <w:pPr>
        <w:spacing w:before="120"/>
      </w:pPr>
      <w:r>
        <w:t>This information collection is a Privacy Act Systems of Records,</w:t>
      </w:r>
      <w:hyperlink r:id="rId9">
        <w:r>
          <w:t xml:space="preserve"> </w:t>
        </w:r>
      </w:hyperlink>
      <w:hyperlink r:id="rId10">
        <w:r>
          <w:rPr>
            <w:color w:val="1155CC"/>
            <w:u w:val="single"/>
          </w:rPr>
          <w:t>COMMERCE/NOAA-10 NOAA Diving Progra</w:t>
        </w:r>
        <w:r>
          <w:rPr>
            <w:color w:val="1155CC"/>
            <w:u w:val="single"/>
          </w:rPr>
          <w:t>m File</w:t>
        </w:r>
      </w:hyperlink>
      <w:r>
        <w:t>.</w:t>
      </w:r>
      <w:hyperlink r:id="rId11">
        <w:r>
          <w:t xml:space="preserve"> </w:t>
        </w:r>
      </w:hyperlink>
      <w:r>
        <w:t xml:space="preserve"> A current Privacy Impact Assessment for NOAA2200 is on file.</w:t>
      </w:r>
    </w:p>
    <w:p w:rsidR="00CA2617" w14:paraId="00000043" w14:textId="77777777">
      <w:pPr>
        <w:pBdr>
          <w:top w:val="nil"/>
          <w:left w:val="nil"/>
          <w:bottom w:val="nil"/>
          <w:right w:val="nil"/>
          <w:between w:val="nil"/>
        </w:pBdr>
        <w:spacing w:before="158"/>
        <w:rPr>
          <w:color w:val="2F5496"/>
        </w:rPr>
      </w:pPr>
    </w:p>
    <w:p w:rsidR="00CA2617" w14:paraId="00000044"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w:t>
      </w:r>
      <w:r>
        <w:rPr>
          <w:b/>
          <w:color w:val="000000"/>
        </w:rPr>
        <w:t>ehavior or attitudes, religious beliefs, and other matters that are commonly considered private. This justification should include the reasons why the agency considers the questions necessary, the specific uses to be made of the information, the explanatio</w:t>
      </w:r>
      <w:r>
        <w:rPr>
          <w:b/>
          <w:color w:val="000000"/>
        </w:rPr>
        <w:t>n to be given to persons from whom the information is requested, and any steps to be taken to obtain their consent.</w:t>
      </w:r>
    </w:p>
    <w:p w:rsidR="00CA2617" w14:paraId="00000045" w14:textId="77777777">
      <w:pPr>
        <w:spacing w:before="120"/>
      </w:pPr>
      <w:r>
        <w:t>Medically pertinent information is collected by the individual’s medical provider, the individual then submits this directly to the NOAA Div</w:t>
      </w:r>
      <w:r>
        <w:t>ing Medical Officer (DMO). The DMO will then use that information to determine if diving is a safe activity for that individual, and to create a health baseline in case of a diving injury. In case of a diving-related emergency or injury, the DMO will liais</w:t>
      </w:r>
      <w:r>
        <w:t xml:space="preserve">e with the onsite response team and the receiving hospital to ensure the best possible care is provided for that individual or individuals. Submission of this information is voluntary for the individual; however, due to </w:t>
      </w:r>
      <w:hyperlink r:id="rId5" w:anchor="T">
        <w:r>
          <w:rPr>
            <w:color w:val="1155CC"/>
            <w:u w:val="single"/>
          </w:rPr>
          <w:t>29 CFR 1910, Subpart T, Commercial Diving Operations</w:t>
        </w:r>
      </w:hyperlink>
      <w:hyperlink r:id="rId5" w:anchor="T">
        <w:r>
          <w:rPr>
            <w:color w:val="1155CC"/>
          </w:rPr>
          <w:t xml:space="preserve"> </w:t>
        </w:r>
      </w:hyperlink>
      <w:r>
        <w:t>as well as the NOAA Diving Standards and Safety Manual and the Diving Medical Standards and Procedures Manual, divers who do not complete this information will not be allowed to dive with NOAA. Incoming divers are informed that this information is required</w:t>
      </w:r>
      <w:r>
        <w:t xml:space="preserve"> to be permitted to dive with NOAA. All HIPAA rules are adhered to with this collection. No other questions of a sensitive nature are asked.</w:t>
      </w:r>
    </w:p>
    <w:p w:rsidR="00CA2617" w14:paraId="00000046" w14:textId="77777777">
      <w:pPr>
        <w:spacing w:before="120"/>
        <w:sectPr w:rsidSect="00A04042">
          <w:footerReference w:type="default" r:id="rId12"/>
          <w:pgSz w:w="12240" w:h="15840"/>
          <w:pgMar w:top="810" w:right="1080" w:bottom="1200" w:left="1080" w:header="0" w:footer="714" w:gutter="0"/>
          <w:pgNumType w:start="1"/>
          <w:cols w:space="720"/>
        </w:sectPr>
      </w:pPr>
    </w:p>
    <w:p w:rsidR="00CA2617" w14:paraId="00000047" w14:textId="77777777">
      <w:pPr>
        <w:spacing w:before="120"/>
      </w:pPr>
    </w:p>
    <w:p w:rsidR="00CA2617" w14:paraId="00000048" w14:textId="77777777">
      <w:pPr>
        <w:spacing w:line="259" w:lineRule="auto"/>
        <w:rPr>
          <w:color w:val="2F5496"/>
        </w:rPr>
      </w:pPr>
    </w:p>
    <w:p w:rsidR="00CA2617" w14:paraId="0000004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CA2617" w14:paraId="0000004A" w14:textId="77777777">
      <w:pPr>
        <w:pBdr>
          <w:top w:val="nil"/>
          <w:left w:val="nil"/>
          <w:bottom w:val="nil"/>
          <w:right w:val="nil"/>
          <w:between w:val="nil"/>
        </w:pBdr>
        <w:tabs>
          <w:tab w:val="left" w:pos="360"/>
        </w:tabs>
        <w:spacing w:before="80"/>
        <w:rPr>
          <w:b/>
        </w:rPr>
      </w:pPr>
    </w:p>
    <w:tbl>
      <w:tblPr>
        <w:tblStyle w:val="a6"/>
        <w:tblW w:w="14070" w:type="dxa"/>
        <w:tblBorders>
          <w:top w:val="nil"/>
          <w:left w:val="nil"/>
          <w:bottom w:val="nil"/>
          <w:right w:val="nil"/>
          <w:insideH w:val="nil"/>
          <w:insideV w:val="nil"/>
        </w:tblBorders>
        <w:tblLayout w:type="fixed"/>
        <w:tblLook w:val="0600"/>
      </w:tblPr>
      <w:tblGrid>
        <w:gridCol w:w="3240"/>
        <w:gridCol w:w="3150"/>
        <w:gridCol w:w="1065"/>
        <w:gridCol w:w="1275"/>
        <w:gridCol w:w="1200"/>
        <w:gridCol w:w="990"/>
        <w:gridCol w:w="1005"/>
        <w:gridCol w:w="990"/>
        <w:gridCol w:w="1155"/>
      </w:tblGrid>
      <w:tr w14:paraId="7103A37F" w14:textId="77777777">
        <w:tblPrEx>
          <w:tblW w:w="14070" w:type="dxa"/>
          <w:tblBorders>
            <w:top w:val="nil"/>
            <w:left w:val="nil"/>
            <w:bottom w:val="nil"/>
            <w:right w:val="nil"/>
            <w:insideH w:val="nil"/>
            <w:insideV w:val="nil"/>
          </w:tblBorders>
          <w:tblLayout w:type="fixed"/>
          <w:tblLook w:val="0600"/>
        </w:tblPrEx>
        <w:trPr>
          <w:trHeight w:val="1230"/>
        </w:trPr>
        <w:tc>
          <w:tcPr>
            <w:tcW w:w="3240" w:type="dxa"/>
            <w:tcBorders>
              <w:top w:val="single" w:sz="11" w:space="0" w:color="000000"/>
              <w:left w:val="single" w:sz="11" w:space="0" w:color="000000"/>
              <w:bottom w:val="single" w:sz="4" w:space="0" w:color="000000"/>
              <w:right w:val="single" w:sz="11" w:space="0" w:color="000000"/>
            </w:tcBorders>
            <w:shd w:val="clear" w:color="auto" w:fill="BDD6EE"/>
            <w:tcMar>
              <w:top w:w="0" w:type="dxa"/>
              <w:left w:w="40" w:type="dxa"/>
              <w:bottom w:w="0" w:type="dxa"/>
              <w:right w:w="40" w:type="dxa"/>
            </w:tcMar>
            <w:vAlign w:val="center"/>
          </w:tcPr>
          <w:p w:rsidR="00CA2617" w14:paraId="0000004B"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Information Collection</w:t>
            </w:r>
          </w:p>
        </w:tc>
        <w:tc>
          <w:tcPr>
            <w:tcW w:w="315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4C"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Type of Respondent (e.g., Occupational Title)</w:t>
            </w:r>
          </w:p>
        </w:tc>
        <w:tc>
          <w:tcPr>
            <w:tcW w:w="1065"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4D"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 of Respondents / Year</w:t>
            </w:r>
          </w:p>
          <w:p w:rsidR="00CA2617" w14:paraId="0000004E"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(a)</w:t>
            </w:r>
          </w:p>
        </w:tc>
        <w:tc>
          <w:tcPr>
            <w:tcW w:w="1275"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4F"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Annual # of Responses / Respondent</w:t>
            </w:r>
          </w:p>
          <w:p w:rsidR="00CA2617" w14:paraId="00000050"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(b)</w:t>
            </w:r>
          </w:p>
        </w:tc>
        <w:tc>
          <w:tcPr>
            <w:tcW w:w="120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51"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Total # of Annual Responses</w:t>
            </w:r>
          </w:p>
          <w:p w:rsidR="00CA2617" w14:paraId="00000052"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(c) = (a) x (b)</w:t>
            </w:r>
          </w:p>
        </w:tc>
        <w:tc>
          <w:tcPr>
            <w:tcW w:w="99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53"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Burden mins/ Response</w:t>
            </w:r>
          </w:p>
          <w:p w:rsidR="00CA2617" w14:paraId="00000054"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(d)</w:t>
            </w:r>
          </w:p>
        </w:tc>
        <w:tc>
          <w:tcPr>
            <w:tcW w:w="1005"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55"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 xml:space="preserve">Total Annual Burden </w:t>
            </w:r>
            <w:r>
              <w:rPr>
                <w:rFonts w:ascii="Calibri" w:eastAsia="Calibri" w:hAnsi="Calibri" w:cs="Calibri"/>
                <w:b/>
                <w:sz w:val="16"/>
                <w:szCs w:val="16"/>
              </w:rPr>
              <w:t>Hrs</w:t>
            </w:r>
          </w:p>
          <w:p w:rsidR="00CA2617" w14:paraId="00000056"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(e) = (c) x (d)</w:t>
            </w:r>
          </w:p>
        </w:tc>
        <w:tc>
          <w:tcPr>
            <w:tcW w:w="99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57"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Hourly Wage Rate (for Type of Respondent)</w:t>
            </w:r>
          </w:p>
          <w:p w:rsidR="00CA2617" w14:paraId="00000058"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(f)</w:t>
            </w:r>
          </w:p>
        </w:tc>
        <w:tc>
          <w:tcPr>
            <w:tcW w:w="1155"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59"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Total Annual Wage Burden Costs</w:t>
            </w:r>
          </w:p>
          <w:p w:rsidR="00CA2617" w14:paraId="0000005A"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(g) = (e) x (f)</w:t>
            </w:r>
          </w:p>
        </w:tc>
      </w:tr>
      <w:tr w14:paraId="33A42437"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5B" w14:textId="77777777">
            <w:pPr>
              <w:spacing w:line="276" w:lineRule="auto"/>
              <w:rPr>
                <w:rFonts w:ascii="Calibri" w:eastAsia="Calibri" w:hAnsi="Calibri" w:cs="Calibri"/>
                <w:sz w:val="18"/>
                <w:szCs w:val="18"/>
              </w:rPr>
            </w:pPr>
            <w:r>
              <w:rPr>
                <w:rFonts w:ascii="Roboto" w:eastAsia="Roboto" w:hAnsi="Roboto" w:cs="Roboto"/>
                <w:sz w:val="16"/>
                <w:szCs w:val="16"/>
              </w:rPr>
              <w:t>Verification of Liability Coverage</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5C"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Underwater Archaeologist</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5D"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5E"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5F"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0" w14:textId="77777777">
            <w:pPr>
              <w:spacing w:line="276" w:lineRule="auto"/>
              <w:jc w:val="center"/>
              <w:rPr>
                <w:rFonts w:ascii="Calibri" w:eastAsia="Calibri" w:hAnsi="Calibri" w:cs="Calibri"/>
                <w:sz w:val="22"/>
                <w:szCs w:val="22"/>
              </w:rPr>
            </w:pPr>
            <w:r>
              <w:rPr>
                <w:rFonts w:ascii="Calibri" w:eastAsia="Calibri" w:hAnsi="Calibri" w:cs="Calibri"/>
                <w:sz w:val="16"/>
                <w:szCs w:val="16"/>
              </w:rPr>
              <w:t>10min</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1" w14:textId="77777777">
            <w:pPr>
              <w:spacing w:line="276" w:lineRule="auto"/>
              <w:jc w:val="center"/>
              <w:rPr>
                <w:rFonts w:ascii="Calibri" w:eastAsia="Calibri" w:hAnsi="Calibri" w:cs="Calibri"/>
                <w:sz w:val="22"/>
                <w:szCs w:val="22"/>
              </w:rPr>
            </w:pPr>
            <w:r>
              <w:rPr>
                <w:rFonts w:ascii="Calibri" w:eastAsia="Calibri" w:hAnsi="Calibri" w:cs="Calibri"/>
                <w:sz w:val="16"/>
                <w:szCs w:val="16"/>
              </w:rPr>
              <w:t>24</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62" w14:textId="77777777">
            <w:pPr>
              <w:spacing w:line="276" w:lineRule="auto"/>
              <w:jc w:val="right"/>
              <w:rPr>
                <w:rFonts w:ascii="Calibri" w:eastAsia="Calibri" w:hAnsi="Calibri" w:cs="Calibri"/>
                <w:sz w:val="22"/>
                <w:szCs w:val="22"/>
              </w:rPr>
            </w:pPr>
            <w:r>
              <w:rPr>
                <w:rFonts w:ascii="Calibri" w:eastAsia="Calibri" w:hAnsi="Calibri" w:cs="Calibri"/>
                <w:sz w:val="16"/>
                <w:szCs w:val="16"/>
              </w:rPr>
              <w:t>$30.31</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63" w14:textId="77777777">
            <w:pPr>
              <w:spacing w:line="276" w:lineRule="auto"/>
              <w:jc w:val="right"/>
              <w:rPr>
                <w:rFonts w:ascii="Calibri" w:eastAsia="Calibri" w:hAnsi="Calibri" w:cs="Calibri"/>
                <w:sz w:val="22"/>
                <w:szCs w:val="22"/>
              </w:rPr>
            </w:pPr>
            <w:r>
              <w:rPr>
                <w:rFonts w:ascii="Calibri" w:eastAsia="Calibri" w:hAnsi="Calibri" w:cs="Calibri"/>
                <w:sz w:val="16"/>
                <w:szCs w:val="16"/>
              </w:rPr>
              <w:t>$727.44</w:t>
            </w:r>
          </w:p>
        </w:tc>
      </w:tr>
      <w:tr w14:paraId="3B0E2D2B"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64" w14:textId="77777777">
            <w:pPr>
              <w:spacing w:line="276" w:lineRule="auto"/>
              <w:rPr>
                <w:rFonts w:ascii="Calibri" w:eastAsia="Calibri" w:hAnsi="Calibri" w:cs="Calibri"/>
                <w:sz w:val="18"/>
                <w:szCs w:val="18"/>
              </w:rPr>
            </w:pPr>
            <w:r>
              <w:rPr>
                <w:rFonts w:ascii="Roboto" w:eastAsia="Roboto" w:hAnsi="Roboto" w:cs="Roboto"/>
                <w:sz w:val="16"/>
                <w:szCs w:val="16"/>
              </w:rPr>
              <w:t>Liability Release and Assumption of Risk</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65"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Underwater Archaeologist</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6"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7"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8"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9" w14:textId="77777777">
            <w:pPr>
              <w:spacing w:line="276" w:lineRule="auto"/>
              <w:jc w:val="center"/>
              <w:rPr>
                <w:rFonts w:ascii="Calibri" w:eastAsia="Calibri" w:hAnsi="Calibri" w:cs="Calibri"/>
                <w:sz w:val="22"/>
                <w:szCs w:val="22"/>
              </w:rPr>
            </w:pPr>
            <w:r>
              <w:rPr>
                <w:rFonts w:ascii="Calibri" w:eastAsia="Calibri" w:hAnsi="Calibri" w:cs="Calibri"/>
                <w:sz w:val="16"/>
                <w:szCs w:val="16"/>
              </w:rPr>
              <w:t>10min</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A" w14:textId="77777777">
            <w:pPr>
              <w:spacing w:line="276" w:lineRule="auto"/>
              <w:jc w:val="center"/>
              <w:rPr>
                <w:rFonts w:ascii="Calibri" w:eastAsia="Calibri" w:hAnsi="Calibri" w:cs="Calibri"/>
                <w:sz w:val="22"/>
                <w:szCs w:val="22"/>
              </w:rPr>
            </w:pPr>
            <w:r>
              <w:rPr>
                <w:rFonts w:ascii="Calibri" w:eastAsia="Calibri" w:hAnsi="Calibri" w:cs="Calibri"/>
                <w:sz w:val="16"/>
                <w:szCs w:val="16"/>
              </w:rPr>
              <w:t>3</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6B" w14:textId="77777777">
            <w:pPr>
              <w:spacing w:line="276" w:lineRule="auto"/>
              <w:jc w:val="right"/>
              <w:rPr>
                <w:rFonts w:ascii="Calibri" w:eastAsia="Calibri" w:hAnsi="Calibri" w:cs="Calibri"/>
                <w:sz w:val="22"/>
                <w:szCs w:val="22"/>
              </w:rPr>
            </w:pPr>
            <w:r>
              <w:rPr>
                <w:rFonts w:ascii="Calibri" w:eastAsia="Calibri" w:hAnsi="Calibri" w:cs="Calibri"/>
                <w:sz w:val="16"/>
                <w:szCs w:val="16"/>
              </w:rPr>
              <w:t>$30.31</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6C" w14:textId="77777777">
            <w:pPr>
              <w:spacing w:line="276" w:lineRule="auto"/>
              <w:jc w:val="right"/>
              <w:rPr>
                <w:rFonts w:ascii="Calibri" w:eastAsia="Calibri" w:hAnsi="Calibri" w:cs="Calibri"/>
                <w:sz w:val="22"/>
                <w:szCs w:val="22"/>
              </w:rPr>
            </w:pPr>
            <w:r>
              <w:rPr>
                <w:rFonts w:ascii="Calibri" w:eastAsia="Calibri" w:hAnsi="Calibri" w:cs="Calibri"/>
                <w:sz w:val="16"/>
                <w:szCs w:val="16"/>
              </w:rPr>
              <w:t>$90.93</w:t>
            </w:r>
          </w:p>
        </w:tc>
      </w:tr>
      <w:tr w14:paraId="29E7A6A2"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6D" w14:textId="77777777">
            <w:pPr>
              <w:spacing w:line="276" w:lineRule="auto"/>
              <w:rPr>
                <w:rFonts w:ascii="Calibri" w:eastAsia="Calibri" w:hAnsi="Calibri" w:cs="Calibri"/>
                <w:sz w:val="18"/>
                <w:szCs w:val="18"/>
              </w:rPr>
            </w:pPr>
            <w:r>
              <w:rPr>
                <w:rFonts w:ascii="Roboto" w:eastAsia="Roboto" w:hAnsi="Roboto" w:cs="Roboto"/>
                <w:sz w:val="16"/>
                <w:szCs w:val="16"/>
              </w:rPr>
              <w:t>Volunteer Diver Service Agreement</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6E" w14:textId="77777777">
            <w:pPr>
              <w:spacing w:line="276" w:lineRule="auto"/>
              <w:jc w:val="center"/>
              <w:rPr>
                <w:rFonts w:ascii="Calibri" w:eastAsia="Calibri" w:hAnsi="Calibri" w:cs="Calibri"/>
                <w:sz w:val="22"/>
                <w:szCs w:val="22"/>
              </w:rPr>
            </w:pPr>
            <w:r>
              <w:rPr>
                <w:rFonts w:ascii="Calibri" w:eastAsia="Calibri" w:hAnsi="Calibri" w:cs="Calibri"/>
                <w:sz w:val="16"/>
                <w:szCs w:val="16"/>
              </w:rPr>
              <w:t>Volunteer/Scientist</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6F" w14:textId="77777777">
            <w:pPr>
              <w:spacing w:line="276" w:lineRule="auto"/>
              <w:jc w:val="center"/>
              <w:rPr>
                <w:rFonts w:ascii="Calibri" w:eastAsia="Calibri" w:hAnsi="Calibri" w:cs="Calibri"/>
                <w:sz w:val="22"/>
                <w:szCs w:val="22"/>
              </w:rPr>
            </w:pPr>
            <w:r>
              <w:rPr>
                <w:rFonts w:ascii="Calibri" w:eastAsia="Calibri" w:hAnsi="Calibri" w:cs="Calibri"/>
                <w:sz w:val="16"/>
                <w:szCs w:val="16"/>
              </w:rPr>
              <w:t>27</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0"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1" w14:textId="77777777">
            <w:pPr>
              <w:spacing w:line="276" w:lineRule="auto"/>
              <w:jc w:val="center"/>
              <w:rPr>
                <w:rFonts w:ascii="Calibri" w:eastAsia="Calibri" w:hAnsi="Calibri" w:cs="Calibri"/>
                <w:sz w:val="22"/>
                <w:szCs w:val="22"/>
              </w:rPr>
            </w:pPr>
            <w:r>
              <w:rPr>
                <w:rFonts w:ascii="Calibri" w:eastAsia="Calibri" w:hAnsi="Calibri" w:cs="Calibri"/>
                <w:sz w:val="16"/>
                <w:szCs w:val="16"/>
              </w:rPr>
              <w:t>27</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2" w14:textId="77777777">
            <w:pPr>
              <w:spacing w:line="276" w:lineRule="auto"/>
              <w:jc w:val="center"/>
              <w:rPr>
                <w:rFonts w:ascii="Calibri" w:eastAsia="Calibri" w:hAnsi="Calibri" w:cs="Calibri"/>
                <w:sz w:val="22"/>
                <w:szCs w:val="22"/>
              </w:rPr>
            </w:pPr>
            <w:r>
              <w:rPr>
                <w:rFonts w:ascii="Calibri" w:eastAsia="Calibri" w:hAnsi="Calibri" w:cs="Calibri"/>
                <w:sz w:val="16"/>
                <w:szCs w:val="16"/>
              </w:rPr>
              <w:t>15min</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3" w14:textId="77777777">
            <w:pPr>
              <w:spacing w:line="276" w:lineRule="auto"/>
              <w:jc w:val="center"/>
              <w:rPr>
                <w:rFonts w:ascii="Calibri" w:eastAsia="Calibri" w:hAnsi="Calibri" w:cs="Calibri"/>
                <w:sz w:val="22"/>
                <w:szCs w:val="22"/>
              </w:rPr>
            </w:pPr>
            <w:r>
              <w:rPr>
                <w:rFonts w:ascii="Calibri" w:eastAsia="Calibri" w:hAnsi="Calibri" w:cs="Calibri"/>
                <w:sz w:val="16"/>
                <w:szCs w:val="16"/>
              </w:rPr>
              <w:t>7</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74" w14:textId="77777777">
            <w:pPr>
              <w:spacing w:line="276" w:lineRule="auto"/>
              <w:jc w:val="right"/>
              <w:rPr>
                <w:rFonts w:ascii="Calibri" w:eastAsia="Calibri" w:hAnsi="Calibri" w:cs="Calibri"/>
                <w:sz w:val="22"/>
                <w:szCs w:val="22"/>
              </w:rPr>
            </w:pPr>
            <w:r>
              <w:rPr>
                <w:rFonts w:ascii="Calibri" w:eastAsia="Calibri" w:hAnsi="Calibri" w:cs="Calibri"/>
                <w:sz w:val="16"/>
                <w:szCs w:val="16"/>
              </w:rPr>
              <w:t>$27.78</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75" w14:textId="77777777">
            <w:pPr>
              <w:spacing w:line="276" w:lineRule="auto"/>
              <w:jc w:val="right"/>
              <w:rPr>
                <w:rFonts w:ascii="Calibri" w:eastAsia="Calibri" w:hAnsi="Calibri" w:cs="Calibri"/>
                <w:sz w:val="22"/>
                <w:szCs w:val="22"/>
              </w:rPr>
            </w:pPr>
            <w:r>
              <w:rPr>
                <w:rFonts w:ascii="Calibri" w:eastAsia="Calibri" w:hAnsi="Calibri" w:cs="Calibri"/>
                <w:sz w:val="16"/>
                <w:szCs w:val="16"/>
              </w:rPr>
              <w:t>$187.53</w:t>
            </w:r>
          </w:p>
        </w:tc>
      </w:tr>
      <w:tr w14:paraId="36F070CA"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76" w14:textId="77777777">
            <w:pPr>
              <w:spacing w:line="276" w:lineRule="auto"/>
              <w:rPr>
                <w:rFonts w:ascii="Calibri" w:eastAsia="Calibri" w:hAnsi="Calibri" w:cs="Calibri"/>
                <w:sz w:val="18"/>
                <w:szCs w:val="18"/>
              </w:rPr>
            </w:pPr>
            <w:r>
              <w:rPr>
                <w:rFonts w:ascii="Roboto" w:eastAsia="Roboto" w:hAnsi="Roboto" w:cs="Roboto"/>
                <w:sz w:val="16"/>
                <w:szCs w:val="16"/>
              </w:rPr>
              <w:t>NOAA Diving Program Training Request and Authorization</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77"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Firefighter, Police Officer, or other</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8"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9"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A"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B" w14:textId="77777777">
            <w:pPr>
              <w:spacing w:line="276" w:lineRule="auto"/>
              <w:jc w:val="center"/>
              <w:rPr>
                <w:rFonts w:ascii="Calibri" w:eastAsia="Calibri" w:hAnsi="Calibri" w:cs="Calibri"/>
                <w:sz w:val="22"/>
                <w:szCs w:val="22"/>
              </w:rPr>
            </w:pPr>
            <w:r>
              <w:rPr>
                <w:rFonts w:ascii="Calibri" w:eastAsia="Calibri" w:hAnsi="Calibri" w:cs="Calibri"/>
                <w:sz w:val="16"/>
                <w:szCs w:val="16"/>
              </w:rPr>
              <w:t>5min</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7C" w14:textId="77777777">
            <w:pPr>
              <w:spacing w:line="276" w:lineRule="auto"/>
              <w:jc w:val="center"/>
              <w:rPr>
                <w:rFonts w:ascii="Calibri" w:eastAsia="Calibri" w:hAnsi="Calibri" w:cs="Calibri"/>
                <w:sz w:val="22"/>
                <w:szCs w:val="22"/>
              </w:rPr>
            </w:pPr>
            <w:r>
              <w:rPr>
                <w:rFonts w:ascii="Calibri" w:eastAsia="Calibri" w:hAnsi="Calibri" w:cs="Calibri"/>
                <w:sz w:val="16"/>
                <w:szCs w:val="16"/>
              </w:rPr>
              <w:t>3</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7D" w14:textId="77777777">
            <w:pPr>
              <w:spacing w:line="276" w:lineRule="auto"/>
              <w:jc w:val="right"/>
              <w:rPr>
                <w:rFonts w:ascii="Calibri" w:eastAsia="Calibri" w:hAnsi="Calibri" w:cs="Calibri"/>
                <w:sz w:val="22"/>
                <w:szCs w:val="22"/>
              </w:rPr>
            </w:pPr>
            <w:r>
              <w:rPr>
                <w:rFonts w:ascii="Calibri" w:eastAsia="Calibri" w:hAnsi="Calibri" w:cs="Calibri"/>
                <w:sz w:val="16"/>
                <w:szCs w:val="16"/>
              </w:rPr>
              <w:t>$30.70</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7E" w14:textId="77777777">
            <w:pPr>
              <w:spacing w:line="276" w:lineRule="auto"/>
              <w:jc w:val="right"/>
              <w:rPr>
                <w:rFonts w:ascii="Calibri" w:eastAsia="Calibri" w:hAnsi="Calibri" w:cs="Calibri"/>
                <w:sz w:val="22"/>
                <w:szCs w:val="22"/>
              </w:rPr>
            </w:pPr>
            <w:r>
              <w:rPr>
                <w:rFonts w:ascii="Calibri" w:eastAsia="Calibri" w:hAnsi="Calibri" w:cs="Calibri"/>
                <w:sz w:val="16"/>
                <w:szCs w:val="16"/>
              </w:rPr>
              <w:t>$92.10</w:t>
            </w:r>
          </w:p>
        </w:tc>
      </w:tr>
      <w:tr w14:paraId="4123CA5A"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7F" w14:textId="77777777">
            <w:pPr>
              <w:spacing w:line="276" w:lineRule="auto"/>
              <w:rPr>
                <w:rFonts w:ascii="Calibri" w:eastAsia="Calibri" w:hAnsi="Calibri" w:cs="Calibri"/>
                <w:sz w:val="18"/>
                <w:szCs w:val="18"/>
              </w:rPr>
            </w:pPr>
            <w:r>
              <w:rPr>
                <w:rFonts w:ascii="Roboto" w:eastAsia="Roboto" w:hAnsi="Roboto" w:cs="Roboto"/>
                <w:sz w:val="16"/>
                <w:szCs w:val="16"/>
              </w:rPr>
              <w:t>Initial Swim Test Evaluation</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80"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Firefighter, Police Officer, or other</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1"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2"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3"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4" w14:textId="77777777">
            <w:pPr>
              <w:spacing w:line="276" w:lineRule="auto"/>
              <w:jc w:val="center"/>
              <w:rPr>
                <w:rFonts w:ascii="Calibri" w:eastAsia="Calibri" w:hAnsi="Calibri" w:cs="Calibri"/>
                <w:sz w:val="22"/>
                <w:szCs w:val="22"/>
              </w:rPr>
            </w:pPr>
            <w:r>
              <w:rPr>
                <w:rFonts w:ascii="Calibri" w:eastAsia="Calibri" w:hAnsi="Calibri" w:cs="Calibri"/>
                <w:sz w:val="16"/>
                <w:szCs w:val="16"/>
              </w:rPr>
              <w:t>60min</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5"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86" w14:textId="77777777">
            <w:pPr>
              <w:spacing w:line="276" w:lineRule="auto"/>
              <w:jc w:val="right"/>
              <w:rPr>
                <w:rFonts w:ascii="Calibri" w:eastAsia="Calibri" w:hAnsi="Calibri" w:cs="Calibri"/>
                <w:sz w:val="22"/>
                <w:szCs w:val="22"/>
              </w:rPr>
            </w:pPr>
            <w:r>
              <w:rPr>
                <w:rFonts w:ascii="Calibri" w:eastAsia="Calibri" w:hAnsi="Calibri" w:cs="Calibri"/>
                <w:sz w:val="16"/>
                <w:szCs w:val="16"/>
              </w:rPr>
              <w:t>$30.70</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87" w14:textId="77777777">
            <w:pPr>
              <w:spacing w:line="276" w:lineRule="auto"/>
              <w:jc w:val="right"/>
              <w:rPr>
                <w:rFonts w:ascii="Calibri" w:eastAsia="Calibri" w:hAnsi="Calibri" w:cs="Calibri"/>
                <w:sz w:val="22"/>
                <w:szCs w:val="22"/>
              </w:rPr>
            </w:pPr>
            <w:r>
              <w:rPr>
                <w:rFonts w:ascii="Calibri" w:eastAsia="Calibri" w:hAnsi="Calibri" w:cs="Calibri"/>
                <w:sz w:val="16"/>
                <w:szCs w:val="16"/>
              </w:rPr>
              <w:t>$1,228.00</w:t>
            </w:r>
          </w:p>
        </w:tc>
      </w:tr>
      <w:tr w14:paraId="1516B7CA"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88" w14:textId="77777777">
            <w:pPr>
              <w:spacing w:line="276" w:lineRule="auto"/>
              <w:rPr>
                <w:rFonts w:ascii="Calibri" w:eastAsia="Calibri" w:hAnsi="Calibri" w:cs="Calibri"/>
                <w:sz w:val="18"/>
                <w:szCs w:val="18"/>
              </w:rPr>
            </w:pPr>
            <w:r>
              <w:rPr>
                <w:rFonts w:ascii="Roboto" w:eastAsia="Roboto" w:hAnsi="Roboto" w:cs="Roboto"/>
                <w:sz w:val="16"/>
                <w:szCs w:val="16"/>
              </w:rPr>
              <w:t>Diving Activity Resume</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89"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Underwater Archaeologist</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A"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B"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C"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D" w14:textId="77777777">
            <w:pPr>
              <w:spacing w:line="276" w:lineRule="auto"/>
              <w:jc w:val="center"/>
              <w:rPr>
                <w:rFonts w:ascii="Calibri" w:eastAsia="Calibri" w:hAnsi="Calibri" w:cs="Calibri"/>
                <w:sz w:val="22"/>
                <w:szCs w:val="22"/>
              </w:rPr>
            </w:pPr>
            <w:r>
              <w:rPr>
                <w:rFonts w:ascii="Calibri" w:eastAsia="Calibri" w:hAnsi="Calibri" w:cs="Calibri"/>
                <w:sz w:val="16"/>
                <w:szCs w:val="16"/>
              </w:rPr>
              <w:t>60min</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8E"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8F" w14:textId="77777777">
            <w:pPr>
              <w:spacing w:line="276" w:lineRule="auto"/>
              <w:jc w:val="right"/>
              <w:rPr>
                <w:rFonts w:ascii="Calibri" w:eastAsia="Calibri" w:hAnsi="Calibri" w:cs="Calibri"/>
                <w:sz w:val="22"/>
                <w:szCs w:val="22"/>
              </w:rPr>
            </w:pPr>
            <w:r>
              <w:rPr>
                <w:rFonts w:ascii="Calibri" w:eastAsia="Calibri" w:hAnsi="Calibri" w:cs="Calibri"/>
                <w:sz w:val="16"/>
                <w:szCs w:val="16"/>
              </w:rPr>
              <w:t>$30.31</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90" w14:textId="77777777">
            <w:pPr>
              <w:spacing w:line="276" w:lineRule="auto"/>
              <w:jc w:val="right"/>
              <w:rPr>
                <w:rFonts w:ascii="Calibri" w:eastAsia="Calibri" w:hAnsi="Calibri" w:cs="Calibri"/>
                <w:sz w:val="22"/>
                <w:szCs w:val="22"/>
              </w:rPr>
            </w:pPr>
            <w:r>
              <w:rPr>
                <w:rFonts w:ascii="Calibri" w:eastAsia="Calibri" w:hAnsi="Calibri" w:cs="Calibri"/>
                <w:sz w:val="16"/>
                <w:szCs w:val="16"/>
              </w:rPr>
              <w:t>$606.20</w:t>
            </w:r>
          </w:p>
        </w:tc>
      </w:tr>
      <w:tr w14:paraId="239572BD"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91" w14:textId="77777777">
            <w:pPr>
              <w:spacing w:line="276" w:lineRule="auto"/>
              <w:rPr>
                <w:rFonts w:ascii="Calibri" w:eastAsia="Calibri" w:hAnsi="Calibri" w:cs="Calibri"/>
                <w:sz w:val="18"/>
                <w:szCs w:val="18"/>
              </w:rPr>
            </w:pPr>
            <w:r>
              <w:rPr>
                <w:rFonts w:ascii="Roboto" w:eastAsia="Roboto" w:hAnsi="Roboto" w:cs="Roboto"/>
                <w:sz w:val="16"/>
                <w:szCs w:val="16"/>
              </w:rPr>
              <w:t>Report of Physical Examination - Diver</w:t>
            </w:r>
          </w:p>
        </w:tc>
        <w:tc>
          <w:tcPr>
            <w:tcW w:w="315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92"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Firefighter, Police Officer, or other</w:t>
            </w:r>
          </w:p>
        </w:tc>
        <w:tc>
          <w:tcPr>
            <w:tcW w:w="106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93" w14:textId="77777777">
            <w:pPr>
              <w:spacing w:line="276" w:lineRule="auto"/>
              <w:jc w:val="center"/>
              <w:rPr>
                <w:rFonts w:ascii="Calibri" w:eastAsia="Calibri" w:hAnsi="Calibri" w:cs="Calibri"/>
                <w:sz w:val="22"/>
                <w:szCs w:val="22"/>
              </w:rPr>
            </w:pPr>
            <w:r>
              <w:rPr>
                <w:rFonts w:ascii="Calibri" w:eastAsia="Calibri" w:hAnsi="Calibri" w:cs="Calibri"/>
                <w:sz w:val="16"/>
                <w:szCs w:val="16"/>
              </w:rPr>
              <w:t>50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94"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95" w14:textId="77777777">
            <w:pPr>
              <w:spacing w:line="276" w:lineRule="auto"/>
              <w:jc w:val="center"/>
              <w:rPr>
                <w:rFonts w:ascii="Calibri" w:eastAsia="Calibri" w:hAnsi="Calibri" w:cs="Calibri"/>
                <w:sz w:val="22"/>
                <w:szCs w:val="22"/>
              </w:rPr>
            </w:pPr>
            <w:r>
              <w:rPr>
                <w:rFonts w:ascii="Calibri" w:eastAsia="Calibri" w:hAnsi="Calibri" w:cs="Calibri"/>
                <w:sz w:val="16"/>
                <w:szCs w:val="16"/>
              </w:rPr>
              <w:t>50</w:t>
            </w:r>
          </w:p>
        </w:tc>
        <w:tc>
          <w:tcPr>
            <w:tcW w:w="99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96" w14:textId="77777777">
            <w:pPr>
              <w:spacing w:line="276" w:lineRule="auto"/>
              <w:jc w:val="center"/>
              <w:rPr>
                <w:rFonts w:ascii="Calibri" w:eastAsia="Calibri" w:hAnsi="Calibri" w:cs="Calibri"/>
                <w:sz w:val="22"/>
                <w:szCs w:val="22"/>
              </w:rPr>
            </w:pPr>
            <w:r>
              <w:rPr>
                <w:rFonts w:ascii="Calibri" w:eastAsia="Calibri" w:hAnsi="Calibri" w:cs="Calibri"/>
                <w:sz w:val="16"/>
                <w:szCs w:val="16"/>
              </w:rPr>
              <w:t>2hr</w:t>
            </w:r>
          </w:p>
        </w:tc>
        <w:tc>
          <w:tcPr>
            <w:tcW w:w="100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97" w14:textId="77777777">
            <w:pPr>
              <w:spacing w:line="276" w:lineRule="auto"/>
              <w:jc w:val="center"/>
              <w:rPr>
                <w:rFonts w:ascii="Calibri" w:eastAsia="Calibri" w:hAnsi="Calibri" w:cs="Calibri"/>
                <w:sz w:val="22"/>
                <w:szCs w:val="22"/>
              </w:rPr>
            </w:pPr>
            <w:r>
              <w:rPr>
                <w:rFonts w:ascii="Calibri" w:eastAsia="Calibri" w:hAnsi="Calibri" w:cs="Calibri"/>
                <w:sz w:val="16"/>
                <w:szCs w:val="16"/>
              </w:rPr>
              <w:t>100</w:t>
            </w:r>
          </w:p>
        </w:tc>
        <w:tc>
          <w:tcPr>
            <w:tcW w:w="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tcPr>
          <w:p w:rsidR="00CA2617" w14:paraId="00000098" w14:textId="77777777">
            <w:pPr>
              <w:spacing w:line="276" w:lineRule="auto"/>
              <w:jc w:val="right"/>
              <w:rPr>
                <w:rFonts w:ascii="Calibri" w:eastAsia="Calibri" w:hAnsi="Calibri" w:cs="Calibri"/>
                <w:sz w:val="22"/>
                <w:szCs w:val="22"/>
              </w:rPr>
            </w:pPr>
            <w:r>
              <w:rPr>
                <w:rFonts w:ascii="Calibri" w:eastAsia="Calibri" w:hAnsi="Calibri" w:cs="Calibri"/>
                <w:sz w:val="16"/>
                <w:szCs w:val="16"/>
              </w:rPr>
              <w:t>$30.70</w:t>
            </w:r>
          </w:p>
        </w:tc>
        <w:tc>
          <w:tcPr>
            <w:tcW w:w="1155" w:type="dxa"/>
            <w:tcBorders>
              <w:top w:val="single" w:sz="4" w:space="0" w:color="CCCCCC"/>
              <w:left w:val="single" w:sz="4" w:space="0" w:color="CCCCCC"/>
              <w:bottom w:val="single" w:sz="4" w:space="0" w:color="000000"/>
              <w:right w:val="single" w:sz="11" w:space="0" w:color="000000"/>
            </w:tcBorders>
            <w:tcMar>
              <w:top w:w="0" w:type="dxa"/>
              <w:left w:w="40" w:type="dxa"/>
              <w:bottom w:w="0" w:type="dxa"/>
              <w:right w:w="40" w:type="dxa"/>
            </w:tcMar>
            <w:vAlign w:val="center"/>
          </w:tcPr>
          <w:p w:rsidR="00CA2617" w14:paraId="00000099" w14:textId="77777777">
            <w:pPr>
              <w:spacing w:line="276" w:lineRule="auto"/>
              <w:jc w:val="right"/>
              <w:rPr>
                <w:rFonts w:ascii="Calibri" w:eastAsia="Calibri" w:hAnsi="Calibri" w:cs="Calibri"/>
                <w:sz w:val="22"/>
                <w:szCs w:val="22"/>
              </w:rPr>
            </w:pPr>
            <w:r>
              <w:rPr>
                <w:rFonts w:ascii="Calibri" w:eastAsia="Calibri" w:hAnsi="Calibri" w:cs="Calibri"/>
                <w:sz w:val="16"/>
                <w:szCs w:val="16"/>
              </w:rPr>
              <w:t>$3,070.00</w:t>
            </w:r>
          </w:p>
        </w:tc>
      </w:tr>
      <w:tr w14:paraId="375F7289" w14:textId="77777777">
        <w:tblPrEx>
          <w:tblW w:w="14070" w:type="dxa"/>
          <w:tblLayout w:type="fixed"/>
          <w:tblLook w:val="0600"/>
        </w:tblPrEx>
        <w:trPr>
          <w:trHeight w:val="300"/>
        </w:trPr>
        <w:tc>
          <w:tcPr>
            <w:tcW w:w="324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9A" w14:textId="77777777">
            <w:pPr>
              <w:spacing w:line="276" w:lineRule="auto"/>
              <w:rPr>
                <w:rFonts w:ascii="Calibri" w:eastAsia="Calibri" w:hAnsi="Calibri" w:cs="Calibri"/>
                <w:sz w:val="18"/>
                <w:szCs w:val="18"/>
              </w:rPr>
            </w:pPr>
            <w:r>
              <w:rPr>
                <w:rFonts w:ascii="Roboto" w:eastAsia="Roboto" w:hAnsi="Roboto" w:cs="Roboto"/>
                <w:sz w:val="16"/>
                <w:szCs w:val="16"/>
              </w:rPr>
              <w:t>Report of Medical History - Annual Update</w:t>
            </w:r>
          </w:p>
        </w:tc>
        <w:tc>
          <w:tcPr>
            <w:tcW w:w="3150" w:type="dxa"/>
            <w:tcBorders>
              <w:top w:val="single" w:sz="4" w:space="0" w:color="CCCCCC"/>
              <w:left w:val="single" w:sz="4" w:space="0" w:color="CCCCCC"/>
              <w:bottom w:val="single" w:sz="11" w:space="0" w:color="000000"/>
              <w:right w:val="single" w:sz="4" w:space="0" w:color="000000"/>
            </w:tcBorders>
            <w:tcMar>
              <w:top w:w="0" w:type="dxa"/>
              <w:left w:w="40" w:type="dxa"/>
              <w:bottom w:w="0" w:type="dxa"/>
              <w:right w:w="40" w:type="dxa"/>
            </w:tcMar>
            <w:vAlign w:val="center"/>
          </w:tcPr>
          <w:p w:rsidR="00CA2617" w14:paraId="0000009B" w14:textId="77777777">
            <w:pPr>
              <w:spacing w:line="276" w:lineRule="auto"/>
              <w:jc w:val="center"/>
              <w:rPr>
                <w:rFonts w:ascii="Calibri" w:eastAsia="Calibri" w:hAnsi="Calibri" w:cs="Calibri"/>
                <w:sz w:val="22"/>
                <w:szCs w:val="22"/>
              </w:rPr>
            </w:pPr>
            <w:r>
              <w:rPr>
                <w:rFonts w:ascii="Calibri" w:eastAsia="Calibri" w:hAnsi="Calibri" w:cs="Calibri"/>
                <w:sz w:val="16"/>
                <w:szCs w:val="16"/>
              </w:rPr>
              <w:t>Contractor, Volunteer, Scientist, Underwater Archaeologist</w:t>
            </w:r>
          </w:p>
        </w:tc>
        <w:tc>
          <w:tcPr>
            <w:tcW w:w="1065"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9C"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1275"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9D"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200"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9E"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990"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9F" w14:textId="77777777">
            <w:pPr>
              <w:spacing w:line="276" w:lineRule="auto"/>
              <w:jc w:val="center"/>
              <w:rPr>
                <w:rFonts w:ascii="Calibri" w:eastAsia="Calibri" w:hAnsi="Calibri" w:cs="Calibri"/>
                <w:sz w:val="22"/>
                <w:szCs w:val="22"/>
              </w:rPr>
            </w:pPr>
            <w:r>
              <w:rPr>
                <w:rFonts w:ascii="Calibri" w:eastAsia="Calibri" w:hAnsi="Calibri" w:cs="Calibri"/>
                <w:sz w:val="16"/>
                <w:szCs w:val="16"/>
              </w:rPr>
              <w:t>10min</w:t>
            </w:r>
          </w:p>
        </w:tc>
        <w:tc>
          <w:tcPr>
            <w:tcW w:w="1005"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A0" w14:textId="77777777">
            <w:pPr>
              <w:spacing w:line="276" w:lineRule="auto"/>
              <w:jc w:val="center"/>
              <w:rPr>
                <w:rFonts w:ascii="Calibri" w:eastAsia="Calibri" w:hAnsi="Calibri" w:cs="Calibri"/>
                <w:sz w:val="22"/>
                <w:szCs w:val="22"/>
              </w:rPr>
            </w:pPr>
            <w:r>
              <w:rPr>
                <w:rFonts w:ascii="Calibri" w:eastAsia="Calibri" w:hAnsi="Calibri" w:cs="Calibri"/>
                <w:sz w:val="16"/>
                <w:szCs w:val="16"/>
              </w:rPr>
              <w:t>24</w:t>
            </w:r>
          </w:p>
        </w:tc>
        <w:tc>
          <w:tcPr>
            <w:tcW w:w="990" w:type="dxa"/>
            <w:tcBorders>
              <w:top w:val="single" w:sz="4" w:space="0" w:color="CCCCCC"/>
              <w:left w:val="single" w:sz="4" w:space="0" w:color="CCCCCC"/>
              <w:bottom w:val="single" w:sz="11" w:space="0" w:color="000000"/>
              <w:right w:val="single" w:sz="4" w:space="0" w:color="000000"/>
            </w:tcBorders>
            <w:tcMar>
              <w:top w:w="0" w:type="dxa"/>
              <w:left w:w="40" w:type="dxa"/>
              <w:bottom w:w="0" w:type="dxa"/>
              <w:right w:w="40" w:type="dxa"/>
            </w:tcMar>
            <w:vAlign w:val="center"/>
          </w:tcPr>
          <w:p w:rsidR="00CA2617" w14:paraId="000000A1" w14:textId="77777777">
            <w:pPr>
              <w:spacing w:line="276" w:lineRule="auto"/>
              <w:jc w:val="right"/>
              <w:rPr>
                <w:rFonts w:ascii="Calibri" w:eastAsia="Calibri" w:hAnsi="Calibri" w:cs="Calibri"/>
                <w:sz w:val="22"/>
                <w:szCs w:val="22"/>
              </w:rPr>
            </w:pPr>
            <w:r>
              <w:rPr>
                <w:rFonts w:ascii="Calibri" w:eastAsia="Calibri" w:hAnsi="Calibri" w:cs="Calibri"/>
                <w:sz w:val="16"/>
                <w:szCs w:val="16"/>
              </w:rPr>
              <w:t>$30.31</w:t>
            </w:r>
          </w:p>
        </w:tc>
        <w:tc>
          <w:tcPr>
            <w:tcW w:w="1155" w:type="dxa"/>
            <w:tcBorders>
              <w:top w:val="single" w:sz="4" w:space="0" w:color="CCCCCC"/>
              <w:left w:val="single" w:sz="4" w:space="0" w:color="CCCCCC"/>
              <w:bottom w:val="single" w:sz="11" w:space="0" w:color="000000"/>
              <w:right w:val="single" w:sz="11" w:space="0" w:color="000000"/>
            </w:tcBorders>
            <w:tcMar>
              <w:top w:w="0" w:type="dxa"/>
              <w:left w:w="40" w:type="dxa"/>
              <w:bottom w:w="0" w:type="dxa"/>
              <w:right w:w="40" w:type="dxa"/>
            </w:tcMar>
            <w:vAlign w:val="center"/>
          </w:tcPr>
          <w:p w:rsidR="00CA2617" w14:paraId="000000A2" w14:textId="77777777">
            <w:pPr>
              <w:spacing w:line="276" w:lineRule="auto"/>
              <w:jc w:val="right"/>
              <w:rPr>
                <w:rFonts w:ascii="Calibri" w:eastAsia="Calibri" w:hAnsi="Calibri" w:cs="Calibri"/>
                <w:sz w:val="22"/>
                <w:szCs w:val="22"/>
              </w:rPr>
            </w:pPr>
            <w:r>
              <w:rPr>
                <w:rFonts w:ascii="Calibri" w:eastAsia="Calibri" w:hAnsi="Calibri" w:cs="Calibri"/>
                <w:sz w:val="16"/>
                <w:szCs w:val="16"/>
              </w:rPr>
              <w:t>$727.44</w:t>
            </w:r>
          </w:p>
        </w:tc>
      </w:tr>
      <w:tr w14:paraId="63B9BC3F" w14:textId="77777777">
        <w:tblPrEx>
          <w:tblW w:w="14070" w:type="dxa"/>
          <w:tblLayout w:type="fixed"/>
          <w:tblLook w:val="0600"/>
        </w:tblPrEx>
        <w:trPr>
          <w:trHeight w:val="300"/>
        </w:trPr>
        <w:tc>
          <w:tcPr>
            <w:tcW w:w="3240" w:type="dxa"/>
            <w:tcBorders>
              <w:top w:val="single" w:sz="4" w:space="0" w:color="CCCCCC"/>
              <w:left w:val="single" w:sz="11" w:space="0" w:color="000000"/>
              <w:bottom w:val="single" w:sz="11" w:space="0" w:color="000000"/>
              <w:right w:val="single" w:sz="11" w:space="0" w:color="000000"/>
            </w:tcBorders>
            <w:shd w:val="clear" w:color="auto" w:fill="DEEAF6"/>
            <w:tcMar>
              <w:top w:w="0" w:type="dxa"/>
              <w:left w:w="40" w:type="dxa"/>
              <w:bottom w:w="0" w:type="dxa"/>
              <w:right w:w="40" w:type="dxa"/>
            </w:tcMar>
            <w:vAlign w:val="center"/>
          </w:tcPr>
          <w:p w:rsidR="00CA2617" w14:paraId="000000A3" w14:textId="77777777">
            <w:pPr>
              <w:spacing w:line="276" w:lineRule="auto"/>
              <w:rPr>
                <w:rFonts w:ascii="Calibri" w:eastAsia="Calibri" w:hAnsi="Calibri" w:cs="Calibri"/>
                <w:sz w:val="22"/>
                <w:szCs w:val="22"/>
              </w:rPr>
            </w:pPr>
            <w:r>
              <w:rPr>
                <w:rFonts w:ascii="Calibri" w:eastAsia="Calibri" w:hAnsi="Calibri" w:cs="Calibri"/>
                <w:b/>
                <w:sz w:val="22"/>
                <w:szCs w:val="22"/>
              </w:rPr>
              <w:t>Totals</w:t>
            </w:r>
          </w:p>
        </w:tc>
        <w:tc>
          <w:tcPr>
            <w:tcW w:w="3150" w:type="dxa"/>
            <w:tcBorders>
              <w:top w:val="single" w:sz="4" w:space="0" w:color="CCCCCC"/>
              <w:left w:val="single" w:sz="4" w:space="0" w:color="CCCCCC"/>
              <w:bottom w:val="single" w:sz="11" w:space="0" w:color="000000"/>
              <w:right w:val="single" w:sz="11" w:space="0" w:color="000000"/>
            </w:tcBorders>
            <w:shd w:val="clear" w:color="auto" w:fill="000000"/>
            <w:tcMar>
              <w:top w:w="0" w:type="dxa"/>
              <w:left w:w="40" w:type="dxa"/>
              <w:bottom w:w="0" w:type="dxa"/>
              <w:right w:w="40" w:type="dxa"/>
            </w:tcMar>
            <w:vAlign w:val="center"/>
          </w:tcPr>
          <w:p w:rsidR="00CA2617" w14:paraId="000000A4" w14:textId="77777777">
            <w:pPr>
              <w:spacing w:line="276" w:lineRule="auto"/>
              <w:rPr>
                <w:rFonts w:ascii="Calibri" w:eastAsia="Calibri" w:hAnsi="Calibri" w:cs="Calibri"/>
                <w:sz w:val="22"/>
                <w:szCs w:val="22"/>
              </w:rPr>
            </w:pPr>
          </w:p>
        </w:tc>
        <w:tc>
          <w:tcPr>
            <w:tcW w:w="1065" w:type="dxa"/>
            <w:tcBorders>
              <w:top w:val="single" w:sz="4" w:space="0" w:color="CCCCCC"/>
              <w:left w:val="single" w:sz="4" w:space="0" w:color="CCCCCC"/>
              <w:bottom w:val="single" w:sz="11" w:space="0" w:color="000000"/>
              <w:right w:val="single" w:sz="11" w:space="0" w:color="000000"/>
            </w:tcBorders>
            <w:shd w:val="clear" w:color="auto" w:fill="000000"/>
            <w:tcMar>
              <w:top w:w="0" w:type="dxa"/>
              <w:left w:w="40" w:type="dxa"/>
              <w:bottom w:w="0" w:type="dxa"/>
              <w:right w:w="40" w:type="dxa"/>
            </w:tcMar>
            <w:vAlign w:val="center"/>
          </w:tcPr>
          <w:p w:rsidR="00CA2617" w14:paraId="000000A5" w14:textId="77777777">
            <w:pPr>
              <w:spacing w:line="276" w:lineRule="auto"/>
              <w:jc w:val="center"/>
              <w:rPr>
                <w:rFonts w:ascii="Calibri" w:eastAsia="Calibri" w:hAnsi="Calibri" w:cs="Calibri"/>
                <w:sz w:val="22"/>
                <w:szCs w:val="22"/>
              </w:rPr>
            </w:pPr>
          </w:p>
        </w:tc>
        <w:tc>
          <w:tcPr>
            <w:tcW w:w="1275" w:type="dxa"/>
            <w:tcBorders>
              <w:top w:val="single" w:sz="4" w:space="0" w:color="CCCCCC"/>
              <w:left w:val="single" w:sz="4" w:space="0" w:color="CCCCCC"/>
              <w:bottom w:val="single" w:sz="11" w:space="0" w:color="000000"/>
              <w:right w:val="single" w:sz="11" w:space="0" w:color="000000"/>
            </w:tcBorders>
            <w:shd w:val="clear" w:color="auto" w:fill="000000"/>
            <w:tcMar>
              <w:top w:w="0" w:type="dxa"/>
              <w:left w:w="40" w:type="dxa"/>
              <w:bottom w:w="0" w:type="dxa"/>
              <w:right w:w="40" w:type="dxa"/>
            </w:tcMar>
            <w:vAlign w:val="center"/>
          </w:tcPr>
          <w:p w:rsidR="00CA2617" w14:paraId="000000A6" w14:textId="77777777">
            <w:pPr>
              <w:spacing w:line="276" w:lineRule="auto"/>
              <w:jc w:val="center"/>
              <w:rPr>
                <w:rFonts w:ascii="Calibri" w:eastAsia="Calibri" w:hAnsi="Calibri" w:cs="Calibri"/>
                <w:sz w:val="22"/>
                <w:szCs w:val="22"/>
              </w:rPr>
            </w:pPr>
          </w:p>
        </w:tc>
        <w:tc>
          <w:tcPr>
            <w:tcW w:w="1200" w:type="dxa"/>
            <w:tcBorders>
              <w:top w:val="single" w:sz="4" w:space="0" w:color="CCCCCC"/>
              <w:left w:val="single" w:sz="4" w:space="0" w:color="CCCCCC"/>
              <w:bottom w:val="single" w:sz="11" w:space="0" w:color="000000"/>
              <w:right w:val="single" w:sz="11" w:space="0" w:color="000000"/>
            </w:tcBorders>
            <w:shd w:val="clear" w:color="auto" w:fill="FFE598"/>
            <w:tcMar>
              <w:top w:w="0" w:type="dxa"/>
              <w:left w:w="40" w:type="dxa"/>
              <w:bottom w:w="0" w:type="dxa"/>
              <w:right w:w="40" w:type="dxa"/>
            </w:tcMar>
            <w:vAlign w:val="center"/>
          </w:tcPr>
          <w:p w:rsidR="00CA2617" w14:paraId="000000A7" w14:textId="77777777">
            <w:pPr>
              <w:spacing w:line="276" w:lineRule="auto"/>
              <w:jc w:val="center"/>
              <w:rPr>
                <w:rFonts w:ascii="Calibri" w:eastAsia="Calibri" w:hAnsi="Calibri" w:cs="Calibri"/>
                <w:sz w:val="22"/>
                <w:szCs w:val="22"/>
              </w:rPr>
            </w:pPr>
            <w:r>
              <w:rPr>
                <w:rFonts w:ascii="Calibri" w:eastAsia="Calibri" w:hAnsi="Calibri" w:cs="Calibri"/>
                <w:b/>
                <w:sz w:val="22"/>
                <w:szCs w:val="22"/>
              </w:rPr>
              <w:t>483</w:t>
            </w:r>
          </w:p>
        </w:tc>
        <w:tc>
          <w:tcPr>
            <w:tcW w:w="990" w:type="dxa"/>
            <w:tcBorders>
              <w:top w:val="single" w:sz="4" w:space="0" w:color="CCCCCC"/>
              <w:left w:val="single" w:sz="4" w:space="0" w:color="CCCCCC"/>
              <w:bottom w:val="single" w:sz="11" w:space="0" w:color="000000"/>
              <w:right w:val="single" w:sz="11" w:space="0" w:color="000000"/>
            </w:tcBorders>
            <w:shd w:val="clear" w:color="auto" w:fill="000000"/>
            <w:tcMar>
              <w:top w:w="0" w:type="dxa"/>
              <w:left w:w="40" w:type="dxa"/>
              <w:bottom w:w="0" w:type="dxa"/>
              <w:right w:w="40" w:type="dxa"/>
            </w:tcMar>
            <w:vAlign w:val="center"/>
          </w:tcPr>
          <w:p w:rsidR="00CA2617" w14:paraId="000000A8" w14:textId="77777777">
            <w:pPr>
              <w:spacing w:line="276" w:lineRule="auto"/>
              <w:jc w:val="center"/>
              <w:rPr>
                <w:rFonts w:ascii="Calibri" w:eastAsia="Calibri" w:hAnsi="Calibri" w:cs="Calibri"/>
                <w:sz w:val="22"/>
                <w:szCs w:val="22"/>
              </w:rPr>
            </w:pPr>
          </w:p>
        </w:tc>
        <w:tc>
          <w:tcPr>
            <w:tcW w:w="1005" w:type="dxa"/>
            <w:tcBorders>
              <w:top w:val="single" w:sz="4" w:space="0" w:color="CCCCCC"/>
              <w:left w:val="single" w:sz="4" w:space="0" w:color="CCCCCC"/>
              <w:bottom w:val="single" w:sz="11" w:space="0" w:color="000000"/>
              <w:right w:val="single" w:sz="11" w:space="0" w:color="000000"/>
            </w:tcBorders>
            <w:shd w:val="clear" w:color="auto" w:fill="FFE598"/>
            <w:tcMar>
              <w:top w:w="0" w:type="dxa"/>
              <w:left w:w="40" w:type="dxa"/>
              <w:bottom w:w="0" w:type="dxa"/>
              <w:right w:w="40" w:type="dxa"/>
            </w:tcMar>
            <w:vAlign w:val="center"/>
          </w:tcPr>
          <w:p w:rsidR="00CA2617" w14:paraId="000000A9" w14:textId="77777777">
            <w:pPr>
              <w:spacing w:line="276" w:lineRule="auto"/>
              <w:jc w:val="center"/>
              <w:rPr>
                <w:rFonts w:ascii="Calibri" w:eastAsia="Calibri" w:hAnsi="Calibri" w:cs="Calibri"/>
                <w:sz w:val="22"/>
                <w:szCs w:val="22"/>
              </w:rPr>
            </w:pPr>
            <w:r>
              <w:rPr>
                <w:rFonts w:ascii="Calibri" w:eastAsia="Calibri" w:hAnsi="Calibri" w:cs="Calibri"/>
                <w:b/>
                <w:sz w:val="22"/>
                <w:szCs w:val="22"/>
              </w:rPr>
              <w:t>221</w:t>
            </w:r>
          </w:p>
        </w:tc>
        <w:tc>
          <w:tcPr>
            <w:tcW w:w="990" w:type="dxa"/>
            <w:tcBorders>
              <w:top w:val="single" w:sz="4" w:space="0" w:color="CCCCCC"/>
              <w:left w:val="single" w:sz="4" w:space="0" w:color="CCCCCC"/>
              <w:bottom w:val="single" w:sz="11" w:space="0" w:color="000000"/>
              <w:right w:val="single" w:sz="11" w:space="0" w:color="000000"/>
            </w:tcBorders>
            <w:shd w:val="clear" w:color="auto" w:fill="000000"/>
            <w:tcMar>
              <w:top w:w="0" w:type="dxa"/>
              <w:left w:w="40" w:type="dxa"/>
              <w:bottom w:w="0" w:type="dxa"/>
              <w:right w:w="40" w:type="dxa"/>
            </w:tcMar>
            <w:vAlign w:val="center"/>
          </w:tcPr>
          <w:p w:rsidR="00CA2617" w14:paraId="000000AA" w14:textId="77777777">
            <w:pPr>
              <w:spacing w:line="276" w:lineRule="auto"/>
              <w:rPr>
                <w:rFonts w:ascii="Calibri" w:eastAsia="Calibri" w:hAnsi="Calibri" w:cs="Calibri"/>
                <w:sz w:val="22"/>
                <w:szCs w:val="22"/>
              </w:rPr>
            </w:pPr>
          </w:p>
        </w:tc>
        <w:tc>
          <w:tcPr>
            <w:tcW w:w="1155" w:type="dxa"/>
            <w:tcBorders>
              <w:top w:val="single" w:sz="4" w:space="0" w:color="CCCCCC"/>
              <w:left w:val="single" w:sz="4" w:space="0" w:color="CCCCCC"/>
              <w:bottom w:val="single" w:sz="11" w:space="0" w:color="000000"/>
              <w:right w:val="single" w:sz="11" w:space="0" w:color="000000"/>
            </w:tcBorders>
            <w:shd w:val="clear" w:color="auto" w:fill="DEEAF6"/>
            <w:tcMar>
              <w:top w:w="0" w:type="dxa"/>
              <w:left w:w="40" w:type="dxa"/>
              <w:bottom w:w="0" w:type="dxa"/>
              <w:right w:w="40" w:type="dxa"/>
            </w:tcMar>
            <w:vAlign w:val="center"/>
          </w:tcPr>
          <w:p w:rsidR="00CA2617" w14:paraId="000000AB" w14:textId="77777777">
            <w:pPr>
              <w:spacing w:line="276" w:lineRule="auto"/>
              <w:jc w:val="right"/>
              <w:rPr>
                <w:rFonts w:ascii="Calibri" w:eastAsia="Calibri" w:hAnsi="Calibri" w:cs="Calibri"/>
                <w:sz w:val="22"/>
                <w:szCs w:val="22"/>
              </w:rPr>
            </w:pPr>
            <w:r>
              <w:rPr>
                <w:rFonts w:ascii="Calibri" w:eastAsia="Calibri" w:hAnsi="Calibri" w:cs="Calibri"/>
                <w:b/>
                <w:sz w:val="22"/>
                <w:szCs w:val="22"/>
              </w:rPr>
              <w:t>$6,729.64</w:t>
            </w:r>
          </w:p>
        </w:tc>
      </w:tr>
    </w:tbl>
    <w:p w:rsidR="00CA2617" w14:paraId="000000AC" w14:textId="77777777">
      <w:pPr>
        <w:spacing w:line="259" w:lineRule="auto"/>
        <w:rPr>
          <w:b/>
          <w:color w:val="FF0000"/>
        </w:rPr>
      </w:pPr>
    </w:p>
    <w:p w:rsidR="00CA2617" w14:paraId="000000AD" w14:textId="77777777">
      <w:pPr>
        <w:spacing w:line="259" w:lineRule="auto"/>
        <w:ind w:hanging="43"/>
        <w:rPr>
          <w:rFonts w:ascii="Roboto" w:eastAsia="Roboto" w:hAnsi="Roboto" w:cs="Roboto"/>
          <w:b/>
          <w:color w:val="444746"/>
          <w:sz w:val="21"/>
          <w:szCs w:val="21"/>
          <w:highlight w:val="white"/>
        </w:rPr>
      </w:pPr>
      <w:r>
        <w:rPr>
          <w:rFonts w:ascii="Roboto" w:eastAsia="Roboto" w:hAnsi="Roboto" w:cs="Roboto"/>
          <w:b/>
          <w:color w:val="444746"/>
          <w:sz w:val="21"/>
          <w:szCs w:val="21"/>
          <w:highlight w:val="white"/>
        </w:rPr>
        <w:t>The median hourly wage for BLS Occupational Codes 19-1091 (Archaeologist) and 19-4099 (Physical Scientist) were averaged to obtain an hourly wage rate of $30.31.</w:t>
      </w:r>
    </w:p>
    <w:p w:rsidR="00CA2617" w14:paraId="000000AE" w14:textId="77777777">
      <w:pPr>
        <w:spacing w:line="259" w:lineRule="auto"/>
        <w:ind w:hanging="43"/>
        <w:rPr>
          <w:rFonts w:ascii="Roboto" w:eastAsia="Roboto" w:hAnsi="Roboto" w:cs="Roboto"/>
          <w:b/>
          <w:color w:val="444746"/>
          <w:sz w:val="21"/>
          <w:szCs w:val="21"/>
          <w:highlight w:val="white"/>
        </w:rPr>
      </w:pPr>
      <w:r>
        <w:rPr>
          <w:rFonts w:ascii="Roboto" w:eastAsia="Roboto" w:hAnsi="Roboto" w:cs="Roboto"/>
          <w:b/>
          <w:color w:val="444746"/>
          <w:sz w:val="21"/>
          <w:szCs w:val="21"/>
          <w:highlight w:val="white"/>
        </w:rPr>
        <w:t>BLS Occupational Code 19-4099 for Physical Scientists</w:t>
      </w:r>
    </w:p>
    <w:p w:rsidR="00CA2617" w14:paraId="000000AF" w14:textId="77777777">
      <w:pPr>
        <w:spacing w:line="259" w:lineRule="auto"/>
        <w:ind w:hanging="43"/>
        <w:rPr>
          <w:rFonts w:ascii="Roboto" w:eastAsia="Roboto" w:hAnsi="Roboto" w:cs="Roboto"/>
          <w:b/>
          <w:color w:val="444746"/>
          <w:sz w:val="21"/>
          <w:szCs w:val="21"/>
          <w:highlight w:val="white"/>
        </w:rPr>
      </w:pPr>
      <w:r>
        <w:rPr>
          <w:rFonts w:ascii="Roboto" w:eastAsia="Roboto" w:hAnsi="Roboto" w:cs="Roboto"/>
          <w:b/>
          <w:color w:val="444746"/>
          <w:sz w:val="21"/>
          <w:szCs w:val="21"/>
          <w:highlight w:val="white"/>
        </w:rPr>
        <w:t>BLS Codes 33-2011, Firefighters, and 33-3050, Police Officers were averaged to obtain the $30.70 hourly wage rate.</w:t>
      </w:r>
    </w:p>
    <w:p w:rsidR="00CA2617" w14:paraId="000000B0" w14:textId="77777777">
      <w:pPr>
        <w:spacing w:line="259" w:lineRule="auto"/>
        <w:ind w:hanging="43"/>
        <w:rPr>
          <w:b/>
        </w:rPr>
      </w:pPr>
      <w:r>
        <w:rPr>
          <w:b/>
          <w:color w:val="FF0000"/>
        </w:rPr>
        <w:t xml:space="preserve"> </w:t>
      </w:r>
      <w:hyperlink r:id="rId13">
        <w:r>
          <w:rPr>
            <w:b/>
            <w:color w:val="0563C1"/>
            <w:u w:val="single"/>
          </w:rPr>
          <w:t>https://www.bls.gov/bls/blswage.htm</w:t>
        </w:r>
      </w:hyperlink>
    </w:p>
    <w:p w:rsidR="00CA2617" w14:paraId="000000B1" w14:textId="77777777">
      <w:pPr>
        <w:spacing w:line="259" w:lineRule="auto"/>
        <w:ind w:hanging="43"/>
        <w:jc w:val="center"/>
        <w:rPr>
          <w:b/>
        </w:rPr>
        <w:sectPr>
          <w:pgSz w:w="15840" w:h="12240" w:orient="landscape"/>
          <w:pgMar w:top="640" w:right="1080" w:bottom="1200" w:left="1080" w:header="0" w:footer="714" w:gutter="0"/>
          <w:cols w:space="720"/>
        </w:sectPr>
      </w:pPr>
    </w:p>
    <w:p w:rsidR="00CA2617" w14:paraId="000000B2" w14:textId="77777777">
      <w:pPr>
        <w:spacing w:line="259" w:lineRule="auto"/>
        <w:ind w:hanging="43"/>
        <w:jc w:val="center"/>
        <w:rPr>
          <w:b/>
        </w:rPr>
      </w:pPr>
    </w:p>
    <w:p w:rsidR="00CA2617" w14:paraId="000000B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CA2617" w14:paraId="000000B4" w14:textId="77777777">
      <w:pPr>
        <w:rPr>
          <w:b/>
        </w:rPr>
      </w:pPr>
    </w:p>
    <w:tbl>
      <w:tblPr>
        <w:tblStyle w:val="a7"/>
        <w:tblW w:w="10095" w:type="dxa"/>
        <w:tblBorders>
          <w:top w:val="nil"/>
          <w:left w:val="nil"/>
          <w:bottom w:val="nil"/>
          <w:right w:val="nil"/>
          <w:insideH w:val="nil"/>
          <w:insideV w:val="nil"/>
        </w:tblBorders>
        <w:tblLayout w:type="fixed"/>
        <w:tblLook w:val="0600"/>
      </w:tblPr>
      <w:tblGrid>
        <w:gridCol w:w="4230"/>
        <w:gridCol w:w="960"/>
        <w:gridCol w:w="1275"/>
        <w:gridCol w:w="1350"/>
        <w:gridCol w:w="1350"/>
        <w:gridCol w:w="930"/>
      </w:tblGrid>
      <w:tr w14:paraId="6777ABDA" w14:textId="77777777">
        <w:tblPrEx>
          <w:tblW w:w="10095" w:type="dxa"/>
          <w:tblBorders>
            <w:top w:val="nil"/>
            <w:left w:val="nil"/>
            <w:bottom w:val="nil"/>
            <w:right w:val="nil"/>
            <w:insideH w:val="nil"/>
            <w:insideV w:val="nil"/>
          </w:tblBorders>
          <w:tblLayout w:type="fixed"/>
          <w:tblLook w:val="0600"/>
        </w:tblPrEx>
        <w:trPr>
          <w:trHeight w:val="1230"/>
        </w:trPr>
        <w:tc>
          <w:tcPr>
            <w:tcW w:w="4230" w:type="dxa"/>
            <w:tcBorders>
              <w:top w:val="single" w:sz="11" w:space="0" w:color="000000"/>
              <w:left w:val="single" w:sz="11" w:space="0" w:color="000000"/>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B5"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Information Collection</w:t>
            </w:r>
          </w:p>
        </w:tc>
        <w:tc>
          <w:tcPr>
            <w:tcW w:w="96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B6"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 of Respond</w:t>
            </w:r>
            <w:r>
              <w:rPr>
                <w:rFonts w:ascii="Calibri" w:eastAsia="Calibri" w:hAnsi="Calibri" w:cs="Calibri"/>
                <w:b/>
                <w:sz w:val="16"/>
                <w:szCs w:val="16"/>
              </w:rPr>
              <w:t>ents / Year</w:t>
            </w:r>
          </w:p>
          <w:p w:rsidR="00CA2617" w14:paraId="000000B7"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(a)</w:t>
            </w:r>
          </w:p>
        </w:tc>
        <w:tc>
          <w:tcPr>
            <w:tcW w:w="1275"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B8"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Annual # of Responses / Respondent</w:t>
            </w:r>
          </w:p>
          <w:p w:rsidR="00CA2617" w14:paraId="000000B9"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(b)</w:t>
            </w:r>
          </w:p>
        </w:tc>
        <w:tc>
          <w:tcPr>
            <w:tcW w:w="135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BA"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Total # of Annual Responses</w:t>
            </w:r>
          </w:p>
          <w:p w:rsidR="00CA2617" w14:paraId="000000BB"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(c) = (a) x (b)</w:t>
            </w:r>
          </w:p>
        </w:tc>
        <w:tc>
          <w:tcPr>
            <w:tcW w:w="135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BC"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Cost Burden / Respondent</w:t>
            </w:r>
          </w:p>
          <w:p w:rsidR="00CA2617" w14:paraId="000000BD"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(h)</w:t>
            </w:r>
          </w:p>
        </w:tc>
        <w:tc>
          <w:tcPr>
            <w:tcW w:w="930" w:type="dxa"/>
            <w:tcBorders>
              <w:top w:val="single" w:sz="11" w:space="0" w:color="000000"/>
              <w:left w:val="single" w:sz="4" w:space="0" w:color="CCCCCC"/>
              <w:bottom w:val="single" w:sz="11" w:space="0" w:color="000000"/>
              <w:right w:val="single" w:sz="11" w:space="0" w:color="000000"/>
            </w:tcBorders>
            <w:shd w:val="clear" w:color="auto" w:fill="BDD6EE"/>
            <w:tcMar>
              <w:top w:w="0" w:type="dxa"/>
              <w:left w:w="40" w:type="dxa"/>
              <w:bottom w:w="0" w:type="dxa"/>
              <w:right w:w="40" w:type="dxa"/>
            </w:tcMar>
            <w:vAlign w:val="center"/>
          </w:tcPr>
          <w:p w:rsidR="00CA2617" w14:paraId="000000BE"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Total Annual Cost Burden</w:t>
            </w:r>
          </w:p>
          <w:p w:rsidR="00CA2617" w14:paraId="000000BF"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w:t>
            </w:r>
            <w:r>
              <w:rPr>
                <w:rFonts w:ascii="Calibri" w:eastAsia="Calibri" w:hAnsi="Calibri" w:cs="Calibri"/>
                <w:b/>
                <w:sz w:val="16"/>
                <w:szCs w:val="16"/>
              </w:rPr>
              <w:t>i</w:t>
            </w:r>
            <w:r>
              <w:rPr>
                <w:rFonts w:ascii="Calibri" w:eastAsia="Calibri" w:hAnsi="Calibri" w:cs="Calibri"/>
                <w:b/>
                <w:sz w:val="16"/>
                <w:szCs w:val="16"/>
              </w:rPr>
              <w:t>) = (c) x (h)</w:t>
            </w:r>
          </w:p>
        </w:tc>
      </w:tr>
      <w:tr w14:paraId="7508CAC5"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C0" w14:textId="77777777">
            <w:pPr>
              <w:spacing w:line="276" w:lineRule="auto"/>
              <w:rPr>
                <w:rFonts w:ascii="Calibri" w:eastAsia="Calibri" w:hAnsi="Calibri" w:cs="Calibri"/>
                <w:sz w:val="18"/>
                <w:szCs w:val="18"/>
              </w:rPr>
            </w:pPr>
            <w:r>
              <w:rPr>
                <w:rFonts w:ascii="Roboto" w:eastAsia="Roboto" w:hAnsi="Roboto" w:cs="Roboto"/>
                <w:sz w:val="16"/>
                <w:szCs w:val="16"/>
              </w:rPr>
              <w:t>Verification of Liability Coverage</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1"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2"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3"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4"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C5"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6D57DC14"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C6" w14:textId="77777777">
            <w:pPr>
              <w:spacing w:line="276" w:lineRule="auto"/>
              <w:rPr>
                <w:rFonts w:ascii="Calibri" w:eastAsia="Calibri" w:hAnsi="Calibri" w:cs="Calibri"/>
                <w:sz w:val="18"/>
                <w:szCs w:val="18"/>
              </w:rPr>
            </w:pPr>
            <w:r>
              <w:rPr>
                <w:rFonts w:ascii="Roboto" w:eastAsia="Roboto" w:hAnsi="Roboto" w:cs="Roboto"/>
                <w:sz w:val="16"/>
                <w:szCs w:val="16"/>
              </w:rPr>
              <w:t>Liability Release and Assumption of Risk</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7"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8"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9"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A"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CB"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5EA2D67D"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CC" w14:textId="77777777">
            <w:pPr>
              <w:spacing w:line="276" w:lineRule="auto"/>
              <w:rPr>
                <w:rFonts w:ascii="Calibri" w:eastAsia="Calibri" w:hAnsi="Calibri" w:cs="Calibri"/>
                <w:sz w:val="18"/>
                <w:szCs w:val="18"/>
              </w:rPr>
            </w:pPr>
            <w:r>
              <w:rPr>
                <w:rFonts w:ascii="Roboto" w:eastAsia="Roboto" w:hAnsi="Roboto" w:cs="Roboto"/>
                <w:sz w:val="16"/>
                <w:szCs w:val="16"/>
              </w:rPr>
              <w:t>Volunteer Diver Service Agreement</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D" w14:textId="77777777">
            <w:pPr>
              <w:spacing w:line="276" w:lineRule="auto"/>
              <w:jc w:val="center"/>
              <w:rPr>
                <w:rFonts w:ascii="Calibri" w:eastAsia="Calibri" w:hAnsi="Calibri" w:cs="Calibri"/>
                <w:sz w:val="22"/>
                <w:szCs w:val="22"/>
              </w:rPr>
            </w:pPr>
            <w:r>
              <w:rPr>
                <w:rFonts w:ascii="Calibri" w:eastAsia="Calibri" w:hAnsi="Calibri" w:cs="Calibri"/>
                <w:sz w:val="16"/>
                <w:szCs w:val="16"/>
              </w:rPr>
              <w:t>27</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E"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CF" w14:textId="77777777">
            <w:pPr>
              <w:spacing w:line="276" w:lineRule="auto"/>
              <w:jc w:val="center"/>
              <w:rPr>
                <w:rFonts w:ascii="Calibri" w:eastAsia="Calibri" w:hAnsi="Calibri" w:cs="Calibri"/>
                <w:sz w:val="22"/>
                <w:szCs w:val="22"/>
              </w:rPr>
            </w:pPr>
            <w:r>
              <w:rPr>
                <w:rFonts w:ascii="Calibri" w:eastAsia="Calibri" w:hAnsi="Calibri" w:cs="Calibri"/>
                <w:sz w:val="16"/>
                <w:szCs w:val="16"/>
              </w:rPr>
              <w:t>27</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0"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D1"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280B508E"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D2" w14:textId="77777777">
            <w:pPr>
              <w:spacing w:line="276" w:lineRule="auto"/>
              <w:rPr>
                <w:rFonts w:ascii="Calibri" w:eastAsia="Calibri" w:hAnsi="Calibri" w:cs="Calibri"/>
                <w:sz w:val="18"/>
                <w:szCs w:val="18"/>
              </w:rPr>
            </w:pPr>
            <w:r>
              <w:rPr>
                <w:rFonts w:ascii="Roboto" w:eastAsia="Roboto" w:hAnsi="Roboto" w:cs="Roboto"/>
                <w:sz w:val="16"/>
                <w:szCs w:val="16"/>
              </w:rPr>
              <w:t>NOAA Diving Program Training Request and Authorization</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3"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4"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5"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6"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D7"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551E1494"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D8" w14:textId="77777777">
            <w:pPr>
              <w:spacing w:line="276" w:lineRule="auto"/>
              <w:rPr>
                <w:rFonts w:ascii="Calibri" w:eastAsia="Calibri" w:hAnsi="Calibri" w:cs="Calibri"/>
                <w:sz w:val="18"/>
                <w:szCs w:val="18"/>
              </w:rPr>
            </w:pPr>
            <w:r>
              <w:rPr>
                <w:rFonts w:ascii="Roboto" w:eastAsia="Roboto" w:hAnsi="Roboto" w:cs="Roboto"/>
                <w:sz w:val="16"/>
                <w:szCs w:val="16"/>
              </w:rPr>
              <w:t>Swim Test Evaluation</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9"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A"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B" w14:textId="77777777">
            <w:pPr>
              <w:spacing w:line="276" w:lineRule="auto"/>
              <w:jc w:val="center"/>
              <w:rPr>
                <w:rFonts w:ascii="Calibri" w:eastAsia="Calibri" w:hAnsi="Calibri" w:cs="Calibri"/>
                <w:sz w:val="22"/>
                <w:szCs w:val="22"/>
              </w:rPr>
            </w:pPr>
            <w:r>
              <w:rPr>
                <w:rFonts w:ascii="Calibri" w:eastAsia="Calibri" w:hAnsi="Calibri" w:cs="Calibri"/>
                <w:sz w:val="16"/>
                <w:szCs w:val="16"/>
              </w:rPr>
              <w:t>40</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C"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DD"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7E08460E"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DE" w14:textId="77777777">
            <w:pPr>
              <w:spacing w:line="276" w:lineRule="auto"/>
              <w:rPr>
                <w:rFonts w:ascii="Calibri" w:eastAsia="Calibri" w:hAnsi="Calibri" w:cs="Calibri"/>
                <w:sz w:val="18"/>
                <w:szCs w:val="18"/>
              </w:rPr>
            </w:pPr>
            <w:r>
              <w:rPr>
                <w:rFonts w:ascii="Roboto" w:eastAsia="Roboto" w:hAnsi="Roboto" w:cs="Roboto"/>
                <w:sz w:val="16"/>
                <w:szCs w:val="16"/>
              </w:rPr>
              <w:t>Diving Activity Resume</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DF"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0"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1" w14:textId="77777777">
            <w:pPr>
              <w:spacing w:line="276" w:lineRule="auto"/>
              <w:jc w:val="center"/>
              <w:rPr>
                <w:rFonts w:ascii="Calibri" w:eastAsia="Calibri" w:hAnsi="Calibri" w:cs="Calibri"/>
                <w:sz w:val="22"/>
                <w:szCs w:val="22"/>
              </w:rPr>
            </w:pPr>
            <w:r>
              <w:rPr>
                <w:rFonts w:ascii="Calibri" w:eastAsia="Calibri" w:hAnsi="Calibri" w:cs="Calibri"/>
                <w:sz w:val="16"/>
                <w:szCs w:val="16"/>
              </w:rPr>
              <w:t>20</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2"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E3"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1E74948E" w14:textId="77777777">
        <w:tblPrEx>
          <w:tblW w:w="10095" w:type="dxa"/>
          <w:tblLayout w:type="fixed"/>
          <w:tblLook w:val="0600"/>
        </w:tblPrEx>
        <w:trPr>
          <w:trHeight w:val="300"/>
        </w:trPr>
        <w:tc>
          <w:tcPr>
            <w:tcW w:w="423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rsidR="00CA2617" w14:paraId="000000E4" w14:textId="77777777">
            <w:pPr>
              <w:spacing w:line="276" w:lineRule="auto"/>
              <w:rPr>
                <w:rFonts w:ascii="Calibri" w:eastAsia="Calibri" w:hAnsi="Calibri" w:cs="Calibri"/>
                <w:sz w:val="18"/>
                <w:szCs w:val="18"/>
              </w:rPr>
            </w:pPr>
            <w:r>
              <w:rPr>
                <w:rFonts w:ascii="Roboto" w:eastAsia="Roboto" w:hAnsi="Roboto" w:cs="Roboto"/>
                <w:sz w:val="16"/>
                <w:szCs w:val="16"/>
              </w:rPr>
              <w:t>Report of Medical History - Diver</w:t>
            </w:r>
          </w:p>
        </w:tc>
        <w:tc>
          <w:tcPr>
            <w:tcW w:w="96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5" w14:textId="77777777">
            <w:pPr>
              <w:spacing w:line="276" w:lineRule="auto"/>
              <w:jc w:val="center"/>
              <w:rPr>
                <w:rFonts w:ascii="Calibri" w:eastAsia="Calibri" w:hAnsi="Calibri" w:cs="Calibri"/>
                <w:sz w:val="22"/>
                <w:szCs w:val="22"/>
              </w:rPr>
            </w:pPr>
            <w:r>
              <w:rPr>
                <w:rFonts w:ascii="Calibri" w:eastAsia="Calibri" w:hAnsi="Calibri" w:cs="Calibri"/>
                <w:sz w:val="16"/>
                <w:szCs w:val="16"/>
              </w:rPr>
              <w:t>50</w:t>
            </w:r>
          </w:p>
        </w:tc>
        <w:tc>
          <w:tcPr>
            <w:tcW w:w="1275"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6"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7" w14:textId="77777777">
            <w:pPr>
              <w:spacing w:line="276" w:lineRule="auto"/>
              <w:jc w:val="center"/>
              <w:rPr>
                <w:rFonts w:ascii="Calibri" w:eastAsia="Calibri" w:hAnsi="Calibri" w:cs="Calibri"/>
                <w:sz w:val="22"/>
                <w:szCs w:val="22"/>
              </w:rPr>
            </w:pPr>
            <w:r>
              <w:rPr>
                <w:rFonts w:ascii="Calibri" w:eastAsia="Calibri" w:hAnsi="Calibri" w:cs="Calibri"/>
                <w:sz w:val="16"/>
                <w:szCs w:val="16"/>
              </w:rPr>
              <w:t>50</w:t>
            </w:r>
          </w:p>
        </w:tc>
        <w:tc>
          <w:tcPr>
            <w:tcW w:w="1350" w:type="dxa"/>
            <w:tcBorders>
              <w:top w:val="single" w:sz="4" w:space="0" w:color="CCCCCC"/>
              <w:left w:val="single" w:sz="4" w:space="0" w:color="CCCCCC"/>
              <w:bottom w:val="single" w:sz="4" w:space="0" w:color="000000"/>
              <w:right w:val="single" w:sz="4" w:space="0" w:color="000000"/>
            </w:tcBorders>
            <w:shd w:val="clear" w:color="auto" w:fill="FFE598"/>
            <w:tcMar>
              <w:top w:w="0" w:type="dxa"/>
              <w:left w:w="40" w:type="dxa"/>
              <w:bottom w:w="0" w:type="dxa"/>
              <w:right w:w="40" w:type="dxa"/>
            </w:tcMar>
            <w:vAlign w:val="center"/>
          </w:tcPr>
          <w:p w:rsidR="00CA2617" w14:paraId="000000E8" w14:textId="77777777">
            <w:pPr>
              <w:spacing w:line="276" w:lineRule="auto"/>
              <w:jc w:val="right"/>
              <w:rPr>
                <w:rFonts w:ascii="Calibri" w:eastAsia="Calibri" w:hAnsi="Calibri" w:cs="Calibri"/>
                <w:sz w:val="22"/>
                <w:szCs w:val="22"/>
              </w:rPr>
            </w:pPr>
            <w:r>
              <w:rPr>
                <w:rFonts w:ascii="Calibri" w:eastAsia="Calibri" w:hAnsi="Calibri" w:cs="Calibri"/>
                <w:sz w:val="16"/>
                <w:szCs w:val="16"/>
              </w:rPr>
              <w:t>702</w:t>
            </w:r>
          </w:p>
        </w:tc>
        <w:tc>
          <w:tcPr>
            <w:tcW w:w="930" w:type="dxa"/>
            <w:tcBorders>
              <w:top w:val="single" w:sz="4" w:space="0" w:color="CCCCCC"/>
              <w:left w:val="single" w:sz="4" w:space="0" w:color="CCCCCC"/>
              <w:bottom w:val="single" w:sz="4" w:space="0" w:color="000000"/>
              <w:right w:val="single" w:sz="11" w:space="0" w:color="000000"/>
            </w:tcBorders>
            <w:shd w:val="clear" w:color="auto" w:fill="FFE598"/>
            <w:tcMar>
              <w:top w:w="0" w:type="dxa"/>
              <w:left w:w="40" w:type="dxa"/>
              <w:bottom w:w="0" w:type="dxa"/>
              <w:right w:w="40" w:type="dxa"/>
            </w:tcMar>
            <w:vAlign w:val="center"/>
          </w:tcPr>
          <w:p w:rsidR="00CA2617" w14:paraId="000000E9" w14:textId="77777777">
            <w:pPr>
              <w:spacing w:line="276" w:lineRule="auto"/>
              <w:jc w:val="right"/>
              <w:rPr>
                <w:rFonts w:ascii="Calibri" w:eastAsia="Calibri" w:hAnsi="Calibri" w:cs="Calibri"/>
                <w:sz w:val="22"/>
                <w:szCs w:val="22"/>
              </w:rPr>
            </w:pPr>
            <w:r>
              <w:rPr>
                <w:rFonts w:ascii="Calibri" w:eastAsia="Calibri" w:hAnsi="Calibri" w:cs="Calibri"/>
                <w:sz w:val="16"/>
                <w:szCs w:val="16"/>
              </w:rPr>
              <w:t>35100</w:t>
            </w:r>
          </w:p>
        </w:tc>
      </w:tr>
      <w:tr w14:paraId="7973BCA9" w14:textId="77777777">
        <w:tblPrEx>
          <w:tblW w:w="10095" w:type="dxa"/>
          <w:tblLayout w:type="fixed"/>
          <w:tblLook w:val="0600"/>
        </w:tblPrEx>
        <w:trPr>
          <w:trHeight w:val="300"/>
        </w:trPr>
        <w:tc>
          <w:tcPr>
            <w:tcW w:w="4230" w:type="dxa"/>
            <w:tcBorders>
              <w:top w:val="single" w:sz="4" w:space="0" w:color="CCCCCC"/>
              <w:left w:val="single" w:sz="4" w:space="0" w:color="000000"/>
              <w:bottom w:val="single" w:sz="11" w:space="0" w:color="000000"/>
              <w:right w:val="single" w:sz="4" w:space="0" w:color="000000"/>
            </w:tcBorders>
            <w:shd w:val="clear" w:color="auto" w:fill="FFFFFF"/>
            <w:tcMar>
              <w:top w:w="0" w:type="dxa"/>
              <w:left w:w="40" w:type="dxa"/>
              <w:bottom w:w="0" w:type="dxa"/>
              <w:right w:w="40" w:type="dxa"/>
            </w:tcMar>
            <w:vAlign w:val="center"/>
          </w:tcPr>
          <w:p w:rsidR="00CA2617" w14:paraId="000000EA" w14:textId="77777777">
            <w:pPr>
              <w:spacing w:line="276" w:lineRule="auto"/>
              <w:rPr>
                <w:rFonts w:ascii="Calibri" w:eastAsia="Calibri" w:hAnsi="Calibri" w:cs="Calibri"/>
                <w:sz w:val="18"/>
                <w:szCs w:val="18"/>
              </w:rPr>
            </w:pPr>
            <w:r>
              <w:rPr>
                <w:rFonts w:ascii="Roboto" w:eastAsia="Roboto" w:hAnsi="Roboto" w:cs="Roboto"/>
                <w:sz w:val="16"/>
                <w:szCs w:val="16"/>
              </w:rPr>
              <w:t>Report of Medical History - Annual Update</w:t>
            </w:r>
          </w:p>
        </w:tc>
        <w:tc>
          <w:tcPr>
            <w:tcW w:w="960"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EB"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1275"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EC" w14:textId="77777777">
            <w:pPr>
              <w:spacing w:line="276" w:lineRule="auto"/>
              <w:jc w:val="center"/>
              <w:rPr>
                <w:rFonts w:ascii="Calibri" w:eastAsia="Calibri" w:hAnsi="Calibri" w:cs="Calibri"/>
                <w:sz w:val="22"/>
                <w:szCs w:val="22"/>
              </w:rPr>
            </w:pPr>
            <w:r>
              <w:rPr>
                <w:rFonts w:ascii="Calibri" w:eastAsia="Calibri" w:hAnsi="Calibri" w:cs="Calibri"/>
                <w:sz w:val="16"/>
                <w:szCs w:val="16"/>
              </w:rPr>
              <w:t>1</w:t>
            </w:r>
          </w:p>
        </w:tc>
        <w:tc>
          <w:tcPr>
            <w:tcW w:w="1350"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ED" w14:textId="77777777">
            <w:pPr>
              <w:spacing w:line="276" w:lineRule="auto"/>
              <w:jc w:val="center"/>
              <w:rPr>
                <w:rFonts w:ascii="Calibri" w:eastAsia="Calibri" w:hAnsi="Calibri" w:cs="Calibri"/>
                <w:sz w:val="22"/>
                <w:szCs w:val="22"/>
              </w:rPr>
            </w:pPr>
            <w:r>
              <w:rPr>
                <w:rFonts w:ascii="Calibri" w:eastAsia="Calibri" w:hAnsi="Calibri" w:cs="Calibri"/>
                <w:sz w:val="16"/>
                <w:szCs w:val="16"/>
              </w:rPr>
              <w:t>143</w:t>
            </w:r>
          </w:p>
        </w:tc>
        <w:tc>
          <w:tcPr>
            <w:tcW w:w="1350" w:type="dxa"/>
            <w:tcBorders>
              <w:top w:val="single" w:sz="4" w:space="0" w:color="CCCCCC"/>
              <w:left w:val="single" w:sz="4" w:space="0" w:color="CCCCCC"/>
              <w:bottom w:val="single" w:sz="11" w:space="0" w:color="000000"/>
              <w:right w:val="single" w:sz="4" w:space="0" w:color="000000"/>
            </w:tcBorders>
            <w:shd w:val="clear" w:color="auto" w:fill="FFE598"/>
            <w:tcMar>
              <w:top w:w="0" w:type="dxa"/>
              <w:left w:w="40" w:type="dxa"/>
              <w:bottom w:w="0" w:type="dxa"/>
              <w:right w:w="40" w:type="dxa"/>
            </w:tcMar>
            <w:vAlign w:val="center"/>
          </w:tcPr>
          <w:p w:rsidR="00CA2617" w14:paraId="000000EE"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c>
          <w:tcPr>
            <w:tcW w:w="930" w:type="dxa"/>
            <w:tcBorders>
              <w:top w:val="single" w:sz="4" w:space="0" w:color="CCCCCC"/>
              <w:left w:val="single" w:sz="4" w:space="0" w:color="CCCCCC"/>
              <w:bottom w:val="single" w:sz="11" w:space="0" w:color="000000"/>
              <w:right w:val="single" w:sz="11" w:space="0" w:color="000000"/>
            </w:tcBorders>
            <w:shd w:val="clear" w:color="auto" w:fill="FFE598"/>
            <w:tcMar>
              <w:top w:w="0" w:type="dxa"/>
              <w:left w:w="40" w:type="dxa"/>
              <w:bottom w:w="0" w:type="dxa"/>
              <w:right w:w="40" w:type="dxa"/>
            </w:tcMar>
            <w:vAlign w:val="center"/>
          </w:tcPr>
          <w:p w:rsidR="00CA2617" w14:paraId="000000EF" w14:textId="77777777">
            <w:pPr>
              <w:spacing w:line="276" w:lineRule="auto"/>
              <w:jc w:val="right"/>
              <w:rPr>
                <w:rFonts w:ascii="Calibri" w:eastAsia="Calibri" w:hAnsi="Calibri" w:cs="Calibri"/>
                <w:sz w:val="22"/>
                <w:szCs w:val="22"/>
              </w:rPr>
            </w:pPr>
            <w:r>
              <w:rPr>
                <w:rFonts w:ascii="Calibri" w:eastAsia="Calibri" w:hAnsi="Calibri" w:cs="Calibri"/>
                <w:sz w:val="16"/>
                <w:szCs w:val="16"/>
              </w:rPr>
              <w:t>0</w:t>
            </w:r>
          </w:p>
        </w:tc>
      </w:tr>
      <w:tr w14:paraId="68199E9F" w14:textId="77777777">
        <w:tblPrEx>
          <w:tblW w:w="10095" w:type="dxa"/>
          <w:tblLayout w:type="fixed"/>
          <w:tblLook w:val="0600"/>
        </w:tblPrEx>
        <w:trPr>
          <w:trHeight w:val="315"/>
        </w:trPr>
        <w:tc>
          <w:tcPr>
            <w:tcW w:w="4230" w:type="dxa"/>
            <w:tcBorders>
              <w:top w:val="single" w:sz="4" w:space="0" w:color="CCCCCC"/>
              <w:left w:val="single" w:sz="11" w:space="0" w:color="000000"/>
              <w:bottom w:val="single" w:sz="11" w:space="0" w:color="000000"/>
              <w:right w:val="single" w:sz="4" w:space="0" w:color="000000"/>
            </w:tcBorders>
            <w:shd w:val="clear" w:color="auto" w:fill="DEEAF6"/>
            <w:tcMar>
              <w:top w:w="0" w:type="dxa"/>
              <w:left w:w="40" w:type="dxa"/>
              <w:bottom w:w="0" w:type="dxa"/>
              <w:right w:w="40" w:type="dxa"/>
            </w:tcMar>
            <w:vAlign w:val="center"/>
          </w:tcPr>
          <w:p w:rsidR="00CA2617" w14:paraId="000000F0" w14:textId="77777777">
            <w:pPr>
              <w:spacing w:line="276" w:lineRule="auto"/>
              <w:jc w:val="right"/>
              <w:rPr>
                <w:rFonts w:ascii="Calibri" w:eastAsia="Calibri" w:hAnsi="Calibri" w:cs="Calibri"/>
                <w:sz w:val="22"/>
                <w:szCs w:val="22"/>
              </w:rPr>
            </w:pPr>
            <w:r>
              <w:rPr>
                <w:rFonts w:ascii="Calibri" w:eastAsia="Calibri" w:hAnsi="Calibri" w:cs="Calibri"/>
                <w:b/>
                <w:sz w:val="16"/>
                <w:szCs w:val="16"/>
              </w:rPr>
              <w:t>TOTALS</w:t>
            </w:r>
          </w:p>
        </w:tc>
        <w:tc>
          <w:tcPr>
            <w:tcW w:w="960" w:type="dxa"/>
            <w:tcBorders>
              <w:top w:val="single" w:sz="4" w:space="0" w:color="CCCCCC"/>
              <w:left w:val="single" w:sz="4" w:space="0" w:color="CCCCCC"/>
              <w:bottom w:val="single" w:sz="11" w:space="0" w:color="000000"/>
              <w:right w:val="single" w:sz="4" w:space="0" w:color="000000"/>
            </w:tcBorders>
            <w:shd w:val="clear" w:color="auto" w:fill="DEEAF6"/>
            <w:tcMar>
              <w:top w:w="0" w:type="dxa"/>
              <w:left w:w="40" w:type="dxa"/>
              <w:bottom w:w="0" w:type="dxa"/>
              <w:right w:w="40" w:type="dxa"/>
            </w:tcMar>
            <w:vAlign w:val="center"/>
          </w:tcPr>
          <w:p w:rsidR="00CA2617" w14:paraId="000000F1" w14:textId="77777777">
            <w:pPr>
              <w:spacing w:line="276" w:lineRule="auto"/>
              <w:jc w:val="center"/>
              <w:rPr>
                <w:rFonts w:ascii="Calibri" w:eastAsia="Calibri" w:hAnsi="Calibri" w:cs="Calibri"/>
                <w:sz w:val="22"/>
                <w:szCs w:val="22"/>
              </w:rPr>
            </w:pPr>
          </w:p>
        </w:tc>
        <w:tc>
          <w:tcPr>
            <w:tcW w:w="1275" w:type="dxa"/>
            <w:tcBorders>
              <w:top w:val="single" w:sz="4" w:space="0" w:color="CCCCCC"/>
              <w:left w:val="single" w:sz="4" w:space="0" w:color="CCCCCC"/>
              <w:bottom w:val="single" w:sz="11" w:space="0" w:color="000000"/>
              <w:right w:val="single" w:sz="4" w:space="0" w:color="000000"/>
            </w:tcBorders>
            <w:shd w:val="clear" w:color="auto" w:fill="DEEAF6"/>
            <w:tcMar>
              <w:top w:w="0" w:type="dxa"/>
              <w:left w:w="40" w:type="dxa"/>
              <w:bottom w:w="0" w:type="dxa"/>
              <w:right w:w="40" w:type="dxa"/>
            </w:tcMar>
            <w:vAlign w:val="center"/>
          </w:tcPr>
          <w:p w:rsidR="00CA2617" w14:paraId="000000F2" w14:textId="77777777">
            <w:pPr>
              <w:spacing w:line="276" w:lineRule="auto"/>
              <w:jc w:val="center"/>
              <w:rPr>
                <w:rFonts w:ascii="Calibri" w:eastAsia="Calibri" w:hAnsi="Calibri" w:cs="Calibri"/>
                <w:sz w:val="22"/>
                <w:szCs w:val="22"/>
              </w:rPr>
            </w:pPr>
          </w:p>
        </w:tc>
        <w:tc>
          <w:tcPr>
            <w:tcW w:w="1350" w:type="dxa"/>
            <w:tcBorders>
              <w:top w:val="single" w:sz="4" w:space="0" w:color="CCCCCC"/>
              <w:left w:val="single" w:sz="4" w:space="0" w:color="CCCCCC"/>
              <w:bottom w:val="single" w:sz="11" w:space="0" w:color="000000"/>
              <w:right w:val="single" w:sz="4" w:space="0" w:color="000000"/>
            </w:tcBorders>
            <w:shd w:val="clear" w:color="auto" w:fill="DEEAF6"/>
            <w:tcMar>
              <w:top w:w="0" w:type="dxa"/>
              <w:left w:w="40" w:type="dxa"/>
              <w:bottom w:w="0" w:type="dxa"/>
              <w:right w:w="40" w:type="dxa"/>
            </w:tcMar>
            <w:vAlign w:val="center"/>
          </w:tcPr>
          <w:p w:rsidR="00CA2617" w14:paraId="000000F3"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483</w:t>
            </w:r>
          </w:p>
        </w:tc>
        <w:tc>
          <w:tcPr>
            <w:tcW w:w="1350" w:type="dxa"/>
            <w:tcBorders>
              <w:top w:val="single" w:sz="4" w:space="0" w:color="CCCCCC"/>
              <w:left w:val="single" w:sz="4" w:space="0" w:color="CCCCCC"/>
              <w:bottom w:val="single" w:sz="11" w:space="0" w:color="000000"/>
              <w:right w:val="single" w:sz="4" w:space="0" w:color="000000"/>
            </w:tcBorders>
            <w:shd w:val="clear" w:color="auto" w:fill="DEEAF6"/>
            <w:tcMar>
              <w:top w:w="0" w:type="dxa"/>
              <w:left w:w="40" w:type="dxa"/>
              <w:bottom w:w="0" w:type="dxa"/>
              <w:right w:w="40" w:type="dxa"/>
            </w:tcMar>
            <w:vAlign w:val="center"/>
          </w:tcPr>
          <w:p w:rsidR="00CA2617" w14:paraId="000000F4" w14:textId="77777777">
            <w:pPr>
              <w:spacing w:line="276" w:lineRule="auto"/>
              <w:rPr>
                <w:rFonts w:ascii="Calibri" w:eastAsia="Calibri" w:hAnsi="Calibri" w:cs="Calibri"/>
                <w:sz w:val="22"/>
                <w:szCs w:val="22"/>
              </w:rPr>
            </w:pPr>
          </w:p>
        </w:tc>
        <w:tc>
          <w:tcPr>
            <w:tcW w:w="930" w:type="dxa"/>
            <w:tcBorders>
              <w:top w:val="single" w:sz="4" w:space="0" w:color="CCCCCC"/>
              <w:left w:val="single" w:sz="4" w:space="0" w:color="CCCCCC"/>
              <w:bottom w:val="single" w:sz="11" w:space="0" w:color="000000"/>
              <w:right w:val="single" w:sz="11" w:space="0" w:color="000000"/>
            </w:tcBorders>
            <w:shd w:val="clear" w:color="auto" w:fill="DEEAF6"/>
            <w:tcMar>
              <w:top w:w="0" w:type="dxa"/>
              <w:left w:w="40" w:type="dxa"/>
              <w:bottom w:w="0" w:type="dxa"/>
              <w:right w:w="40" w:type="dxa"/>
            </w:tcMar>
            <w:vAlign w:val="center"/>
          </w:tcPr>
          <w:p w:rsidR="00CA2617" w14:paraId="000000F5" w14:textId="77777777">
            <w:pPr>
              <w:spacing w:line="276" w:lineRule="auto"/>
              <w:jc w:val="right"/>
              <w:rPr>
                <w:rFonts w:ascii="Calibri" w:eastAsia="Calibri" w:hAnsi="Calibri" w:cs="Calibri"/>
                <w:sz w:val="22"/>
                <w:szCs w:val="22"/>
              </w:rPr>
            </w:pPr>
            <w:r>
              <w:rPr>
                <w:rFonts w:ascii="Calibri" w:eastAsia="Calibri" w:hAnsi="Calibri" w:cs="Calibri"/>
                <w:b/>
                <w:sz w:val="16"/>
                <w:szCs w:val="16"/>
              </w:rPr>
              <w:t>35,100</w:t>
            </w:r>
          </w:p>
        </w:tc>
      </w:tr>
    </w:tbl>
    <w:p w:rsidR="00CA2617" w14:paraId="000000F6" w14:textId="77777777">
      <w:pPr>
        <w:rPr>
          <w:b/>
        </w:rPr>
      </w:pPr>
    </w:p>
    <w:p w:rsidR="00CA2617" w14:paraId="000000F7" w14:textId="77777777">
      <w:pPr>
        <w:rPr>
          <w:rFonts w:ascii="Roboto" w:eastAsia="Roboto" w:hAnsi="Roboto" w:cs="Roboto"/>
          <w:b/>
          <w:color w:val="0B57D0"/>
          <w:sz w:val="21"/>
          <w:szCs w:val="21"/>
          <w:highlight w:val="white"/>
        </w:rPr>
      </w:pPr>
      <w:hyperlink r:id="rId14" w:anchor="Average_Doctor_Visit_Costs">
        <w:r>
          <w:rPr>
            <w:rFonts w:ascii="Roboto" w:eastAsia="Roboto" w:hAnsi="Roboto" w:cs="Roboto"/>
            <w:b/>
            <w:color w:val="0B57D0"/>
            <w:sz w:val="21"/>
            <w:szCs w:val="21"/>
            <w:highlight w:val="white"/>
          </w:rPr>
          <w:t>https://www.debt.org/medical/doctor-visit-costs/#Average_Doctor_Visit_Costs</w:t>
        </w:r>
      </w:hyperlink>
    </w:p>
    <w:p w:rsidR="00CA2617" w14:paraId="000000F8" w14:textId="77777777">
      <w:pPr>
        <w:rPr>
          <w:b/>
        </w:rPr>
      </w:pPr>
    </w:p>
    <w:p w:rsidR="00CA2617" w:rsidRPr="00A04042" w14:paraId="000000F9" w14:textId="77777777">
      <w:r w:rsidRPr="00A04042">
        <w:rPr>
          <w:rFonts w:ascii="Roboto" w:eastAsia="Roboto" w:hAnsi="Roboto" w:cs="Roboto"/>
          <w:color w:val="444746"/>
          <w:sz w:val="21"/>
          <w:szCs w:val="21"/>
          <w:highlight w:val="white"/>
        </w:rPr>
        <w:t xml:space="preserve">Office Visit, Established Patient, </w:t>
      </w:r>
      <w:r w:rsidRPr="00A04042">
        <w:rPr>
          <w:rFonts w:ascii="Roboto" w:eastAsia="Roboto" w:hAnsi="Roboto" w:cs="Roboto"/>
          <w:color w:val="444746"/>
          <w:sz w:val="21"/>
          <w:szCs w:val="21"/>
          <w:highlight w:val="white"/>
        </w:rPr>
        <w:t>Level</w:t>
      </w:r>
      <w:r w:rsidRPr="00A04042">
        <w:rPr>
          <w:rFonts w:ascii="Roboto" w:eastAsia="Roboto" w:hAnsi="Roboto" w:cs="Roboto"/>
          <w:color w:val="444746"/>
          <w:sz w:val="21"/>
          <w:szCs w:val="21"/>
          <w:highlight w:val="white"/>
        </w:rPr>
        <w:t xml:space="preserve"> 5 – Complex medical problem(s) requiring comprehensive evaluation- approximately 40 minutes with the doctor – $234</w:t>
      </w:r>
    </w:p>
    <w:p w:rsidR="00CA2617" w14:paraId="000000FA" w14:textId="77777777">
      <w:pPr>
        <w:pBdr>
          <w:top w:val="nil"/>
          <w:left w:val="nil"/>
          <w:bottom w:val="nil"/>
          <w:right w:val="nil"/>
          <w:between w:val="nil"/>
        </w:pBdr>
        <w:spacing w:before="7"/>
        <w:rPr>
          <w:b/>
          <w:color w:val="000000"/>
        </w:rPr>
      </w:pPr>
    </w:p>
    <w:p w:rsidR="00CA2617" w14:paraId="000000FB"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CA2617" w14:paraId="000000FC" w14:textId="77777777">
      <w:pPr>
        <w:pBdr>
          <w:top w:val="nil"/>
          <w:left w:val="nil"/>
          <w:bottom w:val="nil"/>
          <w:right w:val="nil"/>
          <w:between w:val="nil"/>
        </w:pBdr>
        <w:spacing w:before="9" w:after="1"/>
        <w:rPr>
          <w:b/>
          <w:color w:val="000000"/>
        </w:rPr>
      </w:pPr>
    </w:p>
    <w:tbl>
      <w:tblPr>
        <w:tblStyle w:val="a8"/>
        <w:tblW w:w="8240" w:type="dxa"/>
        <w:tblInd w:w="-140" w:type="dxa"/>
        <w:tblLayout w:type="fixed"/>
        <w:tblLook w:val="0400"/>
      </w:tblPr>
      <w:tblGrid>
        <w:gridCol w:w="2280"/>
        <w:gridCol w:w="1120"/>
        <w:gridCol w:w="1140"/>
        <w:gridCol w:w="1120"/>
        <w:gridCol w:w="1280"/>
        <w:gridCol w:w="1300"/>
      </w:tblGrid>
      <w:tr w14:paraId="39E72416" w14:textId="77777777">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CA2617" w14:paraId="000000F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CA2617" w14:paraId="000000F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CA2617" w14:paraId="000000F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CA2617" w14:paraId="0000010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CA2617" w14:paraId="0000010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CA2617" w14:paraId="0000010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382E88A2" w14:textId="77777777">
        <w:tblPrEx>
          <w:tblW w:w="8240" w:type="dxa"/>
          <w:tblInd w:w="-140" w:type="dxa"/>
          <w:tblLayout w:type="fixed"/>
          <w:tblLook w:val="0400"/>
        </w:tblPrEx>
        <w:trPr>
          <w:trHeight w:val="450"/>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CA2617" w14:paraId="0000010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Federal </w:t>
            </w:r>
            <w:r>
              <w:rPr>
                <w:rFonts w:ascii="Calibri" w:eastAsia="Calibri" w:hAnsi="Calibri" w:cs="Calibri"/>
                <w:b/>
                <w:sz w:val="16"/>
                <w:szCs w:val="16"/>
              </w:rPr>
              <w:t>Staff</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CA2617" w14:paraId="00000104" w14:textId="77777777">
            <w:pPr>
              <w:widowControl/>
              <w:rPr>
                <w:rFonts w:ascii="Calibri" w:eastAsia="Calibri" w:hAnsi="Calibri" w:cs="Calibri"/>
                <w:sz w:val="16"/>
                <w:szCs w:val="16"/>
              </w:rPr>
            </w:pPr>
          </w:p>
          <w:p w:rsidR="00CA2617" w14:paraId="00000105" w14:textId="77777777">
            <w:pPr>
              <w:widowControl/>
              <w:rPr>
                <w:rFonts w:ascii="Calibri" w:eastAsia="Calibri" w:hAnsi="Calibri" w:cs="Calibri"/>
                <w:color w:val="000000"/>
                <w:sz w:val="16"/>
                <w:szCs w:val="16"/>
              </w:rPr>
            </w:pPr>
            <w:r>
              <w:rPr>
                <w:rFonts w:ascii="Calibri" w:eastAsia="Calibri" w:hAnsi="Calibri" w:cs="Calibri"/>
                <w:sz w:val="16"/>
                <w:szCs w:val="16"/>
              </w:rPr>
              <w:t xml:space="preserve">ZS-3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CA2617" w14:paraId="00000106" w14:textId="77777777">
            <w:pPr>
              <w:widowControl/>
              <w:rPr>
                <w:rFonts w:ascii="Calibri" w:eastAsia="Calibri" w:hAnsi="Calibri" w:cs="Calibri"/>
                <w:color w:val="000000"/>
                <w:sz w:val="16"/>
                <w:szCs w:val="16"/>
              </w:rPr>
            </w:pPr>
            <w:r>
              <w:rPr>
                <w:rFonts w:ascii="Calibri" w:eastAsia="Calibri" w:hAnsi="Calibri" w:cs="Calibri"/>
                <w:sz w:val="16"/>
                <w:szCs w:val="16"/>
              </w:rPr>
              <w:t>$</w:t>
            </w:r>
            <w:sdt>
              <w:sdtPr>
                <w:tag w:val="goog_rdk_0"/>
                <w:id w:val="403876911"/>
                <w:richText/>
              </w:sdtPr>
              <w:sdtContent/>
            </w:sdt>
            <w:r>
              <w:rPr>
                <w:rFonts w:ascii="Calibri" w:eastAsia="Calibri" w:hAnsi="Calibri" w:cs="Calibri"/>
                <w:sz w:val="16"/>
                <w:szCs w:val="16"/>
              </w:rPr>
              <w:t>71,001</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CA2617" w14:paraId="0000010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0</w:t>
            </w:r>
            <w:r>
              <w:rPr>
                <w:rFonts w:ascii="Calibri" w:eastAsia="Calibri" w:hAnsi="Calibri" w:cs="Calibri"/>
                <w:color w:val="000000"/>
                <w:sz w:val="16"/>
                <w:szCs w:val="16"/>
              </w:rPr>
              <w:t>.4</w:t>
            </w:r>
            <w:r>
              <w:rPr>
                <w:rFonts w:ascii="Calibri" w:eastAsia="Calibri" w:hAnsi="Calibri" w:cs="Calibri"/>
                <w:sz w:val="16"/>
                <w:szCs w:val="16"/>
              </w:rPr>
              <w:t>%</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CA2617" w14:paraId="0000010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CA2617" w14:paraId="0000010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$2</w:t>
            </w:r>
            <w:r>
              <w:rPr>
                <w:rFonts w:ascii="Calibri" w:eastAsia="Calibri" w:hAnsi="Calibri" w:cs="Calibri"/>
                <w:sz w:val="16"/>
                <w:szCs w:val="16"/>
              </w:rPr>
              <w:t>84.00</w:t>
            </w:r>
          </w:p>
        </w:tc>
      </w:tr>
      <w:tr w14:paraId="6C3C7FEC"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A2617" w14:paraId="0000010A" w14:textId="77777777">
            <w:pPr>
              <w:widowControl/>
              <w:rPr>
                <w:rFonts w:ascii="Calibri" w:eastAsia="Calibri" w:hAnsi="Calibri" w:cs="Calibri"/>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tcPr>
          <w:p w:rsidR="00CA2617" w14:paraId="0000010B" w14:textId="77777777">
            <w:pPr>
              <w:widowControl/>
              <w:rPr>
                <w:rFonts w:ascii="Calibri" w:eastAsia="Calibri" w:hAnsi="Calibri" w:cs="Calibri"/>
                <w:color w:val="000000"/>
                <w:sz w:val="16"/>
                <w:szCs w:val="16"/>
              </w:rPr>
            </w:pPr>
            <w:r>
              <w:rPr>
                <w:rFonts w:ascii="Calibri" w:eastAsia="Calibri" w:hAnsi="Calibri" w:cs="Calibri"/>
                <w:sz w:val="16"/>
                <w:szCs w:val="16"/>
              </w:rPr>
              <w:t>ZS-3</w:t>
            </w:r>
          </w:p>
        </w:tc>
        <w:tc>
          <w:tcPr>
            <w:tcW w:w="1140" w:type="dxa"/>
            <w:tcBorders>
              <w:top w:val="nil"/>
              <w:left w:val="nil"/>
              <w:bottom w:val="single" w:sz="4" w:space="0" w:color="000000"/>
              <w:right w:val="single" w:sz="4" w:space="0" w:color="000000"/>
            </w:tcBorders>
            <w:shd w:val="clear" w:color="auto" w:fill="auto"/>
            <w:vAlign w:val="bottom"/>
          </w:tcPr>
          <w:p w:rsidR="00CA2617" w14:paraId="0000010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71,001</w:t>
            </w:r>
          </w:p>
        </w:tc>
        <w:tc>
          <w:tcPr>
            <w:tcW w:w="1120" w:type="dxa"/>
            <w:tcBorders>
              <w:top w:val="nil"/>
              <w:left w:val="nil"/>
              <w:bottom w:val="single" w:sz="4" w:space="0" w:color="000000"/>
              <w:right w:val="single" w:sz="4" w:space="0" w:color="000000"/>
            </w:tcBorders>
            <w:shd w:val="clear" w:color="auto" w:fill="auto"/>
            <w:vAlign w:val="bottom"/>
          </w:tcPr>
          <w:p w:rsidR="00CA2617" w14:paraId="0000010D" w14:textId="77777777">
            <w:pPr>
              <w:widowControl/>
              <w:rPr>
                <w:rFonts w:ascii="Calibri" w:eastAsia="Calibri" w:hAnsi="Calibri" w:cs="Calibri"/>
                <w:color w:val="000000"/>
                <w:sz w:val="16"/>
                <w:szCs w:val="16"/>
              </w:rPr>
            </w:pPr>
            <w:r>
              <w:rPr>
                <w:rFonts w:ascii="Calibri" w:eastAsia="Calibri" w:hAnsi="Calibri" w:cs="Calibri"/>
                <w:sz w:val="16"/>
                <w:szCs w:val="16"/>
              </w:rPr>
              <w:t>1%</w:t>
            </w:r>
          </w:p>
        </w:tc>
        <w:tc>
          <w:tcPr>
            <w:tcW w:w="1280" w:type="dxa"/>
            <w:tcBorders>
              <w:top w:val="nil"/>
              <w:left w:val="nil"/>
              <w:bottom w:val="single" w:sz="4" w:space="0" w:color="000000"/>
              <w:right w:val="single" w:sz="4" w:space="0" w:color="000000"/>
            </w:tcBorders>
            <w:shd w:val="clear" w:color="auto" w:fill="808080"/>
            <w:vAlign w:val="bottom"/>
          </w:tcPr>
          <w:p w:rsidR="00CA2617" w14:paraId="0000010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A2617" w14:paraId="0000010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710.01</w:t>
            </w:r>
          </w:p>
        </w:tc>
      </w:tr>
      <w:tr w14:paraId="68046F1A"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A2617" w14:paraId="0000011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A2617" w14:paraId="00000111" w14:textId="77777777">
            <w:pPr>
              <w:widowControl/>
              <w:rPr>
                <w:rFonts w:ascii="Calibri" w:eastAsia="Calibri" w:hAnsi="Calibri" w:cs="Calibri"/>
                <w:color w:val="000000"/>
                <w:sz w:val="16"/>
                <w:szCs w:val="16"/>
              </w:rPr>
            </w:pPr>
            <w:r>
              <w:rPr>
                <w:rFonts w:ascii="Calibri" w:eastAsia="Calibri" w:hAnsi="Calibri" w:cs="Calibri"/>
                <w:sz w:val="16"/>
                <w:szCs w:val="16"/>
              </w:rPr>
              <w:t>USPHS PA-C</w:t>
            </w:r>
          </w:p>
        </w:tc>
        <w:tc>
          <w:tcPr>
            <w:tcW w:w="1140" w:type="dxa"/>
            <w:tcBorders>
              <w:top w:val="nil"/>
              <w:left w:val="nil"/>
              <w:bottom w:val="single" w:sz="4" w:space="0" w:color="000000"/>
              <w:right w:val="single" w:sz="4" w:space="0" w:color="000000"/>
            </w:tcBorders>
            <w:shd w:val="clear" w:color="auto" w:fill="auto"/>
            <w:vAlign w:val="bottom"/>
          </w:tcPr>
          <w:p w:rsidR="00CA2617" w14:paraId="0000011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215,318</w:t>
            </w:r>
          </w:p>
        </w:tc>
        <w:tc>
          <w:tcPr>
            <w:tcW w:w="1120" w:type="dxa"/>
            <w:tcBorders>
              <w:top w:val="nil"/>
              <w:left w:val="nil"/>
              <w:bottom w:val="single" w:sz="4" w:space="0" w:color="000000"/>
              <w:right w:val="single" w:sz="4" w:space="0" w:color="000000"/>
            </w:tcBorders>
            <w:shd w:val="clear" w:color="auto" w:fill="auto"/>
            <w:vAlign w:val="bottom"/>
          </w:tcPr>
          <w:p w:rsidR="00CA2617" w14:paraId="0000011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3.2%</w:t>
            </w:r>
          </w:p>
        </w:tc>
        <w:tc>
          <w:tcPr>
            <w:tcW w:w="1280" w:type="dxa"/>
            <w:tcBorders>
              <w:top w:val="nil"/>
              <w:left w:val="nil"/>
              <w:bottom w:val="single" w:sz="4" w:space="0" w:color="000000"/>
              <w:right w:val="single" w:sz="4" w:space="0" w:color="000000"/>
            </w:tcBorders>
            <w:shd w:val="clear" w:color="auto" w:fill="808080"/>
            <w:vAlign w:val="bottom"/>
          </w:tcPr>
          <w:p w:rsidR="00CA2617" w14:paraId="0000011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A2617" w14:paraId="0000011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6,890.18</w:t>
            </w:r>
          </w:p>
        </w:tc>
      </w:tr>
      <w:tr w14:paraId="0D2727B8"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A2617" w14:paraId="0000011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A2617" w14:paraId="0000011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CA2617" w14:paraId="0000011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A2617" w14:paraId="0000011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A2617" w14:paraId="0000011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A2617" w14:paraId="0000011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22B6735" w14:textId="77777777">
        <w:tblPrEx>
          <w:tblW w:w="8240" w:type="dxa"/>
          <w:tblInd w:w="-140" w:type="dxa"/>
          <w:tblLayout w:type="fixed"/>
          <w:tblLook w:val="0400"/>
        </w:tblPrEx>
        <w:trPr>
          <w:trHeight w:val="270"/>
        </w:trPr>
        <w:tc>
          <w:tcPr>
            <w:tcW w:w="2280" w:type="dxa"/>
            <w:tcBorders>
              <w:top w:val="nil"/>
              <w:left w:val="single" w:sz="8" w:space="0" w:color="000000"/>
              <w:bottom w:val="single" w:sz="4" w:space="0" w:color="000000"/>
              <w:right w:val="single" w:sz="8" w:space="0" w:color="000000"/>
            </w:tcBorders>
            <w:shd w:val="clear" w:color="auto" w:fill="auto"/>
            <w:vAlign w:val="bottom"/>
          </w:tcPr>
          <w:p w:rsidR="00CA2617" w14:paraId="0000011C"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CA2617" w14:paraId="0000011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CA2617" w14:paraId="0000011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$100,000</w:t>
            </w:r>
          </w:p>
        </w:tc>
        <w:tc>
          <w:tcPr>
            <w:tcW w:w="1120" w:type="dxa"/>
            <w:tcBorders>
              <w:top w:val="nil"/>
              <w:left w:val="nil"/>
              <w:bottom w:val="single" w:sz="4" w:space="0" w:color="000000"/>
              <w:right w:val="single" w:sz="4" w:space="0" w:color="000000"/>
            </w:tcBorders>
            <w:shd w:val="clear" w:color="auto" w:fill="auto"/>
            <w:vAlign w:val="bottom"/>
          </w:tcPr>
          <w:p w:rsidR="00CA2617" w14:paraId="0000011F" w14:textId="77777777">
            <w:pPr>
              <w:widowControl/>
              <w:rPr>
                <w:rFonts w:ascii="Calibri" w:eastAsia="Calibri" w:hAnsi="Calibri" w:cs="Calibri"/>
                <w:color w:val="000000"/>
                <w:sz w:val="16"/>
                <w:szCs w:val="16"/>
              </w:rPr>
            </w:pPr>
            <w:r>
              <w:rPr>
                <w:rFonts w:ascii="Calibri" w:eastAsia="Calibri" w:hAnsi="Calibri" w:cs="Calibri"/>
                <w:sz w:val="16"/>
                <w:szCs w:val="16"/>
              </w:rPr>
              <w:t>1%</w:t>
            </w:r>
          </w:p>
        </w:tc>
        <w:tc>
          <w:tcPr>
            <w:tcW w:w="1280" w:type="dxa"/>
            <w:tcBorders>
              <w:top w:val="nil"/>
              <w:left w:val="nil"/>
              <w:bottom w:val="single" w:sz="4" w:space="0" w:color="000000"/>
              <w:right w:val="single" w:sz="4" w:space="0" w:color="000000"/>
            </w:tcBorders>
            <w:shd w:val="clear" w:color="auto" w:fill="auto"/>
            <w:vAlign w:val="bottom"/>
          </w:tcPr>
          <w:p w:rsidR="00CA2617" w14:paraId="0000012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A2617" w14:paraId="00000121" w14:textId="77777777">
            <w:pPr>
              <w:widowControl/>
              <w:rPr>
                <w:rFonts w:ascii="Calibri" w:eastAsia="Calibri" w:hAnsi="Calibri" w:cs="Calibri"/>
                <w:color w:val="000000"/>
                <w:sz w:val="16"/>
                <w:szCs w:val="16"/>
              </w:rPr>
            </w:pPr>
            <w:r>
              <w:rPr>
                <w:rFonts w:ascii="Calibri" w:eastAsia="Calibri" w:hAnsi="Calibri" w:cs="Calibri"/>
                <w:sz w:val="16"/>
                <w:szCs w:val="16"/>
              </w:rPr>
              <w:t>$1,000.00</w:t>
            </w:r>
          </w:p>
        </w:tc>
      </w:tr>
      <w:tr w14:paraId="462319EB" w14:textId="77777777">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A2617" w14:paraId="00000122"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CA2617" w14:paraId="0000012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CA2617" w14:paraId="0000012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CA2617" w14:paraId="0000012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A2617" w14:paraId="0000012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A2617" w14:paraId="0000012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4BA63904" w14:textId="77777777">
        <w:tblPrEx>
          <w:tblW w:w="8240" w:type="dxa"/>
          <w:tblInd w:w="-140" w:type="dxa"/>
          <w:tblLayout w:type="fixed"/>
          <w:tblLook w:val="0400"/>
        </w:tblPrEx>
        <w:trPr>
          <w:trHeight w:val="360"/>
        </w:trPr>
        <w:tc>
          <w:tcPr>
            <w:tcW w:w="2280" w:type="dxa"/>
            <w:tcBorders>
              <w:top w:val="nil"/>
              <w:left w:val="single" w:sz="8" w:space="0" w:color="000000"/>
              <w:bottom w:val="nil"/>
              <w:right w:val="single" w:sz="8" w:space="0" w:color="000000"/>
            </w:tcBorders>
            <w:shd w:val="clear" w:color="auto" w:fill="auto"/>
            <w:vAlign w:val="center"/>
          </w:tcPr>
          <w:p w:rsidR="00CA2617" w14:paraId="00000128"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CA2617" w14:paraId="0000012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CA2617" w14:paraId="0000012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CA2617" w14:paraId="0000012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A2617" w14:paraId="0000012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A2617" w14:paraId="0000012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42E636D4" w14:textId="77777777">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CA2617" w14:paraId="0000012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CA2617" w14:paraId="0000012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CA2617" w14:paraId="0000013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CA2617" w14:paraId="0000013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CA2617" w14:paraId="0000013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CA2617" w14:paraId="0000013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8,884.19</w:t>
            </w:r>
          </w:p>
        </w:tc>
      </w:tr>
    </w:tbl>
    <w:p w:rsidR="00CA2617" w14:paraId="00000134" w14:textId="77777777">
      <w:pPr>
        <w:pBdr>
          <w:top w:val="nil"/>
          <w:left w:val="nil"/>
          <w:bottom w:val="nil"/>
          <w:right w:val="nil"/>
          <w:between w:val="nil"/>
        </w:pBdr>
        <w:spacing w:before="9" w:after="1"/>
        <w:rPr>
          <w:b/>
        </w:rPr>
      </w:pPr>
    </w:p>
    <w:p w:rsidR="00CA2617" w:rsidRPr="00A04042" w14:paraId="00000135" w14:textId="77777777">
      <w:pPr>
        <w:pBdr>
          <w:top w:val="nil"/>
          <w:left w:val="nil"/>
          <w:bottom w:val="nil"/>
          <w:right w:val="nil"/>
          <w:between w:val="nil"/>
        </w:pBdr>
        <w:spacing w:before="9" w:after="1"/>
        <w:rPr>
          <w:rFonts w:ascii="Roboto" w:eastAsia="Roboto" w:hAnsi="Roboto" w:cs="Roboto"/>
          <w:color w:val="444746"/>
          <w:sz w:val="21"/>
          <w:szCs w:val="21"/>
        </w:rPr>
      </w:pPr>
      <w:r w:rsidRPr="00A04042">
        <w:rPr>
          <w:rFonts w:ascii="Roboto" w:eastAsia="Roboto" w:hAnsi="Roboto" w:cs="Roboto"/>
          <w:color w:val="444746"/>
          <w:sz w:val="21"/>
          <w:szCs w:val="21"/>
        </w:rPr>
        <w:t>"The estimated total pay for a Physician Assistant at US Public Health Service is $143,545 per year. This number represents the median, which is the midpoint of the ranges from our proprietary Total Pay Estimate model and based on salaries collected from o</w:t>
      </w:r>
      <w:r w:rsidRPr="00A04042">
        <w:rPr>
          <w:rFonts w:ascii="Roboto" w:eastAsia="Roboto" w:hAnsi="Roboto" w:cs="Roboto"/>
          <w:color w:val="444746"/>
          <w:sz w:val="21"/>
          <w:szCs w:val="21"/>
        </w:rPr>
        <w:t>ur users. The estimated base pay is $143,545 per year. The "Most Likely Range" represents values that exist within the 25th and 75th percentile of all pay data available for this role.”</w:t>
      </w:r>
    </w:p>
    <w:p w:rsidR="00CA2617" w:rsidRPr="00A04042" w14:paraId="00000136" w14:textId="77777777">
      <w:pPr>
        <w:pBdr>
          <w:top w:val="nil"/>
          <w:left w:val="nil"/>
          <w:bottom w:val="nil"/>
          <w:right w:val="nil"/>
          <w:between w:val="nil"/>
        </w:pBdr>
        <w:spacing w:before="9" w:after="1"/>
      </w:pPr>
      <w:hyperlink r:id="rId15">
        <w:r w:rsidRPr="00A04042">
          <w:rPr>
            <w:rFonts w:ascii="Roboto" w:eastAsia="Roboto" w:hAnsi="Roboto" w:cs="Roboto"/>
            <w:color w:val="0B57D0"/>
            <w:sz w:val="21"/>
            <w:szCs w:val="21"/>
          </w:rPr>
          <w:t>https://www.glassdoor.com/Salary/US-Public-Health-Service-Physician-Assistant-Salaries-E591048_D_KO25,44.htm</w:t>
        </w:r>
      </w:hyperlink>
    </w:p>
    <w:p w:rsidR="00CA2617" w14:paraId="00000137" w14:textId="77777777">
      <w:pPr>
        <w:pBdr>
          <w:top w:val="nil"/>
          <w:left w:val="nil"/>
          <w:bottom w:val="nil"/>
          <w:right w:val="nil"/>
          <w:between w:val="nil"/>
        </w:pBdr>
        <w:spacing w:before="9" w:after="1"/>
        <w:rPr>
          <w:b/>
        </w:rPr>
      </w:pPr>
    </w:p>
    <w:p w:rsidR="00CA2617" w14:paraId="0000013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CA2617" w14:paraId="00000139" w14:textId="77777777">
      <w:pPr>
        <w:pBdr>
          <w:top w:val="nil"/>
          <w:left w:val="nil"/>
          <w:bottom w:val="nil"/>
          <w:right w:val="nil"/>
          <w:between w:val="nil"/>
        </w:pBdr>
        <w:spacing w:before="120"/>
        <w:rPr>
          <w:color w:val="000000"/>
        </w:rPr>
      </w:pPr>
      <w:r>
        <w:t>This is a new collection of information.</w:t>
      </w:r>
    </w:p>
    <w:p w:rsidR="00CA2617" w14:paraId="0000013A" w14:textId="77777777">
      <w:pPr>
        <w:pBdr>
          <w:top w:val="nil"/>
          <w:left w:val="nil"/>
          <w:bottom w:val="nil"/>
          <w:right w:val="nil"/>
          <w:between w:val="nil"/>
        </w:pBdr>
        <w:spacing w:before="7"/>
        <w:rPr>
          <w:b/>
          <w:color w:val="000000"/>
        </w:rPr>
      </w:pPr>
    </w:p>
    <w:p w:rsidR="00CA2617" w14:paraId="0000013C" w14:textId="77777777">
      <w:pPr>
        <w:numPr>
          <w:ilvl w:val="0"/>
          <w:numId w:val="1"/>
        </w:numPr>
        <w:pBdr>
          <w:top w:val="nil"/>
          <w:left w:val="nil"/>
          <w:bottom w:val="nil"/>
          <w:right w:val="nil"/>
          <w:between w:val="nil"/>
        </w:pBdr>
        <w:tabs>
          <w:tab w:val="left" w:pos="360"/>
        </w:tabs>
        <w:spacing w:before="80"/>
        <w:ind w:left="0" w:firstLine="0"/>
        <w:rPr>
          <w:b/>
          <w:color w:val="000000"/>
        </w:rPr>
      </w:pPr>
      <w:bookmarkStart w:id="0" w:name="_GoBack"/>
      <w:bookmarkEnd w:id="0"/>
      <w:r>
        <w:rPr>
          <w:b/>
          <w:color w:val="000000"/>
        </w:rPr>
        <w:t>For collections of information whose results will be published, outline plans for tabulation and publication. Address any complex analytical techniques that will be used. Provide the time schedule for the entire p</w:t>
      </w:r>
      <w:r>
        <w:rPr>
          <w:b/>
          <w:color w:val="000000"/>
        </w:rPr>
        <w:t>roject, including beginning and ending dates of the collection of information, completion of report, publication dates, and other actions.</w:t>
      </w:r>
    </w:p>
    <w:p w:rsidR="00CA2617" w14:paraId="0000013D" w14:textId="77777777">
      <w:pPr>
        <w:spacing w:before="120"/>
      </w:pPr>
      <w:r>
        <w:rPr>
          <w:color w:val="222222"/>
        </w:rPr>
        <w:t xml:space="preserve">Aggregate data about NOAA dives, missions, and their locations are combined into </w:t>
      </w:r>
      <w:hyperlink r:id="rId8">
        <w:r>
          <w:rPr>
            <w:color w:val="1155CC"/>
            <w:u w:val="single"/>
          </w:rPr>
          <w:t>Annual Reports</w:t>
        </w:r>
      </w:hyperlink>
      <w:r>
        <w:t xml:space="preserve"> for </w:t>
      </w:r>
      <w:r>
        <w:rPr>
          <w:color w:val="222222"/>
        </w:rPr>
        <w:t>use in leadership and funding discussions with NOAA, Department of Commerce, and beyond. This is collected once per calendar year from our NDL database, and is the o</w:t>
      </w:r>
      <w:r>
        <w:rPr>
          <w:color w:val="222222"/>
        </w:rPr>
        <w:t>nly collected information that is shared outside of NOAA.</w:t>
      </w:r>
    </w:p>
    <w:p w:rsidR="00CA2617" w14:paraId="0000013E" w14:textId="77777777">
      <w:pPr>
        <w:pBdr>
          <w:top w:val="nil"/>
          <w:left w:val="nil"/>
          <w:bottom w:val="nil"/>
          <w:right w:val="nil"/>
          <w:between w:val="nil"/>
        </w:pBdr>
        <w:spacing w:before="160"/>
        <w:rPr>
          <w:color w:val="2F5496"/>
        </w:rPr>
      </w:pPr>
    </w:p>
    <w:p w:rsidR="00CA2617" w14:paraId="0000013F"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CA2617" w14:paraId="00000140" w14:textId="77777777">
      <w:pPr>
        <w:spacing w:before="120"/>
      </w:pPr>
      <w:r>
        <w:t>The agency plans to display the expiration date for OMB approval of the information collection on all instruments.</w:t>
      </w:r>
    </w:p>
    <w:p w:rsidR="00CA2617" w14:paraId="00000141" w14:textId="77777777">
      <w:pPr>
        <w:spacing w:before="161"/>
      </w:pPr>
    </w:p>
    <w:p w:rsidR="00CA2617" w14:paraId="00000142"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CA2617" w14:paraId="00000143" w14:textId="77777777">
      <w:pPr>
        <w:spacing w:before="120"/>
        <w:jc w:val="both"/>
      </w:pPr>
      <w:r>
        <w:t>The agency cert</w:t>
      </w:r>
      <w:r>
        <w:t>ifies compliance with</w:t>
      </w:r>
      <w:hyperlink r:id="rId16">
        <w:r>
          <w:t xml:space="preserve"> </w:t>
        </w:r>
      </w:hyperlink>
      <w:hyperlink r:id="rId16">
        <w:r>
          <w:rPr>
            <w:u w:val="single"/>
          </w:rPr>
          <w:t>5 CFR 1320.9</w:t>
        </w:r>
      </w:hyperlink>
      <w:r>
        <w:t xml:space="preserve"> </w:t>
      </w:r>
      <w:r>
        <w:t>and the related provisions of</w:t>
      </w:r>
      <w:hyperlink r:id="rId17">
        <w:r>
          <w:t xml:space="preserve"> </w:t>
        </w:r>
      </w:hyperlink>
      <w:hyperlink r:id="rId17">
        <w:r>
          <w:rPr>
            <w:u w:val="single"/>
          </w:rPr>
          <w:t>5 CFR</w:t>
        </w:r>
      </w:hyperlink>
      <w:hyperlink r:id="rId17">
        <w:r>
          <w:t xml:space="preserve"> </w:t>
        </w:r>
      </w:hyperlink>
      <w:hyperlink r:id="rId17">
        <w:r>
          <w:rPr>
            <w:u w:val="single"/>
          </w:rPr>
          <w:t>1320.8(b)(3)</w:t>
        </w:r>
      </w:hyperlink>
      <w:r>
        <w:t>.</w:t>
      </w:r>
    </w:p>
    <w:p w:rsidR="00CA2617" w14:paraId="00000144" w14:textId="77777777">
      <w:pPr>
        <w:spacing w:before="221" w:line="259" w:lineRule="auto"/>
        <w:jc w:val="both"/>
        <w:rPr>
          <w:b/>
          <w:color w:val="1F497D"/>
          <w:u w:val="single"/>
        </w:rPr>
      </w:pPr>
      <w:bookmarkStart w:id="1" w:name="_heading=h.gjdgxs" w:colFirst="0" w:colLast="0"/>
      <w:bookmarkEnd w:id="1"/>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617" w:rsidRPr="00A04042" w:rsidP="00A04042" w14:paraId="00000145" w14:textId="44EB3E95">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3E4F7C"/>
    <w:multiLevelType w:val="multilevel"/>
    <w:tmpl w:val="3B5243F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4B61139B"/>
    <w:multiLevelType w:val="multilevel"/>
    <w:tmpl w:val="AA4C980A"/>
    <w:lvl w:ilvl="0">
      <w:start w:val="4"/>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17"/>
    <w:rsid w:val="00A04042"/>
    <w:rsid w:val="00CA2617"/>
    <w:rsid w:val="00D260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EFF932A-B2F2-473B-AAE4-8B463B9F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sec.doc.gov/opog/PrivacyAct/SORNs/noaa-10.html" TargetMode="External" /><Relationship Id="rId11" Type="http://schemas.openxmlformats.org/officeDocument/2006/relationships/hyperlink" Target="http://www.law.cornell.edu/uscode/uscode05/usc_sec_05_00000552---a000-.html" TargetMode="External" /><Relationship Id="rId12" Type="http://schemas.openxmlformats.org/officeDocument/2006/relationships/footer" Target="footer1.xml" /><Relationship Id="rId13" Type="http://schemas.openxmlformats.org/officeDocument/2006/relationships/hyperlink" Target="https://www.bls.gov/bls/blswage.htm" TargetMode="External" /><Relationship Id="rId14" Type="http://schemas.openxmlformats.org/officeDocument/2006/relationships/hyperlink" Target="https://www.debt.org/medical/doctor-visit-costs/" TargetMode="External" /><Relationship Id="rId15" Type="http://schemas.openxmlformats.org/officeDocument/2006/relationships/hyperlink" Target="https://www.glassdoor.com/Salary/US-Public-Health-Service-Physician-Assistant-Salaries-E591048_D_KO25,44.htm" TargetMode="External" /><Relationship Id="rId16" Type="http://schemas.openxmlformats.org/officeDocument/2006/relationships/hyperlink" Target="http://www.gpo.gov/fdsys/pkg/CFR-2014-title5-vol3/pdf/CFR-2014-title5-vol3-sec1320-9.pdf" TargetMode="External" /><Relationship Id="rId17" Type="http://schemas.openxmlformats.org/officeDocument/2006/relationships/hyperlink" Target="http://www.gpo.gov/fdsys/pkg/CFR-2014-title5-vol3/pdf/CFR-2014-title5-vol3-sec1320-8.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p.codes/viewer/osha-1910-general-industry/chapter/T/commercial-diving-operations" TargetMode="External" /><Relationship Id="rId6" Type="http://schemas.openxmlformats.org/officeDocument/2006/relationships/hyperlink" Target="https://www.noaa.gov/organization/administration/nao-209-123-noaa-diving-program" TargetMode="External" /><Relationship Id="rId7" Type="http://schemas.openxmlformats.org/officeDocument/2006/relationships/hyperlink" Target="https://sites.google.com/noaa.gov/ndp/resources/ndssm" TargetMode="External" /><Relationship Id="rId8" Type="http://schemas.openxmlformats.org/officeDocument/2006/relationships/hyperlink" Target="https://www.omao.noaa.gov/sites/default/files/2023-05/2020-2021%20AR%20final%20Mar17.pdf" TargetMode="External" /><Relationship Id="rId9" Type="http://schemas.openxmlformats.org/officeDocument/2006/relationships/hyperlink" Target="http://www.rdc.noaa.gov/~foia/asdhome/sysofrec/noaa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uY4aiXIh1TwNgl5xbPGtPJMCA==">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2023-09-18T16:31:00Z</dcterms:created>
  <dcterms:modified xsi:type="dcterms:W3CDTF">2023-09-18T16:34:00Z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