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4BBC" w14:paraId="54BFFBF7" w14:textId="77777777">
      <w:pPr>
        <w:pStyle w:val="Heading1"/>
        <w:ind w:left="0"/>
        <w:jc w:val="center"/>
      </w:pPr>
      <w:r>
        <w:t>SUPPORTING STATEMENT</w:t>
      </w:r>
    </w:p>
    <w:p w:rsidR="00774BBC" w14:paraId="64321B07" w14:textId="77777777">
      <w:pPr>
        <w:spacing w:before="22" w:line="259" w:lineRule="auto"/>
        <w:ind w:firstLine="14"/>
        <w:jc w:val="center"/>
        <w:rPr>
          <w:b/>
        </w:rPr>
      </w:pPr>
      <w:r>
        <w:rPr>
          <w:b/>
        </w:rPr>
        <w:t>U.S. Department of Commerce</w:t>
      </w:r>
    </w:p>
    <w:p w:rsidR="00774BBC" w14:paraId="7143D5C0" w14:textId="77777777">
      <w:pPr>
        <w:spacing w:before="22" w:line="259" w:lineRule="auto"/>
        <w:ind w:firstLine="14"/>
        <w:jc w:val="center"/>
        <w:rPr>
          <w:b/>
        </w:rPr>
      </w:pPr>
      <w:r>
        <w:rPr>
          <w:b/>
        </w:rPr>
        <w:t>National Oceanic &amp; Atmospheric Administration</w:t>
      </w:r>
    </w:p>
    <w:p w:rsidR="009664CD" w14:paraId="0606549C" w14:textId="77777777">
      <w:pPr>
        <w:spacing w:line="259" w:lineRule="auto"/>
        <w:ind w:hanging="6"/>
        <w:jc w:val="center"/>
        <w:rPr>
          <w:b/>
        </w:rPr>
      </w:pPr>
      <w:r w:rsidRPr="009664CD">
        <w:rPr>
          <w:b/>
        </w:rPr>
        <w:t>NMFS Alaska Region Vessel Monitoring System (VMS) Program</w:t>
      </w:r>
    </w:p>
    <w:p w:rsidR="00774BBC" w14:paraId="15D801BD" w14:textId="0564CC1B">
      <w:pPr>
        <w:spacing w:line="259" w:lineRule="auto"/>
        <w:ind w:hanging="6"/>
        <w:jc w:val="center"/>
        <w:rPr>
          <w:b/>
        </w:rPr>
      </w:pPr>
      <w:r>
        <w:rPr>
          <w:b/>
        </w:rPr>
        <w:t>OMB Control No. 0648-</w:t>
      </w:r>
      <w:r w:rsidRPr="009664CD" w:rsidR="009664CD">
        <w:rPr>
          <w:b/>
        </w:rPr>
        <w:t>0445</w:t>
      </w:r>
    </w:p>
    <w:p w:rsidR="00774BBC" w14:paraId="1AC76DDA" w14:textId="77777777">
      <w:pPr>
        <w:pBdr>
          <w:top w:val="nil"/>
          <w:left w:val="nil"/>
          <w:bottom w:val="nil"/>
          <w:right w:val="nil"/>
          <w:between w:val="nil"/>
        </w:pBdr>
        <w:spacing w:before="1"/>
        <w:jc w:val="center"/>
        <w:rPr>
          <w:b/>
          <w:color w:val="000000"/>
        </w:rPr>
      </w:pPr>
    </w:p>
    <w:p w:rsidR="004908C0" w:rsidP="008621E7" w14:paraId="6FCE14E4" w14:textId="77777777">
      <w:pPr>
        <w:widowControl/>
        <w:spacing w:before="1" w:line="398" w:lineRule="auto"/>
        <w:rPr>
          <w:b/>
          <w:color w:val="1F497D"/>
        </w:rPr>
      </w:pPr>
      <w:r>
        <w:rPr>
          <w:b/>
          <w:color w:val="000000"/>
        </w:rPr>
        <w:t xml:space="preserve">SUPPORTING STATEMENT </w:t>
      </w:r>
      <w:r>
        <w:rPr>
          <w:b/>
          <w:color w:val="000000"/>
        </w:rPr>
        <w:t>PART</w:t>
      </w:r>
      <w:r>
        <w:rPr>
          <w:b/>
          <w:color w:val="000000"/>
        </w:rPr>
        <w:t xml:space="preserve"> A</w:t>
      </w:r>
      <w:r>
        <w:rPr>
          <w:b/>
          <w:color w:val="1F497D"/>
        </w:rPr>
        <w:t xml:space="preserve"> </w:t>
      </w:r>
    </w:p>
    <w:p w:rsidR="00774BBC" w:rsidP="008621E7" w14:paraId="27B7A10A" w14:textId="77777777">
      <w:pPr>
        <w:pStyle w:val="Heading1"/>
        <w:widowControl/>
        <w:spacing w:before="199"/>
        <w:ind w:left="0"/>
      </w:pPr>
      <w:r>
        <w:t>Abstract</w:t>
      </w:r>
    </w:p>
    <w:p w:rsidR="004908C0" w:rsidP="00A81CAC" w14:paraId="6F9E7CC0" w14:textId="3A6FCD22">
      <w:pPr>
        <w:pStyle w:val="Heading1"/>
        <w:widowControl/>
        <w:spacing w:before="0"/>
        <w:ind w:left="0"/>
      </w:pPr>
    </w:p>
    <w:p w:rsidR="00947922" w:rsidP="00A81CAC" w14:paraId="0C78F2AB" w14:textId="3418F58B">
      <w:pPr>
        <w:pStyle w:val="Heading1"/>
        <w:widowControl/>
        <w:spacing w:before="0"/>
        <w:ind w:left="0"/>
        <w:rPr>
          <w:b w:val="0"/>
        </w:rPr>
      </w:pPr>
      <w:r w:rsidRPr="00947922">
        <w:rPr>
          <w:b w:val="0"/>
        </w:rPr>
        <w:t xml:space="preserve">The National Marine Fisheries Services (NMFS), Alaska Regional Office, </w:t>
      </w:r>
      <w:r w:rsidRPr="00947922" w:rsidR="008365DA">
        <w:rPr>
          <w:b w:val="0"/>
        </w:rPr>
        <w:t>request</w:t>
      </w:r>
      <w:r w:rsidR="008365DA">
        <w:rPr>
          <w:b w:val="0"/>
        </w:rPr>
        <w:t>s</w:t>
      </w:r>
      <w:r w:rsidRPr="00947922" w:rsidR="008365DA">
        <w:rPr>
          <w:b w:val="0"/>
        </w:rPr>
        <w:t xml:space="preserve"> </w:t>
      </w:r>
      <w:r w:rsidRPr="00947922">
        <w:rPr>
          <w:b w:val="0"/>
        </w:rPr>
        <w:t xml:space="preserve">extension </w:t>
      </w:r>
      <w:r w:rsidR="008365DA">
        <w:rPr>
          <w:b w:val="0"/>
        </w:rPr>
        <w:t xml:space="preserve">and revision </w:t>
      </w:r>
      <w:r w:rsidRPr="00947922">
        <w:rPr>
          <w:b w:val="0"/>
        </w:rPr>
        <w:t xml:space="preserve">of </w:t>
      </w:r>
      <w:r w:rsidR="008365DA">
        <w:rPr>
          <w:b w:val="0"/>
        </w:rPr>
        <w:t>this</w:t>
      </w:r>
      <w:r w:rsidRPr="00947922" w:rsidR="008365DA">
        <w:rPr>
          <w:b w:val="0"/>
        </w:rPr>
        <w:t xml:space="preserve"> </w:t>
      </w:r>
      <w:r w:rsidRPr="00947922">
        <w:rPr>
          <w:b w:val="0"/>
        </w:rPr>
        <w:t>currently approved information collection for the NMFS Alaska Region Vessel Monitoring System (VMS) Program</w:t>
      </w:r>
      <w:r w:rsidR="003D7A71">
        <w:rPr>
          <w:b w:val="0"/>
        </w:rPr>
        <w:t xml:space="preserve"> pursuant to proposed rule 0648-BM42.</w:t>
      </w:r>
      <w:r w:rsidRPr="00947922">
        <w:rPr>
          <w:b w:val="0"/>
        </w:rPr>
        <w:t xml:space="preserve"> </w:t>
      </w:r>
    </w:p>
    <w:p w:rsidR="009277D1" w:rsidP="00A81CAC" w14:paraId="07E196B1" w14:textId="77777777">
      <w:pPr>
        <w:pStyle w:val="Heading1"/>
        <w:widowControl/>
        <w:spacing w:before="0"/>
        <w:ind w:left="0"/>
        <w:rPr>
          <w:b w:val="0"/>
        </w:rPr>
      </w:pPr>
    </w:p>
    <w:p w:rsidR="00A81CAC" w:rsidRPr="00947922" w:rsidP="00A81CAC" w14:paraId="7F6C3F13" w14:textId="09667E94">
      <w:pPr>
        <w:pStyle w:val="Heading1"/>
        <w:widowControl/>
        <w:spacing w:before="0"/>
        <w:ind w:left="0"/>
        <w:rPr>
          <w:b w:val="0"/>
        </w:rPr>
      </w:pPr>
      <w:r w:rsidRPr="009277D1">
        <w:rPr>
          <w:b w:val="0"/>
        </w:rPr>
        <w:t xml:space="preserve">NMFS requires owners and operators of selected vessels participating in federally managed groundfish and crab fisheries off Alaska to obtain, install, and maintain an operational, NMFS-approved VMS. Tracking vessel location using VMS is required to monitor compliance with area-specific catch allocations, monitor compliance with requirements to redeploy or remove fishing gear from commercial fishing grounds, and monitor compliance with complicated time and area closures in the </w:t>
      </w:r>
      <w:r>
        <w:rPr>
          <w:b w:val="0"/>
        </w:rPr>
        <w:t xml:space="preserve">Gulf of Alaska </w:t>
      </w:r>
      <w:r w:rsidRPr="009277D1">
        <w:rPr>
          <w:b w:val="0"/>
        </w:rPr>
        <w:t xml:space="preserve">and </w:t>
      </w:r>
      <w:r>
        <w:rPr>
          <w:b w:val="0"/>
        </w:rPr>
        <w:t xml:space="preserve">Bering Sea and Aleutian Islands </w:t>
      </w:r>
      <w:r w:rsidRPr="009277D1">
        <w:rPr>
          <w:b w:val="0"/>
        </w:rPr>
        <w:t>to protect Steller sea lion or essential fish habitat.</w:t>
      </w:r>
    </w:p>
    <w:p w:rsidR="00A81CAC" w:rsidP="00A81CAC" w14:paraId="457ADD35" w14:textId="77777777">
      <w:pPr>
        <w:widowControl/>
        <w:autoSpaceDE w:val="0"/>
        <w:autoSpaceDN w:val="0"/>
      </w:pPr>
    </w:p>
    <w:p w:rsidR="00774329" w:rsidP="0000582A" w14:paraId="2AB53B7A" w14:textId="00C771D8">
      <w:pPr>
        <w:widowControl/>
        <w:autoSpaceDE w:val="0"/>
        <w:autoSpaceDN w:val="0"/>
      </w:pPr>
      <w:r w:rsidRPr="00A81CAC">
        <w:t xml:space="preserve">This information collection is revised due to </w:t>
      </w:r>
      <w:r w:rsidR="001464E6">
        <w:t>the proposed</w:t>
      </w:r>
      <w:r w:rsidRPr="00A81CAC">
        <w:t xml:space="preserve"> rule (RIN 0648</w:t>
      </w:r>
      <w:r w:rsidR="00367EC8">
        <w:t>-B</w:t>
      </w:r>
      <w:r w:rsidR="0030033D">
        <w:t>M42</w:t>
      </w:r>
      <w:r w:rsidRPr="00A81CAC">
        <w:t xml:space="preserve">) to implement Amendment </w:t>
      </w:r>
      <w:r>
        <w:t>16</w:t>
      </w:r>
      <w:r w:rsidRPr="00A81CAC">
        <w:t xml:space="preserve"> to the Fishery Management Plan for the Salmon Fisheries in the EEZ Off Alaska</w:t>
      </w:r>
      <w:r>
        <w:t>.</w:t>
      </w:r>
      <w:r w:rsidR="00DB03AD">
        <w:t xml:space="preserve"> </w:t>
      </w:r>
      <w:r w:rsidRPr="00774329">
        <w:t xml:space="preserve">Amendment 16 and the rule would establish Federal fishery management for all salmon fishing that occurs in the Cook Inlet </w:t>
      </w:r>
      <w:r>
        <w:t>Exclusive Economic Zone (</w:t>
      </w:r>
      <w:r w:rsidRPr="00774329">
        <w:t>EEZ</w:t>
      </w:r>
      <w:r>
        <w:t>)</w:t>
      </w:r>
      <w:r w:rsidRPr="00774329">
        <w:t xml:space="preserve">, which includes commercial drift gillnet and sport </w:t>
      </w:r>
      <w:r>
        <w:t>(recreational) salmon fisheries</w:t>
      </w:r>
      <w:r w:rsidRPr="00A81CAC">
        <w:t xml:space="preserve">. </w:t>
      </w:r>
    </w:p>
    <w:p w:rsidR="00774329" w:rsidP="0000582A" w14:paraId="3019BB36" w14:textId="58018374">
      <w:pPr>
        <w:widowControl/>
        <w:autoSpaceDE w:val="0"/>
        <w:autoSpaceDN w:val="0"/>
      </w:pPr>
    </w:p>
    <w:p w:rsidR="00774329" w:rsidP="0000582A" w14:paraId="2378EA50" w14:textId="5BEFBB66">
      <w:pPr>
        <w:widowControl/>
        <w:autoSpaceDE w:val="0"/>
        <w:autoSpaceDN w:val="0"/>
      </w:pPr>
      <w:r>
        <w:t>This collection is revised to include</w:t>
      </w:r>
      <w:r>
        <w:t xml:space="preserve"> </w:t>
      </w:r>
      <w:r w:rsidRPr="009277D1">
        <w:t xml:space="preserve">vessels commercially fishing for salmon in the Cook Inlet EEZ Area </w:t>
      </w:r>
      <w:r>
        <w:t xml:space="preserve">that </w:t>
      </w:r>
      <w:r w:rsidRPr="009277D1">
        <w:t>would be required to install and maintain an operational VMS</w:t>
      </w:r>
      <w:r>
        <w:t>.</w:t>
      </w:r>
      <w:r w:rsidR="00AE428D">
        <w:t xml:space="preserve"> This increases the number of respondents for this collection.</w:t>
      </w:r>
    </w:p>
    <w:p w:rsidR="009277D1" w:rsidP="0000582A" w14:paraId="6417E05D" w14:textId="77777777">
      <w:pPr>
        <w:widowControl/>
        <w:autoSpaceDE w:val="0"/>
        <w:autoSpaceDN w:val="0"/>
      </w:pPr>
    </w:p>
    <w:p w:rsidR="00A2423C" w:rsidP="0000582A" w14:paraId="09DDA99B" w14:textId="05543878">
      <w:pPr>
        <w:widowControl/>
        <w:autoSpaceDE w:val="0"/>
        <w:autoSpaceDN w:val="0"/>
        <w:rPr>
          <w:rFonts w:eastAsiaTheme="minorHAnsi" w:cstheme="minorBidi"/>
          <w:szCs w:val="22"/>
        </w:rPr>
      </w:pPr>
      <w:r w:rsidRPr="00A81CAC">
        <w:t xml:space="preserve">This rule would </w:t>
      </w:r>
      <w:r w:rsidR="00774329">
        <w:t xml:space="preserve">also </w:t>
      </w:r>
      <w:r w:rsidRPr="00A81CAC">
        <w:t xml:space="preserve">add a new information collection for the </w:t>
      </w:r>
      <w:r w:rsidRPr="00774329" w:rsidR="00774329">
        <w:t>Cook Inlet EEZ commercial salmon fishery</w:t>
      </w:r>
      <w:r w:rsidRPr="00A81CAC">
        <w:t xml:space="preserve"> under a new OMB control number. NMFS is submitting </w:t>
      </w:r>
      <w:r w:rsidR="00A81714">
        <w:t>a separate request</w:t>
      </w:r>
      <w:r w:rsidRPr="00A81CAC">
        <w:t xml:space="preserve"> for </w:t>
      </w:r>
      <w:r w:rsidR="00AE428D">
        <w:t>the new</w:t>
      </w:r>
      <w:r w:rsidRPr="00A81CAC">
        <w:t xml:space="preserve"> collection</w:t>
      </w:r>
      <w:r w:rsidR="00044EFC">
        <w:t>.</w:t>
      </w:r>
      <w:r w:rsidR="00DB03AD">
        <w:t xml:space="preserve"> </w:t>
      </w:r>
    </w:p>
    <w:p w:rsidR="00947922" w:rsidRPr="00AE428D" w:rsidP="00A81CAC" w14:paraId="6E1D5DB3" w14:textId="20EB2FF4">
      <w:pPr>
        <w:pStyle w:val="Heading1"/>
        <w:widowControl/>
        <w:spacing w:before="0"/>
        <w:ind w:left="0"/>
        <w:rPr>
          <w:b w:val="0"/>
        </w:rPr>
      </w:pPr>
    </w:p>
    <w:p w:rsidR="00947922" w:rsidRPr="00AE428D" w:rsidP="008621E7" w14:paraId="1BCFAC7F" w14:textId="77777777">
      <w:pPr>
        <w:pStyle w:val="Heading1"/>
        <w:widowControl/>
        <w:spacing w:before="0"/>
        <w:ind w:left="0"/>
        <w:rPr>
          <w:b w:val="0"/>
        </w:rPr>
      </w:pPr>
    </w:p>
    <w:p w:rsidR="00774BBC" w:rsidP="00DB03AD" w14:paraId="2E24B448" w14:textId="77777777">
      <w:pPr>
        <w:pStyle w:val="Heading1"/>
        <w:keepNext/>
        <w:widowControl/>
        <w:spacing w:before="0"/>
        <w:ind w:left="0"/>
      </w:pPr>
      <w:r>
        <w:t>Justification</w:t>
      </w:r>
    </w:p>
    <w:p w:rsidR="004908C0" w:rsidP="00DB03AD" w14:paraId="5125029A" w14:textId="77777777">
      <w:pPr>
        <w:pStyle w:val="Heading1"/>
        <w:keepNext/>
        <w:widowControl/>
        <w:spacing w:before="0"/>
        <w:ind w:left="0"/>
      </w:pPr>
    </w:p>
    <w:p w:rsidR="00774BBC" w:rsidP="00DB03AD" w14:paraId="13E19C9F"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the circumstances that make the collection of information necessary. Identify any legal or administrative requirements that necessitate the collection. Attach a copy of </w:t>
      </w:r>
      <w:r>
        <w:rPr>
          <w:b/>
          <w:color w:val="000000"/>
        </w:rPr>
        <w:t>the appropriate section of each statute and regulation mandating or authorizing the collection of information.</w:t>
      </w:r>
    </w:p>
    <w:p w:rsidR="004908C0" w:rsidRPr="004908C0" w:rsidP="00DB03AD" w14:paraId="77DC0CFA" w14:textId="77777777">
      <w:pPr>
        <w:keepNext/>
        <w:widowControl/>
        <w:pBdr>
          <w:top w:val="nil"/>
          <w:left w:val="nil"/>
          <w:bottom w:val="nil"/>
          <w:right w:val="nil"/>
          <w:between w:val="nil"/>
        </w:pBdr>
      </w:pPr>
    </w:p>
    <w:p w:rsidR="008D79EB" w:rsidP="00DB03AD" w14:paraId="044AA90E" w14:textId="4775F4A3">
      <w:pPr>
        <w:keepNext/>
        <w:widowControl/>
        <w:spacing w:after="240"/>
        <w:contextualSpacing/>
        <w:rPr>
          <w:color w:val="000000"/>
        </w:rPr>
      </w:pPr>
      <w:r w:rsidRPr="008D79EB">
        <w:rPr>
          <w:color w:val="000000"/>
        </w:rPr>
        <w:t xml:space="preserve">NMFS Alaska Region manages the groundfish and crab fisheries in the exclusive economic zone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r:id="rId6" w:anchor=":~:text=Magnuson%2DStevens%20Fishery%20Conservation%20and%20Management%20Act%20%C2%A0(MSA)" w:history="1">
        <w:r w:rsidRPr="008D79EB">
          <w:rPr>
            <w:color w:val="0000FF"/>
            <w:u w:val="single"/>
          </w:rPr>
          <w:t>Magnuson-Stevens Fishery Conservation and Management Act</w:t>
        </w:r>
      </w:hyperlink>
      <w:r w:rsidRPr="008D79EB">
        <w:rPr>
          <w:color w:val="000000"/>
        </w:rPr>
        <w:t xml:space="preserve">, </w:t>
      </w:r>
      <w:r w:rsidR="00100F65">
        <w:rPr>
          <w:color w:val="000000"/>
        </w:rPr>
        <w:t>(</w:t>
      </w:r>
      <w:r w:rsidRPr="008D79EB">
        <w:rPr>
          <w:color w:val="000000"/>
        </w:rPr>
        <w:t xml:space="preserve">16 U.S.C. 1801 </w:t>
      </w:r>
      <w:r w:rsidRPr="008D79EB">
        <w:rPr>
          <w:i/>
          <w:iCs/>
          <w:color w:val="000000"/>
        </w:rPr>
        <w:t>et seq</w:t>
      </w:r>
      <w:r w:rsidRPr="008D79EB">
        <w:rPr>
          <w:color w:val="000000"/>
        </w:rPr>
        <w:t>.</w:t>
      </w:r>
      <w:r w:rsidR="00100F65">
        <w:rPr>
          <w:color w:val="000000"/>
        </w:rPr>
        <w:t>, Magnuson-Stevenson Act).</w:t>
      </w:r>
      <w:r w:rsidRPr="008D79EB">
        <w:rPr>
          <w:color w:val="000000"/>
        </w:rPr>
        <w:t xml:space="preserve"> The </w:t>
      </w:r>
      <w:hyperlink r:id="rId7" w:anchor=":~:text=Northern%20Pacific%20Halibut%20Act%20of%201982%2C%2016%20USC%C2%A0773%20%E2%80%93%20773k" w:history="1">
        <w:r w:rsidRPr="00DC4537">
          <w:rPr>
            <w:color w:val="0000FF"/>
            <w:u w:val="single"/>
          </w:rPr>
          <w:t>Northern Pacific Halibut Act of 1982</w:t>
        </w:r>
      </w:hyperlink>
      <w:r w:rsidRPr="008D79EB">
        <w:rPr>
          <w:color w:val="000000"/>
        </w:rPr>
        <w:t xml:space="preserve"> at 16 U.S.C. 773–773k provides the Secretary of Commerce with the authority and general responsibility to carry </w:t>
      </w:r>
      <w:r w:rsidRPr="009277D1">
        <w:rPr>
          <w:color w:val="000000"/>
        </w:rPr>
        <w:t>out the requirements of the</w:t>
      </w:r>
      <w:r w:rsidRPr="009277D1" w:rsidR="009277D1">
        <w:t xml:space="preserve"> </w:t>
      </w:r>
      <w:r w:rsidRPr="009277D1" w:rsidR="009277D1">
        <w:rPr>
          <w:color w:val="000000"/>
        </w:rPr>
        <w:t>Convention between the United States and Canada for the</w:t>
      </w:r>
      <w:r w:rsidRPr="009277D1">
        <w:rPr>
          <w:color w:val="000000"/>
        </w:rPr>
        <w:t xml:space="preserve"> Preservation of the Halibut Fishery of the North Pacific Ocean and Bering Sea. Regulations implementing the FMPs appear at 50 CFR parts </w:t>
      </w:r>
      <w:hyperlink r:id="rId8" w:history="1">
        <w:r w:rsidRPr="009277D1">
          <w:rPr>
            <w:color w:val="0000FF"/>
            <w:u w:val="single"/>
          </w:rPr>
          <w:t>679</w:t>
        </w:r>
      </w:hyperlink>
      <w:r w:rsidRPr="009277D1">
        <w:rPr>
          <w:color w:val="000000"/>
        </w:rPr>
        <w:t xml:space="preserve"> and </w:t>
      </w:r>
      <w:hyperlink r:id="rId9" w:history="1">
        <w:r w:rsidRPr="009277D1">
          <w:rPr>
            <w:color w:val="0000FF"/>
            <w:u w:val="single"/>
          </w:rPr>
          <w:t>680</w:t>
        </w:r>
      </w:hyperlink>
      <w:r w:rsidRPr="009277D1">
        <w:rPr>
          <w:color w:val="000000"/>
        </w:rPr>
        <w:t>.</w:t>
      </w:r>
    </w:p>
    <w:p w:rsidR="006D5562" w:rsidP="008621E7" w14:paraId="2553E38C" w14:textId="63A2A4DA">
      <w:pPr>
        <w:widowControl/>
        <w:spacing w:after="240"/>
        <w:contextualSpacing/>
      </w:pPr>
    </w:p>
    <w:p w:rsidR="008D79EB" w:rsidP="008621E7" w14:paraId="3F442666" w14:textId="72B8B182">
      <w:pPr>
        <w:widowControl/>
        <w:autoSpaceDE w:val="0"/>
        <w:autoSpaceDN w:val="0"/>
        <w:spacing w:after="240"/>
        <w:rPr>
          <w:rFonts w:eastAsia="Arial"/>
          <w:color w:val="000000"/>
          <w:lang w:bidi="en-US"/>
        </w:rPr>
      </w:pPr>
      <w:r w:rsidRPr="008A316B">
        <w:rPr>
          <w:bCs/>
        </w:rPr>
        <w:t>NMFS requires the owners and operators of selected vessels participating in federally managed groundfish and crab fisheries off Alaska to obtain, install, and maintain an operational, NMFS-approved VMS.</w:t>
      </w:r>
      <w:r w:rsidR="00F13399">
        <w:rPr>
          <w:rFonts w:eastAsia="Arial"/>
          <w:color w:val="000000"/>
          <w:lang w:bidi="en-US"/>
        </w:rPr>
        <w:t xml:space="preserve"> </w:t>
      </w:r>
      <w:r w:rsidRPr="008D79EB">
        <w:rPr>
          <w:rFonts w:eastAsia="Arial"/>
          <w:color w:val="000000"/>
          <w:lang w:bidi="en-US"/>
        </w:rPr>
        <w:t>Tracking vessel location using VMS is required to monitor compliance with area-specific catch allocations, monitor compliance with requirements to redeploy or remove fishing gear from commercial fishing grounds, and monitor compliance with complicated time and area closures in the GOA and BSAI designed to protect Steller sea lion or essential fish habitat. Table 1 summarizes these VMS requirements by providing information about who must provide vessel location information to NMFS through VMS, references for the regulatory requirements, and a brief explanation of the reason for the VMS requirement.</w:t>
      </w:r>
    </w:p>
    <w:p w:rsidR="00F13399" w:rsidP="00F13399" w14:paraId="296D7F08" w14:textId="5919EBC2">
      <w:pPr>
        <w:widowControl/>
        <w:outlineLvl w:val="0"/>
        <w:rPr>
          <w:bCs/>
        </w:rPr>
      </w:pPr>
      <w:r w:rsidRPr="00F13399">
        <w:rPr>
          <w:bCs/>
        </w:rPr>
        <w:t xml:space="preserve">VMS is an essential component of monitoring and management for complicated, geographically widespread fishing closures. NMFS uses information from VMS to identify where vessels are operating, to organize patrols </w:t>
      </w:r>
      <w:r w:rsidRPr="00F13399">
        <w:rPr>
          <w:bCs/>
        </w:rPr>
        <w:t>so as to</w:t>
      </w:r>
      <w:r w:rsidRPr="00F13399">
        <w:rPr>
          <w:bCs/>
        </w:rPr>
        <w:t xml:space="preserve"> increase the number of fishing vessels visually examined, or to focus examination of vessels of greatest concern, and as evidence in prosecutions.</w:t>
      </w:r>
    </w:p>
    <w:p w:rsidR="00F13399" w:rsidRPr="00F13399" w:rsidP="00F13399" w14:paraId="5276604B" w14:textId="77777777">
      <w:pPr>
        <w:widowControl/>
        <w:outlineLvl w:val="0"/>
        <w:rPr>
          <w:bCs/>
        </w:rPr>
      </w:pPr>
    </w:p>
    <w:p w:rsidR="008D79EB" w:rsidRPr="008D79EB" w:rsidP="008621E7" w14:paraId="3481E641" w14:textId="2FE5EF4A">
      <w:pPr>
        <w:widowControl/>
        <w:autoSpaceDE w:val="0"/>
        <w:autoSpaceDN w:val="0"/>
        <w:spacing w:after="240"/>
        <w:rPr>
          <w:rFonts w:eastAsia="Arial"/>
          <w:color w:val="000000"/>
          <w:lang w:bidi="en-US"/>
        </w:rPr>
      </w:pPr>
      <w:r w:rsidRPr="008D79EB">
        <w:rPr>
          <w:rFonts w:eastAsia="Arial"/>
          <w:color w:val="000000"/>
          <w:lang w:bidi="en-US"/>
        </w:rPr>
        <w:t xml:space="preserve">NMFS has determined that traditional methods of relying on industry reports, observer reports, and periodic surveillance by the U.S. Coast Guard and </w:t>
      </w:r>
      <w:r w:rsidRPr="00F13399" w:rsidR="00F13399">
        <w:rPr>
          <w:rFonts w:eastAsia="Arial"/>
          <w:color w:val="000000"/>
          <w:lang w:bidi="en-US"/>
        </w:rPr>
        <w:t xml:space="preserve">NMFS Office for Law Enforcement </w:t>
      </w:r>
      <w:r w:rsidR="00F13399">
        <w:rPr>
          <w:rFonts w:eastAsia="Arial"/>
          <w:color w:val="000000"/>
          <w:lang w:bidi="en-US"/>
        </w:rPr>
        <w:t>(</w:t>
      </w:r>
      <w:r w:rsidRPr="008D79EB">
        <w:rPr>
          <w:rFonts w:eastAsia="Arial"/>
          <w:color w:val="000000"/>
          <w:lang w:bidi="en-US"/>
        </w:rPr>
        <w:t>NMFS OLE</w:t>
      </w:r>
      <w:r w:rsidR="00F13399">
        <w:rPr>
          <w:rFonts w:eastAsia="Arial"/>
          <w:color w:val="000000"/>
          <w:lang w:bidi="en-US"/>
        </w:rPr>
        <w:t>)</w:t>
      </w:r>
      <w:r w:rsidRPr="008D79EB">
        <w:rPr>
          <w:rFonts w:eastAsia="Arial"/>
          <w:color w:val="000000"/>
          <w:lang w:bidi="en-US"/>
        </w:rPr>
        <w:t xml:space="preserve"> are not adequate to monitor the complex, overlapping, and numerous closure areas, area-specific allocations to individuals and entities, and other regulatory limitations. These determinations were made through the rulemaking process for the various actions implementing VMS requirements. More information about the background and history of the Alaska Region’s VMS requirements </w:t>
      </w:r>
      <w:r w:rsidR="00EB6BF0">
        <w:rPr>
          <w:rFonts w:eastAsia="Arial"/>
          <w:color w:val="000000"/>
          <w:lang w:bidi="en-US"/>
        </w:rPr>
        <w:t>is available</w:t>
      </w:r>
      <w:r w:rsidRPr="008D79EB">
        <w:rPr>
          <w:rFonts w:eastAsia="Arial"/>
          <w:color w:val="000000"/>
          <w:lang w:bidi="en-US"/>
        </w:rPr>
        <w:t xml:space="preserve"> on the Alaska Region web site (</w:t>
      </w:r>
      <w:hyperlink r:id="rId10" w:anchor="vessel-monitoring" w:history="1">
        <w:r w:rsidRPr="008D79EB">
          <w:rPr>
            <w:rFonts w:eastAsia="Arial"/>
            <w:color w:val="0000FF"/>
            <w:u w:val="single"/>
            <w:lang w:bidi="en-US"/>
          </w:rPr>
          <w:t>https://www.fisheries.noaa.gov/topic/enforcement#vessel-monitoring</w:t>
        </w:r>
      </w:hyperlink>
      <w:r w:rsidRPr="008D79EB">
        <w:rPr>
          <w:rFonts w:eastAsia="Arial"/>
          <w:color w:val="000000"/>
          <w:lang w:bidi="en-US"/>
        </w:rPr>
        <w:t>) and in the proposed and final rules that implemented these VMS requirements.</w:t>
      </w:r>
    </w:p>
    <w:p w:rsidR="00A2423C" w:rsidRPr="00182BCD" w:rsidP="00A2423C" w14:paraId="218BAB6A" w14:textId="52B35864">
      <w:pPr>
        <w:keepNext/>
        <w:keepLines/>
        <w:widowControl/>
        <w:autoSpaceDE w:val="0"/>
        <w:autoSpaceDN w:val="0"/>
        <w:spacing w:before="240" w:after="120"/>
        <w:rPr>
          <w:rFonts w:eastAsiaTheme="minorHAnsi" w:cstheme="minorBidi"/>
        </w:rPr>
      </w:pPr>
      <w:r w:rsidRPr="00182BCD">
        <w:rPr>
          <w:rFonts w:eastAsiaTheme="minorHAnsi" w:cstheme="minorBidi"/>
          <w:b/>
          <w:color w:val="C00000"/>
        </w:rPr>
        <w:t xml:space="preserve">Revision Due to </w:t>
      </w:r>
      <w:r w:rsidR="001464E6">
        <w:rPr>
          <w:rFonts w:eastAsiaTheme="minorHAnsi" w:cstheme="minorBidi"/>
          <w:b/>
          <w:color w:val="C00000"/>
        </w:rPr>
        <w:t>Proposed</w:t>
      </w:r>
      <w:r w:rsidRPr="00182BCD" w:rsidR="001464E6">
        <w:rPr>
          <w:rFonts w:eastAsiaTheme="minorHAnsi" w:cstheme="minorBidi"/>
          <w:b/>
          <w:color w:val="C00000"/>
        </w:rPr>
        <w:t xml:space="preserve"> </w:t>
      </w:r>
      <w:r w:rsidRPr="00182BCD">
        <w:rPr>
          <w:rFonts w:eastAsiaTheme="minorHAnsi" w:cstheme="minorBidi"/>
          <w:b/>
          <w:color w:val="C00000"/>
        </w:rPr>
        <w:t>Rule (RIN 0648-</w:t>
      </w:r>
      <w:r w:rsidR="00367EC8">
        <w:rPr>
          <w:rFonts w:eastAsiaTheme="minorHAnsi" w:cstheme="minorBidi"/>
          <w:b/>
          <w:color w:val="C00000"/>
        </w:rPr>
        <w:t>B</w:t>
      </w:r>
      <w:r w:rsidR="0030033D">
        <w:rPr>
          <w:rFonts w:eastAsiaTheme="minorHAnsi" w:cstheme="minorBidi"/>
          <w:b/>
          <w:color w:val="C00000"/>
        </w:rPr>
        <w:t>M42</w:t>
      </w:r>
      <w:r w:rsidRPr="00182BCD">
        <w:rPr>
          <w:rFonts w:eastAsiaTheme="minorHAnsi" w:cstheme="minorBidi"/>
          <w:b/>
          <w:color w:val="C00000"/>
        </w:rPr>
        <w:t>)</w:t>
      </w:r>
    </w:p>
    <w:p w:rsidR="00100F65" w:rsidP="00100F65" w14:paraId="5D7867B4" w14:textId="2DF92E3A">
      <w:pPr>
        <w:widowControl/>
      </w:pPr>
      <w:r w:rsidRPr="00025684">
        <w:t xml:space="preserve">This information collection is revised due to the </w:t>
      </w:r>
      <w:r>
        <w:t>proposed rule (RIN 0648-BM42</w:t>
      </w:r>
      <w:r w:rsidRPr="00025684">
        <w:t xml:space="preserve">) </w:t>
      </w:r>
      <w:r>
        <w:t xml:space="preserve">to </w:t>
      </w:r>
      <w:r w:rsidRPr="00100F65">
        <w:t>implement Amendment 16 to the Salmon FMP</w:t>
      </w:r>
      <w:r w:rsidRPr="00025684">
        <w:t xml:space="preserve">. </w:t>
      </w:r>
      <w:r>
        <w:t xml:space="preserve">Amendment 16 and the rule would establish Federal fishery management for all salmon fishing that occurs in the Cook Inlet EEZ, which includes commercial drift gillnet and sport (recreational) salmon fisheries. </w:t>
      </w:r>
      <w:r w:rsidRPr="00F13AAA" w:rsidR="00F13AAA">
        <w:t>This action is necessary to comply with rulings from the U.S. Court of Appeals for the Ninth Circuit and the U.S. District Court for the District of Alaska, and to ensure the Salmon FMP is consistent with the Magnuson-</w:t>
      </w:r>
      <w:r w:rsidRPr="00F13AAA" w:rsidR="00F13AAA">
        <w:t>Stevens Act</w:t>
      </w:r>
      <w:r>
        <w:t xml:space="preserve">. This action </w:t>
      </w:r>
      <w:r w:rsidRPr="00100F65">
        <w:t>would implement new recordkeeping, reporting, and compliance requirements necessary for</w:t>
      </w:r>
      <w:r>
        <w:t xml:space="preserve"> required Federal </w:t>
      </w:r>
      <w:r w:rsidRPr="00100F65">
        <w:t>management and monitoring of the Cook Inlet EEZ Area salmon fisheries</w:t>
      </w:r>
      <w:r w:rsidR="00F13AAA">
        <w:t>.</w:t>
      </w:r>
    </w:p>
    <w:p w:rsidR="00F13AAA" w:rsidP="008621E7" w14:paraId="105241CE" w14:textId="77777777">
      <w:pPr>
        <w:widowControl/>
        <w:pBdr>
          <w:top w:val="nil"/>
          <w:left w:val="nil"/>
          <w:bottom w:val="nil"/>
          <w:right w:val="nil"/>
          <w:between w:val="nil"/>
        </w:pBdr>
      </w:pPr>
    </w:p>
    <w:p w:rsidR="00A62AE4" w:rsidP="008621E7" w14:paraId="7976348C" w14:textId="5054A2FB">
      <w:pPr>
        <w:widowControl/>
        <w:pBdr>
          <w:top w:val="nil"/>
          <w:left w:val="nil"/>
          <w:bottom w:val="nil"/>
          <w:right w:val="nil"/>
          <w:between w:val="nil"/>
        </w:pBdr>
      </w:pPr>
      <w:r>
        <w:t>T</w:t>
      </w:r>
      <w:r w:rsidR="00044EFC">
        <w:t>his collection is revised because v</w:t>
      </w:r>
      <w:r w:rsidRPr="00C7308D" w:rsidR="00C7308D">
        <w:t xml:space="preserve">essels commercially fishing for salmon in the Cook Inlet EEZ </w:t>
      </w:r>
      <w:r w:rsidR="00FB00D0">
        <w:t>A</w:t>
      </w:r>
      <w:r w:rsidRPr="00C7308D" w:rsidR="00FB00D0">
        <w:t>rea</w:t>
      </w:r>
      <w:r w:rsidR="00FB00D0">
        <w:t xml:space="preserve"> </w:t>
      </w:r>
      <w:r w:rsidR="00C7308D">
        <w:t xml:space="preserve">would be required to </w:t>
      </w:r>
      <w:r w:rsidRPr="00C7308D" w:rsidR="00C7308D">
        <w:t xml:space="preserve">install and maintain an operational VMS. </w:t>
      </w:r>
      <w:r w:rsidR="00044EFC">
        <w:t xml:space="preserve">The other </w:t>
      </w:r>
      <w:r w:rsidRPr="00044EFC" w:rsidR="00044EFC">
        <w:t>recordkeeping, reporti</w:t>
      </w:r>
      <w:r w:rsidR="00044EFC">
        <w:t xml:space="preserve">ng, and monitoring requirements </w:t>
      </w:r>
      <w:r w:rsidR="001464E6">
        <w:t xml:space="preserve">implemented by this rule </w:t>
      </w:r>
      <w:r w:rsidR="00044EFC">
        <w:t xml:space="preserve">for </w:t>
      </w:r>
      <w:r w:rsidRPr="00044EFC" w:rsidR="00044EFC">
        <w:t xml:space="preserve">the </w:t>
      </w:r>
      <w:r w:rsidRPr="00100F65" w:rsidR="00100F65">
        <w:rPr>
          <w:rFonts w:eastAsia="Arial"/>
          <w:color w:val="000000"/>
          <w:lang w:bidi="en-US"/>
        </w:rPr>
        <w:t>Cook Inlet EEZ commercial salmon fishery</w:t>
      </w:r>
      <w:r w:rsidR="00044EFC">
        <w:t xml:space="preserve"> will be under a </w:t>
      </w:r>
      <w:r w:rsidRPr="00044EFC" w:rsidR="00044EFC">
        <w:t xml:space="preserve">new OMB control number. NMFS is submitting a separate request for </w:t>
      </w:r>
      <w:r w:rsidR="00044EFC">
        <w:t>the new</w:t>
      </w:r>
      <w:r w:rsidRPr="00044EFC" w:rsidR="00044EFC">
        <w:t xml:space="preserve"> collection.</w:t>
      </w:r>
      <w:r w:rsidR="00DB03AD">
        <w:t xml:space="preserve"> </w:t>
      </w:r>
    </w:p>
    <w:p w:rsidR="00440C47" w:rsidP="00440C47" w14:paraId="724F5B49" w14:textId="2A5C2DDB">
      <w:pPr>
        <w:widowControl/>
        <w:pBdr>
          <w:top w:val="nil"/>
          <w:left w:val="nil"/>
          <w:bottom w:val="nil"/>
          <w:right w:val="nil"/>
          <w:between w:val="nil"/>
        </w:pBdr>
      </w:pPr>
    </w:p>
    <w:p w:rsidR="00AE37EF" w:rsidRPr="00AE37EF" w:rsidP="00AE37EF" w14:paraId="7BF3A20F" w14:textId="025249ED">
      <w:pPr>
        <w:widowControl/>
        <w:pBdr>
          <w:top w:val="nil"/>
          <w:left w:val="nil"/>
          <w:bottom w:val="nil"/>
          <w:right w:val="nil"/>
          <w:between w:val="nil"/>
        </w:pBdr>
      </w:pPr>
      <w:r>
        <w:t xml:space="preserve">This rule would require VMS </w:t>
      </w:r>
      <w:r w:rsidR="001E3BB7">
        <w:t>t</w:t>
      </w:r>
      <w:r w:rsidRPr="00AE37EF" w:rsidR="001E3BB7">
        <w:t xml:space="preserve">o </w:t>
      </w:r>
      <w:r w:rsidRPr="00AE37EF">
        <w:t xml:space="preserve">monitor participation in the </w:t>
      </w:r>
      <w:r w:rsidRPr="00320475" w:rsidR="00320475">
        <w:t xml:space="preserve">Cook Inlet EEZ </w:t>
      </w:r>
      <w:r w:rsidR="0061645B">
        <w:t xml:space="preserve">commercial </w:t>
      </w:r>
      <w:r w:rsidRPr="00320475" w:rsidR="00320475">
        <w:t>salmon fishery</w:t>
      </w:r>
      <w:r w:rsidR="001464E6">
        <w:t>,</w:t>
      </w:r>
      <w:r w:rsidR="00EB6BF0">
        <w:t xml:space="preserve"> </w:t>
      </w:r>
      <w:r w:rsidRPr="00AE37EF">
        <w:t xml:space="preserve">help </w:t>
      </w:r>
      <w:r w:rsidR="001E3BB7">
        <w:t>F</w:t>
      </w:r>
      <w:r w:rsidRPr="00AE37EF" w:rsidR="001E3BB7">
        <w:t xml:space="preserve">ederal </w:t>
      </w:r>
      <w:r w:rsidRPr="00AE37EF">
        <w:t xml:space="preserve">mangers estimate expected removals from each opening, </w:t>
      </w:r>
      <w:r w:rsidR="001464E6">
        <w:t xml:space="preserve">and </w:t>
      </w:r>
      <w:r w:rsidRPr="00AE37EF">
        <w:t>ensure that participants remain within EEZ waters open to fishing. VMS transmits the real-time GPS location of fishing vessels to NMFS. This</w:t>
      </w:r>
      <w:r w:rsidR="00EB6BF0">
        <w:t xml:space="preserve"> would</w:t>
      </w:r>
      <w:r w:rsidRPr="00AE37EF">
        <w:t xml:space="preserve"> help ensure that vessels are not fishing in both State</w:t>
      </w:r>
      <w:r>
        <w:t xml:space="preserve"> of Alaska (State)</w:t>
      </w:r>
      <w:r w:rsidRPr="00AE37EF">
        <w:t xml:space="preserve"> and EEZ waters during the same fishing trip, which </w:t>
      </w:r>
      <w:r w:rsidR="00EB6BF0">
        <w:t>would be</w:t>
      </w:r>
      <w:r w:rsidRPr="00AE37EF" w:rsidR="00EB6BF0">
        <w:t xml:space="preserve"> </w:t>
      </w:r>
      <w:r w:rsidRPr="00AE37EF">
        <w:t xml:space="preserve">prohibited </w:t>
      </w:r>
      <w:r w:rsidR="00EB6BF0">
        <w:t xml:space="preserve">under the rule </w:t>
      </w:r>
      <w:r w:rsidRPr="00AE37EF">
        <w:t xml:space="preserve">to improve the accuracy of catch accounting for Federal managers. </w:t>
      </w:r>
      <w:r w:rsidRPr="00EB6BF0" w:rsidR="00EB6BF0">
        <w:t xml:space="preserve">VMS would also </w:t>
      </w:r>
      <w:r w:rsidR="001464E6">
        <w:t>help verify</w:t>
      </w:r>
      <w:r w:rsidRPr="00EB6BF0" w:rsidR="00EB6BF0">
        <w:t xml:space="preserve"> when a vessel may be lawfully transiting through Cook Inlet EEZ Area waters after participating in a State fishery. </w:t>
      </w:r>
      <w:r w:rsidRPr="00AE37EF">
        <w:t>A vessel with a</w:t>
      </w:r>
      <w:r w:rsidR="00320475">
        <w:t xml:space="preserve"> </w:t>
      </w:r>
      <w:r w:rsidR="001E3BB7">
        <w:t>Salmon Federal Fisheries Permit</w:t>
      </w:r>
      <w:r w:rsidRPr="00AE37EF">
        <w:t xml:space="preserve"> would be required to keep </w:t>
      </w:r>
      <w:r w:rsidR="00F4352A">
        <w:t>its</w:t>
      </w:r>
      <w:r w:rsidRPr="00AE37EF" w:rsidR="00F4352A">
        <w:t xml:space="preserve"> </w:t>
      </w:r>
      <w:r w:rsidRPr="00AE37EF">
        <w:t xml:space="preserve">VMS active within State waters to ensure that entire fishing trips are monitored and to help verify that no fishing occurred within State waters during a fishing trip that included salmon harvest in the Cook Inlet EEZ. </w:t>
      </w:r>
    </w:p>
    <w:p w:rsidR="00AE37EF" w:rsidP="00AE37EF" w14:paraId="0F195D16" w14:textId="77777777">
      <w:pPr>
        <w:widowControl/>
        <w:pBdr>
          <w:top w:val="nil"/>
          <w:left w:val="nil"/>
          <w:bottom w:val="nil"/>
          <w:right w:val="nil"/>
          <w:between w:val="nil"/>
        </w:pBdr>
      </w:pPr>
    </w:p>
    <w:p w:rsidR="00AE37EF" w:rsidRPr="00AE37EF" w:rsidP="00AE37EF" w14:paraId="4C9D026C" w14:textId="454C0900">
      <w:pPr>
        <w:widowControl/>
        <w:pBdr>
          <w:top w:val="nil"/>
          <w:left w:val="nil"/>
          <w:bottom w:val="nil"/>
          <w:right w:val="nil"/>
          <w:between w:val="nil"/>
        </w:pBdr>
      </w:pPr>
      <w:r w:rsidRPr="00AE37EF">
        <w:t>During fishing operations, a drift gillnet is not always attached to the vessel</w:t>
      </w:r>
      <w:r w:rsidR="00F13399">
        <w:t xml:space="preserve"> and </w:t>
      </w:r>
      <w:r w:rsidRPr="00AE37EF">
        <w:t xml:space="preserve">the position of the vessel as determined by VMS may be different than </w:t>
      </w:r>
      <w:r w:rsidR="00EB6BF0">
        <w:t xml:space="preserve">the exact location of the net it </w:t>
      </w:r>
      <w:r w:rsidRPr="00AE37EF">
        <w:t xml:space="preserve">deployed. However, </w:t>
      </w:r>
      <w:r w:rsidR="00EB6BF0">
        <w:t xml:space="preserve">because </w:t>
      </w:r>
      <w:r w:rsidRPr="00AE37EF">
        <w:t>drift gillnet vessels in Cook Inlet remain relatively close to their nets</w:t>
      </w:r>
      <w:r w:rsidR="00EB6BF0">
        <w:t xml:space="preserve"> due to the significant tidal currents in the area</w:t>
      </w:r>
      <w:r w:rsidRPr="00AE37EF">
        <w:t>, VMS data</w:t>
      </w:r>
      <w:r w:rsidR="00EB6BF0">
        <w:t>,</w:t>
      </w:r>
      <w:r w:rsidRPr="00AE37EF">
        <w:t xml:space="preserve"> when combined with logbook information and vessel or aircraft enforcement patrols</w:t>
      </w:r>
      <w:r w:rsidR="00EB6BF0">
        <w:t>,</w:t>
      </w:r>
      <w:r w:rsidRPr="00AE37EF">
        <w:t xml:space="preserve"> provide</w:t>
      </w:r>
      <w:r w:rsidR="004B32BE">
        <w:t>s</w:t>
      </w:r>
      <w:r w:rsidRPr="00AE37EF">
        <w:t xml:space="preserve"> robust information to determine compliance with </w:t>
      </w:r>
      <w:r w:rsidR="001E3BB7">
        <w:t>F</w:t>
      </w:r>
      <w:r w:rsidRPr="00AE37EF">
        <w:t>ederal fishing area, time, and catch accounting regulations. This approach is also more</w:t>
      </w:r>
      <w:r w:rsidR="00EB6BF0">
        <w:t xml:space="preserve"> practicable and</w:t>
      </w:r>
      <w:r w:rsidRPr="00AE37EF">
        <w:t xml:space="preserve"> cost-efficient to fishery participants than the alternatives of comprehensive electronic monitoring systems or human fishery observers. </w:t>
      </w:r>
    </w:p>
    <w:p w:rsidR="00AE37EF" w:rsidP="00440C47" w14:paraId="392E497D" w14:textId="0852FA76">
      <w:pPr>
        <w:widowControl/>
        <w:pBdr>
          <w:top w:val="nil"/>
          <w:left w:val="nil"/>
          <w:bottom w:val="nil"/>
          <w:right w:val="nil"/>
          <w:between w:val="nil"/>
        </w:pBdr>
      </w:pPr>
    </w:p>
    <w:p w:rsidR="001E3BB7" w:rsidP="00440C47" w14:paraId="725F2A99" w14:textId="46A6D2F3">
      <w:pPr>
        <w:widowControl/>
        <w:pBdr>
          <w:top w:val="nil"/>
          <w:left w:val="nil"/>
          <w:bottom w:val="nil"/>
          <w:right w:val="nil"/>
          <w:between w:val="nil"/>
        </w:pBdr>
      </w:pPr>
      <w:r w:rsidRPr="00EA39B8">
        <w:t xml:space="preserve">While </w:t>
      </w:r>
      <w:r w:rsidR="001464E6">
        <w:t>VMS</w:t>
      </w:r>
      <w:r w:rsidRPr="00EA39B8" w:rsidR="001464E6">
        <w:t xml:space="preserve"> </w:t>
      </w:r>
      <w:r w:rsidR="00F4352A">
        <w:t>requirements</w:t>
      </w:r>
      <w:r w:rsidRPr="00EA39B8" w:rsidR="00F4352A">
        <w:t xml:space="preserve"> </w:t>
      </w:r>
      <w:r w:rsidR="001464E6">
        <w:t>would</w:t>
      </w:r>
      <w:r w:rsidRPr="00EA39B8" w:rsidR="001464E6">
        <w:t xml:space="preserve"> </w:t>
      </w:r>
      <w:r w:rsidRPr="00EA39B8">
        <w:t xml:space="preserve">increase costs to commercial fishery participants, </w:t>
      </w:r>
      <w:r w:rsidR="00F4352A">
        <w:t>they</w:t>
      </w:r>
      <w:r w:rsidRPr="00EA39B8">
        <w:t xml:space="preserve"> are required by NMFS to manage the fishery and prevent overfishing. Specific consideration was given in their development to minimize burden to the extent practicable while also providing required information to Federal fishery managers in a timely manner. All entities that would be directly regulated by this action could also choose to continue participating in only the State waters fisheries to avoid being subject to these Federal requirements.</w:t>
      </w:r>
    </w:p>
    <w:p w:rsidR="00440C47" w:rsidP="00440C47" w14:paraId="1F054FD8" w14:textId="76D496F6">
      <w:pPr>
        <w:widowControl/>
        <w:pBdr>
          <w:top w:val="nil"/>
          <w:left w:val="nil"/>
          <w:bottom w:val="nil"/>
          <w:right w:val="nil"/>
          <w:between w:val="nil"/>
        </w:pBdr>
      </w:pPr>
    </w:p>
    <w:p w:rsidR="005331CC" w:rsidP="00440C47" w14:paraId="1C210CEB" w14:textId="11022463">
      <w:pPr>
        <w:widowControl/>
        <w:pBdr>
          <w:top w:val="nil"/>
          <w:left w:val="nil"/>
          <w:bottom w:val="nil"/>
          <w:right w:val="nil"/>
          <w:between w:val="nil"/>
        </w:pBdr>
        <w:rPr>
          <w:rFonts w:eastAsia="Arial"/>
          <w:lang w:bidi="en-US"/>
        </w:rPr>
      </w:pPr>
      <w:r>
        <w:t xml:space="preserve">Some </w:t>
      </w:r>
      <w:r w:rsidRPr="00D3761B">
        <w:t>vessel operators have already acquired VMS un</w:t>
      </w:r>
      <w:r>
        <w:t>its under existing VMS programs</w:t>
      </w:r>
      <w:r w:rsidR="0061645B">
        <w:t xml:space="preserve">; </w:t>
      </w:r>
      <w:r w:rsidR="00F4352A">
        <w:t>therefore, these vessels are already included in the</w:t>
      </w:r>
      <w:r w:rsidR="000A7659">
        <w:t xml:space="preserve"> number of respondents and responses </w:t>
      </w:r>
      <w:r w:rsidR="00F4352A">
        <w:t>in this information collection</w:t>
      </w:r>
      <w:r w:rsidRPr="00D3761B">
        <w:t>.</w:t>
      </w:r>
      <w:r w:rsidR="00F4352A">
        <w:t xml:space="preserve"> NMFS expects that</w:t>
      </w:r>
      <w:r w:rsidRPr="00531C98" w:rsidR="005E25A2">
        <w:rPr>
          <w:rFonts w:eastAsia="Arial"/>
          <w:lang w:bidi="en-US"/>
        </w:rPr>
        <w:t xml:space="preserve"> all vessel op</w:t>
      </w:r>
      <w:r w:rsidR="005E25A2">
        <w:rPr>
          <w:rFonts w:eastAsia="Arial"/>
          <w:lang w:bidi="en-US"/>
        </w:rPr>
        <w:t xml:space="preserve">erators participating in the </w:t>
      </w:r>
      <w:r w:rsidRPr="0061645B" w:rsidR="0061645B">
        <w:rPr>
          <w:rFonts w:eastAsia="Arial"/>
          <w:lang w:bidi="en-US"/>
        </w:rPr>
        <w:t xml:space="preserve">Cook Inlet EEZ </w:t>
      </w:r>
      <w:r w:rsidR="0061645B">
        <w:rPr>
          <w:rFonts w:eastAsia="Arial"/>
          <w:lang w:bidi="en-US"/>
        </w:rPr>
        <w:t xml:space="preserve">commercial </w:t>
      </w:r>
      <w:r w:rsidRPr="00531C98" w:rsidR="005E25A2">
        <w:rPr>
          <w:rFonts w:eastAsia="Arial"/>
          <w:lang w:bidi="en-US"/>
        </w:rPr>
        <w:t xml:space="preserve">salmon drift gillnet fishery </w:t>
      </w:r>
      <w:r>
        <w:rPr>
          <w:rFonts w:eastAsia="Arial"/>
          <w:lang w:bidi="en-US"/>
        </w:rPr>
        <w:t>that have not</w:t>
      </w:r>
      <w:r w:rsidR="004B32BE">
        <w:rPr>
          <w:rFonts w:eastAsia="Arial"/>
          <w:lang w:bidi="en-US"/>
        </w:rPr>
        <w:t xml:space="preserve"> yet</w:t>
      </w:r>
      <w:r>
        <w:rPr>
          <w:rFonts w:eastAsia="Arial"/>
          <w:lang w:bidi="en-US"/>
        </w:rPr>
        <w:t xml:space="preserve"> had a VMS unit installed would qualify for </w:t>
      </w:r>
      <w:r w:rsidRPr="005331CC">
        <w:rPr>
          <w:rFonts w:eastAsia="Arial"/>
          <w:lang w:bidi="en-US"/>
        </w:rPr>
        <w:t xml:space="preserve">reimbursement </w:t>
      </w:r>
      <w:r>
        <w:rPr>
          <w:rFonts w:eastAsia="Arial"/>
          <w:lang w:bidi="en-US"/>
        </w:rPr>
        <w:t xml:space="preserve">of purchase of their initial unit </w:t>
      </w:r>
      <w:r w:rsidRPr="005331CC">
        <w:rPr>
          <w:rFonts w:eastAsia="Arial"/>
          <w:lang w:bidi="en-US"/>
        </w:rPr>
        <w:t xml:space="preserve">under </w:t>
      </w:r>
      <w:r>
        <w:rPr>
          <w:rFonts w:eastAsia="Arial"/>
          <w:lang w:bidi="en-US"/>
        </w:rPr>
        <w:t xml:space="preserve">the </w:t>
      </w:r>
      <w:r w:rsidRPr="005331CC">
        <w:rPr>
          <w:rFonts w:eastAsia="Arial"/>
          <w:lang w:bidi="en-US"/>
        </w:rPr>
        <w:t>VMS Reimbursement Program</w:t>
      </w:r>
      <w:r>
        <w:rPr>
          <w:rFonts w:eastAsia="Arial"/>
          <w:lang w:bidi="en-US"/>
        </w:rPr>
        <w:t>.</w:t>
      </w:r>
    </w:p>
    <w:p w:rsidR="005331CC" w:rsidP="00440C47" w14:paraId="1EAD4F2A" w14:textId="77777777">
      <w:pPr>
        <w:widowControl/>
        <w:pBdr>
          <w:top w:val="nil"/>
          <w:left w:val="nil"/>
          <w:bottom w:val="nil"/>
          <w:right w:val="nil"/>
          <w:between w:val="nil"/>
        </w:pBdr>
        <w:rPr>
          <w:rFonts w:eastAsia="Arial"/>
          <w:lang w:bidi="en-US"/>
        </w:rPr>
      </w:pPr>
    </w:p>
    <w:p w:rsidR="00774BBC" w:rsidP="008621E7" w14:paraId="0012CEE5" w14:textId="77777777">
      <w:pPr>
        <w:pStyle w:val="Heading1"/>
        <w:widowControl/>
        <w:numPr>
          <w:ilvl w:val="0"/>
          <w:numId w:val="3"/>
        </w:numPr>
        <w:tabs>
          <w:tab w:val="left" w:pos="360"/>
        </w:tabs>
        <w:spacing w:before="0"/>
        <w:ind w:left="0" w:firstLine="0"/>
      </w:pPr>
      <w:r w:rsidRPr="004908C0">
        <w:t xml:space="preserve">Indicate how, by whom, and for what purpose the information is to be used. Except for a new </w:t>
      </w:r>
      <w:r>
        <w:t>collection, indicate the actual use the agency has made of the information received from the current collection.</w:t>
      </w:r>
    </w:p>
    <w:p w:rsidR="00813015" w:rsidP="008621E7" w14:paraId="008D4229" w14:textId="77777777">
      <w:pPr>
        <w:widowControl/>
        <w:autoSpaceDE w:val="0"/>
        <w:autoSpaceDN w:val="0"/>
        <w:contextualSpacing/>
        <w:rPr>
          <w:rFonts w:eastAsia="Arial"/>
          <w:color w:val="000000"/>
          <w:lang w:bidi="en-US"/>
        </w:rPr>
      </w:pPr>
    </w:p>
    <w:p w:rsidR="008D79EB" w:rsidRPr="008D79EB" w:rsidP="008621E7" w14:paraId="225F57C4" w14:textId="11C2FDBF">
      <w:pPr>
        <w:widowControl/>
        <w:autoSpaceDE w:val="0"/>
        <w:autoSpaceDN w:val="0"/>
        <w:contextualSpacing/>
        <w:rPr>
          <w:rFonts w:eastAsia="Arial"/>
          <w:bCs/>
          <w:color w:val="000000"/>
          <w:lang w:bidi="en-US"/>
        </w:rPr>
      </w:pPr>
      <w:r w:rsidRPr="008D79EB">
        <w:rPr>
          <w:rFonts w:eastAsia="Arial"/>
          <w:color w:val="000000"/>
          <w:lang w:bidi="en-US"/>
        </w:rPr>
        <w:t xml:space="preserve">Table 1 summarizes the VMS requirements by providing information about who must provide vessel location information to NMFS through VMS, references for the regulatory requirements, and a brief explanation of the reason for the VMS requirement. The statues to that apply to all the requirements described below are governed by </w:t>
      </w:r>
      <w:hyperlink r:id="rId11" w:history="1">
        <w:r w:rsidRPr="008D79EB">
          <w:rPr>
            <w:rFonts w:eastAsia="Arial"/>
            <w:bCs/>
            <w:color w:val="000000"/>
            <w:lang w:bidi="en-US"/>
          </w:rPr>
          <w:t>Magnuson-Stevens Fishery Conservation and Management Act</w:t>
        </w:r>
      </w:hyperlink>
      <w:r w:rsidRPr="008D79EB">
        <w:rPr>
          <w:rFonts w:eastAsia="Arial"/>
          <w:bCs/>
          <w:color w:val="000000"/>
          <w:lang w:bidi="en-US"/>
        </w:rPr>
        <w:t xml:space="preserve">, 16 U.S.C. 1801 </w:t>
      </w:r>
      <w:r w:rsidRPr="008D79EB">
        <w:rPr>
          <w:rFonts w:eastAsia="Arial"/>
          <w:bCs/>
          <w:i/>
          <w:color w:val="000000"/>
          <w:lang w:bidi="en-US"/>
        </w:rPr>
        <w:t>et seq</w:t>
      </w:r>
      <w:r w:rsidRPr="008D79EB">
        <w:rPr>
          <w:rFonts w:eastAsia="Arial"/>
          <w:bCs/>
          <w:color w:val="000000"/>
          <w:lang w:bidi="en-US"/>
        </w:rPr>
        <w:t xml:space="preserve">. and The </w:t>
      </w:r>
      <w:hyperlink r:id="rId12" w:history="1">
        <w:r w:rsidRPr="008D79EB">
          <w:rPr>
            <w:rFonts w:eastAsia="Arial"/>
            <w:bCs/>
            <w:color w:val="000000"/>
            <w:lang w:bidi="en-US"/>
          </w:rPr>
          <w:t>Northern Pacific Halibut Act of 1982</w:t>
        </w:r>
      </w:hyperlink>
      <w:r w:rsidRPr="008D79EB">
        <w:rPr>
          <w:rFonts w:eastAsia="Arial"/>
          <w:bCs/>
          <w:color w:val="000000"/>
          <w:lang w:bidi="en-US"/>
        </w:rPr>
        <w:t xml:space="preserve"> at 16 U.S.C. 773–773k a</w:t>
      </w:r>
      <w:r w:rsidR="006D5562">
        <w:rPr>
          <w:rFonts w:eastAsia="Arial"/>
          <w:bCs/>
          <w:color w:val="000000"/>
          <w:lang w:bidi="en-US"/>
        </w:rPr>
        <w:t xml:space="preserve">nd are not added to the table. </w:t>
      </w:r>
      <w:r w:rsidRPr="008D79EB">
        <w:rPr>
          <w:rFonts w:eastAsia="Arial"/>
          <w:bCs/>
          <w:color w:val="000000"/>
          <w:lang w:bidi="en-US"/>
        </w:rPr>
        <w:t>No forms are required for these requirements.</w:t>
      </w:r>
    </w:p>
    <w:p w:rsidR="008D79EB" w:rsidRPr="008D79EB" w:rsidP="008621E7" w14:paraId="05F4870D" w14:textId="77777777">
      <w:pPr>
        <w:widowControl/>
        <w:autoSpaceDE w:val="0"/>
        <w:autoSpaceDN w:val="0"/>
        <w:contextualSpacing/>
        <w:rPr>
          <w:rFonts w:eastAsia="Arial"/>
          <w:sz w:val="22"/>
          <w:szCs w:val="22"/>
          <w:lang w:bidi="en-US"/>
        </w:rPr>
      </w:pPr>
    </w:p>
    <w:p w:rsidR="008D79EB" w:rsidRPr="008D79EB" w:rsidP="008621E7" w14:paraId="10EDC223" w14:textId="77777777">
      <w:pPr>
        <w:keepNext/>
        <w:widowControl/>
        <w:tabs>
          <w:tab w:val="left" w:pos="720"/>
        </w:tabs>
        <w:autoSpaceDE w:val="0"/>
        <w:autoSpaceDN w:val="0"/>
        <w:contextualSpacing/>
        <w:rPr>
          <w:rFonts w:eastAsia="Arial"/>
          <w:bCs/>
          <w:color w:val="000000"/>
          <w:lang w:bidi="en-US"/>
        </w:rPr>
      </w:pPr>
      <w:r w:rsidRPr="002F7F8D">
        <w:rPr>
          <w:rFonts w:eastAsia="Arial"/>
          <w:bCs/>
          <w:color w:val="000000"/>
          <w:lang w:bidi="en-US"/>
        </w:rPr>
        <w:t>Table 1. VMS Requirements in the Federally Managed Fisheries Off Alaska.</w:t>
      </w:r>
      <w:r>
        <w:rPr>
          <w:rFonts w:eastAsia="Arial"/>
          <w:bCs/>
          <w:color w:val="000000"/>
          <w:vertAlign w:val="superscript"/>
          <w:lang w:bidi="en-US"/>
        </w:rPr>
        <w:footnoteReference w:id="2"/>
      </w: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
      <w:tblGrid>
        <w:gridCol w:w="4174"/>
        <w:gridCol w:w="2719"/>
        <w:gridCol w:w="3083"/>
      </w:tblGrid>
      <w:tr w14:paraId="768B9FB9" w14:textId="77777777" w:rsidTr="00DB03AD">
        <w:tblPrEx>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Ex>
        <w:trPr>
          <w:cantSplit/>
          <w:trHeight w:val="566"/>
          <w:tblHeader/>
        </w:trPr>
        <w:tc>
          <w:tcPr>
            <w:tcW w:w="2092" w:type="pct"/>
            <w:shd w:val="clear" w:color="auto" w:fill="C6D9F0" w:themeFill="text2" w:themeFillTint="33"/>
            <w:vAlign w:val="center"/>
          </w:tcPr>
          <w:p w:rsidR="008D79EB" w:rsidRPr="00DB03AD" w:rsidP="008621E7" w14:paraId="0C3D65FA" w14:textId="77777777">
            <w:pPr>
              <w:keepNext/>
              <w:widowControl/>
              <w:tabs>
                <w:tab w:val="left" w:pos="720"/>
              </w:tabs>
              <w:autoSpaceDE w:val="0"/>
              <w:autoSpaceDN w:val="0"/>
              <w:contextualSpacing/>
              <w:jc w:val="center"/>
              <w:rPr>
                <w:rFonts w:eastAsia="Arial" w:asciiTheme="minorHAnsi" w:hAnsiTheme="minorHAnsi" w:cstheme="minorHAnsi"/>
                <w:b/>
                <w:color w:val="000000"/>
                <w:sz w:val="18"/>
                <w:szCs w:val="18"/>
                <w:lang w:bidi="en-US"/>
              </w:rPr>
            </w:pPr>
            <w:r w:rsidRPr="00DB03AD">
              <w:rPr>
                <w:rFonts w:eastAsia="Arial" w:asciiTheme="minorHAnsi" w:hAnsiTheme="minorHAnsi" w:cstheme="minorHAnsi"/>
                <w:b/>
                <w:color w:val="000000"/>
                <w:sz w:val="18"/>
                <w:szCs w:val="18"/>
                <w:lang w:bidi="en-US"/>
              </w:rPr>
              <w:t>Who is required to carry an operational VMS?</w:t>
            </w:r>
          </w:p>
        </w:tc>
        <w:tc>
          <w:tcPr>
            <w:tcW w:w="1363" w:type="pct"/>
            <w:shd w:val="clear" w:color="auto" w:fill="C6D9F0" w:themeFill="text2" w:themeFillTint="33"/>
            <w:vAlign w:val="center"/>
          </w:tcPr>
          <w:p w:rsidR="008D79EB" w:rsidRPr="00DB03AD" w:rsidP="008621E7" w14:paraId="6FDEBA56" w14:textId="77777777">
            <w:pPr>
              <w:keepNext/>
              <w:widowControl/>
              <w:tabs>
                <w:tab w:val="left" w:pos="720"/>
              </w:tabs>
              <w:autoSpaceDE w:val="0"/>
              <w:autoSpaceDN w:val="0"/>
              <w:contextualSpacing/>
              <w:jc w:val="center"/>
              <w:rPr>
                <w:rFonts w:eastAsia="Arial" w:asciiTheme="minorHAnsi" w:hAnsiTheme="minorHAnsi" w:cstheme="minorHAnsi"/>
                <w:b/>
                <w:color w:val="000000"/>
                <w:sz w:val="18"/>
                <w:szCs w:val="18"/>
                <w:lang w:bidi="en-US"/>
              </w:rPr>
            </w:pPr>
            <w:r w:rsidRPr="00DB03AD">
              <w:rPr>
                <w:rFonts w:eastAsia="Arial" w:asciiTheme="minorHAnsi" w:hAnsiTheme="minorHAnsi" w:cstheme="minorHAnsi"/>
                <w:b/>
                <w:color w:val="000000"/>
                <w:sz w:val="18"/>
                <w:szCs w:val="18"/>
                <w:lang w:bidi="en-US"/>
              </w:rPr>
              <w:t>Regulatory reference</w:t>
            </w:r>
          </w:p>
          <w:p w:rsidR="00CE3C1B" w:rsidRPr="00DB03AD" w:rsidP="008621E7" w14:paraId="2A7DD035" w14:textId="0E051FC6">
            <w:pPr>
              <w:keepNext/>
              <w:widowControl/>
              <w:tabs>
                <w:tab w:val="left" w:pos="720"/>
              </w:tabs>
              <w:autoSpaceDE w:val="0"/>
              <w:autoSpaceDN w:val="0"/>
              <w:contextualSpacing/>
              <w:jc w:val="center"/>
              <w:rPr>
                <w:rFonts w:eastAsia="Arial" w:asciiTheme="minorHAnsi" w:hAnsiTheme="minorHAnsi" w:cstheme="minorHAnsi"/>
                <w:b/>
                <w:bCs/>
                <w:color w:val="000000"/>
                <w:sz w:val="18"/>
                <w:szCs w:val="18"/>
                <w:lang w:bidi="en-US"/>
              </w:rPr>
            </w:pPr>
            <w:r w:rsidRPr="00DB03AD">
              <w:rPr>
                <w:rFonts w:eastAsia="Arial" w:asciiTheme="minorHAnsi" w:hAnsiTheme="minorHAnsi" w:cstheme="minorHAnsi"/>
                <w:b/>
                <w:color w:val="000000"/>
                <w:sz w:val="18"/>
                <w:szCs w:val="18"/>
                <w:lang w:bidi="en-US"/>
              </w:rPr>
              <w:t>50 CFR</w:t>
            </w:r>
          </w:p>
        </w:tc>
        <w:tc>
          <w:tcPr>
            <w:tcW w:w="1545" w:type="pct"/>
            <w:shd w:val="clear" w:color="auto" w:fill="C6D9F0" w:themeFill="text2" w:themeFillTint="33"/>
            <w:vAlign w:val="center"/>
          </w:tcPr>
          <w:p w:rsidR="008D79EB" w:rsidRPr="00DB03AD" w:rsidP="008621E7" w14:paraId="37A9576C" w14:textId="77777777">
            <w:pPr>
              <w:keepNext/>
              <w:widowControl/>
              <w:tabs>
                <w:tab w:val="left" w:pos="720"/>
              </w:tabs>
              <w:autoSpaceDE w:val="0"/>
              <w:autoSpaceDN w:val="0"/>
              <w:contextualSpacing/>
              <w:jc w:val="center"/>
              <w:rPr>
                <w:rFonts w:eastAsia="Arial" w:asciiTheme="minorHAnsi" w:hAnsiTheme="minorHAnsi" w:cstheme="minorHAnsi"/>
                <w:b/>
                <w:bCs/>
                <w:color w:val="000000"/>
                <w:sz w:val="18"/>
                <w:szCs w:val="18"/>
                <w:lang w:bidi="en-US"/>
              </w:rPr>
            </w:pPr>
            <w:r w:rsidRPr="00DB03AD">
              <w:rPr>
                <w:rFonts w:eastAsia="Arial" w:asciiTheme="minorHAnsi" w:hAnsiTheme="minorHAnsi" w:cstheme="minorHAnsi"/>
                <w:b/>
                <w:color w:val="000000"/>
                <w:sz w:val="18"/>
                <w:szCs w:val="18"/>
                <w:lang w:bidi="en-US"/>
              </w:rPr>
              <w:t>Needs and Uses</w:t>
            </w:r>
          </w:p>
        </w:tc>
      </w:tr>
      <w:tr w14:paraId="6AC81BCE" w14:textId="77777777" w:rsidTr="00DB03AD">
        <w:tblPrEx>
          <w:tblW w:w="5335" w:type="pct"/>
          <w:tblLook w:val="07A0"/>
        </w:tblPrEx>
        <w:trPr>
          <w:cantSplit/>
        </w:trPr>
        <w:tc>
          <w:tcPr>
            <w:tcW w:w="2092" w:type="pct"/>
          </w:tcPr>
          <w:p w:rsidR="008D79EB" w:rsidRPr="008D79EB" w:rsidP="008621E7" w14:paraId="657B8613"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Vessels that operate in a Federal reporting area when the vessel is authorized to participate in the Atka mackerel, Pacific cod, or pollock directed fisheries and the vessel’s authorized species and gear type is open to directed fishing. These VMS requirements do not apply to vessels using jig gear.</w:t>
            </w:r>
          </w:p>
        </w:tc>
        <w:tc>
          <w:tcPr>
            <w:tcW w:w="1363" w:type="pct"/>
            <w:vAlign w:val="center"/>
          </w:tcPr>
          <w:p w:rsidR="008D79EB" w:rsidRPr="008D79EB" w:rsidP="008621E7" w14:paraId="4ED36922" w14:textId="7AB37DF0">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Pr>
                <w:rFonts w:eastAsia="Arial" w:asciiTheme="minorHAnsi" w:hAnsiTheme="minorHAnsi" w:cstheme="minorHAnsi"/>
                <w:color w:val="000000"/>
                <w:sz w:val="18"/>
                <w:szCs w:val="18"/>
                <w:lang w:bidi="en-US"/>
              </w:rPr>
              <w:t>§</w:t>
            </w:r>
            <w:r w:rsidRPr="008D79EB">
              <w:rPr>
                <w:rFonts w:eastAsia="Arial" w:asciiTheme="minorHAnsi" w:hAnsiTheme="minorHAnsi" w:cstheme="minorHAnsi"/>
                <w:color w:val="000000"/>
                <w:sz w:val="18"/>
                <w:szCs w:val="18"/>
                <w:lang w:bidi="en-US"/>
              </w:rPr>
              <w:t xml:space="preserve"> </w:t>
            </w:r>
            <w:hyperlink r:id="rId13" w:anchor="p-679.7(a)(18)" w:history="1">
              <w:r w:rsidRPr="00E2461C">
                <w:rPr>
                  <w:rStyle w:val="Hyperlink"/>
                  <w:rFonts w:eastAsia="Arial" w:asciiTheme="minorHAnsi" w:hAnsiTheme="minorHAnsi" w:cstheme="minorHAnsi"/>
                  <w:sz w:val="18"/>
                  <w:szCs w:val="18"/>
                  <w:lang w:bidi="en-US"/>
                </w:rPr>
                <w:t>679.7(a)(18)</w:t>
              </w:r>
            </w:hyperlink>
            <w:r w:rsidRPr="008D79EB">
              <w:rPr>
                <w:rFonts w:eastAsia="Arial" w:asciiTheme="minorHAnsi" w:hAnsiTheme="minorHAnsi" w:cstheme="minorHAnsi"/>
                <w:color w:val="000000"/>
                <w:sz w:val="18"/>
                <w:szCs w:val="18"/>
                <w:lang w:bidi="en-US"/>
              </w:rPr>
              <w:t>, instruction</w:t>
            </w:r>
            <w:r w:rsidR="00A62AE4">
              <w:rPr>
                <w:rFonts w:eastAsia="Arial" w:asciiTheme="minorHAnsi" w:hAnsiTheme="minorHAnsi" w:cstheme="minorHAnsi"/>
                <w:color w:val="000000"/>
                <w:sz w:val="18"/>
                <w:szCs w:val="18"/>
                <w:lang w:bidi="en-US"/>
              </w:rPr>
              <w:t xml:space="preserve">s for Federal Fisheries Permit </w:t>
            </w:r>
            <w:r w:rsidRPr="008D79EB">
              <w:rPr>
                <w:rFonts w:eastAsia="Arial" w:asciiTheme="minorHAnsi" w:hAnsiTheme="minorHAnsi" w:cstheme="minorHAnsi"/>
                <w:color w:val="000000"/>
                <w:sz w:val="18"/>
                <w:szCs w:val="18"/>
                <w:lang w:bidi="en-US"/>
              </w:rPr>
              <w:t xml:space="preserve">application form, and </w:t>
            </w:r>
            <w:hyperlink r:id="rId14" w:anchor="p-679.28(f)(6)(i)" w:history="1">
              <w:r>
                <w:rPr>
                  <w:rStyle w:val="Hyperlink"/>
                  <w:rFonts w:eastAsia="Arial" w:asciiTheme="minorHAnsi" w:hAnsiTheme="minorHAnsi" w:cstheme="minorHAnsi"/>
                  <w:sz w:val="18"/>
                  <w:szCs w:val="18"/>
                  <w:lang w:bidi="en-US"/>
                </w:rPr>
                <w:t>§ 679.28(f)(6)(</w:t>
              </w:r>
              <w:r>
                <w:rPr>
                  <w:rStyle w:val="Hyperlink"/>
                  <w:rFonts w:eastAsia="Arial" w:asciiTheme="minorHAnsi" w:hAnsiTheme="minorHAnsi" w:cstheme="minorHAnsi"/>
                  <w:sz w:val="18"/>
                  <w:szCs w:val="18"/>
                  <w:lang w:bidi="en-US"/>
                </w:rPr>
                <w:t>i</w:t>
              </w:r>
              <w:r>
                <w:rPr>
                  <w:rStyle w:val="Hyperlink"/>
                  <w:rFonts w:eastAsia="Arial" w:asciiTheme="minorHAnsi" w:hAnsiTheme="minorHAnsi" w:cstheme="minorHAnsi"/>
                  <w:sz w:val="18"/>
                  <w:szCs w:val="18"/>
                  <w:lang w:bidi="en-US"/>
                </w:rPr>
                <w:t>)</w:t>
              </w:r>
            </w:hyperlink>
          </w:p>
        </w:tc>
        <w:tc>
          <w:tcPr>
            <w:tcW w:w="1545" w:type="pct"/>
            <w:vAlign w:val="center"/>
          </w:tcPr>
          <w:p w:rsidR="008D79EB" w:rsidRPr="008D79EB" w:rsidP="008621E7" w14:paraId="1F751C37"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To monitor compliance with time and area closures to protect Steller Sea lions. </w:t>
            </w:r>
          </w:p>
        </w:tc>
      </w:tr>
      <w:tr w14:paraId="20DBEC1A" w14:textId="77777777" w:rsidTr="00DB03AD">
        <w:tblPrEx>
          <w:tblW w:w="5335" w:type="pct"/>
          <w:tblLook w:val="07A0"/>
        </w:tblPrEx>
        <w:trPr>
          <w:cantSplit/>
        </w:trPr>
        <w:tc>
          <w:tcPr>
            <w:tcW w:w="2092" w:type="pct"/>
            <w:vAlign w:val="center"/>
          </w:tcPr>
          <w:p w:rsidR="008D79EB" w:rsidRPr="008D79EB" w:rsidP="008621E7" w14:paraId="19DFA606" w14:textId="5E9C1993">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Vessels named on a Federal Fisheries Permit</w:t>
            </w:r>
            <w:r w:rsidR="00DB03AD">
              <w:rPr>
                <w:rFonts w:eastAsia="Arial" w:asciiTheme="minorHAnsi" w:hAnsiTheme="minorHAnsi" w:cstheme="minorHAnsi"/>
                <w:color w:val="000000"/>
                <w:sz w:val="18"/>
                <w:szCs w:val="18"/>
                <w:lang w:bidi="en-US"/>
              </w:rPr>
              <w:t xml:space="preserve"> </w:t>
            </w:r>
            <w:r w:rsidRPr="008D79EB">
              <w:rPr>
                <w:rFonts w:eastAsia="Arial" w:asciiTheme="minorHAnsi" w:hAnsiTheme="minorHAnsi" w:cstheme="minorHAnsi"/>
                <w:color w:val="000000"/>
                <w:sz w:val="18"/>
                <w:szCs w:val="18"/>
                <w:lang w:bidi="en-US"/>
              </w:rPr>
              <w:t>or Federal Crab Vessel Permit while operating in the Aleutian Islands subarea or operating a federally permitted vessel</w:t>
            </w:r>
            <w:r>
              <w:rPr>
                <w:rFonts w:eastAsia="Arial" w:asciiTheme="minorHAnsi" w:hAnsiTheme="minorHAnsi" w:cstheme="minorHAnsi"/>
                <w:color w:val="000000"/>
                <w:sz w:val="18"/>
                <w:szCs w:val="18"/>
                <w:vertAlign w:val="superscript"/>
                <w:lang w:bidi="en-US"/>
              </w:rPr>
              <w:footnoteReference w:id="3"/>
            </w:r>
            <w:r w:rsidRPr="008D79EB">
              <w:rPr>
                <w:rFonts w:eastAsia="Arial" w:asciiTheme="minorHAnsi" w:hAnsiTheme="minorHAnsi" w:cstheme="minorHAnsi"/>
                <w:color w:val="000000"/>
                <w:sz w:val="18"/>
                <w:szCs w:val="18"/>
                <w:lang w:bidi="en-US"/>
              </w:rPr>
              <w:t xml:space="preserve"> in adjacent State of Alaska waters. In addition, vessels using trawl gear in the Aleutian Islands must set their VMS to transmit vessel location at least 10 times per hour.</w:t>
            </w:r>
          </w:p>
        </w:tc>
        <w:tc>
          <w:tcPr>
            <w:tcW w:w="1363" w:type="pct"/>
            <w:vAlign w:val="center"/>
          </w:tcPr>
          <w:p w:rsidR="008D79EB" w:rsidRPr="008D79EB" w:rsidP="008621E7" w14:paraId="33F0F525" w14:textId="09E56260">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3" w:anchor="p-679.7(a)(21)" w:history="1">
              <w:r w:rsidRPr="00E2461C">
                <w:rPr>
                  <w:rStyle w:val="Hyperlink"/>
                  <w:rFonts w:eastAsia="Arial" w:asciiTheme="minorHAnsi" w:hAnsiTheme="minorHAnsi" w:cstheme="minorHAnsi"/>
                  <w:sz w:val="18"/>
                  <w:szCs w:val="18"/>
                  <w:lang w:bidi="en-US"/>
                </w:rPr>
                <w:t>679.7(a)(21)</w:t>
              </w:r>
            </w:hyperlink>
            <w:r w:rsidRPr="008D79EB">
              <w:rPr>
                <w:rFonts w:eastAsia="Arial" w:asciiTheme="minorHAnsi" w:hAnsiTheme="minorHAnsi" w:cstheme="minorHAnsi"/>
                <w:color w:val="000000"/>
                <w:sz w:val="18"/>
                <w:szCs w:val="18"/>
                <w:lang w:bidi="en-US"/>
              </w:rPr>
              <w:t xml:space="preserve">, </w:t>
            </w:r>
            <w:hyperlink r:id="rId14" w:anchor="p-679.28(f)(6)(ii)" w:history="1">
              <w:r w:rsidRPr="00E2461C">
                <w:rPr>
                  <w:rStyle w:val="Hyperlink"/>
                  <w:rFonts w:eastAsia="Arial" w:asciiTheme="minorHAnsi" w:hAnsiTheme="minorHAnsi" w:cstheme="minorHAnsi"/>
                  <w:sz w:val="18"/>
                  <w:szCs w:val="18"/>
                  <w:lang w:bidi="en-US"/>
                </w:rPr>
                <w:t>679.28(f)(6)(ii)</w:t>
              </w:r>
            </w:hyperlink>
            <w:r w:rsidRPr="008D79EB">
              <w:rPr>
                <w:rFonts w:eastAsia="Arial" w:asciiTheme="minorHAnsi" w:hAnsiTheme="minorHAnsi" w:cstheme="minorHAnsi"/>
                <w:color w:val="000000"/>
                <w:sz w:val="18"/>
                <w:szCs w:val="18"/>
                <w:lang w:bidi="en-US"/>
              </w:rPr>
              <w:t xml:space="preserve"> and </w:t>
            </w:r>
            <w:hyperlink r:id="rId14" w:anchor="p-679.28(f)(6)(ix)" w:history="1">
              <w:r w:rsidRPr="00E2461C">
                <w:rPr>
                  <w:rStyle w:val="Hyperlink"/>
                  <w:rFonts w:eastAsia="Arial" w:asciiTheme="minorHAnsi" w:hAnsiTheme="minorHAnsi" w:cstheme="minorHAnsi"/>
                  <w:sz w:val="18"/>
                  <w:szCs w:val="18"/>
                  <w:lang w:bidi="en-US"/>
                </w:rPr>
                <w:t>(f)(6)(ix)</w:t>
              </w:r>
            </w:hyperlink>
            <w:r w:rsidRPr="008D79EB">
              <w:rPr>
                <w:rFonts w:eastAsia="Arial" w:asciiTheme="minorHAnsi" w:hAnsiTheme="minorHAnsi" w:cstheme="minorHAnsi"/>
                <w:color w:val="000000"/>
                <w:sz w:val="18"/>
                <w:szCs w:val="18"/>
                <w:lang w:bidi="en-US"/>
              </w:rPr>
              <w:t xml:space="preserve">, </w:t>
            </w:r>
            <w:hyperlink r:id="rId14" w:anchor="p-679.28(f)(7)" w:history="1">
              <w:r w:rsidRPr="00E2461C">
                <w:rPr>
                  <w:rStyle w:val="Hyperlink"/>
                  <w:rFonts w:eastAsia="Arial" w:asciiTheme="minorHAnsi" w:hAnsiTheme="minorHAnsi" w:cstheme="minorHAnsi"/>
                  <w:sz w:val="18"/>
                  <w:szCs w:val="18"/>
                  <w:lang w:bidi="en-US"/>
                </w:rPr>
                <w:t>679.28(f)(7)</w:t>
              </w:r>
            </w:hyperlink>
          </w:p>
        </w:tc>
        <w:tc>
          <w:tcPr>
            <w:tcW w:w="1545" w:type="pct"/>
            <w:vAlign w:val="center"/>
          </w:tcPr>
          <w:p w:rsidR="008D79EB" w:rsidRPr="008D79EB" w:rsidP="008621E7" w14:paraId="3DF9526D"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To monitor compliance with area closures to protect Essential Fish Habitat. </w:t>
            </w:r>
          </w:p>
        </w:tc>
      </w:tr>
      <w:tr w14:paraId="3F714374" w14:textId="77777777" w:rsidTr="00DB03AD">
        <w:tblPrEx>
          <w:tblW w:w="5335" w:type="pct"/>
          <w:tblLook w:val="07A0"/>
        </w:tblPrEx>
        <w:trPr>
          <w:cantSplit/>
        </w:trPr>
        <w:tc>
          <w:tcPr>
            <w:tcW w:w="2092" w:type="pct"/>
            <w:vAlign w:val="center"/>
          </w:tcPr>
          <w:p w:rsidR="008D79EB" w:rsidRPr="008D79EB" w:rsidP="008621E7" w14:paraId="2FFD6661"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bCs/>
                <w:color w:val="000000"/>
                <w:sz w:val="18"/>
                <w:szCs w:val="18"/>
                <w:lang w:bidi="en-US"/>
              </w:rPr>
              <w:t>Vessels h</w:t>
            </w:r>
            <w:r w:rsidRPr="008D79EB">
              <w:rPr>
                <w:rFonts w:eastAsia="Arial" w:asciiTheme="minorHAnsi" w:hAnsiTheme="minorHAnsi" w:cstheme="minorHAnsi"/>
                <w:color w:val="000000"/>
                <w:sz w:val="18"/>
                <w:szCs w:val="18"/>
                <w:lang w:bidi="en-US"/>
              </w:rPr>
              <w:t xml:space="preserve">arvesting </w:t>
            </w:r>
            <w:r w:rsidRPr="008D79EB">
              <w:rPr>
                <w:rFonts w:eastAsia="Arial" w:asciiTheme="minorHAnsi" w:hAnsiTheme="minorHAnsi" w:cstheme="minorHAnsi"/>
                <w:bCs/>
                <w:color w:val="000000"/>
                <w:sz w:val="18"/>
                <w:szCs w:val="18"/>
                <w:lang w:bidi="en-US"/>
              </w:rPr>
              <w:t>Crab Rationalization Program crab in the Bering Sea.</w:t>
            </w:r>
          </w:p>
        </w:tc>
        <w:tc>
          <w:tcPr>
            <w:tcW w:w="1363" w:type="pct"/>
            <w:vAlign w:val="center"/>
          </w:tcPr>
          <w:p w:rsidR="008D79EB" w:rsidRPr="008D79EB" w:rsidP="008621E7" w14:paraId="274D7546" w14:textId="347B9D9D">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5" w:anchor="p-680.7(c)(2)" w:history="1">
              <w:r w:rsidRPr="00E2461C">
                <w:rPr>
                  <w:rStyle w:val="Hyperlink"/>
                  <w:rFonts w:eastAsia="Arial" w:asciiTheme="minorHAnsi" w:hAnsiTheme="minorHAnsi" w:cstheme="minorHAnsi"/>
                  <w:sz w:val="18"/>
                  <w:szCs w:val="18"/>
                  <w:lang w:bidi="en-US"/>
                </w:rPr>
                <w:t>680.7(c)(2)</w:t>
              </w:r>
            </w:hyperlink>
            <w:r w:rsidRPr="008D79EB">
              <w:rPr>
                <w:rFonts w:eastAsia="Arial" w:asciiTheme="minorHAnsi" w:hAnsiTheme="minorHAnsi" w:cstheme="minorHAnsi"/>
                <w:color w:val="000000"/>
                <w:sz w:val="18"/>
                <w:szCs w:val="18"/>
                <w:lang w:bidi="en-US"/>
              </w:rPr>
              <w:t xml:space="preserve"> and </w:t>
            </w:r>
            <w:hyperlink r:id="rId16" w:anchor="p-680.23(d)" w:history="1">
              <w:r w:rsidRPr="00E2461C">
                <w:rPr>
                  <w:rStyle w:val="Hyperlink"/>
                  <w:rFonts w:eastAsia="Arial" w:asciiTheme="minorHAnsi" w:hAnsiTheme="minorHAnsi" w:cstheme="minorHAnsi"/>
                  <w:sz w:val="18"/>
                  <w:szCs w:val="18"/>
                  <w:lang w:bidi="en-US"/>
                </w:rPr>
                <w:t>680.23(d)</w:t>
              </w:r>
            </w:hyperlink>
          </w:p>
        </w:tc>
        <w:tc>
          <w:tcPr>
            <w:tcW w:w="1545" w:type="pct"/>
            <w:vAlign w:val="center"/>
          </w:tcPr>
          <w:p w:rsidR="008D79EB" w:rsidRPr="008D79EB" w:rsidP="008621E7" w14:paraId="6198D6B2"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To monitor proper accounting of area-specific allocations. </w:t>
            </w:r>
          </w:p>
        </w:tc>
      </w:tr>
      <w:tr w14:paraId="0A343BB9" w14:textId="77777777" w:rsidTr="00DB03AD">
        <w:tblPrEx>
          <w:tblW w:w="5335" w:type="pct"/>
          <w:tblLook w:val="07A0"/>
        </w:tblPrEx>
        <w:trPr>
          <w:cantSplit/>
        </w:trPr>
        <w:tc>
          <w:tcPr>
            <w:tcW w:w="2092" w:type="pct"/>
            <w:vAlign w:val="center"/>
          </w:tcPr>
          <w:p w:rsidR="008D79EB" w:rsidRPr="008D79EB" w:rsidP="008621E7" w14:paraId="77359C58"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Federally permitted vessels operating in the GOA with non-pelagic trawl or dredge gear on board.</w:t>
            </w:r>
          </w:p>
        </w:tc>
        <w:tc>
          <w:tcPr>
            <w:tcW w:w="1363" w:type="pct"/>
            <w:vAlign w:val="center"/>
          </w:tcPr>
          <w:p w:rsidR="008D79EB" w:rsidRPr="008D79EB" w:rsidP="008621E7" w14:paraId="5EBBC8B0" w14:textId="58340828">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3" w:anchor="p-679.7(a)(22)" w:history="1">
              <w:r w:rsidRPr="00A154FE">
                <w:rPr>
                  <w:rStyle w:val="Hyperlink"/>
                  <w:rFonts w:eastAsia="Arial" w:asciiTheme="minorHAnsi" w:hAnsiTheme="minorHAnsi" w:cstheme="minorHAnsi"/>
                  <w:sz w:val="18"/>
                  <w:szCs w:val="18"/>
                  <w:lang w:bidi="en-US"/>
                </w:rPr>
                <w:t>679.7(a)(22)</w:t>
              </w:r>
            </w:hyperlink>
            <w:r w:rsidRPr="008D79EB">
              <w:rPr>
                <w:rFonts w:eastAsia="Arial" w:asciiTheme="minorHAnsi" w:hAnsiTheme="minorHAnsi" w:cstheme="minorHAnsi"/>
                <w:color w:val="000000"/>
                <w:sz w:val="18"/>
                <w:szCs w:val="18"/>
                <w:lang w:bidi="en-US"/>
              </w:rPr>
              <w:t xml:space="preserve">, </w:t>
            </w:r>
            <w:hyperlink r:id="rId14" w:anchor="p-679.28(f)(6)(iii)" w:history="1">
              <w:r w:rsidRPr="00A154FE">
                <w:rPr>
                  <w:rStyle w:val="Hyperlink"/>
                  <w:rFonts w:eastAsia="Arial" w:asciiTheme="minorHAnsi" w:hAnsiTheme="minorHAnsi" w:cstheme="minorHAnsi"/>
                  <w:sz w:val="18"/>
                  <w:szCs w:val="18"/>
                  <w:lang w:bidi="en-US"/>
                </w:rPr>
                <w:t>679.28(f)(6)(iii)</w:t>
              </w:r>
            </w:hyperlink>
          </w:p>
        </w:tc>
        <w:tc>
          <w:tcPr>
            <w:tcW w:w="1545" w:type="pct"/>
            <w:vAlign w:val="center"/>
          </w:tcPr>
          <w:p w:rsidR="008D79EB" w:rsidRPr="008D79EB" w:rsidP="008621E7" w14:paraId="650EF75B"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To monitor compliance with area closures to protect Essential Fish Habitat.</w:t>
            </w:r>
          </w:p>
        </w:tc>
      </w:tr>
      <w:tr w14:paraId="7973F129" w14:textId="77777777" w:rsidTr="00DB03AD">
        <w:tblPrEx>
          <w:tblW w:w="5335" w:type="pct"/>
          <w:tblLook w:val="07A0"/>
        </w:tblPrEx>
        <w:trPr>
          <w:cantSplit/>
        </w:trPr>
        <w:tc>
          <w:tcPr>
            <w:tcW w:w="2092" w:type="pct"/>
            <w:vAlign w:val="center"/>
          </w:tcPr>
          <w:p w:rsidR="008D79EB" w:rsidRPr="008D79EB" w:rsidP="008621E7" w14:paraId="10E3DDA2" w14:textId="77777777">
            <w:pPr>
              <w:widowControl/>
              <w:shd w:val="clear" w:color="auto" w:fill="FFFFFF"/>
              <w:spacing w:before="100" w:beforeAutospacing="1" w:after="100" w:afterAutospacing="1"/>
              <w:contextualSpacing/>
              <w:rPr>
                <w:rFonts w:asciiTheme="minorHAnsi" w:hAnsiTheme="minorHAnsi" w:cstheme="minorHAnsi"/>
                <w:color w:val="000000"/>
                <w:sz w:val="18"/>
                <w:szCs w:val="18"/>
              </w:rPr>
            </w:pPr>
            <w:r w:rsidRPr="008D79EB">
              <w:rPr>
                <w:rFonts w:asciiTheme="minorHAnsi" w:hAnsiTheme="minorHAnsi" w:cstheme="minorHAnsi"/>
                <w:bCs/>
                <w:color w:val="000000"/>
                <w:sz w:val="18"/>
                <w:szCs w:val="18"/>
              </w:rPr>
              <w:t xml:space="preserve">GOA Rockfish Program — </w:t>
            </w:r>
            <w:r w:rsidRPr="008D79EB">
              <w:rPr>
                <w:rFonts w:asciiTheme="minorHAnsi" w:hAnsiTheme="minorHAnsi" w:cstheme="minorHAnsi"/>
                <w:color w:val="000000"/>
                <w:sz w:val="18"/>
                <w:szCs w:val="18"/>
              </w:rPr>
              <w:t xml:space="preserve">vessels assigned to a rockfish cooperative </w:t>
            </w:r>
            <w:r w:rsidRPr="008D79EB">
              <w:rPr>
                <w:rFonts w:asciiTheme="minorHAnsi" w:hAnsiTheme="minorHAnsi" w:cstheme="minorHAnsi"/>
                <w:color w:val="000000"/>
                <w:sz w:val="18"/>
                <w:szCs w:val="18"/>
              </w:rPr>
              <w:t>must use VMS at all times</w:t>
            </w:r>
            <w:r w:rsidRPr="008D79EB">
              <w:rPr>
                <w:rFonts w:asciiTheme="minorHAnsi" w:hAnsiTheme="minorHAnsi" w:cstheme="minorHAnsi"/>
                <w:color w:val="000000"/>
                <w:sz w:val="18"/>
                <w:szCs w:val="18"/>
              </w:rPr>
              <w:t xml:space="preserve"> when operating in a reporting area off Alaska from May 1 until November 15; or until that rockfish cooperative has submitted a rockfish cooperative termination of fishing declaration that has been approved by NMFS. In addition, vessels assigned to a rockfish cooperative and subject to a sideboard limit </w:t>
            </w:r>
            <w:r w:rsidRPr="008D79EB">
              <w:rPr>
                <w:rFonts w:asciiTheme="minorHAnsi" w:hAnsiTheme="minorHAnsi" w:cstheme="minorHAnsi"/>
                <w:color w:val="000000"/>
                <w:sz w:val="18"/>
                <w:szCs w:val="18"/>
              </w:rPr>
              <w:t>must use VMS at all times</w:t>
            </w:r>
            <w:r w:rsidRPr="008D79EB">
              <w:rPr>
                <w:rFonts w:asciiTheme="minorHAnsi" w:hAnsiTheme="minorHAnsi" w:cstheme="minorHAnsi"/>
                <w:color w:val="000000"/>
                <w:sz w:val="18"/>
                <w:szCs w:val="18"/>
              </w:rPr>
              <w:t xml:space="preserve"> when operating in a reporting area off Alaska from July 1 until July 31.</w:t>
            </w:r>
          </w:p>
        </w:tc>
        <w:tc>
          <w:tcPr>
            <w:tcW w:w="1363" w:type="pct"/>
            <w:vAlign w:val="center"/>
          </w:tcPr>
          <w:p w:rsidR="008D79EB" w:rsidRPr="008D79EB" w:rsidP="008621E7" w14:paraId="10BA56E3" w14:textId="37EF226D">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7" w:anchor="p-679.5(r)(7)" w:history="1">
              <w:r w:rsidRPr="00A154FE">
                <w:rPr>
                  <w:rStyle w:val="Hyperlink"/>
                  <w:rFonts w:eastAsia="Arial" w:asciiTheme="minorHAnsi" w:hAnsiTheme="minorHAnsi" w:cstheme="minorHAnsi"/>
                  <w:sz w:val="18"/>
                  <w:szCs w:val="18"/>
                  <w:lang w:bidi="en-US"/>
                </w:rPr>
                <w:t>679.5(r)(7)</w:t>
              </w:r>
            </w:hyperlink>
            <w:r w:rsidRPr="008D79EB">
              <w:rPr>
                <w:rFonts w:eastAsia="Arial" w:asciiTheme="minorHAnsi" w:hAnsiTheme="minorHAnsi" w:cstheme="minorHAnsi"/>
                <w:color w:val="000000"/>
                <w:sz w:val="18"/>
                <w:szCs w:val="18"/>
                <w:lang w:bidi="en-US"/>
              </w:rPr>
              <w:t xml:space="preserve">, </w:t>
            </w:r>
            <w:hyperlink r:id="rId13" w:anchor="p-679.7(n)(3)" w:history="1">
              <w:r w:rsidRPr="00A154FE">
                <w:rPr>
                  <w:rStyle w:val="Hyperlink"/>
                  <w:rFonts w:eastAsia="Arial" w:asciiTheme="minorHAnsi" w:hAnsiTheme="minorHAnsi" w:cstheme="minorHAnsi"/>
                  <w:sz w:val="18"/>
                  <w:szCs w:val="18"/>
                  <w:lang w:bidi="en-US"/>
                </w:rPr>
                <w:t>679.7(n)(3</w:t>
              </w:r>
            </w:hyperlink>
            <w:r w:rsidRPr="008D79EB">
              <w:rPr>
                <w:rFonts w:eastAsia="Arial" w:asciiTheme="minorHAnsi" w:hAnsiTheme="minorHAnsi" w:cstheme="minorHAnsi"/>
                <w:color w:val="000000"/>
                <w:sz w:val="18"/>
                <w:szCs w:val="18"/>
                <w:lang w:bidi="en-US"/>
              </w:rPr>
              <w:t>),</w:t>
            </w:r>
          </w:p>
          <w:p w:rsidR="008D79EB" w:rsidRPr="008D79EB" w:rsidP="008621E7" w14:paraId="57A3FD6F" w14:textId="20265BB1">
            <w:pPr>
              <w:widowControl/>
              <w:tabs>
                <w:tab w:val="left" w:pos="720"/>
              </w:tabs>
              <w:autoSpaceDE w:val="0"/>
              <w:autoSpaceDN w:val="0"/>
              <w:contextualSpacing/>
              <w:rPr>
                <w:rFonts w:eastAsia="Arial" w:asciiTheme="minorHAnsi" w:hAnsiTheme="minorHAnsi" w:cstheme="minorHAnsi"/>
                <w:bCs/>
                <w:color w:val="000000"/>
                <w:sz w:val="18"/>
                <w:szCs w:val="18"/>
                <w:lang w:bidi="en-US"/>
              </w:rPr>
            </w:pPr>
            <w:hyperlink r:id="rId14" w:anchor="p-679.28(f)(6)(iv)" w:history="1">
              <w:r w:rsidRPr="00A154FE">
                <w:rPr>
                  <w:rStyle w:val="Hyperlink"/>
                  <w:rFonts w:eastAsia="Arial" w:asciiTheme="minorHAnsi" w:hAnsiTheme="minorHAnsi" w:cstheme="minorHAnsi"/>
                  <w:sz w:val="18"/>
                  <w:szCs w:val="18"/>
                  <w:lang w:bidi="en-US"/>
                </w:rPr>
                <w:t>679.28(f)(6)(iv)</w:t>
              </w:r>
            </w:hyperlink>
          </w:p>
        </w:tc>
        <w:tc>
          <w:tcPr>
            <w:tcW w:w="1545" w:type="pct"/>
            <w:vAlign w:val="center"/>
          </w:tcPr>
          <w:p w:rsidR="008D79EB" w:rsidRPr="008D79EB" w:rsidP="008621E7" w14:paraId="493E634A"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To monitor proper accounting of area-specific allocations.</w:t>
            </w:r>
          </w:p>
        </w:tc>
      </w:tr>
      <w:tr w14:paraId="752EAF60" w14:textId="77777777" w:rsidTr="00DB03AD">
        <w:tblPrEx>
          <w:tblW w:w="5335" w:type="pct"/>
          <w:tblLook w:val="07A0"/>
        </w:tblPrEx>
        <w:trPr>
          <w:cantSplit/>
        </w:trPr>
        <w:tc>
          <w:tcPr>
            <w:tcW w:w="2092" w:type="pct"/>
            <w:vAlign w:val="center"/>
          </w:tcPr>
          <w:p w:rsidR="008D79EB" w:rsidRPr="008D79EB" w:rsidP="008621E7" w14:paraId="6FF7A595"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Amendment 80 catcher/processors </w:t>
            </w:r>
            <w:r w:rsidRPr="008D79EB">
              <w:rPr>
                <w:rFonts w:eastAsia="Arial" w:asciiTheme="minorHAnsi" w:hAnsiTheme="minorHAnsi" w:cstheme="minorHAnsi"/>
                <w:color w:val="000000"/>
                <w:sz w:val="18"/>
                <w:szCs w:val="18"/>
                <w:lang w:bidi="en-US"/>
              </w:rPr>
              <w:t>at all times</w:t>
            </w:r>
            <w:r w:rsidRPr="008D79EB">
              <w:rPr>
                <w:rFonts w:eastAsia="Arial" w:asciiTheme="minorHAnsi" w:hAnsiTheme="minorHAnsi" w:cstheme="minorHAnsi"/>
                <w:color w:val="000000"/>
                <w:sz w:val="18"/>
                <w:szCs w:val="18"/>
                <w:lang w:bidi="en-US"/>
              </w:rPr>
              <w:t xml:space="preserve"> while operating in the BSAI or GOA.</w:t>
            </w:r>
          </w:p>
        </w:tc>
        <w:tc>
          <w:tcPr>
            <w:tcW w:w="1363" w:type="pct"/>
            <w:vAlign w:val="center"/>
          </w:tcPr>
          <w:p w:rsidR="008D79EB" w:rsidRPr="008D79EB" w:rsidP="008621E7" w14:paraId="0A98305B" w14:textId="1DF65413">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7" w:anchor="p-679.5(s)(7)" w:history="1">
              <w:r w:rsidRPr="00DB6BD7">
                <w:rPr>
                  <w:rStyle w:val="Hyperlink"/>
                  <w:rFonts w:eastAsia="Arial" w:asciiTheme="minorHAnsi" w:hAnsiTheme="minorHAnsi" w:cstheme="minorHAnsi"/>
                  <w:sz w:val="18"/>
                  <w:szCs w:val="18"/>
                  <w:lang w:bidi="en-US"/>
                </w:rPr>
                <w:t>679.5(s)(7)</w:t>
              </w:r>
            </w:hyperlink>
            <w:r w:rsidRPr="008D79EB">
              <w:rPr>
                <w:rFonts w:eastAsia="Arial" w:asciiTheme="minorHAnsi" w:hAnsiTheme="minorHAnsi" w:cstheme="minorHAnsi"/>
                <w:color w:val="000000"/>
                <w:sz w:val="18"/>
                <w:szCs w:val="18"/>
                <w:lang w:bidi="en-US"/>
              </w:rPr>
              <w:t>,</w:t>
            </w:r>
          </w:p>
          <w:p w:rsidR="008D79EB" w:rsidRPr="008D79EB" w:rsidP="008621E7" w14:paraId="0B83C3D7" w14:textId="256B448E">
            <w:pPr>
              <w:widowControl/>
              <w:tabs>
                <w:tab w:val="left" w:pos="720"/>
              </w:tabs>
              <w:autoSpaceDE w:val="0"/>
              <w:autoSpaceDN w:val="0"/>
              <w:contextualSpacing/>
              <w:rPr>
                <w:rFonts w:eastAsia="Arial" w:asciiTheme="minorHAnsi" w:hAnsiTheme="minorHAnsi" w:cstheme="minorHAnsi"/>
                <w:color w:val="000000"/>
                <w:sz w:val="18"/>
                <w:szCs w:val="18"/>
                <w:lang w:bidi="en-US"/>
              </w:rPr>
            </w:pPr>
            <w:hyperlink r:id="rId14" w:anchor="p-679.28(f)(6)(vi)" w:history="1">
              <w:r w:rsidRPr="00A154FE">
                <w:rPr>
                  <w:rStyle w:val="Hyperlink"/>
                  <w:rFonts w:eastAsia="Arial" w:asciiTheme="minorHAnsi" w:hAnsiTheme="minorHAnsi" w:cstheme="minorHAnsi"/>
                  <w:sz w:val="18"/>
                  <w:szCs w:val="18"/>
                  <w:lang w:bidi="en-US"/>
                </w:rPr>
                <w:t>679.28(f)(6)(vi)</w:t>
              </w:r>
            </w:hyperlink>
          </w:p>
        </w:tc>
        <w:tc>
          <w:tcPr>
            <w:tcW w:w="1545" w:type="pct"/>
            <w:vAlign w:val="center"/>
          </w:tcPr>
          <w:p w:rsidR="008D79EB" w:rsidRPr="008D79EB" w:rsidP="008621E7" w14:paraId="58FCCC19"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To monitor proper accounting of area-specific allocations.</w:t>
            </w:r>
          </w:p>
        </w:tc>
      </w:tr>
      <w:tr w14:paraId="5F42B610" w14:textId="77777777" w:rsidTr="00DB03AD">
        <w:tblPrEx>
          <w:tblW w:w="5335" w:type="pct"/>
          <w:tblLook w:val="07A0"/>
        </w:tblPrEx>
        <w:trPr>
          <w:cantSplit/>
        </w:trPr>
        <w:tc>
          <w:tcPr>
            <w:tcW w:w="2092" w:type="pct"/>
            <w:vAlign w:val="center"/>
          </w:tcPr>
          <w:p w:rsidR="008D79EB" w:rsidRPr="008D79EB" w:rsidP="008621E7" w14:paraId="1B0ADCFB"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Vessels operating in the Western and Central GOA (Federal reporting areas 610, 620, or 630) that receive and process groundfish from other vessels. </w:t>
            </w:r>
          </w:p>
        </w:tc>
        <w:tc>
          <w:tcPr>
            <w:tcW w:w="1363" w:type="pct"/>
            <w:vAlign w:val="center"/>
          </w:tcPr>
          <w:p w:rsidR="008D79EB" w:rsidRPr="008D79EB" w:rsidP="008621E7" w14:paraId="0ACC3A44" w14:textId="6458941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3" w:anchor="p-679.7(b)(4)(ii)" w:history="1">
              <w:r w:rsidRPr="00A154FE">
                <w:rPr>
                  <w:rStyle w:val="Hyperlink"/>
                  <w:rFonts w:eastAsia="Arial" w:asciiTheme="minorHAnsi" w:hAnsiTheme="minorHAnsi" w:cstheme="minorHAnsi"/>
                  <w:sz w:val="18"/>
                  <w:szCs w:val="18"/>
                  <w:lang w:bidi="en-US"/>
                </w:rPr>
                <w:t>679.7(b)(4)(ii)</w:t>
              </w:r>
            </w:hyperlink>
            <w:r w:rsidRPr="008D79EB">
              <w:rPr>
                <w:rFonts w:eastAsia="Arial" w:asciiTheme="minorHAnsi" w:hAnsiTheme="minorHAnsi" w:cstheme="minorHAnsi"/>
                <w:color w:val="000000"/>
                <w:sz w:val="18"/>
                <w:szCs w:val="18"/>
                <w:lang w:bidi="en-US"/>
              </w:rPr>
              <w:t xml:space="preserve">, </w:t>
            </w:r>
            <w:hyperlink r:id="rId14" w:anchor="p-679.28(f)(6)(v)" w:history="1">
              <w:r w:rsidRPr="00A154FE">
                <w:rPr>
                  <w:rStyle w:val="Hyperlink"/>
                  <w:rFonts w:eastAsia="Arial" w:asciiTheme="minorHAnsi" w:hAnsiTheme="minorHAnsi" w:cstheme="minorHAnsi"/>
                  <w:sz w:val="18"/>
                  <w:szCs w:val="18"/>
                  <w:lang w:bidi="en-US"/>
                </w:rPr>
                <w:t>679.28(f)(6)(v)</w:t>
              </w:r>
            </w:hyperlink>
          </w:p>
        </w:tc>
        <w:tc>
          <w:tcPr>
            <w:tcW w:w="1545" w:type="pct"/>
            <w:vAlign w:val="center"/>
          </w:tcPr>
          <w:p w:rsidR="008D79EB" w:rsidRPr="008D79EB" w:rsidP="008621E7" w14:paraId="57E3F534" w14:textId="2039AF0B">
            <w:pPr>
              <w:widowControl/>
              <w:tabs>
                <w:tab w:val="left" w:pos="720"/>
              </w:tabs>
              <w:autoSpaceDE w:val="0"/>
              <w:autoSpaceDN w:val="0"/>
              <w:contextualSpacing/>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M</w:t>
            </w:r>
            <w:r w:rsidRPr="008D79EB">
              <w:rPr>
                <w:rFonts w:eastAsia="Arial" w:asciiTheme="minorHAnsi" w:hAnsiTheme="minorHAnsi" w:cstheme="minorHAnsi"/>
                <w:color w:val="000000"/>
                <w:sz w:val="18"/>
                <w:szCs w:val="18"/>
                <w:lang w:bidi="en-US"/>
              </w:rPr>
              <w:t xml:space="preserve">onitor compliance with area-specific processing caps in the Western and Central GOA and a requirement that Pacific cod harvested in the GOA may not be delivered to a vessel for processing in a different regulatory area. </w:t>
            </w:r>
          </w:p>
        </w:tc>
      </w:tr>
      <w:tr w14:paraId="46F3B0CE" w14:textId="77777777" w:rsidTr="00DB03AD">
        <w:tblPrEx>
          <w:tblW w:w="5335" w:type="pct"/>
          <w:tblLook w:val="07A0"/>
        </w:tblPrEx>
        <w:trPr>
          <w:cantSplit/>
        </w:trPr>
        <w:tc>
          <w:tcPr>
            <w:tcW w:w="2092" w:type="pct"/>
            <w:shd w:val="clear" w:color="auto" w:fill="auto"/>
            <w:vAlign w:val="center"/>
          </w:tcPr>
          <w:p w:rsidR="008D79EB" w:rsidRPr="008D79EB" w:rsidP="008621E7" w14:paraId="1D4F6C6A"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Vessels fishing for individual fishing quota (IFQ) sablefish in the Bering Sea or Aleutian Islands IFQ regulatory areas (including vessels using pot gear).</w:t>
            </w:r>
          </w:p>
        </w:tc>
        <w:tc>
          <w:tcPr>
            <w:tcW w:w="1363" w:type="pct"/>
            <w:shd w:val="clear" w:color="auto" w:fill="auto"/>
            <w:vAlign w:val="center"/>
          </w:tcPr>
          <w:p w:rsidR="008D79EB" w:rsidRPr="008D79EB" w:rsidP="008621E7" w14:paraId="0AFEE7DE" w14:textId="0448BC2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4" w:anchor="p-679.28(f)(6)(vii)" w:history="1">
              <w:r w:rsidRPr="00A154FE">
                <w:rPr>
                  <w:rStyle w:val="Hyperlink"/>
                  <w:rFonts w:eastAsia="Arial" w:asciiTheme="minorHAnsi" w:hAnsiTheme="minorHAnsi" w:cstheme="minorHAnsi"/>
                  <w:sz w:val="18"/>
                  <w:szCs w:val="18"/>
                  <w:lang w:bidi="en-US"/>
                </w:rPr>
                <w:t>679.28(f)(6)(vii)</w:t>
              </w:r>
            </w:hyperlink>
            <w:r w:rsidRPr="008D79EB">
              <w:rPr>
                <w:rFonts w:eastAsia="Arial" w:asciiTheme="minorHAnsi" w:hAnsiTheme="minorHAnsi" w:cstheme="minorHAnsi"/>
                <w:color w:val="000000"/>
                <w:sz w:val="18"/>
                <w:szCs w:val="18"/>
                <w:lang w:bidi="en-US"/>
              </w:rPr>
              <w:t>,</w:t>
            </w:r>
          </w:p>
          <w:p w:rsidR="008D79EB" w:rsidRPr="008D79EB" w:rsidP="008621E7" w14:paraId="7011DC74" w14:textId="3281F18C">
            <w:pPr>
              <w:widowControl/>
              <w:tabs>
                <w:tab w:val="left" w:pos="720"/>
              </w:tabs>
              <w:autoSpaceDE w:val="0"/>
              <w:autoSpaceDN w:val="0"/>
              <w:contextualSpacing/>
              <w:rPr>
                <w:rFonts w:eastAsia="Arial" w:asciiTheme="minorHAnsi" w:hAnsiTheme="minorHAnsi" w:cstheme="minorHAnsi"/>
                <w:color w:val="000000"/>
                <w:sz w:val="18"/>
                <w:szCs w:val="18"/>
                <w:lang w:bidi="en-US"/>
              </w:rPr>
            </w:pPr>
            <w:hyperlink r:id="rId18" w:anchor="p-679.42(k)(1)" w:history="1">
              <w:r w:rsidRPr="00574F54">
                <w:rPr>
                  <w:rStyle w:val="Hyperlink"/>
                  <w:rFonts w:eastAsia="Arial" w:asciiTheme="minorHAnsi" w:hAnsiTheme="minorHAnsi" w:cstheme="minorHAnsi"/>
                  <w:sz w:val="18"/>
                  <w:szCs w:val="18"/>
                  <w:lang w:bidi="en-US"/>
                </w:rPr>
                <w:t>679.42(k)(1)</w:t>
              </w:r>
            </w:hyperlink>
          </w:p>
        </w:tc>
        <w:tc>
          <w:tcPr>
            <w:tcW w:w="1545" w:type="pct"/>
            <w:shd w:val="clear" w:color="auto" w:fill="auto"/>
            <w:vAlign w:val="center"/>
          </w:tcPr>
          <w:p w:rsidR="008D79EB" w:rsidRPr="008D79EB" w:rsidP="008621E7" w14:paraId="78433FCE" w14:textId="25461219">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Pr>
                <w:rFonts w:eastAsia="Arial" w:asciiTheme="minorHAnsi" w:hAnsiTheme="minorHAnsi" w:cstheme="minorHAnsi"/>
                <w:color w:val="000000"/>
                <w:sz w:val="18"/>
                <w:szCs w:val="18"/>
                <w:lang w:bidi="en-US"/>
              </w:rPr>
              <w:t>M</w:t>
            </w:r>
            <w:r w:rsidRPr="008D79EB">
              <w:rPr>
                <w:rFonts w:eastAsia="Arial" w:asciiTheme="minorHAnsi" w:hAnsiTheme="minorHAnsi" w:cstheme="minorHAnsi"/>
                <w:color w:val="000000"/>
                <w:sz w:val="18"/>
                <w:szCs w:val="18"/>
                <w:lang w:bidi="en-US"/>
              </w:rPr>
              <w:t>onitor proper accounting of area-specific allocations.</w:t>
            </w:r>
          </w:p>
        </w:tc>
      </w:tr>
      <w:tr w14:paraId="223CBA9B" w14:textId="77777777" w:rsidTr="00B95CC2">
        <w:tblPrEx>
          <w:tblW w:w="5335" w:type="pct"/>
          <w:tblLook w:val="07A0"/>
        </w:tblPrEx>
        <w:trPr>
          <w:cantSplit/>
          <w:trHeight w:val="971"/>
        </w:trPr>
        <w:tc>
          <w:tcPr>
            <w:tcW w:w="2092" w:type="pct"/>
            <w:shd w:val="clear" w:color="auto" w:fill="auto"/>
            <w:vAlign w:val="center"/>
          </w:tcPr>
          <w:p w:rsidR="008D79EB" w:rsidRPr="008D79EB" w:rsidP="008621E7" w14:paraId="0DD2A921"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sz w:val="18"/>
                <w:szCs w:val="18"/>
                <w:lang w:bidi="en-US"/>
              </w:rPr>
              <w:t>Vessels using pot gear to fish for IFQ or CDQ halibut or CDQ sablefish in the BSAI.</w:t>
            </w:r>
          </w:p>
        </w:tc>
        <w:tc>
          <w:tcPr>
            <w:tcW w:w="1363" w:type="pct"/>
            <w:shd w:val="clear" w:color="auto" w:fill="auto"/>
            <w:vAlign w:val="center"/>
          </w:tcPr>
          <w:p w:rsidR="008D79EB" w:rsidRPr="008D79EB" w:rsidP="008621E7" w14:paraId="65AF05BE" w14:textId="42703A29">
            <w:pPr>
              <w:widowControl/>
              <w:tabs>
                <w:tab w:val="left" w:pos="720"/>
              </w:tabs>
              <w:autoSpaceDE w:val="0"/>
              <w:autoSpaceDN w:val="0"/>
              <w:contextualSpacing/>
              <w:rPr>
                <w:rFonts w:eastAsia="Arial" w:asciiTheme="minorHAnsi" w:hAnsiTheme="minorHAnsi" w:cstheme="minorHAnsi"/>
                <w:sz w:val="18"/>
                <w:szCs w:val="18"/>
                <w:lang w:bidi="en-US"/>
              </w:rPr>
            </w:pPr>
            <w:r w:rsidRPr="008D79EB">
              <w:rPr>
                <w:rFonts w:eastAsia="Arial" w:asciiTheme="minorHAnsi" w:hAnsiTheme="minorHAnsi" w:cstheme="minorHAnsi"/>
                <w:sz w:val="18"/>
                <w:szCs w:val="18"/>
                <w:lang w:bidi="en-US"/>
              </w:rPr>
              <w:t xml:space="preserve">§§ </w:t>
            </w:r>
            <w:hyperlink r:id="rId13" w:anchor="p-679.7(f)(26)" w:history="1">
              <w:r w:rsidRPr="00A154FE">
                <w:rPr>
                  <w:rStyle w:val="Hyperlink"/>
                  <w:rFonts w:eastAsia="Arial" w:asciiTheme="minorHAnsi" w:hAnsiTheme="minorHAnsi" w:cstheme="minorHAnsi"/>
                  <w:sz w:val="18"/>
                  <w:szCs w:val="18"/>
                  <w:lang w:bidi="en-US"/>
                </w:rPr>
                <w:t>679.7(f)(26)</w:t>
              </w:r>
            </w:hyperlink>
            <w:r w:rsidRPr="008D79EB">
              <w:rPr>
                <w:rFonts w:eastAsia="Arial" w:asciiTheme="minorHAnsi" w:hAnsiTheme="minorHAnsi" w:cstheme="minorHAnsi"/>
                <w:sz w:val="18"/>
                <w:szCs w:val="18"/>
                <w:lang w:bidi="en-US"/>
              </w:rPr>
              <w:t>,</w:t>
            </w:r>
          </w:p>
          <w:p w:rsidR="008D79EB" w:rsidRPr="008D79EB" w:rsidP="008621E7" w14:paraId="067C310E" w14:textId="269B6FC3">
            <w:pPr>
              <w:widowControl/>
              <w:tabs>
                <w:tab w:val="left" w:pos="720"/>
              </w:tabs>
              <w:autoSpaceDE w:val="0"/>
              <w:autoSpaceDN w:val="0"/>
              <w:contextualSpacing/>
              <w:rPr>
                <w:rFonts w:eastAsia="Arial" w:asciiTheme="minorHAnsi" w:hAnsiTheme="minorHAnsi" w:cstheme="minorHAnsi"/>
                <w:sz w:val="18"/>
                <w:szCs w:val="18"/>
                <w:lang w:bidi="en-US"/>
              </w:rPr>
            </w:pPr>
            <w:hyperlink r:id="rId14" w:anchor="p-679.28(f)(6)(viii)" w:history="1">
              <w:r w:rsidRPr="00A154FE">
                <w:rPr>
                  <w:rStyle w:val="Hyperlink"/>
                  <w:rFonts w:eastAsia="Arial" w:asciiTheme="minorHAnsi" w:hAnsiTheme="minorHAnsi" w:cstheme="minorHAnsi"/>
                  <w:sz w:val="18"/>
                  <w:szCs w:val="18"/>
                  <w:lang w:bidi="en-US"/>
                </w:rPr>
                <w:t>679.28(f)(6)(viii)</w:t>
              </w:r>
            </w:hyperlink>
            <w:r w:rsidRPr="008D79EB">
              <w:rPr>
                <w:rFonts w:eastAsia="Arial" w:asciiTheme="minorHAnsi" w:hAnsiTheme="minorHAnsi" w:cstheme="minorHAnsi"/>
                <w:color w:val="000000"/>
                <w:sz w:val="18"/>
                <w:szCs w:val="18"/>
                <w:lang w:bidi="en-US"/>
              </w:rPr>
              <w:t>,</w:t>
            </w:r>
          </w:p>
          <w:p w:rsidR="008D79EB" w:rsidRPr="008D79EB" w:rsidP="008621E7" w14:paraId="65729032" w14:textId="691F92E4">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sz w:val="18"/>
                <w:szCs w:val="18"/>
                <w:lang w:bidi="en-US"/>
              </w:rPr>
              <w:t xml:space="preserve"> </w:t>
            </w:r>
            <w:hyperlink r:id="rId18" w:anchor="p-679.42(m)(4)(ii)" w:history="1">
              <w:r w:rsidRPr="00574F54">
                <w:rPr>
                  <w:rStyle w:val="Hyperlink"/>
                  <w:rFonts w:eastAsia="Arial" w:asciiTheme="minorHAnsi" w:hAnsiTheme="minorHAnsi" w:cstheme="minorHAnsi"/>
                  <w:sz w:val="18"/>
                  <w:szCs w:val="18"/>
                  <w:lang w:bidi="en-US"/>
                </w:rPr>
                <w:t>679.42(m)(4)(ii)</w:t>
              </w:r>
            </w:hyperlink>
          </w:p>
        </w:tc>
        <w:tc>
          <w:tcPr>
            <w:tcW w:w="1545" w:type="pct"/>
            <w:shd w:val="clear" w:color="auto" w:fill="auto"/>
            <w:vAlign w:val="center"/>
          </w:tcPr>
          <w:p w:rsidR="008D79EB" w:rsidRPr="008D79EB" w:rsidP="008621E7" w14:paraId="7712AB26" w14:textId="431AB2A3">
            <w:pPr>
              <w:widowControl/>
              <w:tabs>
                <w:tab w:val="left" w:pos="720"/>
              </w:tabs>
              <w:autoSpaceDE w:val="0"/>
              <w:autoSpaceDN w:val="0"/>
              <w:contextualSpacing/>
              <w:rPr>
                <w:rFonts w:eastAsia="Arial" w:asciiTheme="minorHAnsi" w:hAnsiTheme="minorHAnsi" w:cstheme="minorHAnsi"/>
                <w:color w:val="000000"/>
                <w:sz w:val="18"/>
                <w:szCs w:val="18"/>
                <w:lang w:bidi="en-US"/>
              </w:rPr>
            </w:pPr>
            <w:r>
              <w:rPr>
                <w:rFonts w:eastAsia="Arial" w:asciiTheme="minorHAnsi" w:hAnsiTheme="minorHAnsi" w:cstheme="minorHAnsi"/>
                <w:sz w:val="18"/>
                <w:szCs w:val="18"/>
                <w:lang w:bidi="en-US"/>
              </w:rPr>
              <w:t>M</w:t>
            </w:r>
            <w:r w:rsidRPr="008D79EB">
              <w:rPr>
                <w:rFonts w:eastAsia="Arial" w:asciiTheme="minorHAnsi" w:hAnsiTheme="minorHAnsi" w:cstheme="minorHAnsi"/>
                <w:sz w:val="18"/>
                <w:szCs w:val="18"/>
                <w:lang w:bidi="en-US"/>
              </w:rPr>
              <w:t>onitor proper accounting of area-specific allocations, and to monitor vessels using pot gear to retain halibut IFQ or CDQ.</w:t>
            </w:r>
          </w:p>
        </w:tc>
      </w:tr>
      <w:tr w14:paraId="1F773401" w14:textId="77777777" w:rsidTr="00DB03AD">
        <w:tblPrEx>
          <w:tblW w:w="5335" w:type="pct"/>
          <w:tblLook w:val="07A0"/>
        </w:tblPrEx>
        <w:trPr>
          <w:cantSplit/>
        </w:trPr>
        <w:tc>
          <w:tcPr>
            <w:tcW w:w="2092" w:type="pct"/>
            <w:shd w:val="clear" w:color="auto" w:fill="auto"/>
            <w:vAlign w:val="center"/>
          </w:tcPr>
          <w:p w:rsidR="008D79EB" w:rsidRPr="008D79EB" w:rsidP="008621E7" w14:paraId="0ECF9212" w14:textId="77777777">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Vessels operating in a GOA IFQ regulatory area and using longline pot gear to fish IFQ sablefish or to retain halibut incidentally in longline pot gear. </w:t>
            </w:r>
          </w:p>
        </w:tc>
        <w:tc>
          <w:tcPr>
            <w:tcW w:w="1363" w:type="pct"/>
            <w:shd w:val="clear" w:color="auto" w:fill="auto"/>
            <w:vAlign w:val="center"/>
          </w:tcPr>
          <w:p w:rsidR="008D79EB" w:rsidRPr="008D79EB" w:rsidP="008621E7" w14:paraId="4C237423" w14:textId="13791F86">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 xml:space="preserve">§§ </w:t>
            </w:r>
            <w:hyperlink r:id="rId13" w:anchor="p-679.7(f)(25)" w:history="1">
              <w:r w:rsidRPr="00DB6BD7">
                <w:rPr>
                  <w:rStyle w:val="Hyperlink"/>
                  <w:rFonts w:eastAsia="Arial" w:asciiTheme="minorHAnsi" w:hAnsiTheme="minorHAnsi" w:cstheme="minorHAnsi"/>
                  <w:sz w:val="18"/>
                  <w:szCs w:val="18"/>
                  <w:lang w:bidi="en-US"/>
                </w:rPr>
                <w:t>679.7(f)(25)</w:t>
              </w:r>
            </w:hyperlink>
            <w:r w:rsidRPr="008D79EB">
              <w:rPr>
                <w:rFonts w:eastAsia="Arial" w:asciiTheme="minorHAnsi" w:hAnsiTheme="minorHAnsi" w:cstheme="minorHAnsi"/>
                <w:color w:val="000000"/>
                <w:sz w:val="18"/>
                <w:szCs w:val="18"/>
                <w:lang w:bidi="en-US"/>
              </w:rPr>
              <w:t xml:space="preserve">, </w:t>
            </w:r>
            <w:hyperlink r:id="rId14" w:anchor="p-679.28(f)(6)(viii)" w:history="1">
              <w:r w:rsidRPr="00574F54">
                <w:rPr>
                  <w:rStyle w:val="Hyperlink"/>
                  <w:rFonts w:eastAsia="Arial" w:asciiTheme="minorHAnsi" w:hAnsiTheme="minorHAnsi" w:cstheme="minorHAnsi"/>
                  <w:sz w:val="18"/>
                  <w:szCs w:val="18"/>
                  <w:lang w:bidi="en-US"/>
                </w:rPr>
                <w:t>679.28(f)(6)(viii)</w:t>
              </w:r>
            </w:hyperlink>
            <w:r w:rsidRPr="008D79EB">
              <w:rPr>
                <w:rFonts w:eastAsia="Arial" w:asciiTheme="minorHAnsi" w:hAnsiTheme="minorHAnsi" w:cstheme="minorHAnsi"/>
                <w:color w:val="000000"/>
                <w:sz w:val="18"/>
                <w:szCs w:val="18"/>
                <w:lang w:bidi="en-US"/>
              </w:rPr>
              <w:t xml:space="preserve">, and </w:t>
            </w:r>
            <w:hyperlink r:id="rId18" w:anchor="p-679.42(k)(2)" w:history="1">
              <w:r w:rsidRPr="00574F54">
                <w:rPr>
                  <w:rStyle w:val="Hyperlink"/>
                  <w:rFonts w:eastAsia="Arial" w:asciiTheme="minorHAnsi" w:hAnsiTheme="minorHAnsi" w:cstheme="minorHAnsi"/>
                  <w:sz w:val="18"/>
                  <w:szCs w:val="18"/>
                  <w:lang w:bidi="en-US"/>
                </w:rPr>
                <w:t>679.42(k)(2)</w:t>
              </w:r>
            </w:hyperlink>
            <w:r w:rsidRPr="008D79EB">
              <w:rPr>
                <w:rFonts w:eastAsia="Arial" w:asciiTheme="minorHAnsi" w:hAnsiTheme="minorHAnsi" w:cstheme="minorHAnsi"/>
                <w:color w:val="000000"/>
                <w:sz w:val="18"/>
                <w:szCs w:val="18"/>
                <w:lang w:bidi="en-US"/>
              </w:rPr>
              <w:t xml:space="preserve"> and </w:t>
            </w:r>
            <w:hyperlink r:id="rId18" w:anchor="p-679.42(l)(7)(ii)" w:history="1">
              <w:r w:rsidRPr="00574F54">
                <w:rPr>
                  <w:rStyle w:val="Hyperlink"/>
                  <w:rFonts w:eastAsia="Arial" w:asciiTheme="minorHAnsi" w:hAnsiTheme="minorHAnsi" w:cstheme="minorHAnsi"/>
                  <w:sz w:val="18"/>
                  <w:szCs w:val="18"/>
                  <w:lang w:bidi="en-US"/>
                </w:rPr>
                <w:t>(l)(7)(ii)</w:t>
              </w:r>
            </w:hyperlink>
            <w:r w:rsidRPr="008D79EB">
              <w:rPr>
                <w:rFonts w:eastAsia="Arial" w:asciiTheme="minorHAnsi" w:hAnsiTheme="minorHAnsi" w:cstheme="minorHAnsi"/>
                <w:color w:val="000000"/>
                <w:sz w:val="18"/>
                <w:szCs w:val="18"/>
                <w:lang w:bidi="en-US"/>
              </w:rPr>
              <w:t>, Annual halibut management measures (</w:t>
            </w:r>
            <w:hyperlink r:id="rId19" w:history="1">
              <w:r w:rsidRPr="00574F54" w:rsidR="00C61707">
                <w:rPr>
                  <w:rStyle w:val="Hyperlink"/>
                  <w:rFonts w:eastAsia="Arial" w:asciiTheme="minorHAnsi" w:hAnsiTheme="minorHAnsi" w:cstheme="minorHAnsi"/>
                  <w:sz w:val="18"/>
                  <w:szCs w:val="18"/>
                  <w:lang w:bidi="en-US"/>
                </w:rPr>
                <w:t>88 FR 14066, 03/07/2023</w:t>
              </w:r>
            </w:hyperlink>
            <w:r w:rsidRPr="008D79EB">
              <w:rPr>
                <w:rFonts w:eastAsia="Arial" w:asciiTheme="minorHAnsi" w:hAnsiTheme="minorHAnsi" w:cstheme="minorHAnsi"/>
                <w:color w:val="000000"/>
                <w:sz w:val="18"/>
                <w:szCs w:val="18"/>
                <w:lang w:bidi="en-US"/>
              </w:rPr>
              <w:t>)</w:t>
            </w:r>
          </w:p>
        </w:tc>
        <w:tc>
          <w:tcPr>
            <w:tcW w:w="1545" w:type="pct"/>
            <w:shd w:val="clear" w:color="auto" w:fill="auto"/>
            <w:vAlign w:val="center"/>
          </w:tcPr>
          <w:p w:rsidR="008D79EB" w:rsidRPr="008D79EB" w:rsidP="008621E7" w14:paraId="072B3404" w14:textId="2B27040F">
            <w:pPr>
              <w:widowControl/>
              <w:tabs>
                <w:tab w:val="left" w:pos="720"/>
              </w:tabs>
              <w:autoSpaceDE w:val="0"/>
              <w:autoSpaceDN w:val="0"/>
              <w:contextualSpacing/>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M</w:t>
            </w:r>
            <w:r w:rsidRPr="008D79EB">
              <w:rPr>
                <w:rFonts w:eastAsia="Arial" w:asciiTheme="minorHAnsi" w:hAnsiTheme="minorHAnsi" w:cstheme="minorHAnsi"/>
                <w:color w:val="000000"/>
                <w:sz w:val="18"/>
                <w:szCs w:val="18"/>
                <w:lang w:bidi="en-US"/>
              </w:rPr>
              <w:t xml:space="preserve">onitor compliance with requirements to redeploy or remove pot gear from the fishing grounds within a specified </w:t>
            </w:r>
            <w:r w:rsidRPr="008D79EB">
              <w:rPr>
                <w:rFonts w:eastAsia="Arial" w:asciiTheme="minorHAnsi" w:hAnsiTheme="minorHAnsi" w:cstheme="minorHAnsi"/>
                <w:color w:val="000000"/>
                <w:sz w:val="18"/>
                <w:szCs w:val="18"/>
                <w:lang w:bidi="en-US"/>
              </w:rPr>
              <w:t>time period</w:t>
            </w:r>
            <w:r w:rsidRPr="008D79EB">
              <w:rPr>
                <w:rFonts w:eastAsia="Arial" w:asciiTheme="minorHAnsi" w:hAnsiTheme="minorHAnsi" w:cstheme="minorHAnsi"/>
                <w:color w:val="000000"/>
                <w:sz w:val="18"/>
                <w:szCs w:val="18"/>
                <w:lang w:bidi="en-US"/>
              </w:rPr>
              <w:t xml:space="preserve">. </w:t>
            </w:r>
          </w:p>
        </w:tc>
      </w:tr>
      <w:tr w14:paraId="0F3DB97E" w14:textId="77777777" w:rsidTr="00DB03AD">
        <w:tblPrEx>
          <w:tblW w:w="5335" w:type="pct"/>
          <w:tblLook w:val="07A0"/>
        </w:tblPrEx>
        <w:trPr>
          <w:cantSplit/>
        </w:trPr>
        <w:tc>
          <w:tcPr>
            <w:tcW w:w="2092" w:type="pct"/>
            <w:vAlign w:val="center"/>
          </w:tcPr>
          <w:p w:rsidR="00394950" w:rsidRPr="008D79EB" w:rsidP="00D43ECF" w14:paraId="0B4F575A" w14:textId="4BF54CF7">
            <w:pPr>
              <w:widowControl/>
              <w:tabs>
                <w:tab w:val="left" w:pos="720"/>
              </w:tabs>
              <w:autoSpaceDE w:val="0"/>
              <w:autoSpaceDN w:val="0"/>
              <w:contextualSpacing/>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Pacific Cod Trawl Cooperative Program</w:t>
            </w:r>
            <w:r w:rsidR="00DB03AD">
              <w:rPr>
                <w:rFonts w:eastAsia="Arial" w:asciiTheme="minorHAnsi" w:hAnsiTheme="minorHAnsi" w:cstheme="minorHAnsi"/>
                <w:color w:val="000000"/>
                <w:sz w:val="18"/>
                <w:szCs w:val="18"/>
                <w:lang w:bidi="en-US"/>
              </w:rPr>
              <w:t xml:space="preserve"> </w:t>
            </w:r>
            <w:r>
              <w:rPr>
                <w:rFonts w:eastAsia="Arial" w:asciiTheme="minorHAnsi" w:hAnsiTheme="minorHAnsi" w:cstheme="minorHAnsi"/>
                <w:color w:val="000000"/>
                <w:sz w:val="18"/>
                <w:szCs w:val="18"/>
                <w:lang w:bidi="en-US"/>
              </w:rPr>
              <w:t xml:space="preserve">(PCTC Program) </w:t>
            </w:r>
            <w:r w:rsidRPr="00A67CBD">
              <w:rPr>
                <w:rFonts w:eastAsia="Arial" w:asciiTheme="minorHAnsi" w:hAnsiTheme="minorHAnsi" w:cstheme="minorHAnsi"/>
                <w:color w:val="000000"/>
                <w:sz w:val="18"/>
                <w:szCs w:val="18"/>
                <w:lang w:bidi="en-US"/>
              </w:rPr>
              <w:t xml:space="preserve">— </w:t>
            </w:r>
            <w:r w:rsidRPr="00394950">
              <w:rPr>
                <w:rFonts w:eastAsia="Arial" w:asciiTheme="minorHAnsi" w:hAnsiTheme="minorHAnsi" w:cstheme="minorHAnsi"/>
                <w:color w:val="000000"/>
                <w:sz w:val="18"/>
                <w:szCs w:val="18"/>
                <w:lang w:bidi="en-US"/>
              </w:rPr>
              <w:t xml:space="preserve">catcher vessels assigned to a PCTC </w:t>
            </w:r>
            <w:r>
              <w:rPr>
                <w:rFonts w:eastAsia="Arial" w:asciiTheme="minorHAnsi" w:hAnsiTheme="minorHAnsi" w:cstheme="minorHAnsi"/>
                <w:color w:val="000000"/>
                <w:sz w:val="18"/>
                <w:szCs w:val="18"/>
                <w:lang w:bidi="en-US"/>
              </w:rPr>
              <w:t xml:space="preserve">Program </w:t>
            </w:r>
            <w:r w:rsidRPr="00394950">
              <w:rPr>
                <w:rFonts w:eastAsia="Arial" w:asciiTheme="minorHAnsi" w:hAnsiTheme="minorHAnsi" w:cstheme="minorHAnsi"/>
                <w:color w:val="000000"/>
                <w:sz w:val="18"/>
                <w:szCs w:val="18"/>
                <w:lang w:bidi="en-US"/>
              </w:rPr>
              <w:t>cooperative or that are subject to sideboard limits detailed in § 679.13</w:t>
            </w:r>
            <w:r w:rsidR="00D43ECF">
              <w:rPr>
                <w:rFonts w:eastAsia="Arial" w:asciiTheme="minorHAnsi" w:hAnsiTheme="minorHAnsi" w:cstheme="minorHAnsi"/>
                <w:color w:val="000000"/>
                <w:sz w:val="18"/>
                <w:szCs w:val="18"/>
                <w:lang w:bidi="en-US"/>
              </w:rPr>
              <w:t>3</w:t>
            </w:r>
            <w:r w:rsidRPr="00394950">
              <w:rPr>
                <w:rFonts w:eastAsia="Arial" w:asciiTheme="minorHAnsi" w:hAnsiTheme="minorHAnsi" w:cstheme="minorHAnsi"/>
                <w:color w:val="000000"/>
                <w:sz w:val="18"/>
                <w:szCs w:val="18"/>
                <w:lang w:bidi="en-US"/>
              </w:rPr>
              <w:t xml:space="preserve"> </w:t>
            </w:r>
            <w:r w:rsidRPr="00394950">
              <w:rPr>
                <w:rFonts w:eastAsia="Arial" w:asciiTheme="minorHAnsi" w:hAnsiTheme="minorHAnsi" w:cstheme="minorHAnsi"/>
                <w:color w:val="000000"/>
                <w:sz w:val="18"/>
                <w:szCs w:val="18"/>
                <w:lang w:bidi="en-US"/>
              </w:rPr>
              <w:t>must use functioning VMS equipment as described at § 679.28(f) at all times</w:t>
            </w:r>
            <w:r w:rsidRPr="00394950">
              <w:rPr>
                <w:rFonts w:eastAsia="Arial" w:asciiTheme="minorHAnsi" w:hAnsiTheme="minorHAnsi" w:cstheme="minorHAnsi"/>
                <w:color w:val="000000"/>
                <w:sz w:val="18"/>
                <w:szCs w:val="18"/>
                <w:lang w:bidi="en-US"/>
              </w:rPr>
              <w:t xml:space="preserve"> when operating in a reporting area off Alaska during the A and B season.</w:t>
            </w:r>
          </w:p>
        </w:tc>
        <w:tc>
          <w:tcPr>
            <w:tcW w:w="1363" w:type="pct"/>
            <w:vAlign w:val="center"/>
          </w:tcPr>
          <w:p w:rsidR="00394950" w:rsidRPr="008D79EB" w:rsidP="008621E7" w14:paraId="7DD6DDAD" w14:textId="59594D76">
            <w:pPr>
              <w:widowControl/>
              <w:tabs>
                <w:tab w:val="left" w:pos="720"/>
              </w:tabs>
              <w:autoSpaceDE w:val="0"/>
              <w:autoSpaceDN w:val="0"/>
              <w:contextualSpacing/>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 xml:space="preserve">§§ </w:t>
            </w:r>
            <w:hyperlink r:id="rId20" w:anchor="p-679.7(m)(3)" w:history="1">
              <w:r w:rsidRPr="00D43ECF">
                <w:rPr>
                  <w:rStyle w:val="Hyperlink"/>
                  <w:rFonts w:eastAsia="Arial" w:asciiTheme="minorHAnsi" w:hAnsiTheme="minorHAnsi" w:cstheme="minorHAnsi"/>
                  <w:sz w:val="18"/>
                  <w:szCs w:val="18"/>
                  <w:lang w:bidi="en-US"/>
                </w:rPr>
                <w:t>679.7(m)(3)</w:t>
              </w:r>
            </w:hyperlink>
            <w:r>
              <w:rPr>
                <w:rFonts w:eastAsia="Arial" w:asciiTheme="minorHAnsi" w:hAnsiTheme="minorHAnsi" w:cstheme="minorHAnsi"/>
                <w:color w:val="000000"/>
                <w:sz w:val="18"/>
                <w:szCs w:val="18"/>
                <w:lang w:bidi="en-US"/>
              </w:rPr>
              <w:t xml:space="preserve">, </w:t>
            </w:r>
            <w:hyperlink r:id="rId21" w:anchor="p-679.134(f)(5)" w:history="1">
              <w:r w:rsidRPr="00D43ECF">
                <w:rPr>
                  <w:rStyle w:val="Hyperlink"/>
                  <w:rFonts w:eastAsia="Arial" w:asciiTheme="minorHAnsi" w:hAnsiTheme="minorHAnsi" w:cstheme="minorHAnsi"/>
                  <w:sz w:val="18"/>
                  <w:szCs w:val="18"/>
                  <w:lang w:bidi="en-US"/>
                </w:rPr>
                <w:t>679.134(f)(5)</w:t>
              </w:r>
            </w:hyperlink>
          </w:p>
        </w:tc>
        <w:tc>
          <w:tcPr>
            <w:tcW w:w="1545" w:type="pct"/>
            <w:vAlign w:val="center"/>
          </w:tcPr>
          <w:p w:rsidR="00394950" w:rsidRPr="008D79EB" w:rsidP="00373EBA" w14:paraId="370328B7" w14:textId="2ACAAC7D">
            <w:pPr>
              <w:widowControl/>
              <w:tabs>
                <w:tab w:val="left" w:pos="720"/>
              </w:tabs>
              <w:autoSpaceDE w:val="0"/>
              <w:autoSpaceDN w:val="0"/>
              <w:spacing w:after="60"/>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M</w:t>
            </w:r>
            <w:r w:rsidRPr="00394950">
              <w:rPr>
                <w:rFonts w:eastAsia="Arial" w:asciiTheme="minorHAnsi" w:hAnsiTheme="minorHAnsi" w:cstheme="minorHAnsi"/>
                <w:color w:val="000000"/>
                <w:sz w:val="18"/>
                <w:szCs w:val="18"/>
                <w:lang w:bidi="en-US"/>
              </w:rPr>
              <w:t>onitor proper accounting of area-specific allocations.</w:t>
            </w:r>
          </w:p>
        </w:tc>
      </w:tr>
      <w:tr w14:paraId="6974F976" w14:textId="77777777" w:rsidTr="00DB03AD">
        <w:tblPrEx>
          <w:tblW w:w="5335" w:type="pct"/>
          <w:tblLook w:val="07A0"/>
        </w:tblPrEx>
        <w:trPr>
          <w:cantSplit/>
        </w:trPr>
        <w:tc>
          <w:tcPr>
            <w:tcW w:w="2092" w:type="pct"/>
            <w:vAlign w:val="center"/>
          </w:tcPr>
          <w:p w:rsidR="00A81CAC" w:rsidRPr="00394950" w:rsidP="007571FC" w14:paraId="5745A59B" w14:textId="3C781DEE">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CA3241">
              <w:rPr>
                <w:rFonts w:eastAsia="Arial" w:asciiTheme="minorHAnsi" w:hAnsiTheme="minorHAnsi" w:cstheme="minorHAnsi"/>
                <w:color w:val="000000"/>
                <w:sz w:val="18"/>
                <w:szCs w:val="18"/>
                <w:lang w:bidi="en-US"/>
              </w:rPr>
              <w:t>Cook Inlet EEZ Commercial Salmon Fishery</w:t>
            </w:r>
            <w:r w:rsidR="007571FC">
              <w:rPr>
                <w:rFonts w:eastAsia="Arial" w:asciiTheme="minorHAnsi" w:hAnsiTheme="minorHAnsi" w:cstheme="minorHAnsi"/>
                <w:color w:val="000000"/>
                <w:sz w:val="18"/>
                <w:szCs w:val="18"/>
                <w:lang w:bidi="en-US"/>
              </w:rPr>
              <w:t xml:space="preserve"> </w:t>
            </w:r>
            <w:r w:rsidRPr="007571FC" w:rsidR="007571FC">
              <w:rPr>
                <w:rFonts w:eastAsia="Arial" w:asciiTheme="minorHAnsi" w:hAnsiTheme="minorHAnsi" w:cstheme="minorHAnsi"/>
                <w:color w:val="000000"/>
                <w:sz w:val="18"/>
                <w:szCs w:val="18"/>
                <w:lang w:bidi="en-US"/>
              </w:rPr>
              <w:t>—</w:t>
            </w:r>
            <w:r w:rsidR="007571FC">
              <w:rPr>
                <w:rFonts w:eastAsia="Arial" w:asciiTheme="minorHAnsi" w:hAnsiTheme="minorHAnsi" w:cstheme="minorHAnsi"/>
                <w:color w:val="000000"/>
                <w:sz w:val="18"/>
                <w:szCs w:val="18"/>
                <w:lang w:bidi="en-US"/>
              </w:rPr>
              <w:t xml:space="preserve"> </w:t>
            </w:r>
            <w:r w:rsidRPr="007571FC" w:rsidR="007571FC">
              <w:rPr>
                <w:rFonts w:eastAsia="Arial" w:asciiTheme="minorHAnsi" w:hAnsiTheme="minorHAnsi" w:cstheme="minorHAnsi"/>
                <w:color w:val="000000"/>
                <w:sz w:val="18"/>
                <w:szCs w:val="18"/>
                <w:lang w:bidi="en-US"/>
              </w:rPr>
              <w:t>vessel</w:t>
            </w:r>
            <w:r w:rsidR="007571FC">
              <w:rPr>
                <w:rFonts w:eastAsia="Arial" w:asciiTheme="minorHAnsi" w:hAnsiTheme="minorHAnsi" w:cstheme="minorHAnsi"/>
                <w:color w:val="000000"/>
                <w:sz w:val="18"/>
                <w:szCs w:val="18"/>
                <w:lang w:bidi="en-US"/>
              </w:rPr>
              <w:t>s</w:t>
            </w:r>
            <w:r w:rsidRPr="007571FC" w:rsidR="007571FC">
              <w:rPr>
                <w:rFonts w:eastAsia="Arial" w:asciiTheme="minorHAnsi" w:hAnsiTheme="minorHAnsi" w:cstheme="minorHAnsi"/>
                <w:color w:val="000000"/>
                <w:sz w:val="18"/>
                <w:szCs w:val="18"/>
                <w:lang w:bidi="en-US"/>
              </w:rPr>
              <w:t xml:space="preserve"> required to have a</w:t>
            </w:r>
            <w:r w:rsidR="007571FC">
              <w:rPr>
                <w:rFonts w:eastAsia="Arial" w:asciiTheme="minorHAnsi" w:hAnsiTheme="minorHAnsi" w:cstheme="minorHAnsi"/>
                <w:color w:val="000000"/>
                <w:sz w:val="18"/>
                <w:szCs w:val="18"/>
                <w:lang w:bidi="en-US"/>
              </w:rPr>
              <w:t xml:space="preserve"> Salmon Federal Fisheries Permit</w:t>
            </w:r>
            <w:r w:rsidRPr="007571FC" w:rsidR="007571FC">
              <w:rPr>
                <w:rFonts w:eastAsia="Arial" w:asciiTheme="minorHAnsi" w:hAnsiTheme="minorHAnsi" w:cstheme="minorHAnsi"/>
                <w:color w:val="000000"/>
                <w:sz w:val="18"/>
                <w:szCs w:val="18"/>
                <w:lang w:bidi="en-US"/>
              </w:rPr>
              <w:t xml:space="preserve"> issued under § 679.114 in the</w:t>
            </w:r>
            <w:r w:rsidR="007571FC">
              <w:rPr>
                <w:rFonts w:eastAsia="Arial" w:asciiTheme="minorHAnsi" w:hAnsiTheme="minorHAnsi" w:cstheme="minorHAnsi"/>
                <w:color w:val="000000"/>
                <w:sz w:val="18"/>
                <w:szCs w:val="18"/>
                <w:lang w:bidi="en-US"/>
              </w:rPr>
              <w:t xml:space="preserve"> waters of Cook Inlet and have</w:t>
            </w:r>
            <w:r w:rsidRPr="007571FC" w:rsidR="007571FC">
              <w:rPr>
                <w:rFonts w:eastAsia="Arial" w:asciiTheme="minorHAnsi" w:hAnsiTheme="minorHAnsi" w:cstheme="minorHAnsi"/>
                <w:color w:val="000000"/>
                <w:sz w:val="18"/>
                <w:szCs w:val="18"/>
                <w:lang w:bidi="en-US"/>
              </w:rPr>
              <w:t xml:space="preserve"> drift gillnet gear onboard.</w:t>
            </w:r>
          </w:p>
        </w:tc>
        <w:tc>
          <w:tcPr>
            <w:tcW w:w="1363" w:type="pct"/>
            <w:vAlign w:val="center"/>
          </w:tcPr>
          <w:p w:rsidR="00A81CAC" w:rsidP="008621E7" w14:paraId="25EF0D8B" w14:textId="209F571E">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13015">
              <w:rPr>
                <w:rFonts w:eastAsia="Arial" w:asciiTheme="minorHAnsi" w:hAnsiTheme="minorHAnsi" w:cstheme="minorHAnsi"/>
                <w:color w:val="000000"/>
                <w:sz w:val="18"/>
                <w:szCs w:val="18"/>
                <w:lang w:bidi="en-US"/>
              </w:rPr>
              <w:t>§ 679.115(d)</w:t>
            </w:r>
            <w:r w:rsidRPr="00813015" w:rsidR="00617138">
              <w:rPr>
                <w:rFonts w:eastAsia="Arial" w:asciiTheme="minorHAnsi" w:hAnsiTheme="minorHAnsi" w:cstheme="minorHAnsi"/>
                <w:color w:val="000000"/>
                <w:sz w:val="18"/>
                <w:szCs w:val="18"/>
                <w:lang w:bidi="en-US"/>
              </w:rPr>
              <w:t xml:space="preserve"> </w:t>
            </w:r>
            <w:r w:rsidRPr="00813015" w:rsidR="00617138">
              <w:rPr>
                <w:rFonts w:eastAsia="Arial" w:asciiTheme="minorHAnsi" w:hAnsiTheme="minorHAnsi" w:cstheme="minorHAnsi"/>
                <w:b/>
                <w:color w:val="C00000"/>
                <w:sz w:val="18"/>
                <w:szCs w:val="18"/>
                <w:lang w:bidi="en-US"/>
              </w:rPr>
              <w:t>[new]</w:t>
            </w:r>
          </w:p>
        </w:tc>
        <w:tc>
          <w:tcPr>
            <w:tcW w:w="1545" w:type="pct"/>
            <w:vAlign w:val="center"/>
          </w:tcPr>
          <w:p w:rsidR="00A81CAC" w:rsidRPr="00394950" w:rsidP="004F0619" w14:paraId="5EE745FE" w14:textId="2BCFD7F1">
            <w:pPr>
              <w:widowControl/>
              <w:tabs>
                <w:tab w:val="left" w:pos="720"/>
              </w:tabs>
              <w:autoSpaceDE w:val="0"/>
              <w:autoSpaceDN w:val="0"/>
              <w:spacing w:after="60"/>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M</w:t>
            </w:r>
            <w:r w:rsidRPr="00A53A13" w:rsidR="00A53A13">
              <w:rPr>
                <w:rFonts w:eastAsia="Arial" w:asciiTheme="minorHAnsi" w:hAnsiTheme="minorHAnsi" w:cstheme="minorHAnsi"/>
                <w:color w:val="000000"/>
                <w:sz w:val="18"/>
                <w:szCs w:val="18"/>
                <w:lang w:bidi="en-US"/>
              </w:rPr>
              <w:t>onitor part</w:t>
            </w:r>
            <w:r w:rsidR="00BC116F">
              <w:rPr>
                <w:rFonts w:eastAsia="Arial" w:asciiTheme="minorHAnsi" w:hAnsiTheme="minorHAnsi" w:cstheme="minorHAnsi"/>
                <w:color w:val="000000"/>
                <w:sz w:val="18"/>
                <w:szCs w:val="18"/>
                <w:lang w:bidi="en-US"/>
              </w:rPr>
              <w:t xml:space="preserve">icipation in the </w:t>
            </w:r>
            <w:r w:rsidR="001B18E3">
              <w:rPr>
                <w:rFonts w:eastAsia="Arial" w:asciiTheme="minorHAnsi" w:hAnsiTheme="minorHAnsi" w:cstheme="minorHAnsi"/>
                <w:color w:val="000000"/>
                <w:sz w:val="18"/>
                <w:szCs w:val="18"/>
                <w:lang w:bidi="en-US"/>
              </w:rPr>
              <w:t xml:space="preserve">Cook Inlet EEZ salmon </w:t>
            </w:r>
            <w:r>
              <w:rPr>
                <w:rFonts w:eastAsia="Arial" w:asciiTheme="minorHAnsi" w:hAnsiTheme="minorHAnsi" w:cstheme="minorHAnsi"/>
                <w:color w:val="000000"/>
                <w:sz w:val="18"/>
                <w:szCs w:val="18"/>
                <w:lang w:bidi="en-US"/>
              </w:rPr>
              <w:t>fishery and compliance with Federal fishing area, time, and catch accounting regulations.</w:t>
            </w:r>
            <w:r w:rsidR="00DB03AD">
              <w:rPr>
                <w:rFonts w:eastAsia="Arial" w:asciiTheme="minorHAnsi" w:hAnsiTheme="minorHAnsi" w:cstheme="minorHAnsi"/>
                <w:color w:val="000000"/>
                <w:sz w:val="18"/>
                <w:szCs w:val="18"/>
                <w:lang w:bidi="en-US"/>
              </w:rPr>
              <w:t xml:space="preserve"> </w:t>
            </w:r>
          </w:p>
        </w:tc>
      </w:tr>
      <w:tr w14:paraId="4EC7C081" w14:textId="77777777" w:rsidTr="00DB03AD">
        <w:tblPrEx>
          <w:tblW w:w="5335" w:type="pct"/>
          <w:tblLook w:val="07A0"/>
        </w:tblPrEx>
        <w:trPr>
          <w:cantSplit/>
        </w:trPr>
        <w:tc>
          <w:tcPr>
            <w:tcW w:w="2092" w:type="pct"/>
            <w:vAlign w:val="center"/>
          </w:tcPr>
          <w:p w:rsidR="008D79EB" w:rsidRPr="008D79EB" w:rsidP="008621E7" w14:paraId="3B12C6D5" w14:textId="77777777">
            <w:pPr>
              <w:widowControl/>
              <w:tabs>
                <w:tab w:val="left" w:pos="720"/>
              </w:tabs>
              <w:autoSpaceDE w:val="0"/>
              <w:autoSpaceDN w:val="0"/>
              <w:contextualSpacing/>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OPTIONAL Any vessel that carries a transmitting VMS while fishing for halibut in Area 4A, 4B, 4C, or 4D, and until all halibut caught in any of these areas is landed, is exempt from vessel clearance requirements.</w:t>
            </w:r>
          </w:p>
        </w:tc>
        <w:tc>
          <w:tcPr>
            <w:tcW w:w="1363" w:type="pct"/>
            <w:vAlign w:val="center"/>
          </w:tcPr>
          <w:p w:rsidR="008D79EB" w:rsidRPr="008D79EB" w:rsidP="00B95CC2" w14:paraId="5A62A342" w14:textId="7B356C0D">
            <w:pPr>
              <w:widowControl/>
              <w:tabs>
                <w:tab w:val="left" w:pos="720"/>
              </w:tabs>
              <w:autoSpaceDE w:val="0"/>
              <w:autoSpaceDN w:val="0"/>
              <w:contextualSpacing/>
              <w:rPr>
                <w:rFonts w:eastAsia="Arial" w:asciiTheme="minorHAnsi" w:hAnsiTheme="minorHAnsi" w:cstheme="minorHAnsi"/>
                <w:color w:val="000000"/>
                <w:sz w:val="18"/>
                <w:szCs w:val="18"/>
                <w:lang w:bidi="en-US"/>
              </w:rPr>
            </w:pPr>
            <w:r w:rsidRPr="008D79EB">
              <w:rPr>
                <w:rFonts w:eastAsia="Arial" w:asciiTheme="minorHAnsi" w:hAnsiTheme="minorHAnsi" w:cstheme="minorHAnsi"/>
                <w:color w:val="000000"/>
                <w:sz w:val="18"/>
                <w:szCs w:val="18"/>
                <w:lang w:bidi="en-US"/>
              </w:rPr>
              <w:t>Annual</w:t>
            </w:r>
            <w:r w:rsidR="00574F54">
              <w:rPr>
                <w:rFonts w:eastAsia="Arial" w:asciiTheme="minorHAnsi" w:hAnsiTheme="minorHAnsi" w:cstheme="minorHAnsi"/>
                <w:color w:val="000000"/>
                <w:sz w:val="18"/>
                <w:szCs w:val="18"/>
                <w:lang w:bidi="en-US"/>
              </w:rPr>
              <w:t xml:space="preserve"> halibut management measures (</w:t>
            </w:r>
            <w:hyperlink r:id="rId19" w:history="1">
              <w:r w:rsidRPr="00574F54" w:rsidR="00574F54">
                <w:rPr>
                  <w:rStyle w:val="Hyperlink"/>
                  <w:rFonts w:eastAsia="Arial" w:asciiTheme="minorHAnsi" w:hAnsiTheme="minorHAnsi" w:cstheme="minorHAnsi"/>
                  <w:sz w:val="18"/>
                  <w:szCs w:val="18"/>
                  <w:lang w:bidi="en-US"/>
                </w:rPr>
                <w:t>88 FR 14066, 03/07/2023</w:t>
              </w:r>
            </w:hyperlink>
            <w:r w:rsidRPr="008D79EB">
              <w:rPr>
                <w:rFonts w:eastAsia="Arial" w:asciiTheme="minorHAnsi" w:hAnsiTheme="minorHAnsi" w:cstheme="minorHAnsi"/>
                <w:color w:val="000000"/>
                <w:sz w:val="18"/>
                <w:szCs w:val="18"/>
                <w:lang w:bidi="en-US"/>
              </w:rPr>
              <w:t xml:space="preserve">) No. </w:t>
            </w:r>
            <w:r w:rsidRPr="008D79EB" w:rsidR="00B95CC2">
              <w:rPr>
                <w:rFonts w:eastAsia="Arial" w:asciiTheme="minorHAnsi" w:hAnsiTheme="minorHAnsi" w:cstheme="minorHAnsi"/>
                <w:color w:val="000000"/>
                <w:sz w:val="18"/>
                <w:szCs w:val="18"/>
                <w:lang w:bidi="en-US"/>
              </w:rPr>
              <w:t>1</w:t>
            </w:r>
            <w:r w:rsidR="00B95CC2">
              <w:rPr>
                <w:rFonts w:eastAsia="Arial" w:asciiTheme="minorHAnsi" w:hAnsiTheme="minorHAnsi" w:cstheme="minorHAnsi"/>
                <w:color w:val="000000"/>
                <w:sz w:val="18"/>
                <w:szCs w:val="18"/>
                <w:lang w:bidi="en-US"/>
              </w:rPr>
              <w:t>5</w:t>
            </w:r>
            <w:r w:rsidRPr="008D79EB">
              <w:rPr>
                <w:rFonts w:eastAsia="Arial" w:asciiTheme="minorHAnsi" w:hAnsiTheme="minorHAnsi" w:cstheme="minorHAnsi"/>
                <w:color w:val="000000"/>
                <w:sz w:val="18"/>
                <w:szCs w:val="18"/>
                <w:lang w:bidi="en-US"/>
              </w:rPr>
              <w:t>--Vessel Clearance in IPHC Regulatory Area 4, No. (16)</w:t>
            </w:r>
          </w:p>
        </w:tc>
        <w:tc>
          <w:tcPr>
            <w:tcW w:w="1545" w:type="pct"/>
            <w:vAlign w:val="center"/>
          </w:tcPr>
          <w:p w:rsidR="008D79EB" w:rsidRPr="008D79EB" w:rsidP="00373EBA" w14:paraId="151DF891" w14:textId="4C2AB4B9">
            <w:pPr>
              <w:widowControl/>
              <w:tabs>
                <w:tab w:val="left" w:pos="720"/>
              </w:tabs>
              <w:autoSpaceDE w:val="0"/>
              <w:autoSpaceDN w:val="0"/>
              <w:spacing w:after="60"/>
              <w:rPr>
                <w:rFonts w:eastAsia="Arial" w:asciiTheme="minorHAnsi" w:hAnsiTheme="minorHAnsi" w:cstheme="minorHAnsi"/>
                <w:color w:val="000000"/>
                <w:sz w:val="18"/>
                <w:szCs w:val="18"/>
                <w:lang w:bidi="en-US"/>
              </w:rPr>
            </w:pPr>
            <w:r>
              <w:rPr>
                <w:rFonts w:eastAsia="Arial" w:asciiTheme="minorHAnsi" w:hAnsiTheme="minorHAnsi" w:cstheme="minorHAnsi"/>
                <w:color w:val="000000"/>
                <w:sz w:val="18"/>
                <w:szCs w:val="18"/>
                <w:lang w:bidi="en-US"/>
              </w:rPr>
              <w:t>M</w:t>
            </w:r>
            <w:r w:rsidRPr="008D79EB">
              <w:rPr>
                <w:rFonts w:eastAsia="Arial" w:asciiTheme="minorHAnsi" w:hAnsiTheme="minorHAnsi" w:cstheme="minorHAnsi"/>
                <w:color w:val="000000"/>
                <w:sz w:val="18"/>
                <w:szCs w:val="18"/>
                <w:lang w:bidi="en-US"/>
              </w:rPr>
              <w:t>onitor proper accounting of area-specific allocations.</w:t>
            </w:r>
          </w:p>
          <w:p w:rsidR="008D79EB" w:rsidRPr="008D79EB" w:rsidP="0003317E" w14:paraId="39D58122" w14:textId="68A5725D">
            <w:pPr>
              <w:widowControl/>
              <w:tabs>
                <w:tab w:val="left" w:pos="720"/>
              </w:tabs>
              <w:autoSpaceDE w:val="0"/>
              <w:autoSpaceDN w:val="0"/>
              <w:spacing w:before="120"/>
              <w:rPr>
                <w:rFonts w:eastAsia="Arial" w:asciiTheme="minorHAnsi" w:hAnsiTheme="minorHAnsi" w:cstheme="minorHAnsi"/>
                <w:bCs/>
                <w:color w:val="000000"/>
                <w:sz w:val="18"/>
                <w:szCs w:val="18"/>
                <w:lang w:bidi="en-US"/>
              </w:rPr>
            </w:pPr>
            <w:r w:rsidRPr="008D79EB">
              <w:rPr>
                <w:rFonts w:eastAsia="Arial" w:asciiTheme="minorHAnsi" w:hAnsiTheme="minorHAnsi" w:cstheme="minorHAnsi"/>
                <w:color w:val="000000"/>
                <w:sz w:val="18"/>
                <w:szCs w:val="18"/>
                <w:lang w:bidi="en-US"/>
              </w:rPr>
              <w:t xml:space="preserve">These requirements in the halibut annual management measures are not subject to the PRA. </w:t>
            </w:r>
          </w:p>
        </w:tc>
      </w:tr>
    </w:tbl>
    <w:p w:rsidR="008D79EB" w:rsidRPr="008D79EB" w:rsidP="008621E7" w14:paraId="6030F5D2"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contextualSpacing/>
        <w:rPr>
          <w:rFonts w:eastAsia="Arial"/>
          <w:b/>
          <w:lang w:bidi="en-US"/>
        </w:rPr>
      </w:pPr>
    </w:p>
    <w:p w:rsidR="008D79EB" w:rsidRPr="008D79EB" w:rsidP="008621E7" w14:paraId="515354C7"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b/>
          <w:lang w:bidi="en-US"/>
        </w:rPr>
      </w:pPr>
    </w:p>
    <w:p w:rsidR="008D79EB" w:rsidRPr="008D79EB" w:rsidP="008621E7" w14:paraId="04E827D2"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b/>
          <w:lang w:bidi="en-US"/>
        </w:rPr>
      </w:pPr>
      <w:r w:rsidRPr="008D79EB">
        <w:rPr>
          <w:rFonts w:eastAsia="Arial"/>
          <w:b/>
          <w:lang w:bidi="en-US"/>
        </w:rPr>
        <w:t xml:space="preserve">What type of information is collected? </w:t>
      </w:r>
      <w:r w:rsidRPr="008D79EB">
        <w:rPr>
          <w:rFonts w:eastAsia="Arial"/>
          <w:lang w:bidi="en-US"/>
        </w:rPr>
        <w:t>VMS units automatically transmit the location of a vessel several times per hour using a Global Positioning System satellite.</w:t>
      </w:r>
      <w:r w:rsidRPr="008D79EB">
        <w:rPr>
          <w:rFonts w:eastAsia="Arial"/>
          <w:color w:val="000000"/>
          <w:lang w:bidi="en-US"/>
        </w:rPr>
        <w:t xml:space="preserve"> </w:t>
      </w:r>
      <w:r w:rsidRPr="008D79EB">
        <w:rPr>
          <w:rFonts w:eastAsia="Arial"/>
          <w:bCs/>
          <w:color w:val="000000"/>
          <w:lang w:bidi="en-US"/>
        </w:rPr>
        <w:t>The VMS unit is passive and automatic, requiring no reporting effort by the vessel operator. A communications service provider receives the transmission and relays it to NMFS OLE.</w:t>
      </w:r>
    </w:p>
    <w:p w:rsidR="008D79EB" w:rsidRPr="008D79EB" w:rsidP="00813015" w14:paraId="594C4861" w14:textId="42202D13">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lang w:bidi="en-US"/>
        </w:rPr>
      </w:pPr>
      <w:r w:rsidRPr="00813015">
        <w:rPr>
          <w:rFonts w:eastAsia="Arial"/>
          <w:b/>
          <w:lang w:bidi="en-US"/>
        </w:rPr>
        <w:t>Who must comply with this information collection?</w:t>
      </w:r>
      <w:r w:rsidRPr="00813015">
        <w:rPr>
          <w:rFonts w:eastAsia="Arial"/>
          <w:lang w:bidi="en-US"/>
        </w:rPr>
        <w:t xml:space="preserve"> Owners and operators of vessels required to carry transmitting VMS units are the people required to comply with the components of this information collection. </w:t>
      </w:r>
      <w:r w:rsidRPr="00813015" w:rsidR="00B02958">
        <w:rPr>
          <w:rFonts w:eastAsia="Arial"/>
          <w:lang w:bidi="en-US"/>
        </w:rPr>
        <w:t xml:space="preserve">From 2020 </w:t>
      </w:r>
      <w:r w:rsidRPr="00813015" w:rsidR="00A444BC">
        <w:rPr>
          <w:rFonts w:eastAsia="Arial"/>
          <w:lang w:bidi="en-US"/>
        </w:rPr>
        <w:t>to</w:t>
      </w:r>
      <w:r w:rsidRPr="00813015" w:rsidR="00B02958">
        <w:rPr>
          <w:rFonts w:eastAsia="Arial"/>
          <w:lang w:bidi="en-US"/>
        </w:rPr>
        <w:t xml:space="preserve"> 2023</w:t>
      </w:r>
      <w:r w:rsidRPr="00813015">
        <w:rPr>
          <w:rFonts w:eastAsia="Arial"/>
          <w:lang w:bidi="en-US"/>
        </w:rPr>
        <w:t xml:space="preserve">, an average of </w:t>
      </w:r>
      <w:r w:rsidRPr="00813015" w:rsidR="00B02958">
        <w:rPr>
          <w:rFonts w:eastAsia="Arial"/>
          <w:lang w:bidi="en-US"/>
        </w:rPr>
        <w:t xml:space="preserve">559 </w:t>
      </w:r>
      <w:r w:rsidRPr="00813015">
        <w:rPr>
          <w:rFonts w:eastAsia="Arial"/>
          <w:lang w:bidi="en-US"/>
        </w:rPr>
        <w:t xml:space="preserve">commercial fishing vessels per year participating in the federally managed groundfish, crab, </w:t>
      </w:r>
      <w:r w:rsidR="009277D1">
        <w:rPr>
          <w:rFonts w:eastAsia="Arial"/>
          <w:lang w:bidi="en-US"/>
        </w:rPr>
        <w:t xml:space="preserve">and </w:t>
      </w:r>
      <w:r w:rsidRPr="00813015">
        <w:rPr>
          <w:rFonts w:eastAsia="Arial"/>
          <w:lang w:bidi="en-US"/>
        </w:rPr>
        <w:t xml:space="preserve">scallop fisheries off Alaska transmitted vessel location via VMS. </w:t>
      </w:r>
      <w:r w:rsidRPr="00813015" w:rsidR="00C62C4C">
        <w:rPr>
          <w:rFonts w:eastAsia="Arial"/>
          <w:lang w:bidi="en-US"/>
        </w:rPr>
        <w:t xml:space="preserve">NMFS estimates 100 vessels will likely install VMS due to the rule. This estimate is derived from the </w:t>
      </w:r>
      <w:r w:rsidRPr="00813015" w:rsidR="00C72744">
        <w:rPr>
          <w:rFonts w:eastAsia="Arial"/>
          <w:lang w:bidi="en-US"/>
        </w:rPr>
        <w:t>number</w:t>
      </w:r>
      <w:r w:rsidRPr="00813015" w:rsidR="00C62C4C">
        <w:rPr>
          <w:rFonts w:eastAsia="Arial"/>
          <w:lang w:bidi="en-US"/>
        </w:rPr>
        <w:t xml:space="preserve"> of vessels that have participated in Federal Cook Inlet in past years, </w:t>
      </w:r>
      <w:r w:rsidRPr="00813015" w:rsidR="00C72744">
        <w:rPr>
          <w:rFonts w:eastAsia="Arial"/>
          <w:lang w:bidi="en-US"/>
        </w:rPr>
        <w:t xml:space="preserve">that </w:t>
      </w:r>
      <w:r w:rsidRPr="00813015" w:rsidR="00C62C4C">
        <w:rPr>
          <w:rFonts w:eastAsia="Arial"/>
          <w:lang w:bidi="en-US"/>
        </w:rPr>
        <w:t xml:space="preserve">some vessels </w:t>
      </w:r>
      <w:r w:rsidRPr="00813015" w:rsidR="00C72744">
        <w:rPr>
          <w:rFonts w:eastAsia="Arial"/>
          <w:lang w:bidi="en-US"/>
        </w:rPr>
        <w:t xml:space="preserve">that will participate </w:t>
      </w:r>
      <w:r w:rsidRPr="00813015" w:rsidR="00C62C4C">
        <w:rPr>
          <w:rFonts w:eastAsia="Arial"/>
          <w:lang w:bidi="en-US"/>
        </w:rPr>
        <w:t xml:space="preserve">already have VMS installed </w:t>
      </w:r>
      <w:r w:rsidRPr="00813015" w:rsidR="00C72744">
        <w:rPr>
          <w:rFonts w:eastAsia="Arial"/>
          <w:lang w:bidi="en-US"/>
        </w:rPr>
        <w:t>so</w:t>
      </w:r>
      <w:r w:rsidRPr="00813015" w:rsidR="00C62C4C">
        <w:rPr>
          <w:rFonts w:eastAsia="Arial"/>
          <w:lang w:bidi="en-US"/>
        </w:rPr>
        <w:t xml:space="preserve"> are </w:t>
      </w:r>
      <w:r w:rsidRPr="00813015" w:rsidR="00C62C4C">
        <w:rPr>
          <w:rFonts w:eastAsia="Arial"/>
          <w:lang w:bidi="en-US"/>
        </w:rPr>
        <w:t xml:space="preserve">already included in </w:t>
      </w:r>
      <w:r w:rsidRPr="00813015" w:rsidR="00C72744">
        <w:rPr>
          <w:rFonts w:eastAsia="Arial"/>
          <w:lang w:bidi="en-US"/>
        </w:rPr>
        <w:t xml:space="preserve">the vessel count </w:t>
      </w:r>
      <w:r w:rsidRPr="00813015" w:rsidR="00C62C4C">
        <w:rPr>
          <w:rFonts w:eastAsia="Arial"/>
          <w:lang w:bidi="en-US"/>
        </w:rPr>
        <w:t>due to their participation in other VMS programs, and an assumption that many vessels will choose to only fish in State waters to avoid additional monitoring cost and impacts to their operations with Federal management.</w:t>
      </w:r>
      <w:r w:rsidRPr="00813015" w:rsidR="00C72744">
        <w:rPr>
          <w:rFonts w:eastAsia="Arial"/>
          <w:lang w:bidi="en-US"/>
        </w:rPr>
        <w:t xml:space="preserve"> Therefore, the annual number of vessels carrying VMS units is estimated </w:t>
      </w:r>
      <w:r w:rsidRPr="00813015" w:rsidR="00A444BC">
        <w:rPr>
          <w:rFonts w:eastAsia="Arial"/>
          <w:lang w:bidi="en-US"/>
        </w:rPr>
        <w:t xml:space="preserve">at </w:t>
      </w:r>
      <w:r w:rsidRPr="00813015" w:rsidR="00C72744">
        <w:rPr>
          <w:rFonts w:eastAsia="Arial"/>
          <w:lang w:bidi="en-US"/>
        </w:rPr>
        <w:t>659 vessels</w:t>
      </w:r>
      <w:r w:rsidRPr="00813015" w:rsidR="00A444BC">
        <w:rPr>
          <w:rFonts w:eastAsia="Arial"/>
          <w:lang w:bidi="en-US"/>
        </w:rPr>
        <w:t xml:space="preserve"> (559 </w:t>
      </w:r>
      <w:r w:rsidR="00DB03AD">
        <w:rPr>
          <w:rFonts w:eastAsia="Arial"/>
          <w:lang w:bidi="en-US"/>
        </w:rPr>
        <w:t xml:space="preserve">vessels </w:t>
      </w:r>
      <w:r w:rsidRPr="00813015" w:rsidR="00A444BC">
        <w:rPr>
          <w:rFonts w:eastAsia="Arial"/>
          <w:lang w:bidi="en-US"/>
        </w:rPr>
        <w:t>3-yr average + 100 expected new vessels)</w:t>
      </w:r>
      <w:r w:rsidRPr="00813015" w:rsidR="00C72744">
        <w:rPr>
          <w:rFonts w:eastAsia="Arial"/>
          <w:lang w:bidi="en-US"/>
        </w:rPr>
        <w:t>.</w:t>
      </w:r>
    </w:p>
    <w:p w:rsidR="008D79EB" w:rsidRPr="00813015" w:rsidP="00813015" w14:paraId="5E8187B4"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lang w:bidi="en-US"/>
        </w:rPr>
      </w:pPr>
      <w:r w:rsidRPr="008D79EB">
        <w:rPr>
          <w:rFonts w:eastAsia="Arial"/>
          <w:b/>
          <w:lang w:bidi="en-US"/>
        </w:rPr>
        <w:t>How is the information collected?</w:t>
      </w:r>
      <w:r w:rsidRPr="008D79EB">
        <w:rPr>
          <w:rFonts w:eastAsia="Arial"/>
          <w:lang w:bidi="en-US"/>
        </w:rPr>
        <w:t xml:space="preserve"> Vessel owners comply with the requirements to submit vessel location information to NMFS by purchasing, installing, and maintaining an approved and operational VMS unit. Prior to participating in operations requiring VMS, a vessel owner must obtain a NMFS-approved VMS transmitter and install it or have it installed on board the vessel. The VMS transmitter must be available for inspection by NMFS personnel, observers, or authorized officers. The vessel owner must ensure that the VMS transmitter is not tampered with, disabled, destroyed, or operated improperly, and must pay all charges levied by the VMS service </w:t>
      </w:r>
      <w:r w:rsidRPr="00813015">
        <w:rPr>
          <w:rFonts w:eastAsia="Arial"/>
          <w:lang w:bidi="en-US"/>
        </w:rPr>
        <w:t>provider agreement.</w:t>
      </w:r>
    </w:p>
    <w:p w:rsidR="008D79EB" w:rsidRPr="008D79EB" w:rsidP="00813015" w14:paraId="2A3FF5C2" w14:textId="38E0D3D5">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lang w:bidi="en-US"/>
        </w:rPr>
      </w:pPr>
      <w:r w:rsidRPr="00813015">
        <w:rPr>
          <w:rFonts w:eastAsia="Arial"/>
          <w:b/>
          <w:lang w:bidi="en-US"/>
        </w:rPr>
        <w:t xml:space="preserve">How frequently is the information collected? </w:t>
      </w:r>
      <w:r w:rsidRPr="00813015">
        <w:rPr>
          <w:rFonts w:eastAsia="Arial"/>
          <w:lang w:bidi="en-US"/>
        </w:rPr>
        <w:t xml:space="preserve">An average of </w:t>
      </w:r>
      <w:r w:rsidRPr="00813015" w:rsidR="00B02958">
        <w:rPr>
          <w:rFonts w:eastAsia="Arial"/>
          <w:lang w:bidi="en-US"/>
        </w:rPr>
        <w:t>7.2 million</w:t>
      </w:r>
      <w:r w:rsidRPr="00813015">
        <w:rPr>
          <w:rFonts w:eastAsia="Arial"/>
          <w:lang w:bidi="en-US"/>
        </w:rPr>
        <w:t xml:space="preserve"> VMS transmissions per year were transmitted from the</w:t>
      </w:r>
      <w:r w:rsidRPr="00813015" w:rsidR="00A444BC">
        <w:rPr>
          <w:rFonts w:eastAsia="Arial"/>
          <w:lang w:bidi="en-US"/>
        </w:rPr>
        <w:t xml:space="preserve"> </w:t>
      </w:r>
      <w:r w:rsidRPr="00813015" w:rsidR="00B02958">
        <w:rPr>
          <w:rFonts w:eastAsia="Arial"/>
          <w:lang w:bidi="en-US"/>
        </w:rPr>
        <w:t xml:space="preserve">559 </w:t>
      </w:r>
      <w:r w:rsidRPr="00813015">
        <w:rPr>
          <w:rFonts w:eastAsia="Arial"/>
          <w:lang w:bidi="en-US"/>
        </w:rPr>
        <w:t xml:space="preserve">vessels from </w:t>
      </w:r>
      <w:r w:rsidRPr="00813015" w:rsidR="00B02958">
        <w:rPr>
          <w:rFonts w:eastAsia="Arial"/>
          <w:lang w:bidi="en-US"/>
        </w:rPr>
        <w:t xml:space="preserve">2020 </w:t>
      </w:r>
      <w:r w:rsidRPr="00813015" w:rsidR="00A444BC">
        <w:rPr>
          <w:rFonts w:eastAsia="Arial"/>
          <w:lang w:bidi="en-US"/>
        </w:rPr>
        <w:t xml:space="preserve">to </w:t>
      </w:r>
      <w:r w:rsidRPr="00813015" w:rsidR="00B02958">
        <w:rPr>
          <w:rFonts w:eastAsia="Arial"/>
          <w:lang w:bidi="en-US"/>
        </w:rPr>
        <w:t>2023</w:t>
      </w:r>
      <w:r w:rsidRPr="00813015">
        <w:rPr>
          <w:rFonts w:eastAsia="Arial"/>
          <w:lang w:bidi="en-US"/>
        </w:rPr>
        <w:t>. Most of these vessels were transmitting location information every half hour (two times per hour) when not in port and</w:t>
      </w:r>
      <w:r w:rsidRPr="008D79EB">
        <w:rPr>
          <w:rFonts w:eastAsia="Arial"/>
          <w:lang w:bidi="en-US"/>
        </w:rPr>
        <w:t xml:space="preserve"> every hour while in port. Vessels using trawl gear to fish in the Aleutian Islands were required to transmit their location via VMS </w:t>
      </w:r>
      <w:r w:rsidR="005A287F">
        <w:rPr>
          <w:rFonts w:eastAsia="Arial"/>
          <w:lang w:bidi="en-US"/>
        </w:rPr>
        <w:t>at least ten</w:t>
      </w:r>
      <w:r w:rsidRPr="008D79EB">
        <w:rPr>
          <w:rFonts w:eastAsia="Arial"/>
          <w:lang w:bidi="en-US"/>
        </w:rPr>
        <w:t xml:space="preserve"> times per hour.</w:t>
      </w:r>
      <w:r w:rsidR="00A444BC">
        <w:rPr>
          <w:rFonts w:eastAsia="Arial"/>
          <w:lang w:bidi="en-US"/>
        </w:rPr>
        <w:t xml:space="preserve"> With the addition of the vessels </w:t>
      </w:r>
      <w:r w:rsidR="00DE77D9">
        <w:rPr>
          <w:rFonts w:eastAsia="Arial"/>
          <w:lang w:bidi="en-US"/>
        </w:rPr>
        <w:t xml:space="preserve">expected </w:t>
      </w:r>
      <w:r w:rsidR="00A444BC">
        <w:rPr>
          <w:rFonts w:eastAsia="Arial"/>
          <w:lang w:bidi="en-US"/>
        </w:rPr>
        <w:t xml:space="preserve">due to the rule, NMFS estimates an average of 7.3 million VMS transmissions per year will be transmitted from the 659 vessels. </w:t>
      </w:r>
    </w:p>
    <w:p w:rsidR="008D79EB" w:rsidRPr="008D79EB" w:rsidP="00813015" w14:paraId="72C3E67F" w14:textId="3CCED25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lang w:bidi="en-US"/>
        </w:rPr>
      </w:pPr>
      <w:r w:rsidRPr="008D79EB">
        <w:rPr>
          <w:rFonts w:eastAsia="Arial"/>
          <w:color w:val="000000"/>
          <w:lang w:bidi="en-US"/>
        </w:rPr>
        <w:t xml:space="preserve">VMS transmissions are not considered responses or included in the burden hour estimates for this collection summarized in </w:t>
      </w:r>
      <w:r w:rsidRPr="00222091">
        <w:rPr>
          <w:rFonts w:eastAsia="Arial"/>
          <w:color w:val="000000"/>
          <w:lang w:bidi="en-US"/>
        </w:rPr>
        <w:t>Question #12 because vessel position location is automatically transmitted from the VMS unit. The vessel transmission rates and total transmissions are used to estimate the communications costs associated with providing the vessel location information (see Question #13).</w:t>
      </w:r>
    </w:p>
    <w:p w:rsidR="008D79EB" w:rsidRPr="008D79EB" w:rsidP="00813015" w14:paraId="606E79DD" w14:textId="3FB4CC2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bCs/>
          <w:lang w:bidi="en-US"/>
        </w:rPr>
      </w:pPr>
      <w:r w:rsidRPr="008D79EB">
        <w:rPr>
          <w:rFonts w:eastAsia="Arial"/>
          <w:b/>
          <w:color w:val="000000"/>
          <w:lang w:bidi="en-US"/>
        </w:rPr>
        <w:t>What is this information used for?</w:t>
      </w:r>
      <w:r w:rsidRPr="008D79EB">
        <w:rPr>
          <w:rFonts w:eastAsia="Arial"/>
          <w:color w:val="000000"/>
          <w:lang w:bidi="en-US"/>
        </w:rPr>
        <w:t xml:space="preserve"> VMS allows verification of where fishing is occurring in real time. </w:t>
      </w:r>
      <w:r w:rsidRPr="008D79EB">
        <w:rPr>
          <w:rFonts w:eastAsia="Arial"/>
          <w:bCs/>
          <w:color w:val="000000"/>
          <w:lang w:bidi="en-US"/>
        </w:rPr>
        <w:t xml:space="preserve">VMS </w:t>
      </w:r>
      <w:r w:rsidRPr="008D79EB">
        <w:rPr>
          <w:rFonts w:eastAsia="Arial"/>
          <w:color w:val="000000"/>
          <w:lang w:bidi="en-US"/>
        </w:rPr>
        <w:t xml:space="preserve">allows verification that vessels fishing in an area are permitted to fish in that area, </w:t>
      </w:r>
      <w:r w:rsidRPr="008D79EB">
        <w:rPr>
          <w:rFonts w:eastAsia="Arial"/>
          <w:bCs/>
          <w:lang w:bidi="en-US"/>
        </w:rPr>
        <w:t xml:space="preserve">facilitates enforcement of area closures in certain fisheries, and allows NMFS OLE to check the accuracy of vessel position information reported by the vessel operator in the daily logbooks. VMS </w:t>
      </w:r>
      <w:r w:rsidRPr="008D79EB">
        <w:rPr>
          <w:rFonts w:eastAsia="Arial"/>
          <w:color w:val="000000"/>
          <w:lang w:bidi="en-US"/>
        </w:rPr>
        <w:t xml:space="preserve">also helps ensure harvested fish are properly debited or reported because NMFS can track vessels as they arrive in port to offload the product. In addition, NMFS </w:t>
      </w:r>
      <w:r w:rsidRPr="008D79EB">
        <w:rPr>
          <w:rFonts w:eastAsia="Arial"/>
          <w:bCs/>
          <w:lang w:bidi="en-US"/>
        </w:rPr>
        <w:t xml:space="preserve">OLE uses VMS to monitor compliance with requirements to redeploy or remove pot gear from the fishing grounds within a specified </w:t>
      </w:r>
      <w:r w:rsidRPr="008D79EB">
        <w:rPr>
          <w:rFonts w:eastAsia="Arial"/>
          <w:bCs/>
          <w:lang w:bidi="en-US"/>
        </w:rPr>
        <w:t>time period</w:t>
      </w:r>
      <w:r w:rsidRPr="008D79EB">
        <w:rPr>
          <w:rFonts w:eastAsia="Arial"/>
          <w:bCs/>
          <w:lang w:bidi="en-US"/>
        </w:rPr>
        <w:t xml:space="preserve">. VMS is used to track the management areas in which vessels are fishing on a given trip, and agents could then follow up with a dockside inspection to see what gear was returned to shore when making a landing. </w:t>
      </w:r>
    </w:p>
    <w:p w:rsidR="008D79EB" w:rsidRPr="008D79EB" w:rsidP="008621E7" w14:paraId="09460A80"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spacing w:after="240"/>
        <w:rPr>
          <w:rFonts w:eastAsia="Arial"/>
          <w:bCs/>
          <w:lang w:bidi="en-US"/>
        </w:rPr>
      </w:pPr>
      <w:r w:rsidRPr="008D79EB">
        <w:rPr>
          <w:rFonts w:eastAsia="Arial"/>
          <w:bCs/>
          <w:lang w:bidi="en-US"/>
        </w:rPr>
        <w:t xml:space="preserve">VMS data also is used by NMFS and the North Pacific Fishery Management Council to analyze the impacts of current fisheries and proposed fishery conservation and management actions. </w:t>
      </w:r>
    </w:p>
    <w:p w:rsidR="008D79EB" w:rsidRPr="008D79EB" w:rsidP="008621E7" w14:paraId="5F0D8399" w14:textId="75DD5C57">
      <w:pPr>
        <w:widowControl/>
        <w:spacing w:after="240"/>
      </w:pPr>
      <w:r w:rsidRPr="008D79EB">
        <w:rPr>
          <w:b/>
          <w:bCs/>
        </w:rPr>
        <w:t>Is this information shared?</w:t>
      </w:r>
      <w:r w:rsidRPr="008D79EB">
        <w:rPr>
          <w:color w:val="000000"/>
        </w:rPr>
        <w:t xml:space="preserve"> </w:t>
      </w:r>
      <w:hyperlink r:id="rId22" w:anchor="III">
        <w:r w:rsidRPr="004A2035" w:rsidR="00951FF8">
          <w:rPr>
            <w:color w:val="0000FF"/>
            <w:u w:val="single"/>
          </w:rPr>
          <w:t>Section 515 of Public Law 106-554</w:t>
        </w:r>
      </w:hyperlink>
      <w:r w:rsidRPr="008D79EB" w:rsidR="00951FF8">
        <w:rPr>
          <w:color w:val="000000"/>
        </w:rPr>
        <w:t xml:space="preserve"> </w:t>
      </w:r>
      <w:r w:rsidRPr="008D79EB">
        <w:rPr>
          <w:color w:val="000000"/>
        </w:rPr>
        <w:t xml:space="preserve">(the Information Quality Act) requires NMFS to ensure the quality, objectivity, utility, and integrity of information it publicly disseminates. Data submitted by VMS units is aggregated, synthesized, summarized, and presented in a non-confidential format to the public in reports and analyses of fishery </w:t>
      </w:r>
      <w:r w:rsidRPr="008D79EB">
        <w:rPr>
          <w:color w:val="000000"/>
        </w:rPr>
        <w:t xml:space="preserve">conservation and management measures. Public dissemination of these data is governed by </w:t>
      </w:r>
      <w:hyperlink r:id="rId23" w:history="1">
        <w:r w:rsidRPr="00C86B41" w:rsidR="00951FF8">
          <w:rPr>
            <w:rFonts w:eastAsia="Calibri"/>
            <w:color w:val="0000FF" w:themeColor="hyperlink"/>
            <w:u w:val="single"/>
          </w:rPr>
          <w:t>NOAA's information quality guidelines</w:t>
        </w:r>
      </w:hyperlink>
      <w:r w:rsidRPr="008D79EB">
        <w:rPr>
          <w:color w:val="000000"/>
        </w:rPr>
        <w:t>, which were issued on October 30, 2004.</w:t>
      </w:r>
    </w:p>
    <w:p w:rsidR="008D79EB" w:rsidRPr="008D79EB" w:rsidP="008621E7" w14:paraId="247E8024" w14:textId="77777777">
      <w:pPr>
        <w:widowControl/>
        <w:spacing w:after="240"/>
      </w:pPr>
      <w:r w:rsidRPr="008D79EB">
        <w:rPr>
          <w:color w:val="000000"/>
        </w:rPr>
        <w:t>Reports and analyses prepared with VMS data generally fall under NOAA's information quality category “synthesized products.” These products have been developed through analysis of original data by applying methods that require some scientific evaluation and judgment; however, these methods of analysis generally are well documented and relatively routine. Therefore, peer review is generally not required for reports and analyses prepared using VMS data.</w:t>
      </w:r>
    </w:p>
    <w:p w:rsidR="008D79EB" w:rsidRPr="008D79EB" w:rsidP="008621E7" w14:paraId="2406ACB6" w14:textId="77777777">
      <w:pPr>
        <w:widowControl/>
        <w:spacing w:after="240"/>
      </w:pPr>
      <w:r w:rsidRPr="008D79EB">
        <w:rPr>
          <w:color w:val="000000"/>
        </w:rPr>
        <w:t>Reports and analyses undergo internal agency review by people familiar with the underlying data and fisheries being described. In addition, analyses presented to the North Pacific Fishery Management Council are reviewed by its Scientific and Statistical Committee.</w:t>
      </w:r>
    </w:p>
    <w:p w:rsidR="008D79EB" w:rsidRPr="008D79EB" w:rsidP="008621E7" w14:paraId="2F1C8E78" w14:textId="77777777">
      <w:pPr>
        <w:widowControl/>
        <w:spacing w:after="240"/>
        <w:rPr>
          <w:rFonts w:eastAsia="Arial"/>
          <w:b/>
          <w:bCs/>
          <w:lang w:bidi="en-US"/>
        </w:rPr>
      </w:pPr>
      <w:r w:rsidRPr="008D79EB">
        <w:rPr>
          <w:color w:val="000000"/>
        </w:rPr>
        <w:t xml:space="preserve">Data from the VMS unit registration are maintained and used primarily by NMFS OLE to monitor compliance. This information may periodically be made available to the public in summary form as was </w:t>
      </w:r>
      <w:r w:rsidRPr="008D79EB">
        <w:t>done to prepare the projections used in this analysis.</w:t>
      </w:r>
    </w:p>
    <w:p w:rsidR="004908C0" w:rsidRPr="004908C0" w:rsidP="005331CC" w14:paraId="015F4712" w14:textId="292BB1A7">
      <w:pPr>
        <w:widowControl/>
        <w:autoSpaceDE w:val="0"/>
        <w:autoSpaceDN w:val="0"/>
        <w:spacing w:after="240"/>
      </w:pPr>
      <w:r w:rsidRPr="008D79EB">
        <w:rPr>
          <w:rFonts w:eastAsia="Arial"/>
          <w:b/>
          <w:lang w:bidi="en-US"/>
        </w:rPr>
        <w:t xml:space="preserve">How have the collection requirements changed? </w:t>
      </w:r>
      <w:r w:rsidRPr="006E4482" w:rsidR="006E4482">
        <w:rPr>
          <w:rFonts w:eastAsia="Arial"/>
          <w:lang w:bidi="en-US"/>
        </w:rPr>
        <w:t xml:space="preserve">There have been </w:t>
      </w:r>
      <w:r w:rsidR="006E4482">
        <w:rPr>
          <w:rFonts w:eastAsia="Arial"/>
          <w:lang w:bidi="en-US"/>
        </w:rPr>
        <w:t>no revis</w:t>
      </w:r>
      <w:r w:rsidR="00B02958">
        <w:rPr>
          <w:rFonts w:eastAsia="Arial"/>
          <w:lang w:bidi="en-US"/>
        </w:rPr>
        <w:t>ions to this collection since this collection</w:t>
      </w:r>
      <w:r w:rsidR="006E4482">
        <w:rPr>
          <w:rFonts w:eastAsia="Arial"/>
          <w:lang w:bidi="en-US"/>
        </w:rPr>
        <w:t xml:space="preserve"> was last extended in 2021.</w:t>
      </w:r>
      <w:r w:rsidRPr="006E4482">
        <w:rPr>
          <w:rFonts w:eastAsia="Arial"/>
          <w:lang w:bidi="en-US"/>
        </w:rPr>
        <w:t xml:space="preserve"> </w:t>
      </w:r>
    </w:p>
    <w:p w:rsidR="00774BBC" w:rsidP="008621E7" w14:paraId="3F36331D"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08C0" w:rsidRPr="004908C0" w:rsidP="008621E7" w14:paraId="2D77C691" w14:textId="77777777">
      <w:pPr>
        <w:widowControl/>
      </w:pPr>
    </w:p>
    <w:p w:rsidR="008D79EB" w:rsidRPr="008D79EB" w:rsidP="008621E7" w14:paraId="47A693EE" w14:textId="77777777">
      <w:pPr>
        <w:widowControl/>
        <w:autoSpaceDE w:val="0"/>
        <w:autoSpaceDN w:val="0"/>
        <w:spacing w:after="240"/>
        <w:rPr>
          <w:rFonts w:eastAsia="Arial"/>
          <w:lang w:bidi="en-US"/>
        </w:rPr>
      </w:pPr>
      <w:r w:rsidRPr="008D79EB">
        <w:rPr>
          <w:rFonts w:eastAsia="Arial"/>
          <w:lang w:bidi="en-US"/>
        </w:rPr>
        <w:t xml:space="preserve">The VMS collection-of-information is automated and integrates current information technology in the fishery management and monitoring process. </w:t>
      </w:r>
    </w:p>
    <w:p w:rsidR="00774BBC" w:rsidP="008621E7" w14:paraId="63575544"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F90B2C" w:rsidRPr="00F90B2C" w:rsidP="008621E7" w14:paraId="43463A0C" w14:textId="77777777">
      <w:pPr>
        <w:widowControl/>
        <w:pBdr>
          <w:top w:val="nil"/>
          <w:left w:val="nil"/>
          <w:bottom w:val="nil"/>
          <w:right w:val="nil"/>
          <w:between w:val="nil"/>
        </w:pBdr>
      </w:pPr>
    </w:p>
    <w:p w:rsidR="008D79EB" w:rsidRPr="008D79EB" w:rsidP="008621E7" w14:paraId="43953010" w14:textId="77777777">
      <w:pPr>
        <w:widowControl/>
        <w:autoSpaceDE w:val="0"/>
        <w:autoSpaceDN w:val="0"/>
        <w:spacing w:after="240"/>
        <w:contextualSpacing/>
        <w:rPr>
          <w:rFonts w:eastAsia="Arial"/>
          <w:color w:val="000000"/>
          <w:lang w:bidi="en-US"/>
        </w:rPr>
      </w:pPr>
      <w:r w:rsidRPr="008D79EB">
        <w:rPr>
          <w:rFonts w:eastAsia="Arial"/>
          <w:color w:val="000000"/>
          <w:lang w:bidi="en-US"/>
        </w:rPr>
        <w:t xml:space="preserve">No other management agency requires the submission of VMS data from fishermen participating in the federally managed fisheries off Alaska. In general, Alaska Region information collections are prepared and reviewed by staff familiar with </w:t>
      </w:r>
      <w:r w:rsidRPr="008D79EB">
        <w:rPr>
          <w:rFonts w:eastAsia="Arial"/>
          <w:color w:val="000000"/>
          <w:lang w:bidi="en-US"/>
        </w:rPr>
        <w:t>all of</w:t>
      </w:r>
      <w:r w:rsidRPr="008D79EB">
        <w:rPr>
          <w:rFonts w:eastAsia="Arial"/>
          <w:color w:val="000000"/>
          <w:lang w:bidi="en-US"/>
        </w:rPr>
        <w:t xml:space="preserve">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w:t>
      </w:r>
    </w:p>
    <w:p w:rsidR="00F90B2C" w:rsidRPr="00F90B2C" w:rsidP="008621E7" w14:paraId="0B905EC2" w14:textId="77777777">
      <w:pPr>
        <w:widowControl/>
        <w:pBdr>
          <w:top w:val="nil"/>
          <w:left w:val="nil"/>
          <w:bottom w:val="nil"/>
          <w:right w:val="nil"/>
          <w:between w:val="nil"/>
        </w:pBdr>
      </w:pPr>
    </w:p>
    <w:p w:rsidR="00774BBC" w:rsidP="008621E7" w14:paraId="3C8FE210"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the collection of information impacts small businesses or other small entities, describe any methods used to minimize burden.</w:t>
      </w:r>
    </w:p>
    <w:p w:rsidR="00F90B2C" w:rsidRPr="00F90B2C" w:rsidP="008621E7" w14:paraId="16C559E3" w14:textId="77777777">
      <w:pPr>
        <w:widowControl/>
        <w:pBdr>
          <w:top w:val="nil"/>
          <w:left w:val="nil"/>
          <w:bottom w:val="nil"/>
          <w:right w:val="nil"/>
          <w:between w:val="nil"/>
        </w:pBdr>
      </w:pPr>
    </w:p>
    <w:p w:rsidR="008D79EB" w:rsidRPr="008D79EB" w:rsidP="008621E7" w14:paraId="0574C08E" w14:textId="46C36300">
      <w:pPr>
        <w:widowControl/>
        <w:autoSpaceDE w:val="0"/>
        <w:autoSpaceDN w:val="0"/>
        <w:spacing w:before="160" w:after="240"/>
        <w:contextualSpacing/>
        <w:rPr>
          <w:rFonts w:eastAsia="Arial"/>
          <w:lang w:bidi="en-US"/>
        </w:rPr>
      </w:pPr>
      <w:r w:rsidRPr="008D79EB">
        <w:rPr>
          <w:rFonts w:eastAsia="Arial"/>
          <w:color w:val="000000"/>
          <w:lang w:bidi="en-US"/>
        </w:rPr>
        <w:t>This collection-of-information impact</w:t>
      </w:r>
      <w:r w:rsidR="00CC12C5">
        <w:rPr>
          <w:rFonts w:eastAsia="Arial"/>
          <w:color w:val="000000"/>
          <w:lang w:bidi="en-US"/>
        </w:rPr>
        <w:t>s</w:t>
      </w:r>
      <w:r w:rsidRPr="008D79EB">
        <w:rPr>
          <w:rFonts w:eastAsia="Arial"/>
          <w:color w:val="000000"/>
          <w:lang w:bidi="en-US"/>
        </w:rPr>
        <w:t xml:space="preserve"> some small entities. NMFS has attempted to minimize the burden of the VMS requirements on small entities primarily through the </w:t>
      </w:r>
      <w:r w:rsidRPr="008D79EB">
        <w:rPr>
          <w:rFonts w:eastAsia="Arial"/>
          <w:lang w:bidi="en-US"/>
        </w:rPr>
        <w:t>VMS Reimbursement Program to offset the cost of purchasing a VMS unit. More information about this program is in the response to Question #13.</w:t>
      </w:r>
    </w:p>
    <w:p w:rsidR="00F90B2C" w:rsidP="008621E7" w14:paraId="2C161CAD" w14:textId="00E8622B">
      <w:pPr>
        <w:widowControl/>
        <w:pBdr>
          <w:top w:val="nil"/>
          <w:left w:val="nil"/>
          <w:bottom w:val="nil"/>
          <w:right w:val="nil"/>
          <w:between w:val="nil"/>
        </w:pBdr>
      </w:pPr>
    </w:p>
    <w:p w:rsidR="00D153BE" w:rsidP="008621E7" w14:paraId="60A953CA" w14:textId="2052CBAA">
      <w:pPr>
        <w:widowControl/>
        <w:pBdr>
          <w:top w:val="nil"/>
          <w:left w:val="nil"/>
          <w:bottom w:val="nil"/>
          <w:right w:val="nil"/>
          <w:between w:val="nil"/>
        </w:pBdr>
      </w:pPr>
      <w:r>
        <w:t xml:space="preserve">The VMS requirements added by the rule (RIN 0648-BM42) are part of the </w:t>
      </w:r>
      <w:r w:rsidRPr="00D153BE">
        <w:t>monitoring, recordkeeping, and reporting measures</w:t>
      </w:r>
      <w:r>
        <w:t xml:space="preserve"> that would </w:t>
      </w:r>
      <w:r w:rsidRPr="00D153BE">
        <w:t>increase direct costs and burden to the</w:t>
      </w:r>
      <w:r w:rsidR="004E5203">
        <w:t xml:space="preserve"> participants of the</w:t>
      </w:r>
      <w:r w:rsidRPr="00D153BE">
        <w:t xml:space="preserve"> </w:t>
      </w:r>
      <w:r w:rsidRPr="004E5203">
        <w:t>Cook Inlet EEZ commercial salmon fishery</w:t>
      </w:r>
      <w:r w:rsidRPr="00D153BE">
        <w:t xml:space="preserve">. It is expected that all vessel operators participating in the </w:t>
      </w:r>
      <w:r w:rsidRPr="000A7659" w:rsidR="000A7659">
        <w:t>Cook Inlet EEZ</w:t>
      </w:r>
      <w:r w:rsidRPr="000A7659" w:rsidR="000A7659">
        <w:t xml:space="preserve"> </w:t>
      </w:r>
      <w:r w:rsidRPr="00D153BE">
        <w:t>salmon drift gillnet fishery would qualify for a reimbursement under the VMS Reimbursement Program. However, vessel operators would have to replace their VMS units at their own expense as units wore out or became technologically obsolete.</w:t>
      </w:r>
    </w:p>
    <w:p w:rsidR="00D153BE" w:rsidP="008621E7" w14:paraId="40806EDC" w14:textId="77777777">
      <w:pPr>
        <w:widowControl/>
        <w:pBdr>
          <w:top w:val="nil"/>
          <w:left w:val="nil"/>
          <w:bottom w:val="nil"/>
          <w:right w:val="nil"/>
          <w:between w:val="nil"/>
        </w:pBdr>
      </w:pPr>
    </w:p>
    <w:p w:rsidR="00EA39B8" w:rsidRPr="00F90B2C" w:rsidP="00D153BE" w14:paraId="473082A0" w14:textId="2E2EF318">
      <w:pPr>
        <w:widowControl/>
        <w:pBdr>
          <w:top w:val="nil"/>
          <w:left w:val="nil"/>
          <w:bottom w:val="nil"/>
          <w:right w:val="nil"/>
          <w:between w:val="nil"/>
        </w:pBdr>
      </w:pPr>
      <w:r w:rsidRPr="004E5203">
        <w:t xml:space="preserve">While these </w:t>
      </w:r>
      <w:r>
        <w:t>requirements</w:t>
      </w:r>
      <w:r w:rsidRPr="004E5203">
        <w:t xml:space="preserve"> do increase costs to commercial fishery participants, </w:t>
      </w:r>
      <w:r>
        <w:t>they</w:t>
      </w:r>
      <w:r w:rsidRPr="004E5203">
        <w:t xml:space="preserve"> are required by NMFS to manage the fishery and prevent overfishing. Specific consideration was given in their development to minimize burden to the extent practicable while also providing required information to Federal fishery managers in a timely manner. All entities that would be directly regulated by this action could also choose to continue participating in only the State waters fisheries to avoid being subject to these Federal requirements.</w:t>
      </w:r>
    </w:p>
    <w:p w:rsidR="00D153BE" w:rsidP="008621E7" w14:paraId="5A0DFFB7" w14:textId="53EBA3EA">
      <w:pPr>
        <w:widowControl/>
        <w:pBdr>
          <w:top w:val="nil"/>
          <w:left w:val="nil"/>
          <w:bottom w:val="nil"/>
          <w:right w:val="nil"/>
          <w:between w:val="nil"/>
        </w:pBdr>
      </w:pPr>
    </w:p>
    <w:p w:rsidR="00774BBC" w:rsidP="008621E7" w14:paraId="0D448024"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F90B2C" w:rsidRPr="00F90B2C" w:rsidP="008621E7" w14:paraId="1C1A81F1" w14:textId="77777777">
      <w:pPr>
        <w:widowControl/>
        <w:pBdr>
          <w:top w:val="nil"/>
          <w:left w:val="nil"/>
          <w:bottom w:val="nil"/>
          <w:right w:val="nil"/>
          <w:between w:val="nil"/>
        </w:pBdr>
      </w:pPr>
    </w:p>
    <w:p w:rsidR="008D79EB" w:rsidRPr="008D79EB" w:rsidP="008621E7" w14:paraId="43C62417" w14:textId="099C5B07">
      <w:pPr>
        <w:widowControl/>
        <w:autoSpaceDE w:val="0"/>
        <w:autoSpaceDN w:val="0"/>
        <w:spacing w:after="240"/>
        <w:contextualSpacing/>
        <w:rPr>
          <w:rFonts w:eastAsia="Arial"/>
          <w:sz w:val="22"/>
          <w:szCs w:val="22"/>
          <w:lang w:bidi="en-US"/>
        </w:rPr>
      </w:pPr>
      <w:r w:rsidRPr="008D79EB">
        <w:rPr>
          <w:rFonts w:eastAsia="Arial"/>
          <w:color w:val="000000"/>
          <w:lang w:bidi="en-US"/>
        </w:rPr>
        <w:t xml:space="preserve">The VMS is an integral part of the management of the fisheries in the Alaska Region for reasons described in more detail in the response to Questions #1 and </w:t>
      </w:r>
      <w:r w:rsidR="003E1F4C">
        <w:rPr>
          <w:rFonts w:eastAsia="Arial"/>
          <w:color w:val="000000"/>
          <w:lang w:bidi="en-US"/>
        </w:rPr>
        <w:t xml:space="preserve"># </w:t>
      </w:r>
      <w:r w:rsidRPr="008D79EB">
        <w:rPr>
          <w:rFonts w:eastAsia="Arial"/>
          <w:color w:val="000000"/>
          <w:lang w:bidi="en-US"/>
        </w:rPr>
        <w:t>2. The inability to collect vessel location through VMS would reduce NMFS’s ability to monitor and enforce complex, overlapping, and numerous closure areas, area-specific allocations to individuals and entities, and other regulatory limitations.</w:t>
      </w:r>
    </w:p>
    <w:p w:rsidR="00F90B2C" w:rsidRPr="00F90B2C" w:rsidP="008621E7" w14:paraId="20B8BC38" w14:textId="77777777">
      <w:pPr>
        <w:widowControl/>
        <w:pBdr>
          <w:top w:val="nil"/>
          <w:left w:val="nil"/>
          <w:bottom w:val="nil"/>
          <w:right w:val="nil"/>
          <w:between w:val="nil"/>
        </w:pBdr>
      </w:pPr>
    </w:p>
    <w:p w:rsidR="00774BBC" w:rsidP="008621E7" w14:paraId="6A19760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special circumstances that would cause an information collection to be conducted in a manner inconsistent with OMB guidelines.</w:t>
      </w:r>
    </w:p>
    <w:p w:rsidR="008D79EB" w:rsidP="0000582A" w14:paraId="6C40C625" w14:textId="78CB57E2">
      <w:pPr>
        <w:widowControl/>
        <w:tabs>
          <w:tab w:val="left" w:pos="360"/>
        </w:tabs>
        <w:autoSpaceDE w:val="0"/>
        <w:autoSpaceDN w:val="0"/>
        <w:spacing w:before="120"/>
        <w:rPr>
          <w:rFonts w:eastAsia="Arial"/>
          <w:lang w:bidi="en-US"/>
        </w:rPr>
      </w:pPr>
      <w:r>
        <w:rPr>
          <w:rFonts w:eastAsia="Arial"/>
          <w:lang w:bidi="en-US"/>
        </w:rPr>
        <w:t xml:space="preserve">This collection will be conducted in a manner consistent with OMB guidelines.  </w:t>
      </w:r>
      <w:r w:rsidRPr="008D79EB">
        <w:rPr>
          <w:rFonts w:eastAsia="Arial"/>
          <w:lang w:bidi="en-US"/>
        </w:rPr>
        <w:t>Although VMS units transmit the location of a vessel several times per hour, the VMS unit is automatic and requires no reporting effort by the vessel operator. Therefore, this information collection does not</w:t>
      </w:r>
      <w:r w:rsidRPr="008D79EB">
        <w:rPr>
          <w:rFonts w:eastAsia="Arial"/>
          <w:lang w:bidi="en-US"/>
        </w:rPr>
        <w:t xml:space="preserve"> </w:t>
      </w:r>
      <w:r w:rsidRPr="008D79EB">
        <w:rPr>
          <w:rFonts w:eastAsia="Arial"/>
          <w:lang w:bidi="en-US"/>
        </w:rPr>
        <w:t>require respondents to report information to the agency more often than</w:t>
      </w:r>
      <w:r w:rsidRPr="008D79EB">
        <w:rPr>
          <w:rFonts w:eastAsia="Arial"/>
          <w:spacing w:val="-16"/>
          <w:lang w:bidi="en-US"/>
        </w:rPr>
        <w:t xml:space="preserve"> </w:t>
      </w:r>
      <w:r w:rsidRPr="008D79EB">
        <w:rPr>
          <w:rFonts w:eastAsia="Arial"/>
          <w:lang w:bidi="en-US"/>
        </w:rPr>
        <w:t>quarterly.</w:t>
      </w:r>
    </w:p>
    <w:p w:rsidR="0000582A" w:rsidRPr="008D79EB" w:rsidP="008621E7" w14:paraId="1913BB7A" w14:textId="77777777">
      <w:pPr>
        <w:widowControl/>
        <w:tabs>
          <w:tab w:val="left" w:pos="360"/>
        </w:tabs>
        <w:autoSpaceDE w:val="0"/>
        <w:autoSpaceDN w:val="0"/>
        <w:spacing w:before="80"/>
        <w:contextualSpacing/>
        <w:rPr>
          <w:rFonts w:eastAsia="Arial"/>
          <w:lang w:bidi="en-US"/>
        </w:rPr>
      </w:pPr>
    </w:p>
    <w:p w:rsidR="00774BBC" w:rsidP="008621E7" w14:paraId="43842BFC"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96A24" w:rsidRPr="00996A24" w:rsidP="008621E7" w14:paraId="6582A59D" w14:textId="77777777">
      <w:pPr>
        <w:widowControl/>
        <w:pBdr>
          <w:top w:val="nil"/>
          <w:left w:val="nil"/>
          <w:bottom w:val="nil"/>
          <w:right w:val="nil"/>
          <w:between w:val="nil"/>
        </w:pBdr>
      </w:pPr>
    </w:p>
    <w:p w:rsidR="0000582A" w:rsidRPr="0024429A" w:rsidP="0000582A" w14:paraId="33F74DBF" w14:textId="07D08B4E">
      <w:pPr>
        <w:widowControl/>
        <w:autoSpaceDE w:val="0"/>
        <w:autoSpaceDN w:val="0"/>
        <w:rPr>
          <w:rFonts w:eastAsiaTheme="minorHAnsi" w:cstheme="minorBidi"/>
        </w:rPr>
      </w:pPr>
      <w:r w:rsidRPr="00AD246C">
        <w:rPr>
          <w:rFonts w:eastAsiaTheme="minorHAnsi" w:cstheme="minorBidi"/>
        </w:rPr>
        <w:t>A proposed rule (RIN 0648-</w:t>
      </w:r>
      <w:r w:rsidR="0030033D">
        <w:rPr>
          <w:rFonts w:eastAsiaTheme="minorHAnsi" w:cstheme="minorBidi"/>
        </w:rPr>
        <w:t>BM42</w:t>
      </w:r>
      <w:r w:rsidRPr="00AD246C">
        <w:rPr>
          <w:rFonts w:eastAsiaTheme="minorHAnsi" w:cstheme="minorBidi"/>
        </w:rPr>
        <w:t>) soliciting public comments will be published coincident with this submission.</w:t>
      </w:r>
      <w:r w:rsidRPr="0024429A">
        <w:rPr>
          <w:rFonts w:eastAsiaTheme="minorHAnsi" w:cstheme="minorBidi"/>
        </w:rPr>
        <w:t xml:space="preserve"> </w:t>
      </w:r>
    </w:p>
    <w:p w:rsidR="00996A24" w:rsidRPr="00996A24" w:rsidP="008621E7" w14:paraId="20B3686B" w14:textId="77777777">
      <w:pPr>
        <w:widowControl/>
        <w:pBdr>
          <w:top w:val="nil"/>
          <w:left w:val="nil"/>
          <w:bottom w:val="nil"/>
          <w:right w:val="nil"/>
          <w:between w:val="nil"/>
        </w:pBdr>
      </w:pPr>
    </w:p>
    <w:p w:rsidR="00774BBC" w:rsidRPr="00996A24" w:rsidP="008621E7" w14:paraId="1DB99D4D" w14:textId="77777777">
      <w:pPr>
        <w:widowControl/>
        <w:numPr>
          <w:ilvl w:val="0"/>
          <w:numId w:val="3"/>
        </w:numPr>
        <w:pBdr>
          <w:top w:val="nil"/>
          <w:left w:val="nil"/>
          <w:bottom w:val="nil"/>
          <w:right w:val="nil"/>
          <w:between w:val="nil"/>
        </w:pBdr>
        <w:tabs>
          <w:tab w:val="left" w:pos="360"/>
        </w:tabs>
        <w:ind w:left="0" w:firstLine="0"/>
        <w:rPr>
          <w:b/>
        </w:rPr>
      </w:pPr>
      <w:r w:rsidRPr="00996A24">
        <w:rPr>
          <w:b/>
        </w:rPr>
        <w:t>Explain any decision to provide any payment or gift to respondents, other than remuneration of contractors or grantees.</w:t>
      </w:r>
    </w:p>
    <w:p w:rsidR="00996A24" w:rsidRPr="00996A24" w:rsidP="008621E7" w14:paraId="3DD56C6A" w14:textId="77777777">
      <w:pPr>
        <w:widowControl/>
        <w:pBdr>
          <w:top w:val="nil"/>
          <w:left w:val="nil"/>
          <w:bottom w:val="nil"/>
          <w:right w:val="nil"/>
          <w:between w:val="nil"/>
        </w:pBdr>
      </w:pPr>
    </w:p>
    <w:p w:rsidR="008D79EB" w:rsidRPr="008D79EB" w:rsidP="008621E7" w14:paraId="20A47633" w14:textId="77777777">
      <w:pPr>
        <w:widowControl/>
        <w:autoSpaceDE w:val="0"/>
        <w:autoSpaceDN w:val="0"/>
        <w:spacing w:before="240" w:after="240"/>
        <w:contextualSpacing/>
        <w:rPr>
          <w:rFonts w:eastAsia="Arial"/>
          <w:color w:val="000000"/>
          <w:lang w:bidi="en-US"/>
        </w:rPr>
      </w:pPr>
      <w:r w:rsidRPr="008D79EB">
        <w:rPr>
          <w:rFonts w:eastAsia="Arial"/>
          <w:color w:val="000000"/>
          <w:lang w:bidi="en-US"/>
        </w:rPr>
        <w:t>No payment or gift to respondents is provided under this program.</w:t>
      </w:r>
    </w:p>
    <w:p w:rsidR="00996A24" w:rsidRPr="00996A24" w:rsidP="008621E7" w14:paraId="6B472E6A" w14:textId="77777777">
      <w:pPr>
        <w:widowControl/>
        <w:pBdr>
          <w:top w:val="nil"/>
          <w:left w:val="nil"/>
          <w:bottom w:val="nil"/>
          <w:right w:val="nil"/>
          <w:between w:val="nil"/>
        </w:pBdr>
      </w:pPr>
    </w:p>
    <w:p w:rsidR="00774BBC" w:rsidRPr="00996A24" w:rsidP="008621E7" w14:paraId="24CC80E3" w14:textId="77777777">
      <w:pPr>
        <w:widowControl/>
        <w:numPr>
          <w:ilvl w:val="0"/>
          <w:numId w:val="3"/>
        </w:numPr>
        <w:pBdr>
          <w:top w:val="nil"/>
          <w:left w:val="nil"/>
          <w:bottom w:val="nil"/>
          <w:right w:val="nil"/>
          <w:between w:val="nil"/>
        </w:pBdr>
        <w:tabs>
          <w:tab w:val="left" w:pos="360"/>
        </w:tabs>
        <w:ind w:left="0" w:firstLine="0"/>
        <w:rPr>
          <w:b/>
        </w:rPr>
      </w:pPr>
      <w:r w:rsidRPr="00996A24">
        <w:rPr>
          <w:b/>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D79EB" w:rsidRPr="008D79EB" w:rsidP="008621E7" w14:paraId="338B3FFF" w14:textId="615E5A8A">
      <w:pPr>
        <w:widowControl/>
        <w:autoSpaceDE w:val="0"/>
        <w:autoSpaceDN w:val="0"/>
        <w:spacing w:before="240" w:after="240"/>
        <w:rPr>
          <w:rFonts w:eastAsia="Arial"/>
          <w:color w:val="000000"/>
          <w:lang w:bidi="en-US"/>
        </w:rPr>
      </w:pPr>
      <w:r w:rsidRPr="008D79EB">
        <w:rPr>
          <w:rFonts w:eastAsia="Arial"/>
          <w:color w:val="000000"/>
          <w:lang w:bidi="en-US"/>
        </w:rPr>
        <w:t xml:space="preserve">All VMS units include systems to minimize the risk of direct or inadvertent disclosure of vessel position. </w:t>
      </w:r>
      <w:r w:rsidRPr="008D79EB">
        <w:rPr>
          <w:rFonts w:eastAsia="Arial"/>
          <w:color w:val="000000"/>
          <w:lang w:val="en-CA" w:bidi="en-US"/>
        </w:rPr>
        <w:t>T</w:t>
      </w:r>
      <w:r w:rsidRPr="008D79EB">
        <w:rPr>
          <w:rFonts w:eastAsia="Arial"/>
          <w:color w:val="000000"/>
          <w:lang w:bidi="en-US"/>
        </w:rPr>
        <w:t xml:space="preserve">he information collected, including VMS transmissions, is confidential under section 402(b) of the Magnuson-Stevens Act (16 U.S.C. 1881a </w:t>
      </w:r>
      <w:r w:rsidRPr="008D79EB">
        <w:rPr>
          <w:rFonts w:eastAsia="Arial"/>
          <w:i/>
          <w:iCs/>
          <w:color w:val="000000"/>
          <w:lang w:bidi="en-US"/>
        </w:rPr>
        <w:t>et seq</w:t>
      </w:r>
      <w:r w:rsidRPr="008D79EB">
        <w:rPr>
          <w:rFonts w:eastAsia="Arial"/>
          <w:color w:val="000000"/>
          <w:lang w:bidi="en-US"/>
        </w:rPr>
        <w:t xml:space="preserve">.), and also under </w:t>
      </w:r>
      <w:hyperlink r:id="rId24" w:history="1">
        <w:r w:rsidRPr="002755AB" w:rsidR="002755AB">
          <w:rPr>
            <w:rStyle w:val="Hyperlink"/>
          </w:rPr>
          <w:t>NOAA Administrative Order 216-100</w:t>
        </w:r>
      </w:hyperlink>
      <w:r w:rsidRPr="008D79EB">
        <w:rPr>
          <w:rFonts w:eastAsia="Arial"/>
          <w:color w:val="000000"/>
          <w:lang w:bidi="en-US"/>
        </w:rPr>
        <w:t>, which sets forth procedures to protect confidentiality of fishery statistics.</w:t>
      </w:r>
    </w:p>
    <w:p w:rsidR="008D79EB" w:rsidP="008621E7" w14:paraId="0022DBBA" w14:textId="1753D7EB">
      <w:pPr>
        <w:widowControl/>
        <w:autoSpaceDE w:val="0"/>
        <w:autoSpaceDN w:val="0"/>
        <w:spacing w:before="240" w:after="240"/>
        <w:contextualSpacing/>
        <w:rPr>
          <w:rFonts w:eastAsia="Arial"/>
          <w:color w:val="0000FF"/>
          <w:u w:val="single"/>
          <w:lang w:bidi="en-US"/>
        </w:rPr>
      </w:pPr>
      <w:r w:rsidRPr="002755AB">
        <w:rPr>
          <w:rFonts w:eastAsia="Arial"/>
          <w:color w:val="000000"/>
          <w:lang w:bidi="en-US"/>
        </w:rPr>
        <w:t xml:space="preserve">The System of Records Notice that covers this information collection is </w:t>
      </w:r>
      <w:hyperlink r:id="rId25" w:history="1">
        <w:r>
          <w:rPr>
            <w:rFonts w:eastAsia="Arial"/>
            <w:color w:val="0000FF"/>
            <w:u w:val="single"/>
            <w:lang w:bidi="en-US"/>
          </w:rPr>
          <w:t>COMMERCE/NOAA #6: Fishermen's Statistical Data</w:t>
        </w:r>
      </w:hyperlink>
      <w:r>
        <w:rPr>
          <w:rFonts w:eastAsia="Arial"/>
          <w:color w:val="0000FF"/>
          <w:u w:val="single"/>
          <w:lang w:bidi="en-US"/>
        </w:rPr>
        <w:t>.</w:t>
      </w:r>
    </w:p>
    <w:p w:rsidR="002755AB" w:rsidRPr="002755AB" w:rsidP="008621E7" w14:paraId="72A5BAED" w14:textId="77777777">
      <w:pPr>
        <w:widowControl/>
        <w:autoSpaceDE w:val="0"/>
        <w:autoSpaceDN w:val="0"/>
        <w:spacing w:before="240" w:after="240"/>
        <w:contextualSpacing/>
        <w:rPr>
          <w:rFonts w:eastAsia="Arial"/>
          <w:color w:val="0000FF"/>
          <w:u w:val="single"/>
          <w:lang w:bidi="en-US"/>
        </w:rPr>
      </w:pPr>
    </w:p>
    <w:p w:rsidR="002755AB" w:rsidRPr="00755168" w:rsidP="002755AB" w14:paraId="106F0EEA" w14:textId="77777777">
      <w:pPr>
        <w:widowControl/>
        <w:autoSpaceDE w:val="0"/>
        <w:autoSpaceDN w:val="0"/>
        <w:rPr>
          <w:rFonts w:eastAsia="Arial"/>
          <w:lang w:bidi="en-US"/>
        </w:rPr>
      </w:pPr>
      <w:r w:rsidRPr="00755168">
        <w:rPr>
          <w:rFonts w:eastAsia="Arial"/>
          <w:lang w:bidi="en-US"/>
        </w:rPr>
        <w:t xml:space="preserve">The Privacy Impact Assessment that covers this information collection is </w:t>
      </w:r>
      <w:hyperlink r:id="rId26" w:history="1">
        <w:r w:rsidRPr="00755168">
          <w:rPr>
            <w:rFonts w:eastAsia="Arial"/>
            <w:color w:val="0000FF"/>
            <w:u w:val="single"/>
            <w:lang w:bidi="en-US"/>
          </w:rPr>
          <w:t>NOAA NMFS Alaska Region Local Area Network (NOAA4700)</w:t>
        </w:r>
      </w:hyperlink>
      <w:r w:rsidRPr="00755168">
        <w:rPr>
          <w:rFonts w:eastAsia="Arial"/>
          <w:lang w:bidi="en-US"/>
        </w:rPr>
        <w:t>.</w:t>
      </w:r>
    </w:p>
    <w:p w:rsidR="00996A24" w:rsidRPr="002755AB" w:rsidP="008621E7" w14:paraId="460EFE25" w14:textId="77777777">
      <w:pPr>
        <w:widowControl/>
        <w:pBdr>
          <w:top w:val="nil"/>
          <w:left w:val="nil"/>
          <w:bottom w:val="nil"/>
          <w:right w:val="nil"/>
          <w:between w:val="nil"/>
        </w:pBdr>
      </w:pPr>
    </w:p>
    <w:p w:rsidR="00774BBC" w:rsidRPr="00996A24" w:rsidP="008621E7" w14:paraId="4838B89E" w14:textId="77777777">
      <w:pPr>
        <w:widowControl/>
        <w:numPr>
          <w:ilvl w:val="0"/>
          <w:numId w:val="3"/>
        </w:numPr>
        <w:pBdr>
          <w:top w:val="nil"/>
          <w:left w:val="nil"/>
          <w:bottom w:val="nil"/>
          <w:right w:val="nil"/>
          <w:between w:val="nil"/>
        </w:pBdr>
        <w:tabs>
          <w:tab w:val="left" w:pos="360"/>
        </w:tabs>
        <w:ind w:left="0" w:firstLine="0"/>
        <w:rPr>
          <w:b/>
        </w:rPr>
      </w:pPr>
      <w:r w:rsidRPr="00996A24">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6A24" w:rsidRPr="002755AB" w:rsidP="008621E7" w14:paraId="5C809819" w14:textId="4B225A3C">
      <w:pPr>
        <w:widowControl/>
      </w:pPr>
    </w:p>
    <w:p w:rsidR="00660756" w:rsidRPr="00660756" w:rsidP="008621E7" w14:paraId="0BDA31C6" w14:textId="6BA294DE">
      <w:pPr>
        <w:widowControl/>
        <w:autoSpaceDE w:val="0"/>
        <w:autoSpaceDN w:val="0"/>
        <w:spacing w:before="240"/>
        <w:contextualSpacing/>
      </w:pPr>
      <w:r w:rsidRPr="008D79EB">
        <w:rPr>
          <w:rFonts w:eastAsia="Arial"/>
          <w:color w:val="000000"/>
          <w:lang w:bidi="en-US"/>
        </w:rPr>
        <w:t>This information collection does not involve information of a sensitive nature.</w:t>
      </w:r>
    </w:p>
    <w:p w:rsidR="00660756" w:rsidRPr="00660756" w:rsidP="008621E7" w14:paraId="50C54D7C" w14:textId="77777777">
      <w:pPr>
        <w:widowControl/>
      </w:pPr>
    </w:p>
    <w:p w:rsidR="00774BBC" w:rsidP="008621E7" w14:paraId="5ED304B8"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estimates of the hour burden of the collection of information.</w:t>
      </w:r>
    </w:p>
    <w:p w:rsidR="00996A24" w:rsidP="008621E7" w14:paraId="5409074E" w14:textId="374D2CDE">
      <w:pPr>
        <w:widowControl/>
        <w:ind w:left="43" w:hanging="43"/>
      </w:pPr>
    </w:p>
    <w:p w:rsidR="00015E1A" w:rsidP="00647C14" w14:paraId="18057D33" w14:textId="3BE85953">
      <w:pPr>
        <w:widowControl/>
        <w:ind w:left="43" w:hanging="43"/>
      </w:pPr>
      <w:r>
        <w:t xml:space="preserve">Total estimated unique respondents </w:t>
      </w:r>
      <w:r w:rsidRPr="008E5E12">
        <w:t xml:space="preserve">are </w:t>
      </w:r>
      <w:r w:rsidRPr="008E5E12" w:rsidR="00EB0542">
        <w:t>659</w:t>
      </w:r>
      <w:r w:rsidRPr="008E5E12">
        <w:t>.</w:t>
      </w:r>
      <w:r>
        <w:t xml:space="preserve"> </w:t>
      </w:r>
      <w:r w:rsidR="00647C14">
        <w:t xml:space="preserve">This total includes 100 new vessels that NMFS estimates will install a new VMS unit due to this rule.  </w:t>
      </w:r>
      <w:r>
        <w:t>Although, some additional vessels may install VMS, NMFS estimates that these additional vessels are covered in the conservative estimates of respondents already included in this collection.</w:t>
      </w:r>
    </w:p>
    <w:p w:rsidR="006A1899" w:rsidP="00015E1A" w14:paraId="3D6D2E32" w14:textId="77777777">
      <w:pPr>
        <w:widowControl/>
        <w:ind w:left="43" w:hanging="43"/>
      </w:pPr>
    </w:p>
    <w:p w:rsidR="008E5E12" w:rsidP="004E6D0F" w14:paraId="1AADE78B" w14:textId="77777777">
      <w:pPr>
        <w:widowControl/>
      </w:pPr>
      <w:r>
        <w:t>VMS transmissions are not considered responses or included in the burden estimates because vessel position location is automatically transmitted from the VMS unit.</w:t>
      </w:r>
    </w:p>
    <w:p w:rsidR="008E5E12" w:rsidP="004E6D0F" w14:paraId="2505C51D" w14:textId="77777777">
      <w:pPr>
        <w:widowControl/>
      </w:pPr>
    </w:p>
    <w:tbl>
      <w:tblPr>
        <w:tblStyle w:val="a0"/>
        <w:tblW w:w="10800" w:type="dxa"/>
        <w:jc w:val="center"/>
        <w:tblLayout w:type="fixed"/>
        <w:tblLook w:val="0400"/>
      </w:tblPr>
      <w:tblGrid>
        <w:gridCol w:w="1710"/>
        <w:gridCol w:w="1350"/>
        <w:gridCol w:w="1170"/>
        <w:gridCol w:w="1080"/>
        <w:gridCol w:w="1080"/>
        <w:gridCol w:w="1080"/>
        <w:gridCol w:w="1119"/>
        <w:gridCol w:w="1131"/>
        <w:gridCol w:w="1080"/>
      </w:tblGrid>
      <w:tr w14:paraId="4C2050C2" w14:textId="53B0AD54" w:rsidTr="00F04974">
        <w:tblPrEx>
          <w:tblW w:w="10800" w:type="dxa"/>
          <w:jc w:val="center"/>
          <w:tblLayout w:type="fixed"/>
          <w:tblLook w:val="0400"/>
        </w:tblPrEx>
        <w:trPr>
          <w:trHeight w:val="1087"/>
          <w:jc w:val="center"/>
        </w:trPr>
        <w:tc>
          <w:tcPr>
            <w:tcW w:w="171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EC6E89" w:rsidRPr="00F04974" w:rsidP="008621E7" w14:paraId="7730E034" w14:textId="77777777">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Information Collection</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29162BFE" w14:textId="77777777">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Type of Respondent (e.g., Occupational Title)</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52A287EA" w14:textId="77777777">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 of Respondents/year</w:t>
            </w:r>
            <w:r w:rsidRPr="00F04974">
              <w:rPr>
                <w:rFonts w:eastAsia="Calibri" w:asciiTheme="minorHAnsi" w:hAnsiTheme="minorHAnsi" w:cstheme="minorHAnsi"/>
                <w:b/>
                <w:color w:val="000000"/>
                <w:sz w:val="16"/>
                <w:szCs w:val="16"/>
              </w:rPr>
              <w:br/>
              <w:t>(a)</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4044F147" w14:textId="77777777">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Annual # of Responses / Respondent</w:t>
            </w:r>
            <w:r w:rsidRPr="00F04974">
              <w:rPr>
                <w:rFonts w:eastAsia="Calibri" w:asciiTheme="minorHAnsi" w:hAnsiTheme="minorHAnsi" w:cstheme="minorHAnsi"/>
                <w:b/>
                <w:color w:val="000000"/>
                <w:sz w:val="16"/>
                <w:szCs w:val="16"/>
              </w:rPr>
              <w:br/>
              <w:t>(b)</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2FE8FF65" w14:textId="5DB1837A">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Total # of Annual Responses</w:t>
            </w:r>
            <w:r w:rsidRPr="00F04974">
              <w:rPr>
                <w:rFonts w:eastAsia="Calibri" w:asciiTheme="minorHAnsi" w:hAnsiTheme="minorHAnsi" w:cstheme="minorHAnsi"/>
                <w:b/>
                <w:color w:val="000000"/>
                <w:sz w:val="16"/>
                <w:szCs w:val="16"/>
              </w:rPr>
              <w:br/>
              <w:t>(c) = (a) x (b)</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189A8DED" w14:textId="77777777">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 xml:space="preserve">Burden </w:t>
            </w:r>
            <w:r w:rsidRPr="00F04974">
              <w:rPr>
                <w:rFonts w:eastAsia="Calibri" w:asciiTheme="minorHAnsi" w:hAnsiTheme="minorHAnsi" w:cstheme="minorHAnsi"/>
                <w:b/>
                <w:color w:val="000000"/>
                <w:sz w:val="16"/>
                <w:szCs w:val="16"/>
              </w:rPr>
              <w:t>Hrs</w:t>
            </w:r>
            <w:r w:rsidRPr="00F04974">
              <w:rPr>
                <w:rFonts w:eastAsia="Calibri" w:asciiTheme="minorHAnsi" w:hAnsiTheme="minorHAnsi" w:cstheme="minorHAnsi"/>
                <w:b/>
                <w:color w:val="000000"/>
                <w:sz w:val="16"/>
                <w:szCs w:val="16"/>
              </w:rPr>
              <w:t xml:space="preserve"> / Response</w:t>
            </w:r>
            <w:r w:rsidRPr="00F04974">
              <w:rPr>
                <w:rFonts w:eastAsia="Calibri" w:asciiTheme="minorHAnsi" w:hAnsiTheme="minorHAnsi" w:cstheme="minorHAnsi"/>
                <w:b/>
                <w:color w:val="000000"/>
                <w:sz w:val="16"/>
                <w:szCs w:val="16"/>
              </w:rPr>
              <w:br/>
              <w:t>(d)</w:t>
            </w:r>
          </w:p>
        </w:tc>
        <w:tc>
          <w:tcPr>
            <w:tcW w:w="1119"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7C437477" w14:textId="02F4A3F9">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 xml:space="preserve">Total Annual Burden </w:t>
            </w:r>
            <w:r w:rsidRPr="00F04974">
              <w:rPr>
                <w:rFonts w:eastAsia="Calibri" w:asciiTheme="minorHAnsi" w:hAnsiTheme="minorHAnsi" w:cstheme="minorHAnsi"/>
                <w:b/>
                <w:color w:val="000000"/>
                <w:sz w:val="16"/>
                <w:szCs w:val="16"/>
              </w:rPr>
              <w:t>Hrs</w:t>
            </w:r>
            <w:r w:rsidRPr="00F04974">
              <w:rPr>
                <w:rFonts w:eastAsia="Calibri" w:asciiTheme="minorHAnsi" w:hAnsiTheme="minorHAnsi" w:cstheme="minorHAnsi"/>
                <w:b/>
                <w:color w:val="000000"/>
                <w:sz w:val="16"/>
                <w:szCs w:val="16"/>
              </w:rPr>
              <w:br/>
              <w:t>(e)</w:t>
            </w:r>
            <w:r w:rsidR="00DB03AD">
              <w:rPr>
                <w:rFonts w:eastAsia="Calibri" w:asciiTheme="minorHAnsi" w:hAnsiTheme="minorHAnsi" w:cstheme="minorHAnsi"/>
                <w:b/>
                <w:color w:val="000000"/>
                <w:sz w:val="16"/>
                <w:szCs w:val="16"/>
              </w:rPr>
              <w:t xml:space="preserve"> </w:t>
            </w:r>
            <w:r w:rsidRPr="00F04974">
              <w:rPr>
                <w:rFonts w:eastAsia="Calibri" w:asciiTheme="minorHAnsi" w:hAnsiTheme="minorHAnsi" w:cstheme="minorHAnsi"/>
                <w:b/>
                <w:color w:val="000000"/>
                <w:sz w:val="16"/>
                <w:szCs w:val="16"/>
              </w:rPr>
              <w:t>= (c) x (d)</w:t>
            </w:r>
          </w:p>
        </w:tc>
        <w:tc>
          <w:tcPr>
            <w:tcW w:w="1131"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42D80259" w14:textId="0F858356">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Hourly Wage Rate (for Type of Respondent)</w:t>
            </w:r>
            <w:r w:rsidRPr="00F04974">
              <w:rPr>
                <w:rFonts w:eastAsia="Calibri" w:asciiTheme="minorHAnsi" w:hAnsiTheme="minorHAnsi" w:cstheme="minorHAnsi"/>
                <w:b/>
                <w:color w:val="000000"/>
                <w:sz w:val="16"/>
                <w:szCs w:val="16"/>
              </w:rPr>
              <w:br/>
              <w:t>(f)</w:t>
            </w:r>
          </w:p>
        </w:tc>
        <w:tc>
          <w:tcPr>
            <w:tcW w:w="1080" w:type="dxa"/>
            <w:tcBorders>
              <w:top w:val="single" w:sz="8" w:space="0" w:color="000000"/>
              <w:left w:val="nil"/>
              <w:bottom w:val="single" w:sz="8" w:space="0" w:color="000000"/>
              <w:right w:val="single" w:sz="8" w:space="0" w:color="000000"/>
            </w:tcBorders>
            <w:shd w:val="clear" w:color="auto" w:fill="BDD7EE"/>
            <w:vAlign w:val="center"/>
          </w:tcPr>
          <w:p w:rsidR="00EC6E89" w:rsidRPr="00F04974" w:rsidP="008621E7" w14:paraId="3BF65904" w14:textId="2938CA7A">
            <w:pPr>
              <w:widowControl/>
              <w:jc w:val="center"/>
              <w:rPr>
                <w:rFonts w:eastAsia="Calibri" w:asciiTheme="minorHAnsi" w:hAnsiTheme="minorHAnsi" w:cstheme="minorHAnsi"/>
                <w:b/>
                <w:color w:val="000000"/>
                <w:sz w:val="16"/>
                <w:szCs w:val="16"/>
              </w:rPr>
            </w:pPr>
            <w:r w:rsidRPr="00F04974">
              <w:rPr>
                <w:rFonts w:eastAsia="Calibri" w:asciiTheme="minorHAnsi" w:hAnsiTheme="minorHAnsi" w:cstheme="minorHAnsi"/>
                <w:b/>
                <w:color w:val="000000"/>
                <w:sz w:val="16"/>
                <w:szCs w:val="16"/>
              </w:rPr>
              <w:t>Total Annual Wage Burden Costs</w:t>
            </w:r>
            <w:r w:rsidRPr="00F04974">
              <w:rPr>
                <w:rFonts w:eastAsia="Calibri" w:asciiTheme="minorHAnsi" w:hAnsiTheme="minorHAnsi" w:cstheme="minorHAnsi"/>
                <w:b/>
                <w:color w:val="000000"/>
                <w:sz w:val="16"/>
                <w:szCs w:val="16"/>
              </w:rPr>
              <w:br/>
              <w:t>(g) = (e) x (f)</w:t>
            </w:r>
          </w:p>
        </w:tc>
      </w:tr>
      <w:tr w14:paraId="3F351E29" w14:textId="77777777" w:rsidTr="00F04974">
        <w:tblPrEx>
          <w:tblW w:w="10800" w:type="dxa"/>
          <w:jc w:val="center"/>
          <w:tblLayout w:type="fixed"/>
          <w:tblLook w:val="0400"/>
        </w:tblPrEx>
        <w:trPr>
          <w:trHeight w:val="298"/>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5B4637" w:rsidRPr="00A20368" w:rsidP="00F06182" w14:paraId="2F841D40" w14:textId="3E202EE8">
            <w:pPr>
              <w:widowControl/>
              <w:spacing w:before="60" w:after="60"/>
              <w:rPr>
                <w:rFonts w:asciiTheme="minorHAnsi" w:hAnsiTheme="minorHAnsi" w:cstheme="minorHAnsi"/>
                <w:color w:val="000000"/>
                <w:sz w:val="18"/>
                <w:szCs w:val="18"/>
              </w:rPr>
            </w:pPr>
            <w:r w:rsidRPr="00A20368">
              <w:rPr>
                <w:rFonts w:asciiTheme="minorHAnsi" w:hAnsiTheme="minorHAnsi" w:cstheme="minorHAnsi"/>
                <w:color w:val="000000"/>
                <w:sz w:val="18"/>
                <w:szCs w:val="18"/>
              </w:rPr>
              <w:t>VMS</w:t>
            </w:r>
            <w:r w:rsidR="00E63AD2">
              <w:rPr>
                <w:rFonts w:asciiTheme="minorHAnsi" w:hAnsiTheme="minorHAnsi" w:cstheme="minorHAnsi"/>
                <w:color w:val="000000"/>
                <w:sz w:val="18"/>
                <w:szCs w:val="18"/>
              </w:rPr>
              <w:t xml:space="preserve"> </w:t>
            </w:r>
            <w:r w:rsidRPr="00A20368">
              <w:rPr>
                <w:rFonts w:asciiTheme="minorHAnsi" w:hAnsiTheme="minorHAnsi" w:cstheme="minorHAnsi"/>
                <w:color w:val="000000"/>
                <w:sz w:val="18"/>
                <w:szCs w:val="18"/>
              </w:rPr>
              <w:t>installation of new units</w:t>
            </w:r>
          </w:p>
        </w:tc>
        <w:tc>
          <w:tcPr>
            <w:tcW w:w="135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7A62E482" w14:textId="3AC94425">
            <w:pPr>
              <w:widowControl/>
              <w:spacing w:before="60" w:after="120"/>
              <w:contextualSpacing/>
              <w:jc w:val="center"/>
              <w:rPr>
                <w:rFonts w:asciiTheme="minorHAnsi" w:hAnsiTheme="minorHAnsi" w:cstheme="minorHAnsi"/>
                <w:color w:val="000000"/>
                <w:sz w:val="18"/>
                <w:szCs w:val="18"/>
              </w:rPr>
            </w:pPr>
            <w:r w:rsidRPr="00A20368">
              <w:rPr>
                <w:rFonts w:asciiTheme="minorHAnsi" w:hAnsiTheme="minorHAnsi" w:cstheme="minorHAnsi"/>
                <w:color w:val="000000"/>
                <w:sz w:val="18"/>
                <w:szCs w:val="18"/>
              </w:rPr>
              <w:t>Vessel owner</w:t>
            </w:r>
          </w:p>
        </w:tc>
        <w:tc>
          <w:tcPr>
            <w:tcW w:w="117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6B2D5154" w14:textId="77777777">
            <w:pPr>
              <w:widowControl/>
              <w:spacing w:before="60" w:after="120"/>
              <w:contextualSpacing/>
              <w:jc w:val="center"/>
              <w:rPr>
                <w:rFonts w:asciiTheme="minorHAnsi" w:hAnsiTheme="minorHAnsi" w:cstheme="minorHAnsi"/>
                <w:sz w:val="18"/>
                <w:szCs w:val="18"/>
              </w:rPr>
            </w:pPr>
            <w:r w:rsidRPr="00A20368">
              <w:rPr>
                <w:rFonts w:asciiTheme="minorHAnsi" w:hAnsiTheme="minorHAnsi" w:cstheme="minorHAnsi"/>
                <w:color w:val="000000"/>
                <w:sz w:val="18"/>
                <w:szCs w:val="18"/>
              </w:rPr>
              <w:t>33 annualized</w:t>
            </w:r>
          </w:p>
          <w:p w:rsidR="005B4637" w:rsidRPr="00A20368" w:rsidP="005B4637" w14:paraId="3EE53B46" w14:textId="4495F807">
            <w:pPr>
              <w:widowControl/>
              <w:spacing w:before="60" w:after="120"/>
              <w:contextualSpacing/>
              <w:jc w:val="center"/>
              <w:rPr>
                <w:rFonts w:asciiTheme="minorHAnsi" w:hAnsiTheme="minorHAnsi" w:cstheme="minorHAnsi"/>
                <w:color w:val="000000"/>
                <w:sz w:val="18"/>
                <w:szCs w:val="18"/>
              </w:rPr>
            </w:pPr>
            <w:r w:rsidRPr="00A20368">
              <w:rPr>
                <w:rFonts w:asciiTheme="minorHAnsi" w:hAnsiTheme="minorHAnsi" w:cstheme="minorHAnsi"/>
                <w:color w:val="000000"/>
                <w:sz w:val="18"/>
                <w:szCs w:val="18"/>
              </w:rPr>
              <w:t>(100/3)</w:t>
            </w:r>
          </w:p>
        </w:tc>
        <w:tc>
          <w:tcPr>
            <w:tcW w:w="1080" w:type="dxa"/>
            <w:tcBorders>
              <w:top w:val="nil"/>
              <w:left w:val="nil"/>
              <w:bottom w:val="single" w:sz="4" w:space="0" w:color="000000"/>
              <w:right w:val="single" w:sz="4" w:space="0" w:color="000000"/>
            </w:tcBorders>
            <w:shd w:val="clear" w:color="auto" w:fill="auto"/>
            <w:vAlign w:val="center"/>
          </w:tcPr>
          <w:p w:rsidR="005B4637" w:rsidRPr="00A20368" w:rsidP="005B4637" w14:paraId="7B1FC391" w14:textId="48590FC4">
            <w:pPr>
              <w:widowControl/>
              <w:spacing w:before="60" w:after="120"/>
              <w:contextualSpacing/>
              <w:jc w:val="center"/>
              <w:rPr>
                <w:rFonts w:eastAsia="Calibri" w:asciiTheme="minorHAnsi" w:hAnsiTheme="minorHAnsi" w:cstheme="minorHAnsi"/>
                <w:color w:val="000000"/>
                <w:sz w:val="18"/>
                <w:szCs w:val="18"/>
              </w:rPr>
            </w:pPr>
            <w:r w:rsidRPr="00A20368">
              <w:rPr>
                <w:rFonts w:eastAsia="Calibri" w:asciiTheme="minorHAnsi" w:hAnsiTheme="minorHAnsi" w:cstheme="minorHAnsi"/>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0C9E9B66" w14:textId="4E6D948F">
            <w:pPr>
              <w:widowControl/>
              <w:spacing w:before="60" w:after="120"/>
              <w:contextualSpacing/>
              <w:jc w:val="center"/>
              <w:rPr>
                <w:rFonts w:asciiTheme="minorHAnsi" w:hAnsiTheme="minorHAnsi" w:cstheme="minorHAnsi"/>
                <w:color w:val="000000"/>
                <w:sz w:val="18"/>
                <w:szCs w:val="18"/>
              </w:rPr>
            </w:pPr>
            <w:r w:rsidRPr="00A20368">
              <w:rPr>
                <w:rFonts w:asciiTheme="minorHAnsi" w:hAnsiTheme="minorHAnsi" w:cstheme="minorHAnsi"/>
                <w:color w:val="000000"/>
                <w:sz w:val="18"/>
                <w:szCs w:val="18"/>
              </w:rPr>
              <w:t>33</w:t>
            </w:r>
            <w:r>
              <w:rPr>
                <w:rFonts w:asciiTheme="minorHAnsi" w:hAnsiTheme="minorHAnsi" w:cstheme="minorHAnsi"/>
                <w:color w:val="000000"/>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3BBC4623" w14:textId="7C709873">
            <w:pPr>
              <w:widowControl/>
              <w:spacing w:before="60" w:after="120"/>
              <w:contextualSpacing/>
              <w:jc w:val="center"/>
              <w:rPr>
                <w:rFonts w:asciiTheme="minorHAnsi" w:hAnsiTheme="minorHAnsi" w:cstheme="minorHAnsi"/>
                <w:color w:val="000000"/>
                <w:sz w:val="18"/>
                <w:szCs w:val="18"/>
              </w:rPr>
            </w:pPr>
            <w:r w:rsidRPr="00A20368">
              <w:rPr>
                <w:rFonts w:asciiTheme="minorHAnsi" w:hAnsiTheme="minorHAnsi" w:cstheme="minorHAnsi"/>
                <w:color w:val="000000"/>
                <w:sz w:val="18"/>
                <w:szCs w:val="18"/>
              </w:rPr>
              <w:t xml:space="preserve">6 </w:t>
            </w:r>
            <w:r w:rsidRPr="00A20368">
              <w:rPr>
                <w:rFonts w:asciiTheme="minorHAnsi" w:hAnsiTheme="minorHAnsi" w:cstheme="minorHAnsi"/>
                <w:color w:val="000000"/>
                <w:sz w:val="18"/>
                <w:szCs w:val="18"/>
              </w:rPr>
              <w:t>hrs</w:t>
            </w:r>
          </w:p>
        </w:tc>
        <w:tc>
          <w:tcPr>
            <w:tcW w:w="1119"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40DB7B64" w14:textId="0D7CEE87">
            <w:pPr>
              <w:widowControl/>
              <w:spacing w:before="60" w:after="120"/>
              <w:contextualSpacing/>
              <w:jc w:val="center"/>
              <w:rPr>
                <w:rFonts w:asciiTheme="minorHAnsi" w:hAnsiTheme="minorHAnsi" w:cstheme="minorHAnsi"/>
                <w:color w:val="000000"/>
                <w:sz w:val="18"/>
                <w:szCs w:val="18"/>
              </w:rPr>
            </w:pPr>
            <w:r w:rsidRPr="00A20368">
              <w:rPr>
                <w:rFonts w:asciiTheme="minorHAnsi" w:hAnsiTheme="minorHAnsi" w:cstheme="minorHAnsi"/>
                <w:color w:val="000000"/>
                <w:sz w:val="18"/>
                <w:szCs w:val="18"/>
              </w:rPr>
              <w:t xml:space="preserve">200 </w:t>
            </w:r>
            <w:r>
              <w:rPr>
                <w:rFonts w:asciiTheme="minorHAnsi" w:hAnsiTheme="minorHAnsi" w:cstheme="minorHAnsi"/>
                <w:color w:val="000000"/>
                <w:sz w:val="18"/>
                <w:szCs w:val="18"/>
              </w:rPr>
              <w:t>hrs</w:t>
            </w:r>
            <w:r>
              <w:rPr>
                <w:rFonts w:asciiTheme="minorHAnsi" w:hAnsiTheme="minorHAnsi" w:cstheme="minorHAnsi"/>
                <w:color w:val="000000"/>
                <w:sz w:val="18"/>
                <w:szCs w:val="18"/>
              </w:rPr>
              <w:t xml:space="preserve"> </w:t>
            </w:r>
            <w:r w:rsidRPr="00A20368">
              <w:rPr>
                <w:rFonts w:asciiTheme="minorHAnsi" w:hAnsiTheme="minorHAnsi" w:cstheme="minorHAnsi"/>
                <w:color w:val="000000"/>
                <w:sz w:val="18"/>
                <w:szCs w:val="18"/>
              </w:rPr>
              <w:t xml:space="preserve">annualized (600 </w:t>
            </w:r>
            <w:r w:rsidRPr="00A20368">
              <w:rPr>
                <w:rFonts w:asciiTheme="minorHAnsi" w:hAnsiTheme="minorHAnsi" w:cstheme="minorHAnsi"/>
                <w:color w:val="000000"/>
                <w:sz w:val="18"/>
                <w:szCs w:val="18"/>
              </w:rPr>
              <w:t>hrs</w:t>
            </w:r>
            <w:r w:rsidRPr="00A20368">
              <w:rPr>
                <w:rFonts w:asciiTheme="minorHAnsi" w:hAnsiTheme="minorHAnsi" w:cstheme="minorHAnsi"/>
                <w:color w:val="000000"/>
                <w:sz w:val="18"/>
                <w:szCs w:val="18"/>
              </w:rPr>
              <w:t>/3)</w:t>
            </w:r>
          </w:p>
        </w:tc>
        <w:tc>
          <w:tcPr>
            <w:tcW w:w="1131" w:type="dxa"/>
            <w:tcBorders>
              <w:top w:val="nil"/>
              <w:left w:val="nil"/>
              <w:bottom w:val="single" w:sz="4" w:space="0" w:color="000000"/>
              <w:right w:val="single" w:sz="4" w:space="0" w:color="000000"/>
            </w:tcBorders>
            <w:vAlign w:val="center"/>
          </w:tcPr>
          <w:p w:rsidR="005B4637" w:rsidRPr="00A20368" w:rsidP="005B4637" w14:paraId="3F197A87" w14:textId="2520D37C">
            <w:pPr>
              <w:widowControl/>
              <w:spacing w:before="60" w:after="120"/>
              <w:contextualSpacing/>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c>
          <w:tcPr>
            <w:tcW w:w="1080" w:type="dxa"/>
            <w:tcBorders>
              <w:top w:val="nil"/>
              <w:left w:val="nil"/>
              <w:bottom w:val="single" w:sz="4" w:space="0" w:color="000000"/>
              <w:right w:val="single" w:sz="4" w:space="0" w:color="000000"/>
            </w:tcBorders>
            <w:vAlign w:val="center"/>
          </w:tcPr>
          <w:p w:rsidR="005B4637" w:rsidRPr="00A20368" w:rsidP="005B4637" w14:paraId="4F7E66A8" w14:textId="37C545B2">
            <w:pPr>
              <w:widowControl/>
              <w:spacing w:before="60" w:after="120"/>
              <w:contextualSpacing/>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1971DC32" w14:textId="74C1BEB3" w:rsidTr="00F04974">
        <w:tblPrEx>
          <w:tblW w:w="10800" w:type="dxa"/>
          <w:jc w:val="center"/>
          <w:tblLayout w:type="fixed"/>
          <w:tblLook w:val="0400"/>
        </w:tblPrEx>
        <w:trPr>
          <w:trHeight w:val="298"/>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5B4637" w:rsidRPr="00A20368" w:rsidP="00F06182" w14:paraId="0EC6EED5" w14:textId="7A069F9A">
            <w:pPr>
              <w:widowControl/>
              <w:spacing w:before="60" w:after="60"/>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VMS installation of replacement units</w:t>
            </w:r>
          </w:p>
        </w:tc>
        <w:tc>
          <w:tcPr>
            <w:tcW w:w="135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00C51861" w14:textId="286A137A">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Vessel owner</w:t>
            </w:r>
          </w:p>
        </w:tc>
        <w:tc>
          <w:tcPr>
            <w:tcW w:w="117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1F7B9E37" w14:textId="1D7DC85D">
            <w:pPr>
              <w:widowControl/>
              <w:spacing w:before="60" w:after="120"/>
              <w:contextualSpacing/>
              <w:jc w:val="center"/>
              <w:rPr>
                <w:rFonts w:asciiTheme="minorHAnsi" w:hAnsiTheme="minorHAnsi" w:cstheme="minorHAnsi"/>
                <w:sz w:val="18"/>
                <w:szCs w:val="18"/>
              </w:rPr>
            </w:pPr>
            <w:r w:rsidRPr="00A20368">
              <w:rPr>
                <w:rFonts w:asciiTheme="minorHAnsi" w:hAnsiTheme="minorHAnsi" w:cstheme="minorHAnsi"/>
                <w:color w:val="000000"/>
                <w:sz w:val="18"/>
                <w:szCs w:val="18"/>
              </w:rPr>
              <w:t>33 annualized</w:t>
            </w:r>
          </w:p>
          <w:p w:rsidR="005B4637" w:rsidRPr="00A20368" w:rsidP="005B4637" w14:paraId="24450127" w14:textId="7638D7D5">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(100/3)</w:t>
            </w:r>
          </w:p>
        </w:tc>
        <w:tc>
          <w:tcPr>
            <w:tcW w:w="1080" w:type="dxa"/>
            <w:tcBorders>
              <w:top w:val="nil"/>
              <w:left w:val="nil"/>
              <w:bottom w:val="single" w:sz="4" w:space="0" w:color="000000"/>
              <w:right w:val="single" w:sz="4" w:space="0" w:color="000000"/>
            </w:tcBorders>
            <w:shd w:val="clear" w:color="auto" w:fill="auto"/>
            <w:vAlign w:val="center"/>
          </w:tcPr>
          <w:p w:rsidR="005B4637" w:rsidRPr="00A20368" w:rsidP="005B4637" w14:paraId="064A0CB0" w14:textId="38F1D6BD">
            <w:pPr>
              <w:widowControl/>
              <w:spacing w:before="60" w:after="120"/>
              <w:contextualSpacing/>
              <w:jc w:val="center"/>
              <w:rPr>
                <w:rFonts w:eastAsia="Calibri" w:asciiTheme="minorHAnsi" w:hAnsiTheme="minorHAnsi" w:cstheme="minorHAnsi"/>
                <w:color w:val="000000"/>
                <w:sz w:val="18"/>
                <w:szCs w:val="18"/>
              </w:rPr>
            </w:pPr>
            <w:r w:rsidRPr="00A20368">
              <w:rPr>
                <w:rFonts w:eastAsia="Calibri" w:asciiTheme="minorHAnsi" w:hAnsiTheme="minorHAnsi" w:cstheme="minorHAnsi"/>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61D580E8" w14:textId="07B2D35F">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33</w:t>
            </w:r>
            <w:r>
              <w:rPr>
                <w:rFonts w:asciiTheme="minorHAnsi" w:hAnsiTheme="minorHAnsi" w:cstheme="minorHAnsi"/>
                <w:color w:val="000000"/>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56BF38FB" w14:textId="58E21F33">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 xml:space="preserve">6 </w:t>
            </w:r>
            <w:r w:rsidRPr="00A20368">
              <w:rPr>
                <w:rFonts w:asciiTheme="minorHAnsi" w:hAnsiTheme="minorHAnsi" w:cstheme="minorHAnsi"/>
                <w:color w:val="000000"/>
                <w:sz w:val="18"/>
                <w:szCs w:val="18"/>
              </w:rPr>
              <w:t>hrs</w:t>
            </w:r>
          </w:p>
        </w:tc>
        <w:tc>
          <w:tcPr>
            <w:tcW w:w="1119"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00F9DE89" w14:textId="76F677A6">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 xml:space="preserve">200 </w:t>
            </w:r>
            <w:r>
              <w:rPr>
                <w:rFonts w:asciiTheme="minorHAnsi" w:hAnsiTheme="minorHAnsi" w:cstheme="minorHAnsi"/>
                <w:color w:val="000000"/>
                <w:sz w:val="18"/>
                <w:szCs w:val="18"/>
              </w:rPr>
              <w:t>hrs</w:t>
            </w:r>
            <w:r>
              <w:rPr>
                <w:rFonts w:asciiTheme="minorHAnsi" w:hAnsiTheme="minorHAnsi" w:cstheme="minorHAnsi"/>
                <w:color w:val="000000"/>
                <w:sz w:val="18"/>
                <w:szCs w:val="18"/>
              </w:rPr>
              <w:t xml:space="preserve"> </w:t>
            </w:r>
            <w:r w:rsidRPr="00A20368">
              <w:rPr>
                <w:rFonts w:asciiTheme="minorHAnsi" w:hAnsiTheme="minorHAnsi" w:cstheme="minorHAnsi"/>
                <w:color w:val="000000"/>
                <w:sz w:val="18"/>
                <w:szCs w:val="18"/>
              </w:rPr>
              <w:t xml:space="preserve">annualized (600 </w:t>
            </w:r>
            <w:r w:rsidRPr="00A20368">
              <w:rPr>
                <w:rFonts w:asciiTheme="minorHAnsi" w:hAnsiTheme="minorHAnsi" w:cstheme="minorHAnsi"/>
                <w:color w:val="000000"/>
                <w:sz w:val="18"/>
                <w:szCs w:val="18"/>
              </w:rPr>
              <w:t>hrs</w:t>
            </w:r>
            <w:r w:rsidRPr="00A20368">
              <w:rPr>
                <w:rFonts w:asciiTheme="minorHAnsi" w:hAnsiTheme="minorHAnsi" w:cstheme="minorHAnsi"/>
                <w:color w:val="000000"/>
                <w:sz w:val="18"/>
                <w:szCs w:val="18"/>
              </w:rPr>
              <w:t>/3)</w:t>
            </w:r>
          </w:p>
        </w:tc>
        <w:tc>
          <w:tcPr>
            <w:tcW w:w="1131" w:type="dxa"/>
            <w:tcBorders>
              <w:top w:val="nil"/>
              <w:left w:val="nil"/>
              <w:bottom w:val="single" w:sz="4" w:space="0" w:color="000000"/>
              <w:right w:val="single" w:sz="4" w:space="0" w:color="000000"/>
            </w:tcBorders>
            <w:vAlign w:val="center"/>
          </w:tcPr>
          <w:p w:rsidR="005B4637" w:rsidRPr="00A20368" w:rsidP="005B4637" w14:paraId="0CDAF016" w14:textId="6BA9231B">
            <w:pPr>
              <w:widowControl/>
              <w:spacing w:before="60" w:after="120"/>
              <w:contextualSpacing/>
              <w:jc w:val="center"/>
              <w:rPr>
                <w:rFonts w:eastAsia="Calibri" w:asciiTheme="minorHAnsi" w:hAnsiTheme="minorHAnsi" w:cstheme="minorHAnsi"/>
                <w:color w:val="000000"/>
                <w:sz w:val="18"/>
                <w:szCs w:val="18"/>
                <w:vertAlign w:val="superscript"/>
              </w:rPr>
            </w:pPr>
            <w:r>
              <w:rPr>
                <w:rFonts w:eastAsia="Calibri" w:asciiTheme="minorHAnsi" w:hAnsiTheme="minorHAnsi" w:cstheme="minorHAnsi"/>
                <w:color w:val="000000"/>
                <w:sz w:val="18"/>
                <w:szCs w:val="18"/>
              </w:rPr>
              <w:t>*</w:t>
            </w:r>
          </w:p>
        </w:tc>
        <w:tc>
          <w:tcPr>
            <w:tcW w:w="1080" w:type="dxa"/>
            <w:tcBorders>
              <w:top w:val="nil"/>
              <w:left w:val="nil"/>
              <w:bottom w:val="single" w:sz="4" w:space="0" w:color="000000"/>
              <w:right w:val="single" w:sz="4" w:space="0" w:color="000000"/>
            </w:tcBorders>
            <w:vAlign w:val="center"/>
          </w:tcPr>
          <w:p w:rsidR="005B4637" w:rsidRPr="00A20368" w:rsidP="005B4637" w14:paraId="47BDC779" w14:textId="19556AA8">
            <w:pPr>
              <w:widowControl/>
              <w:spacing w:before="60" w:after="120"/>
              <w:contextualSpacing/>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714B73D1" w14:textId="569A3CE8" w:rsidTr="00F04974">
        <w:tblPrEx>
          <w:tblW w:w="10800" w:type="dxa"/>
          <w:jc w:val="center"/>
          <w:tblLayout w:type="fixed"/>
          <w:tblLook w:val="0400"/>
        </w:tblPrEx>
        <w:trPr>
          <w:trHeight w:val="298"/>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40191E2A" w14:textId="0879FD2D">
            <w:pPr>
              <w:widowControl/>
              <w:spacing w:before="60" w:after="60"/>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VMS maintenance</w:t>
            </w:r>
          </w:p>
        </w:tc>
        <w:tc>
          <w:tcPr>
            <w:tcW w:w="135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1EA70D59" w14:textId="4AF25042">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Vessel owner</w:t>
            </w:r>
          </w:p>
        </w:tc>
        <w:tc>
          <w:tcPr>
            <w:tcW w:w="117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09B7CBE1" w14:textId="657336E6">
            <w:pPr>
              <w:widowControl/>
              <w:spacing w:before="60" w:after="120"/>
              <w:contextualSpacing/>
              <w:jc w:val="center"/>
              <w:rPr>
                <w:rFonts w:eastAsia="Calibri" w:asciiTheme="minorHAnsi" w:hAnsiTheme="minorHAnsi" w:cstheme="minorHAnsi"/>
                <w:color w:val="000000"/>
                <w:sz w:val="18"/>
                <w:szCs w:val="18"/>
                <w:highlight w:val="lightGray"/>
              </w:rPr>
            </w:pPr>
            <w:r>
              <w:rPr>
                <w:rFonts w:asciiTheme="minorHAnsi" w:hAnsiTheme="minorHAnsi" w:cstheme="minorHAnsi"/>
                <w:color w:val="000000"/>
                <w:sz w:val="18"/>
                <w:szCs w:val="18"/>
              </w:rPr>
              <w:t>659</w:t>
            </w:r>
          </w:p>
        </w:tc>
        <w:tc>
          <w:tcPr>
            <w:tcW w:w="1080" w:type="dxa"/>
            <w:tcBorders>
              <w:top w:val="nil"/>
              <w:left w:val="nil"/>
              <w:bottom w:val="single" w:sz="4" w:space="0" w:color="000000"/>
              <w:right w:val="single" w:sz="4" w:space="0" w:color="000000"/>
            </w:tcBorders>
            <w:shd w:val="clear" w:color="auto" w:fill="auto"/>
            <w:vAlign w:val="center"/>
          </w:tcPr>
          <w:p w:rsidR="005B4637" w:rsidRPr="00A20368" w:rsidP="005B4637" w14:paraId="6B152138" w14:textId="184EAB97">
            <w:pPr>
              <w:widowControl/>
              <w:spacing w:before="60" w:after="120"/>
              <w:contextualSpacing/>
              <w:jc w:val="center"/>
              <w:rPr>
                <w:rFonts w:eastAsia="Calibri" w:asciiTheme="minorHAnsi" w:hAnsiTheme="minorHAnsi" w:cstheme="minorHAnsi"/>
                <w:color w:val="000000"/>
                <w:sz w:val="18"/>
                <w:szCs w:val="18"/>
              </w:rPr>
            </w:pPr>
            <w:r w:rsidRPr="00A20368">
              <w:rPr>
                <w:rFonts w:eastAsia="Calibri" w:asciiTheme="minorHAnsi" w:hAnsiTheme="minorHAnsi" w:cstheme="minorHAnsi"/>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24A8612C" w14:textId="0596B9F9">
            <w:pPr>
              <w:widowControl/>
              <w:spacing w:before="60" w:after="120"/>
              <w:contextualSpacing/>
              <w:jc w:val="center"/>
              <w:rPr>
                <w:rFonts w:eastAsia="Calibri" w:asciiTheme="minorHAnsi" w:hAnsiTheme="minorHAnsi" w:cstheme="minorHAnsi"/>
                <w:color w:val="000000"/>
                <w:sz w:val="18"/>
                <w:szCs w:val="18"/>
                <w:highlight w:val="lightGray"/>
              </w:rPr>
            </w:pPr>
            <w:r>
              <w:rPr>
                <w:rFonts w:asciiTheme="minorHAnsi" w:hAnsiTheme="minorHAnsi" w:cstheme="minorHAnsi"/>
                <w:color w:val="000000"/>
                <w:sz w:val="18"/>
                <w:szCs w:val="18"/>
              </w:rPr>
              <w:t>659*</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6AA4AA53" w14:textId="75D3DAA4">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 xml:space="preserve">4 </w:t>
            </w:r>
            <w:r w:rsidRPr="00A20368">
              <w:rPr>
                <w:rFonts w:asciiTheme="minorHAnsi" w:hAnsiTheme="minorHAnsi" w:cstheme="minorHAnsi"/>
                <w:color w:val="000000"/>
                <w:sz w:val="18"/>
                <w:szCs w:val="18"/>
              </w:rPr>
              <w:t>hrs</w:t>
            </w:r>
          </w:p>
        </w:tc>
        <w:tc>
          <w:tcPr>
            <w:tcW w:w="1119"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4A272E15" w14:textId="1B5AC7BF">
            <w:pPr>
              <w:widowControl/>
              <w:spacing w:before="60" w:after="120"/>
              <w:contextualSpacing/>
              <w:jc w:val="center"/>
              <w:rPr>
                <w:rFonts w:eastAsia="Calibri" w:asciiTheme="minorHAnsi" w:hAnsiTheme="minorHAnsi" w:cstheme="minorHAnsi"/>
                <w:color w:val="000000"/>
                <w:sz w:val="18"/>
                <w:szCs w:val="18"/>
                <w:highlight w:val="lightGray"/>
              </w:rPr>
            </w:pPr>
            <w:r w:rsidRPr="00A20368">
              <w:rPr>
                <w:rFonts w:asciiTheme="minorHAnsi" w:hAnsiTheme="minorHAnsi" w:cstheme="minorHAnsi"/>
                <w:color w:val="000000"/>
                <w:sz w:val="18"/>
                <w:szCs w:val="18"/>
              </w:rPr>
              <w:t>2,</w:t>
            </w:r>
            <w:r>
              <w:rPr>
                <w:rFonts w:asciiTheme="minorHAnsi" w:hAnsiTheme="minorHAnsi" w:cstheme="minorHAnsi"/>
                <w:color w:val="000000"/>
                <w:sz w:val="18"/>
                <w:szCs w:val="18"/>
              </w:rPr>
              <w:t>6</w:t>
            </w:r>
            <w:r w:rsidRPr="00A20368">
              <w:rPr>
                <w:rFonts w:asciiTheme="minorHAnsi" w:hAnsiTheme="minorHAnsi" w:cstheme="minorHAnsi"/>
                <w:color w:val="000000"/>
                <w:sz w:val="18"/>
                <w:szCs w:val="18"/>
              </w:rPr>
              <w:t>36</w:t>
            </w:r>
            <w:r>
              <w:rPr>
                <w:rFonts w:asciiTheme="minorHAnsi" w:hAnsiTheme="minorHAnsi" w:cstheme="minorHAnsi"/>
                <w:color w:val="000000"/>
                <w:sz w:val="18"/>
                <w:szCs w:val="18"/>
              </w:rPr>
              <w:t xml:space="preserve"> </w:t>
            </w:r>
            <w:r>
              <w:rPr>
                <w:rFonts w:asciiTheme="minorHAnsi" w:hAnsiTheme="minorHAnsi" w:cstheme="minorHAnsi"/>
                <w:color w:val="000000"/>
                <w:sz w:val="18"/>
                <w:szCs w:val="18"/>
              </w:rPr>
              <w:t>hrs</w:t>
            </w:r>
          </w:p>
        </w:tc>
        <w:tc>
          <w:tcPr>
            <w:tcW w:w="1131" w:type="dxa"/>
            <w:tcBorders>
              <w:top w:val="nil"/>
              <w:left w:val="nil"/>
              <w:bottom w:val="single" w:sz="4" w:space="0" w:color="000000"/>
              <w:right w:val="single" w:sz="4" w:space="0" w:color="000000"/>
            </w:tcBorders>
            <w:vAlign w:val="center"/>
          </w:tcPr>
          <w:p w:rsidR="005B4637" w:rsidRPr="00A20368" w:rsidP="005B4637" w14:paraId="5C1FC61A" w14:textId="78E13BE8">
            <w:pPr>
              <w:widowControl/>
              <w:spacing w:before="60" w:after="120"/>
              <w:contextualSpacing/>
              <w:jc w:val="center"/>
              <w:rPr>
                <w:rFonts w:eastAsia="Calibri" w:asciiTheme="minorHAnsi" w:hAnsiTheme="minorHAnsi" w:cstheme="minorHAnsi"/>
                <w:color w:val="000000"/>
                <w:sz w:val="18"/>
                <w:szCs w:val="18"/>
                <w:vertAlign w:val="superscript"/>
              </w:rPr>
            </w:pPr>
            <w:r>
              <w:rPr>
                <w:rFonts w:eastAsia="Calibri" w:asciiTheme="minorHAnsi" w:hAnsiTheme="minorHAnsi" w:cstheme="minorHAnsi"/>
                <w:color w:val="000000"/>
                <w:sz w:val="18"/>
                <w:szCs w:val="18"/>
              </w:rPr>
              <w:t>*</w:t>
            </w:r>
          </w:p>
        </w:tc>
        <w:tc>
          <w:tcPr>
            <w:tcW w:w="1080" w:type="dxa"/>
            <w:tcBorders>
              <w:top w:val="nil"/>
              <w:left w:val="nil"/>
              <w:bottom w:val="single" w:sz="4" w:space="0" w:color="000000"/>
              <w:right w:val="single" w:sz="4" w:space="0" w:color="000000"/>
            </w:tcBorders>
            <w:vAlign w:val="center"/>
          </w:tcPr>
          <w:p w:rsidR="005B4637" w:rsidRPr="00A20368" w:rsidP="005B4637" w14:paraId="761F62D9" w14:textId="2358A62D">
            <w:pPr>
              <w:widowControl/>
              <w:spacing w:before="60" w:after="120"/>
              <w:contextualSpacing/>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00B53F45" w14:textId="2D20257B" w:rsidTr="00F04974">
        <w:tblPrEx>
          <w:tblW w:w="10800" w:type="dxa"/>
          <w:jc w:val="center"/>
          <w:tblLayout w:type="fixed"/>
          <w:tblLook w:val="0400"/>
        </w:tblPrEx>
        <w:trPr>
          <w:trHeight w:val="298"/>
          <w:jc w:val="center"/>
        </w:trPr>
        <w:tc>
          <w:tcPr>
            <w:tcW w:w="171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76A713F4" w14:textId="4CFDD48F">
            <w:pPr>
              <w:widowControl/>
              <w:spacing w:before="60" w:after="60"/>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VMS failure troubleshooting (assume 5% failure rate/year)</w:t>
            </w:r>
          </w:p>
        </w:tc>
        <w:tc>
          <w:tcPr>
            <w:tcW w:w="135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02B581BD" w14:textId="40D050F5">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Vessel owner</w:t>
            </w:r>
          </w:p>
        </w:tc>
        <w:tc>
          <w:tcPr>
            <w:tcW w:w="117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190791C5" w14:textId="04ADADAE">
            <w:pPr>
              <w:widowControl/>
              <w:spacing w:before="60" w:after="120"/>
              <w:contextualSpacing/>
              <w:jc w:val="center"/>
              <w:rPr>
                <w:rFonts w:asciiTheme="minorHAnsi" w:hAnsiTheme="minorHAnsi" w:cstheme="minorHAnsi"/>
                <w:sz w:val="18"/>
                <w:szCs w:val="18"/>
              </w:rPr>
            </w:pPr>
            <w:r>
              <w:rPr>
                <w:rFonts w:asciiTheme="minorHAnsi" w:hAnsiTheme="minorHAnsi" w:cstheme="minorHAnsi"/>
                <w:color w:val="000000"/>
                <w:sz w:val="18"/>
                <w:szCs w:val="18"/>
              </w:rPr>
              <w:t>33</w:t>
            </w:r>
          </w:p>
          <w:p w:rsidR="005B4637" w:rsidRPr="00A20368" w:rsidP="005B4637" w14:paraId="083EDA26" w14:textId="3010679F">
            <w:pPr>
              <w:widowControl/>
              <w:spacing w:before="60" w:after="120"/>
              <w:contextualSpacing/>
              <w:jc w:val="center"/>
              <w:rPr>
                <w:rFonts w:eastAsia="Calibri" w:asciiTheme="minorHAnsi" w:hAnsiTheme="minorHAnsi" w:cstheme="minorHAnsi"/>
                <w:color w:val="000000"/>
                <w:sz w:val="18"/>
                <w:szCs w:val="18"/>
                <w:highlight w:val="lightGray"/>
              </w:rPr>
            </w:pPr>
            <w:r w:rsidRPr="00A20368">
              <w:rPr>
                <w:rFonts w:asciiTheme="minorHAnsi" w:hAnsiTheme="minorHAnsi" w:cstheme="minorHAnsi"/>
                <w:color w:val="000000"/>
                <w:sz w:val="18"/>
                <w:szCs w:val="18"/>
              </w:rPr>
              <w:t>(</w:t>
            </w:r>
            <w:r>
              <w:rPr>
                <w:rFonts w:asciiTheme="minorHAnsi" w:hAnsiTheme="minorHAnsi" w:cstheme="minorHAnsi"/>
                <w:color w:val="000000"/>
                <w:sz w:val="18"/>
                <w:szCs w:val="18"/>
              </w:rPr>
              <w:t>6</w:t>
            </w:r>
            <w:r w:rsidRPr="00A20368">
              <w:rPr>
                <w:rFonts w:asciiTheme="minorHAnsi" w:hAnsiTheme="minorHAnsi" w:cstheme="minorHAnsi"/>
                <w:color w:val="000000"/>
                <w:sz w:val="18"/>
                <w:szCs w:val="18"/>
              </w:rPr>
              <w:t>59 × 0.05)</w:t>
            </w:r>
          </w:p>
        </w:tc>
        <w:tc>
          <w:tcPr>
            <w:tcW w:w="1080" w:type="dxa"/>
            <w:tcBorders>
              <w:top w:val="nil"/>
              <w:left w:val="nil"/>
              <w:bottom w:val="single" w:sz="4" w:space="0" w:color="000000"/>
              <w:right w:val="single" w:sz="4" w:space="0" w:color="000000"/>
            </w:tcBorders>
            <w:shd w:val="clear" w:color="auto" w:fill="auto"/>
            <w:vAlign w:val="center"/>
          </w:tcPr>
          <w:p w:rsidR="005B4637" w:rsidRPr="00A20368" w:rsidP="005B4637" w14:paraId="6E4396E8" w14:textId="76FD9C9D">
            <w:pPr>
              <w:widowControl/>
              <w:spacing w:before="60" w:after="120"/>
              <w:contextualSpacing/>
              <w:jc w:val="center"/>
              <w:rPr>
                <w:rFonts w:eastAsia="Calibri" w:asciiTheme="minorHAnsi" w:hAnsiTheme="minorHAnsi" w:cstheme="minorHAnsi"/>
                <w:color w:val="000000"/>
                <w:sz w:val="18"/>
                <w:szCs w:val="18"/>
              </w:rPr>
            </w:pPr>
            <w:r w:rsidRPr="00A20368">
              <w:rPr>
                <w:rFonts w:eastAsia="Calibri" w:asciiTheme="minorHAnsi" w:hAnsiTheme="minorHAnsi" w:cstheme="minorHAnsi"/>
                <w:color w:val="000000"/>
                <w:sz w:val="18"/>
                <w:szCs w:val="18"/>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32012E78" w14:textId="00641023">
            <w:pPr>
              <w:widowControl/>
              <w:spacing w:before="60" w:after="120"/>
              <w:contextualSpacing/>
              <w:jc w:val="center"/>
              <w:rPr>
                <w:rFonts w:eastAsia="Calibri" w:asciiTheme="minorHAnsi" w:hAnsiTheme="minorHAnsi" w:cstheme="minorHAnsi"/>
                <w:color w:val="000000"/>
                <w:sz w:val="18"/>
                <w:szCs w:val="18"/>
                <w:highlight w:val="lightGray"/>
              </w:rPr>
            </w:pPr>
            <w:r>
              <w:rPr>
                <w:rFonts w:asciiTheme="minorHAnsi" w:hAnsiTheme="minorHAnsi" w:cstheme="minorHAnsi"/>
                <w:color w:val="000000"/>
                <w:sz w:val="18"/>
                <w:szCs w:val="18"/>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72608762" w14:textId="5B77CD32">
            <w:pPr>
              <w:widowControl/>
              <w:spacing w:before="60" w:after="120"/>
              <w:contextualSpacing/>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 xml:space="preserve">2 </w:t>
            </w:r>
            <w:r w:rsidRPr="00A20368">
              <w:rPr>
                <w:rFonts w:asciiTheme="minorHAnsi" w:hAnsiTheme="minorHAnsi" w:cstheme="minorHAnsi"/>
                <w:color w:val="000000"/>
                <w:sz w:val="18"/>
                <w:szCs w:val="18"/>
              </w:rPr>
              <w:t>hrs</w:t>
            </w:r>
          </w:p>
        </w:tc>
        <w:tc>
          <w:tcPr>
            <w:tcW w:w="1119" w:type="dxa"/>
            <w:tcBorders>
              <w:top w:val="single" w:sz="4" w:space="0" w:color="000000"/>
              <w:left w:val="single" w:sz="4" w:space="0" w:color="000000"/>
              <w:bottom w:val="single" w:sz="4" w:space="0" w:color="000000"/>
              <w:right w:val="single" w:sz="4" w:space="0" w:color="000000"/>
            </w:tcBorders>
            <w:vAlign w:val="center"/>
          </w:tcPr>
          <w:p w:rsidR="005B4637" w:rsidRPr="00A20368" w:rsidP="005B4637" w14:paraId="7C36B9FA" w14:textId="3A66D225">
            <w:pPr>
              <w:widowControl/>
              <w:spacing w:before="60" w:after="120"/>
              <w:contextualSpacing/>
              <w:jc w:val="center"/>
              <w:rPr>
                <w:rFonts w:eastAsia="Calibri" w:asciiTheme="minorHAnsi" w:hAnsiTheme="minorHAnsi" w:cstheme="minorHAnsi"/>
                <w:color w:val="000000"/>
                <w:sz w:val="18"/>
                <w:szCs w:val="18"/>
                <w:highlight w:val="lightGray"/>
              </w:rPr>
            </w:pPr>
            <w:r>
              <w:rPr>
                <w:rFonts w:asciiTheme="minorHAnsi" w:hAnsiTheme="minorHAnsi" w:cstheme="minorHAnsi"/>
                <w:color w:val="000000"/>
                <w:sz w:val="18"/>
                <w:szCs w:val="18"/>
              </w:rPr>
              <w:t xml:space="preserve">66 </w:t>
            </w:r>
            <w:r>
              <w:rPr>
                <w:rFonts w:asciiTheme="minorHAnsi" w:hAnsiTheme="minorHAnsi" w:cstheme="minorHAnsi"/>
                <w:color w:val="000000"/>
                <w:sz w:val="18"/>
                <w:szCs w:val="18"/>
              </w:rPr>
              <w:t>hrs</w:t>
            </w:r>
          </w:p>
        </w:tc>
        <w:tc>
          <w:tcPr>
            <w:tcW w:w="1131" w:type="dxa"/>
            <w:tcBorders>
              <w:top w:val="nil"/>
              <w:left w:val="nil"/>
              <w:bottom w:val="single" w:sz="4" w:space="0" w:color="000000"/>
              <w:right w:val="single" w:sz="4" w:space="0" w:color="000000"/>
            </w:tcBorders>
            <w:vAlign w:val="center"/>
          </w:tcPr>
          <w:p w:rsidR="005B4637" w:rsidRPr="00A20368" w:rsidP="005B4637" w14:paraId="5A89A3EE" w14:textId="47E11A6A">
            <w:pPr>
              <w:widowControl/>
              <w:spacing w:before="60" w:after="120"/>
              <w:contextualSpacing/>
              <w:jc w:val="center"/>
              <w:rPr>
                <w:rFonts w:eastAsia="Calibri" w:asciiTheme="minorHAnsi" w:hAnsiTheme="minorHAnsi" w:cstheme="minorHAnsi"/>
                <w:color w:val="000000"/>
                <w:sz w:val="18"/>
                <w:szCs w:val="18"/>
                <w:vertAlign w:val="superscript"/>
              </w:rPr>
            </w:pPr>
            <w:r>
              <w:rPr>
                <w:rFonts w:eastAsia="Calibri" w:asciiTheme="minorHAnsi" w:hAnsiTheme="minorHAnsi" w:cstheme="minorHAnsi"/>
                <w:color w:val="000000"/>
                <w:sz w:val="18"/>
                <w:szCs w:val="18"/>
              </w:rPr>
              <w:t>*</w:t>
            </w:r>
          </w:p>
        </w:tc>
        <w:tc>
          <w:tcPr>
            <w:tcW w:w="1080" w:type="dxa"/>
            <w:tcBorders>
              <w:top w:val="nil"/>
              <w:left w:val="nil"/>
              <w:bottom w:val="single" w:sz="4" w:space="0" w:color="000000"/>
              <w:right w:val="single" w:sz="4" w:space="0" w:color="000000"/>
            </w:tcBorders>
            <w:vAlign w:val="center"/>
          </w:tcPr>
          <w:p w:rsidR="005B4637" w:rsidRPr="00A20368" w:rsidP="005B4637" w14:paraId="454AA2E5" w14:textId="443F7E4D">
            <w:pPr>
              <w:widowControl/>
              <w:spacing w:before="60" w:after="120"/>
              <w:contextualSpacing/>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w:t>
            </w:r>
          </w:p>
        </w:tc>
      </w:tr>
      <w:tr w14:paraId="4CC97875" w14:textId="44D3C09F" w:rsidTr="00F04974">
        <w:tblPrEx>
          <w:tblW w:w="10800" w:type="dxa"/>
          <w:jc w:val="center"/>
          <w:tblLayout w:type="fixed"/>
          <w:tblLook w:val="0400"/>
        </w:tblPrEx>
        <w:trPr>
          <w:trHeight w:val="378"/>
          <w:jc w:val="center"/>
        </w:trPr>
        <w:tc>
          <w:tcPr>
            <w:tcW w:w="1710" w:type="dxa"/>
            <w:tcBorders>
              <w:top w:val="nil"/>
              <w:left w:val="single" w:sz="8" w:space="0" w:color="000000"/>
              <w:bottom w:val="single" w:sz="8" w:space="0" w:color="000000"/>
              <w:right w:val="single" w:sz="8" w:space="0" w:color="000000"/>
            </w:tcBorders>
            <w:shd w:val="clear" w:color="auto" w:fill="DDEBF7"/>
            <w:vAlign w:val="center"/>
          </w:tcPr>
          <w:p w:rsidR="00015E1A" w:rsidRPr="00A20368" w:rsidP="00015E1A" w14:paraId="4D83CFBE" w14:textId="44B9247D">
            <w:pPr>
              <w:widowControl/>
              <w:rPr>
                <w:rFonts w:eastAsia="Calibri" w:asciiTheme="minorHAnsi" w:hAnsiTheme="minorHAnsi" w:cstheme="minorHAnsi"/>
                <w:b/>
                <w:color w:val="000000"/>
                <w:sz w:val="18"/>
                <w:szCs w:val="18"/>
              </w:rPr>
            </w:pPr>
            <w:r w:rsidRPr="00A20368">
              <w:rPr>
                <w:rFonts w:eastAsia="Calibri" w:asciiTheme="minorHAnsi" w:hAnsiTheme="minorHAnsi" w:cstheme="minorHAnsi"/>
                <w:b/>
                <w:color w:val="000000"/>
                <w:sz w:val="18"/>
                <w:szCs w:val="18"/>
              </w:rPr>
              <w:t>Totals</w:t>
            </w:r>
          </w:p>
        </w:tc>
        <w:tc>
          <w:tcPr>
            <w:tcW w:w="1350" w:type="dxa"/>
            <w:tcBorders>
              <w:top w:val="nil"/>
              <w:left w:val="nil"/>
              <w:bottom w:val="single" w:sz="8" w:space="0" w:color="000000"/>
              <w:right w:val="single" w:sz="8" w:space="0" w:color="000000"/>
            </w:tcBorders>
            <w:shd w:val="clear" w:color="auto" w:fill="000000"/>
            <w:vAlign w:val="center"/>
          </w:tcPr>
          <w:p w:rsidR="00015E1A" w:rsidRPr="00A20368" w:rsidP="00015E1A" w14:paraId="54C5845D" w14:textId="786FD876">
            <w:pPr>
              <w:widowControl/>
              <w:jc w:val="center"/>
              <w:rPr>
                <w:rFonts w:eastAsia="Calibri" w:asciiTheme="minorHAnsi" w:hAnsiTheme="minorHAnsi" w:cstheme="minorHAnsi"/>
                <w:b/>
                <w:color w:val="000000"/>
                <w:sz w:val="18"/>
                <w:szCs w:val="18"/>
              </w:rPr>
            </w:pPr>
          </w:p>
        </w:tc>
        <w:tc>
          <w:tcPr>
            <w:tcW w:w="1170" w:type="dxa"/>
            <w:tcBorders>
              <w:top w:val="nil"/>
              <w:left w:val="nil"/>
              <w:bottom w:val="single" w:sz="8" w:space="0" w:color="000000"/>
              <w:right w:val="single" w:sz="8" w:space="0" w:color="000000"/>
            </w:tcBorders>
            <w:shd w:val="clear" w:color="auto" w:fill="000000"/>
            <w:vAlign w:val="center"/>
          </w:tcPr>
          <w:p w:rsidR="00015E1A" w:rsidRPr="00A20368" w:rsidP="00015E1A" w14:paraId="3873C38B" w14:textId="3B63A2F8">
            <w:pPr>
              <w:widowControl/>
              <w:jc w:val="center"/>
              <w:rPr>
                <w:rFonts w:eastAsia="Calibri" w:asciiTheme="minorHAnsi" w:hAnsiTheme="minorHAnsi" w:cstheme="minorHAnsi"/>
                <w:b/>
                <w:color w:val="000000"/>
                <w:sz w:val="18"/>
                <w:szCs w:val="18"/>
              </w:rPr>
            </w:pPr>
          </w:p>
        </w:tc>
        <w:tc>
          <w:tcPr>
            <w:tcW w:w="1080" w:type="dxa"/>
            <w:tcBorders>
              <w:top w:val="nil"/>
              <w:left w:val="nil"/>
              <w:bottom w:val="single" w:sz="8" w:space="0" w:color="000000"/>
              <w:right w:val="single" w:sz="8" w:space="0" w:color="000000"/>
            </w:tcBorders>
            <w:shd w:val="clear" w:color="auto" w:fill="000000"/>
            <w:vAlign w:val="center"/>
          </w:tcPr>
          <w:p w:rsidR="00015E1A" w:rsidRPr="00A20368" w:rsidP="00015E1A" w14:paraId="4C218A94" w14:textId="4996DB30">
            <w:pPr>
              <w:widowControl/>
              <w:jc w:val="center"/>
              <w:rPr>
                <w:rFonts w:eastAsia="Calibri" w:asciiTheme="minorHAnsi" w:hAnsiTheme="minorHAnsi" w:cstheme="minorHAnsi"/>
                <w:b/>
                <w:color w:val="000000"/>
                <w:sz w:val="18"/>
                <w:szCs w:val="18"/>
              </w:rPr>
            </w:pPr>
          </w:p>
        </w:tc>
        <w:tc>
          <w:tcPr>
            <w:tcW w:w="1080" w:type="dxa"/>
            <w:tcBorders>
              <w:top w:val="dotted" w:sz="4" w:space="0" w:color="000000"/>
              <w:left w:val="single" w:sz="4" w:space="0" w:color="000000"/>
              <w:bottom w:val="single" w:sz="4" w:space="0" w:color="000000"/>
              <w:right w:val="single" w:sz="4" w:space="0" w:color="000000"/>
            </w:tcBorders>
            <w:shd w:val="clear" w:color="auto" w:fill="DEEAF6"/>
            <w:vAlign w:val="center"/>
          </w:tcPr>
          <w:p w:rsidR="00015E1A" w:rsidRPr="00A20368" w:rsidP="005B4637" w14:paraId="3DCE3CDD" w14:textId="1D5A78F3">
            <w:pPr>
              <w:widowControl/>
              <w:jc w:val="center"/>
              <w:rPr>
                <w:rFonts w:eastAsia="Calibri" w:asciiTheme="minorHAnsi" w:hAnsiTheme="minorHAnsi" w:cstheme="minorHAnsi"/>
                <w:b/>
                <w:color w:val="000000"/>
                <w:sz w:val="18"/>
                <w:szCs w:val="18"/>
              </w:rPr>
            </w:pPr>
            <w:r>
              <w:rPr>
                <w:rFonts w:asciiTheme="minorHAnsi" w:hAnsiTheme="minorHAnsi" w:cstheme="minorHAnsi"/>
                <w:b/>
                <w:color w:val="000000"/>
                <w:sz w:val="18"/>
                <w:szCs w:val="18"/>
              </w:rPr>
              <w:t>758</w:t>
            </w:r>
            <w:r w:rsidR="005B4637">
              <w:rPr>
                <w:rFonts w:asciiTheme="minorHAnsi" w:hAnsiTheme="minorHAnsi" w:cstheme="minorHAnsi"/>
                <w:b/>
                <w:color w:val="000000"/>
                <w:sz w:val="18"/>
                <w:szCs w:val="18"/>
                <w:vertAlign w:val="superscript"/>
              </w:rPr>
              <w:t>*</w:t>
            </w:r>
          </w:p>
        </w:tc>
        <w:tc>
          <w:tcPr>
            <w:tcW w:w="1080" w:type="dxa"/>
            <w:tcBorders>
              <w:top w:val="nil"/>
              <w:left w:val="nil"/>
              <w:bottom w:val="single" w:sz="8" w:space="0" w:color="000000"/>
              <w:right w:val="single" w:sz="8" w:space="0" w:color="000000"/>
            </w:tcBorders>
            <w:shd w:val="clear" w:color="auto" w:fill="000000"/>
            <w:vAlign w:val="center"/>
          </w:tcPr>
          <w:p w:rsidR="00015E1A" w:rsidRPr="00A20368" w:rsidP="00015E1A" w14:paraId="2C01AFBF" w14:textId="213F9564">
            <w:pPr>
              <w:widowControl/>
              <w:jc w:val="center"/>
              <w:rPr>
                <w:rFonts w:eastAsia="Calibri" w:asciiTheme="minorHAnsi" w:hAnsiTheme="minorHAnsi" w:cstheme="minorHAnsi"/>
                <w:b/>
                <w:color w:val="000000"/>
                <w:sz w:val="18"/>
                <w:szCs w:val="18"/>
              </w:rPr>
            </w:pPr>
          </w:p>
        </w:tc>
        <w:tc>
          <w:tcPr>
            <w:tcW w:w="1119" w:type="dxa"/>
            <w:tcBorders>
              <w:top w:val="dotted" w:sz="4" w:space="0" w:color="000000"/>
              <w:left w:val="single" w:sz="4" w:space="0" w:color="000000"/>
              <w:bottom w:val="single" w:sz="4" w:space="0" w:color="000000"/>
              <w:right w:val="single" w:sz="4" w:space="0" w:color="000000"/>
            </w:tcBorders>
            <w:shd w:val="clear" w:color="auto" w:fill="DEEAF6"/>
            <w:vAlign w:val="center"/>
          </w:tcPr>
          <w:p w:rsidR="00015E1A" w:rsidRPr="00A20368" w:rsidP="00413D6E" w14:paraId="57BFF479" w14:textId="32DED3A7">
            <w:pPr>
              <w:widowControl/>
              <w:jc w:val="center"/>
              <w:rPr>
                <w:rFonts w:eastAsia="Calibri" w:asciiTheme="minorHAnsi" w:hAnsiTheme="minorHAnsi" w:cstheme="minorHAnsi"/>
                <w:b/>
                <w:color w:val="000000"/>
                <w:sz w:val="18"/>
                <w:szCs w:val="18"/>
              </w:rPr>
            </w:pPr>
            <w:r>
              <w:rPr>
                <w:rFonts w:asciiTheme="minorHAnsi" w:hAnsiTheme="minorHAnsi" w:cstheme="minorHAnsi"/>
                <w:b/>
                <w:bCs/>
                <w:color w:val="000000"/>
                <w:sz w:val="18"/>
                <w:szCs w:val="18"/>
              </w:rPr>
              <w:t>3,102</w:t>
            </w:r>
            <w:r w:rsidR="00785E10">
              <w:rPr>
                <w:rFonts w:asciiTheme="minorHAnsi" w:hAnsiTheme="minorHAnsi" w:cstheme="minorHAnsi"/>
                <w:b/>
                <w:bCs/>
                <w:color w:val="000000"/>
                <w:sz w:val="18"/>
                <w:szCs w:val="18"/>
              </w:rPr>
              <w:t xml:space="preserve"> </w:t>
            </w:r>
            <w:r w:rsidR="00785E10">
              <w:rPr>
                <w:rFonts w:asciiTheme="minorHAnsi" w:hAnsiTheme="minorHAnsi" w:cstheme="minorHAnsi"/>
                <w:b/>
                <w:bCs/>
                <w:color w:val="000000"/>
                <w:sz w:val="18"/>
                <w:szCs w:val="18"/>
              </w:rPr>
              <w:t>hrs</w:t>
            </w:r>
          </w:p>
        </w:tc>
        <w:tc>
          <w:tcPr>
            <w:tcW w:w="1131" w:type="dxa"/>
            <w:tcBorders>
              <w:top w:val="nil"/>
              <w:left w:val="nil"/>
              <w:bottom w:val="single" w:sz="8" w:space="0" w:color="000000"/>
              <w:right w:val="single" w:sz="8" w:space="0" w:color="000000"/>
            </w:tcBorders>
            <w:shd w:val="clear" w:color="auto" w:fill="000000"/>
            <w:vAlign w:val="center"/>
          </w:tcPr>
          <w:p w:rsidR="00015E1A" w:rsidRPr="00A20368" w:rsidP="00015E1A" w14:paraId="7A12A7BC" w14:textId="7E0DCFB6">
            <w:pPr>
              <w:widowControl/>
              <w:jc w:val="center"/>
              <w:rPr>
                <w:rFonts w:eastAsia="Calibri" w:asciiTheme="minorHAnsi" w:hAnsiTheme="minorHAnsi" w:cstheme="minorHAnsi"/>
                <w:b/>
                <w:color w:val="000000"/>
                <w:sz w:val="18"/>
                <w:szCs w:val="18"/>
              </w:rPr>
            </w:pPr>
          </w:p>
        </w:tc>
        <w:tc>
          <w:tcPr>
            <w:tcW w:w="1080" w:type="dxa"/>
            <w:tcBorders>
              <w:top w:val="nil"/>
              <w:left w:val="nil"/>
              <w:bottom w:val="single" w:sz="8" w:space="0" w:color="000000"/>
              <w:right w:val="single" w:sz="8" w:space="0" w:color="000000"/>
            </w:tcBorders>
            <w:shd w:val="clear" w:color="auto" w:fill="DDEBF7"/>
            <w:vAlign w:val="center"/>
          </w:tcPr>
          <w:p w:rsidR="00015E1A" w:rsidRPr="00A20368" w:rsidP="00015E1A" w14:paraId="0A916AC2" w14:textId="2124AE5C">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$0*</w:t>
            </w:r>
          </w:p>
        </w:tc>
      </w:tr>
    </w:tbl>
    <w:p w:rsidR="00996A24" w:rsidRPr="006C7F73" w:rsidP="006C7F73" w14:paraId="70F368F2" w14:textId="4A4C0859">
      <w:pPr>
        <w:widowControl/>
        <w:spacing w:before="60"/>
        <w:rPr>
          <w:rFonts w:asciiTheme="minorHAnsi" w:hAnsiTheme="minorHAnsi" w:cstheme="minorHAnsi"/>
          <w:sz w:val="18"/>
          <w:szCs w:val="18"/>
        </w:rPr>
      </w:pPr>
      <w:r w:rsidRPr="005B4637">
        <w:rPr>
          <w:rFonts w:asciiTheme="minorHAnsi" w:hAnsiTheme="minorHAnsi" w:cstheme="minorHAnsi"/>
          <w:sz w:val="18"/>
          <w:szCs w:val="18"/>
        </w:rPr>
        <w:t>*</w:t>
      </w:r>
      <w:r>
        <w:rPr>
          <w:rFonts w:asciiTheme="minorHAnsi" w:hAnsiTheme="minorHAnsi" w:cstheme="minorHAnsi"/>
          <w:sz w:val="18"/>
          <w:szCs w:val="18"/>
        </w:rPr>
        <w:t xml:space="preserve"> </w:t>
      </w:r>
      <w:r w:rsidRPr="006C7F73" w:rsidR="006C7F73">
        <w:rPr>
          <w:rFonts w:asciiTheme="minorHAnsi" w:hAnsiTheme="minorHAnsi" w:cstheme="minorHAnsi"/>
          <w:sz w:val="18"/>
          <w:szCs w:val="18"/>
        </w:rPr>
        <w:t>The vessel owner is present during installation, maintenance, and troubleshooting operations, so there are burden hours associated with being required to be present for these activities. However, the vessel owner pays a technician an average of $128/hour to perform this work, so the labor costs associated with these activities are recorded below under miscellaneous costs. Because there is no information collected by NMFS in advance, during, or after the installation, maintenance, or troubleshooting of the VMS units, these events do not contribute to the number of responses for this information collection.</w:t>
      </w:r>
    </w:p>
    <w:p w:rsidR="00A3045E" w:rsidP="008621E7" w14:paraId="450DF38A" w14:textId="77777777">
      <w:pPr>
        <w:widowControl/>
        <w:rPr>
          <w:b/>
        </w:rPr>
      </w:pPr>
      <w:r>
        <w:rPr>
          <w:b/>
        </w:rPr>
        <w:br w:type="page"/>
      </w:r>
    </w:p>
    <w:p w:rsidR="00774BBC" w:rsidP="008621E7" w14:paraId="42FB6A29"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6312AC" w:rsidP="008621E7" w14:paraId="03F205B7" w14:textId="77777777">
      <w:pPr>
        <w:widowControl/>
        <w:pBdr>
          <w:top w:val="nil"/>
          <w:left w:val="nil"/>
          <w:bottom w:val="nil"/>
          <w:right w:val="nil"/>
          <w:between w:val="nil"/>
        </w:pBdr>
      </w:pPr>
    </w:p>
    <w:p w:rsidR="00F04974" w:rsidRPr="00996A24" w:rsidP="008621E7" w14:paraId="212767D1" w14:textId="64ACF00D">
      <w:pPr>
        <w:widowControl/>
        <w:pBdr>
          <w:top w:val="nil"/>
          <w:left w:val="nil"/>
          <w:bottom w:val="nil"/>
          <w:right w:val="nil"/>
          <w:between w:val="nil"/>
        </w:pBdr>
      </w:pPr>
      <w:r w:rsidRPr="00030252">
        <w:t>Table 13a. Summary of estimates of total annual cost burden to respondents, including capital and start-up costs and operations and maintenance costs, including the costs to hire technicians to do VMS installation, maintenance, and troubleshooting.</w:t>
      </w:r>
    </w:p>
    <w:tbl>
      <w:tblPr>
        <w:tblStyle w:val="a1"/>
        <w:tblW w:w="9519" w:type="dxa"/>
        <w:jc w:val="center"/>
        <w:tblLayout w:type="fixed"/>
        <w:tblLook w:val="0400"/>
      </w:tblPr>
      <w:tblGrid>
        <w:gridCol w:w="2510"/>
        <w:gridCol w:w="1490"/>
        <w:gridCol w:w="1210"/>
        <w:gridCol w:w="1260"/>
        <w:gridCol w:w="1800"/>
        <w:gridCol w:w="1249"/>
      </w:tblGrid>
      <w:tr w14:paraId="38CE8511" w14:textId="77777777" w:rsidTr="00F04974">
        <w:tblPrEx>
          <w:tblW w:w="9519" w:type="dxa"/>
          <w:jc w:val="center"/>
          <w:tblLayout w:type="fixed"/>
          <w:tblLook w:val="0400"/>
        </w:tblPrEx>
        <w:trPr>
          <w:trHeight w:val="830"/>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774BBC" w:rsidRPr="00F04974" w:rsidP="008621E7" w14:paraId="22EB87ED"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Information Collection</w:t>
            </w:r>
          </w:p>
        </w:tc>
        <w:tc>
          <w:tcPr>
            <w:tcW w:w="1490" w:type="dxa"/>
            <w:tcBorders>
              <w:top w:val="single" w:sz="8" w:space="0" w:color="000000"/>
              <w:left w:val="nil"/>
              <w:bottom w:val="single" w:sz="8" w:space="0" w:color="000000"/>
              <w:right w:val="single" w:sz="8" w:space="0" w:color="000000"/>
            </w:tcBorders>
            <w:shd w:val="clear" w:color="auto" w:fill="BDD7EE"/>
            <w:vAlign w:val="center"/>
          </w:tcPr>
          <w:p w:rsidR="00774BBC" w:rsidRPr="00F04974" w:rsidP="008621E7" w14:paraId="40CA44E5"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 of Respondents/year</w:t>
            </w:r>
            <w:r w:rsidRPr="00F04974">
              <w:rPr>
                <w:rFonts w:ascii="Calibri" w:eastAsia="Calibri" w:hAnsi="Calibri" w:cs="Calibri"/>
                <w:b/>
                <w:color w:val="000000"/>
                <w:sz w:val="16"/>
                <w:szCs w:val="16"/>
              </w:rPr>
              <w:br/>
              <w:t>(a)</w:t>
            </w:r>
          </w:p>
        </w:tc>
        <w:tc>
          <w:tcPr>
            <w:tcW w:w="1210" w:type="dxa"/>
            <w:tcBorders>
              <w:top w:val="single" w:sz="8" w:space="0" w:color="000000"/>
              <w:left w:val="nil"/>
              <w:bottom w:val="single" w:sz="8" w:space="0" w:color="000000"/>
              <w:right w:val="single" w:sz="8" w:space="0" w:color="000000"/>
            </w:tcBorders>
            <w:shd w:val="clear" w:color="auto" w:fill="BDD7EE"/>
            <w:vAlign w:val="center"/>
          </w:tcPr>
          <w:p w:rsidR="00774BBC" w:rsidRPr="00F04974" w:rsidP="008621E7" w14:paraId="2AC1EF11"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Annual # of Responses / Respondent</w:t>
            </w:r>
            <w:r w:rsidRPr="00F04974">
              <w:rPr>
                <w:rFonts w:ascii="Calibri" w:eastAsia="Calibri" w:hAnsi="Calibri" w:cs="Calibri"/>
                <w:b/>
                <w:color w:val="000000"/>
                <w:sz w:val="16"/>
                <w:szCs w:val="16"/>
              </w:rPr>
              <w:br/>
              <w:t>(b)</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774BBC" w:rsidRPr="00F04974" w:rsidP="008621E7" w14:paraId="6CFD2BE6"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 xml:space="preserve"> Total # of Annual Responses</w:t>
            </w:r>
            <w:r w:rsidRPr="00F04974">
              <w:rPr>
                <w:rFonts w:ascii="Calibri" w:eastAsia="Calibri" w:hAnsi="Calibri" w:cs="Calibri"/>
                <w:b/>
                <w:color w:val="000000"/>
                <w:sz w:val="16"/>
                <w:szCs w:val="16"/>
              </w:rPr>
              <w:br/>
              <w:t>(c) = (a) x (b)</w:t>
            </w:r>
          </w:p>
        </w:tc>
        <w:tc>
          <w:tcPr>
            <w:tcW w:w="1800" w:type="dxa"/>
            <w:tcBorders>
              <w:top w:val="single" w:sz="8" w:space="0" w:color="000000"/>
              <w:left w:val="nil"/>
              <w:bottom w:val="single" w:sz="8" w:space="0" w:color="000000"/>
              <w:right w:val="single" w:sz="8" w:space="0" w:color="000000"/>
            </w:tcBorders>
            <w:shd w:val="clear" w:color="auto" w:fill="BDD7EE"/>
            <w:vAlign w:val="center"/>
          </w:tcPr>
          <w:p w:rsidR="00774BBC" w:rsidRPr="00F04974" w:rsidP="008621E7" w14:paraId="478A16C2"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Cost Burden / Respondent</w:t>
            </w:r>
            <w:r w:rsidRPr="00F04974">
              <w:rPr>
                <w:rFonts w:ascii="Calibri" w:eastAsia="Calibri" w:hAnsi="Calibri" w:cs="Calibri"/>
                <w:b/>
                <w:color w:val="000000"/>
                <w:sz w:val="16"/>
                <w:szCs w:val="16"/>
              </w:rPr>
              <w:br/>
              <w:t>(h)</w:t>
            </w:r>
          </w:p>
        </w:tc>
        <w:tc>
          <w:tcPr>
            <w:tcW w:w="1249" w:type="dxa"/>
            <w:tcBorders>
              <w:top w:val="single" w:sz="8" w:space="0" w:color="000000"/>
              <w:left w:val="nil"/>
              <w:bottom w:val="single" w:sz="8" w:space="0" w:color="000000"/>
              <w:right w:val="single" w:sz="8" w:space="0" w:color="000000"/>
            </w:tcBorders>
            <w:shd w:val="clear" w:color="auto" w:fill="BDD7EE"/>
            <w:vAlign w:val="center"/>
          </w:tcPr>
          <w:p w:rsidR="00774BBC" w:rsidRPr="00F04974" w:rsidP="008621E7" w14:paraId="1797E23A" w14:textId="77777777">
            <w:pPr>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Total Annual Cost Burden</w:t>
            </w:r>
            <w:r w:rsidRPr="00F04974">
              <w:rPr>
                <w:rFonts w:ascii="Calibri" w:eastAsia="Calibri" w:hAnsi="Calibri" w:cs="Calibri"/>
                <w:b/>
                <w:color w:val="000000"/>
                <w:sz w:val="16"/>
                <w:szCs w:val="16"/>
              </w:rPr>
              <w:br/>
              <w:t>(</w:t>
            </w:r>
            <w:r w:rsidRPr="00F04974">
              <w:rPr>
                <w:rFonts w:ascii="Calibri" w:eastAsia="Calibri" w:hAnsi="Calibri" w:cs="Calibri"/>
                <w:b/>
                <w:color w:val="000000"/>
                <w:sz w:val="16"/>
                <w:szCs w:val="16"/>
              </w:rPr>
              <w:t>i</w:t>
            </w:r>
            <w:r w:rsidRPr="00F04974">
              <w:rPr>
                <w:rFonts w:ascii="Calibri" w:eastAsia="Calibri" w:hAnsi="Calibri" w:cs="Calibri"/>
                <w:b/>
                <w:color w:val="000000"/>
                <w:sz w:val="16"/>
                <w:szCs w:val="16"/>
              </w:rPr>
              <w:t>) = (c) x (h)</w:t>
            </w:r>
          </w:p>
        </w:tc>
      </w:tr>
      <w:tr w14:paraId="73D7B239" w14:textId="0BE6EA20" w:rsidTr="00F06182">
        <w:tblPrEx>
          <w:tblW w:w="9519" w:type="dxa"/>
          <w:jc w:val="center"/>
          <w:tblLayout w:type="fixed"/>
          <w:tblLook w:val="0400"/>
        </w:tblPrEx>
        <w:trPr>
          <w:trHeight w:val="269"/>
          <w:jc w:val="center"/>
        </w:trPr>
        <w:tc>
          <w:tcPr>
            <w:tcW w:w="2510" w:type="dxa"/>
            <w:tcBorders>
              <w:top w:val="single" w:sz="4" w:space="0" w:color="000000"/>
              <w:left w:val="single" w:sz="4" w:space="0" w:color="000000"/>
              <w:bottom w:val="single" w:sz="4" w:space="0" w:color="000000"/>
              <w:right w:val="single" w:sz="4" w:space="0" w:color="000000"/>
            </w:tcBorders>
            <w:vAlign w:val="center"/>
          </w:tcPr>
          <w:p w:rsidR="00E63AD2" w:rsidRPr="00A20368" w:rsidP="00F06182" w14:paraId="4764D27E" w14:textId="0FAA333A">
            <w:pPr>
              <w:widowControl/>
              <w:rPr>
                <w:rFonts w:eastAsia="Calibri" w:asciiTheme="minorHAnsi" w:hAnsiTheme="minorHAnsi" w:cstheme="minorHAnsi"/>
                <w:sz w:val="18"/>
                <w:szCs w:val="18"/>
              </w:rPr>
            </w:pPr>
            <w:r w:rsidRPr="00A20368">
              <w:rPr>
                <w:rFonts w:asciiTheme="minorHAnsi" w:hAnsiTheme="minorHAnsi" w:cstheme="minorHAnsi"/>
                <w:color w:val="000000"/>
                <w:sz w:val="18"/>
                <w:szCs w:val="18"/>
              </w:rPr>
              <w:t>VMS</w:t>
            </w:r>
            <w:r>
              <w:rPr>
                <w:rFonts w:asciiTheme="minorHAnsi" w:hAnsiTheme="minorHAnsi" w:cstheme="minorHAnsi"/>
                <w:color w:val="000000"/>
                <w:sz w:val="18"/>
                <w:szCs w:val="18"/>
              </w:rPr>
              <w:t xml:space="preserve"> </w:t>
            </w:r>
            <w:r w:rsidRPr="00A20368">
              <w:rPr>
                <w:rFonts w:asciiTheme="minorHAnsi" w:hAnsiTheme="minorHAnsi" w:cstheme="minorHAnsi"/>
                <w:color w:val="000000"/>
                <w:sz w:val="18"/>
                <w:szCs w:val="18"/>
              </w:rPr>
              <w:t>installation of new units</w:t>
            </w:r>
          </w:p>
        </w:tc>
        <w:tc>
          <w:tcPr>
            <w:tcW w:w="1490" w:type="dxa"/>
            <w:tcBorders>
              <w:top w:val="nil"/>
              <w:left w:val="nil"/>
              <w:bottom w:val="single" w:sz="4" w:space="0" w:color="auto"/>
              <w:right w:val="single" w:sz="4" w:space="0" w:color="auto"/>
            </w:tcBorders>
            <w:shd w:val="clear" w:color="000000" w:fill="FFFFFF"/>
            <w:vAlign w:val="center"/>
          </w:tcPr>
          <w:p w:rsidR="00E63AD2" w:rsidRPr="00A20368" w:rsidP="00E63AD2" w14:paraId="4EA530CA" w14:textId="77777777">
            <w:pPr>
              <w:widowControl/>
              <w:contextualSpacing/>
              <w:jc w:val="center"/>
              <w:rPr>
                <w:rFonts w:eastAsia="Calibri" w:asciiTheme="minorHAnsi" w:hAnsiTheme="minorHAnsi" w:cstheme="minorHAnsi"/>
                <w:sz w:val="18"/>
                <w:szCs w:val="18"/>
              </w:rPr>
            </w:pPr>
            <w:r w:rsidRPr="00A20368">
              <w:rPr>
                <w:rFonts w:eastAsia="Calibri" w:asciiTheme="minorHAnsi" w:hAnsiTheme="minorHAnsi" w:cstheme="minorHAnsi"/>
                <w:sz w:val="18"/>
                <w:szCs w:val="18"/>
              </w:rPr>
              <w:t>33 annualized</w:t>
            </w:r>
          </w:p>
          <w:p w:rsidR="00E63AD2" w:rsidRPr="00A20368" w:rsidP="00E63AD2" w14:paraId="01EC12E1" w14:textId="324DA5B4">
            <w:pPr>
              <w:widowControl/>
              <w:contextualSpacing/>
              <w:jc w:val="center"/>
              <w:rPr>
                <w:rFonts w:eastAsia="Calibri" w:asciiTheme="minorHAnsi" w:hAnsiTheme="minorHAnsi" w:cstheme="minorHAnsi"/>
                <w:sz w:val="18"/>
                <w:szCs w:val="18"/>
                <w:highlight w:val="cyan"/>
              </w:rPr>
            </w:pPr>
            <w:r w:rsidRPr="00A20368">
              <w:rPr>
                <w:rFonts w:eastAsia="Calibri" w:asciiTheme="minorHAnsi" w:hAnsiTheme="minorHAnsi" w:cstheme="minorHAnsi"/>
                <w:sz w:val="18"/>
                <w:szCs w:val="18"/>
              </w:rPr>
              <w:t>(100/3)</w:t>
            </w:r>
          </w:p>
        </w:tc>
        <w:tc>
          <w:tcPr>
            <w:tcW w:w="1210" w:type="dxa"/>
            <w:tcBorders>
              <w:top w:val="nil"/>
              <w:left w:val="nil"/>
              <w:bottom w:val="single" w:sz="4" w:space="0" w:color="auto"/>
              <w:right w:val="single" w:sz="4" w:space="0" w:color="auto"/>
            </w:tcBorders>
            <w:shd w:val="clear" w:color="000000" w:fill="FFFFFF"/>
            <w:vAlign w:val="center"/>
          </w:tcPr>
          <w:p w:rsidR="00E63AD2" w:rsidRPr="00A20368" w:rsidP="00E63AD2" w14:paraId="589CF2D1" w14:textId="475FF721">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260" w:type="dxa"/>
            <w:tcBorders>
              <w:top w:val="nil"/>
              <w:left w:val="nil"/>
              <w:bottom w:val="single" w:sz="4" w:space="0" w:color="auto"/>
              <w:right w:val="single" w:sz="4" w:space="0" w:color="auto"/>
            </w:tcBorders>
            <w:shd w:val="clear" w:color="000000" w:fill="FFFFFF"/>
            <w:vAlign w:val="center"/>
          </w:tcPr>
          <w:p w:rsidR="00E63AD2" w:rsidRPr="00A20368" w:rsidP="00E63AD2" w14:paraId="181C14CC" w14:textId="56ACD863">
            <w:pPr>
              <w:widowControl/>
              <w:jc w:val="center"/>
              <w:rPr>
                <w:rFonts w:eastAsia="Calibri" w:asciiTheme="minorHAnsi" w:hAnsiTheme="minorHAnsi" w:cstheme="minorHAnsi"/>
                <w:sz w:val="18"/>
                <w:szCs w:val="18"/>
                <w:highlight w:val="cyan"/>
              </w:rPr>
            </w:pPr>
            <w:r w:rsidRPr="00A20368">
              <w:rPr>
                <w:rFonts w:eastAsia="Calibri" w:asciiTheme="minorHAnsi" w:hAnsiTheme="minorHAnsi" w:cstheme="minorHAnsi"/>
                <w:sz w:val="18"/>
                <w:szCs w:val="18"/>
              </w:rPr>
              <w:t>33</w:t>
            </w:r>
          </w:p>
        </w:tc>
        <w:tc>
          <w:tcPr>
            <w:tcW w:w="1800" w:type="dxa"/>
            <w:tcBorders>
              <w:top w:val="nil"/>
              <w:left w:val="nil"/>
              <w:bottom w:val="single" w:sz="4" w:space="0" w:color="auto"/>
              <w:right w:val="single" w:sz="4" w:space="0" w:color="auto"/>
            </w:tcBorders>
            <w:shd w:val="clear" w:color="000000" w:fill="FFFFFF"/>
            <w:vAlign w:val="center"/>
          </w:tcPr>
          <w:p w:rsidR="00E63AD2" w:rsidRPr="00A20368" w:rsidP="00E63AD2" w14:paraId="08568A90" w14:textId="22BD12FF">
            <w:pPr>
              <w:widowControl/>
              <w:jc w:val="center"/>
              <w:rPr>
                <w:rFonts w:eastAsia="Calibri" w:asciiTheme="minorHAnsi" w:hAnsiTheme="minorHAnsi" w:cstheme="minorHAnsi"/>
                <w:sz w:val="18"/>
                <w:szCs w:val="18"/>
              </w:rPr>
            </w:pPr>
            <w:r>
              <w:rPr>
                <w:rFonts w:eastAsia="Calibri" w:asciiTheme="minorHAnsi" w:hAnsiTheme="minorHAnsi" w:cstheme="minorHAnsi"/>
                <w:sz w:val="18"/>
                <w:szCs w:val="18"/>
              </w:rPr>
              <w:t>$0</w:t>
            </w:r>
            <w:r w:rsidRPr="00A20368">
              <w:rPr>
                <w:rFonts w:eastAsia="Calibri" w:asciiTheme="minorHAnsi" w:hAnsiTheme="minorHAnsi" w:cstheme="minorHAnsi"/>
                <w:sz w:val="18"/>
                <w:szCs w:val="18"/>
                <w:vertAlign w:val="superscript"/>
              </w:rPr>
              <w:t>1</w:t>
            </w:r>
          </w:p>
        </w:tc>
        <w:tc>
          <w:tcPr>
            <w:tcW w:w="1249" w:type="dxa"/>
            <w:tcBorders>
              <w:top w:val="nil"/>
              <w:left w:val="nil"/>
              <w:bottom w:val="single" w:sz="4" w:space="0" w:color="auto"/>
              <w:right w:val="single" w:sz="8" w:space="0" w:color="auto"/>
            </w:tcBorders>
            <w:shd w:val="clear" w:color="000000" w:fill="FFFFFF"/>
            <w:vAlign w:val="center"/>
          </w:tcPr>
          <w:p w:rsidR="00E63AD2" w:rsidRPr="00A20368" w:rsidP="00E63AD2" w14:paraId="7B0E6F7B" w14:textId="3CB991A3">
            <w:pPr>
              <w:widowControl/>
              <w:jc w:val="center"/>
              <w:rPr>
                <w:rFonts w:eastAsia="Calibri" w:asciiTheme="minorHAnsi" w:hAnsiTheme="minorHAnsi" w:cstheme="minorHAnsi"/>
                <w:sz w:val="18"/>
                <w:szCs w:val="18"/>
                <w:highlight w:val="cyan"/>
              </w:rPr>
            </w:pPr>
            <w:r>
              <w:rPr>
                <w:rFonts w:eastAsia="Calibri" w:asciiTheme="minorHAnsi" w:hAnsiTheme="minorHAnsi" w:cstheme="minorHAnsi"/>
                <w:sz w:val="18"/>
                <w:szCs w:val="18"/>
              </w:rPr>
              <w:t>$</w:t>
            </w:r>
            <w:r w:rsidRPr="00BE7418">
              <w:rPr>
                <w:rFonts w:eastAsia="Calibri" w:asciiTheme="minorHAnsi" w:hAnsiTheme="minorHAnsi" w:cstheme="minorHAnsi"/>
                <w:sz w:val="18"/>
                <w:szCs w:val="18"/>
              </w:rPr>
              <w:t>0</w:t>
            </w:r>
          </w:p>
        </w:tc>
      </w:tr>
      <w:tr w14:paraId="70418733" w14:textId="77777777" w:rsidTr="00F06182">
        <w:tblPrEx>
          <w:tblW w:w="9519" w:type="dxa"/>
          <w:jc w:val="center"/>
          <w:tblLayout w:type="fixed"/>
          <w:tblLook w:val="0400"/>
        </w:tblPrEx>
        <w:trPr>
          <w:trHeight w:val="269"/>
          <w:jc w:val="center"/>
        </w:trPr>
        <w:tc>
          <w:tcPr>
            <w:tcW w:w="2510" w:type="dxa"/>
            <w:tcBorders>
              <w:top w:val="single" w:sz="4" w:space="0" w:color="000000"/>
              <w:left w:val="single" w:sz="4" w:space="0" w:color="000000"/>
              <w:bottom w:val="single" w:sz="4" w:space="0" w:color="000000"/>
              <w:right w:val="single" w:sz="4" w:space="0" w:color="000000"/>
            </w:tcBorders>
            <w:vAlign w:val="center"/>
          </w:tcPr>
          <w:p w:rsidR="00E63AD2" w:rsidRPr="00A20368" w:rsidP="00F06182" w14:paraId="65D3A747" w14:textId="76DF10FB">
            <w:pPr>
              <w:widowControl/>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VMS installation of replacement units</w:t>
            </w:r>
          </w:p>
        </w:tc>
        <w:tc>
          <w:tcPr>
            <w:tcW w:w="1490" w:type="dxa"/>
            <w:tcBorders>
              <w:top w:val="nil"/>
              <w:left w:val="nil"/>
              <w:bottom w:val="single" w:sz="4" w:space="0" w:color="auto"/>
              <w:right w:val="single" w:sz="4" w:space="0" w:color="auto"/>
            </w:tcBorders>
            <w:shd w:val="clear" w:color="000000" w:fill="FFFFFF"/>
            <w:vAlign w:val="center"/>
          </w:tcPr>
          <w:p w:rsidR="00E63AD2" w:rsidRPr="00A20368" w:rsidP="00E63AD2" w14:paraId="23316AEE" w14:textId="09C35DCD">
            <w:pPr>
              <w:widowControl/>
              <w:contextualSpacing/>
              <w:jc w:val="center"/>
              <w:rPr>
                <w:rFonts w:eastAsia="Calibri" w:asciiTheme="minorHAnsi" w:hAnsiTheme="minorHAnsi" w:cstheme="minorHAnsi"/>
                <w:sz w:val="18"/>
                <w:szCs w:val="18"/>
              </w:rPr>
            </w:pPr>
            <w:r w:rsidRPr="00A20368">
              <w:rPr>
                <w:rFonts w:eastAsia="Calibri" w:asciiTheme="minorHAnsi" w:hAnsiTheme="minorHAnsi" w:cstheme="minorHAnsi"/>
                <w:sz w:val="18"/>
                <w:szCs w:val="18"/>
              </w:rPr>
              <w:t>33 annualized</w:t>
            </w:r>
          </w:p>
          <w:p w:rsidR="00E63AD2" w:rsidRPr="00A20368" w:rsidP="00E63AD2" w14:paraId="03C5414A" w14:textId="1B665BB8">
            <w:pPr>
              <w:widowControl/>
              <w:jc w:val="center"/>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(100/3)</w:t>
            </w:r>
          </w:p>
        </w:tc>
        <w:tc>
          <w:tcPr>
            <w:tcW w:w="1210" w:type="dxa"/>
            <w:tcBorders>
              <w:top w:val="nil"/>
              <w:left w:val="nil"/>
              <w:bottom w:val="single" w:sz="4" w:space="0" w:color="auto"/>
              <w:right w:val="single" w:sz="4" w:space="0" w:color="auto"/>
            </w:tcBorders>
            <w:shd w:val="clear" w:color="000000" w:fill="FFFFFF"/>
            <w:vAlign w:val="center"/>
          </w:tcPr>
          <w:p w:rsidR="00E63AD2" w:rsidRPr="00A20368" w:rsidP="00E63AD2" w14:paraId="416655FA" w14:textId="5C768DAB">
            <w:pPr>
              <w:widowControl/>
              <w:jc w:val="center"/>
              <w:rPr>
                <w:rFonts w:eastAsia="Calibri" w:asciiTheme="minorHAnsi" w:hAnsiTheme="minorHAnsi" w:cstheme="minorHAnsi"/>
                <w:color w:val="000000"/>
                <w:sz w:val="18"/>
                <w:szCs w:val="18"/>
              </w:rPr>
            </w:pPr>
            <w:r w:rsidRPr="00A20368">
              <w:rPr>
                <w:rFonts w:asciiTheme="minorHAnsi" w:hAnsiTheme="minorHAnsi" w:cstheme="minorHAnsi"/>
                <w:color w:val="000000"/>
                <w:sz w:val="18"/>
                <w:szCs w:val="18"/>
              </w:rPr>
              <w:t>1</w:t>
            </w:r>
          </w:p>
        </w:tc>
        <w:tc>
          <w:tcPr>
            <w:tcW w:w="1260" w:type="dxa"/>
            <w:tcBorders>
              <w:top w:val="nil"/>
              <w:left w:val="nil"/>
              <w:bottom w:val="single" w:sz="4" w:space="0" w:color="auto"/>
              <w:right w:val="single" w:sz="4" w:space="0" w:color="auto"/>
            </w:tcBorders>
            <w:shd w:val="clear" w:color="000000" w:fill="FFFFFF"/>
            <w:vAlign w:val="center"/>
          </w:tcPr>
          <w:p w:rsidR="00E63AD2" w:rsidRPr="00A20368" w:rsidP="00E63AD2" w14:paraId="0DFD241A" w14:textId="4F358928">
            <w:pPr>
              <w:widowControl/>
              <w:jc w:val="center"/>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33</w:t>
            </w:r>
          </w:p>
        </w:tc>
        <w:tc>
          <w:tcPr>
            <w:tcW w:w="1800" w:type="dxa"/>
            <w:tcBorders>
              <w:top w:val="nil"/>
              <w:left w:val="nil"/>
              <w:bottom w:val="single" w:sz="4" w:space="0" w:color="auto"/>
              <w:right w:val="single" w:sz="4" w:space="0" w:color="auto"/>
            </w:tcBorders>
            <w:shd w:val="clear" w:color="000000" w:fill="FFFFFF"/>
            <w:vAlign w:val="center"/>
          </w:tcPr>
          <w:p w:rsidR="00E63AD2" w:rsidRPr="00A20368" w:rsidP="00E63AD2" w14:paraId="435EA979" w14:textId="53DAEB48">
            <w:pPr>
              <w:widowControl/>
              <w:jc w:val="center"/>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$3,100 per replacement unit</w:t>
            </w:r>
          </w:p>
        </w:tc>
        <w:tc>
          <w:tcPr>
            <w:tcW w:w="1249" w:type="dxa"/>
            <w:tcBorders>
              <w:top w:val="nil"/>
              <w:left w:val="nil"/>
              <w:bottom w:val="single" w:sz="4" w:space="0" w:color="auto"/>
              <w:right w:val="single" w:sz="8" w:space="0" w:color="auto"/>
            </w:tcBorders>
            <w:shd w:val="clear" w:color="000000" w:fill="FFFFFF"/>
            <w:vAlign w:val="center"/>
          </w:tcPr>
          <w:p w:rsidR="00E63AD2" w:rsidRPr="00A20368" w:rsidP="00E63AD2" w14:paraId="2198715B" w14:textId="1313AE5F">
            <w:pPr>
              <w:widowControl/>
              <w:jc w:val="center"/>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$102,300</w:t>
            </w:r>
          </w:p>
        </w:tc>
      </w:tr>
      <w:tr w14:paraId="1476ABDB" w14:textId="77777777" w:rsidTr="00F04974">
        <w:tblPrEx>
          <w:tblW w:w="9519" w:type="dxa"/>
          <w:jc w:val="center"/>
          <w:tblLayout w:type="fixed"/>
          <w:tblLook w:val="0400"/>
        </w:tblPrEx>
        <w:trPr>
          <w:trHeight w:val="269"/>
          <w:jc w:val="center"/>
        </w:trPr>
        <w:tc>
          <w:tcPr>
            <w:tcW w:w="2510" w:type="dxa"/>
            <w:tcBorders>
              <w:top w:val="nil"/>
              <w:left w:val="single" w:sz="4" w:space="0" w:color="auto"/>
              <w:bottom w:val="single" w:sz="4" w:space="0" w:color="auto"/>
              <w:right w:val="single" w:sz="4" w:space="0" w:color="auto"/>
            </w:tcBorders>
            <w:shd w:val="clear" w:color="auto" w:fill="auto"/>
            <w:vAlign w:val="center"/>
          </w:tcPr>
          <w:p w:rsidR="00030252" w:rsidRPr="00A20368" w:rsidP="00030252" w14:paraId="1CEC92E2" w14:textId="6E0803A8">
            <w:pPr>
              <w:widowControl/>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VMS daily transmission costs</w:t>
            </w:r>
          </w:p>
        </w:tc>
        <w:tc>
          <w:tcPr>
            <w:tcW w:w="1490" w:type="dxa"/>
            <w:tcBorders>
              <w:top w:val="nil"/>
              <w:left w:val="nil"/>
              <w:bottom w:val="single" w:sz="4" w:space="0" w:color="auto"/>
              <w:right w:val="single" w:sz="4" w:space="0" w:color="auto"/>
            </w:tcBorders>
            <w:shd w:val="clear" w:color="000000" w:fill="FFFFFF"/>
            <w:vAlign w:val="center"/>
          </w:tcPr>
          <w:p w:rsidR="00030252" w:rsidRPr="00A20368" w:rsidP="00030252" w14:paraId="3ACBBC8C" w14:textId="5D0B00FA">
            <w:pPr>
              <w:widowControl/>
              <w:jc w:val="center"/>
              <w:rPr>
                <w:rFonts w:eastAsia="Calibri" w:asciiTheme="minorHAnsi" w:hAnsiTheme="minorHAnsi" w:cstheme="minorHAnsi"/>
                <w:color w:val="000000"/>
                <w:sz w:val="18"/>
                <w:szCs w:val="18"/>
                <w:highlight w:val="lightGray"/>
              </w:rPr>
            </w:pPr>
            <w:r w:rsidRPr="00A20368">
              <w:rPr>
                <w:rFonts w:eastAsia="Calibri" w:asciiTheme="minorHAnsi" w:hAnsiTheme="minorHAnsi" w:cstheme="minorHAnsi"/>
                <w:sz w:val="18"/>
                <w:szCs w:val="18"/>
              </w:rPr>
              <w:t>659</w:t>
            </w:r>
          </w:p>
        </w:tc>
        <w:tc>
          <w:tcPr>
            <w:tcW w:w="1210" w:type="dxa"/>
            <w:tcBorders>
              <w:top w:val="nil"/>
              <w:left w:val="nil"/>
              <w:bottom w:val="single" w:sz="4" w:space="0" w:color="auto"/>
              <w:right w:val="single" w:sz="4" w:space="0" w:color="auto"/>
            </w:tcBorders>
            <w:shd w:val="clear" w:color="000000" w:fill="FFFFFF"/>
            <w:vAlign w:val="center"/>
          </w:tcPr>
          <w:p w:rsidR="00030252" w:rsidRPr="00A20368" w:rsidP="00030252" w14:paraId="350D1589" w14:textId="602F0BE8">
            <w:pPr>
              <w:widowControl/>
              <w:jc w:val="center"/>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vertAlign w:val="superscript"/>
              </w:rPr>
              <w:t>2</w:t>
            </w:r>
          </w:p>
        </w:tc>
        <w:tc>
          <w:tcPr>
            <w:tcW w:w="1260" w:type="dxa"/>
            <w:tcBorders>
              <w:top w:val="nil"/>
              <w:left w:val="nil"/>
              <w:bottom w:val="single" w:sz="4" w:space="0" w:color="auto"/>
              <w:right w:val="single" w:sz="4" w:space="0" w:color="auto"/>
            </w:tcBorders>
            <w:shd w:val="clear" w:color="000000" w:fill="FFFFFF"/>
            <w:vAlign w:val="center"/>
          </w:tcPr>
          <w:p w:rsidR="00030252" w:rsidRPr="00A20368" w:rsidP="006C5416" w14:paraId="51FFF7F8" w14:textId="20B0F7EA">
            <w:pPr>
              <w:widowControl/>
              <w:jc w:val="center"/>
              <w:rPr>
                <w:rFonts w:eastAsia="Calibri" w:asciiTheme="minorHAnsi" w:hAnsiTheme="minorHAnsi" w:cstheme="minorHAnsi"/>
                <w:color w:val="000000"/>
                <w:sz w:val="18"/>
                <w:szCs w:val="18"/>
                <w:highlight w:val="cyan"/>
              </w:rPr>
            </w:pPr>
            <w:r w:rsidRPr="00A20368">
              <w:rPr>
                <w:rFonts w:eastAsia="Calibri" w:asciiTheme="minorHAnsi" w:hAnsiTheme="minorHAnsi" w:cstheme="minorHAnsi"/>
                <w:sz w:val="18"/>
                <w:szCs w:val="18"/>
              </w:rPr>
              <w:t>659</w:t>
            </w:r>
            <w:r w:rsidRPr="00A20368">
              <w:rPr>
                <w:rFonts w:eastAsia="Calibri" w:asciiTheme="minorHAnsi" w:hAnsiTheme="minorHAnsi" w:cstheme="minorHAnsi"/>
                <w:sz w:val="18"/>
                <w:szCs w:val="18"/>
                <w:vertAlign w:val="superscript"/>
              </w:rPr>
              <w:t>2</w:t>
            </w:r>
          </w:p>
        </w:tc>
        <w:tc>
          <w:tcPr>
            <w:tcW w:w="1800" w:type="dxa"/>
            <w:tcBorders>
              <w:top w:val="nil"/>
              <w:left w:val="nil"/>
              <w:bottom w:val="single" w:sz="4" w:space="0" w:color="auto"/>
              <w:right w:val="single" w:sz="4" w:space="0" w:color="auto"/>
            </w:tcBorders>
            <w:shd w:val="clear" w:color="000000" w:fill="FFFFFF"/>
            <w:vAlign w:val="center"/>
          </w:tcPr>
          <w:p w:rsidR="00030252" w:rsidRPr="00A20368" w:rsidP="006C5416" w14:paraId="63D8BEB5" w14:textId="293ABDF5">
            <w:pPr>
              <w:widowControl/>
              <w:jc w:val="center"/>
              <w:rPr>
                <w:rFonts w:eastAsia="Calibri" w:asciiTheme="minorHAnsi" w:hAnsiTheme="minorHAnsi" w:cstheme="minorHAnsi"/>
                <w:color w:val="000000"/>
                <w:sz w:val="18"/>
                <w:szCs w:val="18"/>
                <w:highlight w:val="cyan"/>
              </w:rPr>
            </w:pPr>
            <w:r w:rsidRPr="00A20368">
              <w:rPr>
                <w:rFonts w:eastAsia="Calibri" w:asciiTheme="minorHAnsi" w:hAnsiTheme="minorHAnsi" w:cstheme="minorHAnsi"/>
                <w:sz w:val="18"/>
                <w:szCs w:val="18"/>
              </w:rPr>
              <w:t>$720</w:t>
            </w:r>
            <w:r w:rsidRPr="00A20368" w:rsidR="006C5416">
              <w:rPr>
                <w:rFonts w:eastAsia="Calibri" w:asciiTheme="minorHAnsi" w:hAnsiTheme="minorHAnsi" w:cstheme="minorHAnsi"/>
                <w:sz w:val="18"/>
                <w:szCs w:val="18"/>
                <w:vertAlign w:val="superscript"/>
              </w:rPr>
              <w:t>3</w:t>
            </w:r>
          </w:p>
        </w:tc>
        <w:tc>
          <w:tcPr>
            <w:tcW w:w="1249" w:type="dxa"/>
            <w:tcBorders>
              <w:top w:val="nil"/>
              <w:left w:val="nil"/>
              <w:bottom w:val="single" w:sz="4" w:space="0" w:color="auto"/>
              <w:right w:val="single" w:sz="8" w:space="0" w:color="auto"/>
            </w:tcBorders>
            <w:shd w:val="clear" w:color="000000" w:fill="FFFFFF"/>
            <w:vAlign w:val="center"/>
          </w:tcPr>
          <w:p w:rsidR="00030252" w:rsidRPr="00A20368" w:rsidP="0057250A" w14:paraId="0D1908E3" w14:textId="40238CF9">
            <w:pPr>
              <w:widowControl/>
              <w:jc w:val="center"/>
              <w:rPr>
                <w:rFonts w:eastAsia="Calibri" w:asciiTheme="minorHAnsi" w:hAnsiTheme="minorHAnsi" w:cstheme="minorHAnsi"/>
                <w:color w:val="000000"/>
                <w:sz w:val="18"/>
                <w:szCs w:val="18"/>
                <w:highlight w:val="cyan"/>
              </w:rPr>
            </w:pPr>
            <w:r w:rsidRPr="00A20368">
              <w:rPr>
                <w:rFonts w:eastAsia="Calibri" w:asciiTheme="minorHAnsi" w:hAnsiTheme="minorHAnsi" w:cstheme="minorHAnsi"/>
                <w:sz w:val="18"/>
                <w:szCs w:val="18"/>
              </w:rPr>
              <w:t>$</w:t>
            </w:r>
            <w:r w:rsidRPr="00A20368" w:rsidR="0057250A">
              <w:rPr>
                <w:rFonts w:eastAsia="Calibri" w:asciiTheme="minorHAnsi" w:hAnsiTheme="minorHAnsi" w:cstheme="minorHAnsi"/>
                <w:sz w:val="18"/>
                <w:szCs w:val="18"/>
              </w:rPr>
              <w:t>474,480</w:t>
            </w:r>
            <w:r w:rsidRPr="00A20368" w:rsidR="006C5416">
              <w:rPr>
                <w:rFonts w:eastAsia="Calibri" w:asciiTheme="minorHAnsi" w:hAnsiTheme="minorHAnsi" w:cstheme="minorHAnsi"/>
                <w:sz w:val="18"/>
                <w:szCs w:val="18"/>
                <w:vertAlign w:val="superscript"/>
              </w:rPr>
              <w:t>3</w:t>
            </w:r>
          </w:p>
        </w:tc>
      </w:tr>
      <w:tr w14:paraId="11B40E63" w14:textId="77777777" w:rsidTr="00F04974">
        <w:tblPrEx>
          <w:tblW w:w="9519" w:type="dxa"/>
          <w:jc w:val="center"/>
          <w:tblLayout w:type="fixed"/>
          <w:tblLook w:val="0400"/>
        </w:tblPrEx>
        <w:trPr>
          <w:trHeight w:val="269"/>
          <w:jc w:val="center"/>
        </w:trPr>
        <w:tc>
          <w:tcPr>
            <w:tcW w:w="2510" w:type="dxa"/>
            <w:tcBorders>
              <w:top w:val="nil"/>
              <w:left w:val="single" w:sz="4" w:space="0" w:color="auto"/>
              <w:bottom w:val="single" w:sz="4" w:space="0" w:color="auto"/>
              <w:right w:val="single" w:sz="4" w:space="0" w:color="auto"/>
            </w:tcBorders>
            <w:shd w:val="clear" w:color="auto" w:fill="auto"/>
            <w:vAlign w:val="center"/>
          </w:tcPr>
          <w:p w:rsidR="00030252" w:rsidRPr="00A20368" w:rsidP="00030252" w14:paraId="27ABBDA9" w14:textId="44814881">
            <w:pPr>
              <w:widowControl/>
              <w:rPr>
                <w:rFonts w:eastAsia="Calibri" w:asciiTheme="minorHAnsi" w:hAnsiTheme="minorHAnsi" w:cstheme="minorHAnsi"/>
                <w:color w:val="000000"/>
                <w:sz w:val="18"/>
                <w:szCs w:val="18"/>
              </w:rPr>
            </w:pPr>
            <w:r w:rsidRPr="00A20368">
              <w:rPr>
                <w:rFonts w:eastAsia="Calibri" w:asciiTheme="minorHAnsi" w:hAnsiTheme="minorHAnsi" w:cstheme="minorHAnsi"/>
                <w:sz w:val="18"/>
                <w:szCs w:val="18"/>
              </w:rPr>
              <w:t>VMS installation, maintenance, and troubleshooting</w:t>
            </w:r>
          </w:p>
        </w:tc>
        <w:tc>
          <w:tcPr>
            <w:tcW w:w="1490" w:type="dxa"/>
            <w:tcBorders>
              <w:top w:val="nil"/>
              <w:left w:val="nil"/>
              <w:bottom w:val="single" w:sz="4" w:space="0" w:color="auto"/>
              <w:right w:val="single" w:sz="4" w:space="0" w:color="auto"/>
            </w:tcBorders>
            <w:shd w:val="clear" w:color="000000" w:fill="FFFFFF"/>
            <w:vAlign w:val="center"/>
          </w:tcPr>
          <w:p w:rsidR="00030252" w:rsidRPr="00785E10" w:rsidP="00030252" w14:paraId="0297D2B7" w14:textId="2EE3F271">
            <w:pPr>
              <w:widowControl/>
              <w:jc w:val="center"/>
              <w:rPr>
                <w:rFonts w:eastAsia="Calibri" w:asciiTheme="minorHAnsi" w:hAnsiTheme="minorHAnsi" w:cstheme="minorHAnsi"/>
                <w:color w:val="000000"/>
                <w:sz w:val="18"/>
                <w:szCs w:val="18"/>
              </w:rPr>
            </w:pPr>
            <w:r w:rsidRPr="00785E10">
              <w:rPr>
                <w:rFonts w:eastAsia="Calibri" w:asciiTheme="minorHAnsi" w:hAnsiTheme="minorHAnsi" w:cstheme="minorHAnsi"/>
                <w:sz w:val="18"/>
                <w:szCs w:val="18"/>
              </w:rPr>
              <w:t>758</w:t>
            </w:r>
          </w:p>
        </w:tc>
        <w:tc>
          <w:tcPr>
            <w:tcW w:w="1210" w:type="dxa"/>
            <w:tcBorders>
              <w:top w:val="nil"/>
              <w:left w:val="nil"/>
              <w:bottom w:val="single" w:sz="4" w:space="0" w:color="auto"/>
              <w:right w:val="single" w:sz="4" w:space="0" w:color="auto"/>
            </w:tcBorders>
            <w:shd w:val="clear" w:color="000000" w:fill="FFFFFF"/>
            <w:vAlign w:val="center"/>
          </w:tcPr>
          <w:p w:rsidR="00030252" w:rsidRPr="00785E10" w:rsidP="00030252" w14:paraId="157B738D" w14:textId="2580564D">
            <w:pPr>
              <w:widowControl/>
              <w:jc w:val="center"/>
              <w:rPr>
                <w:rFonts w:eastAsia="Calibri" w:asciiTheme="minorHAnsi" w:hAnsiTheme="minorHAnsi" w:cstheme="minorHAnsi"/>
                <w:color w:val="000000"/>
                <w:sz w:val="18"/>
                <w:szCs w:val="18"/>
              </w:rPr>
            </w:pPr>
            <w:r w:rsidRPr="00785E10">
              <w:rPr>
                <w:rFonts w:asciiTheme="minorHAnsi" w:hAnsiTheme="minorHAnsi" w:cstheme="minorHAnsi"/>
                <w:color w:val="000000"/>
                <w:sz w:val="18"/>
                <w:szCs w:val="18"/>
              </w:rPr>
              <w:t>1</w:t>
            </w:r>
          </w:p>
        </w:tc>
        <w:tc>
          <w:tcPr>
            <w:tcW w:w="1260" w:type="dxa"/>
            <w:tcBorders>
              <w:top w:val="nil"/>
              <w:left w:val="nil"/>
              <w:bottom w:val="single" w:sz="4" w:space="0" w:color="auto"/>
              <w:right w:val="single" w:sz="4" w:space="0" w:color="auto"/>
            </w:tcBorders>
            <w:shd w:val="clear" w:color="000000" w:fill="FFFFFF"/>
            <w:vAlign w:val="center"/>
          </w:tcPr>
          <w:p w:rsidR="00030252" w:rsidRPr="00785E10" w:rsidP="00030252" w14:paraId="3C0C9D20" w14:textId="79D8A58D">
            <w:pPr>
              <w:widowControl/>
              <w:jc w:val="center"/>
              <w:rPr>
                <w:rFonts w:eastAsia="Calibri" w:asciiTheme="minorHAnsi" w:hAnsiTheme="minorHAnsi" w:cstheme="minorHAnsi"/>
                <w:color w:val="000000"/>
                <w:sz w:val="18"/>
                <w:szCs w:val="18"/>
              </w:rPr>
            </w:pPr>
            <w:r w:rsidRPr="00785E10">
              <w:rPr>
                <w:rFonts w:eastAsia="Calibri" w:asciiTheme="minorHAnsi" w:hAnsiTheme="minorHAnsi" w:cstheme="minorHAnsi"/>
                <w:sz w:val="18"/>
                <w:szCs w:val="18"/>
              </w:rPr>
              <w:t>758</w:t>
            </w:r>
          </w:p>
        </w:tc>
        <w:tc>
          <w:tcPr>
            <w:tcW w:w="1800" w:type="dxa"/>
            <w:tcBorders>
              <w:top w:val="nil"/>
              <w:left w:val="nil"/>
              <w:bottom w:val="single" w:sz="4" w:space="0" w:color="auto"/>
              <w:right w:val="single" w:sz="4" w:space="0" w:color="auto"/>
            </w:tcBorders>
            <w:shd w:val="clear" w:color="000000" w:fill="FFFFFF"/>
            <w:vAlign w:val="center"/>
          </w:tcPr>
          <w:p w:rsidR="00F04974" w:rsidP="00F04974" w14:paraId="189F3E35" w14:textId="77777777">
            <w:pPr>
              <w:widowControl/>
              <w:jc w:val="center"/>
              <w:rPr>
                <w:rFonts w:eastAsia="Calibri" w:asciiTheme="minorHAnsi" w:hAnsiTheme="minorHAnsi" w:cstheme="minorHAnsi"/>
                <w:sz w:val="18"/>
                <w:szCs w:val="18"/>
              </w:rPr>
            </w:pPr>
            <w:r w:rsidRPr="00785E10">
              <w:rPr>
                <w:rFonts w:eastAsia="Calibri" w:asciiTheme="minorHAnsi" w:hAnsiTheme="minorHAnsi" w:cstheme="minorHAnsi"/>
                <w:sz w:val="18"/>
                <w:szCs w:val="18"/>
              </w:rPr>
              <w:t>$</w:t>
            </w:r>
            <w:r w:rsidRPr="00785E10" w:rsidR="00785E10">
              <w:rPr>
                <w:rFonts w:eastAsia="Calibri" w:asciiTheme="minorHAnsi" w:hAnsiTheme="minorHAnsi" w:cstheme="minorHAnsi"/>
                <w:sz w:val="18"/>
                <w:szCs w:val="18"/>
              </w:rPr>
              <w:t>3,102</w:t>
            </w:r>
            <w:r w:rsidRPr="00785E10" w:rsidR="007A2ECB">
              <w:rPr>
                <w:rFonts w:eastAsia="Calibri" w:asciiTheme="minorHAnsi" w:hAnsiTheme="minorHAnsi" w:cstheme="minorHAnsi"/>
                <w:sz w:val="18"/>
                <w:szCs w:val="18"/>
              </w:rPr>
              <w:t xml:space="preserve"> </w:t>
            </w:r>
            <w:r w:rsidRPr="00785E10">
              <w:rPr>
                <w:rFonts w:eastAsia="Calibri" w:asciiTheme="minorHAnsi" w:hAnsiTheme="minorHAnsi" w:cstheme="minorHAnsi"/>
                <w:sz w:val="18"/>
                <w:szCs w:val="18"/>
              </w:rPr>
              <w:t>hrs</w:t>
            </w:r>
            <w:r w:rsidRPr="00785E10">
              <w:rPr>
                <w:rFonts w:eastAsia="Calibri" w:asciiTheme="minorHAnsi" w:hAnsiTheme="minorHAnsi" w:cstheme="minorHAnsi"/>
                <w:sz w:val="18"/>
                <w:szCs w:val="18"/>
              </w:rPr>
              <w:t xml:space="preserve"> </w:t>
            </w:r>
            <w:r>
              <w:rPr>
                <w:rFonts w:eastAsia="Calibri" w:asciiTheme="minorHAnsi" w:hAnsiTheme="minorHAnsi" w:cstheme="minorHAnsi"/>
                <w:sz w:val="18"/>
                <w:szCs w:val="18"/>
              </w:rPr>
              <w:t>×</w:t>
            </w:r>
            <w:r w:rsidRPr="00785E10">
              <w:rPr>
                <w:rFonts w:eastAsia="Calibri" w:asciiTheme="minorHAnsi" w:hAnsiTheme="minorHAnsi" w:cstheme="minorHAnsi"/>
                <w:sz w:val="18"/>
                <w:szCs w:val="18"/>
              </w:rPr>
              <w:t xml:space="preserve"> $128/</w:t>
            </w:r>
            <w:r w:rsidRPr="00785E10">
              <w:rPr>
                <w:rFonts w:eastAsia="Calibri" w:asciiTheme="minorHAnsi" w:hAnsiTheme="minorHAnsi" w:cstheme="minorHAnsi"/>
                <w:sz w:val="18"/>
                <w:szCs w:val="18"/>
              </w:rPr>
              <w:t>hr</w:t>
            </w:r>
            <w:r w:rsidRPr="00785E10">
              <w:rPr>
                <w:rFonts w:eastAsia="Calibri" w:asciiTheme="minorHAnsi" w:hAnsiTheme="minorHAnsi" w:cstheme="minorHAnsi"/>
                <w:sz w:val="18"/>
                <w:szCs w:val="18"/>
              </w:rPr>
              <w:t xml:space="preserve"> </w:t>
            </w:r>
          </w:p>
          <w:p w:rsidR="00030252" w:rsidRPr="00785E10" w:rsidP="00F04974" w14:paraId="4AF4A83F" w14:textId="419F557C">
            <w:pPr>
              <w:widowControl/>
              <w:jc w:val="center"/>
              <w:rPr>
                <w:rFonts w:eastAsia="Calibri" w:asciiTheme="minorHAnsi" w:hAnsiTheme="minorHAnsi" w:cstheme="minorHAnsi"/>
                <w:color w:val="000000"/>
                <w:sz w:val="18"/>
                <w:szCs w:val="18"/>
              </w:rPr>
            </w:pPr>
            <w:r w:rsidRPr="00785E10">
              <w:rPr>
                <w:rFonts w:eastAsia="Calibri" w:asciiTheme="minorHAnsi" w:hAnsiTheme="minorHAnsi" w:cstheme="minorHAnsi"/>
                <w:sz w:val="18"/>
                <w:szCs w:val="18"/>
              </w:rPr>
              <w:t>(Table 13b below)</w:t>
            </w:r>
          </w:p>
        </w:tc>
        <w:tc>
          <w:tcPr>
            <w:tcW w:w="1249" w:type="dxa"/>
            <w:tcBorders>
              <w:top w:val="nil"/>
              <w:left w:val="nil"/>
              <w:bottom w:val="single" w:sz="4" w:space="0" w:color="auto"/>
              <w:right w:val="single" w:sz="8" w:space="0" w:color="auto"/>
            </w:tcBorders>
            <w:shd w:val="clear" w:color="000000" w:fill="FFFFFF"/>
            <w:vAlign w:val="center"/>
          </w:tcPr>
          <w:p w:rsidR="00030252" w:rsidRPr="00785E10" w:rsidP="00785E10" w14:paraId="26E747A3" w14:textId="3C31B55A">
            <w:pPr>
              <w:widowControl/>
              <w:jc w:val="center"/>
              <w:rPr>
                <w:rFonts w:eastAsia="Calibri" w:asciiTheme="minorHAnsi" w:hAnsiTheme="minorHAnsi" w:cstheme="minorHAnsi"/>
                <w:color w:val="000000"/>
                <w:sz w:val="18"/>
                <w:szCs w:val="18"/>
              </w:rPr>
            </w:pPr>
            <w:r w:rsidRPr="00785E10">
              <w:rPr>
                <w:rFonts w:eastAsia="Calibri" w:asciiTheme="minorHAnsi" w:hAnsiTheme="minorHAnsi" w:cstheme="minorHAnsi"/>
                <w:sz w:val="18"/>
                <w:szCs w:val="18"/>
              </w:rPr>
              <w:t>$</w:t>
            </w:r>
            <w:r w:rsidRPr="00785E10" w:rsidR="00785E10">
              <w:rPr>
                <w:rFonts w:eastAsia="Calibri" w:asciiTheme="minorHAnsi" w:hAnsiTheme="minorHAnsi" w:cstheme="minorHAnsi"/>
                <w:sz w:val="18"/>
                <w:szCs w:val="18"/>
              </w:rPr>
              <w:t>397,056</w:t>
            </w:r>
          </w:p>
        </w:tc>
      </w:tr>
      <w:tr w14:paraId="41AD2EA4" w14:textId="77777777" w:rsidTr="00F04974">
        <w:tblPrEx>
          <w:tblW w:w="9519" w:type="dxa"/>
          <w:jc w:val="center"/>
          <w:tblLayout w:type="fixed"/>
          <w:tblLook w:val="0400"/>
        </w:tblPrEx>
        <w:trPr>
          <w:trHeight w:val="284"/>
          <w:jc w:val="center"/>
        </w:trPr>
        <w:tc>
          <w:tcPr>
            <w:tcW w:w="2510"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774BBC" w:rsidRPr="00A20368" w:rsidP="008621E7" w14:paraId="6CAB219E" w14:textId="77777777">
            <w:pPr>
              <w:widowControl/>
              <w:jc w:val="right"/>
              <w:rPr>
                <w:rFonts w:ascii="Calibri" w:eastAsia="Calibri" w:hAnsi="Calibri" w:cs="Calibri"/>
                <w:b/>
                <w:color w:val="000000"/>
                <w:sz w:val="18"/>
                <w:szCs w:val="18"/>
              </w:rPr>
            </w:pPr>
            <w:r w:rsidRPr="00A20368">
              <w:rPr>
                <w:rFonts w:ascii="Calibri" w:eastAsia="Calibri" w:hAnsi="Calibri" w:cs="Calibri"/>
                <w:b/>
                <w:color w:val="000000"/>
                <w:sz w:val="18"/>
                <w:szCs w:val="18"/>
              </w:rPr>
              <w:t>TOTALS</w:t>
            </w:r>
          </w:p>
        </w:tc>
        <w:tc>
          <w:tcPr>
            <w:tcW w:w="1490" w:type="dxa"/>
            <w:tcBorders>
              <w:top w:val="single" w:sz="8" w:space="0" w:color="000000"/>
              <w:left w:val="nil"/>
              <w:bottom w:val="single" w:sz="8" w:space="0" w:color="000000"/>
              <w:right w:val="single" w:sz="4" w:space="0" w:color="000000"/>
            </w:tcBorders>
            <w:shd w:val="clear" w:color="auto" w:fill="DDEBF7"/>
            <w:vAlign w:val="center"/>
          </w:tcPr>
          <w:p w:rsidR="00774BBC" w:rsidRPr="00A20368" w:rsidP="008621E7" w14:paraId="7C3599BD" w14:textId="5A0715F6">
            <w:pPr>
              <w:widowControl/>
              <w:jc w:val="center"/>
              <w:rPr>
                <w:rFonts w:ascii="Calibri" w:eastAsia="Calibri" w:hAnsi="Calibri" w:cs="Calibri"/>
                <w:b/>
                <w:color w:val="000000"/>
                <w:sz w:val="18"/>
                <w:szCs w:val="18"/>
                <w:highlight w:val="lightGray"/>
              </w:rPr>
            </w:pPr>
            <w:r w:rsidRPr="00785E10">
              <w:rPr>
                <w:rFonts w:ascii="Calibri" w:eastAsia="Calibri" w:hAnsi="Calibri" w:cs="Calibri"/>
                <w:b/>
                <w:color w:val="000000"/>
                <w:sz w:val="18"/>
                <w:szCs w:val="18"/>
              </w:rPr>
              <w:t>659</w:t>
            </w:r>
          </w:p>
        </w:tc>
        <w:tc>
          <w:tcPr>
            <w:tcW w:w="1210" w:type="dxa"/>
            <w:tcBorders>
              <w:top w:val="single" w:sz="8" w:space="0" w:color="000000"/>
              <w:left w:val="nil"/>
              <w:bottom w:val="single" w:sz="8" w:space="0" w:color="000000"/>
              <w:right w:val="single" w:sz="4" w:space="0" w:color="000000"/>
            </w:tcBorders>
            <w:shd w:val="clear" w:color="auto" w:fill="000000" w:themeFill="text1"/>
            <w:vAlign w:val="center"/>
          </w:tcPr>
          <w:p w:rsidR="00774BBC" w:rsidRPr="00A20368" w:rsidP="008621E7" w14:paraId="2F57E4DE" w14:textId="4A07BE47">
            <w:pPr>
              <w:widowControl/>
              <w:jc w:val="center"/>
              <w:rPr>
                <w:rFonts w:ascii="Calibri" w:eastAsia="Calibri" w:hAnsi="Calibri" w:cs="Calibri"/>
                <w:b/>
                <w:color w:val="000000"/>
                <w:sz w:val="18"/>
                <w:szCs w:val="18"/>
              </w:rPr>
            </w:pPr>
          </w:p>
        </w:tc>
        <w:tc>
          <w:tcPr>
            <w:tcW w:w="1260" w:type="dxa"/>
            <w:tcBorders>
              <w:top w:val="single" w:sz="8" w:space="0" w:color="000000"/>
              <w:left w:val="nil"/>
              <w:bottom w:val="single" w:sz="8" w:space="0" w:color="000000"/>
              <w:right w:val="single" w:sz="4" w:space="0" w:color="000000"/>
            </w:tcBorders>
            <w:shd w:val="clear" w:color="auto" w:fill="DDEBF7"/>
            <w:vAlign w:val="center"/>
          </w:tcPr>
          <w:p w:rsidR="00774BBC" w:rsidRPr="00A20368" w:rsidP="008621E7" w14:paraId="59F3E034" w14:textId="5CE25728">
            <w:pPr>
              <w:widowControl/>
              <w:jc w:val="center"/>
              <w:rPr>
                <w:rFonts w:ascii="Calibri" w:eastAsia="Calibri" w:hAnsi="Calibri" w:cs="Calibri"/>
                <w:b/>
                <w:color w:val="000000"/>
                <w:sz w:val="18"/>
                <w:szCs w:val="18"/>
                <w:highlight w:val="cyan"/>
              </w:rPr>
            </w:pPr>
            <w:r w:rsidRPr="00785E10">
              <w:rPr>
                <w:rFonts w:ascii="Calibri" w:eastAsia="Calibri" w:hAnsi="Calibri" w:cs="Calibri"/>
                <w:b/>
                <w:color w:val="000000"/>
                <w:sz w:val="18"/>
                <w:szCs w:val="18"/>
              </w:rPr>
              <w:t>758</w:t>
            </w:r>
          </w:p>
        </w:tc>
        <w:tc>
          <w:tcPr>
            <w:tcW w:w="1800" w:type="dxa"/>
            <w:tcBorders>
              <w:top w:val="single" w:sz="8" w:space="0" w:color="000000"/>
              <w:left w:val="nil"/>
              <w:bottom w:val="single" w:sz="8" w:space="0" w:color="000000"/>
              <w:right w:val="single" w:sz="4" w:space="0" w:color="000000"/>
            </w:tcBorders>
            <w:shd w:val="clear" w:color="auto" w:fill="000000" w:themeFill="text1"/>
            <w:vAlign w:val="center"/>
          </w:tcPr>
          <w:p w:rsidR="00774BBC" w:rsidRPr="00A20368" w:rsidP="008621E7" w14:paraId="7BED16A2" w14:textId="0A6A48D5">
            <w:pPr>
              <w:widowControl/>
              <w:jc w:val="center"/>
              <w:rPr>
                <w:rFonts w:ascii="Calibri" w:eastAsia="Calibri" w:hAnsi="Calibri" w:cs="Calibri"/>
                <w:b/>
                <w:color w:val="000000"/>
                <w:sz w:val="18"/>
                <w:szCs w:val="18"/>
                <w:highlight w:val="lightGray"/>
              </w:rPr>
            </w:pPr>
          </w:p>
        </w:tc>
        <w:tc>
          <w:tcPr>
            <w:tcW w:w="1249" w:type="dxa"/>
            <w:tcBorders>
              <w:top w:val="single" w:sz="8" w:space="0" w:color="000000"/>
              <w:left w:val="nil"/>
              <w:bottom w:val="single" w:sz="8" w:space="0" w:color="000000"/>
              <w:right w:val="single" w:sz="8" w:space="0" w:color="000000"/>
            </w:tcBorders>
            <w:shd w:val="clear" w:color="auto" w:fill="DDEBF7"/>
            <w:vAlign w:val="center"/>
          </w:tcPr>
          <w:p w:rsidR="00774BBC" w:rsidRPr="00A20368" w:rsidP="00CC1A75" w14:paraId="518A4CB2" w14:textId="72367CBC">
            <w:pPr>
              <w:widowControl/>
              <w:jc w:val="center"/>
              <w:rPr>
                <w:rFonts w:ascii="Calibri" w:eastAsia="Calibri" w:hAnsi="Calibri" w:cs="Calibri"/>
                <w:b/>
                <w:color w:val="000000"/>
                <w:sz w:val="18"/>
                <w:szCs w:val="18"/>
                <w:highlight w:val="cyan"/>
              </w:rPr>
            </w:pPr>
            <w:r w:rsidRPr="00CC1A75">
              <w:rPr>
                <w:rFonts w:ascii="Calibri" w:eastAsia="Calibri" w:hAnsi="Calibri" w:cs="Calibri"/>
                <w:b/>
                <w:color w:val="000000"/>
                <w:sz w:val="18"/>
                <w:szCs w:val="18"/>
              </w:rPr>
              <w:t>$</w:t>
            </w:r>
            <w:r w:rsidRPr="00CC1A75" w:rsidR="00CC1A75">
              <w:rPr>
                <w:rFonts w:ascii="Calibri" w:eastAsia="Calibri" w:hAnsi="Calibri" w:cs="Calibri"/>
                <w:b/>
                <w:color w:val="000000"/>
                <w:sz w:val="18"/>
                <w:szCs w:val="18"/>
              </w:rPr>
              <w:t>973,836</w:t>
            </w:r>
          </w:p>
        </w:tc>
      </w:tr>
    </w:tbl>
    <w:p w:rsidR="006C5416" w:rsidP="00C444C4" w14:paraId="09BB9D28" w14:textId="73D8647A">
      <w:pPr>
        <w:widowControl/>
        <w:autoSpaceDE w:val="0"/>
        <w:autoSpaceDN w:val="0"/>
        <w:spacing w:before="60"/>
        <w:ind w:left="-72" w:right="-144"/>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vertAlign w:val="superscript"/>
          <w:lang w:bidi="en-US"/>
        </w:rPr>
        <w:t>1</w:t>
      </w:r>
      <w:r w:rsidRPr="00A20368">
        <w:rPr>
          <w:rFonts w:eastAsia="Calibri" w:asciiTheme="minorHAnsi" w:hAnsiTheme="minorHAnsi" w:cstheme="minorHAnsi"/>
          <w:sz w:val="18"/>
          <w:szCs w:val="18"/>
          <w:lang w:bidi="en-US"/>
        </w:rPr>
        <w:t xml:space="preserve"> </w:t>
      </w:r>
      <w:r w:rsidR="005B4637">
        <w:rPr>
          <w:rFonts w:eastAsia="Calibri" w:asciiTheme="minorHAnsi" w:hAnsiTheme="minorHAnsi" w:cstheme="minorHAnsi"/>
          <w:sz w:val="18"/>
          <w:szCs w:val="18"/>
          <w:lang w:bidi="en-US"/>
        </w:rPr>
        <w:t xml:space="preserve">NMFS expects </w:t>
      </w:r>
      <w:r w:rsidRPr="00A20368">
        <w:rPr>
          <w:rFonts w:eastAsia="Calibri" w:asciiTheme="minorHAnsi" w:hAnsiTheme="minorHAnsi" w:cstheme="minorHAnsi"/>
          <w:sz w:val="18"/>
          <w:szCs w:val="18"/>
          <w:lang w:bidi="en-US"/>
        </w:rPr>
        <w:t>that all vessel</w:t>
      </w:r>
      <w:r w:rsidR="00647C14">
        <w:rPr>
          <w:rFonts w:eastAsia="Calibri" w:asciiTheme="minorHAnsi" w:hAnsiTheme="minorHAnsi" w:cstheme="minorHAnsi"/>
          <w:sz w:val="18"/>
          <w:szCs w:val="18"/>
          <w:lang w:bidi="en-US"/>
        </w:rPr>
        <w:t>s</w:t>
      </w:r>
      <w:r w:rsidRPr="00A20368">
        <w:rPr>
          <w:rFonts w:eastAsia="Calibri" w:asciiTheme="minorHAnsi" w:hAnsiTheme="minorHAnsi" w:cstheme="minorHAnsi"/>
          <w:sz w:val="18"/>
          <w:szCs w:val="18"/>
          <w:lang w:bidi="en-US"/>
        </w:rPr>
        <w:t xml:space="preserve"> participating in the </w:t>
      </w:r>
      <w:r w:rsidRPr="00A20368" w:rsidR="00413D6E">
        <w:rPr>
          <w:rFonts w:eastAsia="Calibri" w:asciiTheme="minorHAnsi" w:hAnsiTheme="minorHAnsi" w:cstheme="minorHAnsi"/>
          <w:sz w:val="18"/>
          <w:szCs w:val="18"/>
          <w:lang w:bidi="en-US"/>
        </w:rPr>
        <w:t xml:space="preserve">Cook Inlet EEZ commercial salmon fishery </w:t>
      </w:r>
      <w:r w:rsidRPr="00A20368">
        <w:rPr>
          <w:rFonts w:eastAsia="Calibri" w:asciiTheme="minorHAnsi" w:hAnsiTheme="minorHAnsi" w:cstheme="minorHAnsi"/>
          <w:sz w:val="18"/>
          <w:szCs w:val="18"/>
          <w:lang w:bidi="en-US"/>
        </w:rPr>
        <w:t>would qualify for reimbursement under the VMS Reimbursement Program.</w:t>
      </w:r>
      <w:r w:rsidRPr="00A20368">
        <w:t xml:space="preserve"> </w:t>
      </w:r>
      <w:r w:rsidRPr="00A20368">
        <w:rPr>
          <w:rFonts w:eastAsia="Calibri" w:asciiTheme="minorHAnsi" w:hAnsiTheme="minorHAnsi" w:cstheme="minorHAnsi"/>
          <w:sz w:val="18"/>
          <w:szCs w:val="18"/>
          <w:lang w:bidi="en-US"/>
        </w:rPr>
        <w:t xml:space="preserve">See explanation of program under </w:t>
      </w:r>
      <w:r w:rsidR="00BE7418">
        <w:rPr>
          <w:rFonts w:eastAsia="Calibri" w:asciiTheme="minorHAnsi" w:hAnsiTheme="minorHAnsi" w:cstheme="minorHAnsi"/>
          <w:sz w:val="18"/>
          <w:szCs w:val="18"/>
          <w:lang w:bidi="en-US"/>
        </w:rPr>
        <w:t xml:space="preserve">the </w:t>
      </w:r>
      <w:r w:rsidRPr="00A20368">
        <w:rPr>
          <w:rFonts w:eastAsia="Calibri" w:asciiTheme="minorHAnsi" w:hAnsiTheme="minorHAnsi" w:cstheme="minorHAnsi"/>
          <w:sz w:val="18"/>
          <w:szCs w:val="18"/>
          <w:lang w:bidi="en-US"/>
        </w:rPr>
        <w:t>heading “Response to Question 13 (continued).”</w:t>
      </w:r>
    </w:p>
    <w:p w:rsidR="00030252" w:rsidRPr="00030252" w:rsidP="00C444C4" w14:paraId="3C440020" w14:textId="40D0A995">
      <w:pPr>
        <w:widowControl/>
        <w:autoSpaceDE w:val="0"/>
        <w:autoSpaceDN w:val="0"/>
        <w:spacing w:before="60"/>
        <w:ind w:left="-72" w:right="-144"/>
        <w:rPr>
          <w:rFonts w:eastAsia="Calibri" w:asciiTheme="minorHAnsi" w:hAnsiTheme="minorHAnsi" w:cstheme="minorHAnsi"/>
          <w:sz w:val="18"/>
          <w:szCs w:val="18"/>
          <w:lang w:bidi="en-US"/>
        </w:rPr>
      </w:pPr>
      <w:r w:rsidRPr="006C5416">
        <w:rPr>
          <w:rFonts w:eastAsia="Calibri" w:asciiTheme="minorHAnsi" w:hAnsiTheme="minorHAnsi" w:cstheme="minorHAnsi"/>
          <w:sz w:val="18"/>
          <w:szCs w:val="18"/>
          <w:vertAlign w:val="superscript"/>
          <w:lang w:bidi="en-US"/>
        </w:rPr>
        <w:t>2</w:t>
      </w:r>
      <w:r>
        <w:rPr>
          <w:rFonts w:eastAsia="Calibri" w:asciiTheme="minorHAnsi" w:hAnsiTheme="minorHAnsi" w:cstheme="minorHAnsi"/>
          <w:sz w:val="18"/>
          <w:szCs w:val="18"/>
          <w:lang w:bidi="en-US"/>
        </w:rPr>
        <w:t xml:space="preserve"> </w:t>
      </w:r>
      <w:r w:rsidRPr="00030252">
        <w:rPr>
          <w:rFonts w:eastAsia="Calibri" w:asciiTheme="minorHAnsi" w:hAnsiTheme="minorHAnsi" w:cstheme="minorHAnsi"/>
          <w:sz w:val="18"/>
          <w:szCs w:val="18"/>
          <w:lang w:bidi="en-US"/>
        </w:rPr>
        <w:t>The automatic transmission of vessel location data from the VMS unit is not considered a response under the PRA because the information is sent automatically from the unit with no need for any action by the vessel operator or crew.</w:t>
      </w:r>
    </w:p>
    <w:p w:rsidR="00030252" w:rsidRPr="00030252" w:rsidP="00C444C4" w14:paraId="17C5A012" w14:textId="2BE4ADDA">
      <w:pPr>
        <w:widowControl/>
        <w:autoSpaceDE w:val="0"/>
        <w:autoSpaceDN w:val="0"/>
        <w:spacing w:before="60"/>
        <w:ind w:left="-72" w:right="-144"/>
        <w:rPr>
          <w:rFonts w:eastAsia="Arial" w:asciiTheme="minorHAnsi" w:hAnsiTheme="minorHAnsi" w:cstheme="minorHAnsi"/>
          <w:color w:val="000000"/>
          <w:lang w:bidi="en-US"/>
        </w:rPr>
      </w:pPr>
      <w:r>
        <w:rPr>
          <w:rFonts w:eastAsia="Calibri" w:asciiTheme="minorHAnsi" w:hAnsiTheme="minorHAnsi" w:cstheme="minorHAnsi"/>
          <w:sz w:val="18"/>
          <w:szCs w:val="18"/>
          <w:vertAlign w:val="superscript"/>
          <w:lang w:bidi="en-US"/>
        </w:rPr>
        <w:t>3</w:t>
      </w:r>
      <w:r w:rsidRPr="00D71A1D">
        <w:rPr>
          <w:rFonts w:eastAsia="Calibri" w:asciiTheme="minorHAnsi" w:hAnsiTheme="minorHAnsi" w:cstheme="minorHAnsi"/>
          <w:sz w:val="18"/>
          <w:szCs w:val="18"/>
          <w:lang w:bidi="en-US"/>
        </w:rPr>
        <w:t xml:space="preserve"> See explanation under heading “Response to Question 13 (continued).”</w:t>
      </w:r>
    </w:p>
    <w:p w:rsidR="00774BBC" w:rsidP="008621E7" w14:paraId="2BE32B96" w14:textId="34C527E3">
      <w:pPr>
        <w:widowControl/>
        <w:pBdr>
          <w:top w:val="nil"/>
          <w:left w:val="nil"/>
          <w:bottom w:val="nil"/>
          <w:right w:val="nil"/>
          <w:between w:val="nil"/>
        </w:pBdr>
        <w:spacing w:before="1"/>
        <w:rPr>
          <w:b/>
          <w:color w:val="000000"/>
        </w:rPr>
      </w:pPr>
    </w:p>
    <w:p w:rsidR="00F04974" w:rsidP="008621E7" w14:paraId="0A97FEBE" w14:textId="77777777">
      <w:pPr>
        <w:widowControl/>
        <w:pBdr>
          <w:top w:val="nil"/>
          <w:left w:val="nil"/>
          <w:bottom w:val="nil"/>
          <w:right w:val="nil"/>
          <w:between w:val="nil"/>
        </w:pBdr>
        <w:spacing w:before="1"/>
        <w:rPr>
          <w:b/>
          <w:color w:val="000000"/>
        </w:rPr>
      </w:pPr>
    </w:p>
    <w:p w:rsidR="00030252" w:rsidRPr="00030252" w:rsidP="00030252" w14:paraId="08BFD0B1" w14:textId="02067FFF">
      <w:pPr>
        <w:keepNext/>
        <w:keepLines/>
        <w:widowControl/>
        <w:autoSpaceDE w:val="0"/>
        <w:autoSpaceDN w:val="0"/>
        <w:spacing w:before="240"/>
        <w:contextualSpacing/>
        <w:rPr>
          <w:rFonts w:ascii="Arial" w:eastAsia="Arial" w:hAnsi="Arial" w:cs="Arial"/>
          <w:color w:val="000000"/>
          <w:lang w:bidi="en-US"/>
        </w:rPr>
      </w:pPr>
      <w:r w:rsidRPr="00030252">
        <w:rPr>
          <w:rFonts w:eastAsia="Arial"/>
          <w:color w:val="000000"/>
          <w:lang w:bidi="en-US"/>
        </w:rPr>
        <w:t xml:space="preserve">Table 13b. Explanation for calculation of miscellaneous costs to hire a technician to install new or replacement VMS units and </w:t>
      </w:r>
      <w:r w:rsidRPr="00030252" w:rsidR="00647C14">
        <w:rPr>
          <w:rFonts w:eastAsia="Arial"/>
          <w:color w:val="000000"/>
          <w:lang w:bidi="en-US"/>
        </w:rPr>
        <w:t>maint</w:t>
      </w:r>
      <w:r w:rsidR="00647C14">
        <w:rPr>
          <w:rFonts w:eastAsia="Arial"/>
          <w:color w:val="000000"/>
          <w:lang w:bidi="en-US"/>
        </w:rPr>
        <w:t>ain</w:t>
      </w:r>
      <w:r w:rsidRPr="00030252" w:rsidR="00647C14">
        <w:rPr>
          <w:rFonts w:eastAsia="Arial"/>
          <w:color w:val="000000"/>
          <w:lang w:bidi="en-US"/>
        </w:rPr>
        <w:t xml:space="preserve"> </w:t>
      </w:r>
      <w:r w:rsidRPr="00030252">
        <w:rPr>
          <w:rFonts w:eastAsia="Arial"/>
          <w:color w:val="000000"/>
          <w:lang w:bidi="en-US"/>
        </w:rPr>
        <w:t>and troubleshoot VMS units.</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168"/>
        <w:gridCol w:w="1258"/>
        <w:gridCol w:w="1011"/>
        <w:gridCol w:w="884"/>
        <w:gridCol w:w="1138"/>
        <w:gridCol w:w="841"/>
        <w:gridCol w:w="963"/>
      </w:tblGrid>
      <w:tr w14:paraId="42BF102C" w14:textId="77777777" w:rsidTr="00F04974">
        <w:tblPrEx>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8"/>
          <w:tblHeader/>
          <w:jc w:val="center"/>
        </w:trPr>
        <w:tc>
          <w:tcPr>
            <w:tcW w:w="2155" w:type="dxa"/>
            <w:tcBorders>
              <w:top w:val="single" w:sz="4" w:space="0" w:color="auto"/>
              <w:bottom w:val="single" w:sz="4" w:space="0" w:color="auto"/>
            </w:tcBorders>
            <w:shd w:val="clear" w:color="auto" w:fill="C6D9F0" w:themeFill="text2" w:themeFillTint="33"/>
            <w:noWrap/>
            <w:vAlign w:val="center"/>
            <w:hideMark/>
          </w:tcPr>
          <w:p w:rsidR="00030252" w:rsidRPr="00F04974" w:rsidP="00030252" w14:paraId="1F884592" w14:textId="77777777">
            <w:pPr>
              <w:keepNext/>
              <w:keepLines/>
              <w:widowControl/>
              <w:autoSpaceDE w:val="0"/>
              <w:autoSpaceDN w:val="0"/>
              <w:contextualSpacing/>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Information Collection</w:t>
            </w:r>
          </w:p>
        </w:tc>
        <w:tc>
          <w:tcPr>
            <w:tcW w:w="1168" w:type="dxa"/>
            <w:tcBorders>
              <w:top w:val="single" w:sz="4" w:space="0" w:color="auto"/>
              <w:bottom w:val="single" w:sz="4" w:space="0" w:color="auto"/>
            </w:tcBorders>
            <w:shd w:val="clear" w:color="auto" w:fill="C6D9F0" w:themeFill="text2" w:themeFillTint="33"/>
            <w:vAlign w:val="center"/>
          </w:tcPr>
          <w:p w:rsidR="00030252" w:rsidRPr="00F04974" w:rsidP="00030252" w14:paraId="49E1A7D6"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Number of respondents</w:t>
            </w:r>
          </w:p>
        </w:tc>
        <w:tc>
          <w:tcPr>
            <w:tcW w:w="1258" w:type="dxa"/>
            <w:tcBorders>
              <w:top w:val="single" w:sz="4" w:space="0" w:color="auto"/>
              <w:bottom w:val="single" w:sz="4" w:space="0" w:color="auto"/>
            </w:tcBorders>
            <w:shd w:val="clear" w:color="auto" w:fill="C6D9F0" w:themeFill="text2" w:themeFillTint="33"/>
            <w:vAlign w:val="center"/>
          </w:tcPr>
          <w:p w:rsidR="00030252" w:rsidRPr="00F04974" w:rsidP="00030252" w14:paraId="70F0A69D"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Number of responses per entity per year</w:t>
            </w:r>
          </w:p>
        </w:tc>
        <w:tc>
          <w:tcPr>
            <w:tcW w:w="1011" w:type="dxa"/>
            <w:tcBorders>
              <w:top w:val="single" w:sz="4" w:space="0" w:color="auto"/>
              <w:bottom w:val="single" w:sz="4" w:space="0" w:color="auto"/>
            </w:tcBorders>
            <w:shd w:val="clear" w:color="auto" w:fill="C6D9F0" w:themeFill="text2" w:themeFillTint="33"/>
            <w:vAlign w:val="center"/>
          </w:tcPr>
          <w:p w:rsidR="00030252" w:rsidRPr="00F04974" w:rsidP="00030252" w14:paraId="5B34C820"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Total annual responses</w:t>
            </w:r>
          </w:p>
        </w:tc>
        <w:tc>
          <w:tcPr>
            <w:tcW w:w="884" w:type="dxa"/>
            <w:tcBorders>
              <w:top w:val="single" w:sz="4" w:space="0" w:color="auto"/>
              <w:bottom w:val="single" w:sz="4" w:space="0" w:color="auto"/>
            </w:tcBorders>
            <w:shd w:val="clear" w:color="auto" w:fill="C6D9F0" w:themeFill="text2" w:themeFillTint="33"/>
            <w:vAlign w:val="center"/>
          </w:tcPr>
          <w:p w:rsidR="00030252" w:rsidRPr="00F04974" w:rsidP="00030252" w14:paraId="12EE4D78"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Estimated time per response</w:t>
            </w:r>
          </w:p>
        </w:tc>
        <w:tc>
          <w:tcPr>
            <w:tcW w:w="1138" w:type="dxa"/>
            <w:tcBorders>
              <w:top w:val="single" w:sz="4" w:space="0" w:color="auto"/>
              <w:bottom w:val="single" w:sz="4" w:space="0" w:color="auto"/>
            </w:tcBorders>
            <w:shd w:val="clear" w:color="auto" w:fill="C6D9F0" w:themeFill="text2" w:themeFillTint="33"/>
            <w:vAlign w:val="center"/>
          </w:tcPr>
          <w:p w:rsidR="00030252" w:rsidRPr="00F04974" w:rsidP="00030252" w14:paraId="5B1E9FE7"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Total annual hours</w:t>
            </w:r>
          </w:p>
        </w:tc>
        <w:tc>
          <w:tcPr>
            <w:tcW w:w="841" w:type="dxa"/>
            <w:tcBorders>
              <w:top w:val="single" w:sz="4" w:space="0" w:color="auto"/>
              <w:bottom w:val="single" w:sz="4" w:space="0" w:color="auto"/>
            </w:tcBorders>
            <w:shd w:val="clear" w:color="auto" w:fill="C6D9F0" w:themeFill="text2" w:themeFillTint="33"/>
            <w:vAlign w:val="center"/>
          </w:tcPr>
          <w:p w:rsidR="00030252" w:rsidRPr="00F04974" w:rsidP="00030252" w14:paraId="40E93A4F" w14:textId="29A0284E">
            <w:pPr>
              <w:keepNext/>
              <w:keepLines/>
              <w:widowControl/>
              <w:autoSpaceDE w:val="0"/>
              <w:autoSpaceDN w:val="0"/>
              <w:contextualSpacing/>
              <w:jc w:val="center"/>
              <w:rPr>
                <w:rFonts w:eastAsia="Calibri" w:asciiTheme="minorHAnsi" w:hAnsiTheme="minorHAnsi" w:cstheme="minorHAnsi"/>
                <w:b/>
                <w:sz w:val="16"/>
                <w:szCs w:val="16"/>
                <w:lang w:bidi="en-US"/>
              </w:rPr>
            </w:pPr>
            <w:r>
              <w:rPr>
                <w:rFonts w:eastAsia="Calibri" w:asciiTheme="minorHAnsi" w:hAnsiTheme="minorHAnsi" w:cstheme="minorHAnsi"/>
                <w:b/>
                <w:sz w:val="16"/>
                <w:szCs w:val="16"/>
                <w:lang w:bidi="en-US"/>
              </w:rPr>
              <w:t>$</w:t>
            </w:r>
            <w:r w:rsidRPr="00F04974">
              <w:rPr>
                <w:rFonts w:eastAsia="Calibri" w:asciiTheme="minorHAnsi" w:hAnsiTheme="minorHAnsi" w:cstheme="minorHAnsi"/>
                <w:b/>
                <w:sz w:val="16"/>
                <w:szCs w:val="16"/>
                <w:lang w:bidi="en-US"/>
              </w:rPr>
              <w:t>/</w:t>
            </w:r>
            <w:r w:rsidRPr="00F04974">
              <w:rPr>
                <w:rFonts w:eastAsia="Calibri" w:asciiTheme="minorHAnsi" w:hAnsiTheme="minorHAnsi" w:cstheme="minorHAnsi"/>
                <w:b/>
                <w:sz w:val="16"/>
                <w:szCs w:val="16"/>
                <w:lang w:bidi="en-US"/>
              </w:rPr>
              <w:t>hr</w:t>
            </w:r>
            <w:r w:rsidRPr="00F04974">
              <w:rPr>
                <w:rFonts w:eastAsia="Calibri" w:asciiTheme="minorHAnsi" w:hAnsiTheme="minorHAnsi" w:cstheme="minorHAnsi"/>
                <w:b/>
                <w:sz w:val="16"/>
                <w:szCs w:val="16"/>
                <w:lang w:bidi="en-US"/>
              </w:rPr>
              <w:t xml:space="preserve"> </w:t>
            </w:r>
          </w:p>
          <w:p w:rsidR="00030252" w:rsidRPr="00F04974" w:rsidP="00030252" w14:paraId="4E6EB6EC" w14:textId="77777777">
            <w:pPr>
              <w:keepNext/>
              <w:keepLines/>
              <w:widowControl/>
              <w:autoSpaceDE w:val="0"/>
              <w:autoSpaceDN w:val="0"/>
              <w:contextualSpacing/>
              <w:jc w:val="center"/>
              <w:rPr>
                <w:rFonts w:eastAsia="Calibri" w:asciiTheme="minorHAnsi" w:hAnsiTheme="minorHAnsi" w:cstheme="minorHAnsi"/>
                <w:b/>
                <w:sz w:val="16"/>
                <w:szCs w:val="16"/>
                <w:lang w:bidi="en-US"/>
              </w:rPr>
            </w:pPr>
            <w:r w:rsidRPr="00F04974">
              <w:rPr>
                <w:rFonts w:eastAsia="Calibri" w:asciiTheme="minorHAnsi" w:hAnsiTheme="minorHAnsi" w:cstheme="minorHAnsi"/>
                <w:b/>
                <w:sz w:val="16"/>
                <w:szCs w:val="16"/>
                <w:lang w:bidi="en-US"/>
              </w:rPr>
              <w:t>labor cost</w:t>
            </w:r>
          </w:p>
        </w:tc>
        <w:tc>
          <w:tcPr>
            <w:tcW w:w="963" w:type="dxa"/>
            <w:tcBorders>
              <w:top w:val="single" w:sz="4" w:space="0" w:color="auto"/>
              <w:bottom w:val="single" w:sz="4" w:space="0" w:color="auto"/>
            </w:tcBorders>
            <w:shd w:val="clear" w:color="auto" w:fill="C6D9F0" w:themeFill="text2" w:themeFillTint="33"/>
            <w:vAlign w:val="center"/>
          </w:tcPr>
          <w:p w:rsidR="00030252" w:rsidRPr="00F04974" w:rsidP="00030252" w14:paraId="086C6DDB" w14:textId="77777777">
            <w:pPr>
              <w:keepNext/>
              <w:keepLines/>
              <w:widowControl/>
              <w:autoSpaceDE w:val="0"/>
              <w:autoSpaceDN w:val="0"/>
              <w:contextualSpacing/>
              <w:jc w:val="center"/>
              <w:rPr>
                <w:rFonts w:eastAsia="Calibri" w:asciiTheme="minorHAnsi" w:hAnsiTheme="minorHAnsi" w:cstheme="minorHAnsi"/>
                <w:b/>
                <w:sz w:val="16"/>
                <w:szCs w:val="16"/>
                <w:highlight w:val="cyan"/>
                <w:lang w:bidi="en-US"/>
              </w:rPr>
            </w:pPr>
            <w:r w:rsidRPr="00F04974">
              <w:rPr>
                <w:rFonts w:eastAsia="Calibri" w:asciiTheme="minorHAnsi" w:hAnsiTheme="minorHAnsi" w:cstheme="minorHAnsi"/>
                <w:b/>
                <w:sz w:val="16"/>
                <w:szCs w:val="16"/>
                <w:lang w:bidi="en-US"/>
              </w:rPr>
              <w:t>Total labor cost</w:t>
            </w:r>
          </w:p>
        </w:tc>
      </w:tr>
      <w:tr w14:paraId="1431CAAE" w14:textId="77777777" w:rsidTr="00F06182">
        <w:tblPrEx>
          <w:tblW w:w="9418" w:type="dxa"/>
          <w:jc w:val="center"/>
          <w:tblLook w:val="04A0"/>
        </w:tblPrEx>
        <w:trPr>
          <w:trHeight w:val="41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E63AD2" w:rsidRPr="00A20368" w:rsidP="00F06182" w14:paraId="0E6BA3C4" w14:textId="6844A7E7">
            <w:pPr>
              <w:keepNext/>
              <w:keepLines/>
              <w:widowControl/>
              <w:autoSpaceDE w:val="0"/>
              <w:autoSpaceDN w:val="0"/>
              <w:contextualSpacing/>
              <w:rPr>
                <w:rFonts w:eastAsia="Calibri" w:asciiTheme="minorHAnsi" w:hAnsiTheme="minorHAnsi" w:cstheme="minorHAnsi"/>
                <w:sz w:val="18"/>
                <w:szCs w:val="18"/>
                <w:lang w:bidi="en-US"/>
              </w:rPr>
            </w:pPr>
            <w:r w:rsidRPr="00A20368">
              <w:rPr>
                <w:rFonts w:asciiTheme="minorHAnsi" w:hAnsiTheme="minorHAnsi" w:cstheme="minorHAnsi"/>
                <w:color w:val="000000"/>
                <w:sz w:val="18"/>
                <w:szCs w:val="18"/>
              </w:rPr>
              <w:t>VMS</w:t>
            </w:r>
            <w:r>
              <w:rPr>
                <w:rFonts w:asciiTheme="minorHAnsi" w:hAnsiTheme="minorHAnsi" w:cstheme="minorHAnsi"/>
                <w:color w:val="000000"/>
                <w:sz w:val="18"/>
                <w:szCs w:val="18"/>
              </w:rPr>
              <w:t xml:space="preserve"> </w:t>
            </w:r>
            <w:r w:rsidRPr="00A20368">
              <w:rPr>
                <w:rFonts w:asciiTheme="minorHAnsi" w:hAnsiTheme="minorHAnsi" w:cstheme="minorHAnsi"/>
                <w:color w:val="000000"/>
                <w:sz w:val="18"/>
                <w:szCs w:val="18"/>
              </w:rPr>
              <w:t>installation of new units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7A4908B1" w14:textId="7777777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33 annualized</w:t>
            </w:r>
          </w:p>
          <w:p w:rsidR="00E63AD2" w:rsidRPr="00A20368" w:rsidP="00E63AD2" w14:paraId="527645C8" w14:textId="5EDF74B8">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(100/3)</w:t>
            </w:r>
          </w:p>
        </w:tc>
        <w:tc>
          <w:tcPr>
            <w:tcW w:w="1258" w:type="dxa"/>
            <w:tcBorders>
              <w:top w:val="single" w:sz="4" w:space="0" w:color="auto"/>
              <w:left w:val="single" w:sz="4" w:space="0" w:color="auto"/>
              <w:bottom w:val="single" w:sz="4" w:space="0" w:color="auto"/>
              <w:right w:val="single" w:sz="4" w:space="0" w:color="auto"/>
            </w:tcBorders>
            <w:vAlign w:val="center"/>
          </w:tcPr>
          <w:p w:rsidR="00E63AD2" w:rsidRPr="00A20368" w:rsidP="00E63AD2" w14:paraId="1E5FF09C" w14:textId="3D8DB1F4">
            <w:pPr>
              <w:keepNext/>
              <w:keepLines/>
              <w:widowControl/>
              <w:autoSpaceDE w:val="0"/>
              <w:autoSpaceDN w:val="0"/>
              <w:contextualSpacing/>
              <w:jc w:val="center"/>
              <w:rPr>
                <w:rFonts w:eastAsia="Arial" w:asciiTheme="minorHAnsi" w:hAnsiTheme="minorHAnsi" w:cstheme="minorHAnsi"/>
                <w:color w:val="000000"/>
                <w:sz w:val="18"/>
                <w:szCs w:val="18"/>
                <w:lang w:bidi="en-US"/>
              </w:rPr>
            </w:pPr>
            <w:r w:rsidRPr="00A20368">
              <w:rPr>
                <w:rFonts w:eastAsia="Arial" w:asciiTheme="minorHAnsi" w:hAnsiTheme="minorHAnsi" w:cstheme="minorHAnsi"/>
                <w:color w:val="000000"/>
                <w:sz w:val="18"/>
                <w:szCs w:val="18"/>
                <w:lang w:bidi="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7FF0A1D2" w14:textId="7777777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33 annualized</w:t>
            </w:r>
          </w:p>
          <w:p w:rsidR="00E63AD2" w:rsidRPr="00A20368" w:rsidP="00E63AD2" w14:paraId="619E5A2D" w14:textId="4D7D00BB">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(100/3)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12F65175" w14:textId="4F91E11F">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 xml:space="preserve">6 </w:t>
            </w:r>
            <w:r w:rsidRPr="00A20368">
              <w:rPr>
                <w:rFonts w:eastAsia="Calibri" w:asciiTheme="minorHAnsi" w:hAnsiTheme="minorHAnsi" w:cstheme="minorHAnsi"/>
                <w:sz w:val="18"/>
                <w:szCs w:val="18"/>
                <w:lang w:bidi="en-US"/>
              </w:rPr>
              <w:t>hrs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0E9FB891" w14:textId="62C30D67">
            <w:pPr>
              <w:keepNext/>
              <w:keepLines/>
              <w:widowControl/>
              <w:autoSpaceDE w:val="0"/>
              <w:autoSpaceDN w:val="0"/>
              <w:contextualSpacing/>
              <w:jc w:val="center"/>
              <w:rPr>
                <w:rFonts w:eastAsia="Calibri" w:asciiTheme="minorHAnsi" w:hAnsiTheme="minorHAnsi" w:cstheme="minorHAnsi"/>
                <w:sz w:val="18"/>
                <w:szCs w:val="18"/>
                <w:lang w:bidi="en-US"/>
              </w:rPr>
            </w:pPr>
            <w:r>
              <w:rPr>
                <w:rFonts w:eastAsia="Calibri" w:asciiTheme="minorHAnsi" w:hAnsiTheme="minorHAnsi" w:cstheme="minorHAnsi"/>
                <w:sz w:val="18"/>
                <w:szCs w:val="18"/>
                <w:lang w:bidi="en-US"/>
              </w:rPr>
              <w:t>200</w:t>
            </w:r>
            <w:r w:rsidRPr="00A20368">
              <w:rPr>
                <w:rFonts w:eastAsia="Calibri" w:asciiTheme="minorHAnsi" w:hAnsiTheme="minorHAnsi" w:cstheme="minorHAnsi"/>
                <w:sz w:val="18"/>
                <w:szCs w:val="18"/>
                <w:lang w:bidi="en-US"/>
              </w:rPr>
              <w:t xml:space="preserve"> annualized (600</w:t>
            </w:r>
            <w:r>
              <w:rPr>
                <w:rFonts w:eastAsia="Calibri" w:asciiTheme="minorHAnsi" w:hAnsiTheme="minorHAnsi" w:cstheme="minorHAnsi"/>
                <w:sz w:val="18"/>
                <w:szCs w:val="18"/>
                <w:lang w:bidi="en-US"/>
              </w:rPr>
              <w:t xml:space="preserve"> </w:t>
            </w:r>
            <w:r>
              <w:rPr>
                <w:rFonts w:eastAsia="Calibri" w:asciiTheme="minorHAnsi" w:hAnsiTheme="minorHAnsi" w:cstheme="minorHAnsi"/>
                <w:sz w:val="18"/>
                <w:szCs w:val="18"/>
                <w:lang w:bidi="en-US"/>
              </w:rPr>
              <w:t>hrs</w:t>
            </w:r>
            <w:r>
              <w:rPr>
                <w:rFonts w:eastAsia="Calibri" w:asciiTheme="minorHAnsi" w:hAnsiTheme="minorHAnsi" w:cstheme="minorHAnsi"/>
                <w:sz w:val="18"/>
                <w:szCs w:val="18"/>
                <w:lang w:bidi="en-US"/>
              </w:rPr>
              <w:t xml:space="preserve"> </w:t>
            </w:r>
            <w:r w:rsidRPr="00A20368">
              <w:rPr>
                <w:rFonts w:eastAsia="Calibri" w:asciiTheme="minorHAnsi" w:hAnsiTheme="minorHAnsi" w:cstheme="minorHAnsi"/>
                <w:sz w:val="18"/>
                <w:szCs w:val="18"/>
                <w:lang w:bidi="en-US"/>
              </w:rPr>
              <w:t>/3)</w:t>
            </w:r>
          </w:p>
        </w:tc>
        <w:tc>
          <w:tcPr>
            <w:tcW w:w="841" w:type="dxa"/>
            <w:tcBorders>
              <w:top w:val="single" w:sz="4" w:space="0" w:color="auto"/>
              <w:left w:val="single" w:sz="4" w:space="0" w:color="auto"/>
              <w:bottom w:val="single" w:sz="4" w:space="0" w:color="auto"/>
              <w:right w:val="single" w:sz="4" w:space="0" w:color="auto"/>
            </w:tcBorders>
            <w:vAlign w:val="center"/>
          </w:tcPr>
          <w:p w:rsidR="00E63AD2" w:rsidRPr="00A20368" w:rsidP="00E63AD2" w14:paraId="20785BF5" w14:textId="734C7784">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$128</w:t>
            </w:r>
            <w:r w:rsidRPr="00A20368">
              <w:rPr>
                <w:rFonts w:eastAsia="Calibri" w:asciiTheme="minorHAnsi" w:hAnsiTheme="minorHAnsi" w:cstheme="minorHAnsi"/>
                <w:sz w:val="18"/>
                <w:szCs w:val="18"/>
                <w:vertAlign w:val="superscript"/>
                <w:lang w:bidi="en-US"/>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446C9235" w14:textId="4E68EE1E">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$25,600</w:t>
            </w:r>
          </w:p>
        </w:tc>
      </w:tr>
      <w:tr w14:paraId="3E9841F5" w14:textId="77777777" w:rsidTr="00F06182">
        <w:tblPrEx>
          <w:tblW w:w="9418" w:type="dxa"/>
          <w:jc w:val="center"/>
          <w:tblLook w:val="04A0"/>
        </w:tblPrEx>
        <w:trPr>
          <w:trHeight w:val="568"/>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E63AD2" w:rsidRPr="00A20368" w:rsidP="00F06182" w14:paraId="36DC48DE" w14:textId="4950912A">
            <w:pPr>
              <w:keepNext/>
              <w:keepLines/>
              <w:widowControl/>
              <w:autoSpaceDE w:val="0"/>
              <w:autoSpaceDN w:val="0"/>
              <w:contextualSpacing/>
              <w:rPr>
                <w:rFonts w:eastAsia="Calibri" w:asciiTheme="minorHAnsi" w:hAnsiTheme="minorHAnsi" w:cstheme="minorHAnsi"/>
                <w:sz w:val="18"/>
                <w:szCs w:val="18"/>
                <w:lang w:bidi="en-US"/>
              </w:rPr>
            </w:pPr>
            <w:r w:rsidRPr="00A20368">
              <w:rPr>
                <w:rFonts w:asciiTheme="minorHAnsi" w:hAnsiTheme="minorHAnsi" w:cstheme="minorHAnsi"/>
                <w:color w:val="000000"/>
                <w:sz w:val="18"/>
                <w:szCs w:val="18"/>
              </w:rPr>
              <w:t>VMS installation of replacement units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3BE4412B" w14:textId="44E3E7D9">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33 annualized</w:t>
            </w:r>
          </w:p>
          <w:p w:rsidR="00E63AD2" w:rsidRPr="00A20368" w:rsidP="00E63AD2" w14:paraId="3EA4E444" w14:textId="66C68C0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(100/3)</w:t>
            </w:r>
          </w:p>
        </w:tc>
        <w:tc>
          <w:tcPr>
            <w:tcW w:w="1258" w:type="dxa"/>
            <w:tcBorders>
              <w:top w:val="single" w:sz="4" w:space="0" w:color="auto"/>
              <w:left w:val="single" w:sz="4" w:space="0" w:color="auto"/>
              <w:bottom w:val="single" w:sz="4" w:space="0" w:color="auto"/>
              <w:right w:val="single" w:sz="4" w:space="0" w:color="auto"/>
            </w:tcBorders>
            <w:vAlign w:val="center"/>
          </w:tcPr>
          <w:p w:rsidR="00E63AD2" w:rsidRPr="00A20368" w:rsidP="00E63AD2" w14:paraId="56D5CFC8" w14:textId="77777777">
            <w:pPr>
              <w:keepNext/>
              <w:keepLines/>
              <w:widowControl/>
              <w:autoSpaceDE w:val="0"/>
              <w:autoSpaceDN w:val="0"/>
              <w:contextualSpacing/>
              <w:jc w:val="center"/>
              <w:rPr>
                <w:rFonts w:eastAsia="Arial" w:asciiTheme="minorHAnsi" w:hAnsiTheme="minorHAnsi" w:cstheme="minorHAnsi"/>
                <w:color w:val="000000"/>
                <w:sz w:val="18"/>
                <w:szCs w:val="18"/>
                <w:lang w:bidi="en-US"/>
              </w:rPr>
            </w:pPr>
            <w:r w:rsidRPr="00A20368">
              <w:rPr>
                <w:rFonts w:eastAsia="Arial" w:asciiTheme="minorHAnsi" w:hAnsiTheme="minorHAnsi" w:cstheme="minorHAnsi"/>
                <w:color w:val="000000"/>
                <w:sz w:val="18"/>
                <w:szCs w:val="18"/>
                <w:lang w:bidi="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639105A5" w14:textId="49EDFABF">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33 annualized</w:t>
            </w:r>
          </w:p>
          <w:p w:rsidR="00E63AD2" w:rsidRPr="00A20368" w:rsidP="00E63AD2" w14:paraId="4D926A8D" w14:textId="1E663F81">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(100/3)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050E7460" w14:textId="7777777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 xml:space="preserve">6 </w:t>
            </w:r>
            <w:r w:rsidRPr="00A20368">
              <w:rPr>
                <w:rFonts w:eastAsia="Calibri" w:asciiTheme="minorHAnsi" w:hAnsiTheme="minorHAnsi" w:cstheme="minorHAnsi"/>
                <w:sz w:val="18"/>
                <w:szCs w:val="18"/>
                <w:lang w:bidi="en-US"/>
              </w:rPr>
              <w:t>hrs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16932F7D" w14:textId="4AB45E14">
            <w:pPr>
              <w:keepNext/>
              <w:keepLines/>
              <w:widowControl/>
              <w:autoSpaceDE w:val="0"/>
              <w:autoSpaceDN w:val="0"/>
              <w:contextualSpacing/>
              <w:jc w:val="center"/>
              <w:rPr>
                <w:rFonts w:eastAsia="Calibri" w:asciiTheme="minorHAnsi" w:hAnsiTheme="minorHAnsi" w:cstheme="minorHAnsi"/>
                <w:sz w:val="18"/>
                <w:szCs w:val="18"/>
                <w:lang w:bidi="en-US"/>
              </w:rPr>
            </w:pPr>
            <w:r>
              <w:rPr>
                <w:rFonts w:eastAsia="Calibri" w:asciiTheme="minorHAnsi" w:hAnsiTheme="minorHAnsi" w:cstheme="minorHAnsi"/>
                <w:sz w:val="18"/>
                <w:szCs w:val="18"/>
                <w:lang w:bidi="en-US"/>
              </w:rPr>
              <w:t>200</w:t>
            </w:r>
            <w:r w:rsidRPr="00A20368">
              <w:rPr>
                <w:rFonts w:eastAsia="Calibri" w:asciiTheme="minorHAnsi" w:hAnsiTheme="minorHAnsi" w:cstheme="minorHAnsi"/>
                <w:sz w:val="18"/>
                <w:szCs w:val="18"/>
                <w:lang w:bidi="en-US"/>
              </w:rPr>
              <w:t xml:space="preserve"> annualized (600</w:t>
            </w:r>
            <w:r>
              <w:rPr>
                <w:rFonts w:eastAsia="Calibri" w:asciiTheme="minorHAnsi" w:hAnsiTheme="minorHAnsi" w:cstheme="minorHAnsi"/>
                <w:sz w:val="18"/>
                <w:szCs w:val="18"/>
                <w:lang w:bidi="en-US"/>
              </w:rPr>
              <w:t xml:space="preserve"> </w:t>
            </w:r>
            <w:r>
              <w:rPr>
                <w:rFonts w:eastAsia="Calibri" w:asciiTheme="minorHAnsi" w:hAnsiTheme="minorHAnsi" w:cstheme="minorHAnsi"/>
                <w:sz w:val="18"/>
                <w:szCs w:val="18"/>
                <w:lang w:bidi="en-US"/>
              </w:rPr>
              <w:t>hrs</w:t>
            </w:r>
            <w:r>
              <w:rPr>
                <w:rFonts w:eastAsia="Calibri" w:asciiTheme="minorHAnsi" w:hAnsiTheme="minorHAnsi" w:cstheme="minorHAnsi"/>
                <w:sz w:val="18"/>
                <w:szCs w:val="18"/>
                <w:lang w:bidi="en-US"/>
              </w:rPr>
              <w:t xml:space="preserve"> </w:t>
            </w:r>
            <w:r w:rsidRPr="00A20368">
              <w:rPr>
                <w:rFonts w:eastAsia="Calibri" w:asciiTheme="minorHAnsi" w:hAnsiTheme="minorHAnsi" w:cstheme="minorHAnsi"/>
                <w:sz w:val="18"/>
                <w:szCs w:val="18"/>
                <w:lang w:bidi="en-US"/>
              </w:rPr>
              <w:t>/3)</w:t>
            </w:r>
          </w:p>
        </w:tc>
        <w:tc>
          <w:tcPr>
            <w:tcW w:w="841" w:type="dxa"/>
            <w:tcBorders>
              <w:top w:val="single" w:sz="4" w:space="0" w:color="auto"/>
              <w:left w:val="single" w:sz="4" w:space="0" w:color="auto"/>
              <w:bottom w:val="single" w:sz="4" w:space="0" w:color="auto"/>
              <w:right w:val="single" w:sz="4" w:space="0" w:color="auto"/>
            </w:tcBorders>
            <w:vAlign w:val="center"/>
          </w:tcPr>
          <w:p w:rsidR="00E63AD2" w:rsidRPr="00A20368" w:rsidP="00E63AD2" w14:paraId="2791931F" w14:textId="67E88A8C">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$128</w:t>
            </w:r>
            <w:r w:rsidRPr="00A20368">
              <w:rPr>
                <w:rFonts w:eastAsia="Calibri" w:asciiTheme="minorHAnsi" w:hAnsiTheme="minorHAnsi" w:cstheme="minorHAnsi"/>
                <w:sz w:val="18"/>
                <w:szCs w:val="18"/>
                <w:vertAlign w:val="superscript"/>
                <w:lang w:bidi="en-US"/>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E63AD2" w:rsidRPr="00A20368" w:rsidP="00E63AD2" w14:paraId="16C5D565" w14:textId="1F657AB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$25,600</w:t>
            </w:r>
          </w:p>
        </w:tc>
      </w:tr>
      <w:tr w14:paraId="1803914A" w14:textId="77777777" w:rsidTr="00F04974">
        <w:tblPrEx>
          <w:tblW w:w="9418" w:type="dxa"/>
          <w:jc w:val="center"/>
          <w:tblLook w:val="04A0"/>
        </w:tblPrEx>
        <w:trPr>
          <w:trHeight w:val="185"/>
          <w:jc w:val="center"/>
        </w:trPr>
        <w:tc>
          <w:tcPr>
            <w:tcW w:w="2155" w:type="dxa"/>
            <w:tcBorders>
              <w:bottom w:val="single" w:sz="4" w:space="0" w:color="auto"/>
              <w:right w:val="single" w:sz="4" w:space="0" w:color="auto"/>
            </w:tcBorders>
            <w:shd w:val="clear" w:color="auto" w:fill="auto"/>
            <w:vAlign w:val="center"/>
          </w:tcPr>
          <w:p w:rsidR="00030252" w:rsidRPr="00A20368" w:rsidP="00030252" w14:paraId="72272BAB" w14:textId="77777777">
            <w:pPr>
              <w:keepNext/>
              <w:keepLines/>
              <w:widowControl/>
              <w:autoSpaceDE w:val="0"/>
              <w:autoSpaceDN w:val="0"/>
              <w:contextualSpacing/>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VMS maintenance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A20368" w:rsidP="00BE7418" w14:paraId="63C32CE4" w14:textId="2766F9E6">
            <w:pPr>
              <w:keepNext/>
              <w:keepLines/>
              <w:widowControl/>
              <w:autoSpaceDE w:val="0"/>
              <w:autoSpaceDN w:val="0"/>
              <w:contextualSpacing/>
              <w:jc w:val="center"/>
              <w:rPr>
                <w:rFonts w:eastAsia="Calibri" w:asciiTheme="minorHAnsi" w:hAnsiTheme="minorHAnsi" w:cstheme="minorHAnsi"/>
                <w:sz w:val="18"/>
                <w:szCs w:val="18"/>
                <w:lang w:bidi="en-US"/>
              </w:rPr>
            </w:pPr>
            <w:r>
              <w:rPr>
                <w:rFonts w:eastAsia="Calibri" w:asciiTheme="minorHAnsi" w:hAnsiTheme="minorHAnsi" w:cstheme="minorHAnsi"/>
                <w:sz w:val="18"/>
                <w:szCs w:val="18"/>
                <w:lang w:bidi="en-US"/>
              </w:rPr>
              <w:t>6</w:t>
            </w:r>
            <w:r w:rsidRPr="00A20368" w:rsidR="003753B2">
              <w:rPr>
                <w:rFonts w:eastAsia="Calibri" w:asciiTheme="minorHAnsi" w:hAnsiTheme="minorHAnsi" w:cstheme="minorHAnsi"/>
                <w:sz w:val="18"/>
                <w:szCs w:val="18"/>
                <w:lang w:bidi="en-US"/>
              </w:rPr>
              <w:t>59</w:t>
            </w:r>
          </w:p>
        </w:tc>
        <w:tc>
          <w:tcPr>
            <w:tcW w:w="1258" w:type="dxa"/>
            <w:tcBorders>
              <w:top w:val="single" w:sz="4" w:space="0" w:color="auto"/>
              <w:left w:val="single" w:sz="4" w:space="0" w:color="auto"/>
              <w:bottom w:val="single" w:sz="4" w:space="0" w:color="auto"/>
              <w:right w:val="single" w:sz="4" w:space="0" w:color="auto"/>
            </w:tcBorders>
            <w:vAlign w:val="center"/>
          </w:tcPr>
          <w:p w:rsidR="00030252" w:rsidRPr="00A20368" w:rsidP="00030252" w14:paraId="519E04B6" w14:textId="77777777">
            <w:pPr>
              <w:keepNext/>
              <w:keepLines/>
              <w:widowControl/>
              <w:autoSpaceDE w:val="0"/>
              <w:autoSpaceDN w:val="0"/>
              <w:contextualSpacing/>
              <w:jc w:val="center"/>
              <w:rPr>
                <w:rFonts w:eastAsia="Arial" w:asciiTheme="minorHAnsi" w:hAnsiTheme="minorHAnsi" w:cstheme="minorHAnsi"/>
                <w:color w:val="000000"/>
                <w:sz w:val="18"/>
                <w:szCs w:val="18"/>
                <w:lang w:bidi="en-US"/>
              </w:rPr>
            </w:pPr>
            <w:r w:rsidRPr="00A20368">
              <w:rPr>
                <w:rFonts w:eastAsia="Arial" w:asciiTheme="minorHAnsi" w:hAnsiTheme="minorHAnsi" w:cstheme="minorHAnsi"/>
                <w:color w:val="000000"/>
                <w:sz w:val="18"/>
                <w:szCs w:val="18"/>
                <w:lang w:bidi="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A20368" w:rsidP="00BE7418" w14:paraId="3627AACF" w14:textId="348DB217">
            <w:pPr>
              <w:keepNext/>
              <w:keepLines/>
              <w:widowControl/>
              <w:autoSpaceDE w:val="0"/>
              <w:autoSpaceDN w:val="0"/>
              <w:contextualSpacing/>
              <w:jc w:val="center"/>
              <w:rPr>
                <w:rFonts w:eastAsia="Calibri" w:asciiTheme="minorHAnsi" w:hAnsiTheme="minorHAnsi" w:cstheme="minorHAnsi"/>
                <w:sz w:val="18"/>
                <w:szCs w:val="18"/>
                <w:lang w:bidi="en-US"/>
              </w:rPr>
            </w:pPr>
            <w:r>
              <w:rPr>
                <w:rFonts w:eastAsia="Calibri" w:asciiTheme="minorHAnsi" w:hAnsiTheme="minorHAnsi" w:cstheme="minorHAnsi"/>
                <w:sz w:val="18"/>
                <w:szCs w:val="18"/>
                <w:lang w:bidi="en-US"/>
              </w:rPr>
              <w:t>6</w:t>
            </w:r>
            <w:r w:rsidRPr="00A20368" w:rsidR="003753B2">
              <w:rPr>
                <w:rFonts w:eastAsia="Calibri" w:asciiTheme="minorHAnsi" w:hAnsiTheme="minorHAnsi" w:cstheme="minorHAnsi"/>
                <w:sz w:val="18"/>
                <w:szCs w:val="18"/>
                <w:lang w:bidi="en-US"/>
              </w:rPr>
              <w:t>59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A20368" w:rsidP="00030252" w14:paraId="2AD0A83C" w14:textId="77777777">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 xml:space="preserve">4 </w:t>
            </w:r>
            <w:r w:rsidRPr="00A20368">
              <w:rPr>
                <w:rFonts w:eastAsia="Calibri" w:asciiTheme="minorHAnsi" w:hAnsiTheme="minorHAnsi" w:cstheme="minorHAnsi"/>
                <w:sz w:val="18"/>
                <w:szCs w:val="18"/>
                <w:lang w:bidi="en-US"/>
              </w:rPr>
              <w:t>hrs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A20368" w:rsidP="003753B2" w14:paraId="21D2C1E4" w14:textId="3AF5E569">
            <w:pPr>
              <w:keepNext/>
              <w:keepLines/>
              <w:widowControl/>
              <w:autoSpaceDE w:val="0"/>
              <w:autoSpaceDN w:val="0"/>
              <w:contextualSpacing/>
              <w:jc w:val="center"/>
              <w:rPr>
                <w:rFonts w:eastAsia="Calibri" w:asciiTheme="minorHAnsi" w:hAnsiTheme="minorHAnsi" w:cstheme="minorHAnsi"/>
                <w:sz w:val="18"/>
                <w:szCs w:val="18"/>
                <w:lang w:bidi="en-US"/>
              </w:rPr>
            </w:pPr>
            <w:r>
              <w:rPr>
                <w:rFonts w:eastAsia="Calibri" w:asciiTheme="minorHAnsi" w:hAnsiTheme="minorHAnsi" w:cstheme="minorHAnsi"/>
                <w:sz w:val="18"/>
                <w:szCs w:val="18"/>
                <w:lang w:bidi="en-US"/>
              </w:rPr>
              <w:t>2,636</w:t>
            </w:r>
            <w:r w:rsidRPr="00A20368">
              <w:rPr>
                <w:rFonts w:eastAsia="Calibri" w:asciiTheme="minorHAnsi" w:hAnsiTheme="minorHAnsi" w:cstheme="minorHAnsi"/>
                <w:sz w:val="18"/>
                <w:szCs w:val="18"/>
                <w:lang w:bidi="en-US"/>
              </w:rPr>
              <w:t xml:space="preserve"> </w:t>
            </w:r>
            <w:r w:rsidRPr="00A20368">
              <w:rPr>
                <w:rFonts w:eastAsia="Calibri" w:asciiTheme="minorHAnsi" w:hAnsiTheme="minorHAnsi" w:cstheme="minorHAnsi"/>
                <w:sz w:val="18"/>
                <w:szCs w:val="18"/>
                <w:lang w:bidi="en-US"/>
              </w:rPr>
              <w:t>hrs</w:t>
            </w:r>
          </w:p>
        </w:tc>
        <w:tc>
          <w:tcPr>
            <w:tcW w:w="841" w:type="dxa"/>
            <w:tcBorders>
              <w:top w:val="single" w:sz="4" w:space="0" w:color="auto"/>
              <w:left w:val="single" w:sz="4" w:space="0" w:color="auto"/>
              <w:bottom w:val="single" w:sz="4" w:space="0" w:color="auto"/>
              <w:right w:val="single" w:sz="4" w:space="0" w:color="auto"/>
            </w:tcBorders>
            <w:vAlign w:val="center"/>
          </w:tcPr>
          <w:p w:rsidR="00030252" w:rsidRPr="00A20368" w:rsidP="00D93ACA" w14:paraId="2D65153B" w14:textId="028DE070">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$128</w:t>
            </w:r>
            <w:r w:rsidRPr="00A20368">
              <w:rPr>
                <w:rFonts w:eastAsia="Calibri" w:asciiTheme="minorHAnsi" w:hAnsiTheme="minorHAnsi" w:cstheme="minorHAnsi"/>
                <w:sz w:val="18"/>
                <w:szCs w:val="18"/>
                <w:vertAlign w:val="superscript"/>
                <w:lang w:bidi="en-US"/>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A20368" w:rsidP="00E91CEC" w14:paraId="19EC4444" w14:textId="066ECACF">
            <w:pPr>
              <w:keepNext/>
              <w:keepLines/>
              <w:widowControl/>
              <w:autoSpaceDE w:val="0"/>
              <w:autoSpaceDN w:val="0"/>
              <w:contextualSpacing/>
              <w:jc w:val="center"/>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w:t>
            </w:r>
            <w:r w:rsidR="00E91CEC">
              <w:rPr>
                <w:rFonts w:eastAsia="Calibri" w:asciiTheme="minorHAnsi" w:hAnsiTheme="minorHAnsi" w:cstheme="minorHAnsi"/>
                <w:sz w:val="18"/>
                <w:szCs w:val="18"/>
                <w:lang w:bidi="en-US"/>
              </w:rPr>
              <w:t>337,408</w:t>
            </w:r>
          </w:p>
        </w:tc>
      </w:tr>
      <w:tr w14:paraId="466C6323" w14:textId="77777777" w:rsidTr="00F04974">
        <w:tblPrEx>
          <w:tblW w:w="9418" w:type="dxa"/>
          <w:jc w:val="center"/>
          <w:tblLook w:val="04A0"/>
        </w:tblPrEx>
        <w:trPr>
          <w:trHeight w:val="372"/>
          <w:jc w:val="center"/>
        </w:trPr>
        <w:tc>
          <w:tcPr>
            <w:tcW w:w="2155" w:type="dxa"/>
            <w:tcBorders>
              <w:bottom w:val="single" w:sz="4" w:space="0" w:color="auto"/>
              <w:right w:val="single" w:sz="4" w:space="0" w:color="auto"/>
            </w:tcBorders>
            <w:shd w:val="clear" w:color="auto" w:fill="auto"/>
            <w:vAlign w:val="center"/>
            <w:hideMark/>
          </w:tcPr>
          <w:p w:rsidR="00030252" w:rsidRPr="00A20368" w:rsidP="00030252" w14:paraId="5BE97A48" w14:textId="77777777">
            <w:pPr>
              <w:keepNext/>
              <w:keepLines/>
              <w:widowControl/>
              <w:autoSpaceDE w:val="0"/>
              <w:autoSpaceDN w:val="0"/>
              <w:contextualSpacing/>
              <w:rPr>
                <w:rFonts w:eastAsia="Calibri" w:asciiTheme="minorHAnsi" w:hAnsiTheme="minorHAnsi" w:cstheme="minorHAnsi"/>
                <w:sz w:val="18"/>
                <w:szCs w:val="18"/>
                <w:lang w:bidi="en-US"/>
              </w:rPr>
            </w:pPr>
            <w:r w:rsidRPr="00A20368">
              <w:rPr>
                <w:rFonts w:eastAsia="Calibri" w:asciiTheme="minorHAnsi" w:hAnsiTheme="minorHAnsi" w:cstheme="minorHAnsi"/>
                <w:sz w:val="18"/>
                <w:szCs w:val="18"/>
                <w:lang w:bidi="en-US"/>
              </w:rPr>
              <w:t xml:space="preserve">VMS failure troubleshooting (assume 5% failure rate/year)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030252" w14:paraId="2704F10D" w14:textId="63671C9F">
            <w:pPr>
              <w:keepNext/>
              <w:keepLines/>
              <w:widowControl/>
              <w:autoSpaceDE w:val="0"/>
              <w:autoSpaceDN w:val="0"/>
              <w:contextualSpacing/>
              <w:jc w:val="center"/>
              <w:rPr>
                <w:rFonts w:eastAsia="Calibri" w:asciiTheme="minorHAnsi" w:hAnsiTheme="minorHAnsi" w:cstheme="minorHAnsi"/>
                <w:sz w:val="18"/>
                <w:szCs w:val="18"/>
                <w:lang w:bidi="en-US"/>
              </w:rPr>
            </w:pPr>
            <w:r w:rsidRPr="00785E10">
              <w:rPr>
                <w:rFonts w:eastAsia="Calibri" w:asciiTheme="minorHAnsi" w:hAnsiTheme="minorHAnsi" w:cstheme="minorHAnsi"/>
                <w:sz w:val="18"/>
                <w:szCs w:val="18"/>
                <w:lang w:bidi="en-US"/>
              </w:rPr>
              <w:t>33</w:t>
            </w:r>
          </w:p>
          <w:p w:rsidR="00030252" w:rsidRPr="00785E10" w:rsidP="00785E10" w14:paraId="03A051D9" w14:textId="7BB3F8DC">
            <w:pPr>
              <w:keepNext/>
              <w:keepLines/>
              <w:widowControl/>
              <w:autoSpaceDE w:val="0"/>
              <w:autoSpaceDN w:val="0"/>
              <w:contextualSpacing/>
              <w:jc w:val="center"/>
              <w:rPr>
                <w:rFonts w:eastAsia="Calibri" w:asciiTheme="minorHAnsi" w:hAnsiTheme="minorHAnsi" w:cstheme="minorHAnsi"/>
                <w:sz w:val="18"/>
                <w:szCs w:val="18"/>
                <w:lang w:bidi="en-US"/>
              </w:rPr>
            </w:pPr>
            <w:r w:rsidRPr="00785E10">
              <w:rPr>
                <w:rFonts w:eastAsia="Calibri" w:asciiTheme="minorHAnsi" w:hAnsiTheme="minorHAnsi" w:cstheme="minorHAnsi"/>
                <w:sz w:val="18"/>
                <w:szCs w:val="18"/>
                <w:lang w:bidi="en-US"/>
              </w:rPr>
              <w:t>(</w:t>
            </w:r>
            <w:r w:rsidRPr="00785E10" w:rsidR="00E91CEC">
              <w:rPr>
                <w:rFonts w:eastAsia="Calibri" w:asciiTheme="minorHAnsi" w:hAnsiTheme="minorHAnsi" w:cstheme="minorHAnsi"/>
                <w:sz w:val="18"/>
                <w:szCs w:val="18"/>
                <w:lang w:bidi="en-US"/>
              </w:rPr>
              <w:t>659</w:t>
            </w:r>
            <w:r w:rsidR="00785E10">
              <w:rPr>
                <w:rFonts w:eastAsia="Calibri" w:asciiTheme="minorHAnsi" w:hAnsiTheme="minorHAnsi" w:cstheme="minorHAnsi"/>
                <w:sz w:val="18"/>
                <w:szCs w:val="18"/>
                <w:lang w:bidi="en-US"/>
              </w:rPr>
              <w:t xml:space="preserve"> × </w:t>
            </w:r>
            <w:r w:rsidRPr="00785E10">
              <w:rPr>
                <w:rFonts w:eastAsia="Calibri" w:asciiTheme="minorHAnsi" w:hAnsiTheme="minorHAnsi" w:cstheme="minorHAnsi"/>
                <w:sz w:val="18"/>
                <w:szCs w:val="18"/>
                <w:lang w:bidi="en-US"/>
              </w:rPr>
              <w:t>0.05)</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030252" w14:paraId="3870A84E" w14:textId="77777777">
            <w:pPr>
              <w:keepNext/>
              <w:keepLines/>
              <w:widowControl/>
              <w:autoSpaceDE w:val="0"/>
              <w:autoSpaceDN w:val="0"/>
              <w:contextualSpacing/>
              <w:jc w:val="center"/>
              <w:rPr>
                <w:rFonts w:eastAsia="Arial" w:asciiTheme="minorHAnsi" w:hAnsiTheme="minorHAnsi" w:cstheme="minorHAnsi"/>
                <w:color w:val="000000"/>
                <w:sz w:val="18"/>
                <w:szCs w:val="18"/>
                <w:lang w:bidi="en-US"/>
              </w:rPr>
            </w:pPr>
            <w:r w:rsidRPr="00785E10">
              <w:rPr>
                <w:rFonts w:eastAsia="Arial" w:asciiTheme="minorHAnsi" w:hAnsiTheme="minorHAnsi" w:cstheme="minorHAnsi"/>
                <w:color w:val="000000"/>
                <w:sz w:val="18"/>
                <w:szCs w:val="18"/>
                <w:lang w:bidi="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030252" w14:paraId="54F59432" w14:textId="425F0E40">
            <w:pPr>
              <w:keepNext/>
              <w:keepLines/>
              <w:widowControl/>
              <w:autoSpaceDE w:val="0"/>
              <w:autoSpaceDN w:val="0"/>
              <w:contextualSpacing/>
              <w:jc w:val="center"/>
              <w:rPr>
                <w:rFonts w:eastAsia="Calibri" w:asciiTheme="minorHAnsi" w:hAnsiTheme="minorHAnsi" w:cstheme="minorHAnsi"/>
                <w:sz w:val="18"/>
                <w:szCs w:val="18"/>
                <w:lang w:bidi="en-US"/>
              </w:rPr>
            </w:pPr>
            <w:r w:rsidRPr="00785E10">
              <w:rPr>
                <w:rFonts w:eastAsia="Calibri" w:asciiTheme="minorHAnsi" w:hAnsiTheme="minorHAnsi" w:cstheme="minorHAnsi"/>
                <w:sz w:val="18"/>
                <w:szCs w:val="18"/>
                <w:lang w:bidi="en-US"/>
              </w:rPr>
              <w:t>33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030252" w14:paraId="6C433686" w14:textId="77777777">
            <w:pPr>
              <w:keepNext/>
              <w:keepLines/>
              <w:widowControl/>
              <w:autoSpaceDE w:val="0"/>
              <w:autoSpaceDN w:val="0"/>
              <w:contextualSpacing/>
              <w:jc w:val="center"/>
              <w:rPr>
                <w:rFonts w:eastAsia="Calibri" w:asciiTheme="minorHAnsi" w:hAnsiTheme="minorHAnsi" w:cstheme="minorHAnsi"/>
                <w:sz w:val="18"/>
                <w:szCs w:val="18"/>
                <w:lang w:bidi="en-US"/>
              </w:rPr>
            </w:pPr>
            <w:r w:rsidRPr="00785E10">
              <w:rPr>
                <w:rFonts w:eastAsia="Calibri" w:asciiTheme="minorHAnsi" w:hAnsiTheme="minorHAnsi" w:cstheme="minorHAnsi"/>
                <w:sz w:val="18"/>
                <w:szCs w:val="18"/>
                <w:lang w:bidi="en-US"/>
              </w:rPr>
              <w:t xml:space="preserve">2 </w:t>
            </w:r>
            <w:r w:rsidRPr="00785E10">
              <w:rPr>
                <w:rFonts w:eastAsia="Calibri" w:asciiTheme="minorHAnsi" w:hAnsiTheme="minorHAnsi" w:cstheme="minorHAnsi"/>
                <w:sz w:val="18"/>
                <w:szCs w:val="18"/>
                <w:lang w:bidi="en-US"/>
              </w:rPr>
              <w:t>hrs</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030252" w14:paraId="698FB640" w14:textId="53B290AE">
            <w:pPr>
              <w:keepNext/>
              <w:keepLines/>
              <w:widowControl/>
              <w:autoSpaceDE w:val="0"/>
              <w:autoSpaceDN w:val="0"/>
              <w:contextualSpacing/>
              <w:jc w:val="center"/>
              <w:rPr>
                <w:rFonts w:eastAsia="Calibri" w:asciiTheme="minorHAnsi" w:hAnsiTheme="minorHAnsi" w:cstheme="minorHAnsi"/>
                <w:sz w:val="18"/>
                <w:szCs w:val="18"/>
                <w:vertAlign w:val="superscript"/>
                <w:lang w:bidi="en-US"/>
              </w:rPr>
            </w:pPr>
            <w:r w:rsidRPr="00785E10">
              <w:rPr>
                <w:rFonts w:eastAsia="Calibri" w:asciiTheme="minorHAnsi" w:hAnsiTheme="minorHAnsi" w:cstheme="minorHAnsi"/>
                <w:sz w:val="18"/>
                <w:szCs w:val="18"/>
                <w:lang w:bidi="en-US"/>
              </w:rPr>
              <w:t xml:space="preserve">66 </w:t>
            </w:r>
            <w:r w:rsidRPr="00785E10">
              <w:rPr>
                <w:rFonts w:eastAsia="Calibri" w:asciiTheme="minorHAnsi" w:hAnsiTheme="minorHAnsi" w:cstheme="minorHAnsi"/>
                <w:sz w:val="18"/>
                <w:szCs w:val="18"/>
                <w:lang w:bidi="en-US"/>
              </w:rPr>
              <w:t>hrs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D93ACA" w14:paraId="494FB3F4" w14:textId="6D892D5F">
            <w:pPr>
              <w:keepNext/>
              <w:keepLines/>
              <w:widowControl/>
              <w:autoSpaceDE w:val="0"/>
              <w:autoSpaceDN w:val="0"/>
              <w:contextualSpacing/>
              <w:jc w:val="center"/>
              <w:rPr>
                <w:rFonts w:eastAsia="Calibri" w:asciiTheme="minorHAnsi" w:hAnsiTheme="minorHAnsi" w:cstheme="minorHAnsi"/>
                <w:sz w:val="18"/>
                <w:szCs w:val="18"/>
                <w:vertAlign w:val="superscript"/>
                <w:lang w:bidi="en-US"/>
              </w:rPr>
            </w:pPr>
            <w:r w:rsidRPr="00785E10">
              <w:rPr>
                <w:rFonts w:eastAsia="Calibri" w:asciiTheme="minorHAnsi" w:hAnsiTheme="minorHAnsi" w:cstheme="minorHAnsi"/>
                <w:sz w:val="18"/>
                <w:szCs w:val="18"/>
                <w:lang w:bidi="en-US"/>
              </w:rPr>
              <w:t>$128</w:t>
            </w:r>
            <w:r w:rsidRPr="00785E10">
              <w:rPr>
                <w:rFonts w:eastAsia="Calibri" w:asciiTheme="minorHAnsi" w:hAnsiTheme="minorHAnsi" w:cstheme="minorHAnsi"/>
                <w:sz w:val="18"/>
                <w:szCs w:val="18"/>
                <w:vertAlign w:val="superscript"/>
                <w:lang w:bidi="en-US"/>
              </w:rPr>
              <w:t>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30252" w:rsidRPr="00785E10" w:rsidP="00E91CEC" w14:paraId="11B77767" w14:textId="04653E7A">
            <w:pPr>
              <w:keepNext/>
              <w:keepLines/>
              <w:widowControl/>
              <w:autoSpaceDE w:val="0"/>
              <w:autoSpaceDN w:val="0"/>
              <w:contextualSpacing/>
              <w:jc w:val="center"/>
              <w:rPr>
                <w:rFonts w:eastAsia="Calibri" w:asciiTheme="minorHAnsi" w:hAnsiTheme="minorHAnsi" w:cstheme="minorHAnsi"/>
                <w:sz w:val="18"/>
                <w:szCs w:val="18"/>
                <w:lang w:bidi="en-US"/>
              </w:rPr>
            </w:pPr>
            <w:r w:rsidRPr="00785E10">
              <w:rPr>
                <w:rFonts w:eastAsia="Calibri" w:asciiTheme="minorHAnsi" w:hAnsiTheme="minorHAnsi" w:cstheme="minorHAnsi"/>
                <w:sz w:val="18"/>
                <w:szCs w:val="18"/>
                <w:lang w:bidi="en-US"/>
              </w:rPr>
              <w:t>$</w:t>
            </w:r>
            <w:r w:rsidRPr="00785E10" w:rsidR="00E91CEC">
              <w:rPr>
                <w:rFonts w:eastAsia="Calibri" w:asciiTheme="minorHAnsi" w:hAnsiTheme="minorHAnsi" w:cstheme="minorHAnsi"/>
                <w:sz w:val="18"/>
                <w:szCs w:val="18"/>
                <w:lang w:bidi="en-US"/>
              </w:rPr>
              <w:t>8,448</w:t>
            </w:r>
          </w:p>
        </w:tc>
      </w:tr>
      <w:tr w14:paraId="28790EC6" w14:textId="77777777" w:rsidTr="00F04974">
        <w:tblPrEx>
          <w:tblW w:w="9418" w:type="dxa"/>
          <w:jc w:val="center"/>
          <w:tblLook w:val="04A0"/>
        </w:tblPrEx>
        <w:trPr>
          <w:trHeight w:val="185"/>
          <w:jc w:val="center"/>
        </w:trPr>
        <w:tc>
          <w:tcPr>
            <w:tcW w:w="2155" w:type="dxa"/>
            <w:tcBorders>
              <w:bottom w:val="single" w:sz="4" w:space="0" w:color="auto"/>
            </w:tcBorders>
            <w:shd w:val="clear" w:color="auto" w:fill="DEEAF6"/>
            <w:noWrap/>
            <w:vAlign w:val="center"/>
          </w:tcPr>
          <w:p w:rsidR="00030252" w:rsidRPr="00A20368" w:rsidP="00030252" w14:paraId="472422CF" w14:textId="0A3FC2FC">
            <w:pPr>
              <w:keepNext/>
              <w:keepLines/>
              <w:widowControl/>
              <w:autoSpaceDE w:val="0"/>
              <w:autoSpaceDN w:val="0"/>
              <w:contextualSpacing/>
              <w:jc w:val="right"/>
              <w:rPr>
                <w:rFonts w:eastAsia="Calibri" w:asciiTheme="minorHAnsi" w:hAnsiTheme="minorHAnsi" w:cstheme="minorHAnsi"/>
                <w:b/>
                <w:bCs/>
                <w:sz w:val="18"/>
                <w:szCs w:val="18"/>
                <w:lang w:bidi="en-US"/>
              </w:rPr>
            </w:pPr>
            <w:r>
              <w:rPr>
                <w:rFonts w:eastAsia="Calibri" w:asciiTheme="minorHAnsi" w:hAnsiTheme="minorHAnsi" w:cstheme="minorHAnsi"/>
                <w:b/>
                <w:bCs/>
                <w:sz w:val="18"/>
                <w:szCs w:val="18"/>
                <w:lang w:bidi="en-US"/>
              </w:rPr>
              <w:t>Totals</w:t>
            </w:r>
          </w:p>
        </w:tc>
        <w:tc>
          <w:tcPr>
            <w:tcW w:w="1168" w:type="dxa"/>
            <w:tcBorders>
              <w:bottom w:val="single" w:sz="4" w:space="0" w:color="auto"/>
            </w:tcBorders>
            <w:shd w:val="clear" w:color="auto" w:fill="000000" w:themeFill="text1"/>
            <w:vAlign w:val="center"/>
          </w:tcPr>
          <w:p w:rsidR="00030252" w:rsidRPr="00A20368" w:rsidP="00030252" w14:paraId="50584B05" w14:textId="77777777">
            <w:pPr>
              <w:keepNext/>
              <w:keepLines/>
              <w:widowControl/>
              <w:autoSpaceDE w:val="0"/>
              <w:autoSpaceDN w:val="0"/>
              <w:contextualSpacing/>
              <w:jc w:val="center"/>
              <w:rPr>
                <w:rFonts w:eastAsia="Calibri" w:asciiTheme="minorHAnsi" w:hAnsiTheme="minorHAnsi" w:cstheme="minorHAnsi"/>
                <w:b/>
                <w:bCs/>
                <w:sz w:val="18"/>
                <w:szCs w:val="18"/>
                <w:lang w:bidi="en-US"/>
              </w:rPr>
            </w:pPr>
          </w:p>
        </w:tc>
        <w:tc>
          <w:tcPr>
            <w:tcW w:w="1258" w:type="dxa"/>
            <w:tcBorders>
              <w:bottom w:val="single" w:sz="4" w:space="0" w:color="auto"/>
            </w:tcBorders>
            <w:shd w:val="clear" w:color="auto" w:fill="000000" w:themeFill="text1"/>
            <w:vAlign w:val="center"/>
          </w:tcPr>
          <w:p w:rsidR="00030252" w:rsidRPr="00A20368" w:rsidP="00030252" w14:paraId="6642E744" w14:textId="77777777">
            <w:pPr>
              <w:keepNext/>
              <w:keepLines/>
              <w:widowControl/>
              <w:autoSpaceDE w:val="0"/>
              <w:autoSpaceDN w:val="0"/>
              <w:contextualSpacing/>
              <w:jc w:val="center"/>
              <w:rPr>
                <w:rFonts w:eastAsia="Calibri" w:asciiTheme="minorHAnsi" w:hAnsiTheme="minorHAnsi" w:cstheme="minorHAnsi"/>
                <w:b/>
                <w:bCs/>
                <w:sz w:val="18"/>
                <w:szCs w:val="18"/>
                <w:lang w:bidi="en-US"/>
              </w:rPr>
            </w:pPr>
          </w:p>
        </w:tc>
        <w:tc>
          <w:tcPr>
            <w:tcW w:w="1011" w:type="dxa"/>
            <w:tcBorders>
              <w:bottom w:val="single" w:sz="4" w:space="0" w:color="auto"/>
            </w:tcBorders>
            <w:shd w:val="clear" w:color="auto" w:fill="DEEAF6"/>
            <w:vAlign w:val="center"/>
          </w:tcPr>
          <w:p w:rsidR="00030252" w:rsidRPr="00A20368" w:rsidP="00030252" w14:paraId="2FAEFD7C" w14:textId="3B1A8AF0">
            <w:pPr>
              <w:keepNext/>
              <w:keepLines/>
              <w:widowControl/>
              <w:autoSpaceDE w:val="0"/>
              <w:autoSpaceDN w:val="0"/>
              <w:contextualSpacing/>
              <w:jc w:val="center"/>
              <w:rPr>
                <w:rFonts w:eastAsia="Calibri" w:asciiTheme="minorHAnsi" w:hAnsiTheme="minorHAnsi" w:cstheme="minorHAnsi"/>
                <w:b/>
                <w:bCs/>
                <w:sz w:val="18"/>
                <w:szCs w:val="18"/>
                <w:highlight w:val="cyan"/>
                <w:lang w:bidi="en-US"/>
              </w:rPr>
            </w:pPr>
            <w:r w:rsidRPr="00785E10">
              <w:rPr>
                <w:rFonts w:eastAsia="Calibri" w:asciiTheme="minorHAnsi" w:hAnsiTheme="minorHAnsi" w:cstheme="minorHAnsi"/>
                <w:b/>
                <w:bCs/>
                <w:sz w:val="18"/>
                <w:szCs w:val="18"/>
                <w:lang w:bidi="en-US"/>
              </w:rPr>
              <w:t>758</w:t>
            </w:r>
          </w:p>
        </w:tc>
        <w:tc>
          <w:tcPr>
            <w:tcW w:w="884" w:type="dxa"/>
            <w:tcBorders>
              <w:bottom w:val="single" w:sz="4" w:space="0" w:color="auto"/>
            </w:tcBorders>
            <w:shd w:val="clear" w:color="auto" w:fill="000000" w:themeFill="text1"/>
            <w:vAlign w:val="center"/>
          </w:tcPr>
          <w:p w:rsidR="00030252" w:rsidRPr="00A20368" w:rsidP="00030252" w14:paraId="673F5975" w14:textId="77777777">
            <w:pPr>
              <w:keepNext/>
              <w:keepLines/>
              <w:widowControl/>
              <w:autoSpaceDE w:val="0"/>
              <w:autoSpaceDN w:val="0"/>
              <w:contextualSpacing/>
              <w:jc w:val="center"/>
              <w:rPr>
                <w:rFonts w:eastAsia="Calibri" w:asciiTheme="minorHAnsi" w:hAnsiTheme="minorHAnsi" w:cstheme="minorHAnsi"/>
                <w:b/>
                <w:bCs/>
                <w:sz w:val="18"/>
                <w:szCs w:val="18"/>
                <w:lang w:bidi="en-US"/>
              </w:rPr>
            </w:pPr>
          </w:p>
        </w:tc>
        <w:tc>
          <w:tcPr>
            <w:tcW w:w="1138" w:type="dxa"/>
            <w:tcBorders>
              <w:bottom w:val="single" w:sz="4" w:space="0" w:color="auto"/>
            </w:tcBorders>
            <w:shd w:val="clear" w:color="auto" w:fill="DEEAF6"/>
            <w:vAlign w:val="center"/>
          </w:tcPr>
          <w:p w:rsidR="00030252" w:rsidRPr="00A20368" w:rsidP="00030252" w14:paraId="0457CE6D" w14:textId="0450F102">
            <w:pPr>
              <w:keepNext/>
              <w:keepLines/>
              <w:widowControl/>
              <w:autoSpaceDE w:val="0"/>
              <w:autoSpaceDN w:val="0"/>
              <w:contextualSpacing/>
              <w:jc w:val="center"/>
              <w:rPr>
                <w:rFonts w:eastAsia="Calibri" w:asciiTheme="minorHAnsi" w:hAnsiTheme="minorHAnsi" w:cstheme="minorHAnsi"/>
                <w:b/>
                <w:bCs/>
                <w:sz w:val="18"/>
                <w:szCs w:val="18"/>
                <w:highlight w:val="cyan"/>
                <w:lang w:bidi="en-US"/>
              </w:rPr>
            </w:pPr>
            <w:r w:rsidRPr="00785E10">
              <w:rPr>
                <w:rFonts w:eastAsia="Calibri" w:asciiTheme="minorHAnsi" w:hAnsiTheme="minorHAnsi" w:cstheme="minorHAnsi"/>
                <w:b/>
                <w:bCs/>
                <w:sz w:val="18"/>
                <w:szCs w:val="18"/>
                <w:lang w:bidi="en-US"/>
              </w:rPr>
              <w:t>3,102</w:t>
            </w:r>
            <w:r w:rsidRPr="00785E10">
              <w:rPr>
                <w:rFonts w:eastAsia="Calibri" w:asciiTheme="minorHAnsi" w:hAnsiTheme="minorHAnsi" w:cstheme="minorHAnsi"/>
                <w:b/>
                <w:bCs/>
                <w:sz w:val="18"/>
                <w:szCs w:val="18"/>
                <w:lang w:bidi="en-US"/>
              </w:rPr>
              <w:t xml:space="preserve"> </w:t>
            </w:r>
            <w:r w:rsidRPr="00785E10">
              <w:rPr>
                <w:rFonts w:eastAsia="Calibri" w:asciiTheme="minorHAnsi" w:hAnsiTheme="minorHAnsi" w:cstheme="minorHAnsi"/>
                <w:b/>
                <w:bCs/>
                <w:sz w:val="18"/>
                <w:szCs w:val="18"/>
                <w:lang w:bidi="en-US"/>
              </w:rPr>
              <w:t>hrs</w:t>
            </w:r>
          </w:p>
        </w:tc>
        <w:tc>
          <w:tcPr>
            <w:tcW w:w="841" w:type="dxa"/>
            <w:tcBorders>
              <w:bottom w:val="single" w:sz="4" w:space="0" w:color="auto"/>
            </w:tcBorders>
            <w:shd w:val="clear" w:color="auto" w:fill="000000" w:themeFill="text1"/>
            <w:vAlign w:val="center"/>
          </w:tcPr>
          <w:p w:rsidR="00030252" w:rsidRPr="00A20368" w:rsidP="00030252" w14:paraId="3796D4CF" w14:textId="77777777">
            <w:pPr>
              <w:keepNext/>
              <w:keepLines/>
              <w:widowControl/>
              <w:autoSpaceDE w:val="0"/>
              <w:autoSpaceDN w:val="0"/>
              <w:contextualSpacing/>
              <w:jc w:val="center"/>
              <w:rPr>
                <w:rFonts w:eastAsia="Calibri" w:asciiTheme="minorHAnsi" w:hAnsiTheme="minorHAnsi" w:cstheme="minorHAnsi"/>
                <w:b/>
                <w:bCs/>
                <w:sz w:val="18"/>
                <w:szCs w:val="18"/>
                <w:highlight w:val="lightGray"/>
                <w:lang w:bidi="en-US"/>
              </w:rPr>
            </w:pPr>
          </w:p>
        </w:tc>
        <w:tc>
          <w:tcPr>
            <w:tcW w:w="963" w:type="dxa"/>
            <w:tcBorders>
              <w:bottom w:val="single" w:sz="4" w:space="0" w:color="auto"/>
            </w:tcBorders>
            <w:shd w:val="clear" w:color="auto" w:fill="DEEAF6"/>
            <w:vAlign w:val="center"/>
          </w:tcPr>
          <w:p w:rsidR="00030252" w:rsidRPr="00A20368" w:rsidP="00785E10" w14:paraId="306EDF4B" w14:textId="303A88B5">
            <w:pPr>
              <w:keepNext/>
              <w:keepLines/>
              <w:widowControl/>
              <w:autoSpaceDE w:val="0"/>
              <w:autoSpaceDN w:val="0"/>
              <w:contextualSpacing/>
              <w:jc w:val="center"/>
              <w:rPr>
                <w:rFonts w:eastAsia="Calibri" w:asciiTheme="minorHAnsi" w:hAnsiTheme="minorHAnsi" w:cstheme="minorHAnsi"/>
                <w:b/>
                <w:bCs/>
                <w:sz w:val="18"/>
                <w:szCs w:val="18"/>
                <w:highlight w:val="cyan"/>
                <w:lang w:bidi="en-US"/>
              </w:rPr>
            </w:pPr>
            <w:r w:rsidRPr="00785E10">
              <w:rPr>
                <w:rFonts w:eastAsia="Calibri" w:asciiTheme="minorHAnsi" w:hAnsiTheme="minorHAnsi" w:cstheme="minorHAnsi"/>
                <w:b/>
                <w:bCs/>
                <w:sz w:val="18"/>
                <w:szCs w:val="18"/>
                <w:lang w:bidi="en-US"/>
              </w:rPr>
              <w:t>$</w:t>
            </w:r>
            <w:r w:rsidRPr="00785E10" w:rsidR="00785E10">
              <w:rPr>
                <w:rFonts w:eastAsia="Calibri" w:asciiTheme="minorHAnsi" w:hAnsiTheme="minorHAnsi" w:cstheme="minorHAnsi"/>
                <w:b/>
                <w:bCs/>
                <w:sz w:val="18"/>
                <w:szCs w:val="18"/>
                <w:lang w:bidi="en-US"/>
              </w:rPr>
              <w:t>397,056</w:t>
            </w:r>
          </w:p>
        </w:tc>
      </w:tr>
    </w:tbl>
    <w:p w:rsidR="00BE7D1B" w:rsidP="00F04974" w14:paraId="7443B680" w14:textId="6608CF91">
      <w:pPr>
        <w:autoSpaceDE w:val="0"/>
        <w:autoSpaceDN w:val="0"/>
        <w:spacing w:before="60"/>
        <w:rPr>
          <w:rFonts w:eastAsia="Arial"/>
          <w:b/>
          <w:u w:val="single"/>
          <w:lang w:bidi="en-US"/>
        </w:rPr>
      </w:pPr>
      <w:r w:rsidRPr="00030252">
        <w:rPr>
          <w:rFonts w:eastAsia="Calibri" w:asciiTheme="minorHAnsi" w:hAnsiTheme="minorHAnsi" w:cstheme="minorHAnsi"/>
          <w:sz w:val="18"/>
          <w:szCs w:val="18"/>
          <w:vertAlign w:val="superscript"/>
          <w:lang w:bidi="en-US"/>
        </w:rPr>
        <w:t>1</w:t>
      </w:r>
      <w:r w:rsidRPr="00030252">
        <w:rPr>
          <w:rFonts w:eastAsia="Calibri" w:asciiTheme="minorHAnsi" w:hAnsiTheme="minorHAnsi" w:cstheme="minorHAnsi"/>
          <w:sz w:val="18"/>
          <w:szCs w:val="18"/>
          <w:lang w:bidi="en-US"/>
        </w:rPr>
        <w:t xml:space="preserve"> See explanation under heading “Response to Question 13 (continued).”</w:t>
      </w:r>
    </w:p>
    <w:p w:rsidR="00F04974" w:rsidP="00030252" w14:paraId="7689B2D7"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b/>
          <w:u w:val="single"/>
          <w:lang w:bidi="en-US"/>
        </w:rPr>
      </w:pPr>
    </w:p>
    <w:p w:rsidR="00030252" w:rsidRPr="00030252" w:rsidP="00030252" w14:paraId="5EB239A5" w14:textId="4AD55E26">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b/>
          <w:u w:val="single"/>
          <w:lang w:bidi="en-US"/>
        </w:rPr>
      </w:pPr>
      <w:r w:rsidRPr="00030252">
        <w:rPr>
          <w:rFonts w:eastAsia="Arial"/>
          <w:b/>
          <w:u w:val="single"/>
          <w:lang w:bidi="en-US"/>
        </w:rPr>
        <w:t xml:space="preserve">Response to Question 13 (continued). </w:t>
      </w:r>
    </w:p>
    <w:p w:rsidR="00030252" w:rsidRPr="00030252" w:rsidP="00030252" w14:paraId="765A67B9"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6A1899" w:rsidP="00030252" w14:paraId="054A1CEC" w14:textId="278540C4">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6A1899">
        <w:rPr>
          <w:rFonts w:eastAsia="Arial"/>
          <w:lang w:bidi="en-US"/>
        </w:rPr>
        <w:t xml:space="preserve">As noted above, NMFS estimates that approximately </w:t>
      </w:r>
      <w:r w:rsidRPr="00D93ACA" w:rsidR="00456B1A">
        <w:rPr>
          <w:rFonts w:eastAsia="Arial"/>
          <w:lang w:bidi="en-US"/>
        </w:rPr>
        <w:t xml:space="preserve">559 </w:t>
      </w:r>
      <w:r w:rsidRPr="00D93ACA">
        <w:rPr>
          <w:rFonts w:eastAsia="Arial"/>
          <w:lang w:bidi="en-US"/>
        </w:rPr>
        <w:t xml:space="preserve">vessels are carrying operating VMS units in the groundfish, crab, </w:t>
      </w:r>
      <w:r w:rsidRPr="00AD5079">
        <w:rPr>
          <w:rFonts w:eastAsia="Arial"/>
          <w:lang w:bidi="en-US"/>
        </w:rPr>
        <w:t>and scallop fisheries off Alaska</w:t>
      </w:r>
      <w:r w:rsidRPr="00AD5079" w:rsidR="00D93ACA">
        <w:rPr>
          <w:rFonts w:eastAsia="Arial"/>
          <w:lang w:bidi="en-US"/>
        </w:rPr>
        <w:t xml:space="preserve"> and 100 vessels would install units due to the rule</w:t>
      </w:r>
      <w:r w:rsidRPr="00AD5079">
        <w:rPr>
          <w:rFonts w:eastAsia="Arial"/>
          <w:lang w:bidi="en-US"/>
        </w:rPr>
        <w:t xml:space="preserve">. Depending on which brand of VMS is chosen, NMFS estimates the price of a VMS unit ranges from about $2,500 to $3,200. All </w:t>
      </w:r>
      <w:r w:rsidRPr="00D93ACA" w:rsidR="00456B1A">
        <w:rPr>
          <w:rFonts w:eastAsia="Arial"/>
          <w:lang w:bidi="en-US"/>
        </w:rPr>
        <w:t>559</w:t>
      </w:r>
      <w:r w:rsidRPr="006A1899" w:rsidR="00456B1A">
        <w:rPr>
          <w:rFonts w:eastAsia="Arial"/>
          <w:lang w:bidi="en-US"/>
        </w:rPr>
        <w:t xml:space="preserve"> </w:t>
      </w:r>
      <w:r w:rsidRPr="006A1899">
        <w:rPr>
          <w:rFonts w:eastAsia="Arial"/>
          <w:lang w:bidi="en-US"/>
        </w:rPr>
        <w:t xml:space="preserve">of the currently operating VMS units have already been purchased. </w:t>
      </w:r>
    </w:p>
    <w:p w:rsidR="00030252" w:rsidRPr="006A1899" w:rsidP="00030252" w14:paraId="07442ED4"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6A1899" w:rsidP="00030252" w14:paraId="5DC52B1E" w14:textId="5CF046F8">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6A1899">
        <w:rPr>
          <w:rFonts w:eastAsia="Arial"/>
          <w:lang w:bidi="en-US"/>
        </w:rPr>
        <w:t xml:space="preserve">In 2006, NOAA established a VMS Reimbursement Program to offset the cost of purchasing a new VMS unit for the purpose of complying with fishery regulations pursuant to the Magnuson-Stevens Act (see </w:t>
      </w:r>
      <w:hyperlink r:id="rId27" w:history="1">
        <w:r w:rsidRPr="006A1899">
          <w:rPr>
            <w:rFonts w:eastAsia="Arial"/>
            <w:color w:val="0000FF"/>
            <w:u w:val="single"/>
            <w:lang w:bidi="en-US"/>
          </w:rPr>
          <w:t>http://www.psmfc.org/program/vessel-monitoring-system-reimbursement-program-vms</w:t>
        </w:r>
      </w:hyperlink>
      <w:r w:rsidRPr="006A1899">
        <w:rPr>
          <w:rFonts w:eastAsia="Arial"/>
          <w:lang w:bidi="en-US"/>
        </w:rPr>
        <w:t xml:space="preserve">). The Pacific States Marine Fisheries Commission in collaboration with NMFS OLE distributes the allocated reimbursement funds to eligible, confirmed vessel owners and operators. The reimbursement program is for eligible vessels that have not had a VMS unit installed before and reimburses the cost of the base unit of the first VMS unit up to $3,100. Many of these reimbursements were made because of requirements to upgrade or replace outdated VMS units. </w:t>
      </w:r>
      <w:r w:rsidR="00AD5079">
        <w:rPr>
          <w:rFonts w:eastAsia="Arial"/>
          <w:lang w:bidi="en-US"/>
        </w:rPr>
        <w:t>NMFS expects</w:t>
      </w:r>
      <w:r w:rsidRPr="00531C98" w:rsidR="00531C98">
        <w:rPr>
          <w:rFonts w:eastAsia="Arial"/>
          <w:lang w:bidi="en-US"/>
        </w:rPr>
        <w:t xml:space="preserve"> that all vessel op</w:t>
      </w:r>
      <w:r w:rsidR="00531C98">
        <w:rPr>
          <w:rFonts w:eastAsia="Arial"/>
          <w:lang w:bidi="en-US"/>
        </w:rPr>
        <w:t>erators participating in the Upper Cook Inlet</w:t>
      </w:r>
      <w:r w:rsidRPr="00531C98" w:rsidR="00531C98">
        <w:rPr>
          <w:rFonts w:eastAsia="Arial"/>
          <w:lang w:bidi="en-US"/>
        </w:rPr>
        <w:t xml:space="preserve"> salmon drift gillnet fishery would qualify for a reimbursement under this program</w:t>
      </w:r>
      <w:r w:rsidR="00531C98">
        <w:rPr>
          <w:rFonts w:eastAsia="Arial"/>
          <w:lang w:bidi="en-US"/>
        </w:rPr>
        <w:t>.</w:t>
      </w:r>
    </w:p>
    <w:p w:rsidR="00030252" w:rsidRPr="006A1899" w:rsidP="00030252" w14:paraId="70140F43"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6A1899" w:rsidP="00030252" w14:paraId="4C9A76B9" w14:textId="3E126F4D">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6A1899">
        <w:rPr>
          <w:rFonts w:eastAsia="Arial"/>
          <w:lang w:bidi="en-US"/>
        </w:rPr>
        <w:t xml:space="preserve">VMS units periodically wear out or break down and must be replaced, and some vessel operators voluntarily upgrade their VMS units. NMFS estimates </w:t>
      </w:r>
      <w:r w:rsidRPr="006C5416">
        <w:rPr>
          <w:rFonts w:eastAsia="Arial"/>
          <w:lang w:bidi="en-US"/>
        </w:rPr>
        <w:t xml:space="preserve">that 100 units will be replaced over the course of the 3-year </w:t>
      </w:r>
      <w:r w:rsidR="00AD5079">
        <w:rPr>
          <w:rFonts w:eastAsia="Arial"/>
          <w:lang w:bidi="en-US"/>
        </w:rPr>
        <w:t>renewal period</w:t>
      </w:r>
      <w:r w:rsidRPr="006C5416" w:rsidR="00AD5079">
        <w:rPr>
          <w:rFonts w:eastAsia="Arial"/>
          <w:lang w:bidi="en-US"/>
        </w:rPr>
        <w:t xml:space="preserve"> </w:t>
      </w:r>
      <w:r w:rsidRPr="006C5416">
        <w:rPr>
          <w:rFonts w:eastAsia="Arial"/>
          <w:lang w:bidi="en-US"/>
        </w:rPr>
        <w:t>of this information collection, or an annualized rate of 33 VMS replacements per year (100/3). These replacement units are not likely to be eligible for</w:t>
      </w:r>
      <w:r w:rsidRPr="006A1899">
        <w:rPr>
          <w:rFonts w:eastAsia="Arial"/>
          <w:lang w:bidi="en-US"/>
        </w:rPr>
        <w:t xml:space="preserve"> reimbursement due to the “one time” provisions of the reimbursement program. </w:t>
      </w:r>
      <w:r w:rsidRPr="006C5416">
        <w:rPr>
          <w:rFonts w:eastAsia="Arial"/>
          <w:lang w:bidi="en-US"/>
        </w:rPr>
        <w:t>Each of these 33 replacement units are estimated to cost $3,100 per unit for a total annual cost of $102,300.</w:t>
      </w:r>
      <w:r w:rsidRPr="006A1899">
        <w:rPr>
          <w:rFonts w:eastAsia="Arial"/>
          <w:lang w:bidi="en-US"/>
        </w:rPr>
        <w:t xml:space="preserve"> NMFS selected $3,100 as a cost estimate for the replacement units because it is the maximum allowed for new unit reimbursement and probably represents a good average cost of a new or replacement unit. </w:t>
      </w:r>
    </w:p>
    <w:p w:rsidR="00030252" w:rsidRPr="006A1899" w:rsidP="00030252" w14:paraId="5CC97AEF"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030252" w:rsidP="00030252" w14:paraId="387E19F6" w14:textId="09C663BC">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6A1899">
        <w:rPr>
          <w:rFonts w:eastAsia="Arial"/>
          <w:lang w:bidi="en-US"/>
        </w:rPr>
        <w:t xml:space="preserve">Depending on which brand of VMS is chosen, the average monthly cost of a VMS service provider agreement is approximately $60 for transmission two times per hour and approximately $190 for transmission ten times per hour (trawling in the Aleutian Islands). NMFS is unable to </w:t>
      </w:r>
      <w:r w:rsidRPr="00AE65FA">
        <w:rPr>
          <w:rFonts w:eastAsia="Arial"/>
          <w:lang w:bidi="en-US"/>
        </w:rPr>
        <w:t xml:space="preserve">breakdown the total estimate of </w:t>
      </w:r>
      <w:r w:rsidRPr="00AE65FA" w:rsidR="00AD5079">
        <w:rPr>
          <w:rFonts w:eastAsia="Arial"/>
          <w:lang w:bidi="en-US"/>
        </w:rPr>
        <w:t>7.3 million</w:t>
      </w:r>
      <w:r w:rsidRPr="00AE65FA">
        <w:rPr>
          <w:rFonts w:eastAsia="Arial"/>
          <w:lang w:bidi="en-US"/>
        </w:rPr>
        <w:t xml:space="preserve"> VMS transmissions per year between three categories of transmission rates (ten times per hour, two times per hour, and one time per hour when a vessel is in port). Therefore, for purposes of estimating the average cost of VMS transmissions per vessel and overall, NMFS assumes that each vessel required to use VMS pays for a 12-month service provider agreement at the $60/month rate. </w:t>
      </w:r>
      <w:r w:rsidRPr="00AE65FA">
        <w:rPr>
          <w:rFonts w:eastAsia="Arial"/>
          <w:lang w:bidi="en-US"/>
        </w:rPr>
        <w:t>The majority of</w:t>
      </w:r>
      <w:r w:rsidRPr="00AE65FA">
        <w:rPr>
          <w:rFonts w:eastAsia="Arial"/>
          <w:lang w:bidi="en-US"/>
        </w:rPr>
        <w:t xml:space="preserve"> the vessels will be fishing in</w:t>
      </w:r>
      <w:r w:rsidRPr="00F746EE">
        <w:rPr>
          <w:rFonts w:eastAsia="Arial"/>
          <w:lang w:bidi="en-US"/>
        </w:rPr>
        <w:t xml:space="preserve"> areas and fisheries that require transmission of location information two times</w:t>
      </w:r>
      <w:r w:rsidRPr="00030252">
        <w:rPr>
          <w:rFonts w:eastAsia="Arial"/>
          <w:lang w:bidi="en-US"/>
        </w:rPr>
        <w:t xml:space="preserve"> per hour; however, the assumption that each vessel will be paying for VMS transmission the full 12-months of the year is conservative, so balances out the fact that some of the vessels will be paying a higher monthly charge for more frequent transmissions.</w:t>
      </w:r>
      <w:r w:rsidR="00DB03AD">
        <w:rPr>
          <w:rFonts w:eastAsia="Arial"/>
          <w:lang w:bidi="en-US"/>
        </w:rPr>
        <w:t xml:space="preserve"> </w:t>
      </w:r>
    </w:p>
    <w:p w:rsidR="00030252" w:rsidRPr="00030252" w:rsidP="00030252" w14:paraId="58B6C4DD"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030252" w:rsidP="00030252" w14:paraId="76AB2B99"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030252">
        <w:rPr>
          <w:rFonts w:eastAsia="Arial"/>
          <w:lang w:bidi="en-US"/>
        </w:rPr>
        <w:t xml:space="preserve">Based on these assumptions: </w:t>
      </w:r>
    </w:p>
    <w:p w:rsidR="00030252" w:rsidRPr="00030252" w:rsidP="00030252" w14:paraId="1FB47A34"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030252">
        <w:rPr>
          <w:rFonts w:eastAsia="Arial"/>
          <w:lang w:bidi="en-US"/>
        </w:rPr>
        <w:t xml:space="preserve"> </w:t>
      </w:r>
    </w:p>
    <w:p w:rsidR="00030252" w:rsidRPr="00030252" w:rsidP="00030252" w14:paraId="69C0ECD6"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030252">
        <w:rPr>
          <w:rFonts w:eastAsia="Arial"/>
          <w:lang w:bidi="en-US"/>
        </w:rPr>
        <w:t xml:space="preserve">The cost for VMS transmission for a single vessel is $720 (12 months * $60/month). </w:t>
      </w:r>
    </w:p>
    <w:p w:rsidR="00030252" w:rsidRPr="00030252" w:rsidP="00030252" w14:paraId="294AC6AE" w14:textId="6CCC3CD3">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r w:rsidRPr="00030252">
        <w:rPr>
          <w:rFonts w:eastAsia="Arial"/>
          <w:lang w:bidi="en-US"/>
        </w:rPr>
        <w:t>The cost for VMS transmission for all vessels is $</w:t>
      </w:r>
      <w:r w:rsidRPr="0057250A" w:rsidR="0057250A">
        <w:rPr>
          <w:rFonts w:eastAsia="Arial"/>
          <w:lang w:bidi="en-US"/>
        </w:rPr>
        <w:t>474,480</w:t>
      </w:r>
      <w:r w:rsidRPr="0057250A">
        <w:rPr>
          <w:rFonts w:eastAsia="Arial"/>
          <w:lang w:bidi="en-US"/>
        </w:rPr>
        <w:t xml:space="preserve"> (</w:t>
      </w:r>
      <w:r w:rsidR="0057250A">
        <w:rPr>
          <w:rFonts w:eastAsia="Arial"/>
          <w:lang w:bidi="en-US"/>
        </w:rPr>
        <w:t>659</w:t>
      </w:r>
      <w:r w:rsidRPr="00030252" w:rsidR="0057250A">
        <w:rPr>
          <w:rFonts w:eastAsia="Arial"/>
          <w:lang w:bidi="en-US"/>
        </w:rPr>
        <w:t xml:space="preserve"> </w:t>
      </w:r>
      <w:r w:rsidRPr="00030252">
        <w:rPr>
          <w:rFonts w:eastAsia="Arial"/>
          <w:lang w:bidi="en-US"/>
        </w:rPr>
        <w:t xml:space="preserve">vessels * $720/hour). </w:t>
      </w:r>
    </w:p>
    <w:p w:rsidR="00030252" w:rsidRPr="00030252" w:rsidP="00030252" w14:paraId="34B4BB22"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lang w:bidi="en-US"/>
        </w:rPr>
      </w:pPr>
    </w:p>
    <w:p w:rsidR="00030252" w:rsidRPr="00030252" w:rsidP="00030252" w14:paraId="147BCA7E"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contextualSpacing/>
        <w:rPr>
          <w:rFonts w:eastAsia="Arial"/>
          <w:color w:val="000000"/>
          <w:lang w:bidi="en-US"/>
        </w:rPr>
      </w:pPr>
      <w:r w:rsidRPr="00030252">
        <w:rPr>
          <w:rFonts w:eastAsia="Arial"/>
          <w:color w:val="000000"/>
          <w:lang w:bidi="en-US"/>
        </w:rPr>
        <w:t>The hourly charges for installation, maintenance, and troubleshooting by a qualified marine electronics technician vary by location. Based on responses to informal interviews, Seattle rates are approximately $115 per hour; Kodiak rates are approximately $135 per hour; and Dutch Harbor rates are approximately $142 per hour. Thus, the average of the high and low rates, $128 per hour, has been used to estimate this burden.</w:t>
      </w:r>
    </w:p>
    <w:p w:rsidR="00030252" w:rsidP="008621E7" w14:paraId="6B555F77" w14:textId="77777777">
      <w:pPr>
        <w:widowControl/>
        <w:pBdr>
          <w:top w:val="nil"/>
          <w:left w:val="nil"/>
          <w:bottom w:val="nil"/>
          <w:right w:val="nil"/>
          <w:between w:val="nil"/>
        </w:pBdr>
        <w:spacing w:before="1"/>
        <w:rPr>
          <w:b/>
          <w:color w:val="000000"/>
        </w:rPr>
      </w:pPr>
    </w:p>
    <w:p w:rsidR="00774BBC" w:rsidP="008621E7" w14:paraId="5CF90B01"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74BBC" w:rsidRPr="00996A24" w:rsidP="008621E7" w14:paraId="689A3F5F" w14:textId="77777777">
      <w:pPr>
        <w:widowControl/>
        <w:pBdr>
          <w:top w:val="nil"/>
          <w:left w:val="nil"/>
          <w:bottom w:val="nil"/>
          <w:right w:val="nil"/>
          <w:between w:val="nil"/>
        </w:pBdr>
      </w:pPr>
    </w:p>
    <w:p w:rsidR="002159AF" w:rsidP="00041DB1" w14:paraId="4FC561EC" w14:textId="3586EED9">
      <w:pPr>
        <w:widowControl/>
        <w:autoSpaceDE w:val="0"/>
        <w:autoSpaceDN w:val="0"/>
        <w:spacing w:after="240"/>
        <w:contextualSpacing/>
        <w:rPr>
          <w:rFonts w:eastAsia="Arial"/>
          <w:color w:val="000000"/>
          <w:lang w:bidi="en-US"/>
        </w:rPr>
      </w:pPr>
      <w:r w:rsidRPr="002159AF">
        <w:rPr>
          <w:rFonts w:eastAsia="Arial"/>
          <w:color w:val="000000"/>
          <w:lang w:bidi="en-US"/>
        </w:rPr>
        <w:t xml:space="preserve">Alaska Region VMS data are monitored and interpreted by </w:t>
      </w:r>
      <w:r>
        <w:rPr>
          <w:rFonts w:eastAsia="Arial"/>
          <w:color w:val="000000"/>
          <w:lang w:bidi="en-US"/>
        </w:rPr>
        <w:t>NOAA</w:t>
      </w:r>
      <w:r w:rsidRPr="002159AF">
        <w:rPr>
          <w:rFonts w:eastAsia="Arial"/>
          <w:color w:val="000000"/>
          <w:lang w:bidi="en-US"/>
        </w:rPr>
        <w:t xml:space="preserve"> OLE. Currently, no officers are directly dedicated to the NMFS Alaska Region VMS Program; however, a program manager and an enforcement technician work on VMS.</w:t>
      </w:r>
    </w:p>
    <w:p w:rsidR="002770FF" w:rsidP="00041DB1" w14:paraId="2A06CE92" w14:textId="77777777">
      <w:pPr>
        <w:widowControl/>
        <w:autoSpaceDE w:val="0"/>
        <w:autoSpaceDN w:val="0"/>
        <w:spacing w:after="240"/>
        <w:contextualSpacing/>
        <w:rPr>
          <w:rFonts w:eastAsia="Arial"/>
          <w:color w:val="000000"/>
          <w:lang w:bidi="en-US"/>
        </w:rPr>
      </w:pPr>
    </w:p>
    <w:p w:rsidR="002770FF" w:rsidP="00041DB1" w14:paraId="001196DE" w14:textId="1D4A5122">
      <w:pPr>
        <w:widowControl/>
        <w:autoSpaceDE w:val="0"/>
        <w:autoSpaceDN w:val="0"/>
        <w:spacing w:after="240"/>
        <w:contextualSpacing/>
        <w:rPr>
          <w:rFonts w:eastAsia="Arial"/>
          <w:color w:val="000000"/>
          <w:lang w:bidi="en-US"/>
        </w:rPr>
      </w:pPr>
      <w:r w:rsidRPr="002770FF">
        <w:rPr>
          <w:color w:val="000000"/>
        </w:rPr>
        <w:t>The fully loaded salary cost includes 52 percent of the salary to account for benefits and other overhead costs</w:t>
      </w:r>
      <w:r w:rsidRPr="002770FF">
        <w:rPr>
          <w:rFonts w:eastAsia="Arial"/>
          <w:color w:val="000000"/>
          <w:lang w:bidi="en-US"/>
        </w:rPr>
        <w:t xml:space="preserve"> (e.g., $78,056 * 1.52 = $118,645</w:t>
      </w:r>
      <w:r w:rsidR="002159AF">
        <w:rPr>
          <w:rFonts w:eastAsia="Arial"/>
          <w:color w:val="000000"/>
          <w:lang w:bidi="en-US"/>
        </w:rPr>
        <w:t xml:space="preserve"> </w:t>
      </w:r>
      <w:r w:rsidRPr="002770FF">
        <w:rPr>
          <w:rFonts w:eastAsia="Arial"/>
          <w:color w:val="000000"/>
          <w:lang w:bidi="en-US"/>
        </w:rPr>
        <w:t>loaded salary).</w:t>
      </w:r>
      <w:r w:rsidRPr="002770FF">
        <w:rPr>
          <w:color w:val="000000"/>
        </w:rPr>
        <w:t xml:space="preserve"> </w:t>
      </w:r>
      <w:r w:rsidRPr="002770FF">
        <w:t xml:space="preserve">The grade and step are </w:t>
      </w:r>
      <w:r w:rsidRPr="002770FF">
        <w:rPr>
          <w:rFonts w:eastAsia="Batang"/>
        </w:rPr>
        <w:t xml:space="preserve">from the Department of </w:t>
      </w:r>
      <w:r w:rsidRPr="002770FF">
        <w:rPr>
          <w:rFonts w:eastAsia="Batang"/>
          <w:color w:val="212121"/>
          <w:shd w:val="clear" w:color="auto" w:fill="FFFFFF"/>
        </w:rPr>
        <w:t>Commerce Alternative Personnel System (CAPS) pay tables (</w:t>
      </w:r>
      <w:hyperlink r:id="rId28" w:history="1">
        <w:r w:rsidRPr="002770FF">
          <w:rPr>
            <w:rFonts w:eastAsia="Batang"/>
            <w:color w:val="0000FF"/>
            <w:u w:val="single"/>
            <w:shd w:val="clear" w:color="auto" w:fill="FFFFFF"/>
          </w:rPr>
          <w:t>https://www.commerce.gov/hr/practitioners/caps/pay-administration</w:t>
        </w:r>
      </w:hyperlink>
      <w:r w:rsidRPr="002770FF">
        <w:rPr>
          <w:rFonts w:eastAsia="Batang"/>
          <w:color w:val="212121"/>
          <w:shd w:val="clear" w:color="auto" w:fill="FFFFFF"/>
        </w:rPr>
        <w:t>). The general schedule grade equivalent for CAPS is included in parentheses.</w:t>
      </w:r>
    </w:p>
    <w:p w:rsidR="0022545B" w:rsidRPr="0022545B" w:rsidP="0022545B" w14:paraId="05F1F915" w14:textId="6E6EEF41">
      <w:pPr>
        <w:widowControl/>
        <w:autoSpaceDE w:val="0"/>
        <w:autoSpaceDN w:val="0"/>
        <w:spacing w:after="240"/>
        <w:contextualSpacing/>
        <w:rPr>
          <w:rFonts w:eastAsia="Arial"/>
          <w:color w:val="000000"/>
          <w:lang w:bidi="en-US"/>
        </w:rPr>
      </w:pPr>
    </w:p>
    <w:tbl>
      <w:tblPr>
        <w:tblStyle w:val="a2"/>
        <w:tblW w:w="8240" w:type="dxa"/>
        <w:jc w:val="center"/>
        <w:tblLayout w:type="fixed"/>
        <w:tblLook w:val="0400"/>
      </w:tblPr>
      <w:tblGrid>
        <w:gridCol w:w="2280"/>
        <w:gridCol w:w="1120"/>
        <w:gridCol w:w="1140"/>
        <w:gridCol w:w="1120"/>
        <w:gridCol w:w="1280"/>
        <w:gridCol w:w="1300"/>
      </w:tblGrid>
      <w:tr w14:paraId="32AEA4DC" w14:textId="77777777" w:rsidTr="0094588B">
        <w:tblPrEx>
          <w:tblW w:w="8240" w:type="dxa"/>
          <w:jc w:val="center"/>
          <w:tblLayout w:type="fixed"/>
          <w:tblLook w:val="0400"/>
        </w:tblPrEx>
        <w:trPr>
          <w:trHeight w:val="556"/>
          <w:jc w:val="center"/>
        </w:trPr>
        <w:tc>
          <w:tcPr>
            <w:tcW w:w="2280" w:type="dxa"/>
            <w:tcBorders>
              <w:top w:val="single" w:sz="8" w:space="0" w:color="000000"/>
              <w:left w:val="single" w:sz="8" w:space="0" w:color="000000"/>
              <w:bottom w:val="nil"/>
              <w:right w:val="single" w:sz="8" w:space="0" w:color="000000"/>
            </w:tcBorders>
            <w:shd w:val="clear" w:color="auto" w:fill="BDD7EE"/>
            <w:vAlign w:val="center"/>
          </w:tcPr>
          <w:p w:rsidR="00774BBC" w:rsidRPr="00041DB1" w:rsidP="008621E7" w14:paraId="0726FBF7"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774BBC" w:rsidRPr="00041DB1" w:rsidP="008621E7" w14:paraId="7D9CEC3B"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Grade/Step</w:t>
            </w:r>
          </w:p>
        </w:tc>
        <w:tc>
          <w:tcPr>
            <w:tcW w:w="1140" w:type="dxa"/>
            <w:tcBorders>
              <w:top w:val="single" w:sz="8" w:space="0" w:color="000000"/>
              <w:left w:val="nil"/>
              <w:bottom w:val="nil"/>
              <w:right w:val="single" w:sz="8" w:space="0" w:color="000000"/>
            </w:tcBorders>
            <w:shd w:val="clear" w:color="auto" w:fill="BDD7EE"/>
            <w:vAlign w:val="center"/>
          </w:tcPr>
          <w:p w:rsidR="00774BBC" w:rsidRPr="00041DB1" w:rsidP="008621E7" w14:paraId="081F9F86"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774BBC" w:rsidRPr="00041DB1" w:rsidP="008621E7" w14:paraId="40379D70"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 of Effort</w:t>
            </w:r>
          </w:p>
        </w:tc>
        <w:tc>
          <w:tcPr>
            <w:tcW w:w="1280" w:type="dxa"/>
            <w:tcBorders>
              <w:top w:val="single" w:sz="8" w:space="0" w:color="000000"/>
              <w:left w:val="nil"/>
              <w:bottom w:val="nil"/>
              <w:right w:val="single" w:sz="8" w:space="0" w:color="000000"/>
            </w:tcBorders>
            <w:shd w:val="clear" w:color="auto" w:fill="BDD7EE"/>
            <w:vAlign w:val="center"/>
          </w:tcPr>
          <w:p w:rsidR="00774BBC" w:rsidRPr="00041DB1" w:rsidP="008621E7" w14:paraId="309FAFA6"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774BBC" w:rsidRPr="00041DB1" w:rsidP="008621E7" w14:paraId="79224499" w14:textId="77777777">
            <w:pPr>
              <w:widowControl/>
              <w:jc w:val="center"/>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Total Cost to Government</w:t>
            </w:r>
          </w:p>
        </w:tc>
      </w:tr>
      <w:tr w14:paraId="0E74DA7C" w14:textId="77777777" w:rsidTr="00F02CD1">
        <w:tblPrEx>
          <w:tblW w:w="8240" w:type="dxa"/>
          <w:jc w:val="center"/>
          <w:tblLayout w:type="fixed"/>
          <w:tblLook w:val="0400"/>
        </w:tblPrEx>
        <w:trPr>
          <w:trHeight w:val="465"/>
          <w:jc w:val="center"/>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1DB1" w:rsidRPr="00412909" w:rsidP="00041DB1" w14:paraId="1155DC44" w14:textId="77777777">
            <w:pPr>
              <w:widowControl/>
              <w:rPr>
                <w:rFonts w:eastAsia="Calibri" w:asciiTheme="minorHAnsi" w:hAnsiTheme="minorHAnsi" w:cstheme="minorHAnsi"/>
                <w:b/>
                <w:color w:val="000000"/>
                <w:sz w:val="18"/>
                <w:szCs w:val="18"/>
              </w:rPr>
            </w:pPr>
            <w:r w:rsidRPr="00412909">
              <w:rPr>
                <w:rFonts w:eastAsia="Calibri" w:asciiTheme="minorHAnsi" w:hAnsiTheme="minorHAnsi" w:cstheme="minorHAnsi"/>
                <w:b/>
                <w:color w:val="000000"/>
                <w:sz w:val="18"/>
                <w:szCs w:val="18"/>
              </w:rPr>
              <w:t>Federal Oversight</w:t>
            </w:r>
          </w:p>
          <w:p w:rsidR="00F02CD1" w:rsidRPr="00412909" w:rsidP="00F746EE" w14:paraId="70F74863" w14:textId="1DA242D2">
            <w:pPr>
              <w:widowControl/>
              <w:jc w:val="right"/>
              <w:rPr>
                <w:rFonts w:eastAsia="Calibri" w:asciiTheme="minorHAnsi" w:hAnsiTheme="minorHAnsi" w:cstheme="minorHAnsi"/>
                <w:color w:val="000000"/>
                <w:sz w:val="18"/>
                <w:szCs w:val="18"/>
              </w:rPr>
            </w:pPr>
            <w:r w:rsidRPr="00412909">
              <w:rPr>
                <w:rFonts w:eastAsia="Calibri" w:asciiTheme="minorHAnsi" w:hAnsiTheme="minorHAnsi" w:cstheme="minorHAnsi"/>
                <w:color w:val="000000"/>
                <w:sz w:val="18"/>
                <w:szCs w:val="18"/>
              </w:rPr>
              <w:t>program manager</w:t>
            </w:r>
          </w:p>
        </w:tc>
        <w:tc>
          <w:tcPr>
            <w:tcW w:w="1120" w:type="dxa"/>
            <w:tcBorders>
              <w:top w:val="single" w:sz="4" w:space="0" w:color="auto"/>
              <w:left w:val="nil"/>
              <w:bottom w:val="single" w:sz="4" w:space="0" w:color="auto"/>
              <w:right w:val="single" w:sz="4" w:space="0" w:color="auto"/>
            </w:tcBorders>
            <w:shd w:val="clear" w:color="auto" w:fill="auto"/>
            <w:vAlign w:val="bottom"/>
          </w:tcPr>
          <w:p w:rsidR="00041DB1" w:rsidP="00F746EE" w14:paraId="7BFEFCC7" w14:textId="77777777">
            <w:pPr>
              <w:widowControl/>
              <w:jc w:val="center"/>
              <w:rPr>
                <w:rFonts w:ascii="Calibri" w:hAnsi="Calibri" w:cs="Calibri"/>
                <w:color w:val="000000"/>
                <w:sz w:val="18"/>
                <w:szCs w:val="18"/>
              </w:rPr>
            </w:pPr>
            <w:r w:rsidRPr="00412909">
              <w:rPr>
                <w:rFonts w:ascii="Calibri" w:hAnsi="Calibri" w:cs="Calibri"/>
                <w:color w:val="000000"/>
                <w:sz w:val="18"/>
                <w:szCs w:val="18"/>
              </w:rPr>
              <w:t>ZA-4</w:t>
            </w:r>
            <w:r w:rsidR="002770FF">
              <w:rPr>
                <w:rFonts w:ascii="Calibri" w:hAnsi="Calibri" w:cs="Calibri"/>
                <w:color w:val="000000"/>
                <w:sz w:val="18"/>
                <w:szCs w:val="18"/>
              </w:rPr>
              <w:t xml:space="preserve"> step 4</w:t>
            </w:r>
          </w:p>
          <w:p w:rsidR="002770FF" w:rsidRPr="00412909" w:rsidP="00F746EE" w14:paraId="59A0EE35" w14:textId="3DE2633F">
            <w:pPr>
              <w:widowControl/>
              <w:jc w:val="center"/>
              <w:rPr>
                <w:rFonts w:eastAsia="Calibri" w:asciiTheme="minorHAnsi" w:hAnsiTheme="minorHAnsi" w:cstheme="minorHAnsi"/>
                <w:color w:val="000000"/>
                <w:sz w:val="18"/>
                <w:szCs w:val="18"/>
              </w:rPr>
            </w:pPr>
            <w:r>
              <w:rPr>
                <w:rFonts w:ascii="Calibri" w:hAnsi="Calibri" w:cs="Calibri"/>
                <w:color w:val="000000"/>
                <w:sz w:val="18"/>
                <w:szCs w:val="18"/>
              </w:rPr>
              <w:t>(GS 13/14)</w:t>
            </w:r>
          </w:p>
        </w:tc>
        <w:tc>
          <w:tcPr>
            <w:tcW w:w="1140" w:type="dxa"/>
            <w:tcBorders>
              <w:top w:val="single" w:sz="4" w:space="0" w:color="auto"/>
              <w:left w:val="nil"/>
              <w:bottom w:val="single" w:sz="4" w:space="0" w:color="auto"/>
              <w:right w:val="single" w:sz="4" w:space="0" w:color="auto"/>
            </w:tcBorders>
            <w:shd w:val="clear" w:color="auto" w:fill="auto"/>
            <w:vAlign w:val="bottom"/>
          </w:tcPr>
          <w:p w:rsidR="00041DB1" w:rsidRPr="00412909" w:rsidP="00F746EE" w14:paraId="0DDF44FE" w14:textId="76AAC7A2">
            <w:pPr>
              <w:widowControl/>
              <w:jc w:val="center"/>
              <w:rPr>
                <w:rFonts w:eastAsia="Calibri" w:asciiTheme="minorHAnsi" w:hAnsiTheme="minorHAnsi" w:cstheme="minorHAnsi"/>
                <w:color w:val="000000"/>
                <w:sz w:val="18"/>
                <w:szCs w:val="18"/>
              </w:rPr>
            </w:pPr>
            <w:r w:rsidRPr="00412909">
              <w:rPr>
                <w:rFonts w:ascii="Calibri" w:hAnsi="Calibri" w:cs="Calibri"/>
                <w:color w:val="000000"/>
                <w:sz w:val="18"/>
                <w:szCs w:val="18"/>
              </w:rPr>
              <w:t>$</w:t>
            </w:r>
            <w:r w:rsidR="00F746EE">
              <w:rPr>
                <w:rFonts w:ascii="Calibri" w:hAnsi="Calibri" w:cs="Calibri"/>
                <w:color w:val="000000"/>
                <w:sz w:val="18"/>
                <w:szCs w:val="18"/>
              </w:rPr>
              <w:t>267,023</w:t>
            </w:r>
          </w:p>
        </w:tc>
        <w:tc>
          <w:tcPr>
            <w:tcW w:w="1120" w:type="dxa"/>
            <w:tcBorders>
              <w:top w:val="single" w:sz="4" w:space="0" w:color="auto"/>
              <w:left w:val="nil"/>
              <w:bottom w:val="single" w:sz="4" w:space="0" w:color="auto"/>
              <w:right w:val="single" w:sz="4" w:space="0" w:color="auto"/>
            </w:tcBorders>
            <w:shd w:val="clear" w:color="auto" w:fill="auto"/>
            <w:vAlign w:val="bottom"/>
          </w:tcPr>
          <w:p w:rsidR="00041DB1" w:rsidRPr="00412909" w:rsidP="00F746EE" w14:paraId="496680AA" w14:textId="10B982C6">
            <w:pPr>
              <w:widowControl/>
              <w:jc w:val="center"/>
              <w:rPr>
                <w:rFonts w:eastAsia="Calibri" w:asciiTheme="minorHAnsi" w:hAnsiTheme="minorHAnsi" w:cstheme="minorHAnsi"/>
                <w:color w:val="000000"/>
                <w:sz w:val="18"/>
                <w:szCs w:val="18"/>
              </w:rPr>
            </w:pPr>
            <w:r w:rsidRPr="00412909">
              <w:rPr>
                <w:rFonts w:ascii="Calibri" w:hAnsi="Calibri" w:cs="Calibri"/>
                <w:color w:val="000000"/>
                <w:sz w:val="18"/>
                <w:szCs w:val="18"/>
              </w:rPr>
              <w:t>3</w:t>
            </w:r>
            <w:r w:rsidRPr="00412909">
              <w:rPr>
                <w:rFonts w:ascii="Calibri" w:hAnsi="Calibri" w:cs="Calibri"/>
                <w:color w:val="000000"/>
                <w:sz w:val="18"/>
                <w:szCs w:val="18"/>
              </w:rPr>
              <w:t>%</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041DB1" w:rsidRPr="00412909" w:rsidP="00F746EE" w14:paraId="7C62E307" w14:textId="52F34D59">
            <w:pPr>
              <w:widowControl/>
              <w:jc w:val="center"/>
              <w:rPr>
                <w:rFonts w:eastAsia="Calibri" w:asciiTheme="minorHAnsi" w:hAnsiTheme="minorHAnsi" w:cstheme="minorHAnsi"/>
                <w:color w:val="000000"/>
                <w:sz w:val="18"/>
                <w:szCs w:val="18"/>
              </w:rPr>
            </w:pPr>
          </w:p>
        </w:tc>
        <w:tc>
          <w:tcPr>
            <w:tcW w:w="1300" w:type="dxa"/>
            <w:tcBorders>
              <w:top w:val="single" w:sz="4" w:space="0" w:color="auto"/>
              <w:left w:val="nil"/>
              <w:bottom w:val="single" w:sz="4" w:space="0" w:color="auto"/>
              <w:right w:val="single" w:sz="8" w:space="0" w:color="auto"/>
            </w:tcBorders>
            <w:shd w:val="clear" w:color="auto" w:fill="auto"/>
            <w:vAlign w:val="bottom"/>
          </w:tcPr>
          <w:p w:rsidR="00041DB1" w:rsidRPr="00412909" w:rsidP="00F746EE" w14:paraId="78AC8B9C" w14:textId="37DA8F37">
            <w:pPr>
              <w:widowControl/>
              <w:jc w:val="right"/>
              <w:rPr>
                <w:rFonts w:eastAsia="Calibri" w:asciiTheme="minorHAnsi" w:hAnsiTheme="minorHAnsi" w:cstheme="minorHAnsi"/>
                <w:color w:val="000000"/>
                <w:sz w:val="18"/>
                <w:szCs w:val="18"/>
              </w:rPr>
            </w:pPr>
            <w:r w:rsidRPr="00412909">
              <w:rPr>
                <w:rFonts w:ascii="Calibri" w:hAnsi="Calibri" w:cs="Calibri"/>
                <w:color w:val="000000"/>
                <w:sz w:val="18"/>
                <w:szCs w:val="18"/>
              </w:rPr>
              <w:t>$</w:t>
            </w:r>
            <w:r w:rsidR="00F746EE">
              <w:rPr>
                <w:rFonts w:ascii="Calibri" w:hAnsi="Calibri" w:cs="Calibri"/>
                <w:color w:val="000000"/>
                <w:sz w:val="18"/>
                <w:szCs w:val="18"/>
              </w:rPr>
              <w:t>8,011</w:t>
            </w:r>
          </w:p>
        </w:tc>
      </w:tr>
      <w:tr w14:paraId="4948C879" w14:textId="77777777" w:rsidTr="001B18E3">
        <w:tblPrEx>
          <w:tblW w:w="8240"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center"/>
          </w:tcPr>
          <w:p w:rsidR="00041DB1" w:rsidRPr="00F02CD1" w:rsidP="00041DB1" w14:paraId="33EE6F6F" w14:textId="77777777">
            <w:pPr>
              <w:widowControl/>
              <w:rPr>
                <w:rFonts w:eastAsia="Calibri" w:asciiTheme="minorHAnsi" w:hAnsiTheme="minorHAnsi" w:cstheme="minorHAnsi"/>
                <w:color w:val="000000"/>
                <w:sz w:val="18"/>
                <w:szCs w:val="18"/>
              </w:rPr>
            </w:pPr>
            <w:r w:rsidRPr="00F02CD1">
              <w:rPr>
                <w:rFonts w:eastAsia="Calibri" w:asciiTheme="minorHAnsi" w:hAnsiTheme="minorHAnsi" w:cstheme="minorHAnsi"/>
                <w:color w:val="000000"/>
                <w:sz w:val="18"/>
                <w:szCs w:val="18"/>
              </w:rPr>
              <w:t>Other Federal Positions</w:t>
            </w:r>
          </w:p>
        </w:tc>
        <w:tc>
          <w:tcPr>
            <w:tcW w:w="1120" w:type="dxa"/>
            <w:tcBorders>
              <w:top w:val="nil"/>
              <w:left w:val="nil"/>
              <w:bottom w:val="single" w:sz="4" w:space="0" w:color="auto"/>
              <w:right w:val="single" w:sz="4" w:space="0" w:color="auto"/>
            </w:tcBorders>
            <w:shd w:val="clear" w:color="auto" w:fill="auto"/>
            <w:vAlign w:val="center"/>
          </w:tcPr>
          <w:p w:rsidR="00041DB1" w:rsidRPr="00041DB1" w:rsidP="00F746EE" w14:paraId="5D35CB7E" w14:textId="5D177212">
            <w:pPr>
              <w:widowControl/>
              <w:jc w:val="center"/>
              <w:rPr>
                <w:rFonts w:eastAsia="Calibri" w:asciiTheme="minorHAnsi" w:hAnsiTheme="minorHAnsi" w:cstheme="minorHAnsi"/>
                <w:color w:val="000000"/>
                <w:sz w:val="18"/>
                <w:szCs w:val="18"/>
                <w:highlight w:val="lightGray"/>
              </w:rPr>
            </w:pPr>
          </w:p>
        </w:tc>
        <w:tc>
          <w:tcPr>
            <w:tcW w:w="1140" w:type="dxa"/>
            <w:tcBorders>
              <w:top w:val="nil"/>
              <w:left w:val="nil"/>
              <w:bottom w:val="single" w:sz="4" w:space="0" w:color="auto"/>
              <w:right w:val="single" w:sz="4" w:space="0" w:color="auto"/>
            </w:tcBorders>
            <w:shd w:val="clear" w:color="auto" w:fill="auto"/>
            <w:vAlign w:val="center"/>
          </w:tcPr>
          <w:p w:rsidR="00041DB1" w:rsidRPr="00041DB1" w:rsidP="00F746EE" w14:paraId="73CC7644" w14:textId="102497C0">
            <w:pPr>
              <w:widowControl/>
              <w:jc w:val="center"/>
              <w:rPr>
                <w:rFonts w:eastAsia="Calibri" w:asciiTheme="minorHAnsi" w:hAnsiTheme="minorHAnsi" w:cstheme="minorHAnsi"/>
                <w:color w:val="000000"/>
                <w:sz w:val="18"/>
                <w:szCs w:val="18"/>
                <w:highlight w:val="lightGray"/>
              </w:rPr>
            </w:pPr>
          </w:p>
        </w:tc>
        <w:tc>
          <w:tcPr>
            <w:tcW w:w="1120" w:type="dxa"/>
            <w:tcBorders>
              <w:top w:val="nil"/>
              <w:left w:val="nil"/>
              <w:bottom w:val="single" w:sz="4" w:space="0" w:color="auto"/>
              <w:right w:val="single" w:sz="4" w:space="0" w:color="auto"/>
            </w:tcBorders>
            <w:shd w:val="clear" w:color="auto" w:fill="auto"/>
            <w:vAlign w:val="center"/>
          </w:tcPr>
          <w:p w:rsidR="00041DB1" w:rsidRPr="00041DB1" w:rsidP="00F746EE" w14:paraId="05E1F236" w14:textId="3AEE5030">
            <w:pPr>
              <w:widowControl/>
              <w:jc w:val="center"/>
              <w:rPr>
                <w:rFonts w:eastAsia="Calibri" w:asciiTheme="minorHAnsi" w:hAnsiTheme="minorHAnsi" w:cstheme="minorHAnsi"/>
                <w:color w:val="000000"/>
                <w:sz w:val="18"/>
                <w:szCs w:val="18"/>
                <w:highlight w:val="lightGray"/>
              </w:rPr>
            </w:pPr>
          </w:p>
        </w:tc>
        <w:tc>
          <w:tcPr>
            <w:tcW w:w="1280" w:type="dxa"/>
            <w:tcBorders>
              <w:top w:val="nil"/>
              <w:left w:val="nil"/>
              <w:bottom w:val="single" w:sz="4" w:space="0" w:color="000000"/>
              <w:right w:val="single" w:sz="4" w:space="0" w:color="000000"/>
            </w:tcBorders>
            <w:shd w:val="clear" w:color="auto" w:fill="808080"/>
            <w:vAlign w:val="center"/>
          </w:tcPr>
          <w:p w:rsidR="00041DB1" w:rsidRPr="00041DB1" w:rsidP="00F746EE" w14:paraId="4815BD7C" w14:textId="5CF411C8">
            <w:pPr>
              <w:widowControl/>
              <w:jc w:val="center"/>
              <w:rPr>
                <w:rFonts w:eastAsia="Calibri" w:asciiTheme="minorHAnsi" w:hAnsiTheme="minorHAnsi" w:cstheme="minorHAnsi"/>
                <w:color w:val="000000"/>
                <w:sz w:val="18"/>
                <w:szCs w:val="18"/>
              </w:rPr>
            </w:pPr>
          </w:p>
        </w:tc>
        <w:tc>
          <w:tcPr>
            <w:tcW w:w="1300" w:type="dxa"/>
            <w:tcBorders>
              <w:top w:val="nil"/>
              <w:left w:val="nil"/>
              <w:bottom w:val="single" w:sz="4" w:space="0" w:color="auto"/>
              <w:right w:val="single" w:sz="8" w:space="0" w:color="auto"/>
            </w:tcBorders>
            <w:shd w:val="clear" w:color="auto" w:fill="auto"/>
            <w:vAlign w:val="center"/>
          </w:tcPr>
          <w:p w:rsidR="00041DB1" w:rsidRPr="00041DB1" w:rsidP="00F746EE" w14:paraId="05131CE9" w14:textId="4B8F6FC9">
            <w:pPr>
              <w:widowControl/>
              <w:jc w:val="right"/>
              <w:rPr>
                <w:rFonts w:eastAsia="Calibri" w:asciiTheme="minorHAnsi" w:hAnsiTheme="minorHAnsi" w:cstheme="minorHAnsi"/>
                <w:color w:val="000000"/>
                <w:sz w:val="18"/>
                <w:szCs w:val="18"/>
                <w:highlight w:val="lightGray"/>
              </w:rPr>
            </w:pPr>
          </w:p>
        </w:tc>
      </w:tr>
      <w:tr w14:paraId="4F4DAD37" w14:textId="77777777" w:rsidTr="00F02CD1">
        <w:tblPrEx>
          <w:tblW w:w="8240" w:type="dxa"/>
          <w:jc w:val="center"/>
          <w:tblLayout w:type="fixed"/>
          <w:tblLook w:val="0400"/>
        </w:tblPrEx>
        <w:trPr>
          <w:trHeight w:val="465"/>
          <w:jc w:val="center"/>
        </w:trPr>
        <w:tc>
          <w:tcPr>
            <w:tcW w:w="2280" w:type="dxa"/>
            <w:tcBorders>
              <w:top w:val="nil"/>
              <w:left w:val="single" w:sz="8" w:space="0" w:color="000000"/>
              <w:bottom w:val="single" w:sz="4" w:space="0" w:color="000000"/>
              <w:right w:val="single" w:sz="8" w:space="0" w:color="000000"/>
            </w:tcBorders>
            <w:shd w:val="clear" w:color="auto" w:fill="auto"/>
            <w:vAlign w:val="center"/>
          </w:tcPr>
          <w:p w:rsidR="00F02CD1" w:rsidRPr="00412909" w:rsidP="00F746EE" w14:paraId="1B7CCF5D" w14:textId="40725E29">
            <w:pPr>
              <w:widowControl/>
              <w:jc w:val="right"/>
              <w:rPr>
                <w:rFonts w:eastAsia="Calibri" w:asciiTheme="minorHAnsi" w:hAnsiTheme="minorHAnsi" w:cstheme="minorHAnsi"/>
                <w:color w:val="000000"/>
                <w:sz w:val="18"/>
                <w:szCs w:val="18"/>
              </w:rPr>
            </w:pPr>
            <w:r w:rsidRPr="00412909">
              <w:rPr>
                <w:rFonts w:eastAsia="Calibri" w:asciiTheme="minorHAnsi" w:hAnsiTheme="minorHAnsi" w:cstheme="minorHAnsi"/>
                <w:color w:val="000000"/>
                <w:sz w:val="18"/>
                <w:szCs w:val="18"/>
              </w:rPr>
              <w:t>enforcement technician</w:t>
            </w:r>
          </w:p>
        </w:tc>
        <w:tc>
          <w:tcPr>
            <w:tcW w:w="1120" w:type="dxa"/>
            <w:tcBorders>
              <w:top w:val="nil"/>
              <w:left w:val="nil"/>
              <w:bottom w:val="single" w:sz="4" w:space="0" w:color="auto"/>
              <w:right w:val="single" w:sz="4" w:space="0" w:color="auto"/>
            </w:tcBorders>
            <w:shd w:val="clear" w:color="auto" w:fill="auto"/>
            <w:vAlign w:val="center"/>
          </w:tcPr>
          <w:p w:rsidR="00F02CD1" w:rsidRPr="00412909" w:rsidP="00F746EE" w14:paraId="1E2BE7CC" w14:textId="70CD987C">
            <w:pPr>
              <w:widowControl/>
              <w:jc w:val="center"/>
              <w:rPr>
                <w:rFonts w:eastAsia="Calibri" w:asciiTheme="minorHAnsi" w:hAnsiTheme="minorHAnsi" w:cstheme="minorHAnsi"/>
                <w:color w:val="000000"/>
                <w:sz w:val="18"/>
                <w:szCs w:val="18"/>
              </w:rPr>
            </w:pPr>
            <w:r w:rsidRPr="00412909">
              <w:rPr>
                <w:rFonts w:ascii="Calibri" w:hAnsi="Calibri" w:cs="Calibri"/>
                <w:color w:val="000000"/>
                <w:sz w:val="18"/>
                <w:szCs w:val="18"/>
              </w:rPr>
              <w:t>ZS-</w:t>
            </w:r>
            <w:r w:rsidRPr="00412909" w:rsidR="000B1CA1">
              <w:rPr>
                <w:rFonts w:ascii="Calibri" w:hAnsi="Calibri" w:cs="Calibri"/>
                <w:color w:val="000000"/>
                <w:sz w:val="18"/>
                <w:szCs w:val="18"/>
              </w:rPr>
              <w:t>4</w:t>
            </w:r>
            <w:r w:rsidR="002770FF">
              <w:rPr>
                <w:rFonts w:ascii="Calibri" w:hAnsi="Calibri" w:cs="Calibri"/>
                <w:color w:val="000000"/>
                <w:sz w:val="18"/>
                <w:szCs w:val="18"/>
              </w:rPr>
              <w:t xml:space="preserve"> step 4 (GS 7/8)</w:t>
            </w:r>
          </w:p>
        </w:tc>
        <w:tc>
          <w:tcPr>
            <w:tcW w:w="1140" w:type="dxa"/>
            <w:tcBorders>
              <w:top w:val="nil"/>
              <w:left w:val="nil"/>
              <w:bottom w:val="single" w:sz="4" w:space="0" w:color="auto"/>
              <w:right w:val="single" w:sz="4" w:space="0" w:color="auto"/>
            </w:tcBorders>
            <w:shd w:val="clear" w:color="auto" w:fill="auto"/>
            <w:vAlign w:val="center"/>
          </w:tcPr>
          <w:p w:rsidR="00F02CD1" w:rsidRPr="00412909" w:rsidP="00F746EE" w14:paraId="15683BC1" w14:textId="1C23F681">
            <w:pPr>
              <w:widowControl/>
              <w:jc w:val="center"/>
              <w:rPr>
                <w:rFonts w:eastAsia="Calibri" w:asciiTheme="minorHAnsi" w:hAnsiTheme="minorHAnsi" w:cstheme="minorHAnsi"/>
                <w:color w:val="000000"/>
                <w:sz w:val="18"/>
                <w:szCs w:val="18"/>
              </w:rPr>
            </w:pPr>
            <w:r w:rsidRPr="00412909">
              <w:rPr>
                <w:rFonts w:ascii="Calibri" w:hAnsi="Calibri" w:cs="Calibri"/>
                <w:color w:val="000000"/>
                <w:sz w:val="18"/>
                <w:szCs w:val="18"/>
              </w:rPr>
              <w:t>$</w:t>
            </w:r>
            <w:r w:rsidRPr="00412909" w:rsidR="000B1CA1">
              <w:rPr>
                <w:rFonts w:ascii="Calibri" w:hAnsi="Calibri" w:cs="Calibri"/>
                <w:color w:val="000000"/>
                <w:sz w:val="18"/>
                <w:szCs w:val="18"/>
              </w:rPr>
              <w:t>118,645</w:t>
            </w:r>
          </w:p>
        </w:tc>
        <w:tc>
          <w:tcPr>
            <w:tcW w:w="1120" w:type="dxa"/>
            <w:tcBorders>
              <w:top w:val="nil"/>
              <w:left w:val="nil"/>
              <w:bottom w:val="single" w:sz="4" w:space="0" w:color="auto"/>
              <w:right w:val="single" w:sz="4" w:space="0" w:color="auto"/>
            </w:tcBorders>
            <w:shd w:val="clear" w:color="auto" w:fill="auto"/>
            <w:vAlign w:val="center"/>
          </w:tcPr>
          <w:p w:rsidR="00F02CD1" w:rsidRPr="00412909" w:rsidP="00F746EE" w14:paraId="5AC908E5" w14:textId="16DC53F9">
            <w:pPr>
              <w:widowControl/>
              <w:jc w:val="center"/>
              <w:rPr>
                <w:rFonts w:eastAsia="Calibri" w:asciiTheme="minorHAnsi" w:hAnsiTheme="minorHAnsi" w:cstheme="minorHAnsi"/>
                <w:color w:val="000000"/>
                <w:sz w:val="18"/>
                <w:szCs w:val="18"/>
              </w:rPr>
            </w:pPr>
            <w:r w:rsidRPr="00412909">
              <w:rPr>
                <w:rFonts w:ascii="Calibri" w:hAnsi="Calibri" w:cs="Calibri"/>
                <w:color w:val="000000"/>
                <w:sz w:val="18"/>
                <w:szCs w:val="18"/>
              </w:rPr>
              <w:t>1</w:t>
            </w:r>
            <w:r w:rsidRPr="00412909" w:rsidR="00AE65FA">
              <w:rPr>
                <w:rFonts w:ascii="Calibri" w:hAnsi="Calibri" w:cs="Calibri"/>
                <w:color w:val="000000"/>
                <w:sz w:val="18"/>
                <w:szCs w:val="18"/>
              </w:rPr>
              <w:t>2</w:t>
            </w:r>
            <w:r w:rsidRPr="00412909">
              <w:rPr>
                <w:rFonts w:ascii="Calibri" w:hAnsi="Calibri" w:cs="Calibri"/>
                <w:color w:val="000000"/>
                <w:sz w:val="18"/>
                <w:szCs w:val="18"/>
              </w:rPr>
              <w:t>%</w:t>
            </w:r>
          </w:p>
        </w:tc>
        <w:tc>
          <w:tcPr>
            <w:tcW w:w="1280" w:type="dxa"/>
            <w:tcBorders>
              <w:top w:val="nil"/>
              <w:left w:val="nil"/>
              <w:bottom w:val="single" w:sz="4" w:space="0" w:color="000000"/>
              <w:right w:val="single" w:sz="4" w:space="0" w:color="000000"/>
            </w:tcBorders>
            <w:shd w:val="clear" w:color="auto" w:fill="808080"/>
            <w:vAlign w:val="center"/>
          </w:tcPr>
          <w:p w:rsidR="00F02CD1" w:rsidRPr="00412909" w:rsidP="00F746EE" w14:paraId="6D67125B" w14:textId="77777777">
            <w:pPr>
              <w:widowControl/>
              <w:jc w:val="center"/>
              <w:rPr>
                <w:rFonts w:eastAsia="Calibri" w:asciiTheme="minorHAnsi" w:hAnsiTheme="minorHAnsi" w:cstheme="minorHAnsi"/>
                <w:color w:val="000000"/>
                <w:sz w:val="18"/>
                <w:szCs w:val="18"/>
              </w:rPr>
            </w:pPr>
          </w:p>
        </w:tc>
        <w:tc>
          <w:tcPr>
            <w:tcW w:w="1300" w:type="dxa"/>
            <w:tcBorders>
              <w:top w:val="nil"/>
              <w:left w:val="nil"/>
              <w:bottom w:val="single" w:sz="4" w:space="0" w:color="auto"/>
              <w:right w:val="single" w:sz="8" w:space="0" w:color="auto"/>
            </w:tcBorders>
            <w:shd w:val="clear" w:color="auto" w:fill="auto"/>
            <w:vAlign w:val="center"/>
          </w:tcPr>
          <w:p w:rsidR="00F02CD1" w:rsidRPr="00412909" w:rsidP="00F746EE" w14:paraId="26380CBE" w14:textId="265FC1FC">
            <w:pPr>
              <w:widowControl/>
              <w:jc w:val="right"/>
              <w:rPr>
                <w:rFonts w:ascii="Calibri" w:hAnsi="Calibri" w:cs="Calibri"/>
                <w:color w:val="000000"/>
                <w:sz w:val="18"/>
                <w:szCs w:val="18"/>
              </w:rPr>
            </w:pPr>
            <w:r w:rsidRPr="00412909">
              <w:rPr>
                <w:rFonts w:ascii="Calibri" w:hAnsi="Calibri" w:cs="Calibri"/>
                <w:color w:val="000000"/>
                <w:sz w:val="18"/>
                <w:szCs w:val="18"/>
              </w:rPr>
              <w:t>$14,237</w:t>
            </w:r>
          </w:p>
        </w:tc>
      </w:tr>
      <w:tr w14:paraId="385172CC" w14:textId="77777777" w:rsidTr="001B18E3">
        <w:tblPrEx>
          <w:tblW w:w="8240" w:type="dxa"/>
          <w:jc w:val="center"/>
          <w:tblLayout w:type="fixed"/>
          <w:tblLook w:val="0400"/>
        </w:tblPrEx>
        <w:trPr>
          <w:trHeight w:val="465"/>
          <w:jc w:val="center"/>
        </w:trPr>
        <w:tc>
          <w:tcPr>
            <w:tcW w:w="2280" w:type="dxa"/>
            <w:tcBorders>
              <w:top w:val="nil"/>
              <w:left w:val="single" w:sz="8" w:space="0" w:color="000000"/>
              <w:bottom w:val="single" w:sz="4" w:space="0" w:color="000000"/>
              <w:right w:val="single" w:sz="8" w:space="0" w:color="000000"/>
            </w:tcBorders>
            <w:shd w:val="clear" w:color="auto" w:fill="auto"/>
            <w:vAlign w:val="center"/>
          </w:tcPr>
          <w:p w:rsidR="00041DB1" w:rsidRPr="00041DB1" w:rsidP="00041DB1" w14:paraId="5C13ED55" w14:textId="77777777">
            <w:pPr>
              <w:widowControl/>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Contractor Cost</w:t>
            </w:r>
          </w:p>
        </w:tc>
        <w:tc>
          <w:tcPr>
            <w:tcW w:w="1120" w:type="dxa"/>
            <w:tcBorders>
              <w:top w:val="nil"/>
              <w:left w:val="nil"/>
              <w:bottom w:val="single" w:sz="4" w:space="0" w:color="000000"/>
              <w:right w:val="single" w:sz="4" w:space="0" w:color="000000"/>
            </w:tcBorders>
            <w:shd w:val="clear" w:color="auto" w:fill="808080"/>
            <w:vAlign w:val="center"/>
          </w:tcPr>
          <w:p w:rsidR="00041DB1" w:rsidRPr="00041DB1" w:rsidP="00041DB1" w14:paraId="0384C96C" w14:textId="4464D3EA">
            <w:pPr>
              <w:widowControl/>
              <w:rPr>
                <w:rFonts w:eastAsia="Calibri" w:asciiTheme="minorHAnsi" w:hAnsiTheme="minorHAnsi" w:cstheme="minorHAnsi"/>
                <w:color w:val="000000"/>
                <w:sz w:val="18"/>
                <w:szCs w:val="18"/>
              </w:rPr>
            </w:pPr>
          </w:p>
        </w:tc>
        <w:tc>
          <w:tcPr>
            <w:tcW w:w="1140" w:type="dxa"/>
            <w:tcBorders>
              <w:top w:val="nil"/>
              <w:left w:val="nil"/>
              <w:bottom w:val="single" w:sz="4" w:space="0" w:color="000000"/>
              <w:right w:val="single" w:sz="4" w:space="0" w:color="000000"/>
            </w:tcBorders>
            <w:shd w:val="clear" w:color="auto" w:fill="auto"/>
            <w:vAlign w:val="center"/>
          </w:tcPr>
          <w:p w:rsidR="00041DB1" w:rsidRPr="00041DB1" w:rsidP="00041DB1" w14:paraId="182FEB29" w14:textId="0CC032AD">
            <w:pPr>
              <w:widowControl/>
              <w:rPr>
                <w:rFonts w:eastAsia="Calibri" w:asciiTheme="minorHAnsi" w:hAnsiTheme="minorHAnsi" w:cstheme="minorHAnsi"/>
                <w:color w:val="000000"/>
                <w:sz w:val="18"/>
                <w:szCs w:val="18"/>
              </w:rPr>
            </w:pPr>
          </w:p>
        </w:tc>
        <w:tc>
          <w:tcPr>
            <w:tcW w:w="1120" w:type="dxa"/>
            <w:tcBorders>
              <w:top w:val="nil"/>
              <w:left w:val="nil"/>
              <w:bottom w:val="single" w:sz="4" w:space="0" w:color="000000"/>
              <w:right w:val="single" w:sz="4" w:space="0" w:color="000000"/>
            </w:tcBorders>
            <w:shd w:val="clear" w:color="auto" w:fill="auto"/>
            <w:vAlign w:val="center"/>
          </w:tcPr>
          <w:p w:rsidR="00041DB1" w:rsidRPr="00041DB1" w:rsidP="00041DB1" w14:paraId="015D3CD8" w14:textId="545CF217">
            <w:pPr>
              <w:widowControl/>
              <w:rPr>
                <w:rFonts w:eastAsia="Calibri" w:asciiTheme="minorHAnsi" w:hAnsiTheme="minorHAnsi" w:cstheme="minorHAnsi"/>
                <w:color w:val="000000"/>
                <w:sz w:val="18"/>
                <w:szCs w:val="18"/>
              </w:rPr>
            </w:pPr>
          </w:p>
        </w:tc>
        <w:tc>
          <w:tcPr>
            <w:tcW w:w="1280" w:type="dxa"/>
            <w:tcBorders>
              <w:top w:val="nil"/>
              <w:left w:val="nil"/>
              <w:bottom w:val="single" w:sz="4" w:space="0" w:color="000000"/>
              <w:right w:val="single" w:sz="4" w:space="0" w:color="000000"/>
            </w:tcBorders>
            <w:shd w:val="clear" w:color="auto" w:fill="auto"/>
            <w:vAlign w:val="center"/>
          </w:tcPr>
          <w:p w:rsidR="00041DB1" w:rsidRPr="00041DB1" w:rsidP="00041DB1" w14:paraId="70F3DFBD" w14:textId="12FECF21">
            <w:pPr>
              <w:widowControl/>
              <w:rPr>
                <w:rFonts w:eastAsia="Calibri" w:asciiTheme="minorHAnsi" w:hAnsiTheme="minorHAnsi" w:cstheme="minorHAnsi"/>
                <w:color w:val="000000"/>
                <w:sz w:val="18"/>
                <w:szCs w:val="18"/>
              </w:rPr>
            </w:pPr>
          </w:p>
        </w:tc>
        <w:tc>
          <w:tcPr>
            <w:tcW w:w="1300" w:type="dxa"/>
            <w:tcBorders>
              <w:top w:val="nil"/>
              <w:left w:val="nil"/>
              <w:bottom w:val="single" w:sz="4" w:space="0" w:color="auto"/>
              <w:right w:val="single" w:sz="8" w:space="0" w:color="auto"/>
            </w:tcBorders>
            <w:shd w:val="clear" w:color="auto" w:fill="auto"/>
            <w:vAlign w:val="center"/>
          </w:tcPr>
          <w:p w:rsidR="00041DB1" w:rsidRPr="00593333" w:rsidP="00F746EE" w14:paraId="56DB5B7B" w14:textId="1AA66555">
            <w:pPr>
              <w:widowControl/>
              <w:jc w:val="right"/>
              <w:rPr>
                <w:rFonts w:eastAsia="Calibri" w:asciiTheme="minorHAnsi" w:hAnsiTheme="minorHAnsi" w:cstheme="minorHAnsi"/>
                <w:color w:val="000000"/>
                <w:sz w:val="18"/>
                <w:szCs w:val="18"/>
              </w:rPr>
            </w:pPr>
            <w:r w:rsidRPr="00593333">
              <w:rPr>
                <w:rFonts w:ascii="Calibri" w:hAnsi="Calibri" w:cs="Calibri"/>
                <w:color w:val="000000"/>
                <w:sz w:val="18"/>
                <w:szCs w:val="18"/>
              </w:rPr>
              <w:t>$0</w:t>
            </w:r>
          </w:p>
        </w:tc>
      </w:tr>
      <w:tr w14:paraId="3FAC69C3" w14:textId="77777777" w:rsidTr="0094588B">
        <w:tblPrEx>
          <w:tblW w:w="8240" w:type="dxa"/>
          <w:jc w:val="center"/>
          <w:tblLayout w:type="fixed"/>
          <w:tblLook w:val="0400"/>
        </w:tblPrEx>
        <w:trPr>
          <w:trHeight w:val="300"/>
          <w:jc w:val="center"/>
        </w:trPr>
        <w:tc>
          <w:tcPr>
            <w:tcW w:w="2280" w:type="dxa"/>
            <w:tcBorders>
              <w:top w:val="nil"/>
              <w:left w:val="single" w:sz="8" w:space="0" w:color="000000"/>
              <w:bottom w:val="single" w:sz="4" w:space="0" w:color="000000"/>
              <w:right w:val="single" w:sz="8" w:space="0" w:color="000000"/>
            </w:tcBorders>
            <w:shd w:val="clear" w:color="auto" w:fill="auto"/>
            <w:vAlign w:val="center"/>
          </w:tcPr>
          <w:p w:rsidR="00774BBC" w:rsidRPr="00041DB1" w:rsidP="008621E7" w14:paraId="293AB1AF" w14:textId="77777777">
            <w:pPr>
              <w:widowControl/>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Travel</w:t>
            </w:r>
          </w:p>
        </w:tc>
        <w:tc>
          <w:tcPr>
            <w:tcW w:w="1120" w:type="dxa"/>
            <w:tcBorders>
              <w:top w:val="nil"/>
              <w:left w:val="nil"/>
              <w:bottom w:val="single" w:sz="4" w:space="0" w:color="000000"/>
              <w:right w:val="single" w:sz="4" w:space="0" w:color="000000"/>
            </w:tcBorders>
            <w:shd w:val="clear" w:color="auto" w:fill="808080"/>
            <w:vAlign w:val="center"/>
          </w:tcPr>
          <w:p w:rsidR="00774BBC" w:rsidRPr="00041DB1" w:rsidP="008621E7" w14:paraId="4BBF53E6" w14:textId="3867D8F2">
            <w:pPr>
              <w:widowControl/>
              <w:rPr>
                <w:rFonts w:eastAsia="Calibri" w:asciiTheme="minorHAnsi" w:hAnsiTheme="minorHAnsi" w:cstheme="minorHAnsi"/>
                <w:color w:val="000000"/>
                <w:sz w:val="18"/>
                <w:szCs w:val="18"/>
              </w:rPr>
            </w:pPr>
          </w:p>
        </w:tc>
        <w:tc>
          <w:tcPr>
            <w:tcW w:w="1140" w:type="dxa"/>
            <w:tcBorders>
              <w:top w:val="nil"/>
              <w:left w:val="nil"/>
              <w:bottom w:val="single" w:sz="4" w:space="0" w:color="000000"/>
              <w:right w:val="single" w:sz="4" w:space="0" w:color="000000"/>
            </w:tcBorders>
            <w:shd w:val="clear" w:color="auto" w:fill="808080"/>
            <w:vAlign w:val="center"/>
          </w:tcPr>
          <w:p w:rsidR="00774BBC" w:rsidRPr="00041DB1" w:rsidP="008621E7" w14:paraId="060289C8" w14:textId="21078436">
            <w:pPr>
              <w:widowControl/>
              <w:rPr>
                <w:rFonts w:eastAsia="Calibri" w:asciiTheme="minorHAnsi" w:hAnsiTheme="minorHAnsi" w:cstheme="minorHAnsi"/>
                <w:color w:val="000000"/>
                <w:sz w:val="18"/>
                <w:szCs w:val="18"/>
              </w:rPr>
            </w:pPr>
          </w:p>
        </w:tc>
        <w:tc>
          <w:tcPr>
            <w:tcW w:w="1120" w:type="dxa"/>
            <w:tcBorders>
              <w:top w:val="nil"/>
              <w:left w:val="nil"/>
              <w:bottom w:val="single" w:sz="4" w:space="0" w:color="000000"/>
              <w:right w:val="single" w:sz="4" w:space="0" w:color="000000"/>
            </w:tcBorders>
            <w:shd w:val="clear" w:color="auto" w:fill="808080"/>
            <w:vAlign w:val="center"/>
          </w:tcPr>
          <w:p w:rsidR="00774BBC" w:rsidRPr="00041DB1" w:rsidP="008621E7" w14:paraId="2A6C6E5C" w14:textId="30F779C7">
            <w:pPr>
              <w:widowControl/>
              <w:rPr>
                <w:rFonts w:eastAsia="Calibri" w:asciiTheme="minorHAnsi" w:hAnsiTheme="minorHAnsi" w:cstheme="minorHAnsi"/>
                <w:color w:val="000000"/>
                <w:sz w:val="18"/>
                <w:szCs w:val="18"/>
              </w:rPr>
            </w:pPr>
          </w:p>
        </w:tc>
        <w:tc>
          <w:tcPr>
            <w:tcW w:w="1280" w:type="dxa"/>
            <w:tcBorders>
              <w:top w:val="nil"/>
              <w:left w:val="nil"/>
              <w:bottom w:val="single" w:sz="4" w:space="0" w:color="000000"/>
              <w:right w:val="single" w:sz="4" w:space="0" w:color="000000"/>
            </w:tcBorders>
            <w:shd w:val="clear" w:color="auto" w:fill="808080"/>
            <w:vAlign w:val="center"/>
          </w:tcPr>
          <w:p w:rsidR="00774BBC" w:rsidRPr="00041DB1" w:rsidP="008621E7" w14:paraId="1CD29BD0" w14:textId="5B2B8E1B">
            <w:pPr>
              <w:widowControl/>
              <w:rPr>
                <w:rFonts w:eastAsia="Calibri" w:asciiTheme="minorHAnsi" w:hAnsiTheme="minorHAnsi" w:cstheme="minorHAnsi"/>
                <w:color w:val="000000"/>
                <w:sz w:val="18"/>
                <w:szCs w:val="18"/>
              </w:rPr>
            </w:pPr>
          </w:p>
        </w:tc>
        <w:tc>
          <w:tcPr>
            <w:tcW w:w="1300" w:type="dxa"/>
            <w:tcBorders>
              <w:top w:val="nil"/>
              <w:left w:val="nil"/>
              <w:bottom w:val="single" w:sz="4" w:space="0" w:color="000000"/>
              <w:right w:val="single" w:sz="8" w:space="0" w:color="000000"/>
            </w:tcBorders>
            <w:shd w:val="clear" w:color="auto" w:fill="auto"/>
            <w:vAlign w:val="center"/>
          </w:tcPr>
          <w:p w:rsidR="00774BBC" w:rsidRPr="00593333" w:rsidP="00F746EE" w14:paraId="56B02C9D" w14:textId="045B62FB">
            <w:pPr>
              <w:widowControl/>
              <w:jc w:val="right"/>
              <w:rPr>
                <w:rFonts w:eastAsia="Calibri" w:asciiTheme="minorHAnsi" w:hAnsiTheme="minorHAnsi" w:cstheme="minorHAnsi"/>
                <w:color w:val="000000"/>
                <w:sz w:val="18"/>
                <w:szCs w:val="18"/>
              </w:rPr>
            </w:pPr>
            <w:r w:rsidRPr="00593333">
              <w:rPr>
                <w:rFonts w:eastAsia="Calibri" w:asciiTheme="minorHAnsi" w:hAnsiTheme="minorHAnsi" w:cstheme="minorHAnsi"/>
                <w:color w:val="000000"/>
                <w:sz w:val="18"/>
                <w:szCs w:val="18"/>
              </w:rPr>
              <w:t>$0</w:t>
            </w:r>
          </w:p>
        </w:tc>
      </w:tr>
      <w:tr w14:paraId="03FFC6A4" w14:textId="77777777" w:rsidTr="0094588B">
        <w:tblPrEx>
          <w:tblW w:w="8240" w:type="dxa"/>
          <w:jc w:val="center"/>
          <w:tblLayout w:type="fixed"/>
          <w:tblLook w:val="0400"/>
        </w:tblPrEx>
        <w:trPr>
          <w:trHeight w:val="525"/>
          <w:jc w:val="center"/>
        </w:trPr>
        <w:tc>
          <w:tcPr>
            <w:tcW w:w="2280" w:type="dxa"/>
            <w:tcBorders>
              <w:top w:val="nil"/>
              <w:left w:val="single" w:sz="8" w:space="0" w:color="000000"/>
              <w:bottom w:val="nil"/>
              <w:right w:val="single" w:sz="8" w:space="0" w:color="000000"/>
            </w:tcBorders>
            <w:shd w:val="clear" w:color="auto" w:fill="auto"/>
            <w:vAlign w:val="center"/>
          </w:tcPr>
          <w:p w:rsidR="00774BBC" w:rsidRPr="00041DB1" w:rsidP="008621E7" w14:paraId="546238CD" w14:textId="77777777">
            <w:pPr>
              <w:widowControl/>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 xml:space="preserve">Other Costs: </w:t>
            </w:r>
          </w:p>
        </w:tc>
        <w:tc>
          <w:tcPr>
            <w:tcW w:w="1120" w:type="dxa"/>
            <w:tcBorders>
              <w:top w:val="nil"/>
              <w:left w:val="nil"/>
              <w:bottom w:val="single" w:sz="4" w:space="0" w:color="000000"/>
              <w:right w:val="single" w:sz="4" w:space="0" w:color="000000"/>
            </w:tcBorders>
            <w:shd w:val="clear" w:color="auto" w:fill="808080"/>
            <w:vAlign w:val="center"/>
          </w:tcPr>
          <w:p w:rsidR="00774BBC" w:rsidRPr="00041DB1" w:rsidP="008621E7" w14:paraId="5729FDF1" w14:textId="5550213E">
            <w:pPr>
              <w:widowControl/>
              <w:rPr>
                <w:rFonts w:eastAsia="Calibri" w:asciiTheme="minorHAnsi" w:hAnsiTheme="minorHAnsi" w:cstheme="minorHAnsi"/>
                <w:color w:val="000000"/>
                <w:sz w:val="18"/>
                <w:szCs w:val="18"/>
              </w:rPr>
            </w:pPr>
          </w:p>
        </w:tc>
        <w:tc>
          <w:tcPr>
            <w:tcW w:w="1140" w:type="dxa"/>
            <w:tcBorders>
              <w:top w:val="nil"/>
              <w:left w:val="nil"/>
              <w:bottom w:val="single" w:sz="4" w:space="0" w:color="000000"/>
              <w:right w:val="single" w:sz="4" w:space="0" w:color="000000"/>
            </w:tcBorders>
            <w:shd w:val="clear" w:color="auto" w:fill="808080"/>
            <w:vAlign w:val="center"/>
          </w:tcPr>
          <w:p w:rsidR="00774BBC" w:rsidRPr="00041DB1" w:rsidP="008621E7" w14:paraId="00FFEEDB" w14:textId="08AC4E9A">
            <w:pPr>
              <w:widowControl/>
              <w:rPr>
                <w:rFonts w:eastAsia="Calibri" w:asciiTheme="minorHAnsi" w:hAnsiTheme="minorHAnsi" w:cstheme="minorHAnsi"/>
                <w:color w:val="000000"/>
                <w:sz w:val="18"/>
                <w:szCs w:val="18"/>
              </w:rPr>
            </w:pPr>
          </w:p>
        </w:tc>
        <w:tc>
          <w:tcPr>
            <w:tcW w:w="1120" w:type="dxa"/>
            <w:tcBorders>
              <w:top w:val="nil"/>
              <w:left w:val="nil"/>
              <w:bottom w:val="single" w:sz="4" w:space="0" w:color="000000"/>
              <w:right w:val="single" w:sz="4" w:space="0" w:color="000000"/>
            </w:tcBorders>
            <w:shd w:val="clear" w:color="auto" w:fill="808080"/>
            <w:vAlign w:val="center"/>
          </w:tcPr>
          <w:p w:rsidR="00774BBC" w:rsidRPr="00041DB1" w:rsidP="008621E7" w14:paraId="757AF50A" w14:textId="101ECD07">
            <w:pPr>
              <w:widowControl/>
              <w:rPr>
                <w:rFonts w:eastAsia="Calibri" w:asciiTheme="minorHAnsi" w:hAnsiTheme="minorHAnsi" w:cstheme="minorHAnsi"/>
                <w:color w:val="000000"/>
                <w:sz w:val="18"/>
                <w:szCs w:val="18"/>
              </w:rPr>
            </w:pPr>
          </w:p>
        </w:tc>
        <w:tc>
          <w:tcPr>
            <w:tcW w:w="1280" w:type="dxa"/>
            <w:tcBorders>
              <w:top w:val="nil"/>
              <w:left w:val="nil"/>
              <w:bottom w:val="single" w:sz="4" w:space="0" w:color="000000"/>
              <w:right w:val="single" w:sz="4" w:space="0" w:color="000000"/>
            </w:tcBorders>
            <w:shd w:val="clear" w:color="auto" w:fill="808080"/>
            <w:vAlign w:val="center"/>
          </w:tcPr>
          <w:p w:rsidR="00774BBC" w:rsidRPr="00041DB1" w:rsidP="008621E7" w14:paraId="0917644B" w14:textId="5F2B02FF">
            <w:pPr>
              <w:widowControl/>
              <w:rPr>
                <w:rFonts w:eastAsia="Calibri" w:asciiTheme="minorHAnsi" w:hAnsiTheme="minorHAnsi" w:cstheme="minorHAnsi"/>
                <w:color w:val="000000"/>
                <w:sz w:val="18"/>
                <w:szCs w:val="18"/>
              </w:rPr>
            </w:pPr>
          </w:p>
        </w:tc>
        <w:tc>
          <w:tcPr>
            <w:tcW w:w="1300" w:type="dxa"/>
            <w:tcBorders>
              <w:top w:val="nil"/>
              <w:left w:val="nil"/>
              <w:bottom w:val="single" w:sz="4" w:space="0" w:color="000000"/>
              <w:right w:val="single" w:sz="8" w:space="0" w:color="000000"/>
            </w:tcBorders>
            <w:shd w:val="clear" w:color="auto" w:fill="auto"/>
            <w:vAlign w:val="center"/>
          </w:tcPr>
          <w:p w:rsidR="00774BBC" w:rsidRPr="00593333" w:rsidP="00F746EE" w14:paraId="616F4039" w14:textId="6EAF5665">
            <w:pPr>
              <w:widowControl/>
              <w:jc w:val="right"/>
              <w:rPr>
                <w:rFonts w:eastAsia="Calibri" w:asciiTheme="minorHAnsi" w:hAnsiTheme="minorHAnsi" w:cstheme="minorHAnsi"/>
                <w:color w:val="000000"/>
                <w:sz w:val="18"/>
                <w:szCs w:val="18"/>
              </w:rPr>
            </w:pPr>
            <w:r w:rsidRPr="00593333">
              <w:rPr>
                <w:rFonts w:eastAsia="Calibri" w:asciiTheme="minorHAnsi" w:hAnsiTheme="minorHAnsi" w:cstheme="minorHAnsi"/>
                <w:color w:val="000000"/>
                <w:sz w:val="18"/>
                <w:szCs w:val="18"/>
              </w:rPr>
              <w:t>$0</w:t>
            </w:r>
          </w:p>
        </w:tc>
      </w:tr>
      <w:tr w14:paraId="2C8F18C6" w14:textId="77777777" w:rsidTr="0094588B">
        <w:tblPrEx>
          <w:tblW w:w="8240" w:type="dxa"/>
          <w:jc w:val="center"/>
          <w:tblLayout w:type="fixed"/>
          <w:tblLook w:val="0400"/>
        </w:tblPrEx>
        <w:trPr>
          <w:trHeight w:val="315"/>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774BBC" w:rsidRPr="00041DB1" w:rsidP="008621E7" w14:paraId="067445B1" w14:textId="77777777">
            <w:pPr>
              <w:widowControl/>
              <w:rPr>
                <w:rFonts w:eastAsia="Calibri" w:asciiTheme="minorHAnsi" w:hAnsiTheme="minorHAnsi" w:cstheme="minorHAnsi"/>
                <w:b/>
                <w:color w:val="000000"/>
                <w:sz w:val="18"/>
                <w:szCs w:val="18"/>
              </w:rPr>
            </w:pPr>
            <w:r w:rsidRPr="00041DB1">
              <w:rPr>
                <w:rFonts w:eastAsia="Calibri" w:asciiTheme="minorHAnsi" w:hAnsiTheme="minorHAnsi" w:cstheme="minorHAnsi"/>
                <w:b/>
                <w:color w:val="000000"/>
                <w:sz w:val="18"/>
                <w:szCs w:val="18"/>
              </w:rPr>
              <w:t>TOTAL</w:t>
            </w:r>
          </w:p>
        </w:tc>
        <w:tc>
          <w:tcPr>
            <w:tcW w:w="1120" w:type="dxa"/>
            <w:tcBorders>
              <w:top w:val="single" w:sz="8" w:space="0" w:color="000000"/>
              <w:left w:val="nil"/>
              <w:bottom w:val="single" w:sz="8" w:space="0" w:color="000000"/>
              <w:right w:val="single" w:sz="8" w:space="0" w:color="000000"/>
            </w:tcBorders>
            <w:shd w:val="clear" w:color="auto" w:fill="808080"/>
            <w:vAlign w:val="center"/>
          </w:tcPr>
          <w:p w:rsidR="00774BBC" w:rsidRPr="00041DB1" w:rsidP="008621E7" w14:paraId="35A24F0C" w14:textId="05ECB618">
            <w:pPr>
              <w:widowControl/>
              <w:rPr>
                <w:rFonts w:eastAsia="Calibri" w:asciiTheme="minorHAnsi" w:hAnsiTheme="minorHAnsi" w:cstheme="minorHAnsi"/>
                <w:color w:val="000000"/>
                <w:sz w:val="18"/>
                <w:szCs w:val="18"/>
              </w:rPr>
            </w:pPr>
          </w:p>
        </w:tc>
        <w:tc>
          <w:tcPr>
            <w:tcW w:w="1140" w:type="dxa"/>
            <w:tcBorders>
              <w:top w:val="single" w:sz="8" w:space="0" w:color="000000"/>
              <w:left w:val="nil"/>
              <w:bottom w:val="single" w:sz="8" w:space="0" w:color="000000"/>
              <w:right w:val="single" w:sz="8" w:space="0" w:color="000000"/>
            </w:tcBorders>
            <w:shd w:val="clear" w:color="auto" w:fill="808080"/>
            <w:vAlign w:val="center"/>
          </w:tcPr>
          <w:p w:rsidR="00774BBC" w:rsidRPr="00041DB1" w:rsidP="008621E7" w14:paraId="2EBF5E98" w14:textId="581DAFC3">
            <w:pPr>
              <w:widowControl/>
              <w:rPr>
                <w:rFonts w:eastAsia="Calibri" w:asciiTheme="minorHAnsi" w:hAnsiTheme="minorHAnsi" w:cstheme="minorHAnsi"/>
                <w:color w:val="000000"/>
                <w:sz w:val="18"/>
                <w:szCs w:val="18"/>
              </w:rPr>
            </w:pPr>
          </w:p>
        </w:tc>
        <w:tc>
          <w:tcPr>
            <w:tcW w:w="1120" w:type="dxa"/>
            <w:tcBorders>
              <w:top w:val="single" w:sz="8" w:space="0" w:color="000000"/>
              <w:left w:val="nil"/>
              <w:bottom w:val="single" w:sz="8" w:space="0" w:color="000000"/>
              <w:right w:val="single" w:sz="8" w:space="0" w:color="000000"/>
            </w:tcBorders>
            <w:shd w:val="clear" w:color="auto" w:fill="757171"/>
            <w:vAlign w:val="center"/>
          </w:tcPr>
          <w:p w:rsidR="00774BBC" w:rsidRPr="00041DB1" w:rsidP="008621E7" w14:paraId="7E9CC1E2" w14:textId="0FF2290E">
            <w:pPr>
              <w:widowControl/>
              <w:rPr>
                <w:rFonts w:eastAsia="Calibri" w:asciiTheme="minorHAnsi" w:hAnsiTheme="minorHAnsi" w:cstheme="minorHAnsi"/>
                <w:color w:val="000000"/>
                <w:sz w:val="18"/>
                <w:szCs w:val="18"/>
              </w:rPr>
            </w:pPr>
          </w:p>
        </w:tc>
        <w:tc>
          <w:tcPr>
            <w:tcW w:w="1280" w:type="dxa"/>
            <w:tcBorders>
              <w:top w:val="single" w:sz="8" w:space="0" w:color="000000"/>
              <w:left w:val="nil"/>
              <w:bottom w:val="single" w:sz="8" w:space="0" w:color="000000"/>
              <w:right w:val="single" w:sz="8" w:space="0" w:color="000000"/>
            </w:tcBorders>
            <w:shd w:val="clear" w:color="auto" w:fill="DDEBF7"/>
            <w:vAlign w:val="center"/>
          </w:tcPr>
          <w:p w:rsidR="00774BBC" w:rsidRPr="00041DB1" w:rsidP="008621E7" w14:paraId="5EC7050B" w14:textId="7F0F7B17">
            <w:pPr>
              <w:widowControl/>
              <w:rPr>
                <w:rFonts w:eastAsia="Calibri" w:asciiTheme="minorHAnsi" w:hAnsiTheme="minorHAnsi" w:cstheme="minorHAnsi"/>
                <w:color w:val="000000"/>
                <w:sz w:val="18"/>
                <w:szCs w:val="18"/>
              </w:rPr>
            </w:pPr>
          </w:p>
        </w:tc>
        <w:tc>
          <w:tcPr>
            <w:tcW w:w="1300" w:type="dxa"/>
            <w:tcBorders>
              <w:top w:val="single" w:sz="8" w:space="0" w:color="000000"/>
              <w:left w:val="nil"/>
              <w:bottom w:val="single" w:sz="8" w:space="0" w:color="000000"/>
              <w:right w:val="single" w:sz="8" w:space="0" w:color="000000"/>
            </w:tcBorders>
            <w:shd w:val="clear" w:color="auto" w:fill="DDEBF7"/>
            <w:vAlign w:val="center"/>
          </w:tcPr>
          <w:p w:rsidR="00774BBC" w:rsidRPr="002159AF" w:rsidP="00F746EE" w14:paraId="14196046" w14:textId="183A712C">
            <w:pPr>
              <w:widowControl/>
              <w:jc w:val="right"/>
              <w:rPr>
                <w:rFonts w:eastAsia="Calibri" w:asciiTheme="minorHAnsi" w:hAnsiTheme="minorHAnsi" w:cstheme="minorHAnsi"/>
                <w:b/>
                <w:color w:val="000000"/>
                <w:sz w:val="18"/>
                <w:szCs w:val="18"/>
                <w:highlight w:val="lightGray"/>
              </w:rPr>
            </w:pPr>
            <w:r w:rsidRPr="002159AF">
              <w:rPr>
                <w:rFonts w:eastAsia="Calibri" w:asciiTheme="minorHAnsi" w:hAnsiTheme="minorHAnsi" w:cstheme="minorHAnsi"/>
                <w:b/>
                <w:color w:val="000000"/>
                <w:sz w:val="18"/>
                <w:szCs w:val="18"/>
              </w:rPr>
              <w:t>$22,248</w:t>
            </w:r>
          </w:p>
        </w:tc>
      </w:tr>
    </w:tbl>
    <w:p w:rsidR="00774BBC" w:rsidP="008621E7" w14:paraId="08B63861" w14:textId="60126F18">
      <w:pPr>
        <w:widowControl/>
        <w:pBdr>
          <w:top w:val="nil"/>
          <w:left w:val="nil"/>
          <w:bottom w:val="nil"/>
          <w:right w:val="nil"/>
          <w:between w:val="nil"/>
        </w:pBdr>
        <w:rPr>
          <w:b/>
          <w:color w:val="000000"/>
        </w:rPr>
      </w:pPr>
    </w:p>
    <w:p w:rsidR="00F04974" w:rsidP="008621E7" w14:paraId="0F581C75" w14:textId="003693D8">
      <w:pPr>
        <w:widowControl/>
        <w:pBdr>
          <w:top w:val="nil"/>
          <w:left w:val="nil"/>
          <w:bottom w:val="nil"/>
          <w:right w:val="nil"/>
          <w:between w:val="nil"/>
        </w:pBdr>
        <w:rPr>
          <w:b/>
          <w:color w:val="000000"/>
        </w:rPr>
      </w:pPr>
    </w:p>
    <w:p w:rsidR="00C444C4" w:rsidP="008621E7" w14:paraId="48D27C64" w14:textId="2A1FEBD6">
      <w:pPr>
        <w:widowControl/>
        <w:pBdr>
          <w:top w:val="nil"/>
          <w:left w:val="nil"/>
          <w:bottom w:val="nil"/>
          <w:right w:val="nil"/>
          <w:between w:val="nil"/>
        </w:pBdr>
        <w:rPr>
          <w:b/>
          <w:color w:val="000000"/>
        </w:rPr>
      </w:pPr>
    </w:p>
    <w:p w:rsidR="00C444C4" w:rsidP="008621E7" w14:paraId="25A743C4" w14:textId="77777777">
      <w:pPr>
        <w:widowControl/>
        <w:pBdr>
          <w:top w:val="nil"/>
          <w:left w:val="nil"/>
          <w:bottom w:val="nil"/>
          <w:right w:val="nil"/>
          <w:between w:val="nil"/>
        </w:pBdr>
        <w:rPr>
          <w:b/>
          <w:color w:val="000000"/>
        </w:rPr>
      </w:pPr>
    </w:p>
    <w:p w:rsidR="00F04974" w:rsidP="008621E7" w14:paraId="4105E0EC" w14:textId="77777777">
      <w:pPr>
        <w:widowControl/>
        <w:pBdr>
          <w:top w:val="nil"/>
          <w:left w:val="nil"/>
          <w:bottom w:val="nil"/>
          <w:right w:val="nil"/>
          <w:between w:val="nil"/>
        </w:pBdr>
        <w:rPr>
          <w:b/>
          <w:color w:val="000000"/>
        </w:rPr>
      </w:pPr>
    </w:p>
    <w:p w:rsidR="00774BBC" w:rsidP="008621E7" w14:paraId="19E6C9DA"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996A24" w:rsidRPr="00996A24" w:rsidP="008621E7" w14:paraId="658B9731" w14:textId="77777777">
      <w:pPr>
        <w:widowControl/>
        <w:pBdr>
          <w:top w:val="nil"/>
          <w:left w:val="nil"/>
          <w:bottom w:val="nil"/>
          <w:right w:val="nil"/>
          <w:between w:val="nil"/>
        </w:pBdr>
      </w:pPr>
    </w:p>
    <w:p w:rsidR="00996A24" w:rsidRPr="00996A24" w:rsidP="000A143D" w14:paraId="373430FB" w14:textId="37CA31EE">
      <w:pPr>
        <w:widowControl/>
        <w:pBdr>
          <w:top w:val="nil"/>
          <w:left w:val="nil"/>
          <w:bottom w:val="nil"/>
          <w:right w:val="nil"/>
          <w:between w:val="nil"/>
        </w:pBdr>
      </w:pPr>
      <w:r w:rsidRPr="00A73786">
        <w:t xml:space="preserve">This collection is revised because </w:t>
      </w:r>
      <w:r>
        <w:t>t</w:t>
      </w:r>
      <w:r w:rsidRPr="00A73786">
        <w:t xml:space="preserve">he proposed rule (RIN 0648-BM42) </w:t>
      </w:r>
      <w:r>
        <w:t xml:space="preserve">would require </w:t>
      </w:r>
      <w:r w:rsidRPr="00A73786">
        <w:t xml:space="preserve">vessels commercially fishing for salmon in the Cook Inlet EEZ Area to install </w:t>
      </w:r>
      <w:r>
        <w:t>and maintain an operational VMS.</w:t>
      </w:r>
      <w:r w:rsidRPr="00A555F4" w:rsidR="00A555F4">
        <w:t xml:space="preserve"> NMFS estimates</w:t>
      </w:r>
      <w:r w:rsidR="00A555F4">
        <w:t xml:space="preserve"> 100 vessels will install a VMS</w:t>
      </w:r>
      <w:r w:rsidRPr="00A555F4" w:rsidR="00A555F4">
        <w:t xml:space="preserve"> due to this rule</w:t>
      </w:r>
      <w:r w:rsidR="00C444C4">
        <w:t>, which increases the number of respondents for this collection</w:t>
      </w:r>
      <w:r w:rsidRPr="00A555F4" w:rsidR="00A555F4">
        <w:t>.</w:t>
      </w:r>
      <w:r w:rsidR="00DB03AD">
        <w:t xml:space="preserve"> </w:t>
      </w:r>
      <w:r w:rsidR="00C444C4">
        <w:t xml:space="preserve">The respondents have </w:t>
      </w:r>
      <w:r w:rsidR="00A555F4">
        <w:t>a</w:t>
      </w:r>
      <w:r w:rsidR="00C444C4">
        <w:t xml:space="preserve">lso been updated to reflect </w:t>
      </w:r>
      <w:r w:rsidR="00A555F4">
        <w:t>current participation in the f</w:t>
      </w:r>
      <w:r w:rsidRPr="00A555F4" w:rsidR="00A555F4">
        <w:t xml:space="preserve">ederally </w:t>
      </w:r>
      <w:r w:rsidR="00A555F4">
        <w:t>m</w:t>
      </w:r>
      <w:r w:rsidRPr="00A555F4" w:rsidR="00A555F4">
        <w:t xml:space="preserve">anaged </w:t>
      </w:r>
      <w:r w:rsidR="00A555F4">
        <w:t>f</w:t>
      </w:r>
      <w:r w:rsidRPr="00A555F4" w:rsidR="00A555F4">
        <w:t xml:space="preserve">isheries </w:t>
      </w:r>
      <w:r w:rsidR="00A555F4">
        <w:t>o</w:t>
      </w:r>
      <w:r w:rsidRPr="00A555F4" w:rsidR="00A555F4">
        <w:t xml:space="preserve">ff Alaska </w:t>
      </w:r>
      <w:r w:rsidR="00A555F4">
        <w:t xml:space="preserve">that require a VMS. </w:t>
      </w:r>
      <w:r w:rsidRPr="00A555F4" w:rsidR="000A143D">
        <w:t>The tables below identify the adjustments and program changes made to this collection.</w:t>
      </w:r>
    </w:p>
    <w:p w:rsidR="00774BBC" w:rsidRPr="00996A24" w:rsidP="008621E7" w14:paraId="6847E286" w14:textId="77777777">
      <w:pPr>
        <w:widowControl/>
        <w:pBdr>
          <w:top w:val="nil"/>
          <w:left w:val="nil"/>
          <w:bottom w:val="nil"/>
          <w:right w:val="nil"/>
          <w:between w:val="nil"/>
        </w:pBdr>
        <w:rPr>
          <w:b/>
        </w:rPr>
      </w:pPr>
    </w:p>
    <w:tbl>
      <w:tblPr>
        <w:tblStyle w:val="a3"/>
        <w:tblW w:w="10700" w:type="dxa"/>
        <w:jc w:val="center"/>
        <w:tblLayout w:type="fixed"/>
        <w:tblLook w:val="0400"/>
      </w:tblPr>
      <w:tblGrid>
        <w:gridCol w:w="1700"/>
        <w:gridCol w:w="990"/>
        <w:gridCol w:w="900"/>
        <w:gridCol w:w="900"/>
        <w:gridCol w:w="990"/>
        <w:gridCol w:w="900"/>
        <w:gridCol w:w="990"/>
        <w:gridCol w:w="3330"/>
      </w:tblGrid>
      <w:tr w14:paraId="3BD14E6F" w14:textId="77777777" w:rsidTr="00E63AD2">
        <w:tblPrEx>
          <w:tblW w:w="10700" w:type="dxa"/>
          <w:jc w:val="center"/>
          <w:tblLayout w:type="fixed"/>
          <w:tblLook w:val="0400"/>
        </w:tblPrEx>
        <w:trPr>
          <w:trHeight w:val="287"/>
          <w:jc w:val="center"/>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RPr="00F04974" w:rsidP="00C444C4" w14:paraId="28CA2A9D" w14:textId="77777777">
            <w:pPr>
              <w:keepNext/>
              <w:keepLines/>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Information Collection</w:t>
            </w:r>
          </w:p>
        </w:tc>
        <w:tc>
          <w:tcPr>
            <w:tcW w:w="1890" w:type="dxa"/>
            <w:gridSpan w:val="2"/>
            <w:tcBorders>
              <w:top w:val="single" w:sz="8" w:space="0" w:color="000000"/>
              <w:left w:val="nil"/>
              <w:bottom w:val="single" w:sz="8" w:space="0" w:color="000000"/>
              <w:right w:val="single" w:sz="8" w:space="0" w:color="000000"/>
            </w:tcBorders>
            <w:shd w:val="clear" w:color="auto" w:fill="5B9BD5"/>
            <w:vAlign w:val="center"/>
          </w:tcPr>
          <w:p w:rsidR="00774BBC" w:rsidRPr="00F04974" w:rsidP="00C444C4" w14:paraId="6ED18D24" w14:textId="77777777">
            <w:pPr>
              <w:keepNext/>
              <w:keepLines/>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Respondents</w:t>
            </w:r>
          </w:p>
        </w:tc>
        <w:tc>
          <w:tcPr>
            <w:tcW w:w="1890" w:type="dxa"/>
            <w:gridSpan w:val="2"/>
            <w:tcBorders>
              <w:top w:val="single" w:sz="8" w:space="0" w:color="000000"/>
              <w:left w:val="nil"/>
              <w:bottom w:val="single" w:sz="8" w:space="0" w:color="000000"/>
              <w:right w:val="single" w:sz="8" w:space="0" w:color="000000"/>
            </w:tcBorders>
            <w:shd w:val="clear" w:color="auto" w:fill="5B9BD5"/>
            <w:vAlign w:val="center"/>
          </w:tcPr>
          <w:p w:rsidR="00774BBC" w:rsidRPr="00F04974" w:rsidP="00C444C4" w14:paraId="7820A28C" w14:textId="77777777">
            <w:pPr>
              <w:keepNext/>
              <w:keepLines/>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Responses</w:t>
            </w:r>
          </w:p>
        </w:tc>
        <w:tc>
          <w:tcPr>
            <w:tcW w:w="1890" w:type="dxa"/>
            <w:gridSpan w:val="2"/>
            <w:tcBorders>
              <w:top w:val="single" w:sz="8" w:space="0" w:color="000000"/>
              <w:left w:val="nil"/>
              <w:bottom w:val="single" w:sz="8" w:space="0" w:color="000000"/>
              <w:right w:val="single" w:sz="8" w:space="0" w:color="000000"/>
            </w:tcBorders>
            <w:shd w:val="clear" w:color="auto" w:fill="5B9BD5"/>
            <w:vAlign w:val="center"/>
          </w:tcPr>
          <w:p w:rsidR="00774BBC" w:rsidRPr="00F04974" w:rsidP="00C444C4" w14:paraId="1708DA76" w14:textId="77777777">
            <w:pPr>
              <w:keepNext/>
              <w:keepLines/>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Burden Hours</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RPr="00F04974" w:rsidP="00C444C4" w14:paraId="49B18F3F" w14:textId="77777777">
            <w:pPr>
              <w:keepNext/>
              <w:keepLines/>
              <w:widowControl/>
              <w:jc w:val="center"/>
              <w:rPr>
                <w:rFonts w:ascii="Calibri" w:eastAsia="Calibri" w:hAnsi="Calibri" w:cs="Calibri"/>
                <w:b/>
                <w:color w:val="000000"/>
                <w:sz w:val="16"/>
                <w:szCs w:val="16"/>
              </w:rPr>
            </w:pPr>
            <w:r w:rsidRPr="00F04974">
              <w:rPr>
                <w:rFonts w:ascii="Calibri" w:eastAsia="Calibri" w:hAnsi="Calibri" w:cs="Calibri"/>
                <w:b/>
                <w:color w:val="000000"/>
                <w:sz w:val="16"/>
                <w:szCs w:val="16"/>
              </w:rPr>
              <w:t>Reason for change or adjustment</w:t>
            </w:r>
          </w:p>
        </w:tc>
      </w:tr>
      <w:tr w14:paraId="49730574" w14:textId="77777777" w:rsidTr="00E63AD2">
        <w:tblPrEx>
          <w:tblW w:w="10700" w:type="dxa"/>
          <w:jc w:val="center"/>
          <w:tblLayout w:type="fixed"/>
          <w:tblLook w:val="0400"/>
        </w:tblPrEx>
        <w:trPr>
          <w:trHeight w:val="630"/>
          <w:jc w:val="center"/>
        </w:trPr>
        <w:tc>
          <w:tcPr>
            <w:tcW w:w="170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P="00C444C4" w14:paraId="67BADD66" w14:textId="77777777">
            <w:pPr>
              <w:keepNext/>
              <w:keepLines/>
              <w:widowControl/>
              <w:pBdr>
                <w:top w:val="nil"/>
                <w:left w:val="nil"/>
                <w:bottom w:val="nil"/>
                <w:right w:val="nil"/>
                <w:between w:val="nil"/>
              </w:pBdr>
              <w:spacing w:line="276" w:lineRule="auto"/>
              <w:rPr>
                <w:rFonts w:ascii="Calibri" w:eastAsia="Calibri" w:hAnsi="Calibri" w:cs="Calibri"/>
                <w:b/>
                <w:color w:val="000000"/>
                <w:sz w:val="16"/>
                <w:szCs w:val="16"/>
              </w:rPr>
            </w:pPr>
          </w:p>
        </w:tc>
        <w:tc>
          <w:tcPr>
            <w:tcW w:w="990" w:type="dxa"/>
            <w:tcBorders>
              <w:top w:val="nil"/>
              <w:left w:val="nil"/>
              <w:bottom w:val="single" w:sz="8" w:space="0" w:color="000000"/>
              <w:right w:val="dashed" w:sz="8" w:space="0" w:color="000000"/>
            </w:tcBorders>
            <w:shd w:val="clear" w:color="auto" w:fill="FBE4D5"/>
            <w:vAlign w:val="center"/>
          </w:tcPr>
          <w:p w:rsidR="00774BBC" w:rsidRPr="00F04974" w:rsidP="00C444C4" w14:paraId="06CC9389"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774BBC" w:rsidRPr="00F04974" w:rsidP="00C444C4" w14:paraId="71449D72"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774BBC" w:rsidRPr="00F04974" w:rsidP="00C444C4" w14:paraId="705924D5"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Current Renewal / Revision</w:t>
            </w:r>
          </w:p>
        </w:tc>
        <w:tc>
          <w:tcPr>
            <w:tcW w:w="990" w:type="dxa"/>
            <w:tcBorders>
              <w:top w:val="nil"/>
              <w:left w:val="nil"/>
              <w:bottom w:val="single" w:sz="8" w:space="0" w:color="000000"/>
              <w:right w:val="single" w:sz="8" w:space="0" w:color="000000"/>
            </w:tcBorders>
            <w:shd w:val="clear" w:color="auto" w:fill="FBE4D5"/>
            <w:vAlign w:val="center"/>
          </w:tcPr>
          <w:p w:rsidR="00774BBC" w:rsidRPr="00F04974" w:rsidP="00C444C4" w14:paraId="26E6FA7D"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774BBC" w:rsidRPr="00F04974" w:rsidP="00C444C4" w14:paraId="062451AC"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Current Renewal / Revision</w:t>
            </w:r>
          </w:p>
        </w:tc>
        <w:tc>
          <w:tcPr>
            <w:tcW w:w="990" w:type="dxa"/>
            <w:tcBorders>
              <w:top w:val="nil"/>
              <w:left w:val="nil"/>
              <w:bottom w:val="single" w:sz="8" w:space="0" w:color="000000"/>
              <w:right w:val="single" w:sz="8" w:space="0" w:color="000000"/>
            </w:tcBorders>
            <w:shd w:val="clear" w:color="auto" w:fill="FBE4D5"/>
            <w:vAlign w:val="center"/>
          </w:tcPr>
          <w:p w:rsidR="00774BBC" w:rsidRPr="00F04974" w:rsidP="00C444C4" w14:paraId="3A5DF92B" w14:textId="77777777">
            <w:pPr>
              <w:keepNext/>
              <w:keepLines/>
              <w:widowControl/>
              <w:jc w:val="center"/>
              <w:rPr>
                <w:rFonts w:ascii="Calibri" w:eastAsia="Calibri" w:hAnsi="Calibri" w:cs="Calibri"/>
                <w:color w:val="000000"/>
                <w:sz w:val="16"/>
                <w:szCs w:val="16"/>
              </w:rPr>
            </w:pPr>
            <w:r w:rsidRPr="00F04974">
              <w:rPr>
                <w:rFonts w:ascii="Calibri" w:eastAsia="Calibri" w:hAnsi="Calibri" w:cs="Calibri"/>
                <w:color w:val="000000"/>
                <w:sz w:val="16"/>
                <w:szCs w:val="16"/>
              </w:rPr>
              <w:t>Previous Renewal / Revision</w:t>
            </w:r>
          </w:p>
        </w:tc>
        <w:tc>
          <w:tcPr>
            <w:tcW w:w="333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P="00C444C4" w14:paraId="422CBD9D" w14:textId="77777777">
            <w:pPr>
              <w:keepNext/>
              <w:keepLines/>
              <w:widowControl/>
              <w:pBdr>
                <w:top w:val="nil"/>
                <w:left w:val="nil"/>
                <w:bottom w:val="nil"/>
                <w:right w:val="nil"/>
                <w:between w:val="nil"/>
              </w:pBdr>
              <w:spacing w:line="276" w:lineRule="auto"/>
              <w:rPr>
                <w:rFonts w:ascii="Calibri" w:eastAsia="Calibri" w:hAnsi="Calibri" w:cs="Calibri"/>
                <w:color w:val="000000"/>
                <w:sz w:val="16"/>
                <w:szCs w:val="16"/>
              </w:rPr>
            </w:pPr>
          </w:p>
        </w:tc>
      </w:tr>
      <w:tr w14:paraId="3FED8AE0" w14:textId="6079652F" w:rsidTr="00E63AD2">
        <w:tblPrEx>
          <w:tblW w:w="10700" w:type="dxa"/>
          <w:jc w:val="center"/>
          <w:tblLayout w:type="fixed"/>
          <w:tblLook w:val="0400"/>
        </w:tblPrEx>
        <w:trPr>
          <w:trHeight w:val="287"/>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E63AD2" w:rsidRPr="00E63AD2" w:rsidP="00C444C4" w14:paraId="0445A38B" w14:textId="5E7A4D80">
            <w:pPr>
              <w:keepNext/>
              <w:keepLines/>
              <w:widowControl/>
              <w:rPr>
                <w:rFonts w:eastAsia="Calibri" w:asciiTheme="minorHAnsi" w:hAnsiTheme="minorHAnsi" w:cstheme="minorHAnsi"/>
                <w:sz w:val="18"/>
                <w:szCs w:val="18"/>
              </w:rPr>
            </w:pPr>
            <w:r w:rsidRPr="00E63AD2">
              <w:rPr>
                <w:rFonts w:asciiTheme="minorHAnsi" w:hAnsiTheme="minorHAnsi" w:cstheme="minorHAnsi"/>
                <w:color w:val="000000"/>
                <w:sz w:val="18"/>
                <w:szCs w:val="18"/>
              </w:rPr>
              <w:t>VMS installation of new units</w:t>
            </w:r>
          </w:p>
        </w:tc>
        <w:tc>
          <w:tcPr>
            <w:tcW w:w="99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7E9FC4AA" w14:textId="0E4B1CE2">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0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52489E4D" w14:textId="077ADA27">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w:t>
            </w:r>
          </w:p>
        </w:tc>
        <w:tc>
          <w:tcPr>
            <w:tcW w:w="90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46EDC338" w14:textId="447F8CF5">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9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2A670D9E" w14:textId="1C7054A3">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w:t>
            </w:r>
          </w:p>
        </w:tc>
        <w:tc>
          <w:tcPr>
            <w:tcW w:w="90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4E822ACF" w14:textId="30F378E7">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200</w:t>
            </w:r>
          </w:p>
        </w:tc>
        <w:tc>
          <w:tcPr>
            <w:tcW w:w="99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72B11AD1" w14:textId="06027462">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w:t>
            </w:r>
          </w:p>
        </w:tc>
        <w:tc>
          <w:tcPr>
            <w:tcW w:w="333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0F5EB90B" w14:textId="259EE3E2">
            <w:pPr>
              <w:keepNext/>
              <w:keepLines/>
              <w:widowControl/>
              <w:rPr>
                <w:rFonts w:ascii="Calibri" w:eastAsia="Calibri" w:hAnsi="Calibri" w:cs="Calibri"/>
                <w:color w:val="000000"/>
                <w:sz w:val="18"/>
                <w:szCs w:val="18"/>
              </w:rPr>
            </w:pPr>
            <w:r w:rsidRPr="00E63AD2">
              <w:rPr>
                <w:rFonts w:ascii="Calibri" w:eastAsia="Calibri" w:hAnsi="Calibri" w:cs="Calibri"/>
                <w:color w:val="000000"/>
                <w:sz w:val="18"/>
                <w:szCs w:val="18"/>
              </w:rPr>
              <w:t xml:space="preserve">The rule adds vessels that </w:t>
            </w:r>
            <w:r>
              <w:rPr>
                <w:rFonts w:ascii="Calibri" w:eastAsia="Calibri" w:hAnsi="Calibri" w:cs="Calibri"/>
                <w:color w:val="000000"/>
                <w:sz w:val="18"/>
                <w:szCs w:val="18"/>
              </w:rPr>
              <w:t>are expected to</w:t>
            </w:r>
            <w:r w:rsidRPr="00E63AD2">
              <w:rPr>
                <w:rFonts w:ascii="Calibri" w:eastAsia="Calibri" w:hAnsi="Calibri" w:cs="Calibri"/>
                <w:color w:val="000000"/>
                <w:sz w:val="18"/>
                <w:szCs w:val="18"/>
              </w:rPr>
              <w:t xml:space="preserve"> install VMS. No new installations were expected during the last renewal period.</w:t>
            </w:r>
            <w:r w:rsidR="00F06182">
              <w:rPr>
                <w:rFonts w:ascii="Calibri" w:eastAsia="Calibri" w:hAnsi="Calibri" w:cs="Calibri"/>
                <w:color w:val="000000"/>
                <w:sz w:val="18"/>
                <w:szCs w:val="18"/>
              </w:rPr>
              <w:t xml:space="preserve"> (program change)</w:t>
            </w:r>
          </w:p>
        </w:tc>
      </w:tr>
      <w:tr w14:paraId="4A1F0700" w14:textId="77777777" w:rsidTr="00E63AD2">
        <w:tblPrEx>
          <w:tblW w:w="10700" w:type="dxa"/>
          <w:jc w:val="center"/>
          <w:tblLayout w:type="fixed"/>
          <w:tblLook w:val="0400"/>
        </w:tblPrEx>
        <w:trPr>
          <w:trHeight w:val="287"/>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E63AD2" w:rsidRPr="00E63AD2" w:rsidP="00C444C4" w14:paraId="5CA50FAD" w14:textId="72032CDE">
            <w:pPr>
              <w:keepNext/>
              <w:keepLines/>
              <w:widowControl/>
              <w:rPr>
                <w:rFonts w:ascii="Calibri" w:eastAsia="Calibri" w:hAnsi="Calibri" w:cs="Calibri"/>
                <w:color w:val="000000"/>
                <w:sz w:val="18"/>
                <w:szCs w:val="18"/>
              </w:rPr>
            </w:pPr>
            <w:r w:rsidRPr="00E63AD2">
              <w:rPr>
                <w:rFonts w:asciiTheme="minorHAnsi" w:hAnsiTheme="minorHAnsi" w:cstheme="minorHAnsi"/>
                <w:color w:val="000000"/>
                <w:sz w:val="18"/>
                <w:szCs w:val="18"/>
              </w:rPr>
              <w:t>VMS installation of replacement units</w:t>
            </w:r>
          </w:p>
        </w:tc>
        <w:tc>
          <w:tcPr>
            <w:tcW w:w="99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43574633" w14:textId="3BA424FC">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0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062CF104" w14:textId="7B373BD1">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0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0526DBCE" w14:textId="3FC76010">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9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3ECB2DE6" w14:textId="3742DF5B">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00" w:type="dxa"/>
            <w:tcBorders>
              <w:top w:val="single" w:sz="8" w:space="0" w:color="000000"/>
              <w:left w:val="nil"/>
              <w:bottom w:val="single" w:sz="4" w:space="0" w:color="auto"/>
              <w:right w:val="dashed" w:sz="8" w:space="0" w:color="000000"/>
            </w:tcBorders>
            <w:shd w:val="clear" w:color="auto" w:fill="auto"/>
            <w:vAlign w:val="center"/>
          </w:tcPr>
          <w:p w:rsidR="00E63AD2" w:rsidRPr="00E63AD2" w:rsidP="00C444C4" w14:paraId="13ACB603" w14:textId="04460773">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200</w:t>
            </w:r>
          </w:p>
        </w:tc>
        <w:tc>
          <w:tcPr>
            <w:tcW w:w="99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63CF4251" w14:textId="5968B263">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200</w:t>
            </w:r>
          </w:p>
        </w:tc>
        <w:tc>
          <w:tcPr>
            <w:tcW w:w="3330" w:type="dxa"/>
            <w:tcBorders>
              <w:top w:val="single" w:sz="8" w:space="0" w:color="000000"/>
              <w:left w:val="nil"/>
              <w:bottom w:val="single" w:sz="4" w:space="0" w:color="auto"/>
              <w:right w:val="single" w:sz="8" w:space="0" w:color="000000"/>
            </w:tcBorders>
            <w:shd w:val="clear" w:color="auto" w:fill="auto"/>
            <w:vAlign w:val="center"/>
          </w:tcPr>
          <w:p w:rsidR="00E63AD2" w:rsidRPr="00E63AD2" w:rsidP="00C444C4" w14:paraId="2130043B" w14:textId="1C7F127A">
            <w:pPr>
              <w:keepNext/>
              <w:keepLines/>
              <w:widowControl/>
              <w:rPr>
                <w:rFonts w:ascii="Calibri" w:eastAsia="Calibri" w:hAnsi="Calibri" w:cs="Calibri"/>
                <w:color w:val="000000"/>
                <w:sz w:val="18"/>
                <w:szCs w:val="18"/>
              </w:rPr>
            </w:pPr>
            <w:r w:rsidRPr="00E63AD2">
              <w:rPr>
                <w:rFonts w:ascii="Calibri" w:eastAsia="Calibri" w:hAnsi="Calibri" w:cs="Calibri"/>
                <w:color w:val="000000"/>
                <w:sz w:val="18"/>
                <w:szCs w:val="18"/>
              </w:rPr>
              <w:t>No change</w:t>
            </w:r>
          </w:p>
        </w:tc>
      </w:tr>
      <w:tr w14:paraId="6B1867DD" w14:textId="77777777" w:rsidTr="00E63AD2">
        <w:tblPrEx>
          <w:tblW w:w="10700" w:type="dxa"/>
          <w:jc w:val="center"/>
          <w:tblLayout w:type="fixed"/>
          <w:tblLook w:val="0400"/>
        </w:tblPrEx>
        <w:trPr>
          <w:trHeight w:val="287"/>
          <w:jc w:val="center"/>
        </w:trPr>
        <w:tc>
          <w:tcPr>
            <w:tcW w:w="1700" w:type="dxa"/>
            <w:tcBorders>
              <w:top w:val="nil"/>
              <w:left w:val="single" w:sz="4" w:space="0" w:color="auto"/>
              <w:bottom w:val="single" w:sz="4" w:space="0" w:color="auto"/>
              <w:right w:val="single" w:sz="4" w:space="0" w:color="auto"/>
            </w:tcBorders>
            <w:shd w:val="clear" w:color="auto" w:fill="auto"/>
            <w:vAlign w:val="center"/>
          </w:tcPr>
          <w:p w:rsidR="00845DBB" w:rsidRPr="00E63AD2" w:rsidP="00C444C4" w14:paraId="235C745A" w14:textId="4054DE3C">
            <w:pPr>
              <w:keepNext/>
              <w:keepLines/>
              <w:widowControl/>
              <w:rPr>
                <w:rFonts w:ascii="Calibri" w:eastAsia="Calibri" w:hAnsi="Calibri" w:cs="Calibri"/>
                <w:color w:val="000000"/>
                <w:sz w:val="18"/>
                <w:szCs w:val="18"/>
              </w:rPr>
            </w:pPr>
            <w:r w:rsidRPr="00E63AD2">
              <w:rPr>
                <w:rFonts w:eastAsia="Calibri" w:asciiTheme="minorHAnsi" w:hAnsiTheme="minorHAnsi" w:cstheme="minorHAnsi"/>
                <w:sz w:val="18"/>
                <w:szCs w:val="18"/>
              </w:rPr>
              <w:t>VMS daily transmission costs</w:t>
            </w:r>
          </w:p>
        </w:tc>
        <w:tc>
          <w:tcPr>
            <w:tcW w:w="990" w:type="dxa"/>
            <w:tcBorders>
              <w:top w:val="single" w:sz="4" w:space="0" w:color="auto"/>
              <w:left w:val="nil"/>
              <w:bottom w:val="single" w:sz="4" w:space="0" w:color="auto"/>
              <w:right w:val="dashed" w:sz="8" w:space="0" w:color="000000"/>
            </w:tcBorders>
            <w:shd w:val="clear" w:color="auto" w:fill="auto"/>
            <w:vAlign w:val="center"/>
          </w:tcPr>
          <w:p w:rsidR="00845DBB" w:rsidRPr="00E63AD2" w:rsidP="00C444C4" w14:paraId="2CE86302" w14:textId="740D1FD7">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659</w:t>
            </w:r>
          </w:p>
        </w:tc>
        <w:tc>
          <w:tcPr>
            <w:tcW w:w="900" w:type="dxa"/>
            <w:tcBorders>
              <w:top w:val="single" w:sz="4" w:space="0" w:color="auto"/>
              <w:left w:val="nil"/>
              <w:bottom w:val="single" w:sz="4" w:space="0" w:color="auto"/>
              <w:right w:val="single" w:sz="8" w:space="0" w:color="000000"/>
            </w:tcBorders>
            <w:shd w:val="clear" w:color="auto" w:fill="auto"/>
            <w:vAlign w:val="center"/>
          </w:tcPr>
          <w:p w:rsidR="00845DBB" w:rsidRPr="00E63AD2" w:rsidP="00C444C4" w14:paraId="6A2B140C" w14:textId="0B26B43B">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550</w:t>
            </w:r>
          </w:p>
        </w:tc>
        <w:tc>
          <w:tcPr>
            <w:tcW w:w="900" w:type="dxa"/>
            <w:tcBorders>
              <w:top w:val="single" w:sz="4" w:space="0" w:color="auto"/>
              <w:left w:val="nil"/>
              <w:bottom w:val="single" w:sz="4" w:space="0" w:color="auto"/>
              <w:right w:val="dashed" w:sz="8" w:space="0" w:color="000000"/>
            </w:tcBorders>
            <w:shd w:val="clear" w:color="auto" w:fill="auto"/>
            <w:vAlign w:val="center"/>
          </w:tcPr>
          <w:p w:rsidR="00845DBB" w:rsidRPr="00E63AD2" w:rsidP="00C444C4" w14:paraId="11AD05C6" w14:textId="0472C01D">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659</w:t>
            </w:r>
          </w:p>
        </w:tc>
        <w:tc>
          <w:tcPr>
            <w:tcW w:w="990" w:type="dxa"/>
            <w:tcBorders>
              <w:top w:val="single" w:sz="4" w:space="0" w:color="auto"/>
              <w:left w:val="nil"/>
              <w:bottom w:val="single" w:sz="4" w:space="0" w:color="auto"/>
              <w:right w:val="single" w:sz="8" w:space="0" w:color="000000"/>
            </w:tcBorders>
            <w:shd w:val="clear" w:color="auto" w:fill="auto"/>
            <w:vAlign w:val="center"/>
          </w:tcPr>
          <w:p w:rsidR="00845DBB" w:rsidRPr="00E63AD2" w:rsidP="00C444C4" w14:paraId="35C3489C" w14:textId="0A5F2A8F">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550</w:t>
            </w:r>
          </w:p>
        </w:tc>
        <w:tc>
          <w:tcPr>
            <w:tcW w:w="900" w:type="dxa"/>
            <w:tcBorders>
              <w:top w:val="single" w:sz="4" w:space="0" w:color="auto"/>
              <w:left w:val="nil"/>
              <w:bottom w:val="single" w:sz="4" w:space="0" w:color="auto"/>
              <w:right w:val="dashed" w:sz="8" w:space="0" w:color="000000"/>
            </w:tcBorders>
            <w:shd w:val="clear" w:color="auto" w:fill="auto"/>
            <w:vAlign w:val="center"/>
          </w:tcPr>
          <w:p w:rsidR="00845DBB" w:rsidRPr="00E63AD2" w:rsidP="00C444C4" w14:paraId="1FC54DAF" w14:textId="1D28BF4A">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2,636</w:t>
            </w:r>
          </w:p>
        </w:tc>
        <w:tc>
          <w:tcPr>
            <w:tcW w:w="990" w:type="dxa"/>
            <w:tcBorders>
              <w:top w:val="single" w:sz="4" w:space="0" w:color="auto"/>
              <w:left w:val="nil"/>
              <w:bottom w:val="single" w:sz="4" w:space="0" w:color="auto"/>
              <w:right w:val="single" w:sz="8" w:space="0" w:color="000000"/>
            </w:tcBorders>
            <w:shd w:val="clear" w:color="auto" w:fill="auto"/>
            <w:vAlign w:val="center"/>
          </w:tcPr>
          <w:p w:rsidR="00845DBB" w:rsidRPr="00E63AD2" w:rsidP="00C444C4" w14:paraId="6F41F136" w14:textId="5230A7C4">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2,200</w:t>
            </w:r>
            <w:r w:rsidRPr="00E63AD2">
              <w:rPr>
                <w:rFonts w:ascii="Calibri" w:eastAsia="Calibri" w:hAnsi="Calibri" w:cs="Calibri"/>
                <w:color w:val="000000"/>
                <w:sz w:val="18"/>
                <w:szCs w:val="18"/>
                <w:vertAlign w:val="superscript"/>
              </w:rPr>
              <w:t>1</w:t>
            </w:r>
          </w:p>
        </w:tc>
        <w:tc>
          <w:tcPr>
            <w:tcW w:w="3330" w:type="dxa"/>
            <w:tcBorders>
              <w:top w:val="single" w:sz="4" w:space="0" w:color="auto"/>
              <w:left w:val="nil"/>
              <w:bottom w:val="single" w:sz="4" w:space="0" w:color="auto"/>
              <w:right w:val="single" w:sz="8" w:space="0" w:color="000000"/>
            </w:tcBorders>
            <w:shd w:val="clear" w:color="auto" w:fill="auto"/>
            <w:vAlign w:val="center"/>
          </w:tcPr>
          <w:p w:rsidR="00845DBB" w:rsidRPr="00E63AD2" w:rsidP="00C444C4" w14:paraId="4FCF9F20" w14:textId="4E1A43F4">
            <w:pPr>
              <w:keepNext/>
              <w:keepLines/>
              <w:widowControl/>
              <w:rPr>
                <w:rFonts w:ascii="Calibri" w:eastAsia="Calibri" w:hAnsi="Calibri" w:cs="Calibri"/>
                <w:color w:val="000000"/>
                <w:sz w:val="18"/>
                <w:szCs w:val="18"/>
              </w:rPr>
            </w:pPr>
            <w:r w:rsidRPr="00E63AD2">
              <w:rPr>
                <w:rFonts w:ascii="Calibri" w:eastAsia="Calibri" w:hAnsi="Calibri" w:cs="Calibri"/>
                <w:color w:val="000000"/>
                <w:sz w:val="18"/>
                <w:szCs w:val="18"/>
              </w:rPr>
              <w:t>The rule increases the annual number of vessels that would be expected to have transmission costs (program change), and there was a small increase in the average number of vessels that currently have transmission costs (adjustment).</w:t>
            </w:r>
          </w:p>
        </w:tc>
      </w:tr>
      <w:tr w14:paraId="31F45EB7" w14:textId="77777777" w:rsidTr="00E63AD2">
        <w:tblPrEx>
          <w:tblW w:w="10700" w:type="dxa"/>
          <w:jc w:val="center"/>
          <w:tblLayout w:type="fixed"/>
          <w:tblLook w:val="0400"/>
        </w:tblPrEx>
        <w:trPr>
          <w:trHeight w:val="287"/>
          <w:jc w:val="center"/>
        </w:trPr>
        <w:tc>
          <w:tcPr>
            <w:tcW w:w="1700" w:type="dxa"/>
            <w:tcBorders>
              <w:top w:val="nil"/>
              <w:left w:val="single" w:sz="4" w:space="0" w:color="auto"/>
              <w:bottom w:val="single" w:sz="4" w:space="0" w:color="auto"/>
              <w:right w:val="single" w:sz="4" w:space="0" w:color="auto"/>
            </w:tcBorders>
            <w:shd w:val="clear" w:color="auto" w:fill="auto"/>
            <w:vAlign w:val="center"/>
          </w:tcPr>
          <w:p w:rsidR="00AC6B38" w:rsidRPr="00E63AD2" w:rsidP="00C444C4" w14:paraId="22556FF0" w14:textId="12DE8D4D">
            <w:pPr>
              <w:keepNext/>
              <w:keepLines/>
              <w:widowControl/>
              <w:rPr>
                <w:rFonts w:ascii="Calibri" w:eastAsia="Calibri" w:hAnsi="Calibri" w:cs="Calibri"/>
                <w:color w:val="000000"/>
                <w:sz w:val="18"/>
                <w:szCs w:val="18"/>
              </w:rPr>
            </w:pPr>
            <w:r w:rsidRPr="00E63AD2">
              <w:rPr>
                <w:rFonts w:eastAsia="Calibri" w:asciiTheme="minorHAnsi" w:hAnsiTheme="minorHAnsi" w:cstheme="minorHAnsi"/>
                <w:sz w:val="18"/>
                <w:szCs w:val="18"/>
              </w:rPr>
              <w:t>VMS installation, maintenance, and troubleshooting</w:t>
            </w:r>
          </w:p>
        </w:tc>
        <w:tc>
          <w:tcPr>
            <w:tcW w:w="990" w:type="dxa"/>
            <w:tcBorders>
              <w:top w:val="single" w:sz="4" w:space="0" w:color="auto"/>
              <w:left w:val="nil"/>
              <w:bottom w:val="single" w:sz="4" w:space="0" w:color="auto"/>
              <w:right w:val="dashed" w:sz="8" w:space="0" w:color="000000"/>
            </w:tcBorders>
            <w:shd w:val="clear" w:color="auto" w:fill="auto"/>
            <w:vAlign w:val="center"/>
          </w:tcPr>
          <w:p w:rsidR="00AC6B38" w:rsidRPr="00E63AD2" w:rsidP="00C444C4" w14:paraId="42B41E55" w14:textId="7350A933">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00" w:type="dxa"/>
            <w:tcBorders>
              <w:top w:val="single" w:sz="4" w:space="0" w:color="auto"/>
              <w:left w:val="nil"/>
              <w:bottom w:val="single" w:sz="4" w:space="0" w:color="auto"/>
              <w:right w:val="single" w:sz="8" w:space="0" w:color="000000"/>
            </w:tcBorders>
            <w:shd w:val="clear" w:color="auto" w:fill="auto"/>
            <w:vAlign w:val="center"/>
          </w:tcPr>
          <w:p w:rsidR="00AC6B38" w:rsidRPr="00E63AD2" w:rsidP="00C444C4" w14:paraId="12FC7C0C" w14:textId="5ECC1C61">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28</w:t>
            </w:r>
          </w:p>
        </w:tc>
        <w:tc>
          <w:tcPr>
            <w:tcW w:w="900" w:type="dxa"/>
            <w:tcBorders>
              <w:top w:val="single" w:sz="4" w:space="0" w:color="auto"/>
              <w:left w:val="nil"/>
              <w:bottom w:val="single" w:sz="4" w:space="0" w:color="auto"/>
              <w:right w:val="dashed" w:sz="8" w:space="0" w:color="000000"/>
            </w:tcBorders>
            <w:shd w:val="clear" w:color="auto" w:fill="auto"/>
            <w:vAlign w:val="center"/>
          </w:tcPr>
          <w:p w:rsidR="00AC6B38" w:rsidRPr="00E63AD2" w:rsidP="00C444C4" w14:paraId="7B2F91AD" w14:textId="6ADBAE82">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33</w:t>
            </w:r>
          </w:p>
        </w:tc>
        <w:tc>
          <w:tcPr>
            <w:tcW w:w="990" w:type="dxa"/>
            <w:tcBorders>
              <w:top w:val="single" w:sz="4" w:space="0" w:color="auto"/>
              <w:left w:val="nil"/>
              <w:bottom w:val="single" w:sz="4" w:space="0" w:color="auto"/>
              <w:right w:val="single" w:sz="8" w:space="0" w:color="000000"/>
            </w:tcBorders>
            <w:shd w:val="clear" w:color="auto" w:fill="auto"/>
            <w:vAlign w:val="center"/>
          </w:tcPr>
          <w:p w:rsidR="00AC6B38" w:rsidRPr="00E63AD2" w:rsidP="00C444C4" w14:paraId="6AF49853" w14:textId="239755BB">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28</w:t>
            </w:r>
          </w:p>
        </w:tc>
        <w:tc>
          <w:tcPr>
            <w:tcW w:w="900" w:type="dxa"/>
            <w:tcBorders>
              <w:top w:val="single" w:sz="4" w:space="0" w:color="auto"/>
              <w:left w:val="nil"/>
              <w:bottom w:val="single" w:sz="4" w:space="0" w:color="auto"/>
              <w:right w:val="dashed" w:sz="8" w:space="0" w:color="000000"/>
            </w:tcBorders>
            <w:shd w:val="clear" w:color="auto" w:fill="auto"/>
            <w:vAlign w:val="center"/>
          </w:tcPr>
          <w:p w:rsidR="00AC6B38" w:rsidRPr="00E63AD2" w:rsidP="00C444C4" w14:paraId="4484995E" w14:textId="2195E4E2">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66</w:t>
            </w:r>
          </w:p>
        </w:tc>
        <w:tc>
          <w:tcPr>
            <w:tcW w:w="990" w:type="dxa"/>
            <w:tcBorders>
              <w:top w:val="single" w:sz="4" w:space="0" w:color="auto"/>
              <w:left w:val="nil"/>
              <w:bottom w:val="single" w:sz="4" w:space="0" w:color="auto"/>
              <w:right w:val="single" w:sz="8" w:space="0" w:color="000000"/>
            </w:tcBorders>
            <w:shd w:val="clear" w:color="auto" w:fill="auto"/>
            <w:vAlign w:val="center"/>
          </w:tcPr>
          <w:p w:rsidR="00AC6B38" w:rsidRPr="00E63AD2" w:rsidP="00C444C4" w14:paraId="2DFC96AC" w14:textId="2E38A3B0">
            <w:pPr>
              <w:keepNext/>
              <w:keepLines/>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56</w:t>
            </w:r>
          </w:p>
        </w:tc>
        <w:tc>
          <w:tcPr>
            <w:tcW w:w="3330" w:type="dxa"/>
            <w:tcBorders>
              <w:top w:val="single" w:sz="4" w:space="0" w:color="auto"/>
              <w:left w:val="nil"/>
              <w:bottom w:val="single" w:sz="4" w:space="0" w:color="auto"/>
              <w:right w:val="single" w:sz="8" w:space="0" w:color="000000"/>
            </w:tcBorders>
            <w:shd w:val="clear" w:color="auto" w:fill="auto"/>
            <w:vAlign w:val="center"/>
          </w:tcPr>
          <w:p w:rsidR="00AC6B38" w:rsidRPr="00E63AD2" w:rsidP="00C444C4" w14:paraId="4E2D1110" w14:textId="159DC6FB">
            <w:pPr>
              <w:keepNext/>
              <w:keepLines/>
              <w:widowControl/>
              <w:rPr>
                <w:rFonts w:ascii="Calibri" w:eastAsia="Calibri" w:hAnsi="Calibri" w:cs="Calibri"/>
                <w:color w:val="000000"/>
                <w:sz w:val="18"/>
                <w:szCs w:val="18"/>
              </w:rPr>
            </w:pPr>
            <w:r w:rsidRPr="00E63AD2">
              <w:rPr>
                <w:rFonts w:ascii="Calibri" w:eastAsia="Calibri" w:hAnsi="Calibri" w:cs="Calibri"/>
                <w:color w:val="000000"/>
                <w:sz w:val="18"/>
                <w:szCs w:val="18"/>
              </w:rPr>
              <w:t>The rule increases the number of vessels annually that would be expected to hire a technician to install, maintain, and troubleshoot VMS units (program change).</w:t>
            </w:r>
          </w:p>
        </w:tc>
      </w:tr>
      <w:tr w14:paraId="7960083B" w14:textId="77777777" w:rsidTr="00E63AD2">
        <w:tblPrEx>
          <w:tblW w:w="10700" w:type="dxa"/>
          <w:jc w:val="center"/>
          <w:tblLayout w:type="fixed"/>
          <w:tblLook w:val="0400"/>
        </w:tblPrEx>
        <w:trPr>
          <w:trHeight w:val="424"/>
          <w:jc w:val="center"/>
        </w:trPr>
        <w:tc>
          <w:tcPr>
            <w:tcW w:w="1700" w:type="dxa"/>
            <w:tcBorders>
              <w:top w:val="nil"/>
              <w:left w:val="single" w:sz="8" w:space="0" w:color="000000"/>
              <w:bottom w:val="nil"/>
              <w:right w:val="single" w:sz="8" w:space="0" w:color="000000"/>
            </w:tcBorders>
            <w:shd w:val="clear" w:color="auto" w:fill="BDD6EE"/>
            <w:vAlign w:val="center"/>
          </w:tcPr>
          <w:p w:rsidR="00AC6B38" w:rsidRPr="00E63AD2" w:rsidP="00C444C4" w14:paraId="3F1BDC1F" w14:textId="77777777">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Total for Collection</w:t>
            </w:r>
          </w:p>
        </w:tc>
        <w:tc>
          <w:tcPr>
            <w:tcW w:w="990" w:type="dxa"/>
            <w:tcBorders>
              <w:top w:val="single" w:sz="4" w:space="0" w:color="auto"/>
              <w:left w:val="nil"/>
              <w:bottom w:val="nil"/>
              <w:right w:val="dashed" w:sz="8" w:space="0" w:color="000000"/>
            </w:tcBorders>
            <w:shd w:val="clear" w:color="auto" w:fill="BDD6EE"/>
            <w:vAlign w:val="center"/>
          </w:tcPr>
          <w:p w:rsidR="00AC6B38" w:rsidRPr="00E63AD2" w:rsidP="00C444C4" w14:paraId="2AD86E53" w14:textId="740D1904">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659</w:t>
            </w:r>
          </w:p>
        </w:tc>
        <w:tc>
          <w:tcPr>
            <w:tcW w:w="900" w:type="dxa"/>
            <w:tcBorders>
              <w:top w:val="single" w:sz="4" w:space="0" w:color="auto"/>
              <w:left w:val="nil"/>
              <w:bottom w:val="nil"/>
              <w:right w:val="single" w:sz="8" w:space="0" w:color="000000"/>
            </w:tcBorders>
            <w:shd w:val="clear" w:color="auto" w:fill="BDD6EE"/>
            <w:vAlign w:val="center"/>
          </w:tcPr>
          <w:p w:rsidR="00AC6B38" w:rsidRPr="00E63AD2" w:rsidP="00C444C4" w14:paraId="4C0D308E" w14:textId="13CCC1DD">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550</w:t>
            </w:r>
          </w:p>
        </w:tc>
        <w:tc>
          <w:tcPr>
            <w:tcW w:w="900" w:type="dxa"/>
            <w:tcBorders>
              <w:top w:val="single" w:sz="4" w:space="0" w:color="auto"/>
              <w:left w:val="nil"/>
              <w:bottom w:val="nil"/>
              <w:right w:val="dashed" w:sz="8" w:space="0" w:color="000000"/>
            </w:tcBorders>
            <w:shd w:val="clear" w:color="auto" w:fill="BDD6EE"/>
            <w:vAlign w:val="center"/>
          </w:tcPr>
          <w:p w:rsidR="00AC6B38" w:rsidRPr="00E63AD2" w:rsidP="00C444C4" w14:paraId="310C9F96" w14:textId="171F0461">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758</w:t>
            </w:r>
          </w:p>
        </w:tc>
        <w:tc>
          <w:tcPr>
            <w:tcW w:w="990" w:type="dxa"/>
            <w:tcBorders>
              <w:top w:val="single" w:sz="4" w:space="0" w:color="auto"/>
              <w:left w:val="nil"/>
              <w:bottom w:val="nil"/>
              <w:right w:val="single" w:sz="8" w:space="0" w:color="000000"/>
            </w:tcBorders>
            <w:shd w:val="clear" w:color="auto" w:fill="BDD6EE"/>
            <w:vAlign w:val="center"/>
          </w:tcPr>
          <w:p w:rsidR="00AC6B38" w:rsidRPr="00E63AD2" w:rsidP="00C444C4" w14:paraId="4C531BD4" w14:textId="238027E2">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611</w:t>
            </w:r>
          </w:p>
        </w:tc>
        <w:tc>
          <w:tcPr>
            <w:tcW w:w="900" w:type="dxa"/>
            <w:tcBorders>
              <w:top w:val="single" w:sz="4" w:space="0" w:color="auto"/>
              <w:left w:val="nil"/>
              <w:bottom w:val="nil"/>
              <w:right w:val="dashed" w:sz="8" w:space="0" w:color="000000"/>
            </w:tcBorders>
            <w:shd w:val="clear" w:color="auto" w:fill="BDD6EE"/>
            <w:vAlign w:val="center"/>
          </w:tcPr>
          <w:p w:rsidR="00AC6B38" w:rsidRPr="00E63AD2" w:rsidP="00C444C4" w14:paraId="2B5F61CB" w14:textId="0EAA9D91">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3,102</w:t>
            </w:r>
          </w:p>
        </w:tc>
        <w:tc>
          <w:tcPr>
            <w:tcW w:w="990" w:type="dxa"/>
            <w:tcBorders>
              <w:top w:val="single" w:sz="4" w:space="0" w:color="auto"/>
              <w:left w:val="nil"/>
              <w:bottom w:val="nil"/>
              <w:right w:val="single" w:sz="8" w:space="0" w:color="000000"/>
            </w:tcBorders>
            <w:shd w:val="clear" w:color="auto" w:fill="BDD6EE"/>
            <w:vAlign w:val="center"/>
          </w:tcPr>
          <w:p w:rsidR="00AC6B38" w:rsidRPr="00E63AD2" w:rsidP="00C444C4" w14:paraId="0537710E" w14:textId="1D4CFF56">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2,456</w:t>
            </w:r>
            <w:r w:rsidRPr="00E63AD2">
              <w:rPr>
                <w:rFonts w:ascii="Calibri" w:eastAsia="Calibri" w:hAnsi="Calibri" w:cs="Calibri"/>
                <w:b/>
                <w:color w:val="000000"/>
                <w:sz w:val="18"/>
                <w:szCs w:val="18"/>
                <w:vertAlign w:val="superscript"/>
              </w:rPr>
              <w:t>2</w:t>
            </w:r>
          </w:p>
        </w:tc>
        <w:tc>
          <w:tcPr>
            <w:tcW w:w="3330" w:type="dxa"/>
            <w:tcBorders>
              <w:top w:val="single" w:sz="4" w:space="0" w:color="auto"/>
              <w:left w:val="nil"/>
              <w:bottom w:val="nil"/>
              <w:right w:val="single" w:sz="8" w:space="0" w:color="000000"/>
            </w:tcBorders>
            <w:shd w:val="clear" w:color="auto" w:fill="000000"/>
            <w:vAlign w:val="center"/>
          </w:tcPr>
          <w:p w:rsidR="00AC6B38" w:rsidRPr="00E63AD2" w:rsidP="00C444C4" w14:paraId="3AF8E46D" w14:textId="77777777">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 </w:t>
            </w:r>
          </w:p>
        </w:tc>
      </w:tr>
      <w:tr w14:paraId="67EC6702" w14:textId="77777777" w:rsidTr="00E63AD2">
        <w:tblPrEx>
          <w:tblW w:w="10700" w:type="dxa"/>
          <w:jc w:val="center"/>
          <w:tblLayout w:type="fixed"/>
          <w:tblLook w:val="0400"/>
        </w:tblPrEx>
        <w:trPr>
          <w:trHeight w:val="287"/>
          <w:jc w:val="center"/>
        </w:trPr>
        <w:tc>
          <w:tcPr>
            <w:tcW w:w="1700" w:type="dxa"/>
            <w:tcBorders>
              <w:top w:val="single" w:sz="8" w:space="0" w:color="000000"/>
              <w:left w:val="single" w:sz="8" w:space="0" w:color="000000"/>
              <w:bottom w:val="single" w:sz="8" w:space="0" w:color="000000"/>
              <w:right w:val="nil"/>
            </w:tcBorders>
            <w:shd w:val="clear" w:color="auto" w:fill="FCE4D6"/>
            <w:vAlign w:val="center"/>
          </w:tcPr>
          <w:p w:rsidR="00AC6B38" w:rsidRPr="00E63AD2" w:rsidP="00C444C4" w14:paraId="7428A914" w14:textId="77777777">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Difference</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AC6B38" w:rsidRPr="00E63AD2" w:rsidP="00C444C4" w14:paraId="4F9AE6F5" w14:textId="750F6E31">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109</w:t>
            </w:r>
          </w:p>
          <w:p w:rsidR="00AC6B38" w:rsidRPr="00E63AD2" w:rsidP="00C444C4" w14:paraId="56EB68F6" w14:textId="0846B8DB">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w:t>
            </w:r>
            <w:r w:rsidRPr="00E63AD2">
              <w:rPr>
                <w:rFonts w:ascii="Calibri" w:eastAsia="Calibri" w:hAnsi="Calibri" w:cs="Calibri"/>
                <w:b/>
                <w:color w:val="000000"/>
                <w:sz w:val="18"/>
                <w:szCs w:val="18"/>
              </w:rPr>
              <w:t>100 program change</w:t>
            </w:r>
            <w:r w:rsidRPr="00E63AD2">
              <w:rPr>
                <w:rFonts w:ascii="Calibri" w:eastAsia="Calibri" w:hAnsi="Calibri" w:cs="Calibri"/>
                <w:b/>
                <w:color w:val="000000"/>
                <w:sz w:val="18"/>
                <w:szCs w:val="18"/>
              </w:rPr>
              <w:t xml:space="preserve">; </w:t>
            </w:r>
            <w:r w:rsidRPr="00E63AD2">
              <w:rPr>
                <w:rFonts w:ascii="Calibri" w:eastAsia="Calibri" w:hAnsi="Calibri" w:cs="Calibri"/>
                <w:b/>
                <w:color w:val="000000"/>
                <w:sz w:val="18"/>
                <w:szCs w:val="18"/>
              </w:rPr>
              <w:t>9 adjustment)</w:t>
            </w:r>
          </w:p>
        </w:tc>
        <w:tc>
          <w:tcPr>
            <w:tcW w:w="1890" w:type="dxa"/>
            <w:gridSpan w:val="2"/>
            <w:tcBorders>
              <w:top w:val="single" w:sz="8" w:space="0" w:color="000000"/>
              <w:left w:val="nil"/>
              <w:bottom w:val="single" w:sz="8" w:space="0" w:color="000000"/>
              <w:right w:val="single" w:sz="8" w:space="0" w:color="000000"/>
            </w:tcBorders>
            <w:shd w:val="clear" w:color="auto" w:fill="FCE4D6"/>
            <w:vAlign w:val="center"/>
          </w:tcPr>
          <w:p w:rsidR="00AC6B38" w:rsidRPr="00E63AD2" w:rsidP="00C444C4" w14:paraId="0C1103CE" w14:textId="77777777">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147</w:t>
            </w:r>
          </w:p>
          <w:p w:rsidR="00AC6B38" w:rsidRPr="00E63AD2" w:rsidP="00C444C4" w14:paraId="20269995" w14:textId="154AA37E">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w:t>
            </w:r>
            <w:r w:rsidRPr="00E63AD2">
              <w:rPr>
                <w:rFonts w:ascii="Calibri" w:eastAsia="Calibri" w:hAnsi="Calibri" w:cs="Calibri"/>
                <w:b/>
                <w:color w:val="000000"/>
                <w:sz w:val="18"/>
                <w:szCs w:val="18"/>
              </w:rPr>
              <w:t>138 program change</w:t>
            </w:r>
            <w:r w:rsidRPr="00E63AD2">
              <w:rPr>
                <w:rFonts w:ascii="Calibri" w:eastAsia="Calibri" w:hAnsi="Calibri" w:cs="Calibri"/>
                <w:b/>
                <w:color w:val="000000"/>
                <w:sz w:val="18"/>
                <w:szCs w:val="18"/>
              </w:rPr>
              <w:t xml:space="preserve">; </w:t>
            </w:r>
            <w:r w:rsidRPr="00E63AD2">
              <w:rPr>
                <w:rFonts w:ascii="Calibri" w:eastAsia="Calibri" w:hAnsi="Calibri" w:cs="Calibri"/>
                <w:b/>
                <w:color w:val="000000"/>
                <w:sz w:val="18"/>
                <w:szCs w:val="18"/>
              </w:rPr>
              <w:t>9 adjustment)</w:t>
            </w:r>
          </w:p>
        </w:tc>
        <w:tc>
          <w:tcPr>
            <w:tcW w:w="1890" w:type="dxa"/>
            <w:gridSpan w:val="2"/>
            <w:tcBorders>
              <w:top w:val="single" w:sz="8" w:space="0" w:color="000000"/>
              <w:left w:val="nil"/>
              <w:bottom w:val="single" w:sz="8" w:space="0" w:color="000000"/>
              <w:right w:val="single" w:sz="4" w:space="0" w:color="000000"/>
            </w:tcBorders>
            <w:shd w:val="clear" w:color="auto" w:fill="FCE4D6"/>
            <w:vAlign w:val="center"/>
          </w:tcPr>
          <w:p w:rsidR="00AC6B38" w:rsidRPr="00E63AD2" w:rsidP="00C444C4" w14:paraId="46C16DC8" w14:textId="265A43BB">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646</w:t>
            </w:r>
          </w:p>
          <w:p w:rsidR="00AC6B38" w:rsidRPr="00E63AD2" w:rsidP="00C444C4" w14:paraId="03DEB868" w14:textId="7A9A0819">
            <w:pPr>
              <w:keepNext/>
              <w:keepLines/>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w:t>
            </w:r>
            <w:r w:rsidRPr="00E63AD2">
              <w:rPr>
                <w:rFonts w:ascii="Calibri" w:eastAsia="Calibri" w:hAnsi="Calibri" w:cs="Calibri"/>
                <w:b/>
                <w:color w:val="000000"/>
                <w:sz w:val="18"/>
                <w:szCs w:val="18"/>
              </w:rPr>
              <w:t>610 program change</w:t>
            </w:r>
            <w:r w:rsidRPr="00E63AD2">
              <w:rPr>
                <w:rFonts w:ascii="Calibri" w:eastAsia="Calibri" w:hAnsi="Calibri" w:cs="Calibri"/>
                <w:b/>
                <w:color w:val="000000"/>
                <w:sz w:val="18"/>
                <w:szCs w:val="18"/>
              </w:rPr>
              <w:t xml:space="preserve">; </w:t>
            </w:r>
            <w:r w:rsidR="007065CB">
              <w:rPr>
                <w:rFonts w:ascii="Calibri" w:eastAsia="Calibri" w:hAnsi="Calibri" w:cs="Calibri"/>
                <w:b/>
                <w:color w:val="000000"/>
                <w:sz w:val="18"/>
                <w:szCs w:val="18"/>
              </w:rPr>
              <w:t>3</w:t>
            </w:r>
            <w:r w:rsidRPr="00E63AD2">
              <w:rPr>
                <w:rFonts w:ascii="Calibri" w:eastAsia="Calibri" w:hAnsi="Calibri" w:cs="Calibri"/>
                <w:b/>
                <w:color w:val="000000"/>
                <w:sz w:val="18"/>
                <w:szCs w:val="18"/>
              </w:rPr>
              <w:t>6 adjustment</w:t>
            </w:r>
            <w:r w:rsidRPr="00E63AD2">
              <w:rPr>
                <w:rFonts w:ascii="Calibri" w:eastAsia="Calibri" w:hAnsi="Calibri" w:cs="Calibri"/>
                <w:b/>
                <w:color w:val="000000"/>
                <w:sz w:val="18"/>
                <w:szCs w:val="18"/>
              </w:rPr>
              <w:t>)</w:t>
            </w:r>
            <w:r w:rsidRPr="007065CB" w:rsidR="007065CB">
              <w:rPr>
                <w:rFonts w:ascii="Calibri" w:eastAsia="Calibri" w:hAnsi="Calibri" w:cs="Calibri"/>
                <w:b/>
                <w:color w:val="000000"/>
                <w:sz w:val="18"/>
                <w:szCs w:val="18"/>
                <w:vertAlign w:val="superscript"/>
              </w:rPr>
              <w:t>3</w:t>
            </w:r>
          </w:p>
        </w:tc>
        <w:tc>
          <w:tcPr>
            <w:tcW w:w="3330" w:type="dxa"/>
            <w:tcBorders>
              <w:top w:val="single" w:sz="8" w:space="0" w:color="000000"/>
              <w:left w:val="nil"/>
              <w:bottom w:val="single" w:sz="8" w:space="0" w:color="000000"/>
              <w:right w:val="single" w:sz="8" w:space="0" w:color="000000"/>
            </w:tcBorders>
            <w:shd w:val="clear" w:color="auto" w:fill="000000"/>
            <w:vAlign w:val="center"/>
          </w:tcPr>
          <w:p w:rsidR="00AC6B38" w:rsidRPr="00E63AD2" w:rsidP="00C444C4" w14:paraId="12552801" w14:textId="77777777">
            <w:pPr>
              <w:keepNext/>
              <w:keepLines/>
              <w:widowControl/>
              <w:rPr>
                <w:rFonts w:ascii="Calibri" w:eastAsia="Calibri" w:hAnsi="Calibri" w:cs="Calibri"/>
                <w:color w:val="000000"/>
                <w:sz w:val="18"/>
                <w:szCs w:val="18"/>
              </w:rPr>
            </w:pPr>
            <w:r w:rsidRPr="00E63AD2">
              <w:rPr>
                <w:rFonts w:ascii="Calibri" w:eastAsia="Calibri" w:hAnsi="Calibri" w:cs="Calibri"/>
                <w:color w:val="000000"/>
                <w:sz w:val="18"/>
                <w:szCs w:val="18"/>
              </w:rPr>
              <w:t> </w:t>
            </w:r>
          </w:p>
        </w:tc>
      </w:tr>
    </w:tbl>
    <w:p w:rsidR="00774BBC" w:rsidP="008621E7" w14:paraId="73389DDA" w14:textId="57580B1C">
      <w:pPr>
        <w:widowControl/>
        <w:pBdr>
          <w:top w:val="nil"/>
          <w:left w:val="nil"/>
          <w:bottom w:val="nil"/>
          <w:right w:val="nil"/>
          <w:between w:val="nil"/>
        </w:pBdr>
        <w:spacing w:before="7"/>
        <w:rPr>
          <w:rFonts w:asciiTheme="minorHAnsi" w:hAnsiTheme="minorHAnsi" w:cstheme="minorHAnsi"/>
          <w:color w:val="000000"/>
          <w:sz w:val="18"/>
          <w:szCs w:val="18"/>
        </w:rPr>
      </w:pPr>
      <w:r w:rsidRPr="00250CD4">
        <w:rPr>
          <w:rFonts w:asciiTheme="minorHAnsi" w:hAnsiTheme="minorHAnsi" w:cstheme="minorHAnsi"/>
          <w:color w:val="000000"/>
          <w:sz w:val="18"/>
          <w:szCs w:val="18"/>
          <w:vertAlign w:val="superscript"/>
        </w:rPr>
        <w:t>1</w:t>
      </w:r>
      <w:r w:rsidRPr="00250CD4">
        <w:rPr>
          <w:rFonts w:asciiTheme="minorHAnsi" w:hAnsiTheme="minorHAnsi" w:cstheme="minorHAnsi"/>
          <w:color w:val="000000"/>
          <w:sz w:val="18"/>
          <w:szCs w:val="18"/>
        </w:rPr>
        <w:t xml:space="preserve"> In</w:t>
      </w:r>
      <w:r>
        <w:rPr>
          <w:rFonts w:asciiTheme="minorHAnsi" w:hAnsiTheme="minorHAnsi" w:cstheme="minorHAnsi"/>
          <w:color w:val="000000"/>
          <w:sz w:val="18"/>
          <w:szCs w:val="18"/>
        </w:rPr>
        <w:t>correctly reported in the previous supporting statement as 2,220 hr.</w:t>
      </w:r>
    </w:p>
    <w:p w:rsidR="00774BBC" w:rsidP="008621E7" w14:paraId="5E0CA423" w14:textId="2A37AD91">
      <w:pPr>
        <w:widowControl/>
        <w:pBdr>
          <w:top w:val="nil"/>
          <w:left w:val="nil"/>
          <w:bottom w:val="nil"/>
          <w:right w:val="nil"/>
          <w:between w:val="nil"/>
        </w:pBdr>
        <w:spacing w:before="7"/>
        <w:rPr>
          <w:rFonts w:asciiTheme="minorHAnsi" w:hAnsiTheme="minorHAnsi" w:cstheme="minorHAnsi"/>
          <w:color w:val="000000"/>
          <w:sz w:val="18"/>
          <w:szCs w:val="18"/>
        </w:rPr>
      </w:pPr>
      <w:r w:rsidRPr="00250CD4">
        <w:rPr>
          <w:rFonts w:asciiTheme="minorHAnsi" w:hAnsiTheme="minorHAnsi" w:cstheme="minorHAnsi"/>
          <w:color w:val="000000"/>
          <w:sz w:val="18"/>
          <w:szCs w:val="18"/>
          <w:vertAlign w:val="superscript"/>
        </w:rPr>
        <w:t>2</w:t>
      </w:r>
      <w:r>
        <w:rPr>
          <w:rFonts w:asciiTheme="minorHAnsi" w:hAnsiTheme="minorHAnsi" w:cstheme="minorHAnsi"/>
          <w:color w:val="000000"/>
          <w:sz w:val="18"/>
          <w:szCs w:val="18"/>
        </w:rPr>
        <w:t xml:space="preserve"> Incorrectly reported in the previous supporting statement as </w:t>
      </w:r>
      <w:r w:rsidR="00A555F4">
        <w:rPr>
          <w:rFonts w:asciiTheme="minorHAnsi" w:hAnsiTheme="minorHAnsi" w:cstheme="minorHAnsi"/>
          <w:color w:val="000000"/>
          <w:sz w:val="18"/>
          <w:szCs w:val="18"/>
        </w:rPr>
        <w:t xml:space="preserve">2,476 </w:t>
      </w:r>
      <w:r w:rsidR="00A555F4">
        <w:rPr>
          <w:rFonts w:asciiTheme="minorHAnsi" w:hAnsiTheme="minorHAnsi" w:cstheme="minorHAnsi"/>
          <w:color w:val="000000"/>
          <w:sz w:val="18"/>
          <w:szCs w:val="18"/>
        </w:rPr>
        <w:t>hr</w:t>
      </w:r>
    </w:p>
    <w:p w:rsidR="007065CB" w:rsidRPr="00A555F4" w:rsidP="008621E7" w14:paraId="350A6B1E" w14:textId="6AAC0A85">
      <w:pPr>
        <w:widowControl/>
        <w:pBdr>
          <w:top w:val="nil"/>
          <w:left w:val="nil"/>
          <w:bottom w:val="nil"/>
          <w:right w:val="nil"/>
          <w:between w:val="nil"/>
        </w:pBdr>
        <w:spacing w:before="7"/>
        <w:rPr>
          <w:rFonts w:asciiTheme="minorHAnsi" w:hAnsiTheme="minorHAnsi" w:cstheme="minorHAnsi"/>
          <w:color w:val="000000"/>
          <w:sz w:val="18"/>
          <w:szCs w:val="18"/>
        </w:rPr>
      </w:pPr>
      <w:r w:rsidRPr="007065CB">
        <w:rPr>
          <w:rFonts w:asciiTheme="minorHAnsi" w:hAnsiTheme="minorHAnsi" w:cstheme="minorHAnsi"/>
          <w:color w:val="000000"/>
          <w:sz w:val="18"/>
          <w:szCs w:val="18"/>
          <w:vertAlign w:val="superscript"/>
        </w:rPr>
        <w:t xml:space="preserve">3 </w:t>
      </w:r>
      <w:r>
        <w:rPr>
          <w:rFonts w:asciiTheme="minorHAnsi" w:hAnsiTheme="minorHAnsi" w:cstheme="minorHAnsi"/>
          <w:color w:val="000000"/>
          <w:sz w:val="18"/>
          <w:szCs w:val="18"/>
        </w:rPr>
        <w:t xml:space="preserve">Difference is 646 based on correct burden time.  However, the actual </w:t>
      </w:r>
      <w:bookmarkStart w:id="0" w:name="_GoBack"/>
      <w:bookmarkEnd w:id="0"/>
      <w:r>
        <w:rPr>
          <w:rFonts w:asciiTheme="minorHAnsi" w:hAnsiTheme="minorHAnsi" w:cstheme="minorHAnsi"/>
          <w:color w:val="000000"/>
          <w:sz w:val="18"/>
          <w:szCs w:val="18"/>
        </w:rPr>
        <w:t>Adjustment is 16 based on the numbers previously entered into ROCIS.</w:t>
      </w:r>
    </w:p>
    <w:p w:rsidR="00A555F4" w:rsidP="008621E7" w14:paraId="08592A03" w14:textId="3C836C8F">
      <w:pPr>
        <w:widowControl/>
        <w:pBdr>
          <w:top w:val="nil"/>
          <w:left w:val="nil"/>
          <w:bottom w:val="nil"/>
          <w:right w:val="nil"/>
          <w:between w:val="nil"/>
        </w:pBdr>
        <w:spacing w:before="7"/>
        <w:rPr>
          <w:b/>
          <w:color w:val="000000"/>
        </w:rPr>
      </w:pPr>
    </w:p>
    <w:p w:rsidR="00774BBC" w:rsidP="008621E7" w14:paraId="2B6D7C6E" w14:textId="77777777">
      <w:pPr>
        <w:widowControl/>
        <w:pBdr>
          <w:top w:val="nil"/>
          <w:left w:val="nil"/>
          <w:bottom w:val="nil"/>
          <w:right w:val="nil"/>
          <w:between w:val="nil"/>
        </w:pBdr>
        <w:spacing w:before="7"/>
        <w:rPr>
          <w:b/>
          <w:color w:val="000000"/>
        </w:rPr>
      </w:pPr>
    </w:p>
    <w:tbl>
      <w:tblPr>
        <w:tblStyle w:val="a4"/>
        <w:tblW w:w="10697" w:type="dxa"/>
        <w:jc w:val="center"/>
        <w:tblLayout w:type="fixed"/>
        <w:tblLook w:val="0400"/>
      </w:tblPr>
      <w:tblGrid>
        <w:gridCol w:w="2520"/>
        <w:gridCol w:w="800"/>
        <w:gridCol w:w="810"/>
        <w:gridCol w:w="1170"/>
        <w:gridCol w:w="1170"/>
        <w:gridCol w:w="4227"/>
      </w:tblGrid>
      <w:tr w14:paraId="5B865FEB" w14:textId="77777777" w:rsidTr="00E63AD2">
        <w:tblPrEx>
          <w:tblW w:w="10697" w:type="dxa"/>
          <w:jc w:val="center"/>
          <w:tblLayout w:type="fixed"/>
          <w:tblLook w:val="0400"/>
        </w:tblPrEx>
        <w:trPr>
          <w:trHeight w:val="259"/>
          <w:jc w:val="center"/>
        </w:trPr>
        <w:tc>
          <w:tcPr>
            <w:tcW w:w="252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RPr="001203E5" w:rsidP="008621E7" w14:paraId="224B4960" w14:textId="77777777">
            <w:pPr>
              <w:widowControl/>
              <w:jc w:val="center"/>
              <w:rPr>
                <w:rFonts w:ascii="Calibri" w:eastAsia="Calibri" w:hAnsi="Calibri" w:cs="Calibri"/>
                <w:b/>
                <w:color w:val="000000"/>
                <w:sz w:val="16"/>
                <w:szCs w:val="16"/>
              </w:rPr>
            </w:pPr>
            <w:r w:rsidRPr="001203E5">
              <w:rPr>
                <w:rFonts w:ascii="Calibri" w:eastAsia="Calibri" w:hAnsi="Calibri" w:cs="Calibri"/>
                <w:b/>
                <w:color w:val="000000"/>
                <w:sz w:val="16"/>
                <w:szCs w:val="16"/>
              </w:rPr>
              <w:t>Information Collection</w:t>
            </w:r>
          </w:p>
        </w:tc>
        <w:tc>
          <w:tcPr>
            <w:tcW w:w="1610" w:type="dxa"/>
            <w:gridSpan w:val="2"/>
            <w:tcBorders>
              <w:top w:val="single" w:sz="8" w:space="0" w:color="000000"/>
              <w:left w:val="nil"/>
              <w:bottom w:val="single" w:sz="8" w:space="0" w:color="000000"/>
              <w:right w:val="single" w:sz="8" w:space="0" w:color="000000"/>
            </w:tcBorders>
            <w:shd w:val="clear" w:color="auto" w:fill="5B9BD5"/>
            <w:vAlign w:val="center"/>
          </w:tcPr>
          <w:p w:rsidR="00774BBC" w:rsidRPr="001203E5" w:rsidP="008621E7" w14:paraId="3D4AB14E" w14:textId="77777777">
            <w:pPr>
              <w:widowControl/>
              <w:jc w:val="center"/>
              <w:rPr>
                <w:rFonts w:ascii="Calibri" w:eastAsia="Calibri" w:hAnsi="Calibri" w:cs="Calibri"/>
                <w:b/>
                <w:color w:val="000000"/>
                <w:sz w:val="16"/>
                <w:szCs w:val="16"/>
              </w:rPr>
            </w:pPr>
            <w:r w:rsidRPr="001203E5">
              <w:rPr>
                <w:rFonts w:ascii="Calibri" w:eastAsia="Calibri" w:hAnsi="Calibri" w:cs="Calibri"/>
                <w:b/>
                <w:color w:val="000000"/>
                <w:sz w:val="16"/>
                <w:szCs w:val="16"/>
              </w:rPr>
              <w:t>Labor Costs</w:t>
            </w:r>
          </w:p>
        </w:tc>
        <w:tc>
          <w:tcPr>
            <w:tcW w:w="2340" w:type="dxa"/>
            <w:gridSpan w:val="2"/>
            <w:tcBorders>
              <w:top w:val="single" w:sz="8" w:space="0" w:color="000000"/>
              <w:left w:val="nil"/>
              <w:bottom w:val="single" w:sz="8" w:space="0" w:color="000000"/>
              <w:right w:val="single" w:sz="8" w:space="0" w:color="000000"/>
            </w:tcBorders>
            <w:shd w:val="clear" w:color="auto" w:fill="5B9BD5"/>
            <w:vAlign w:val="center"/>
          </w:tcPr>
          <w:p w:rsidR="00774BBC" w:rsidRPr="001203E5" w:rsidP="008621E7" w14:paraId="7580D779" w14:textId="77777777">
            <w:pPr>
              <w:widowControl/>
              <w:jc w:val="center"/>
              <w:rPr>
                <w:rFonts w:ascii="Calibri" w:eastAsia="Calibri" w:hAnsi="Calibri" w:cs="Calibri"/>
                <w:b/>
                <w:color w:val="000000"/>
                <w:sz w:val="16"/>
                <w:szCs w:val="16"/>
              </w:rPr>
            </w:pPr>
            <w:r w:rsidRPr="001203E5">
              <w:rPr>
                <w:rFonts w:ascii="Calibri" w:eastAsia="Calibri" w:hAnsi="Calibri" w:cs="Calibri"/>
                <w:b/>
                <w:color w:val="000000"/>
                <w:sz w:val="16"/>
                <w:szCs w:val="16"/>
              </w:rPr>
              <w:t>Miscellaneous Costs</w:t>
            </w:r>
          </w:p>
        </w:tc>
        <w:tc>
          <w:tcPr>
            <w:tcW w:w="4227"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RPr="001203E5" w:rsidP="008621E7" w14:paraId="6AD72A80" w14:textId="77777777">
            <w:pPr>
              <w:widowControl/>
              <w:jc w:val="center"/>
              <w:rPr>
                <w:rFonts w:ascii="Calibri" w:eastAsia="Calibri" w:hAnsi="Calibri" w:cs="Calibri"/>
                <w:b/>
                <w:color w:val="000000"/>
                <w:sz w:val="16"/>
                <w:szCs w:val="16"/>
              </w:rPr>
            </w:pPr>
            <w:r w:rsidRPr="001203E5">
              <w:rPr>
                <w:rFonts w:ascii="Calibri" w:eastAsia="Calibri" w:hAnsi="Calibri" w:cs="Calibri"/>
                <w:b/>
                <w:color w:val="000000"/>
                <w:sz w:val="16"/>
                <w:szCs w:val="16"/>
              </w:rPr>
              <w:t>Reason for change or adjustment</w:t>
            </w:r>
          </w:p>
        </w:tc>
      </w:tr>
      <w:tr w14:paraId="541F496C" w14:textId="77777777" w:rsidTr="00E63AD2">
        <w:tblPrEx>
          <w:tblW w:w="10697" w:type="dxa"/>
          <w:jc w:val="center"/>
          <w:tblLayout w:type="fixed"/>
          <w:tblLook w:val="0400"/>
        </w:tblPrEx>
        <w:trPr>
          <w:trHeight w:val="225"/>
          <w:jc w:val="center"/>
        </w:trPr>
        <w:tc>
          <w:tcPr>
            <w:tcW w:w="252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P="008621E7" w14:paraId="4D1A981B" w14:textId="77777777">
            <w:pPr>
              <w:widowControl/>
              <w:pBdr>
                <w:top w:val="nil"/>
                <w:left w:val="nil"/>
                <w:bottom w:val="nil"/>
                <w:right w:val="nil"/>
                <w:between w:val="nil"/>
              </w:pBdr>
              <w:spacing w:line="276" w:lineRule="auto"/>
              <w:rPr>
                <w:rFonts w:ascii="Calibri" w:eastAsia="Calibri" w:hAnsi="Calibri" w:cs="Calibri"/>
                <w:b/>
                <w:color w:val="000000"/>
                <w:sz w:val="16"/>
                <w:szCs w:val="16"/>
              </w:rPr>
            </w:pPr>
          </w:p>
        </w:tc>
        <w:tc>
          <w:tcPr>
            <w:tcW w:w="800" w:type="dxa"/>
            <w:tcBorders>
              <w:top w:val="nil"/>
              <w:left w:val="nil"/>
              <w:bottom w:val="single" w:sz="8" w:space="0" w:color="000000"/>
              <w:right w:val="dashed" w:sz="8" w:space="0" w:color="000000"/>
            </w:tcBorders>
            <w:shd w:val="clear" w:color="auto" w:fill="FBE4D5"/>
            <w:vAlign w:val="center"/>
          </w:tcPr>
          <w:p w:rsidR="00774BBC" w:rsidP="008621E7" w14:paraId="104A2691"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810" w:type="dxa"/>
            <w:tcBorders>
              <w:top w:val="nil"/>
              <w:left w:val="nil"/>
              <w:bottom w:val="single" w:sz="8" w:space="0" w:color="000000"/>
              <w:right w:val="single" w:sz="8" w:space="0" w:color="000000"/>
            </w:tcBorders>
            <w:shd w:val="clear" w:color="auto" w:fill="FBE4D5"/>
            <w:vAlign w:val="center"/>
          </w:tcPr>
          <w:p w:rsidR="00774BBC" w:rsidP="008621E7" w14:paraId="07B64B9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170" w:type="dxa"/>
            <w:tcBorders>
              <w:top w:val="nil"/>
              <w:left w:val="nil"/>
              <w:bottom w:val="single" w:sz="8" w:space="0" w:color="000000"/>
              <w:right w:val="dashed" w:sz="8" w:space="0" w:color="000000"/>
            </w:tcBorders>
            <w:shd w:val="clear" w:color="auto" w:fill="FBE4D5"/>
            <w:vAlign w:val="center"/>
          </w:tcPr>
          <w:p w:rsidR="00774BBC" w:rsidP="008621E7" w14:paraId="777E9B3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170" w:type="dxa"/>
            <w:tcBorders>
              <w:top w:val="nil"/>
              <w:left w:val="nil"/>
              <w:bottom w:val="single" w:sz="8" w:space="0" w:color="000000"/>
              <w:right w:val="single" w:sz="8" w:space="0" w:color="000000"/>
            </w:tcBorders>
            <w:shd w:val="clear" w:color="auto" w:fill="FBE4D5"/>
            <w:vAlign w:val="center"/>
          </w:tcPr>
          <w:p w:rsidR="00774BBC" w:rsidP="008621E7" w14:paraId="4F14C7F9"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4227"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774BBC" w:rsidP="008621E7" w14:paraId="6B486A34" w14:textId="77777777">
            <w:pPr>
              <w:widowControl/>
              <w:pBdr>
                <w:top w:val="nil"/>
                <w:left w:val="nil"/>
                <w:bottom w:val="nil"/>
                <w:right w:val="nil"/>
                <w:between w:val="nil"/>
              </w:pBdr>
              <w:spacing w:line="276" w:lineRule="auto"/>
              <w:rPr>
                <w:rFonts w:ascii="Calibri" w:eastAsia="Calibri" w:hAnsi="Calibri" w:cs="Calibri"/>
                <w:color w:val="000000"/>
                <w:sz w:val="16"/>
                <w:szCs w:val="16"/>
              </w:rPr>
            </w:pPr>
          </w:p>
        </w:tc>
      </w:tr>
      <w:tr w14:paraId="7873BF03" w14:textId="381137CD" w:rsidTr="00E63AD2">
        <w:tblPrEx>
          <w:tblW w:w="10697" w:type="dxa"/>
          <w:jc w:val="center"/>
          <w:tblLayout w:type="fixed"/>
          <w:tblLook w:val="0400"/>
        </w:tblPrEx>
        <w:trPr>
          <w:trHeight w:val="259"/>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E63AD2" w:rsidRPr="00E63AD2" w:rsidP="00F06182" w14:paraId="287443E0" w14:textId="475E0448">
            <w:pPr>
              <w:widowControl/>
              <w:rPr>
                <w:rFonts w:eastAsia="Calibri" w:asciiTheme="minorHAnsi" w:hAnsiTheme="minorHAnsi" w:cstheme="minorHAnsi"/>
                <w:sz w:val="18"/>
                <w:szCs w:val="18"/>
              </w:rPr>
            </w:pPr>
            <w:r w:rsidRPr="00E63AD2">
              <w:rPr>
                <w:rFonts w:asciiTheme="minorHAnsi" w:hAnsiTheme="minorHAnsi" w:cstheme="minorHAnsi"/>
                <w:color w:val="000000"/>
                <w:sz w:val="18"/>
                <w:szCs w:val="18"/>
              </w:rPr>
              <w:t>VMS installation of new units</w:t>
            </w:r>
          </w:p>
        </w:tc>
        <w:tc>
          <w:tcPr>
            <w:tcW w:w="800" w:type="dxa"/>
            <w:tcBorders>
              <w:top w:val="nil"/>
              <w:left w:val="nil"/>
              <w:bottom w:val="single" w:sz="4" w:space="0" w:color="auto"/>
              <w:right w:val="dashed" w:sz="8" w:space="0" w:color="000000"/>
            </w:tcBorders>
            <w:shd w:val="clear" w:color="auto" w:fill="auto"/>
            <w:vAlign w:val="center"/>
          </w:tcPr>
          <w:p w:rsidR="00E63AD2" w:rsidRPr="00E63AD2" w:rsidP="00E63AD2" w14:paraId="0F5CAFA3" w14:textId="6C0994F2">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810" w:type="dxa"/>
            <w:tcBorders>
              <w:top w:val="nil"/>
              <w:left w:val="nil"/>
              <w:bottom w:val="single" w:sz="4" w:space="0" w:color="auto"/>
              <w:right w:val="single" w:sz="8" w:space="0" w:color="000000"/>
            </w:tcBorders>
            <w:shd w:val="clear" w:color="auto" w:fill="auto"/>
            <w:vAlign w:val="center"/>
          </w:tcPr>
          <w:p w:rsidR="00E63AD2" w:rsidRPr="00E63AD2" w:rsidP="00E63AD2" w14:paraId="71CAA9B9" w14:textId="5BD04DB8">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w:t>
            </w:r>
          </w:p>
        </w:tc>
        <w:tc>
          <w:tcPr>
            <w:tcW w:w="1170" w:type="dxa"/>
            <w:tcBorders>
              <w:top w:val="nil"/>
              <w:left w:val="nil"/>
              <w:bottom w:val="single" w:sz="4" w:space="0" w:color="auto"/>
              <w:right w:val="dashed" w:sz="8" w:space="0" w:color="000000"/>
            </w:tcBorders>
            <w:shd w:val="clear" w:color="auto" w:fill="auto"/>
            <w:vAlign w:val="center"/>
          </w:tcPr>
          <w:p w:rsidR="00E63AD2" w:rsidRPr="00E63AD2" w:rsidP="00E63AD2" w14:paraId="06DE102D" w14:textId="3E6D8C41">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1170" w:type="dxa"/>
            <w:tcBorders>
              <w:top w:val="nil"/>
              <w:left w:val="nil"/>
              <w:bottom w:val="single" w:sz="4" w:space="0" w:color="auto"/>
              <w:right w:val="single" w:sz="8" w:space="0" w:color="000000"/>
            </w:tcBorders>
            <w:shd w:val="clear" w:color="auto" w:fill="auto"/>
            <w:vAlign w:val="center"/>
          </w:tcPr>
          <w:p w:rsidR="00E63AD2" w:rsidRPr="00E63AD2" w:rsidP="00E63AD2" w14:paraId="101F4C77" w14:textId="38806789">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w:t>
            </w:r>
          </w:p>
        </w:tc>
        <w:tc>
          <w:tcPr>
            <w:tcW w:w="4227" w:type="dxa"/>
            <w:tcBorders>
              <w:top w:val="nil"/>
              <w:left w:val="nil"/>
              <w:bottom w:val="single" w:sz="4" w:space="0" w:color="auto"/>
              <w:right w:val="single" w:sz="8" w:space="0" w:color="000000"/>
            </w:tcBorders>
            <w:shd w:val="clear" w:color="auto" w:fill="auto"/>
            <w:vAlign w:val="center"/>
          </w:tcPr>
          <w:p w:rsidR="00E63AD2" w:rsidRPr="00E63AD2" w:rsidP="00F06182" w14:paraId="1BC53AF6" w14:textId="647EC0FF">
            <w:pPr>
              <w:widowControl/>
              <w:rPr>
                <w:rFonts w:ascii="Calibri" w:eastAsia="Calibri" w:hAnsi="Calibri" w:cs="Calibri"/>
                <w:color w:val="000000"/>
                <w:sz w:val="18"/>
                <w:szCs w:val="18"/>
              </w:rPr>
            </w:pPr>
            <w:r w:rsidRPr="00E63AD2">
              <w:rPr>
                <w:rFonts w:ascii="Calibri" w:eastAsia="Calibri" w:hAnsi="Calibri" w:cs="Calibri"/>
                <w:color w:val="000000"/>
                <w:sz w:val="18"/>
                <w:szCs w:val="18"/>
              </w:rPr>
              <w:t xml:space="preserve">The rule adds vessels that </w:t>
            </w:r>
            <w:r>
              <w:rPr>
                <w:rFonts w:ascii="Calibri" w:eastAsia="Calibri" w:hAnsi="Calibri" w:cs="Calibri"/>
                <w:color w:val="000000"/>
                <w:sz w:val="18"/>
                <w:szCs w:val="18"/>
              </w:rPr>
              <w:t>are expected to install VMS. N</w:t>
            </w:r>
            <w:r w:rsidRPr="00E63AD2">
              <w:rPr>
                <w:rFonts w:ascii="Calibri" w:eastAsia="Calibri" w:hAnsi="Calibri" w:cs="Calibri"/>
                <w:color w:val="000000"/>
                <w:sz w:val="18"/>
                <w:szCs w:val="18"/>
              </w:rPr>
              <w:t>o new installations were expected</w:t>
            </w:r>
            <w:r>
              <w:rPr>
                <w:rFonts w:ascii="Calibri" w:eastAsia="Calibri" w:hAnsi="Calibri" w:cs="Calibri"/>
                <w:color w:val="000000"/>
                <w:sz w:val="18"/>
                <w:szCs w:val="18"/>
              </w:rPr>
              <w:t xml:space="preserve"> during the last renewal period</w:t>
            </w:r>
            <w:r w:rsidRPr="00E63AD2">
              <w:rPr>
                <w:rFonts w:ascii="Calibri" w:eastAsia="Calibri" w:hAnsi="Calibri" w:cs="Calibri"/>
                <w:color w:val="000000"/>
                <w:sz w:val="18"/>
                <w:szCs w:val="18"/>
              </w:rPr>
              <w:t>.</w:t>
            </w:r>
            <w:r w:rsidR="00F06182">
              <w:rPr>
                <w:rFonts w:ascii="Calibri" w:eastAsia="Calibri" w:hAnsi="Calibri" w:cs="Calibri"/>
                <w:color w:val="000000"/>
                <w:sz w:val="18"/>
                <w:szCs w:val="18"/>
              </w:rPr>
              <w:t xml:space="preserve"> (program change)</w:t>
            </w:r>
          </w:p>
        </w:tc>
      </w:tr>
      <w:tr w14:paraId="65754F99" w14:textId="77777777" w:rsidTr="00E63AD2">
        <w:tblPrEx>
          <w:tblW w:w="10697" w:type="dxa"/>
          <w:jc w:val="center"/>
          <w:tblLayout w:type="fixed"/>
          <w:tblLook w:val="0400"/>
        </w:tblPrEx>
        <w:trPr>
          <w:trHeight w:val="259"/>
          <w:jc w:val="center"/>
        </w:trPr>
        <w:tc>
          <w:tcPr>
            <w:tcW w:w="2520" w:type="dxa"/>
            <w:tcBorders>
              <w:top w:val="single" w:sz="4" w:space="0" w:color="000000"/>
              <w:left w:val="single" w:sz="4" w:space="0" w:color="000000"/>
              <w:bottom w:val="single" w:sz="4" w:space="0" w:color="000000"/>
              <w:right w:val="single" w:sz="4" w:space="0" w:color="000000"/>
            </w:tcBorders>
            <w:vAlign w:val="center"/>
          </w:tcPr>
          <w:p w:rsidR="00E63AD2" w:rsidRPr="00E63AD2" w:rsidP="00F06182" w14:paraId="4F5089E0" w14:textId="7B65583A">
            <w:pPr>
              <w:widowControl/>
              <w:rPr>
                <w:rFonts w:ascii="Calibri" w:eastAsia="Calibri" w:hAnsi="Calibri" w:cs="Calibri"/>
                <w:color w:val="000000"/>
                <w:sz w:val="18"/>
                <w:szCs w:val="18"/>
              </w:rPr>
            </w:pPr>
            <w:r w:rsidRPr="00E63AD2">
              <w:rPr>
                <w:rFonts w:asciiTheme="minorHAnsi" w:hAnsiTheme="minorHAnsi" w:cstheme="minorHAnsi"/>
                <w:color w:val="000000"/>
                <w:sz w:val="18"/>
                <w:szCs w:val="18"/>
              </w:rPr>
              <w:t xml:space="preserve">VMS installation of </w:t>
            </w:r>
            <w:r w:rsidR="00F06182">
              <w:rPr>
                <w:rFonts w:asciiTheme="minorHAnsi" w:hAnsiTheme="minorHAnsi" w:cstheme="minorHAnsi"/>
                <w:color w:val="000000"/>
                <w:sz w:val="18"/>
                <w:szCs w:val="18"/>
              </w:rPr>
              <w:t>r</w:t>
            </w:r>
            <w:r w:rsidRPr="00E63AD2">
              <w:rPr>
                <w:rFonts w:asciiTheme="minorHAnsi" w:hAnsiTheme="minorHAnsi" w:cstheme="minorHAnsi"/>
                <w:color w:val="000000"/>
                <w:sz w:val="18"/>
                <w:szCs w:val="18"/>
              </w:rPr>
              <w:t>eplacement units</w:t>
            </w:r>
          </w:p>
        </w:tc>
        <w:tc>
          <w:tcPr>
            <w:tcW w:w="800" w:type="dxa"/>
            <w:tcBorders>
              <w:top w:val="nil"/>
              <w:left w:val="nil"/>
              <w:bottom w:val="single" w:sz="4" w:space="0" w:color="auto"/>
              <w:right w:val="dashed" w:sz="8" w:space="0" w:color="000000"/>
            </w:tcBorders>
            <w:shd w:val="clear" w:color="auto" w:fill="auto"/>
            <w:vAlign w:val="center"/>
          </w:tcPr>
          <w:p w:rsidR="00E63AD2" w:rsidRPr="00E63AD2" w:rsidP="00E63AD2" w14:paraId="5FC647D1" w14:textId="4BC50058">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810" w:type="dxa"/>
            <w:tcBorders>
              <w:top w:val="nil"/>
              <w:left w:val="nil"/>
              <w:bottom w:val="single" w:sz="4" w:space="0" w:color="auto"/>
              <w:right w:val="single" w:sz="8" w:space="0" w:color="000000"/>
            </w:tcBorders>
            <w:shd w:val="clear" w:color="auto" w:fill="auto"/>
            <w:vAlign w:val="center"/>
          </w:tcPr>
          <w:p w:rsidR="00E63AD2" w:rsidRPr="00E63AD2" w:rsidP="00E63AD2" w14:paraId="54BDF6EA" w14:textId="1EBCB4B2">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1170" w:type="dxa"/>
            <w:tcBorders>
              <w:top w:val="nil"/>
              <w:left w:val="nil"/>
              <w:bottom w:val="single" w:sz="4" w:space="0" w:color="auto"/>
              <w:right w:val="dashed" w:sz="8" w:space="0" w:color="000000"/>
            </w:tcBorders>
            <w:shd w:val="clear" w:color="auto" w:fill="auto"/>
            <w:vAlign w:val="center"/>
          </w:tcPr>
          <w:p w:rsidR="00E63AD2" w:rsidRPr="00E63AD2" w:rsidP="00E63AD2" w14:paraId="16B64E9F" w14:textId="4E0D5BB0">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102,300</w:t>
            </w:r>
          </w:p>
        </w:tc>
        <w:tc>
          <w:tcPr>
            <w:tcW w:w="1170" w:type="dxa"/>
            <w:tcBorders>
              <w:top w:val="nil"/>
              <w:left w:val="nil"/>
              <w:bottom w:val="single" w:sz="4" w:space="0" w:color="auto"/>
              <w:right w:val="single" w:sz="8" w:space="0" w:color="000000"/>
            </w:tcBorders>
            <w:shd w:val="clear" w:color="auto" w:fill="auto"/>
            <w:vAlign w:val="center"/>
          </w:tcPr>
          <w:p w:rsidR="00E63AD2" w:rsidRPr="00E63AD2" w:rsidP="00E63AD2" w14:paraId="6AF2D48B" w14:textId="3DEEB331">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102,300</w:t>
            </w:r>
          </w:p>
        </w:tc>
        <w:tc>
          <w:tcPr>
            <w:tcW w:w="4227" w:type="dxa"/>
            <w:tcBorders>
              <w:top w:val="nil"/>
              <w:left w:val="nil"/>
              <w:bottom w:val="single" w:sz="4" w:space="0" w:color="auto"/>
              <w:right w:val="single" w:sz="8" w:space="0" w:color="000000"/>
            </w:tcBorders>
            <w:shd w:val="clear" w:color="auto" w:fill="auto"/>
            <w:vAlign w:val="center"/>
          </w:tcPr>
          <w:p w:rsidR="00E63AD2" w:rsidRPr="00E63AD2" w:rsidP="00E63AD2" w14:paraId="00D0CDD7" w14:textId="0203E109">
            <w:pPr>
              <w:widowControl/>
              <w:rPr>
                <w:rFonts w:ascii="Calibri" w:eastAsia="Calibri" w:hAnsi="Calibri" w:cs="Calibri"/>
                <w:color w:val="000000"/>
                <w:sz w:val="18"/>
                <w:szCs w:val="18"/>
              </w:rPr>
            </w:pPr>
            <w:r w:rsidRPr="00E63AD2">
              <w:rPr>
                <w:rFonts w:ascii="Calibri" w:eastAsia="Calibri" w:hAnsi="Calibri" w:cs="Calibri"/>
                <w:color w:val="000000"/>
                <w:sz w:val="18"/>
                <w:szCs w:val="18"/>
              </w:rPr>
              <w:t>No change</w:t>
            </w:r>
          </w:p>
        </w:tc>
      </w:tr>
      <w:tr w14:paraId="22298C32" w14:textId="77777777" w:rsidTr="00E63AD2">
        <w:tblPrEx>
          <w:tblW w:w="10697" w:type="dxa"/>
          <w:jc w:val="center"/>
          <w:tblLayout w:type="fixed"/>
          <w:tblLook w:val="0400"/>
        </w:tblPrEx>
        <w:trPr>
          <w:trHeight w:val="259"/>
          <w:jc w:val="center"/>
        </w:trPr>
        <w:tc>
          <w:tcPr>
            <w:tcW w:w="2520" w:type="dxa"/>
            <w:tcBorders>
              <w:top w:val="nil"/>
              <w:left w:val="single" w:sz="4" w:space="0" w:color="auto"/>
              <w:bottom w:val="single" w:sz="4" w:space="0" w:color="auto"/>
              <w:right w:val="single" w:sz="4" w:space="0" w:color="auto"/>
            </w:tcBorders>
            <w:shd w:val="clear" w:color="auto" w:fill="auto"/>
            <w:vAlign w:val="center"/>
          </w:tcPr>
          <w:p w:rsidR="000A143D" w:rsidRPr="00E63AD2" w:rsidP="000A143D" w14:paraId="607B9E03" w14:textId="3A2BABB4">
            <w:pPr>
              <w:widowControl/>
              <w:rPr>
                <w:rFonts w:ascii="Calibri" w:eastAsia="Calibri" w:hAnsi="Calibri" w:cs="Calibri"/>
                <w:color w:val="000000"/>
                <w:sz w:val="18"/>
                <w:szCs w:val="18"/>
              </w:rPr>
            </w:pPr>
            <w:r w:rsidRPr="00E63AD2">
              <w:rPr>
                <w:rFonts w:eastAsia="Calibri" w:asciiTheme="minorHAnsi" w:hAnsiTheme="minorHAnsi" w:cstheme="minorHAnsi"/>
                <w:sz w:val="18"/>
                <w:szCs w:val="18"/>
              </w:rPr>
              <w:t>VMS daily transmission costs</w:t>
            </w:r>
          </w:p>
        </w:tc>
        <w:tc>
          <w:tcPr>
            <w:tcW w:w="800" w:type="dxa"/>
            <w:tcBorders>
              <w:top w:val="single" w:sz="4" w:space="0" w:color="auto"/>
              <w:left w:val="nil"/>
              <w:bottom w:val="single" w:sz="4" w:space="0" w:color="auto"/>
              <w:right w:val="dashed" w:sz="8" w:space="0" w:color="000000"/>
            </w:tcBorders>
            <w:shd w:val="clear" w:color="auto" w:fill="auto"/>
            <w:vAlign w:val="center"/>
          </w:tcPr>
          <w:p w:rsidR="000A143D" w:rsidRPr="00E63AD2" w:rsidP="000A143D" w14:paraId="0169C0F2" w14:textId="1A6CEA71">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810" w:type="dxa"/>
            <w:tcBorders>
              <w:top w:val="single" w:sz="4" w:space="0" w:color="auto"/>
              <w:left w:val="nil"/>
              <w:bottom w:val="single" w:sz="4" w:space="0" w:color="auto"/>
              <w:right w:val="single" w:sz="8" w:space="0" w:color="000000"/>
            </w:tcBorders>
            <w:shd w:val="clear" w:color="auto" w:fill="auto"/>
            <w:vAlign w:val="center"/>
          </w:tcPr>
          <w:p w:rsidR="000A143D" w:rsidRPr="00E63AD2" w:rsidP="000A143D" w14:paraId="511BADF3" w14:textId="607A8FEE">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1170" w:type="dxa"/>
            <w:tcBorders>
              <w:top w:val="single" w:sz="4" w:space="0" w:color="auto"/>
              <w:left w:val="nil"/>
              <w:bottom w:val="single" w:sz="4" w:space="0" w:color="auto"/>
              <w:right w:val="dashed" w:sz="8" w:space="0" w:color="000000"/>
            </w:tcBorders>
            <w:shd w:val="clear" w:color="auto" w:fill="auto"/>
            <w:vAlign w:val="center"/>
          </w:tcPr>
          <w:p w:rsidR="000A143D" w:rsidRPr="00E63AD2" w:rsidP="000A143D" w14:paraId="2DED194C" w14:textId="4F74DF2D">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474,480</w:t>
            </w:r>
          </w:p>
        </w:tc>
        <w:tc>
          <w:tcPr>
            <w:tcW w:w="1170" w:type="dxa"/>
            <w:tcBorders>
              <w:top w:val="single" w:sz="4" w:space="0" w:color="auto"/>
              <w:left w:val="nil"/>
              <w:bottom w:val="single" w:sz="4" w:space="0" w:color="auto"/>
              <w:right w:val="single" w:sz="8" w:space="0" w:color="000000"/>
            </w:tcBorders>
            <w:shd w:val="clear" w:color="auto" w:fill="auto"/>
            <w:vAlign w:val="center"/>
          </w:tcPr>
          <w:p w:rsidR="000A143D" w:rsidRPr="00E63AD2" w:rsidP="000A143D" w14:paraId="7BF04BA0" w14:textId="62DD390B">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396,000</w:t>
            </w:r>
          </w:p>
        </w:tc>
        <w:tc>
          <w:tcPr>
            <w:tcW w:w="4227" w:type="dxa"/>
            <w:tcBorders>
              <w:top w:val="single" w:sz="4" w:space="0" w:color="auto"/>
              <w:left w:val="nil"/>
              <w:bottom w:val="single" w:sz="4" w:space="0" w:color="auto"/>
              <w:right w:val="single" w:sz="8" w:space="0" w:color="000000"/>
            </w:tcBorders>
            <w:shd w:val="clear" w:color="auto" w:fill="auto"/>
            <w:vAlign w:val="center"/>
          </w:tcPr>
          <w:p w:rsidR="000A143D" w:rsidRPr="00E63AD2" w:rsidP="00845DBB" w14:paraId="4C924338" w14:textId="15E7B89F">
            <w:pPr>
              <w:widowControl/>
              <w:rPr>
                <w:rFonts w:ascii="Calibri" w:eastAsia="Calibri" w:hAnsi="Calibri" w:cs="Calibri"/>
                <w:color w:val="000000"/>
                <w:sz w:val="18"/>
                <w:szCs w:val="18"/>
              </w:rPr>
            </w:pPr>
            <w:r w:rsidRPr="00E63AD2">
              <w:rPr>
                <w:rFonts w:ascii="Calibri" w:eastAsia="Calibri" w:hAnsi="Calibri" w:cs="Calibri"/>
                <w:color w:val="000000"/>
                <w:sz w:val="18"/>
                <w:szCs w:val="18"/>
              </w:rPr>
              <w:t xml:space="preserve">The rule increases the </w:t>
            </w:r>
            <w:r w:rsidRPr="00E63AD2" w:rsidR="00845DBB">
              <w:rPr>
                <w:rFonts w:ascii="Calibri" w:eastAsia="Calibri" w:hAnsi="Calibri" w:cs="Calibri"/>
                <w:color w:val="000000"/>
                <w:sz w:val="18"/>
                <w:szCs w:val="18"/>
              </w:rPr>
              <w:t xml:space="preserve">annual </w:t>
            </w:r>
            <w:r w:rsidRPr="00E63AD2">
              <w:rPr>
                <w:rFonts w:ascii="Calibri" w:eastAsia="Calibri" w:hAnsi="Calibri" w:cs="Calibri"/>
                <w:color w:val="000000"/>
                <w:sz w:val="18"/>
                <w:szCs w:val="18"/>
              </w:rPr>
              <w:t xml:space="preserve">number of vessels that </w:t>
            </w:r>
            <w:r w:rsidRPr="00E63AD2" w:rsidR="00845DBB">
              <w:rPr>
                <w:rFonts w:ascii="Calibri" w:eastAsia="Calibri" w:hAnsi="Calibri" w:cs="Calibri"/>
                <w:color w:val="000000"/>
                <w:sz w:val="18"/>
                <w:szCs w:val="18"/>
              </w:rPr>
              <w:t>would</w:t>
            </w:r>
            <w:r w:rsidRPr="00E63AD2">
              <w:rPr>
                <w:rFonts w:ascii="Calibri" w:eastAsia="Calibri" w:hAnsi="Calibri" w:cs="Calibri"/>
                <w:color w:val="000000"/>
                <w:sz w:val="18"/>
                <w:szCs w:val="18"/>
              </w:rPr>
              <w:t xml:space="preserve"> be </w:t>
            </w:r>
            <w:r w:rsidRPr="00E63AD2" w:rsidR="00845DBB">
              <w:rPr>
                <w:rFonts w:ascii="Calibri" w:eastAsia="Calibri" w:hAnsi="Calibri" w:cs="Calibri"/>
                <w:color w:val="000000"/>
                <w:sz w:val="18"/>
                <w:szCs w:val="18"/>
              </w:rPr>
              <w:t>expected to have transmission costs</w:t>
            </w:r>
            <w:r w:rsidRPr="00E63AD2">
              <w:rPr>
                <w:rFonts w:ascii="Calibri" w:eastAsia="Calibri" w:hAnsi="Calibri" w:cs="Calibri"/>
                <w:color w:val="000000"/>
                <w:sz w:val="18"/>
                <w:szCs w:val="18"/>
              </w:rPr>
              <w:t xml:space="preserve"> (program change)</w:t>
            </w:r>
            <w:r w:rsidRPr="00E63AD2" w:rsidR="00845DBB">
              <w:rPr>
                <w:rFonts w:ascii="Calibri" w:eastAsia="Calibri" w:hAnsi="Calibri" w:cs="Calibri"/>
                <w:color w:val="000000"/>
                <w:sz w:val="18"/>
                <w:szCs w:val="18"/>
              </w:rPr>
              <w:t>,</w:t>
            </w:r>
            <w:r w:rsidRPr="00E63AD2">
              <w:rPr>
                <w:rFonts w:ascii="Calibri" w:eastAsia="Calibri" w:hAnsi="Calibri" w:cs="Calibri"/>
                <w:color w:val="000000"/>
                <w:sz w:val="18"/>
                <w:szCs w:val="18"/>
              </w:rPr>
              <w:t xml:space="preserve"> and there was a small increase in the average number of vessels </w:t>
            </w:r>
            <w:r w:rsidRPr="00E63AD2" w:rsidR="00845DBB">
              <w:rPr>
                <w:rFonts w:ascii="Calibri" w:eastAsia="Calibri" w:hAnsi="Calibri" w:cs="Calibri"/>
                <w:color w:val="000000"/>
                <w:sz w:val="18"/>
                <w:szCs w:val="18"/>
              </w:rPr>
              <w:t>that currently have transmission costs</w:t>
            </w:r>
            <w:r w:rsidRPr="00E63AD2">
              <w:rPr>
                <w:rFonts w:ascii="Calibri" w:eastAsia="Calibri" w:hAnsi="Calibri" w:cs="Calibri"/>
                <w:color w:val="000000"/>
                <w:sz w:val="18"/>
                <w:szCs w:val="18"/>
              </w:rPr>
              <w:t xml:space="preserve"> (adjustment).</w:t>
            </w:r>
          </w:p>
        </w:tc>
      </w:tr>
      <w:tr w14:paraId="6B89DC90" w14:textId="77777777" w:rsidTr="00E63AD2">
        <w:tblPrEx>
          <w:tblW w:w="10697" w:type="dxa"/>
          <w:jc w:val="center"/>
          <w:tblLayout w:type="fixed"/>
          <w:tblLook w:val="0400"/>
        </w:tblPrEx>
        <w:trPr>
          <w:trHeight w:val="259"/>
          <w:jc w:val="center"/>
        </w:trPr>
        <w:tc>
          <w:tcPr>
            <w:tcW w:w="2520" w:type="dxa"/>
            <w:tcBorders>
              <w:top w:val="nil"/>
              <w:left w:val="single" w:sz="4" w:space="0" w:color="auto"/>
              <w:bottom w:val="single" w:sz="4" w:space="0" w:color="auto"/>
              <w:right w:val="single" w:sz="4" w:space="0" w:color="auto"/>
            </w:tcBorders>
            <w:shd w:val="clear" w:color="auto" w:fill="auto"/>
            <w:vAlign w:val="center"/>
          </w:tcPr>
          <w:p w:rsidR="000A143D" w:rsidRPr="00E63AD2" w:rsidP="000A143D" w14:paraId="2EF40D44" w14:textId="3866F7C6">
            <w:pPr>
              <w:widowControl/>
              <w:rPr>
                <w:rFonts w:ascii="Calibri" w:eastAsia="Calibri" w:hAnsi="Calibri" w:cs="Calibri"/>
                <w:color w:val="000000"/>
                <w:sz w:val="18"/>
                <w:szCs w:val="18"/>
              </w:rPr>
            </w:pPr>
            <w:r w:rsidRPr="00E63AD2">
              <w:rPr>
                <w:rFonts w:eastAsia="Calibri" w:asciiTheme="minorHAnsi" w:hAnsiTheme="minorHAnsi" w:cstheme="minorHAnsi"/>
                <w:sz w:val="18"/>
                <w:szCs w:val="18"/>
              </w:rPr>
              <w:t>VMS installation, maintenance, and troubleshooting</w:t>
            </w:r>
          </w:p>
        </w:tc>
        <w:tc>
          <w:tcPr>
            <w:tcW w:w="800" w:type="dxa"/>
            <w:tcBorders>
              <w:top w:val="single" w:sz="4" w:space="0" w:color="auto"/>
              <w:left w:val="nil"/>
              <w:bottom w:val="single" w:sz="4" w:space="0" w:color="auto"/>
              <w:right w:val="dashed" w:sz="8" w:space="0" w:color="000000"/>
            </w:tcBorders>
            <w:shd w:val="clear" w:color="auto" w:fill="auto"/>
            <w:vAlign w:val="center"/>
          </w:tcPr>
          <w:p w:rsidR="000A143D" w:rsidRPr="00E63AD2" w:rsidP="000A143D" w14:paraId="63ADBEE5" w14:textId="1D3DA915">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810" w:type="dxa"/>
            <w:tcBorders>
              <w:top w:val="single" w:sz="4" w:space="0" w:color="auto"/>
              <w:left w:val="nil"/>
              <w:bottom w:val="single" w:sz="4" w:space="0" w:color="auto"/>
              <w:right w:val="single" w:sz="8" w:space="0" w:color="000000"/>
            </w:tcBorders>
            <w:shd w:val="clear" w:color="auto" w:fill="auto"/>
            <w:vAlign w:val="center"/>
          </w:tcPr>
          <w:p w:rsidR="000A143D" w:rsidRPr="00E63AD2" w:rsidP="000A143D" w14:paraId="1B814530" w14:textId="3E4E5FF5">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0</w:t>
            </w:r>
          </w:p>
        </w:tc>
        <w:tc>
          <w:tcPr>
            <w:tcW w:w="1170" w:type="dxa"/>
            <w:tcBorders>
              <w:top w:val="single" w:sz="4" w:space="0" w:color="auto"/>
              <w:left w:val="nil"/>
              <w:bottom w:val="single" w:sz="4" w:space="0" w:color="auto"/>
              <w:right w:val="dashed" w:sz="8" w:space="0" w:color="000000"/>
            </w:tcBorders>
            <w:shd w:val="clear" w:color="auto" w:fill="auto"/>
            <w:vAlign w:val="center"/>
          </w:tcPr>
          <w:p w:rsidR="000A143D" w:rsidRPr="00E63AD2" w:rsidP="000A143D" w14:paraId="49480ECA" w14:textId="02399B20">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397,056</w:t>
            </w:r>
          </w:p>
        </w:tc>
        <w:tc>
          <w:tcPr>
            <w:tcW w:w="1170" w:type="dxa"/>
            <w:tcBorders>
              <w:top w:val="single" w:sz="4" w:space="0" w:color="auto"/>
              <w:left w:val="nil"/>
              <w:bottom w:val="single" w:sz="4" w:space="0" w:color="auto"/>
              <w:right w:val="single" w:sz="8" w:space="0" w:color="000000"/>
            </w:tcBorders>
            <w:shd w:val="clear" w:color="auto" w:fill="auto"/>
            <w:vAlign w:val="center"/>
          </w:tcPr>
          <w:p w:rsidR="000A143D" w:rsidRPr="00E63AD2" w:rsidP="000A143D" w14:paraId="6C6C38BE" w14:textId="0C76AB07">
            <w:pPr>
              <w:widowControl/>
              <w:jc w:val="center"/>
              <w:rPr>
                <w:rFonts w:ascii="Calibri" w:eastAsia="Calibri" w:hAnsi="Calibri" w:cs="Calibri"/>
                <w:color w:val="000000"/>
                <w:sz w:val="18"/>
                <w:szCs w:val="18"/>
              </w:rPr>
            </w:pPr>
            <w:r w:rsidRPr="00E63AD2">
              <w:rPr>
                <w:rFonts w:ascii="Calibri" w:eastAsia="Calibri" w:hAnsi="Calibri" w:cs="Calibri"/>
                <w:color w:val="000000"/>
                <w:sz w:val="18"/>
                <w:szCs w:val="18"/>
              </w:rPr>
              <w:t>314,368</w:t>
            </w:r>
          </w:p>
        </w:tc>
        <w:tc>
          <w:tcPr>
            <w:tcW w:w="4227" w:type="dxa"/>
            <w:tcBorders>
              <w:top w:val="single" w:sz="4" w:space="0" w:color="auto"/>
              <w:left w:val="nil"/>
              <w:bottom w:val="single" w:sz="4" w:space="0" w:color="auto"/>
              <w:right w:val="single" w:sz="8" w:space="0" w:color="000000"/>
            </w:tcBorders>
            <w:shd w:val="clear" w:color="auto" w:fill="auto"/>
            <w:vAlign w:val="center"/>
          </w:tcPr>
          <w:p w:rsidR="000A143D" w:rsidRPr="00E63AD2" w:rsidP="00AC6B38" w14:paraId="0EC9B74E" w14:textId="427E3003">
            <w:pPr>
              <w:widowControl/>
              <w:rPr>
                <w:rFonts w:ascii="Calibri" w:eastAsia="Calibri" w:hAnsi="Calibri" w:cs="Calibri"/>
                <w:color w:val="000000"/>
                <w:sz w:val="18"/>
                <w:szCs w:val="18"/>
              </w:rPr>
            </w:pPr>
            <w:r w:rsidRPr="00E63AD2">
              <w:rPr>
                <w:rFonts w:ascii="Calibri" w:eastAsia="Calibri" w:hAnsi="Calibri" w:cs="Calibri"/>
                <w:color w:val="000000"/>
                <w:sz w:val="18"/>
                <w:szCs w:val="18"/>
              </w:rPr>
              <w:t xml:space="preserve">The rule increases the number of vessels annually that </w:t>
            </w:r>
            <w:r w:rsidRPr="00E63AD2" w:rsidR="00845DBB">
              <w:rPr>
                <w:rFonts w:ascii="Calibri" w:eastAsia="Calibri" w:hAnsi="Calibri" w:cs="Calibri"/>
                <w:color w:val="000000"/>
                <w:sz w:val="18"/>
                <w:szCs w:val="18"/>
              </w:rPr>
              <w:t>would</w:t>
            </w:r>
            <w:r w:rsidRPr="00E63AD2">
              <w:rPr>
                <w:rFonts w:ascii="Calibri" w:eastAsia="Calibri" w:hAnsi="Calibri" w:cs="Calibri"/>
                <w:color w:val="000000"/>
                <w:sz w:val="18"/>
                <w:szCs w:val="18"/>
              </w:rPr>
              <w:t xml:space="preserve"> be expected to hire a technician to install, maintain, and troubleshoot VMS units (program change</w:t>
            </w:r>
            <w:r w:rsidRPr="00E63AD2" w:rsidR="00AC6B38">
              <w:rPr>
                <w:rFonts w:ascii="Calibri" w:eastAsia="Calibri" w:hAnsi="Calibri" w:cs="Calibri"/>
                <w:color w:val="000000"/>
                <w:sz w:val="18"/>
                <w:szCs w:val="18"/>
              </w:rPr>
              <w:t>).</w:t>
            </w:r>
          </w:p>
        </w:tc>
      </w:tr>
      <w:tr w14:paraId="4FA00B90" w14:textId="77777777" w:rsidTr="00E63AD2">
        <w:tblPrEx>
          <w:tblW w:w="10697" w:type="dxa"/>
          <w:jc w:val="center"/>
          <w:tblLayout w:type="fixed"/>
          <w:tblLook w:val="0400"/>
        </w:tblPrEx>
        <w:trPr>
          <w:trHeight w:val="310"/>
          <w:jc w:val="center"/>
        </w:trPr>
        <w:tc>
          <w:tcPr>
            <w:tcW w:w="2520" w:type="dxa"/>
            <w:tcBorders>
              <w:top w:val="nil"/>
              <w:left w:val="single" w:sz="8" w:space="0" w:color="000000"/>
              <w:bottom w:val="nil"/>
              <w:right w:val="single" w:sz="8" w:space="0" w:color="000000"/>
            </w:tcBorders>
            <w:shd w:val="clear" w:color="auto" w:fill="BDD6EE"/>
            <w:vAlign w:val="center"/>
          </w:tcPr>
          <w:p w:rsidR="00774BBC" w:rsidRPr="00E63AD2" w:rsidP="008621E7" w14:paraId="3C7105E9" w14:textId="77777777">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Total for Collection</w:t>
            </w:r>
          </w:p>
        </w:tc>
        <w:tc>
          <w:tcPr>
            <w:tcW w:w="800" w:type="dxa"/>
            <w:tcBorders>
              <w:top w:val="single" w:sz="4" w:space="0" w:color="auto"/>
              <w:left w:val="nil"/>
              <w:bottom w:val="nil"/>
              <w:right w:val="dashed" w:sz="8" w:space="0" w:color="000000"/>
            </w:tcBorders>
            <w:shd w:val="clear" w:color="auto" w:fill="BDD6EE"/>
            <w:vAlign w:val="center"/>
          </w:tcPr>
          <w:p w:rsidR="00774BBC" w:rsidRPr="00E63AD2" w:rsidP="008621E7" w14:paraId="56FC99AE" w14:textId="2D2AAD14">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$0</w:t>
            </w:r>
          </w:p>
        </w:tc>
        <w:tc>
          <w:tcPr>
            <w:tcW w:w="810" w:type="dxa"/>
            <w:tcBorders>
              <w:top w:val="single" w:sz="4" w:space="0" w:color="auto"/>
              <w:left w:val="nil"/>
              <w:bottom w:val="nil"/>
              <w:right w:val="single" w:sz="8" w:space="0" w:color="000000"/>
            </w:tcBorders>
            <w:shd w:val="clear" w:color="auto" w:fill="BDD6EE"/>
            <w:vAlign w:val="center"/>
          </w:tcPr>
          <w:p w:rsidR="00774BBC" w:rsidRPr="00E63AD2" w:rsidP="008621E7" w14:paraId="33A0807A" w14:textId="5B041968">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$0</w:t>
            </w:r>
          </w:p>
        </w:tc>
        <w:tc>
          <w:tcPr>
            <w:tcW w:w="1170" w:type="dxa"/>
            <w:tcBorders>
              <w:top w:val="single" w:sz="4" w:space="0" w:color="auto"/>
              <w:left w:val="nil"/>
              <w:bottom w:val="nil"/>
              <w:right w:val="dashed" w:sz="8" w:space="0" w:color="000000"/>
            </w:tcBorders>
            <w:shd w:val="clear" w:color="auto" w:fill="BDD6EE"/>
            <w:vAlign w:val="center"/>
          </w:tcPr>
          <w:p w:rsidR="00774BBC" w:rsidRPr="00E63AD2" w:rsidP="008621E7" w14:paraId="2F6DA11D" w14:textId="27654124">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$973,836</w:t>
            </w:r>
          </w:p>
        </w:tc>
        <w:tc>
          <w:tcPr>
            <w:tcW w:w="1170" w:type="dxa"/>
            <w:tcBorders>
              <w:top w:val="single" w:sz="4" w:space="0" w:color="auto"/>
              <w:left w:val="nil"/>
              <w:bottom w:val="nil"/>
              <w:right w:val="single" w:sz="8" w:space="0" w:color="000000"/>
            </w:tcBorders>
            <w:shd w:val="clear" w:color="auto" w:fill="BDD6EE"/>
            <w:vAlign w:val="center"/>
          </w:tcPr>
          <w:p w:rsidR="00774BBC" w:rsidRPr="00E63AD2" w:rsidP="008621E7" w14:paraId="1BCA9261" w14:textId="30F12605">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w:t>
            </w:r>
            <w:r w:rsidRPr="00E63AD2" w:rsidR="00250CD4">
              <w:rPr>
                <w:rFonts w:ascii="Calibri" w:eastAsia="Calibri" w:hAnsi="Calibri" w:cs="Calibri"/>
                <w:b/>
                <w:color w:val="000000"/>
                <w:sz w:val="18"/>
                <w:szCs w:val="18"/>
              </w:rPr>
              <w:t>812</w:t>
            </w:r>
            <w:r w:rsidRPr="00E63AD2">
              <w:rPr>
                <w:rFonts w:ascii="Calibri" w:eastAsia="Calibri" w:hAnsi="Calibri" w:cs="Calibri"/>
                <w:b/>
                <w:color w:val="000000"/>
                <w:sz w:val="18"/>
                <w:szCs w:val="18"/>
              </w:rPr>
              <w:t>,</w:t>
            </w:r>
            <w:r w:rsidRPr="00E63AD2" w:rsidR="00250CD4">
              <w:rPr>
                <w:rFonts w:ascii="Calibri" w:eastAsia="Calibri" w:hAnsi="Calibri" w:cs="Calibri"/>
                <w:b/>
                <w:color w:val="000000"/>
                <w:sz w:val="18"/>
                <w:szCs w:val="18"/>
              </w:rPr>
              <w:t>668</w:t>
            </w:r>
          </w:p>
        </w:tc>
        <w:tc>
          <w:tcPr>
            <w:tcW w:w="4227" w:type="dxa"/>
            <w:tcBorders>
              <w:top w:val="single" w:sz="4" w:space="0" w:color="auto"/>
              <w:left w:val="nil"/>
              <w:bottom w:val="nil"/>
              <w:right w:val="single" w:sz="8" w:space="0" w:color="000000"/>
            </w:tcBorders>
            <w:shd w:val="clear" w:color="auto" w:fill="000000"/>
            <w:vAlign w:val="center"/>
          </w:tcPr>
          <w:p w:rsidR="00774BBC" w:rsidRPr="00E63AD2" w:rsidP="008621E7" w14:paraId="455E5999" w14:textId="77777777">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 </w:t>
            </w:r>
          </w:p>
        </w:tc>
      </w:tr>
      <w:tr w14:paraId="44FFA6E9" w14:textId="77777777" w:rsidTr="00E63AD2">
        <w:tblPrEx>
          <w:tblW w:w="10697" w:type="dxa"/>
          <w:jc w:val="center"/>
          <w:tblLayout w:type="fixed"/>
          <w:tblLook w:val="0400"/>
        </w:tblPrEx>
        <w:trPr>
          <w:trHeight w:val="577"/>
          <w:jc w:val="center"/>
        </w:trPr>
        <w:tc>
          <w:tcPr>
            <w:tcW w:w="2520" w:type="dxa"/>
            <w:tcBorders>
              <w:top w:val="single" w:sz="8" w:space="0" w:color="000000"/>
              <w:left w:val="single" w:sz="8" w:space="0" w:color="000000"/>
              <w:bottom w:val="single" w:sz="8" w:space="0" w:color="000000"/>
              <w:right w:val="nil"/>
            </w:tcBorders>
            <w:shd w:val="clear" w:color="auto" w:fill="FCE4D6"/>
            <w:vAlign w:val="center"/>
          </w:tcPr>
          <w:p w:rsidR="00774BBC" w:rsidRPr="00E63AD2" w:rsidP="008621E7" w14:paraId="49E86A01" w14:textId="77777777">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Difference</w:t>
            </w:r>
          </w:p>
        </w:tc>
        <w:tc>
          <w:tcPr>
            <w:tcW w:w="161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774BBC" w:rsidRPr="00E63AD2" w:rsidP="008621E7" w14:paraId="74378845" w14:textId="2CF6C92A">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0</w:t>
            </w:r>
          </w:p>
        </w:tc>
        <w:tc>
          <w:tcPr>
            <w:tcW w:w="2340" w:type="dxa"/>
            <w:gridSpan w:val="2"/>
            <w:tcBorders>
              <w:top w:val="single" w:sz="8" w:space="0" w:color="000000"/>
              <w:left w:val="nil"/>
              <w:bottom w:val="single" w:sz="8" w:space="0" w:color="000000"/>
              <w:right w:val="single" w:sz="4" w:space="0" w:color="000000"/>
            </w:tcBorders>
            <w:shd w:val="clear" w:color="auto" w:fill="FCE4D6"/>
            <w:vAlign w:val="center"/>
          </w:tcPr>
          <w:p w:rsidR="00774BBC" w:rsidRPr="00E63AD2" w:rsidP="008621E7" w14:paraId="45D74AF0" w14:textId="232F49F9">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$161,168</w:t>
            </w:r>
          </w:p>
          <w:p w:rsidR="00B41383" w:rsidRPr="00E63AD2" w:rsidP="00A73786" w14:paraId="1173AC17" w14:textId="48CAA185">
            <w:pPr>
              <w:widowControl/>
              <w:jc w:val="center"/>
              <w:rPr>
                <w:rFonts w:ascii="Calibri" w:eastAsia="Calibri" w:hAnsi="Calibri" w:cs="Calibri"/>
                <w:b/>
                <w:color w:val="000000"/>
                <w:sz w:val="18"/>
                <w:szCs w:val="18"/>
              </w:rPr>
            </w:pPr>
            <w:r w:rsidRPr="00E63AD2">
              <w:rPr>
                <w:rFonts w:ascii="Calibri" w:eastAsia="Calibri" w:hAnsi="Calibri" w:cs="Calibri"/>
                <w:b/>
                <w:color w:val="000000"/>
                <w:sz w:val="18"/>
                <w:szCs w:val="18"/>
              </w:rPr>
              <w:t>(</w:t>
            </w:r>
            <w:r w:rsidRPr="00E63AD2" w:rsidR="00F36D6C">
              <w:rPr>
                <w:rFonts w:ascii="Calibri" w:eastAsia="Calibri" w:hAnsi="Calibri" w:cs="Calibri"/>
                <w:b/>
                <w:color w:val="000000"/>
                <w:sz w:val="18"/>
                <w:szCs w:val="18"/>
              </w:rPr>
              <w:t>$150,080 program change</w:t>
            </w:r>
            <w:r w:rsidRPr="00E63AD2">
              <w:rPr>
                <w:rFonts w:ascii="Calibri" w:eastAsia="Calibri" w:hAnsi="Calibri" w:cs="Calibri"/>
                <w:b/>
                <w:color w:val="000000"/>
                <w:sz w:val="18"/>
                <w:szCs w:val="18"/>
              </w:rPr>
              <w:t xml:space="preserve">; </w:t>
            </w:r>
            <w:r w:rsidRPr="00E63AD2" w:rsidR="00F36D6C">
              <w:rPr>
                <w:rFonts w:ascii="Calibri" w:eastAsia="Calibri" w:hAnsi="Calibri" w:cs="Calibri"/>
                <w:b/>
                <w:color w:val="000000"/>
                <w:sz w:val="18"/>
                <w:szCs w:val="18"/>
              </w:rPr>
              <w:t>$11,088 adjustment</w:t>
            </w:r>
            <w:r w:rsidRPr="00E63AD2">
              <w:rPr>
                <w:rFonts w:ascii="Calibri" w:eastAsia="Calibri" w:hAnsi="Calibri" w:cs="Calibri"/>
                <w:b/>
                <w:color w:val="000000"/>
                <w:sz w:val="18"/>
                <w:szCs w:val="18"/>
              </w:rPr>
              <w:t>)</w:t>
            </w:r>
          </w:p>
        </w:tc>
        <w:tc>
          <w:tcPr>
            <w:tcW w:w="4227" w:type="dxa"/>
            <w:tcBorders>
              <w:top w:val="single" w:sz="8" w:space="0" w:color="000000"/>
              <w:left w:val="nil"/>
              <w:bottom w:val="single" w:sz="8" w:space="0" w:color="000000"/>
              <w:right w:val="single" w:sz="8" w:space="0" w:color="000000"/>
            </w:tcBorders>
            <w:shd w:val="clear" w:color="auto" w:fill="000000"/>
            <w:vAlign w:val="center"/>
          </w:tcPr>
          <w:p w:rsidR="00774BBC" w:rsidRPr="00E63AD2" w:rsidP="008621E7" w14:paraId="1D9DACEC" w14:textId="77777777">
            <w:pPr>
              <w:widowControl/>
              <w:rPr>
                <w:rFonts w:ascii="Calibri" w:eastAsia="Calibri" w:hAnsi="Calibri" w:cs="Calibri"/>
                <w:color w:val="000000"/>
                <w:sz w:val="18"/>
                <w:szCs w:val="18"/>
              </w:rPr>
            </w:pPr>
            <w:r w:rsidRPr="00E63AD2">
              <w:rPr>
                <w:rFonts w:ascii="Calibri" w:eastAsia="Calibri" w:hAnsi="Calibri" w:cs="Calibri"/>
                <w:color w:val="000000"/>
                <w:sz w:val="18"/>
                <w:szCs w:val="18"/>
              </w:rPr>
              <w:t> </w:t>
            </w:r>
          </w:p>
        </w:tc>
      </w:tr>
    </w:tbl>
    <w:p w:rsidR="001203E5" w:rsidP="001203E5" w14:paraId="7C397586" w14:textId="44873822">
      <w:pPr>
        <w:widowControl/>
        <w:pBdr>
          <w:top w:val="nil"/>
          <w:left w:val="nil"/>
          <w:bottom w:val="nil"/>
          <w:right w:val="nil"/>
          <w:between w:val="nil"/>
        </w:pBdr>
        <w:tabs>
          <w:tab w:val="left" w:pos="360"/>
        </w:tabs>
        <w:rPr>
          <w:b/>
          <w:color w:val="000000"/>
        </w:rPr>
      </w:pPr>
    </w:p>
    <w:p w:rsidR="001203E5" w:rsidP="001203E5" w14:paraId="128143C0" w14:textId="77777777">
      <w:pPr>
        <w:widowControl/>
        <w:pBdr>
          <w:top w:val="nil"/>
          <w:left w:val="nil"/>
          <w:bottom w:val="nil"/>
          <w:right w:val="nil"/>
          <w:between w:val="nil"/>
        </w:pBdr>
        <w:tabs>
          <w:tab w:val="left" w:pos="360"/>
        </w:tabs>
        <w:rPr>
          <w:b/>
          <w:color w:val="000000"/>
        </w:rPr>
      </w:pPr>
    </w:p>
    <w:p w:rsidR="00774BBC" w:rsidP="00C444C4" w14:paraId="2C3EA335" w14:textId="21455779">
      <w:pPr>
        <w:keepNext/>
        <w:keepLines/>
        <w:widowControl/>
        <w:numPr>
          <w:ilvl w:val="0"/>
          <w:numId w:val="3"/>
        </w:numPr>
        <w:pBdr>
          <w:top w:val="nil"/>
          <w:left w:val="nil"/>
          <w:bottom w:val="nil"/>
          <w:right w:val="nil"/>
          <w:between w:val="nil"/>
        </w:pBdr>
        <w:tabs>
          <w:tab w:val="left" w:pos="360"/>
        </w:tabs>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D79EB" w:rsidP="008621E7" w14:paraId="5628095C" w14:textId="77777777">
      <w:pPr>
        <w:widowControl/>
        <w:tabs>
          <w:tab w:val="left" w:pos="360"/>
          <w:tab w:val="left" w:pos="720"/>
          <w:tab w:val="left" w:pos="1080"/>
          <w:tab w:val="left" w:pos="1440"/>
        </w:tabs>
        <w:autoSpaceDE w:val="0"/>
        <w:autoSpaceDN w:val="0"/>
        <w:spacing w:before="240" w:after="240"/>
        <w:contextualSpacing/>
        <w:rPr>
          <w:rFonts w:eastAsia="Arial"/>
          <w:color w:val="000000"/>
          <w:lang w:bidi="en-US"/>
        </w:rPr>
      </w:pPr>
    </w:p>
    <w:p w:rsidR="008D79EB" w:rsidRPr="008D79EB" w:rsidP="008621E7" w14:paraId="379442E0" w14:textId="6FE8EF0F">
      <w:pPr>
        <w:widowControl/>
        <w:tabs>
          <w:tab w:val="left" w:pos="360"/>
          <w:tab w:val="left" w:pos="720"/>
          <w:tab w:val="left" w:pos="1080"/>
          <w:tab w:val="left" w:pos="1440"/>
        </w:tabs>
        <w:autoSpaceDE w:val="0"/>
        <w:autoSpaceDN w:val="0"/>
        <w:spacing w:before="240" w:after="240"/>
        <w:contextualSpacing/>
        <w:rPr>
          <w:rFonts w:eastAsia="Arial"/>
          <w:color w:val="000000"/>
          <w:lang w:bidi="en-US"/>
        </w:rPr>
      </w:pPr>
      <w:r w:rsidRPr="008D79EB">
        <w:rPr>
          <w:rFonts w:eastAsia="Arial"/>
          <w:color w:val="000000"/>
          <w:lang w:bidi="en-US"/>
        </w:rPr>
        <w:t>NMFS has no plans to publish the results of this information collection.</w:t>
      </w:r>
    </w:p>
    <w:p w:rsidR="00996A24" w:rsidRPr="00996A24" w:rsidP="008621E7" w14:paraId="327DFD55" w14:textId="77777777">
      <w:pPr>
        <w:widowControl/>
        <w:pBdr>
          <w:top w:val="nil"/>
          <w:left w:val="nil"/>
          <w:bottom w:val="nil"/>
          <w:right w:val="nil"/>
          <w:between w:val="nil"/>
        </w:pBdr>
      </w:pPr>
    </w:p>
    <w:p w:rsidR="00774BBC" w:rsidRPr="00996A24" w:rsidP="008621E7" w14:paraId="266C71EF" w14:textId="77777777">
      <w:pPr>
        <w:widowControl/>
        <w:numPr>
          <w:ilvl w:val="0"/>
          <w:numId w:val="3"/>
        </w:numPr>
        <w:pBdr>
          <w:top w:val="nil"/>
          <w:left w:val="nil"/>
          <w:bottom w:val="nil"/>
          <w:right w:val="nil"/>
          <w:between w:val="nil"/>
        </w:pBdr>
        <w:tabs>
          <w:tab w:val="left" w:pos="360"/>
        </w:tabs>
        <w:ind w:left="0" w:firstLine="0"/>
        <w:rPr>
          <w:b/>
        </w:rPr>
      </w:pPr>
      <w:r w:rsidRPr="00996A24">
        <w:rPr>
          <w:b/>
        </w:rPr>
        <w:t>If seeking approval to not display the expiration date for OMB approval of the information collection, explain the reasons that display would be inappropriate.</w:t>
      </w:r>
    </w:p>
    <w:p w:rsidR="00A73786" w:rsidP="008621E7" w14:paraId="35ABD0AA" w14:textId="77777777">
      <w:pPr>
        <w:widowControl/>
        <w:rPr>
          <w:rFonts w:eastAsia="Arial"/>
          <w:lang w:bidi="en-US"/>
        </w:rPr>
      </w:pPr>
    </w:p>
    <w:p w:rsidR="00A73786" w:rsidP="008621E7" w14:paraId="240545A4" w14:textId="286B4110">
      <w:pPr>
        <w:widowControl/>
        <w:rPr>
          <w:rFonts w:eastAsia="Arial"/>
          <w:lang w:bidi="en-US"/>
        </w:rPr>
      </w:pPr>
      <w:r w:rsidRPr="002A7181">
        <w:rPr>
          <w:rFonts w:eastAsia="Arial"/>
          <w:lang w:bidi="en-US"/>
        </w:rPr>
        <w:t>There are no forms associated with this information collection on which to display an expiration date.</w:t>
      </w:r>
    </w:p>
    <w:p w:rsidR="00996A24" w:rsidRPr="00996A24" w:rsidP="008621E7" w14:paraId="2CCA0020" w14:textId="77777777">
      <w:pPr>
        <w:widowControl/>
      </w:pPr>
    </w:p>
    <w:p w:rsidR="00774BBC" w:rsidP="008621E7" w14:paraId="5C739A73"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774BBC" w:rsidP="008621E7" w14:paraId="0FBEDBA3" w14:textId="77777777">
      <w:pPr>
        <w:widowControl/>
        <w:spacing w:before="221" w:line="259" w:lineRule="auto"/>
        <w:jc w:val="both"/>
      </w:pPr>
      <w:r w:rsidRPr="008D79EB">
        <w:t xml:space="preserve">The agency certifies compliance with </w:t>
      </w:r>
      <w:hyperlink r:id="rId29">
        <w:r w:rsidRPr="008D79EB">
          <w:rPr>
            <w:color w:val="0563C1"/>
            <w:u w:val="single"/>
          </w:rPr>
          <w:t>5 CFR 1320.9</w:t>
        </w:r>
      </w:hyperlink>
      <w:hyperlink r:id="rId29">
        <w:r w:rsidRPr="008D79EB">
          <w:rPr>
            <w:color w:val="0563C1"/>
          </w:rPr>
          <w:t xml:space="preserve"> </w:t>
        </w:r>
      </w:hyperlink>
      <w:r w:rsidRPr="008D79EB">
        <w:t xml:space="preserve">and the related provisions of </w:t>
      </w:r>
      <w:hyperlink r:id="rId30">
        <w:r w:rsidRPr="008D79EB">
          <w:rPr>
            <w:color w:val="0563C1"/>
            <w:u w:val="single"/>
          </w:rPr>
          <w:t>5 CFR</w:t>
        </w:r>
      </w:hyperlink>
      <w:r w:rsidRPr="008D79EB">
        <w:rPr>
          <w:color w:val="0563C1"/>
        </w:rPr>
        <w:t xml:space="preserve"> </w:t>
      </w:r>
      <w:hyperlink r:id="rId30">
        <w:r w:rsidRPr="008D79EB">
          <w:rPr>
            <w:color w:val="0563C1"/>
            <w:u w:val="single"/>
          </w:rPr>
          <w:t>1320.8(b)(3)</w:t>
        </w:r>
      </w:hyperlink>
      <w:r w:rsidRPr="008D79EB">
        <w:t>.</w:t>
      </w:r>
    </w:p>
    <w:sectPr w:rsidSect="00F4252D">
      <w:footerReference w:type="default" r:id="rId31"/>
      <w:pgSz w:w="12240" w:h="15840" w:code="1"/>
      <w:pgMar w:top="1440" w:right="1440" w:bottom="144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sz w:val="22"/>
        <w:szCs w:val="22"/>
      </w:rPr>
      <w:id w:val="1273446812"/>
      <w:docPartObj>
        <w:docPartGallery w:val="Page Numbers (Bottom of Page)"/>
        <w:docPartUnique/>
      </w:docPartObj>
    </w:sdtPr>
    <w:sdtEndPr>
      <w:rPr>
        <w:rFonts w:ascii="Times New Roman" w:hAnsi="Times New Roman" w:cs="Times New Roman"/>
        <w:noProof/>
        <w:sz w:val="24"/>
        <w:szCs w:val="24"/>
      </w:rPr>
    </w:sdtEndPr>
    <w:sdtContent>
      <w:p w:rsidR="003D7A71" w14:paraId="47267BB1" w14:textId="554ED094">
        <w:pPr>
          <w:pStyle w:val="Footer"/>
        </w:pPr>
        <w:r w:rsidRPr="00A3045E">
          <w:rPr>
            <w:rFonts w:asciiTheme="minorHAnsi" w:hAnsiTheme="minorHAnsi" w:cstheme="minorHAnsi"/>
            <w:sz w:val="22"/>
            <w:szCs w:val="22"/>
          </w:rPr>
          <w:t xml:space="preserve">Page | </w:t>
        </w:r>
        <w:r w:rsidRPr="00A3045E">
          <w:rPr>
            <w:rFonts w:asciiTheme="minorHAnsi" w:hAnsiTheme="minorHAnsi" w:cstheme="minorHAnsi"/>
            <w:sz w:val="22"/>
            <w:szCs w:val="22"/>
          </w:rPr>
          <w:fldChar w:fldCharType="begin"/>
        </w:r>
        <w:r w:rsidRPr="00A3045E">
          <w:rPr>
            <w:rFonts w:asciiTheme="minorHAnsi" w:hAnsiTheme="minorHAnsi" w:cstheme="minorHAnsi"/>
            <w:sz w:val="22"/>
            <w:szCs w:val="22"/>
          </w:rPr>
          <w:instrText xml:space="preserve"> PAGE   \* MERGEFORMAT </w:instrText>
        </w:r>
        <w:r w:rsidRPr="00A3045E">
          <w:rPr>
            <w:rFonts w:asciiTheme="minorHAnsi" w:hAnsiTheme="minorHAnsi" w:cstheme="minorHAnsi"/>
            <w:sz w:val="22"/>
            <w:szCs w:val="22"/>
          </w:rPr>
          <w:fldChar w:fldCharType="separate"/>
        </w:r>
        <w:r>
          <w:rPr>
            <w:rFonts w:asciiTheme="minorHAnsi" w:hAnsiTheme="minorHAnsi" w:cstheme="minorHAnsi"/>
            <w:noProof/>
            <w:sz w:val="22"/>
            <w:szCs w:val="22"/>
          </w:rPr>
          <w:t>15</w:t>
        </w:r>
        <w:r w:rsidRPr="00A3045E">
          <w:rPr>
            <w:rFonts w:asciiTheme="minorHAnsi" w:hAnsiTheme="minorHAnsi" w:cstheme="minorHAnsi"/>
            <w:noProof/>
            <w:sz w:val="22"/>
            <w:szCs w:val="22"/>
          </w:rPr>
          <w:fldChar w:fldCharType="end"/>
        </w:r>
      </w:p>
    </w:sdtContent>
  </w:sdt>
  <w:p w:rsidR="003D7A71" w14:paraId="2A641356"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A71" w14:paraId="35D70963" w14:textId="77777777">
      <w:r>
        <w:separator/>
      </w:r>
    </w:p>
  </w:footnote>
  <w:footnote w:type="continuationSeparator" w:id="1">
    <w:p w:rsidR="003D7A71" w14:paraId="4FF14606" w14:textId="77777777">
      <w:r>
        <w:continuationSeparator/>
      </w:r>
    </w:p>
  </w:footnote>
  <w:footnote w:id="2">
    <w:p w:rsidR="003D7A71" w:rsidRPr="00DB03AD" w:rsidP="00DB03AD" w14:paraId="0DB76CEC" w14:textId="77777777">
      <w:pPr>
        <w:pStyle w:val="FootnoteText"/>
        <w:spacing w:before="60"/>
      </w:pPr>
      <w:r w:rsidRPr="00DB03AD">
        <w:rPr>
          <w:rStyle w:val="FootnoteReference"/>
        </w:rPr>
        <w:footnoteRef/>
      </w:r>
      <w:r w:rsidRPr="00DB03AD">
        <w:t xml:space="preserve"> In addition to the Federal requirements, the State of Alaska also requires VMS for vessels using some gear types in parallel groundfish fisheries under 5 AAC 28.087(c).</w:t>
      </w:r>
    </w:p>
  </w:footnote>
  <w:footnote w:id="3">
    <w:p w:rsidR="003D7A71" w:rsidRPr="00DB03AD" w:rsidP="00DB03AD" w14:paraId="50DA4AF6" w14:textId="77777777">
      <w:pPr>
        <w:pStyle w:val="FootnoteText"/>
        <w:spacing w:before="60"/>
      </w:pPr>
      <w:r w:rsidRPr="00DB03AD">
        <w:rPr>
          <w:rStyle w:val="FootnoteReference"/>
        </w:rPr>
        <w:footnoteRef/>
      </w:r>
      <w:r w:rsidRPr="00DB03AD">
        <w:t xml:space="preserve"> “Federally permitted vessel” is defined at § 679.2 as a vessel that is named on either a </w:t>
      </w:r>
      <w:r w:rsidRPr="00DB03AD">
        <w:t>Federal fisheries</w:t>
      </w:r>
      <w:r w:rsidRPr="00DB03AD">
        <w:t xml:space="preserve"> permit or a Federal crab vessel permit.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6762B6"/>
    <w:multiLevelType w:val="multilevel"/>
    <w:tmpl w:val="33D4A7A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37450B5F"/>
    <w:multiLevelType w:val="multilevel"/>
    <w:tmpl w:val="F09E90F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2">
    <w:nsid w:val="38666904"/>
    <w:multiLevelType w:val="multilevel"/>
    <w:tmpl w:val="F44A6424"/>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nsid w:val="386E18AC"/>
    <w:multiLevelType w:val="multilevel"/>
    <w:tmpl w:val="566E4C4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nsid w:val="39E66607"/>
    <w:multiLevelType w:val="multilevel"/>
    <w:tmpl w:val="F22C06B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3EA61F26"/>
    <w:multiLevelType w:val="multilevel"/>
    <w:tmpl w:val="6AAE359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4F8A213A"/>
    <w:multiLevelType w:val="multilevel"/>
    <w:tmpl w:val="EB3862B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nsid w:val="59A01F59"/>
    <w:multiLevelType w:val="multilevel"/>
    <w:tmpl w:val="7FCA0F6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nsid w:val="5B273648"/>
    <w:multiLevelType w:val="multilevel"/>
    <w:tmpl w:val="00FC37EA"/>
    <w:lvl w:ilvl="0">
      <w:start w:val="1"/>
      <w:numFmt w:val="decimal"/>
      <w:suff w:val="space"/>
      <w:lvlText w:val="%1."/>
      <w:lvlJc w:val="left"/>
      <w:pPr>
        <w:ind w:left="400" w:hanging="269"/>
      </w:pPr>
      <w:rPr>
        <w:rFonts w:ascii="Arial" w:eastAsia="Arial" w:hAnsi="Arial" w:cs="Arial" w:hint="default"/>
        <w:b/>
        <w:sz w:val="24"/>
        <w:szCs w:val="24"/>
      </w:rPr>
    </w:lvl>
    <w:lvl w:ilvl="1">
      <w:start w:val="1"/>
      <w:numFmt w:val="bullet"/>
      <w:lvlText w:val=""/>
      <w:lvlJc w:val="left"/>
      <w:pPr>
        <w:ind w:left="1120" w:hanging="360"/>
      </w:pPr>
      <w:rPr>
        <w:rFonts w:hint="default"/>
      </w:rPr>
    </w:lvl>
    <w:lvl w:ilvl="2">
      <w:start w:val="1"/>
      <w:numFmt w:val="bullet"/>
      <w:lvlText w:val="•"/>
      <w:lvlJc w:val="left"/>
      <w:pPr>
        <w:ind w:left="1220" w:hanging="360"/>
      </w:pPr>
      <w:rPr>
        <w:rFonts w:hint="default"/>
      </w:rPr>
    </w:lvl>
    <w:lvl w:ilvl="3">
      <w:start w:val="1"/>
      <w:numFmt w:val="bullet"/>
      <w:lvlText w:val="•"/>
      <w:lvlJc w:val="left"/>
      <w:pPr>
        <w:ind w:left="2505" w:hanging="360"/>
      </w:pPr>
      <w:rPr>
        <w:rFonts w:hint="default"/>
      </w:rPr>
    </w:lvl>
    <w:lvl w:ilvl="4">
      <w:start w:val="1"/>
      <w:numFmt w:val="bullet"/>
      <w:lvlText w:val="•"/>
      <w:lvlJc w:val="left"/>
      <w:pPr>
        <w:ind w:left="3790" w:hanging="360"/>
      </w:pPr>
      <w:rPr>
        <w:rFonts w:hint="default"/>
      </w:rPr>
    </w:lvl>
    <w:lvl w:ilvl="5">
      <w:start w:val="1"/>
      <w:numFmt w:val="bullet"/>
      <w:lvlText w:val="•"/>
      <w:lvlJc w:val="left"/>
      <w:pPr>
        <w:ind w:left="5075"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930" w:hanging="360"/>
      </w:pPr>
      <w:rPr>
        <w:rFonts w:hint="default"/>
      </w:rPr>
    </w:lvl>
  </w:abstractNum>
  <w:abstractNum w:abstractNumId="9">
    <w:nsid w:val="68BC3398"/>
    <w:multiLevelType w:val="multilevel"/>
    <w:tmpl w:val="12A6DCA2"/>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nsid w:val="71A23339"/>
    <w:multiLevelType w:val="multilevel"/>
    <w:tmpl w:val="B45CB30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1"/>
  </w:num>
  <w:num w:numId="3">
    <w:abstractNumId w:val="8"/>
  </w:num>
  <w:num w:numId="4">
    <w:abstractNumId w:val="10"/>
  </w:num>
  <w:num w:numId="5">
    <w:abstractNumId w:val="6"/>
  </w:num>
  <w:num w:numId="6">
    <w:abstractNumId w:val="7"/>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BC"/>
    <w:rsid w:val="00001989"/>
    <w:rsid w:val="0000582A"/>
    <w:rsid w:val="00015E1A"/>
    <w:rsid w:val="00025684"/>
    <w:rsid w:val="00030252"/>
    <w:rsid w:val="00031A60"/>
    <w:rsid w:val="0003317E"/>
    <w:rsid w:val="00033C75"/>
    <w:rsid w:val="00041DB1"/>
    <w:rsid w:val="00044EFC"/>
    <w:rsid w:val="00074251"/>
    <w:rsid w:val="00085BC6"/>
    <w:rsid w:val="000A143D"/>
    <w:rsid w:val="000A7659"/>
    <w:rsid w:val="000B1CA1"/>
    <w:rsid w:val="000B5E41"/>
    <w:rsid w:val="000D6DDF"/>
    <w:rsid w:val="000F1C8E"/>
    <w:rsid w:val="00100F65"/>
    <w:rsid w:val="001203E5"/>
    <w:rsid w:val="00121372"/>
    <w:rsid w:val="00126FCE"/>
    <w:rsid w:val="001464E6"/>
    <w:rsid w:val="00151992"/>
    <w:rsid w:val="00157ADE"/>
    <w:rsid w:val="00180146"/>
    <w:rsid w:val="00182BCD"/>
    <w:rsid w:val="001A772D"/>
    <w:rsid w:val="001B18E3"/>
    <w:rsid w:val="001B1E20"/>
    <w:rsid w:val="001B3416"/>
    <w:rsid w:val="001C4D27"/>
    <w:rsid w:val="001E3BB7"/>
    <w:rsid w:val="001F2D5B"/>
    <w:rsid w:val="001F4B00"/>
    <w:rsid w:val="0020321E"/>
    <w:rsid w:val="002159AF"/>
    <w:rsid w:val="00222091"/>
    <w:rsid w:val="00223BE2"/>
    <w:rsid w:val="0022545B"/>
    <w:rsid w:val="002273B6"/>
    <w:rsid w:val="0024429A"/>
    <w:rsid w:val="00250CD4"/>
    <w:rsid w:val="00251C7F"/>
    <w:rsid w:val="002755AB"/>
    <w:rsid w:val="002770FF"/>
    <w:rsid w:val="00296663"/>
    <w:rsid w:val="002A7181"/>
    <w:rsid w:val="002B36EB"/>
    <w:rsid w:val="002D271B"/>
    <w:rsid w:val="002F7F8D"/>
    <w:rsid w:val="0030033D"/>
    <w:rsid w:val="00320475"/>
    <w:rsid w:val="00367CAD"/>
    <w:rsid w:val="00367EC8"/>
    <w:rsid w:val="00371906"/>
    <w:rsid w:val="00373EBA"/>
    <w:rsid w:val="003753B2"/>
    <w:rsid w:val="00394950"/>
    <w:rsid w:val="003B2F77"/>
    <w:rsid w:val="003D29A4"/>
    <w:rsid w:val="003D7A71"/>
    <w:rsid w:val="003D7D37"/>
    <w:rsid w:val="003E1F4C"/>
    <w:rsid w:val="003E3FE2"/>
    <w:rsid w:val="00412909"/>
    <w:rsid w:val="00413D6E"/>
    <w:rsid w:val="00421377"/>
    <w:rsid w:val="00423B91"/>
    <w:rsid w:val="00440C47"/>
    <w:rsid w:val="0045155F"/>
    <w:rsid w:val="00454C1C"/>
    <w:rsid w:val="00456B1A"/>
    <w:rsid w:val="00460DD2"/>
    <w:rsid w:val="00474477"/>
    <w:rsid w:val="004856DE"/>
    <w:rsid w:val="00490282"/>
    <w:rsid w:val="004908C0"/>
    <w:rsid w:val="00490D75"/>
    <w:rsid w:val="004A2035"/>
    <w:rsid w:val="004A69D0"/>
    <w:rsid w:val="004B32BE"/>
    <w:rsid w:val="004B60AA"/>
    <w:rsid w:val="004E0D4D"/>
    <w:rsid w:val="004E5203"/>
    <w:rsid w:val="004E6D0F"/>
    <w:rsid w:val="004F0619"/>
    <w:rsid w:val="00531C98"/>
    <w:rsid w:val="005331CC"/>
    <w:rsid w:val="00537CE4"/>
    <w:rsid w:val="0057250A"/>
    <w:rsid w:val="00574F54"/>
    <w:rsid w:val="0057503B"/>
    <w:rsid w:val="00580591"/>
    <w:rsid w:val="005830BD"/>
    <w:rsid w:val="00593333"/>
    <w:rsid w:val="005A287F"/>
    <w:rsid w:val="005B4637"/>
    <w:rsid w:val="005D335E"/>
    <w:rsid w:val="005D40CF"/>
    <w:rsid w:val="005E25A2"/>
    <w:rsid w:val="006004AF"/>
    <w:rsid w:val="00602B2B"/>
    <w:rsid w:val="00613CE9"/>
    <w:rsid w:val="0061645B"/>
    <w:rsid w:val="00617138"/>
    <w:rsid w:val="006312AC"/>
    <w:rsid w:val="00647C14"/>
    <w:rsid w:val="00655FE2"/>
    <w:rsid w:val="00660756"/>
    <w:rsid w:val="006A1899"/>
    <w:rsid w:val="006B1156"/>
    <w:rsid w:val="006C5416"/>
    <w:rsid w:val="006C7F73"/>
    <w:rsid w:val="006D5562"/>
    <w:rsid w:val="006E4482"/>
    <w:rsid w:val="006F7C79"/>
    <w:rsid w:val="00704A34"/>
    <w:rsid w:val="007065CB"/>
    <w:rsid w:val="007504D5"/>
    <w:rsid w:val="00755168"/>
    <w:rsid w:val="007571FC"/>
    <w:rsid w:val="00761D43"/>
    <w:rsid w:val="00774329"/>
    <w:rsid w:val="00774BBC"/>
    <w:rsid w:val="00785E10"/>
    <w:rsid w:val="0078602A"/>
    <w:rsid w:val="007A2ECB"/>
    <w:rsid w:val="007E472C"/>
    <w:rsid w:val="00813015"/>
    <w:rsid w:val="0083191C"/>
    <w:rsid w:val="00835D58"/>
    <w:rsid w:val="008365DA"/>
    <w:rsid w:val="00841DFA"/>
    <w:rsid w:val="00845DBB"/>
    <w:rsid w:val="00857D84"/>
    <w:rsid w:val="008621E7"/>
    <w:rsid w:val="00862F60"/>
    <w:rsid w:val="008A2815"/>
    <w:rsid w:val="008A316B"/>
    <w:rsid w:val="008B6A67"/>
    <w:rsid w:val="008B6DE1"/>
    <w:rsid w:val="008C64FA"/>
    <w:rsid w:val="008D79EB"/>
    <w:rsid w:val="008E5E12"/>
    <w:rsid w:val="008F028F"/>
    <w:rsid w:val="00907689"/>
    <w:rsid w:val="009128E0"/>
    <w:rsid w:val="009277D1"/>
    <w:rsid w:val="00937B9B"/>
    <w:rsid w:val="0094588B"/>
    <w:rsid w:val="00947922"/>
    <w:rsid w:val="00951FF8"/>
    <w:rsid w:val="009664CD"/>
    <w:rsid w:val="00971A11"/>
    <w:rsid w:val="009808BC"/>
    <w:rsid w:val="00996A24"/>
    <w:rsid w:val="009F6816"/>
    <w:rsid w:val="00A154FE"/>
    <w:rsid w:val="00A20368"/>
    <w:rsid w:val="00A2423C"/>
    <w:rsid w:val="00A3045E"/>
    <w:rsid w:val="00A36278"/>
    <w:rsid w:val="00A444BC"/>
    <w:rsid w:val="00A46904"/>
    <w:rsid w:val="00A53A13"/>
    <w:rsid w:val="00A54B53"/>
    <w:rsid w:val="00A555F4"/>
    <w:rsid w:val="00A56DC5"/>
    <w:rsid w:val="00A62AE4"/>
    <w:rsid w:val="00A67CBD"/>
    <w:rsid w:val="00A73786"/>
    <w:rsid w:val="00A81714"/>
    <w:rsid w:val="00A81CAC"/>
    <w:rsid w:val="00AB0B1A"/>
    <w:rsid w:val="00AC6B38"/>
    <w:rsid w:val="00AD246C"/>
    <w:rsid w:val="00AD5079"/>
    <w:rsid w:val="00AE37EF"/>
    <w:rsid w:val="00AE428D"/>
    <w:rsid w:val="00AE65FA"/>
    <w:rsid w:val="00AF344B"/>
    <w:rsid w:val="00B00836"/>
    <w:rsid w:val="00B02958"/>
    <w:rsid w:val="00B210C2"/>
    <w:rsid w:val="00B336FD"/>
    <w:rsid w:val="00B41383"/>
    <w:rsid w:val="00B66E32"/>
    <w:rsid w:val="00B95CC2"/>
    <w:rsid w:val="00BC116F"/>
    <w:rsid w:val="00BC168C"/>
    <w:rsid w:val="00BD15F4"/>
    <w:rsid w:val="00BE7418"/>
    <w:rsid w:val="00BE7D1B"/>
    <w:rsid w:val="00C37F45"/>
    <w:rsid w:val="00C444C4"/>
    <w:rsid w:val="00C61707"/>
    <w:rsid w:val="00C62C4C"/>
    <w:rsid w:val="00C64EDB"/>
    <w:rsid w:val="00C72744"/>
    <w:rsid w:val="00C7308D"/>
    <w:rsid w:val="00C761ED"/>
    <w:rsid w:val="00C830EE"/>
    <w:rsid w:val="00C86B41"/>
    <w:rsid w:val="00CA3241"/>
    <w:rsid w:val="00CB4FAC"/>
    <w:rsid w:val="00CC12C5"/>
    <w:rsid w:val="00CC1A75"/>
    <w:rsid w:val="00CD3B4F"/>
    <w:rsid w:val="00CE3C1B"/>
    <w:rsid w:val="00D153BE"/>
    <w:rsid w:val="00D249A6"/>
    <w:rsid w:val="00D319C2"/>
    <w:rsid w:val="00D3761B"/>
    <w:rsid w:val="00D43ECF"/>
    <w:rsid w:val="00D554B0"/>
    <w:rsid w:val="00D71A1D"/>
    <w:rsid w:val="00D819F6"/>
    <w:rsid w:val="00D93ACA"/>
    <w:rsid w:val="00D9550D"/>
    <w:rsid w:val="00D9671C"/>
    <w:rsid w:val="00DB03AD"/>
    <w:rsid w:val="00DB6BD7"/>
    <w:rsid w:val="00DC4537"/>
    <w:rsid w:val="00DC5397"/>
    <w:rsid w:val="00DE77D9"/>
    <w:rsid w:val="00E2461C"/>
    <w:rsid w:val="00E63AD2"/>
    <w:rsid w:val="00E91CEC"/>
    <w:rsid w:val="00EA39B8"/>
    <w:rsid w:val="00EB0542"/>
    <w:rsid w:val="00EB6BF0"/>
    <w:rsid w:val="00EC6E89"/>
    <w:rsid w:val="00EE551D"/>
    <w:rsid w:val="00EF76DF"/>
    <w:rsid w:val="00F02CD1"/>
    <w:rsid w:val="00F02F34"/>
    <w:rsid w:val="00F04974"/>
    <w:rsid w:val="00F06182"/>
    <w:rsid w:val="00F13399"/>
    <w:rsid w:val="00F13AAA"/>
    <w:rsid w:val="00F36D6C"/>
    <w:rsid w:val="00F4252D"/>
    <w:rsid w:val="00F4352A"/>
    <w:rsid w:val="00F60CF4"/>
    <w:rsid w:val="00F746EE"/>
    <w:rsid w:val="00F90B2C"/>
    <w:rsid w:val="00F92199"/>
    <w:rsid w:val="00FB00D0"/>
    <w:rsid w:val="00FD6C57"/>
    <w:rsid w:val="00FE124F"/>
    <w:rsid w:val="00FE463A"/>
    <w:rsid w:val="00FF0A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049350"/>
  <w15:docId w15:val="{B65F8DB8-4F24-498B-984B-F67A2E5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A3045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3045E"/>
    <w:rPr>
      <w:rFonts w:ascii="Arial" w:eastAsia="Arial" w:hAnsi="Arial" w:cs="Arial"/>
      <w:b/>
      <w:bCs/>
      <w:color w:val="2E5395"/>
      <w:sz w:val="20"/>
      <w:szCs w:val="20"/>
    </w:rPr>
  </w:style>
  <w:style w:type="paragraph" w:styleId="FootnoteText">
    <w:name w:val="footnote text"/>
    <w:basedOn w:val="Normal"/>
    <w:link w:val="FootnoteTextChar"/>
    <w:uiPriority w:val="99"/>
    <w:semiHidden/>
    <w:unhideWhenUsed/>
    <w:rsid w:val="008D79EB"/>
    <w:rPr>
      <w:sz w:val="20"/>
      <w:szCs w:val="20"/>
    </w:rPr>
  </w:style>
  <w:style w:type="character" w:customStyle="1" w:styleId="FootnoteTextChar">
    <w:name w:val="Footnote Text Char"/>
    <w:basedOn w:val="DefaultParagraphFont"/>
    <w:link w:val="FootnoteText"/>
    <w:uiPriority w:val="99"/>
    <w:semiHidden/>
    <w:rsid w:val="008D79EB"/>
    <w:rPr>
      <w:sz w:val="20"/>
      <w:szCs w:val="20"/>
    </w:rPr>
  </w:style>
  <w:style w:type="character" w:styleId="FootnoteReference">
    <w:name w:val="footnote reference"/>
    <w:semiHidden/>
    <w:rsid w:val="008D79EB"/>
    <w:rPr>
      <w:vertAlign w:val="superscript"/>
    </w:rPr>
  </w:style>
  <w:style w:type="paragraph" w:styleId="Revision">
    <w:name w:val="Revision"/>
    <w:hidden/>
    <w:uiPriority w:val="99"/>
    <w:semiHidden/>
    <w:rsid w:val="004E0D4D"/>
    <w:pPr>
      <w:widowControl/>
    </w:pPr>
  </w:style>
  <w:style w:type="paragraph" w:customStyle="1" w:styleId="Default">
    <w:name w:val="Default"/>
    <w:rsid w:val="00D319C2"/>
    <w:pPr>
      <w:widowControl/>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isheries.noaa.gov/topic/enforcement" TargetMode="External" /><Relationship Id="rId11" Type="http://schemas.openxmlformats.org/officeDocument/2006/relationships/hyperlink" Target="https://alaskafisheries.noaa.gov/fisheries/regs-amds" TargetMode="External" /><Relationship Id="rId12" Type="http://schemas.openxmlformats.org/officeDocument/2006/relationships/hyperlink" Target="http://www.law.cornell.edu/uscode/usc_sup_01_16_10_10.html" TargetMode="External" /><Relationship Id="rId13" Type="http://schemas.openxmlformats.org/officeDocument/2006/relationships/hyperlink" Target="https://www.ecfr.gov/current/title-50/chapter-VI/part-679/subpart-A/section-679.7" TargetMode="External" /><Relationship Id="rId14" Type="http://schemas.openxmlformats.org/officeDocument/2006/relationships/hyperlink" Target="https://www.ecfr.gov/current/title-50/chapter-VI/part-679/subpart-B/section-679.28" TargetMode="External" /><Relationship Id="rId15" Type="http://schemas.openxmlformats.org/officeDocument/2006/relationships/hyperlink" Target="https://www.ecfr.gov/current/title-50/chapter-VI/part-680/subpart-A/section-680.7" TargetMode="External" /><Relationship Id="rId16" Type="http://schemas.openxmlformats.org/officeDocument/2006/relationships/hyperlink" Target="https://www.ecfr.gov/current/title-50/chapter-VI/part-680/subpart-B/section-680.23" TargetMode="External" /><Relationship Id="rId17" Type="http://schemas.openxmlformats.org/officeDocument/2006/relationships/hyperlink" Target="https://www.ecfr.gov/current/title-50/chapter-VI/part-679/subpart-A/section-679.5" TargetMode="External" /><Relationship Id="rId18" Type="http://schemas.openxmlformats.org/officeDocument/2006/relationships/hyperlink" Target="https://www.ecfr.gov/current/title-50/chapter-VI/part-679/subpart-D/section-679.42" TargetMode="External" /><Relationship Id="rId19" Type="http://schemas.openxmlformats.org/officeDocument/2006/relationships/hyperlink" Target="https://www.federalregister.gov/documents/2023/03/07/2023-04598/pacific-halibut-fisheries-catch-sharing-plan-2023-annual-management-measures" TargetMode="External" /><Relationship Id="rId2" Type="http://schemas.openxmlformats.org/officeDocument/2006/relationships/settings" Target="settings.xml" /><Relationship Id="rId20" Type="http://schemas.openxmlformats.org/officeDocument/2006/relationships/hyperlink" Target="https://www.ecfr.gov/current/title-50/part-679/section-679.7" TargetMode="External" /><Relationship Id="rId21" Type="http://schemas.openxmlformats.org/officeDocument/2006/relationships/hyperlink" Target="https://www.ecfr.gov/current/title-50/part-679/section-679.134" TargetMode="External" /><Relationship Id="rId22" Type="http://schemas.openxmlformats.org/officeDocument/2006/relationships/hyperlink" Target="https://www.noaa.gov/organization/information-technology/policy-oversight/information-quality/information-quality-guidelines" TargetMode="External" /><Relationship Id="rId23" Type="http://schemas.openxmlformats.org/officeDocument/2006/relationships/hyperlink" Target="https://www.noaa.gov/organization/information-technology/information-quality-guidelines" TargetMode="External" /><Relationship Id="rId24" Type="http://schemas.openxmlformats.org/officeDocument/2006/relationships/hyperlink" Target="https://www.noaa.gov/organization/administration/nao-216-100-protection-of-confidential-fisheries-statistics" TargetMode="External" /><Relationship Id="rId25" Type="http://schemas.openxmlformats.org/officeDocument/2006/relationships/hyperlink" Target="https://www.osec.doc.gov/opog/PrivacyAct/SORNs/noaa-6.html" TargetMode="External" /><Relationship Id="rId26" Type="http://schemas.openxmlformats.org/officeDocument/2006/relationships/hyperlink" Target="https://www.osec.doc.gov/opog/privacy/noaa%20pias/noaa4700_pia_saop_approved.pdf" TargetMode="External" /><Relationship Id="rId27" Type="http://schemas.openxmlformats.org/officeDocument/2006/relationships/hyperlink" Target="http://www.psmfc.org/program/vessel-monitoring-system-reimbursement-program-vms" TargetMode="External" /><Relationship Id="rId28" Type="http://schemas.openxmlformats.org/officeDocument/2006/relationships/hyperlink" Target="https://www.commerce.gov/hr/practitioners/caps/pay-administration" TargetMode="External" /><Relationship Id="rId29" Type="http://schemas.openxmlformats.org/officeDocument/2006/relationships/hyperlink" Target="http://www.gpo.gov/fdsys/pkg/CFR-2014-title5-vol3/pdf/CFR-2014-title5-vol3-sec1320-9.pdf" TargetMode="External" /><Relationship Id="rId3" Type="http://schemas.openxmlformats.org/officeDocument/2006/relationships/webSettings" Target="webSettings.xml" /><Relationship Id="rId30" Type="http://schemas.openxmlformats.org/officeDocument/2006/relationships/hyperlink" Target="http://www.gpo.gov/fdsys/pkg/CFR-2014-title5-vol3/pdf/CFR-2014-title5-vol3-sec1320-8.pdf" TargetMode="External" /><Relationship Id="rId31" Type="http://schemas.openxmlformats.org/officeDocument/2006/relationships/footer" Target="footer1.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isheries.noaa.gov/alaska/rules-and-regulations/regulations-acts-treaties-and-agreements-federal-fisheries-alaska" TargetMode="External" /><Relationship Id="rId7" Type="http://schemas.openxmlformats.org/officeDocument/2006/relationships/hyperlink" Target="hhttps://www.fisheries.noaa.gov/alaska/rules-and-regulations/regulations-acts-treaties-and-agreements-federal-fisheries-alaska" TargetMode="External" /><Relationship Id="rId8" Type="http://schemas.openxmlformats.org/officeDocument/2006/relationships/hyperlink" Target="https://www.ecfr.gov/cgi-bin/text-idx?SID=19bedf3f71563b4caedca511456c92f0&amp;mc=true&amp;tpl=/ecfrbrowse/Title50/50cfr679_main_02.tpl" TargetMode="External" /><Relationship Id="rId9" Type="http://schemas.openxmlformats.org/officeDocument/2006/relationships/hyperlink" Target="https://www.ecfr.gov/cgi-bin/text-idx?SID=1113376d89fed9005c4a043a75fd331d&amp;mc=true&amp;tpl=/ecfrbrowse/Title50/50cfr680_main_02.tp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AMUW2mVwVIA+FGlnlT9J3zujZyj/UOdB1/g2d3kLr7coeyNxf8dRgp5Zu/rcevQHsPM+bLCjy94OafW7sG+oV1sJf2sUFZpn8GHgrxmrGv7Um0Of+meoik0g1CpGEct+KeeOSMl9UwIb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6935</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6</cp:revision>
  <dcterms:created xsi:type="dcterms:W3CDTF">2023-09-23T18:57:00Z</dcterms:created>
  <dcterms:modified xsi:type="dcterms:W3CDTF">2023-09-23T19:26:00Z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