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E61C9" w:rsidRPr="00BD7237" w:rsidP="00BD7237" w14:paraId="4417E577" w14:textId="77777777">
      <w:pPr>
        <w:pStyle w:val="Heading1"/>
        <w:ind w:left="0"/>
        <w:jc w:val="center"/>
        <w:rPr>
          <w:rFonts w:ascii="Times New Roman" w:hAnsi="Times New Roman" w:cs="Times New Roman"/>
        </w:rPr>
      </w:pPr>
      <w:r w:rsidRPr="00BD7237">
        <w:rPr>
          <w:rFonts w:ascii="Times New Roman" w:hAnsi="Times New Roman" w:cs="Times New Roman"/>
        </w:rPr>
        <w:t>SUPPORTING STATEMENT</w:t>
      </w:r>
    </w:p>
    <w:p w:rsidR="00BD7237" w:rsidRPr="00BD7237" w:rsidP="00BD7237" w14:paraId="63CAEF94"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U.S. Department of Commerce</w:t>
      </w:r>
    </w:p>
    <w:p w:rsidR="008E61C9" w:rsidRPr="00BD7237" w:rsidP="00BD7237" w14:paraId="7B55E970"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National Oceanic &amp; Atmospheric Administration</w:t>
      </w:r>
    </w:p>
    <w:p w:rsidR="00B472CD" w:rsidRPr="00B472CD" w:rsidP="00B472CD" w14:paraId="29E96460" w14:textId="77777777">
      <w:pPr>
        <w:spacing w:line="259" w:lineRule="auto"/>
        <w:ind w:hanging="6"/>
        <w:jc w:val="center"/>
        <w:rPr>
          <w:rFonts w:ascii="Times New Roman" w:hAnsi="Times New Roman" w:cs="Times New Roman"/>
          <w:b/>
          <w:sz w:val="24"/>
          <w:szCs w:val="24"/>
        </w:rPr>
      </w:pPr>
      <w:bookmarkStart w:id="0" w:name="_Hlk141099533"/>
      <w:r w:rsidRPr="00B472CD">
        <w:rPr>
          <w:rFonts w:ascii="Times New Roman" w:hAnsi="Times New Roman" w:cs="Times New Roman"/>
          <w:b/>
          <w:sz w:val="24"/>
          <w:szCs w:val="24"/>
        </w:rPr>
        <w:t xml:space="preserve">Reporting Requirements for the Ocean Salmon Fishery Off the Coasts </w:t>
      </w:r>
    </w:p>
    <w:p w:rsidR="00B472CD" w:rsidRPr="00B472CD" w:rsidP="00B472CD" w14:paraId="79BC85EC" w14:textId="77777777">
      <w:pPr>
        <w:spacing w:line="259" w:lineRule="auto"/>
        <w:ind w:hanging="6"/>
        <w:jc w:val="center"/>
        <w:rPr>
          <w:rFonts w:ascii="Times New Roman" w:hAnsi="Times New Roman" w:cs="Times New Roman"/>
          <w:b/>
          <w:sz w:val="24"/>
          <w:szCs w:val="24"/>
        </w:rPr>
      </w:pPr>
      <w:r w:rsidRPr="00B472CD">
        <w:rPr>
          <w:rFonts w:ascii="Times New Roman" w:hAnsi="Times New Roman" w:cs="Times New Roman"/>
          <w:b/>
          <w:sz w:val="24"/>
          <w:szCs w:val="24"/>
        </w:rPr>
        <w:t>of Washington, Oregon, and California</w:t>
      </w:r>
      <w:bookmarkEnd w:id="0"/>
    </w:p>
    <w:p w:rsidR="00B472CD" w:rsidP="00B472CD" w14:paraId="506AA0C6" w14:textId="77777777">
      <w:pPr>
        <w:spacing w:line="259" w:lineRule="auto"/>
        <w:ind w:hanging="6"/>
        <w:jc w:val="center"/>
        <w:rPr>
          <w:rFonts w:ascii="Times New Roman" w:hAnsi="Times New Roman" w:cs="Times New Roman"/>
          <w:b/>
          <w:sz w:val="24"/>
          <w:szCs w:val="24"/>
        </w:rPr>
      </w:pPr>
      <w:r w:rsidRPr="00B472CD">
        <w:rPr>
          <w:rFonts w:ascii="Times New Roman" w:hAnsi="Times New Roman" w:cs="Times New Roman"/>
          <w:b/>
          <w:sz w:val="24"/>
          <w:szCs w:val="24"/>
        </w:rPr>
        <w:t>OMB Control No. 0648-0433</w:t>
      </w:r>
    </w:p>
    <w:p w:rsidR="008E61C9" w:rsidRPr="00BD7237" w:rsidP="00BD7237" w14:paraId="25A6B774" w14:textId="77777777">
      <w:pPr>
        <w:pStyle w:val="BodyText"/>
        <w:spacing w:before="1"/>
        <w:ind w:left="0"/>
        <w:jc w:val="center"/>
        <w:rPr>
          <w:rFonts w:ascii="Times New Roman" w:hAnsi="Times New Roman" w:cs="Times New Roman"/>
          <w:b/>
        </w:rPr>
      </w:pPr>
    </w:p>
    <w:p w:rsidR="008E61C9" w:rsidRPr="00BD7237" w:rsidP="00BD7237" w14:paraId="07D8A9B9" w14:textId="77777777">
      <w:pPr>
        <w:spacing w:before="22" w:line="259" w:lineRule="auto"/>
        <w:rPr>
          <w:rFonts w:ascii="Times New Roman" w:hAnsi="Times New Roman" w:cs="Times New Roman"/>
          <w:b/>
          <w:sz w:val="24"/>
          <w:szCs w:val="24"/>
        </w:rPr>
      </w:pPr>
    </w:p>
    <w:p w:rsidR="008E61C9" w:rsidRPr="00BD7237" w:rsidP="00BD7237" w14:paraId="1DF3C3C0" w14:textId="77777777">
      <w:pPr>
        <w:pStyle w:val="Heading1"/>
        <w:spacing w:before="199"/>
        <w:ind w:left="0"/>
        <w:rPr>
          <w:rFonts w:ascii="Times New Roman" w:hAnsi="Times New Roman" w:cs="Times New Roman"/>
        </w:rPr>
      </w:pPr>
      <w:r w:rsidRPr="00BD7237">
        <w:rPr>
          <w:rFonts w:ascii="Times New Roman" w:hAnsi="Times New Roman" w:cs="Times New Roman"/>
        </w:rPr>
        <w:t>Abstract</w:t>
      </w:r>
    </w:p>
    <w:p w:rsidR="007A64A8" w:rsidP="00BD7237" w14:paraId="4A838BF0" w14:textId="77777777">
      <w:pPr>
        <w:spacing w:before="144" w:line="259" w:lineRule="auto"/>
        <w:rPr>
          <w:rFonts w:ascii="Times New Roman" w:hAnsi="Times New Roman" w:cs="Times New Roman"/>
          <w:sz w:val="24"/>
          <w:szCs w:val="24"/>
        </w:rPr>
      </w:pPr>
      <w:r>
        <w:rPr>
          <w:rFonts w:ascii="Times New Roman" w:hAnsi="Times New Roman" w:cs="Times New Roman"/>
          <w:sz w:val="24"/>
          <w:szCs w:val="24"/>
        </w:rPr>
        <w:t>This is a request for extension of an existing information collection.</w:t>
      </w:r>
    </w:p>
    <w:p w:rsidR="008E61C9" w:rsidP="00BD7237" w14:paraId="2BA9504D" w14:textId="72127E48">
      <w:pPr>
        <w:spacing w:before="144" w:line="259" w:lineRule="auto"/>
        <w:rPr>
          <w:rFonts w:ascii="Times New Roman" w:hAnsi="Times New Roman" w:cs="Times New Roman"/>
          <w:sz w:val="24"/>
          <w:szCs w:val="24"/>
        </w:rPr>
      </w:pPr>
      <w:r w:rsidRPr="00B472CD">
        <w:rPr>
          <w:rFonts w:ascii="Times New Roman" w:hAnsi="Times New Roman" w:cs="Times New Roman"/>
          <w:sz w:val="24"/>
          <w:szCs w:val="24"/>
        </w:rPr>
        <w:t xml:space="preserve">Timely and accurate accounting of salmon catch data for a regulatory area subject to quota management is necessary for quota assessment.  Requirements to land salmon within specific time frames and in specific areas may be implemented to aid in the catch monitoring process.  </w:t>
      </w:r>
      <w:r w:rsidR="001045D3">
        <w:rPr>
          <w:rFonts w:ascii="Times New Roman" w:hAnsi="Times New Roman" w:cs="Times New Roman"/>
          <w:sz w:val="24"/>
          <w:szCs w:val="24"/>
        </w:rPr>
        <w:t>However, i</w:t>
      </w:r>
      <w:r w:rsidRPr="00B472CD">
        <w:rPr>
          <w:rFonts w:ascii="Times New Roman" w:hAnsi="Times New Roman" w:cs="Times New Roman"/>
          <w:sz w:val="24"/>
          <w:szCs w:val="24"/>
        </w:rPr>
        <w:t>f unsafe weather conditions or mechanical problems prevent compliance with landing requirements, salmon fishermen are exempt, provided the appropriate notification is made as specified annually in the preseason regulations. Therefore, the annual management measures will include provisions to exempt commercial salmon fishermen from compliance with the landing requirements when they experience unsafe weather conditions or mechanical problems at sea, so long as the appropriate notifications are made by, for example, at-sea radio and cellular telephone, and information on catch and other required information is given, under this collection of information.  The annual management measures will specify the contents and procedure of the notifications, and the entities receiving the notifications (e.g., U.S. Coast Guard).</w:t>
      </w:r>
      <w:r>
        <w:rPr>
          <w:rFonts w:ascii="Times New Roman" w:hAnsi="Times New Roman" w:cs="Times New Roman"/>
          <w:sz w:val="24"/>
          <w:szCs w:val="24"/>
        </w:rPr>
        <w:t xml:space="preserve">  The purpose and benefit of the collection </w:t>
      </w:r>
      <w:r w:rsidR="00C402D6">
        <w:rPr>
          <w:rFonts w:ascii="Times New Roman" w:hAnsi="Times New Roman" w:cs="Times New Roman"/>
          <w:sz w:val="24"/>
          <w:szCs w:val="24"/>
        </w:rPr>
        <w:t>are</w:t>
      </w:r>
      <w:r>
        <w:rPr>
          <w:rFonts w:ascii="Times New Roman" w:hAnsi="Times New Roman" w:cs="Times New Roman"/>
          <w:sz w:val="24"/>
          <w:szCs w:val="24"/>
        </w:rPr>
        <w:t xml:space="preserve"> to manage salmon quotas while providing for safety at sea.  The scope of the collection is landing data that would normally be reported directly to the appropriate state</w:t>
      </w:r>
      <w:r w:rsidR="00C402D6">
        <w:rPr>
          <w:rFonts w:ascii="Times New Roman" w:hAnsi="Times New Roman" w:cs="Times New Roman"/>
          <w:sz w:val="24"/>
          <w:szCs w:val="24"/>
        </w:rPr>
        <w:t>.  There are no changes or revisions to this collection.</w:t>
      </w:r>
      <w:r>
        <w:rPr>
          <w:rFonts w:ascii="Times New Roman" w:hAnsi="Times New Roman" w:cs="Times New Roman"/>
          <w:sz w:val="24"/>
          <w:szCs w:val="24"/>
        </w:rPr>
        <w:t xml:space="preserve">  </w:t>
      </w:r>
    </w:p>
    <w:p w:rsidR="00B63987" w:rsidRPr="00BD7237" w:rsidP="00BD7237" w14:paraId="197A729E" w14:textId="77777777">
      <w:pPr>
        <w:spacing w:before="144" w:line="259" w:lineRule="auto"/>
        <w:rPr>
          <w:rFonts w:ascii="Times New Roman" w:hAnsi="Times New Roman" w:cs="Times New Roman"/>
          <w:b/>
          <w:sz w:val="24"/>
          <w:szCs w:val="24"/>
        </w:rPr>
      </w:pPr>
    </w:p>
    <w:p w:rsidR="008E61C9" w:rsidRPr="00BD7237" w:rsidP="00BD7237" w14:paraId="098BC64F" w14:textId="77777777">
      <w:pPr>
        <w:pStyle w:val="Heading1"/>
        <w:spacing w:before="124"/>
        <w:ind w:left="0"/>
        <w:rPr>
          <w:rFonts w:ascii="Times New Roman" w:hAnsi="Times New Roman" w:cs="Times New Roman"/>
        </w:rPr>
      </w:pPr>
      <w:r w:rsidRPr="00BD7237">
        <w:rPr>
          <w:rFonts w:ascii="Times New Roman" w:hAnsi="Times New Roman" w:cs="Times New Roman"/>
        </w:rPr>
        <w:t>Justification</w:t>
      </w:r>
    </w:p>
    <w:p w:rsidR="008E61C9" w:rsidRPr="00BD7237" w:rsidP="00BD7237" w14:paraId="52436CEF" w14:textId="77777777">
      <w:pPr>
        <w:pStyle w:val="ListParagraph"/>
        <w:numPr>
          <w:ilvl w:val="0"/>
          <w:numId w:val="7"/>
        </w:numPr>
        <w:tabs>
          <w:tab w:val="left" w:pos="360"/>
        </w:tabs>
        <w:spacing w:before="182" w:line="259" w:lineRule="auto"/>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71C5D" w:rsidRPr="00A71C5D" w:rsidP="00B63987" w14:paraId="7FB6FB6A" w14:textId="19AF6162">
      <w:pPr>
        <w:pStyle w:val="BodyText"/>
        <w:spacing w:before="159" w:line="259" w:lineRule="auto"/>
        <w:ind w:left="0"/>
        <w:rPr>
          <w:rFonts w:ascii="Times New Roman" w:hAnsi="Times New Roman" w:cs="Times New Roman"/>
        </w:rPr>
      </w:pPr>
      <w:r w:rsidRPr="00A71C5D">
        <w:rPr>
          <w:rFonts w:ascii="Times New Roman" w:hAnsi="Times New Roman" w:cs="Times New Roman"/>
        </w:rPr>
        <w:t xml:space="preserve">Based on the management regime specified each year by </w:t>
      </w:r>
      <w:r w:rsidR="00C9223F">
        <w:rPr>
          <w:rFonts w:ascii="Times New Roman" w:hAnsi="Times New Roman" w:cs="Times New Roman"/>
        </w:rPr>
        <w:t>NOAA’s</w:t>
      </w:r>
      <w:r w:rsidRPr="00A71C5D">
        <w:rPr>
          <w:rFonts w:ascii="Times New Roman" w:hAnsi="Times New Roman" w:cs="Times New Roman"/>
        </w:rPr>
        <w:t xml:space="preserve"> National Marine Fisheries Service (NMFS), designated regulatory areas in the commercial ocean salmon fishery off the coasts of Washington, Oregon, and California may be managed by numerical quotas </w:t>
      </w:r>
      <w:r w:rsidR="00C151C8">
        <w:rPr>
          <w:rFonts w:ascii="Times New Roman" w:hAnsi="Times New Roman" w:cs="Times New Roman"/>
        </w:rPr>
        <w:t xml:space="preserve">or other quantified catch or catch rate limits </w:t>
      </w:r>
      <w:r w:rsidRPr="00A71C5D">
        <w:rPr>
          <w:rFonts w:ascii="Times New Roman" w:hAnsi="Times New Roman" w:cs="Times New Roman"/>
        </w:rPr>
        <w:t xml:space="preserve">(by salmon species).  </w:t>
      </w:r>
      <w:r w:rsidR="00946C30">
        <w:rPr>
          <w:rFonts w:ascii="Times New Roman" w:hAnsi="Times New Roman" w:cs="Times New Roman"/>
        </w:rPr>
        <w:t>These measures</w:t>
      </w:r>
      <w:r w:rsidRPr="00A71C5D" w:rsidR="00946C30">
        <w:rPr>
          <w:rFonts w:ascii="Times New Roman" w:hAnsi="Times New Roman" w:cs="Times New Roman"/>
        </w:rPr>
        <w:t xml:space="preserve"> </w:t>
      </w:r>
      <w:r w:rsidRPr="00A71C5D">
        <w:rPr>
          <w:rFonts w:ascii="Times New Roman" w:hAnsi="Times New Roman" w:cs="Times New Roman"/>
        </w:rPr>
        <w:t xml:space="preserve">are necessary to ensure that the allowable levels of ocean harvest of salmon are not exceeded in these areas.  To accurately assess catches relative to </w:t>
      </w:r>
      <w:r w:rsidR="00946C30">
        <w:rPr>
          <w:rFonts w:ascii="Times New Roman" w:hAnsi="Times New Roman" w:cs="Times New Roman"/>
        </w:rPr>
        <w:t>these limits</w:t>
      </w:r>
      <w:r w:rsidRPr="00A71C5D">
        <w:rPr>
          <w:rFonts w:ascii="Times New Roman" w:hAnsi="Times New Roman" w:cs="Times New Roman"/>
        </w:rPr>
        <w:t xml:space="preserve"> during the fishing season, catch data by regulatory area must be collected in a timely manner.  Requirements to land salmon within specific time frames and in specific areas may be implemented in the preseason regulations to aid in timely and accurate catch accounting for a regulatory area.</w:t>
      </w:r>
    </w:p>
    <w:p w:rsidR="00A71C5D" w:rsidRPr="00A71C5D" w:rsidP="00B63987" w14:paraId="29D8159C" w14:textId="755A3EAE">
      <w:pPr>
        <w:pStyle w:val="BodyText"/>
        <w:spacing w:before="159" w:line="259" w:lineRule="auto"/>
        <w:ind w:left="0"/>
        <w:rPr>
          <w:rFonts w:ascii="Times New Roman" w:hAnsi="Times New Roman" w:cs="Times New Roman"/>
        </w:rPr>
      </w:pPr>
      <w:r w:rsidRPr="00A71C5D">
        <w:rPr>
          <w:rFonts w:ascii="Times New Roman" w:hAnsi="Times New Roman" w:cs="Times New Roman"/>
        </w:rPr>
        <w:t xml:space="preserve">If unsafe weather conditions or mechanical problems prevent compliance with landing requirements, fishermen are exempt from these landing requirements so long as the appropriate notifications are made by at-sea radio and cellular telephone, and information on catch and other required information is given.  The preseason regulations will specify annually the contents and procedure of the notifications, and the </w:t>
      </w:r>
      <w:r w:rsidRPr="00A71C5D">
        <w:rPr>
          <w:rFonts w:ascii="Times New Roman" w:hAnsi="Times New Roman" w:cs="Times New Roman"/>
        </w:rPr>
        <w:t xml:space="preserve">entities receiving the notifications.  The information collection is intended to be general in scope by leaving the specifics of the </w:t>
      </w:r>
      <w:r w:rsidR="00AC4475">
        <w:rPr>
          <w:rFonts w:ascii="Times New Roman" w:hAnsi="Times New Roman" w:cs="Times New Roman"/>
        </w:rPr>
        <w:t xml:space="preserve">contents and procedure of the </w:t>
      </w:r>
      <w:r w:rsidRPr="00A71C5D">
        <w:rPr>
          <w:rFonts w:ascii="Times New Roman" w:hAnsi="Times New Roman" w:cs="Times New Roman"/>
        </w:rPr>
        <w:t xml:space="preserve">notifications for annual determination, thus providing flexibility in responding to salmon management concerns in any given year.  </w:t>
      </w:r>
    </w:p>
    <w:p w:rsidR="00A71C5D" w:rsidRPr="00A71C5D" w:rsidP="00B63987" w14:paraId="61C1BE23" w14:textId="77777777">
      <w:pPr>
        <w:pStyle w:val="BodyText"/>
        <w:spacing w:before="159" w:line="259" w:lineRule="auto"/>
        <w:ind w:left="0"/>
        <w:rPr>
          <w:rFonts w:ascii="Times New Roman" w:hAnsi="Times New Roman" w:cs="Times New Roman"/>
        </w:rPr>
      </w:pPr>
      <w:r w:rsidRPr="00A71C5D">
        <w:rPr>
          <w:rFonts w:ascii="Times New Roman" w:hAnsi="Times New Roman" w:cs="Times New Roman"/>
        </w:rPr>
        <w:t xml:space="preserve">This federal collection of information concerning alternative reporting in unsafe conditions has implemented uniform reporting requirements across the entire geographic range of the commercial ocean salmon fishery and, thus, resolves the problem associated with reliance on each state to independently implement the same requirements in the territorial waters </w:t>
      </w:r>
      <w:r w:rsidRPr="00A71C5D">
        <w:rPr>
          <w:rFonts w:ascii="Times New Roman" w:hAnsi="Times New Roman" w:cs="Times New Roman"/>
        </w:rPr>
        <w:t>off of</w:t>
      </w:r>
      <w:r w:rsidRPr="00A71C5D">
        <w:rPr>
          <w:rFonts w:ascii="Times New Roman" w:hAnsi="Times New Roman" w:cs="Times New Roman"/>
        </w:rPr>
        <w:t xml:space="preserve"> each state (Washington, Oregon, and California).</w:t>
      </w:r>
    </w:p>
    <w:p w:rsidR="00A71C5D" w:rsidP="00B63987" w14:paraId="60A834F5" w14:textId="311017AF">
      <w:pPr>
        <w:pStyle w:val="BodyText"/>
        <w:spacing w:before="159" w:line="259" w:lineRule="auto"/>
        <w:ind w:left="0"/>
        <w:rPr>
          <w:rFonts w:ascii="Times New Roman" w:hAnsi="Times New Roman" w:cs="Times New Roman"/>
        </w:rPr>
      </w:pPr>
      <w:r w:rsidRPr="00A71C5D">
        <w:rPr>
          <w:rFonts w:ascii="Times New Roman" w:hAnsi="Times New Roman" w:cs="Times New Roman"/>
        </w:rPr>
        <w:t xml:space="preserve">Authority for the collection is provided by: (1) 50 CFR 660.408, and (2) the Magnuson-Stevens Fishery Conservation and Management Act of 1996, 16 USC 1801 </w:t>
      </w:r>
      <w:r w:rsidRPr="00935551">
        <w:rPr>
          <w:rFonts w:ascii="Times New Roman" w:hAnsi="Times New Roman" w:cs="Times New Roman"/>
          <w:i/>
        </w:rPr>
        <w:t>et seq</w:t>
      </w:r>
      <w:r w:rsidRPr="00A71C5D">
        <w:rPr>
          <w:rFonts w:ascii="Times New Roman" w:hAnsi="Times New Roman" w:cs="Times New Roman"/>
        </w:rPr>
        <w:t>., as amended through 2007, which states at 16 USC 1855(d) that "The Secretary shall have general responsibility to carry out any fishery management plan or amendment approved or prepared by him, in accordance with the provisions of this Act."</w:t>
      </w:r>
      <w:r w:rsidRPr="00E235C0" w:rsidR="00E235C0">
        <w:rPr>
          <w:rFonts w:ascii="Times New Roman" w:hAnsi="Times New Roman" w:cs="Times New Roman"/>
        </w:rPr>
        <w:t xml:space="preserve"> In addition, National Standard 10 of the MSA specifically states “Conservation and management measure shall, the extent practicable promote the safety of human life at sea.”</w:t>
      </w:r>
    </w:p>
    <w:p w:rsidR="00B63987" w:rsidRPr="00A71C5D" w:rsidP="00B63987" w14:paraId="30047897" w14:textId="77777777">
      <w:pPr>
        <w:pStyle w:val="BodyText"/>
        <w:spacing w:before="159" w:line="259" w:lineRule="auto"/>
        <w:ind w:left="0"/>
        <w:rPr>
          <w:rFonts w:ascii="Times New Roman" w:hAnsi="Times New Roman" w:cs="Times New Roman"/>
        </w:rPr>
      </w:pPr>
    </w:p>
    <w:p w:rsidR="008E61C9" w:rsidRPr="00BD7237" w:rsidP="00BD7237" w14:paraId="36930DAD" w14:textId="77777777">
      <w:pPr>
        <w:pStyle w:val="Heading1"/>
        <w:numPr>
          <w:ilvl w:val="0"/>
          <w:numId w:val="7"/>
        </w:numPr>
        <w:tabs>
          <w:tab w:val="left" w:pos="360"/>
        </w:tabs>
        <w:spacing w:before="197"/>
        <w:ind w:left="0" w:firstLine="0"/>
        <w:rPr>
          <w:rFonts w:ascii="Times New Roman" w:hAnsi="Times New Roman" w:cs="Times New Roman"/>
        </w:rPr>
      </w:pPr>
      <w:r w:rsidRPr="00BD7237">
        <w:rPr>
          <w:rFonts w:ascii="Times New Roman" w:hAnsi="Times New Roman" w:cs="Times New Roman"/>
          <w:bCs w:val="0"/>
        </w:rPr>
        <w:t>Indicate how, by whom, and for what purpose the information is to be used. Except for a</w:t>
      </w:r>
      <w:r w:rsidRPr="00BD7237">
        <w:rPr>
          <w:rFonts w:ascii="Times New Roman" w:hAnsi="Times New Roman" w:cs="Times New Roman"/>
        </w:rPr>
        <w:t xml:space="preserve"> </w:t>
      </w:r>
      <w:r w:rsidRPr="00BD7237">
        <w:rPr>
          <w:rFonts w:ascii="Times New Roman" w:hAnsi="Times New Roman" w:cs="Times New Roman"/>
          <w:bCs w:val="0"/>
        </w:rPr>
        <w:t>new collection, indicate the actual use the agency has made of the information received from the</w:t>
      </w:r>
      <w:r w:rsidRPr="00BD7237">
        <w:rPr>
          <w:rFonts w:ascii="Times New Roman" w:hAnsi="Times New Roman" w:cs="Times New Roman"/>
        </w:rPr>
        <w:t xml:space="preserve"> current</w:t>
      </w:r>
      <w:r w:rsidRPr="00BD7237">
        <w:rPr>
          <w:rFonts w:ascii="Times New Roman" w:hAnsi="Times New Roman" w:cs="Times New Roman"/>
          <w:spacing w:val="-1"/>
        </w:rPr>
        <w:t xml:space="preserve"> </w:t>
      </w:r>
      <w:r w:rsidRPr="00BD7237">
        <w:rPr>
          <w:rFonts w:ascii="Times New Roman" w:hAnsi="Times New Roman" w:cs="Times New Roman"/>
        </w:rPr>
        <w:t>collection.</w:t>
      </w:r>
    </w:p>
    <w:p w:rsidR="002E30AD" w:rsidRPr="002E30AD" w:rsidP="00B63987" w14:paraId="42807100" w14:textId="17FB852C">
      <w:pPr>
        <w:pStyle w:val="BodyText"/>
        <w:ind w:left="0"/>
        <w:rPr>
          <w:rFonts w:ascii="Times New Roman" w:hAnsi="Times New Roman" w:cs="Times New Roman"/>
        </w:rPr>
      </w:pPr>
      <w:r w:rsidRPr="002E30AD">
        <w:rPr>
          <w:rFonts w:ascii="Times New Roman" w:hAnsi="Times New Roman" w:cs="Times New Roman"/>
        </w:rPr>
        <w:t>The alternative reporting information will be collected by a federal or state entity to be specified annually</w:t>
      </w:r>
      <w:r>
        <w:rPr>
          <w:rFonts w:ascii="Times New Roman" w:hAnsi="Times New Roman" w:cs="Times New Roman"/>
        </w:rPr>
        <w:t xml:space="preserve"> (e.g., U.S. Coast Guard)</w:t>
      </w:r>
      <w:r w:rsidRPr="002E30AD">
        <w:rPr>
          <w:rFonts w:ascii="Times New Roman" w:hAnsi="Times New Roman" w:cs="Times New Roman"/>
        </w:rPr>
        <w:t xml:space="preserve">, and then transmitted to the appropriate state fishery agencies in a timely manner.  The specific contents of the reports and the procedure for submitting the reports </w:t>
      </w:r>
      <w:r w:rsidR="0010451B">
        <w:rPr>
          <w:rFonts w:ascii="Times New Roman" w:hAnsi="Times New Roman" w:cs="Times New Roman"/>
        </w:rPr>
        <w:t xml:space="preserve">(e.g., via radio or cell phone) </w:t>
      </w:r>
      <w:r w:rsidRPr="002E30AD">
        <w:rPr>
          <w:rFonts w:ascii="Times New Roman" w:hAnsi="Times New Roman" w:cs="Times New Roman"/>
        </w:rPr>
        <w:t>will be specified</w:t>
      </w:r>
      <w:r w:rsidR="00E235C0">
        <w:rPr>
          <w:rFonts w:ascii="Times New Roman" w:hAnsi="Times New Roman" w:cs="Times New Roman"/>
        </w:rPr>
        <w:t xml:space="preserve"> in the annual regulations</w:t>
      </w:r>
      <w:r w:rsidRPr="002E30AD">
        <w:rPr>
          <w:rFonts w:ascii="Times New Roman" w:hAnsi="Times New Roman" w:cs="Times New Roman"/>
        </w:rPr>
        <w:t xml:space="preserve"> and will likely include the name of the vessel, port where delivery will be made, approximate amount of salmon (by species) on board, and estimated time of arrival.</w:t>
      </w:r>
      <w:r>
        <w:rPr>
          <w:rFonts w:ascii="Times New Roman" w:hAnsi="Times New Roman" w:cs="Times New Roman"/>
        </w:rPr>
        <w:t xml:space="preserve">  The information will be collected from commercial salmon fishermen seeking to deviate from landing requirements specified in the annual management measures due to </w:t>
      </w:r>
      <w:r w:rsidRPr="002E30AD">
        <w:rPr>
          <w:rFonts w:ascii="Times New Roman" w:hAnsi="Times New Roman" w:cs="Times New Roman"/>
        </w:rPr>
        <w:t>unsafe weather conditions or mechanical problems may put fishermen at risk</w:t>
      </w:r>
      <w:r>
        <w:rPr>
          <w:rFonts w:ascii="Times New Roman" w:hAnsi="Times New Roman" w:cs="Times New Roman"/>
        </w:rPr>
        <w:t>.</w:t>
      </w:r>
    </w:p>
    <w:p w:rsidR="002E30AD" w:rsidRPr="002E30AD" w:rsidP="00B63987" w14:paraId="547BEDF5" w14:textId="77777777">
      <w:pPr>
        <w:pStyle w:val="BodyText"/>
        <w:ind w:left="0"/>
        <w:rPr>
          <w:rFonts w:ascii="Times New Roman" w:hAnsi="Times New Roman" w:cs="Times New Roman"/>
        </w:rPr>
      </w:pPr>
      <w:r w:rsidRPr="002E30AD">
        <w:rPr>
          <w:rFonts w:ascii="Times New Roman" w:hAnsi="Times New Roman" w:cs="Times New Roman"/>
        </w:rPr>
        <w:t xml:space="preserve">Regular landings information, although required by NMFS, is already being collected by the states and thus is not counted in this collection as burden. The state fishery managers will use the information collected on vessel name, port of delivery, and estimated time of arrival to facilitate monitoring of the actual catch reports submitted in accordance with state landing requirements under existing </w:t>
      </w:r>
      <w:r w:rsidRPr="001045D3">
        <w:rPr>
          <w:rFonts w:ascii="Times New Roman" w:hAnsi="Times New Roman" w:cs="Times New Roman"/>
        </w:rPr>
        <w:t>state</w:t>
      </w:r>
      <w:r w:rsidRPr="002E30AD">
        <w:rPr>
          <w:rFonts w:ascii="Times New Roman" w:hAnsi="Times New Roman" w:cs="Times New Roman"/>
        </w:rPr>
        <w:t xml:space="preserve"> data collection and reporting systems.</w:t>
      </w:r>
    </w:p>
    <w:p w:rsidR="002E30AD" w:rsidP="00B63987" w14:paraId="3164AB7E" w14:textId="77777777">
      <w:pPr>
        <w:pStyle w:val="BodyText"/>
        <w:ind w:left="0"/>
        <w:rPr>
          <w:rFonts w:ascii="Times New Roman" w:hAnsi="Times New Roman" w:cs="Times New Roman"/>
        </w:rPr>
      </w:pPr>
      <w:r w:rsidRPr="002E30AD">
        <w:rPr>
          <w:rFonts w:ascii="Times New Roman" w:hAnsi="Times New Roman" w:cs="Times New Roman"/>
        </w:rPr>
        <w:t>The information collected will allow accurate accounting of commercial salmon catches for those regulatory areas subject to quota</w:t>
      </w:r>
      <w:r w:rsidR="00946C30">
        <w:rPr>
          <w:rFonts w:ascii="Times New Roman" w:hAnsi="Times New Roman" w:cs="Times New Roman"/>
        </w:rPr>
        <w:t xml:space="preserve"> or other quantified catch or catch rate limits</w:t>
      </w:r>
      <w:r w:rsidRPr="002E30AD">
        <w:rPr>
          <w:rFonts w:ascii="Times New Roman" w:hAnsi="Times New Roman" w:cs="Times New Roman"/>
        </w:rPr>
        <w:t xml:space="preserve"> management.  The state fishery managers will use the salmon catch data and associated vessel effort data to assess total catches by regulatory area and to determine when a quota </w:t>
      </w:r>
      <w:r w:rsidR="00946C30">
        <w:rPr>
          <w:rFonts w:ascii="Times New Roman" w:hAnsi="Times New Roman" w:cs="Times New Roman"/>
        </w:rPr>
        <w:t>or other quantified catch or catch rate limit</w:t>
      </w:r>
      <w:r w:rsidRPr="002E30AD" w:rsidR="00946C30">
        <w:rPr>
          <w:rFonts w:ascii="Times New Roman" w:hAnsi="Times New Roman" w:cs="Times New Roman"/>
        </w:rPr>
        <w:t xml:space="preserve"> </w:t>
      </w:r>
      <w:r w:rsidRPr="002E30AD">
        <w:rPr>
          <w:rFonts w:ascii="Times New Roman" w:hAnsi="Times New Roman" w:cs="Times New Roman"/>
        </w:rPr>
        <w:t xml:space="preserve">for a regulatory area may be attained.  Therefore, catch data needs to be available in a timely manner for implementation of inseason management actions such as fishery closures.  The best available catch and effort data and projections are presented by the state fishery managers in telephone conference calls involving the NMFS </w:t>
      </w:r>
      <w:r w:rsidR="001045D3">
        <w:rPr>
          <w:rFonts w:ascii="Times New Roman" w:hAnsi="Times New Roman" w:cs="Times New Roman"/>
        </w:rPr>
        <w:t>West Coast</w:t>
      </w:r>
      <w:r w:rsidRPr="002E30AD">
        <w:rPr>
          <w:rFonts w:ascii="Times New Roman" w:hAnsi="Times New Roman" w:cs="Times New Roman"/>
        </w:rPr>
        <w:t xml:space="preserve"> Regional Administrator and representatives of the Pacific Fishery Management Council.  Based on the data, projections, and recommendations presented by the state fishery managers, the NMFS </w:t>
      </w:r>
      <w:r w:rsidR="001045D3">
        <w:rPr>
          <w:rFonts w:ascii="Times New Roman" w:hAnsi="Times New Roman" w:cs="Times New Roman"/>
        </w:rPr>
        <w:t>West Coast</w:t>
      </w:r>
      <w:r w:rsidRPr="002E30AD">
        <w:rPr>
          <w:rFonts w:ascii="Times New Roman" w:hAnsi="Times New Roman" w:cs="Times New Roman"/>
        </w:rPr>
        <w:t xml:space="preserve"> Regional Administrator implements the appropriate inseason management action in the exclusive economic zone (EEZ) (3</w:t>
      </w:r>
      <w:r w:rsidR="00B63987">
        <w:rPr>
          <w:rFonts w:ascii="Times New Roman" w:hAnsi="Times New Roman" w:cs="Times New Roman"/>
        </w:rPr>
        <w:t xml:space="preserve"> to</w:t>
      </w:r>
      <w:r w:rsidRPr="002E30AD">
        <w:rPr>
          <w:rFonts w:ascii="Times New Roman" w:hAnsi="Times New Roman" w:cs="Times New Roman"/>
        </w:rPr>
        <w:t xml:space="preserve"> 200 nautical miles of shore), with the state managers taking concurrent action in territorial waters (0 </w:t>
      </w:r>
      <w:r w:rsidR="00B63987">
        <w:rPr>
          <w:rFonts w:ascii="Times New Roman" w:hAnsi="Times New Roman" w:cs="Times New Roman"/>
        </w:rPr>
        <w:t xml:space="preserve">to </w:t>
      </w:r>
      <w:r w:rsidRPr="002E30AD">
        <w:rPr>
          <w:rFonts w:ascii="Times New Roman" w:hAnsi="Times New Roman" w:cs="Times New Roman"/>
        </w:rPr>
        <w:t>3 nautical miles of shore).</w:t>
      </w:r>
    </w:p>
    <w:p w:rsidR="0010451B" w:rsidRPr="002E30AD" w:rsidP="00B63987" w14:paraId="7E13D24B" w14:textId="77777777">
      <w:pPr>
        <w:pStyle w:val="BodyText"/>
        <w:ind w:left="0"/>
        <w:rPr>
          <w:rFonts w:ascii="Times New Roman" w:hAnsi="Times New Roman" w:cs="Times New Roman"/>
        </w:rPr>
      </w:pPr>
      <w:r w:rsidRPr="0079277D">
        <w:rPr>
          <w:rFonts w:ascii="Times New Roman" w:hAnsi="Times New Roman" w:cs="Times New Roman"/>
        </w:rPr>
        <w:t>This is a collection renewal and has not changed from previous renewals.</w:t>
      </w:r>
    </w:p>
    <w:p w:rsidR="008E61C9" w:rsidRPr="00BD7237" w:rsidP="00BD7237" w14:paraId="59777910" w14:textId="77777777">
      <w:pPr>
        <w:pStyle w:val="BodyText"/>
        <w:spacing w:before="160"/>
        <w:ind w:left="0"/>
        <w:rPr>
          <w:rFonts w:ascii="Times New Roman" w:hAnsi="Times New Roman" w:cs="Times New Roman"/>
        </w:rPr>
      </w:pPr>
    </w:p>
    <w:p w:rsidR="008E61C9" w:rsidRPr="00BD7237" w:rsidP="0052752A" w14:paraId="576C315B" w14:textId="77777777">
      <w:pPr>
        <w:pStyle w:val="Heading1"/>
        <w:keepNext/>
        <w:keepLines/>
        <w:widowControl/>
        <w:spacing w:before="161"/>
        <w:ind w:left="0"/>
        <w:rPr>
          <w:rFonts w:ascii="Times New Roman" w:hAnsi="Times New Roman" w:cs="Times New Roman"/>
        </w:rPr>
      </w:pPr>
      <w:r w:rsidRPr="00BD7237">
        <w:rPr>
          <w:rFonts w:ascii="Times New Roman" w:hAnsi="Times New Roman" w:cs="Times New Roman"/>
        </w:rPr>
        <w:t>Information Requirements and Needs and Uses of Information Collected</w:t>
      </w:r>
    </w:p>
    <w:tbl>
      <w:tblPr>
        <w:tblW w:w="108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0"/>
        <w:gridCol w:w="1970"/>
        <w:gridCol w:w="1322"/>
        <w:gridCol w:w="2157"/>
        <w:gridCol w:w="1363"/>
        <w:gridCol w:w="3000"/>
      </w:tblGrid>
      <w:tr w14:paraId="5BED0F45" w14:textId="77777777" w:rsidTr="009C713E">
        <w:tblPrEx>
          <w:tblW w:w="108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29"/>
        </w:trPr>
        <w:tc>
          <w:tcPr>
            <w:tcW w:w="990" w:type="dxa"/>
            <w:shd w:val="clear" w:color="auto" w:fill="DEEAF6"/>
          </w:tcPr>
          <w:p w:rsidR="008E61C9" w:rsidRPr="0052752A" w:rsidP="0052752A" w14:paraId="6CAE4207" w14:textId="77777777">
            <w:pPr>
              <w:pStyle w:val="TableParagraph"/>
              <w:keepNext/>
              <w:keepLines/>
              <w:widowControl/>
              <w:spacing w:before="11"/>
              <w:rPr>
                <w:rFonts w:ascii="Times New Roman" w:hAnsi="Times New Roman" w:cs="Times New Roman"/>
                <w:b/>
                <w:sz w:val="20"/>
                <w:szCs w:val="20"/>
              </w:rPr>
            </w:pPr>
          </w:p>
          <w:p w:rsidR="008E61C9" w:rsidRPr="0052752A" w:rsidP="0052752A" w14:paraId="7427FBCE" w14:textId="77777777">
            <w:pPr>
              <w:pStyle w:val="TableParagraph"/>
              <w:keepNext/>
              <w:keepLines/>
              <w:widowControl/>
              <w:jc w:val="center"/>
              <w:rPr>
                <w:rFonts w:ascii="Times New Roman" w:hAnsi="Times New Roman" w:cs="Times New Roman"/>
                <w:b/>
                <w:sz w:val="20"/>
                <w:szCs w:val="20"/>
              </w:rPr>
            </w:pPr>
            <w:r w:rsidRPr="0052752A">
              <w:rPr>
                <w:rFonts w:ascii="Times New Roman" w:hAnsi="Times New Roman" w:cs="Times New Roman"/>
                <w:b/>
                <w:sz w:val="20"/>
                <w:szCs w:val="20"/>
              </w:rPr>
              <w:t>Item #</w:t>
            </w:r>
          </w:p>
        </w:tc>
        <w:tc>
          <w:tcPr>
            <w:tcW w:w="1970" w:type="dxa"/>
            <w:shd w:val="clear" w:color="auto" w:fill="DEEAF6"/>
          </w:tcPr>
          <w:p w:rsidR="008E61C9" w:rsidRPr="0052752A" w:rsidP="0052752A" w14:paraId="3CF3F204" w14:textId="77777777">
            <w:pPr>
              <w:pStyle w:val="TableParagraph"/>
              <w:keepNext/>
              <w:keepLines/>
              <w:widowControl/>
              <w:spacing w:before="11"/>
              <w:rPr>
                <w:rFonts w:ascii="Times New Roman" w:hAnsi="Times New Roman" w:cs="Times New Roman"/>
                <w:b/>
                <w:sz w:val="20"/>
                <w:szCs w:val="20"/>
              </w:rPr>
            </w:pPr>
          </w:p>
          <w:p w:rsidR="008E61C9" w:rsidRPr="0052752A" w:rsidP="0052752A" w14:paraId="759857BF" w14:textId="77777777">
            <w:pPr>
              <w:pStyle w:val="TableParagraph"/>
              <w:keepNext/>
              <w:keepLines/>
              <w:widowControl/>
              <w:jc w:val="center"/>
              <w:rPr>
                <w:rFonts w:ascii="Times New Roman" w:hAnsi="Times New Roman" w:cs="Times New Roman"/>
                <w:b/>
                <w:sz w:val="20"/>
                <w:szCs w:val="20"/>
              </w:rPr>
            </w:pPr>
            <w:r w:rsidRPr="0052752A">
              <w:rPr>
                <w:rFonts w:ascii="Times New Roman" w:hAnsi="Times New Roman" w:cs="Times New Roman"/>
                <w:b/>
                <w:sz w:val="20"/>
                <w:szCs w:val="20"/>
              </w:rPr>
              <w:t>Requirement</w:t>
            </w:r>
          </w:p>
        </w:tc>
        <w:tc>
          <w:tcPr>
            <w:tcW w:w="1322" w:type="dxa"/>
            <w:shd w:val="clear" w:color="auto" w:fill="DEEAF6"/>
          </w:tcPr>
          <w:p w:rsidR="008E61C9" w:rsidRPr="0052752A" w:rsidP="0052752A" w14:paraId="706B217C" w14:textId="77777777">
            <w:pPr>
              <w:pStyle w:val="TableParagraph"/>
              <w:keepNext/>
              <w:keepLines/>
              <w:widowControl/>
              <w:spacing w:before="11"/>
              <w:rPr>
                <w:rFonts w:ascii="Times New Roman" w:hAnsi="Times New Roman" w:cs="Times New Roman"/>
                <w:b/>
                <w:sz w:val="20"/>
                <w:szCs w:val="20"/>
              </w:rPr>
            </w:pPr>
          </w:p>
          <w:p w:rsidR="008E61C9" w:rsidRPr="0052752A" w:rsidP="0052752A" w14:paraId="58F08FDA" w14:textId="77777777">
            <w:pPr>
              <w:pStyle w:val="TableParagraph"/>
              <w:keepNext/>
              <w:keepLines/>
              <w:widowControl/>
              <w:jc w:val="center"/>
              <w:rPr>
                <w:rFonts w:ascii="Times New Roman" w:hAnsi="Times New Roman" w:cs="Times New Roman"/>
                <w:b/>
                <w:sz w:val="20"/>
                <w:szCs w:val="20"/>
              </w:rPr>
            </w:pPr>
            <w:r w:rsidRPr="0052752A">
              <w:rPr>
                <w:rFonts w:ascii="Times New Roman" w:hAnsi="Times New Roman" w:cs="Times New Roman"/>
                <w:b/>
                <w:sz w:val="20"/>
                <w:szCs w:val="20"/>
              </w:rPr>
              <w:t>Statute</w:t>
            </w:r>
          </w:p>
        </w:tc>
        <w:tc>
          <w:tcPr>
            <w:tcW w:w="2157" w:type="dxa"/>
            <w:shd w:val="clear" w:color="auto" w:fill="DEEAF6"/>
          </w:tcPr>
          <w:p w:rsidR="008E61C9" w:rsidRPr="0052752A" w:rsidP="0052752A" w14:paraId="1FCB7723" w14:textId="77777777">
            <w:pPr>
              <w:pStyle w:val="TableParagraph"/>
              <w:keepNext/>
              <w:keepLines/>
              <w:widowControl/>
              <w:spacing w:before="11"/>
              <w:rPr>
                <w:rFonts w:ascii="Times New Roman" w:hAnsi="Times New Roman" w:cs="Times New Roman"/>
                <w:b/>
                <w:sz w:val="20"/>
                <w:szCs w:val="20"/>
              </w:rPr>
            </w:pPr>
          </w:p>
          <w:p w:rsidR="008E61C9" w:rsidRPr="0052752A" w:rsidP="0052752A" w14:paraId="5BA6447E" w14:textId="77777777">
            <w:pPr>
              <w:pStyle w:val="TableParagraph"/>
              <w:keepNext/>
              <w:keepLines/>
              <w:widowControl/>
              <w:jc w:val="center"/>
              <w:rPr>
                <w:rFonts w:ascii="Times New Roman" w:hAnsi="Times New Roman" w:cs="Times New Roman"/>
                <w:b/>
                <w:sz w:val="20"/>
                <w:szCs w:val="20"/>
              </w:rPr>
            </w:pPr>
            <w:r w:rsidRPr="0052752A">
              <w:rPr>
                <w:rFonts w:ascii="Times New Roman" w:hAnsi="Times New Roman" w:cs="Times New Roman"/>
                <w:b/>
                <w:sz w:val="20"/>
                <w:szCs w:val="20"/>
              </w:rPr>
              <w:t>Regulation</w:t>
            </w:r>
          </w:p>
        </w:tc>
        <w:tc>
          <w:tcPr>
            <w:tcW w:w="1363" w:type="dxa"/>
            <w:shd w:val="clear" w:color="auto" w:fill="DEEAF6"/>
          </w:tcPr>
          <w:p w:rsidR="008E61C9" w:rsidRPr="0052752A" w:rsidP="0052752A" w14:paraId="149E7A41" w14:textId="77777777">
            <w:pPr>
              <w:pStyle w:val="TableParagraph"/>
              <w:keepNext/>
              <w:keepLines/>
              <w:widowControl/>
              <w:spacing w:before="11"/>
              <w:rPr>
                <w:rFonts w:ascii="Times New Roman" w:hAnsi="Times New Roman" w:cs="Times New Roman"/>
                <w:b/>
                <w:sz w:val="20"/>
                <w:szCs w:val="20"/>
              </w:rPr>
            </w:pPr>
          </w:p>
          <w:p w:rsidR="008E61C9" w:rsidRPr="0052752A" w:rsidP="0052752A" w14:paraId="1EC4D958" w14:textId="77777777">
            <w:pPr>
              <w:pStyle w:val="TableParagraph"/>
              <w:keepNext/>
              <w:keepLines/>
              <w:widowControl/>
              <w:jc w:val="center"/>
              <w:rPr>
                <w:rFonts w:ascii="Times New Roman" w:hAnsi="Times New Roman" w:cs="Times New Roman"/>
                <w:b/>
                <w:sz w:val="20"/>
                <w:szCs w:val="20"/>
              </w:rPr>
            </w:pPr>
            <w:r w:rsidRPr="0052752A">
              <w:rPr>
                <w:rFonts w:ascii="Times New Roman" w:hAnsi="Times New Roman" w:cs="Times New Roman"/>
                <w:b/>
                <w:sz w:val="20"/>
                <w:szCs w:val="20"/>
              </w:rPr>
              <w:t>Form #</w:t>
            </w:r>
          </w:p>
        </w:tc>
        <w:tc>
          <w:tcPr>
            <w:tcW w:w="3000" w:type="dxa"/>
            <w:shd w:val="clear" w:color="auto" w:fill="DEEAF6"/>
          </w:tcPr>
          <w:p w:rsidR="008E61C9" w:rsidRPr="0052752A" w:rsidP="0052752A" w14:paraId="00D2D49F" w14:textId="77777777">
            <w:pPr>
              <w:pStyle w:val="TableParagraph"/>
              <w:keepNext/>
              <w:keepLines/>
              <w:widowControl/>
              <w:spacing w:before="11"/>
              <w:rPr>
                <w:rFonts w:ascii="Times New Roman" w:hAnsi="Times New Roman" w:cs="Times New Roman"/>
                <w:b/>
                <w:sz w:val="20"/>
                <w:szCs w:val="20"/>
              </w:rPr>
            </w:pPr>
          </w:p>
          <w:p w:rsidR="008E61C9" w:rsidRPr="0052752A" w:rsidP="0052752A" w14:paraId="33338E76" w14:textId="77777777">
            <w:pPr>
              <w:pStyle w:val="TableParagraph"/>
              <w:keepNext/>
              <w:keepLines/>
              <w:widowControl/>
              <w:rPr>
                <w:rFonts w:ascii="Times New Roman" w:hAnsi="Times New Roman" w:cs="Times New Roman"/>
                <w:b/>
                <w:sz w:val="20"/>
                <w:szCs w:val="20"/>
              </w:rPr>
            </w:pPr>
            <w:r w:rsidRPr="0052752A">
              <w:rPr>
                <w:rFonts w:ascii="Times New Roman" w:hAnsi="Times New Roman" w:cs="Times New Roman"/>
                <w:b/>
                <w:sz w:val="20"/>
                <w:szCs w:val="20"/>
              </w:rPr>
              <w:t>Needs and Uses</w:t>
            </w:r>
          </w:p>
        </w:tc>
      </w:tr>
      <w:tr w14:paraId="275346E8" w14:textId="77777777" w:rsidTr="009C713E">
        <w:tblPrEx>
          <w:tblW w:w="10802" w:type="dxa"/>
          <w:tblInd w:w="-5" w:type="dxa"/>
          <w:tblLayout w:type="fixed"/>
          <w:tblCellMar>
            <w:left w:w="0" w:type="dxa"/>
            <w:right w:w="0" w:type="dxa"/>
          </w:tblCellMar>
          <w:tblLook w:val="01E0"/>
        </w:tblPrEx>
        <w:trPr>
          <w:trHeight w:val="726"/>
        </w:trPr>
        <w:tc>
          <w:tcPr>
            <w:tcW w:w="990" w:type="dxa"/>
          </w:tcPr>
          <w:p w:rsidR="008E61C9" w:rsidRPr="0052752A" w:rsidP="0052752A" w14:paraId="306FBD92" w14:textId="77777777">
            <w:pPr>
              <w:pStyle w:val="TableParagraph"/>
              <w:keepNext/>
              <w:keepLines/>
              <w:widowControl/>
              <w:spacing w:before="9"/>
              <w:rPr>
                <w:rFonts w:ascii="Times New Roman" w:hAnsi="Times New Roman" w:cs="Times New Roman"/>
                <w:b/>
                <w:sz w:val="20"/>
                <w:szCs w:val="20"/>
              </w:rPr>
            </w:pPr>
          </w:p>
          <w:p w:rsidR="008E61C9" w:rsidRPr="0052752A" w:rsidP="0052752A" w14:paraId="49C8509F" w14:textId="77777777">
            <w:pPr>
              <w:pStyle w:val="TableParagraph"/>
              <w:keepNext/>
              <w:keepLines/>
              <w:widowControl/>
              <w:jc w:val="center"/>
              <w:rPr>
                <w:rFonts w:ascii="Times New Roman" w:hAnsi="Times New Roman" w:cs="Times New Roman"/>
                <w:sz w:val="20"/>
                <w:szCs w:val="20"/>
              </w:rPr>
            </w:pPr>
            <w:r w:rsidRPr="0052752A">
              <w:rPr>
                <w:rFonts w:ascii="Times New Roman" w:hAnsi="Times New Roman" w:cs="Times New Roman"/>
                <w:w w:val="99"/>
                <w:sz w:val="20"/>
                <w:szCs w:val="20"/>
              </w:rPr>
              <w:t>1</w:t>
            </w:r>
          </w:p>
        </w:tc>
        <w:tc>
          <w:tcPr>
            <w:tcW w:w="1970" w:type="dxa"/>
          </w:tcPr>
          <w:p w:rsidR="008E61C9" w:rsidRPr="0052752A" w:rsidP="0052752A" w14:paraId="24C9C1A6" w14:textId="77777777">
            <w:pPr>
              <w:pStyle w:val="TableParagraph"/>
              <w:keepNext/>
              <w:keepLines/>
              <w:widowControl/>
              <w:spacing w:before="9"/>
              <w:rPr>
                <w:rFonts w:ascii="Times New Roman" w:hAnsi="Times New Roman" w:cs="Times New Roman"/>
                <w:b/>
                <w:sz w:val="20"/>
                <w:szCs w:val="20"/>
              </w:rPr>
            </w:pPr>
          </w:p>
          <w:p w:rsidR="008E61C9" w:rsidRPr="0052752A" w:rsidP="00B63987" w14:paraId="6B16C7A2" w14:textId="77777777">
            <w:pPr>
              <w:pStyle w:val="TableParagraph"/>
              <w:keepNext/>
              <w:keepLines/>
              <w:widowControl/>
              <w:rPr>
                <w:rFonts w:ascii="Times New Roman" w:hAnsi="Times New Roman" w:cs="Times New Roman"/>
                <w:sz w:val="20"/>
                <w:szCs w:val="20"/>
              </w:rPr>
            </w:pPr>
            <w:r w:rsidRPr="00E02791">
              <w:rPr>
                <w:rFonts w:ascii="Times New Roman" w:hAnsi="Times New Roman" w:cs="Times New Roman"/>
                <w:sz w:val="20"/>
                <w:szCs w:val="20"/>
              </w:rPr>
              <w:t xml:space="preserve">Notify designated entity (e.g., U.S. Coast Guard) of the following information: </w:t>
            </w:r>
            <w:r w:rsidRPr="00E02791" w:rsidR="0052752A">
              <w:rPr>
                <w:rFonts w:ascii="Times New Roman" w:hAnsi="Times New Roman" w:cs="Times New Roman"/>
                <w:sz w:val="20"/>
                <w:szCs w:val="20"/>
              </w:rPr>
              <w:t xml:space="preserve"> </w:t>
            </w:r>
            <w:r w:rsidRPr="00E02791" w:rsidR="00935551">
              <w:rPr>
                <w:rFonts w:ascii="Times New Roman" w:hAnsi="Times New Roman" w:cs="Times New Roman"/>
                <w:sz w:val="20"/>
                <w:szCs w:val="20"/>
              </w:rPr>
              <w:t>vessel name,</w:t>
            </w:r>
            <w:r w:rsidRPr="00E02791" w:rsidR="0052752A">
              <w:rPr>
                <w:rFonts w:ascii="Times New Roman" w:hAnsi="Times New Roman" w:cs="Times New Roman"/>
                <w:sz w:val="20"/>
                <w:szCs w:val="20"/>
              </w:rPr>
              <w:t xml:space="preserve"> </w:t>
            </w:r>
            <w:r w:rsidRPr="00E02791" w:rsidR="00935551">
              <w:rPr>
                <w:rFonts w:ascii="Times New Roman" w:hAnsi="Times New Roman" w:cs="Times New Roman"/>
                <w:sz w:val="20"/>
                <w:szCs w:val="20"/>
              </w:rPr>
              <w:t>destination, and catch on board</w:t>
            </w:r>
            <w:r w:rsidRPr="0052752A" w:rsidR="00935551">
              <w:rPr>
                <w:rFonts w:ascii="Times New Roman" w:hAnsi="Times New Roman" w:cs="Times New Roman"/>
              </w:rPr>
              <w:t>.</w:t>
            </w:r>
          </w:p>
        </w:tc>
        <w:tc>
          <w:tcPr>
            <w:tcW w:w="1322" w:type="dxa"/>
          </w:tcPr>
          <w:p w:rsidR="008E61C9" w:rsidRPr="0052752A" w:rsidP="0052752A" w14:paraId="63F572E2" w14:textId="77777777">
            <w:pPr>
              <w:pStyle w:val="TableParagraph"/>
              <w:keepNext/>
              <w:keepLines/>
              <w:widowControl/>
              <w:spacing w:before="9"/>
              <w:rPr>
                <w:rFonts w:ascii="Times New Roman" w:hAnsi="Times New Roman" w:cs="Times New Roman"/>
                <w:b/>
                <w:sz w:val="20"/>
                <w:szCs w:val="20"/>
              </w:rPr>
            </w:pPr>
          </w:p>
          <w:p w:rsidR="008E61C9" w:rsidRPr="0052752A" w:rsidP="0052752A" w14:paraId="5A452AA2" w14:textId="77777777">
            <w:pPr>
              <w:pStyle w:val="TableParagraph"/>
              <w:keepNext/>
              <w:keepLines/>
              <w:widowControl/>
              <w:ind w:hanging="84"/>
              <w:rPr>
                <w:rFonts w:ascii="Times New Roman" w:hAnsi="Times New Roman" w:cs="Times New Roman"/>
                <w:sz w:val="20"/>
                <w:szCs w:val="20"/>
              </w:rPr>
            </w:pPr>
            <w:r w:rsidRPr="0052752A">
              <w:rPr>
                <w:rFonts w:ascii="Times New Roman" w:hAnsi="Times New Roman" w:cs="Times New Roman"/>
                <w:sz w:val="20"/>
                <w:szCs w:val="20"/>
              </w:rPr>
              <w:t>3</w:t>
            </w:r>
            <w:r w:rsidRPr="0052752A" w:rsidR="00935551">
              <w:rPr>
                <w:rFonts w:ascii="Times New Roman" w:hAnsi="Times New Roman" w:cs="Times New Roman"/>
              </w:rPr>
              <w:t xml:space="preserve">16 USC 1801 </w:t>
            </w:r>
            <w:r w:rsidRPr="0052752A" w:rsidR="00935551">
              <w:rPr>
                <w:rFonts w:ascii="Times New Roman" w:hAnsi="Times New Roman" w:cs="Times New Roman"/>
                <w:i/>
              </w:rPr>
              <w:t>et seq</w:t>
            </w:r>
            <w:r w:rsidRPr="0052752A" w:rsidR="00935551">
              <w:rPr>
                <w:rFonts w:ascii="Times New Roman" w:hAnsi="Times New Roman" w:cs="Times New Roman"/>
              </w:rPr>
              <w:t>.</w:t>
            </w:r>
          </w:p>
        </w:tc>
        <w:tc>
          <w:tcPr>
            <w:tcW w:w="2157" w:type="dxa"/>
          </w:tcPr>
          <w:p w:rsidR="008E61C9" w:rsidRPr="0052752A" w:rsidP="0052752A" w14:paraId="2A815D39" w14:textId="77777777">
            <w:pPr>
              <w:pStyle w:val="TableParagraph"/>
              <w:keepNext/>
              <w:keepLines/>
              <w:widowControl/>
              <w:spacing w:before="9"/>
              <w:rPr>
                <w:rFonts w:ascii="Times New Roman" w:hAnsi="Times New Roman" w:cs="Times New Roman"/>
                <w:b/>
                <w:sz w:val="20"/>
                <w:szCs w:val="20"/>
              </w:rPr>
            </w:pPr>
          </w:p>
          <w:p w:rsidR="008E61C9" w:rsidRPr="0052752A" w:rsidP="0052752A" w14:paraId="3FE21B6A" w14:textId="77777777">
            <w:pPr>
              <w:pStyle w:val="TableParagraph"/>
              <w:keepNext/>
              <w:keepLines/>
              <w:widowControl/>
              <w:jc w:val="center"/>
              <w:rPr>
                <w:rFonts w:ascii="Times New Roman" w:hAnsi="Times New Roman" w:cs="Times New Roman"/>
                <w:sz w:val="20"/>
                <w:szCs w:val="20"/>
              </w:rPr>
            </w:pPr>
            <w:r w:rsidRPr="0052752A">
              <w:rPr>
                <w:rFonts w:ascii="Times New Roman" w:hAnsi="Times New Roman" w:cs="Times New Roman"/>
              </w:rPr>
              <w:t>50 CFR 660.408</w:t>
            </w:r>
          </w:p>
        </w:tc>
        <w:tc>
          <w:tcPr>
            <w:tcW w:w="1363" w:type="dxa"/>
          </w:tcPr>
          <w:p w:rsidR="008E61C9" w:rsidRPr="0052752A" w:rsidP="0052752A" w14:paraId="604284D4" w14:textId="77777777">
            <w:pPr>
              <w:pStyle w:val="TableParagraph"/>
              <w:keepNext/>
              <w:keepLines/>
              <w:widowControl/>
              <w:spacing w:before="9"/>
              <w:rPr>
                <w:rFonts w:ascii="Times New Roman" w:hAnsi="Times New Roman" w:cs="Times New Roman"/>
                <w:b/>
                <w:sz w:val="20"/>
                <w:szCs w:val="20"/>
              </w:rPr>
            </w:pPr>
          </w:p>
          <w:p w:rsidR="008E61C9" w:rsidRPr="0052752A" w:rsidP="0052752A" w14:paraId="72EE9241" w14:textId="77777777">
            <w:pPr>
              <w:pStyle w:val="TableParagraph"/>
              <w:keepNext/>
              <w:keepLines/>
              <w:widowControl/>
              <w:jc w:val="center"/>
              <w:rPr>
                <w:rFonts w:ascii="Times New Roman" w:hAnsi="Times New Roman" w:cs="Times New Roman"/>
                <w:sz w:val="20"/>
                <w:szCs w:val="20"/>
              </w:rPr>
            </w:pPr>
            <w:r w:rsidRPr="0052752A">
              <w:rPr>
                <w:rFonts w:ascii="Times New Roman" w:hAnsi="Times New Roman" w:cs="Times New Roman"/>
                <w:sz w:val="20"/>
                <w:szCs w:val="20"/>
              </w:rPr>
              <w:t>Not Applicable</w:t>
            </w:r>
          </w:p>
        </w:tc>
        <w:tc>
          <w:tcPr>
            <w:tcW w:w="3000" w:type="dxa"/>
          </w:tcPr>
          <w:p w:rsidR="008E61C9" w:rsidRPr="0052752A" w:rsidP="0052752A" w14:paraId="456DAE44" w14:textId="77777777">
            <w:pPr>
              <w:pStyle w:val="TableParagraph"/>
              <w:keepNext/>
              <w:keepLines/>
              <w:widowControl/>
              <w:spacing w:before="7"/>
              <w:rPr>
                <w:rFonts w:ascii="Times New Roman" w:hAnsi="Times New Roman" w:cs="Times New Roman"/>
                <w:b/>
                <w:sz w:val="20"/>
                <w:szCs w:val="20"/>
              </w:rPr>
            </w:pPr>
          </w:p>
          <w:p w:rsidR="0052752A" w:rsidP="0052752A" w14:paraId="1BC33ADA" w14:textId="77777777">
            <w:pPr>
              <w:pStyle w:val="TableParagraph"/>
              <w:keepNext/>
              <w:keepLines/>
              <w:widowControl/>
              <w:numPr>
                <w:ilvl w:val="0"/>
                <w:numId w:val="5"/>
              </w:numPr>
              <w:tabs>
                <w:tab w:val="left" w:pos="469"/>
                <w:tab w:val="left" w:pos="470"/>
              </w:tabs>
              <w:spacing w:before="1"/>
              <w:ind w:left="0" w:hanging="361"/>
              <w:rPr>
                <w:rFonts w:ascii="Times New Roman" w:hAnsi="Times New Roman" w:cs="Times New Roman"/>
                <w:sz w:val="20"/>
                <w:szCs w:val="20"/>
              </w:rPr>
            </w:pPr>
            <w:r>
              <w:rPr>
                <w:rFonts w:ascii="Times New Roman" w:hAnsi="Times New Roman" w:cs="Times New Roman"/>
                <w:sz w:val="20"/>
                <w:szCs w:val="20"/>
              </w:rPr>
              <w:t xml:space="preserve">Used by the public to </w:t>
            </w:r>
            <w:r w:rsidR="00B63987">
              <w:rPr>
                <w:rFonts w:ascii="Times New Roman" w:hAnsi="Times New Roman" w:cs="Times New Roman"/>
                <w:sz w:val="20"/>
                <w:szCs w:val="20"/>
              </w:rPr>
              <w:t>deviate from landing requirements due to unsafe conditions, promoting</w:t>
            </w:r>
            <w:r>
              <w:rPr>
                <w:rFonts w:ascii="Times New Roman" w:hAnsi="Times New Roman" w:cs="Times New Roman"/>
                <w:sz w:val="20"/>
                <w:szCs w:val="20"/>
              </w:rPr>
              <w:t xml:space="preserve"> health and safety at sea.</w:t>
            </w:r>
          </w:p>
          <w:p w:rsidR="0052752A" w:rsidP="0052752A" w14:paraId="2BB57000" w14:textId="77777777">
            <w:pPr>
              <w:pStyle w:val="TableParagraph"/>
              <w:keepNext/>
              <w:keepLines/>
              <w:widowControl/>
              <w:numPr>
                <w:ilvl w:val="0"/>
                <w:numId w:val="5"/>
              </w:numPr>
              <w:tabs>
                <w:tab w:val="left" w:pos="469"/>
                <w:tab w:val="left" w:pos="470"/>
              </w:tabs>
              <w:spacing w:before="1"/>
              <w:ind w:left="0" w:hanging="361"/>
              <w:rPr>
                <w:rFonts w:ascii="Times New Roman" w:hAnsi="Times New Roman" w:cs="Times New Roman"/>
                <w:sz w:val="20"/>
                <w:szCs w:val="20"/>
              </w:rPr>
            </w:pPr>
          </w:p>
          <w:p w:rsidR="008E61C9" w:rsidRPr="0052752A" w:rsidP="004F5CAD" w14:paraId="6A966951" w14:textId="77777777">
            <w:pPr>
              <w:pStyle w:val="TableParagraph"/>
              <w:keepNext/>
              <w:keepLines/>
              <w:widowControl/>
              <w:numPr>
                <w:ilvl w:val="0"/>
                <w:numId w:val="5"/>
              </w:numPr>
              <w:tabs>
                <w:tab w:val="left" w:pos="469"/>
                <w:tab w:val="left" w:pos="470"/>
              </w:tabs>
              <w:spacing w:before="1"/>
              <w:ind w:left="0" w:hanging="361"/>
              <w:rPr>
                <w:rFonts w:ascii="Times New Roman" w:hAnsi="Times New Roman" w:cs="Times New Roman"/>
                <w:sz w:val="20"/>
                <w:szCs w:val="20"/>
              </w:rPr>
            </w:pPr>
            <w:r w:rsidRPr="0052752A">
              <w:rPr>
                <w:rFonts w:ascii="Times New Roman" w:hAnsi="Times New Roman" w:cs="Times New Roman"/>
                <w:sz w:val="20"/>
                <w:szCs w:val="20"/>
              </w:rPr>
              <w:t xml:space="preserve">Used by </w:t>
            </w:r>
            <w:r w:rsidR="0052752A">
              <w:rPr>
                <w:rFonts w:ascii="Times New Roman" w:hAnsi="Times New Roman" w:cs="Times New Roman"/>
                <w:sz w:val="20"/>
                <w:szCs w:val="20"/>
              </w:rPr>
              <w:t xml:space="preserve">the states and </w:t>
            </w:r>
            <w:r w:rsidRPr="0052752A">
              <w:rPr>
                <w:rFonts w:ascii="Times New Roman" w:hAnsi="Times New Roman" w:cs="Times New Roman"/>
                <w:sz w:val="20"/>
                <w:szCs w:val="20"/>
              </w:rPr>
              <w:t xml:space="preserve">NMFS to manage commercial salmon fisheries in a sustainable manner, consistent with </w:t>
            </w:r>
            <w:r w:rsidR="004F5CAD">
              <w:rPr>
                <w:rFonts w:ascii="Times New Roman" w:hAnsi="Times New Roman" w:cs="Times New Roman"/>
                <w:sz w:val="20"/>
                <w:szCs w:val="20"/>
              </w:rPr>
              <w:t>quotas and other catch restrictions set annually</w:t>
            </w:r>
            <w:r w:rsidRPr="0052752A" w:rsidR="001477A3">
              <w:rPr>
                <w:rFonts w:ascii="Times New Roman" w:hAnsi="Times New Roman" w:cs="Times New Roman"/>
                <w:sz w:val="20"/>
                <w:szCs w:val="20"/>
              </w:rPr>
              <w:t>.</w:t>
            </w:r>
          </w:p>
        </w:tc>
      </w:tr>
    </w:tbl>
    <w:p w:rsidR="008E61C9" w:rsidRPr="00BD7237" w:rsidP="00BD7237" w14:paraId="40D3FD23" w14:textId="77777777">
      <w:pPr>
        <w:pStyle w:val="ListParagraph"/>
        <w:numPr>
          <w:ilvl w:val="0"/>
          <w:numId w:val="7"/>
        </w:numPr>
        <w:tabs>
          <w:tab w:val="left" w:pos="360"/>
        </w:tabs>
        <w:spacing w:before="199"/>
        <w:ind w:left="0" w:firstLine="0"/>
        <w:rPr>
          <w:rFonts w:ascii="Times New Roman" w:hAnsi="Times New Roman" w:cs="Times New Roman"/>
          <w:b/>
          <w:sz w:val="24"/>
          <w:szCs w:val="24"/>
        </w:rPr>
      </w:pPr>
      <w:r w:rsidRPr="00BD7237">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rFonts w:ascii="Times New Roman" w:hAnsi="Times New Roman" w:cs="Times New Roman"/>
          <w:b/>
          <w:spacing w:val="-6"/>
          <w:sz w:val="24"/>
          <w:szCs w:val="24"/>
        </w:rPr>
        <w:t xml:space="preserve"> </w:t>
      </w:r>
      <w:r w:rsidRPr="00BD7237">
        <w:rPr>
          <w:rFonts w:ascii="Times New Roman" w:hAnsi="Times New Roman" w:cs="Times New Roman"/>
          <w:b/>
          <w:sz w:val="24"/>
          <w:szCs w:val="24"/>
        </w:rPr>
        <w:t>burden.</w:t>
      </w:r>
    </w:p>
    <w:p w:rsidR="0014557A" w:rsidRPr="0014557A" w:rsidP="0014557A" w14:paraId="1FA2ECCD" w14:textId="77777777">
      <w:pPr>
        <w:spacing w:before="161"/>
        <w:rPr>
          <w:rFonts w:ascii="Times New Roman" w:hAnsi="Times New Roman" w:cs="Times New Roman"/>
          <w:sz w:val="24"/>
          <w:szCs w:val="24"/>
        </w:rPr>
      </w:pPr>
      <w:r w:rsidRPr="0014557A">
        <w:rPr>
          <w:rFonts w:ascii="Times New Roman" w:hAnsi="Times New Roman" w:cs="Times New Roman"/>
          <w:sz w:val="24"/>
          <w:szCs w:val="24"/>
        </w:rPr>
        <w:t xml:space="preserve">Information is submitted via the available technology for at sea </w:t>
      </w:r>
      <w:r>
        <w:rPr>
          <w:rFonts w:ascii="Times New Roman" w:hAnsi="Times New Roman" w:cs="Times New Roman"/>
          <w:sz w:val="24"/>
          <w:szCs w:val="24"/>
        </w:rPr>
        <w:t xml:space="preserve">communication, e.g., </w:t>
      </w:r>
      <w:r w:rsidRPr="0014557A">
        <w:rPr>
          <w:rFonts w:ascii="Times New Roman" w:hAnsi="Times New Roman" w:cs="Times New Roman"/>
          <w:sz w:val="24"/>
          <w:szCs w:val="24"/>
        </w:rPr>
        <w:t>radio and cellular telephone transmissions</w:t>
      </w:r>
      <w:r>
        <w:rPr>
          <w:rFonts w:ascii="Times New Roman" w:hAnsi="Times New Roman" w:cs="Times New Roman"/>
          <w:sz w:val="24"/>
          <w:szCs w:val="24"/>
        </w:rPr>
        <w:t>,</w:t>
      </w:r>
      <w:r w:rsidRPr="0014557A">
        <w:rPr>
          <w:rFonts w:ascii="Times New Roman" w:hAnsi="Times New Roman" w:cs="Times New Roman"/>
          <w:sz w:val="24"/>
          <w:szCs w:val="24"/>
        </w:rPr>
        <w:t xml:space="preserve"> for reporting during unsafe </w:t>
      </w:r>
      <w:r w:rsidR="00E92FF1">
        <w:rPr>
          <w:rFonts w:ascii="Times New Roman" w:hAnsi="Times New Roman" w:cs="Times New Roman"/>
          <w:sz w:val="24"/>
          <w:szCs w:val="24"/>
        </w:rPr>
        <w:t>conditions</w:t>
      </w:r>
      <w:r w:rsidRPr="0014557A">
        <w:rPr>
          <w:rFonts w:ascii="Times New Roman" w:hAnsi="Times New Roman" w:cs="Times New Roman"/>
          <w:sz w:val="24"/>
          <w:szCs w:val="24"/>
        </w:rPr>
        <w:t>.</w:t>
      </w:r>
      <w:r w:rsidR="00E92FF1">
        <w:rPr>
          <w:rFonts w:ascii="Times New Roman" w:hAnsi="Times New Roman" w:cs="Times New Roman"/>
          <w:sz w:val="24"/>
          <w:szCs w:val="24"/>
        </w:rPr>
        <w:t xml:space="preserve">  The form of communication is set annually and is consistent with currently available technology.  Should an electronic alternative become available and feasible, it would be implemented; however, this collection of information only applies </w:t>
      </w:r>
      <w:r w:rsidR="00645279">
        <w:rPr>
          <w:rFonts w:ascii="Times New Roman" w:hAnsi="Times New Roman" w:cs="Times New Roman"/>
          <w:sz w:val="24"/>
          <w:szCs w:val="24"/>
        </w:rPr>
        <w:t>when unsafe conditions are encountered</w:t>
      </w:r>
      <w:r w:rsidR="00E92FF1">
        <w:rPr>
          <w:rFonts w:ascii="Times New Roman" w:hAnsi="Times New Roman" w:cs="Times New Roman"/>
          <w:sz w:val="24"/>
          <w:szCs w:val="24"/>
        </w:rPr>
        <w:t xml:space="preserve"> and the normal means of communication at sea under such conditions is currently radio or cellular telephone transmission.</w:t>
      </w:r>
    </w:p>
    <w:p w:rsidR="0014557A" w:rsidRPr="0014557A" w:rsidP="0014557A" w14:paraId="48633A15" w14:textId="77777777">
      <w:pPr>
        <w:spacing w:before="161"/>
        <w:rPr>
          <w:rFonts w:ascii="Times New Roman" w:hAnsi="Times New Roman" w:cs="Times New Roman"/>
          <w:sz w:val="24"/>
          <w:szCs w:val="24"/>
        </w:rPr>
      </w:pPr>
      <w:r w:rsidRPr="0014557A">
        <w:rPr>
          <w:rFonts w:ascii="Times New Roman" w:hAnsi="Times New Roman" w:cs="Times New Roman"/>
          <w:sz w:val="24"/>
          <w:szCs w:val="24"/>
        </w:rPr>
        <w:t>During normal conditions information is collected</w:t>
      </w:r>
      <w:r w:rsidR="00E92FF1">
        <w:rPr>
          <w:rFonts w:ascii="Times New Roman" w:hAnsi="Times New Roman" w:cs="Times New Roman"/>
          <w:sz w:val="24"/>
          <w:szCs w:val="24"/>
        </w:rPr>
        <w:t xml:space="preserve"> by the states (Washington, Oregon, and California)</w:t>
      </w:r>
      <w:r w:rsidRPr="0014557A">
        <w:rPr>
          <w:rFonts w:ascii="Times New Roman" w:hAnsi="Times New Roman" w:cs="Times New Roman"/>
          <w:sz w:val="24"/>
          <w:szCs w:val="24"/>
        </w:rPr>
        <w:t xml:space="preserve"> in person from fishermen as they are landing their catch in port</w:t>
      </w:r>
      <w:r w:rsidR="00E92FF1">
        <w:rPr>
          <w:rFonts w:ascii="Times New Roman" w:hAnsi="Times New Roman" w:cs="Times New Roman"/>
          <w:sz w:val="24"/>
          <w:szCs w:val="24"/>
        </w:rPr>
        <w:t xml:space="preserve"> or via other reporting means set by each state and specified in the annual management measures and state regulations</w:t>
      </w:r>
      <w:r w:rsidRPr="0014557A">
        <w:rPr>
          <w:rFonts w:ascii="Times New Roman" w:hAnsi="Times New Roman" w:cs="Times New Roman"/>
          <w:sz w:val="24"/>
          <w:szCs w:val="24"/>
        </w:rPr>
        <w:t>.</w:t>
      </w:r>
    </w:p>
    <w:p w:rsidR="0014557A" w:rsidP="0014557A" w14:paraId="21B807A8" w14:textId="77777777">
      <w:pPr>
        <w:spacing w:before="161"/>
        <w:rPr>
          <w:rFonts w:ascii="Times New Roman" w:hAnsi="Times New Roman" w:cs="Times New Roman"/>
          <w:sz w:val="24"/>
          <w:szCs w:val="24"/>
        </w:rPr>
      </w:pPr>
      <w:r w:rsidRPr="0014557A">
        <w:rPr>
          <w:rFonts w:ascii="Times New Roman" w:hAnsi="Times New Roman" w:cs="Times New Roman"/>
          <w:sz w:val="24"/>
          <w:szCs w:val="24"/>
        </w:rPr>
        <w:t xml:space="preserve">Specific information on the reporting requirements is made available in a booklet of Federal regulations which is made available to the public on the NMFS West Coast Region website each year.  </w:t>
      </w:r>
    </w:p>
    <w:p w:rsidR="00B63987" w:rsidP="0014557A" w14:paraId="2C0A6B35" w14:textId="77777777">
      <w:pPr>
        <w:spacing w:before="161"/>
        <w:rPr>
          <w:rFonts w:ascii="Times New Roman" w:hAnsi="Times New Roman" w:cs="Times New Roman"/>
          <w:sz w:val="24"/>
          <w:szCs w:val="24"/>
        </w:rPr>
      </w:pPr>
    </w:p>
    <w:p w:rsidR="008E61C9" w:rsidRPr="00BD7237" w:rsidP="00BD7237" w14:paraId="26BFAC6B"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Pr>
          <w:rFonts w:ascii="Times New Roman" w:hAnsi="Times New Roman" w:cs="Times New Roman"/>
          <w:b/>
          <w:spacing w:val="-42"/>
          <w:sz w:val="24"/>
          <w:szCs w:val="24"/>
        </w:rPr>
        <w:t xml:space="preserve"> </w:t>
      </w:r>
      <w:r w:rsidRPr="00BD7237">
        <w:rPr>
          <w:rFonts w:ascii="Times New Roman" w:hAnsi="Times New Roman" w:cs="Times New Roman"/>
          <w:b/>
          <w:sz w:val="24"/>
          <w:szCs w:val="24"/>
        </w:rPr>
        <w:t>2</w:t>
      </w:r>
    </w:p>
    <w:p w:rsidR="002A1097" w:rsidRPr="009E137B" w:rsidP="00B63987" w14:paraId="22464862" w14:textId="77777777">
      <w:pPr>
        <w:pStyle w:val="BodyText"/>
        <w:ind w:left="0"/>
        <w:rPr>
          <w:rFonts w:ascii="Times New Roman" w:hAnsi="Times New Roman" w:cs="Times New Roman"/>
        </w:rPr>
      </w:pPr>
      <w:r w:rsidRPr="009E137B">
        <w:rPr>
          <w:rFonts w:ascii="Times New Roman" w:hAnsi="Times New Roman" w:cs="Times New Roman"/>
        </w:rPr>
        <w:t xml:space="preserve">Commercial salmon landing requirements are specified in the annual management measures.  </w:t>
      </w:r>
      <w:r w:rsidRPr="009E137B" w:rsidR="00E15B57">
        <w:rPr>
          <w:rFonts w:ascii="Times New Roman" w:hAnsi="Times New Roman" w:cs="Times New Roman"/>
        </w:rPr>
        <w:t>To facilitate managing fisheries under quotas</w:t>
      </w:r>
      <w:r w:rsidR="00E02791">
        <w:rPr>
          <w:rFonts w:ascii="Times New Roman" w:hAnsi="Times New Roman" w:cs="Times New Roman"/>
        </w:rPr>
        <w:t xml:space="preserve"> or other quantified catch or catch rate limits</w:t>
      </w:r>
      <w:r w:rsidRPr="009E137B" w:rsidR="00E15B57">
        <w:rPr>
          <w:rFonts w:ascii="Times New Roman" w:hAnsi="Times New Roman" w:cs="Times New Roman"/>
        </w:rPr>
        <w:t xml:space="preserve">, </w:t>
      </w:r>
      <w:r w:rsidRPr="009E137B">
        <w:rPr>
          <w:rFonts w:ascii="Times New Roman" w:hAnsi="Times New Roman" w:cs="Times New Roman"/>
        </w:rPr>
        <w:t xml:space="preserve">commercial fishing vessels may be required to land and deliver their catch in specified area or to notify the appropriate state </w:t>
      </w:r>
      <w:r w:rsidRPr="009E137B">
        <w:rPr>
          <w:rFonts w:ascii="Times New Roman" w:hAnsi="Times New Roman" w:cs="Times New Roman"/>
        </w:rPr>
        <w:t xml:space="preserve">when a commercial fishing vessel in possession of salmon </w:t>
      </w:r>
      <w:r w:rsidRPr="009E137B" w:rsidR="00E15B57">
        <w:rPr>
          <w:rFonts w:ascii="Times New Roman" w:hAnsi="Times New Roman" w:cs="Times New Roman"/>
        </w:rPr>
        <w:t xml:space="preserve">that were </w:t>
      </w:r>
      <w:r w:rsidRPr="009E137B">
        <w:rPr>
          <w:rFonts w:ascii="Times New Roman" w:hAnsi="Times New Roman" w:cs="Times New Roman"/>
        </w:rPr>
        <w:t xml:space="preserve">caught in one management area </w:t>
      </w:r>
      <w:r w:rsidRPr="009E137B" w:rsidR="00E15B57">
        <w:rPr>
          <w:rFonts w:ascii="Times New Roman" w:hAnsi="Times New Roman" w:cs="Times New Roman"/>
        </w:rPr>
        <w:t xml:space="preserve">are transported to a different management area </w:t>
      </w:r>
      <w:r w:rsidRPr="009E137B">
        <w:rPr>
          <w:rFonts w:ascii="Times New Roman" w:hAnsi="Times New Roman" w:cs="Times New Roman"/>
        </w:rPr>
        <w:t xml:space="preserve">for landing and delivery.  </w:t>
      </w:r>
    </w:p>
    <w:p w:rsidR="00CB111B" w:rsidRPr="009E137B" w:rsidP="00B63987" w14:paraId="7D53A453" w14:textId="77777777">
      <w:pPr>
        <w:pStyle w:val="BodyText"/>
        <w:ind w:left="0"/>
        <w:rPr>
          <w:rFonts w:ascii="Times New Roman" w:hAnsi="Times New Roman" w:cs="Times New Roman"/>
        </w:rPr>
      </w:pPr>
      <w:r w:rsidRPr="009E137B">
        <w:rPr>
          <w:rFonts w:ascii="Times New Roman" w:hAnsi="Times New Roman" w:cs="Times New Roman"/>
        </w:rPr>
        <w:t>In the event that</w:t>
      </w:r>
      <w:r w:rsidRPr="009E137B">
        <w:rPr>
          <w:rFonts w:ascii="Times New Roman" w:hAnsi="Times New Roman" w:cs="Times New Roman"/>
        </w:rPr>
        <w:t xml:space="preserve"> a commercial fishing vessel encounters hazardous weather or mechanical failure, they can deviate from the landing requirements by following the notification procedures specified in the annual management measures.  For example, notifying the U.S. Coast Guard by radio or cellular phone, and providing the information that would</w:t>
      </w:r>
      <w:r w:rsidR="009E137B">
        <w:rPr>
          <w:rFonts w:ascii="Times New Roman" w:hAnsi="Times New Roman" w:cs="Times New Roman"/>
        </w:rPr>
        <w:t xml:space="preserve">, absent the need to deviate from landing requirements due to </w:t>
      </w:r>
      <w:r w:rsidR="00645279">
        <w:rPr>
          <w:rFonts w:ascii="Times New Roman" w:hAnsi="Times New Roman" w:cs="Times New Roman"/>
        </w:rPr>
        <w:t>unsafe conditions</w:t>
      </w:r>
      <w:r w:rsidR="009E137B">
        <w:rPr>
          <w:rFonts w:ascii="Times New Roman" w:hAnsi="Times New Roman" w:cs="Times New Roman"/>
        </w:rPr>
        <w:t>,</w:t>
      </w:r>
      <w:r w:rsidRPr="009E137B">
        <w:rPr>
          <w:rFonts w:ascii="Times New Roman" w:hAnsi="Times New Roman" w:cs="Times New Roman"/>
        </w:rPr>
        <w:t xml:space="preserve"> usually be provided directly to the states.  The </w:t>
      </w:r>
      <w:r w:rsidRPr="009E137B">
        <w:rPr>
          <w:rFonts w:ascii="Times New Roman" w:hAnsi="Times New Roman" w:cs="Times New Roman"/>
        </w:rPr>
        <w:t xml:space="preserve">notification includes the name of the vessel, port where delivery would be made, approximate amount of salmon (by species) on board, and </w:t>
      </w:r>
      <w:r w:rsidRPr="009E137B">
        <w:rPr>
          <w:rFonts w:ascii="Times New Roman" w:hAnsi="Times New Roman" w:cs="Times New Roman"/>
        </w:rPr>
        <w:t>estimated time of arrival</w:t>
      </w:r>
      <w:r w:rsidR="009E137B">
        <w:rPr>
          <w:rFonts w:ascii="Times New Roman" w:hAnsi="Times New Roman" w:cs="Times New Roman"/>
        </w:rPr>
        <w:t>; exact notification requirements are specified annually</w:t>
      </w:r>
      <w:r w:rsidRPr="009E137B">
        <w:rPr>
          <w:rFonts w:ascii="Times New Roman" w:hAnsi="Times New Roman" w:cs="Times New Roman"/>
        </w:rPr>
        <w:t xml:space="preserve">. </w:t>
      </w:r>
    </w:p>
    <w:p w:rsidR="009E137B" w:rsidRPr="009E137B" w:rsidP="00B63987" w14:paraId="0CD4045C" w14:textId="77777777">
      <w:pPr>
        <w:pStyle w:val="BodyText"/>
        <w:ind w:left="0"/>
        <w:rPr>
          <w:rFonts w:ascii="Times New Roman" w:hAnsi="Times New Roman" w:cs="Times New Roman"/>
        </w:rPr>
      </w:pPr>
      <w:r w:rsidRPr="009E137B">
        <w:rPr>
          <w:rFonts w:ascii="Times New Roman" w:hAnsi="Times New Roman" w:cs="Times New Roman"/>
        </w:rPr>
        <w:t xml:space="preserve">Information on notification </w:t>
      </w:r>
      <w:r w:rsidRPr="009E137B" w:rsidR="002A1097">
        <w:rPr>
          <w:rFonts w:ascii="Times New Roman" w:hAnsi="Times New Roman" w:cs="Times New Roman"/>
        </w:rPr>
        <w:t>is</w:t>
      </w:r>
      <w:r w:rsidRPr="009E137B">
        <w:rPr>
          <w:rFonts w:ascii="Times New Roman" w:hAnsi="Times New Roman" w:cs="Times New Roman"/>
        </w:rPr>
        <w:t xml:space="preserve"> given to the Washington Department of Fish and Wildlife, the Oregon Department of Fish and Wildlife, and the California Department of Fish and Wildlife</w:t>
      </w:r>
      <w:r w:rsidRPr="009E137B" w:rsidR="002A1097">
        <w:rPr>
          <w:rFonts w:ascii="Times New Roman" w:hAnsi="Times New Roman" w:cs="Times New Roman"/>
        </w:rPr>
        <w:t xml:space="preserve"> as</w:t>
      </w:r>
      <w:r w:rsidRPr="009E137B">
        <w:rPr>
          <w:rFonts w:ascii="Times New Roman" w:hAnsi="Times New Roman" w:cs="Times New Roman"/>
        </w:rPr>
        <w:t xml:space="preserve"> required for quota assessment.  </w:t>
      </w:r>
    </w:p>
    <w:p w:rsidR="00CB111B" w:rsidRPr="009E137B" w:rsidP="00B63987" w14:paraId="3CB7E8CE" w14:textId="77777777">
      <w:pPr>
        <w:pStyle w:val="BodyText"/>
        <w:ind w:left="0"/>
        <w:rPr>
          <w:rFonts w:ascii="Times New Roman" w:hAnsi="Times New Roman" w:cs="Times New Roman"/>
        </w:rPr>
      </w:pPr>
      <w:r w:rsidRPr="009E137B">
        <w:rPr>
          <w:rFonts w:ascii="Times New Roman" w:hAnsi="Times New Roman" w:cs="Times New Roman"/>
        </w:rPr>
        <w:t>Federal regulations affecting the EEZ would not be duplicative of state regulations because state regulations subsequently would either conform or defer to Federal regulations.  Concurrent Federal and state regulations are desirable for regulatory consistency and enforceability.</w:t>
      </w:r>
    </w:p>
    <w:p w:rsidR="009E137B" w:rsidP="00B63987" w14:paraId="766B0731" w14:textId="77777777">
      <w:pPr>
        <w:pStyle w:val="BodyText"/>
        <w:ind w:left="0"/>
        <w:rPr>
          <w:rFonts w:ascii="Times New Roman" w:hAnsi="Times New Roman" w:cs="Times New Roman"/>
        </w:rPr>
      </w:pPr>
      <w:r w:rsidRPr="009E137B">
        <w:rPr>
          <w:rFonts w:ascii="Times New Roman" w:hAnsi="Times New Roman" w:cs="Times New Roman"/>
        </w:rPr>
        <w:t>As commercial salmon fishery landings are usually reported to the state in which the landing occurs, there is no other source of this information within Commerce, from other government sources, or from outside sources.</w:t>
      </w:r>
    </w:p>
    <w:p w:rsidR="00B63987" w:rsidRPr="009E137B" w:rsidP="00B63987" w14:paraId="02FFD346" w14:textId="77777777">
      <w:pPr>
        <w:pStyle w:val="BodyText"/>
        <w:ind w:left="0"/>
        <w:rPr>
          <w:rFonts w:ascii="Times New Roman" w:hAnsi="Times New Roman" w:cs="Times New Roman"/>
        </w:rPr>
      </w:pPr>
    </w:p>
    <w:p w:rsidR="008E61C9" w:rsidRPr="00BD7237" w:rsidP="00256AA8" w14:paraId="2B58CA45"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the collection of information impacts small businesses or other small entities, describe any methods used to minimize burden.</w:t>
      </w:r>
    </w:p>
    <w:p w:rsidR="00645279" w:rsidP="00256AA8" w14:paraId="0854887F" w14:textId="77777777">
      <w:pPr>
        <w:pStyle w:val="BodyText"/>
        <w:spacing w:before="160"/>
        <w:ind w:left="0"/>
        <w:rPr>
          <w:rFonts w:ascii="Times New Roman" w:hAnsi="Times New Roman" w:cs="Times New Roman"/>
        </w:rPr>
      </w:pPr>
      <w:r w:rsidRPr="00645279">
        <w:rPr>
          <w:rFonts w:ascii="Times New Roman" w:hAnsi="Times New Roman" w:cs="Times New Roman"/>
        </w:rPr>
        <w:t>The burden on small entities to report information during unsafe conditions is minimized by requiring notification when unsafe conditions prevent normal compliance with landing requirements and notification procedures.  This burden is more than offset by its purpose, which is to provide a safe alternative to regulatory requirements when unsafe weather conditions or mechanical problems may put fishermen at risk.  During normal conditions the collection is taken in person while the fishermen are already in port, lessening the burden on them since they will already be in port offloading their catch.</w:t>
      </w:r>
    </w:p>
    <w:p w:rsidR="00B63987" w:rsidP="00BD7237" w14:paraId="2E0528EF" w14:textId="77777777">
      <w:pPr>
        <w:pStyle w:val="BodyText"/>
        <w:spacing w:before="160"/>
        <w:ind w:left="0"/>
        <w:rPr>
          <w:rFonts w:ascii="Times New Roman" w:hAnsi="Times New Roman" w:cs="Times New Roman"/>
        </w:rPr>
      </w:pPr>
    </w:p>
    <w:p w:rsidR="008E61C9" w:rsidRPr="00BD7237" w:rsidP="00BD7237" w14:paraId="17002687"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645279" w:rsidRPr="00645279" w:rsidP="00645279" w14:paraId="60AAD410" w14:textId="77777777">
      <w:pPr>
        <w:adjustRightInd w:val="0"/>
        <w:rPr>
          <w:rFonts w:ascii="Times New Roman" w:eastAsia="Times New Roman" w:hAnsi="Times New Roman" w:cs="Times New Roman"/>
          <w:sz w:val="24"/>
          <w:szCs w:val="24"/>
          <w:lang w:bidi="ar-SA"/>
        </w:rPr>
      </w:pPr>
    </w:p>
    <w:p w:rsidR="00645279" w:rsidRPr="00645279" w:rsidP="00645279" w14:paraId="14964826" w14:textId="77777777">
      <w:pPr>
        <w:adjustRightInd w:val="0"/>
        <w:rPr>
          <w:rFonts w:ascii="Times New Roman" w:eastAsia="Times New Roman" w:hAnsi="Times New Roman" w:cs="Times New Roman"/>
          <w:sz w:val="24"/>
          <w:szCs w:val="24"/>
          <w:lang w:bidi="ar-SA"/>
        </w:rPr>
      </w:pPr>
      <w:r w:rsidRPr="00645279">
        <w:rPr>
          <w:rFonts w:ascii="Times New Roman" w:eastAsia="Times New Roman" w:hAnsi="Times New Roman" w:cs="Times New Roman"/>
          <w:sz w:val="24"/>
          <w:szCs w:val="24"/>
          <w:lang w:bidi="ar-SA"/>
        </w:rPr>
        <w:t>If the collection could not be conducted, a safe alternative to regulatory requirements would not be available to fishermen when dealing with unsafe weather conditions or mechanical problems.  The collection is made on occasion as necessary, so thus could not be conducted less frequently.</w:t>
      </w:r>
    </w:p>
    <w:p w:rsidR="00645279" w:rsidRPr="00645279" w:rsidP="00645279" w14:paraId="645AA794" w14:textId="77777777">
      <w:pPr>
        <w:adjustRightInd w:val="0"/>
        <w:rPr>
          <w:rFonts w:ascii="Times New Roman" w:eastAsia="Times New Roman" w:hAnsi="Times New Roman" w:cs="Times New Roman"/>
          <w:sz w:val="24"/>
          <w:szCs w:val="24"/>
          <w:lang w:bidi="ar-SA"/>
        </w:rPr>
      </w:pPr>
    </w:p>
    <w:p w:rsidR="00645279" w:rsidRPr="00645279" w:rsidP="00645279" w14:paraId="04DBC770" w14:textId="77777777">
      <w:pPr>
        <w:adjustRightInd w:val="0"/>
        <w:rPr>
          <w:rFonts w:ascii="Times New Roman" w:eastAsia="Times New Roman" w:hAnsi="Times New Roman" w:cs="Times New Roman"/>
          <w:sz w:val="24"/>
          <w:szCs w:val="24"/>
          <w:lang w:bidi="ar-SA"/>
        </w:rPr>
      </w:pPr>
      <w:r w:rsidRPr="00645279">
        <w:rPr>
          <w:rFonts w:ascii="Times New Roman" w:eastAsia="Times New Roman" w:hAnsi="Times New Roman" w:cs="Times New Roman"/>
          <w:sz w:val="24"/>
          <w:szCs w:val="24"/>
          <w:lang w:bidi="ar-SA"/>
        </w:rPr>
        <w:t>The consequences of this collection not occurring would be the inaccurate management of the fishery during the fishing season.  During normal conditions the collection of information by the states of Washington, Oregon, and California provide fishery managers with up-to-date catch information which is essential to the management of the fisheries.</w:t>
      </w:r>
    </w:p>
    <w:p w:rsidR="008E61C9" w:rsidRPr="00BD7237" w:rsidP="00BD7237" w14:paraId="7E7ED206" w14:textId="77777777">
      <w:pPr>
        <w:pStyle w:val="BodyText"/>
        <w:spacing w:before="115"/>
        <w:ind w:left="0"/>
        <w:rPr>
          <w:rFonts w:ascii="Times New Roman" w:hAnsi="Times New Roman" w:cs="Times New Roman"/>
        </w:rPr>
      </w:pPr>
    </w:p>
    <w:p w:rsidR="008E61C9" w:rsidRPr="00BD7237" w:rsidP="00BD7237" w14:paraId="624C352D" w14:textId="75643469">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any special circumstances that would cause an information collection to be conducted in a manner</w:t>
      </w:r>
      <w:r w:rsidR="007A64A8">
        <w:rPr>
          <w:rFonts w:ascii="Times New Roman" w:hAnsi="Times New Roman" w:cs="Times New Roman"/>
          <w:b/>
          <w:sz w:val="24"/>
          <w:szCs w:val="24"/>
        </w:rPr>
        <w:t xml:space="preserve"> inconsistent with OMB guidelines.</w:t>
      </w:r>
    </w:p>
    <w:p w:rsidR="00645279" w:rsidRPr="00256AA8" w:rsidP="007A64A8" w14:paraId="581A3CB1" w14:textId="4430E2EF">
      <w:pPr>
        <w:pStyle w:val="ListParagraph"/>
        <w:spacing w:before="120"/>
        <w:ind w:left="0" w:firstLine="0"/>
        <w:rPr>
          <w:rFonts w:ascii="Times New Roman" w:hAnsi="Times New Roman" w:cs="Times New Roman"/>
          <w:sz w:val="24"/>
          <w:szCs w:val="24"/>
        </w:rPr>
      </w:pPr>
      <w:r>
        <w:rPr>
          <w:rFonts w:ascii="Times New Roman" w:hAnsi="Times New Roman" w:cs="Times New Roman"/>
          <w:sz w:val="24"/>
          <w:szCs w:val="24"/>
        </w:rPr>
        <w:t xml:space="preserve">This collection will be conducted in a manner consistent with OMB guidelines, with one exception.  </w:t>
      </w:r>
      <w:r w:rsidRPr="00256AA8">
        <w:rPr>
          <w:rFonts w:ascii="Times New Roman" w:hAnsi="Times New Roman" w:cs="Times New Roman"/>
          <w:sz w:val="24"/>
          <w:szCs w:val="24"/>
        </w:rPr>
        <w:t xml:space="preserve">Commercial salmon fishermen must </w:t>
      </w:r>
      <w:r w:rsidRPr="00256AA8" w:rsidR="008144F9">
        <w:rPr>
          <w:rFonts w:ascii="Times New Roman" w:hAnsi="Times New Roman" w:cs="Times New Roman"/>
          <w:sz w:val="24"/>
          <w:szCs w:val="24"/>
        </w:rPr>
        <w:t>provide this information any time they need to deviate from the landing requirements due to unsafe circumstances.  The salmon fishing season occurs in limited times and areas; therefore, while is it possible that a respondent may have to report more than once in a quarter, the circumstances requiring a response are uncommon and it is likely that most fishermen will never need to be a respondent.</w:t>
      </w:r>
    </w:p>
    <w:p w:rsidR="008E61C9" w:rsidP="00BD7237" w14:paraId="5137FFCD" w14:textId="72BB130B">
      <w:pPr>
        <w:pStyle w:val="BodyText"/>
        <w:spacing w:before="80"/>
        <w:ind w:left="0"/>
        <w:rPr>
          <w:rFonts w:ascii="Times New Roman" w:hAnsi="Times New Roman" w:cs="Times New Roman"/>
        </w:rPr>
      </w:pPr>
    </w:p>
    <w:p w:rsidR="008E61C9" w:rsidRPr="00BD7237" w:rsidP="00BD7237" w14:paraId="6C5D4A24"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If applicable, provide a copy and identify the date and page number of publications in the Federal Register of the agency's notice, required by 5 CFR 1320.8 (d), soliciting comments on the </w:t>
      </w:r>
      <w:r w:rsidRPr="00BD7237">
        <w:rPr>
          <w:rFonts w:ascii="Times New Roman" w:hAnsi="Times New Roman" w:cs="Times New Roman"/>
          <w:b/>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p>
    <w:p w:rsidR="004447CE" w:rsidP="00BD7237" w14:paraId="51F22BC8" w14:textId="77777777">
      <w:pPr>
        <w:pStyle w:val="BodyText"/>
        <w:spacing w:before="159"/>
        <w:ind w:left="0"/>
        <w:rPr>
          <w:rFonts w:ascii="Times New Roman" w:hAnsi="Times New Roman" w:cs="Times New Roman"/>
        </w:rPr>
      </w:pPr>
      <w:r w:rsidRPr="004447CE">
        <w:rPr>
          <w:rFonts w:ascii="Times New Roman" w:hAnsi="Times New Roman" w:cs="Times New Roman"/>
        </w:rPr>
        <w:t xml:space="preserve">A </w:t>
      </w:r>
      <w:r w:rsidR="00256AA8">
        <w:rPr>
          <w:rFonts w:ascii="Times New Roman" w:hAnsi="Times New Roman" w:cs="Times New Roman"/>
        </w:rPr>
        <w:t xml:space="preserve">notice was published in the </w:t>
      </w:r>
      <w:r w:rsidRPr="004447CE">
        <w:rPr>
          <w:rFonts w:ascii="Times New Roman" w:hAnsi="Times New Roman" w:cs="Times New Roman"/>
        </w:rPr>
        <w:t xml:space="preserve">Federal Register on </w:t>
      </w:r>
      <w:r w:rsidRPr="0079277D" w:rsidR="0079277D">
        <w:rPr>
          <w:rFonts w:ascii="Times New Roman" w:hAnsi="Times New Roman" w:cs="Times New Roman"/>
        </w:rPr>
        <w:t>June 26, 2023</w:t>
      </w:r>
      <w:r w:rsidRPr="0079277D">
        <w:rPr>
          <w:rFonts w:ascii="Times New Roman" w:hAnsi="Times New Roman" w:cs="Times New Roman"/>
        </w:rPr>
        <w:t xml:space="preserve"> (8</w:t>
      </w:r>
      <w:r w:rsidRPr="0079277D" w:rsidR="0079277D">
        <w:rPr>
          <w:rFonts w:ascii="Times New Roman" w:hAnsi="Times New Roman" w:cs="Times New Roman"/>
        </w:rPr>
        <w:t>8</w:t>
      </w:r>
      <w:r w:rsidRPr="0079277D">
        <w:rPr>
          <w:rFonts w:ascii="Times New Roman" w:hAnsi="Times New Roman" w:cs="Times New Roman"/>
        </w:rPr>
        <w:t xml:space="preserve"> FR </w:t>
      </w:r>
      <w:r w:rsidRPr="0079277D" w:rsidR="0079277D">
        <w:rPr>
          <w:rFonts w:ascii="Times New Roman" w:hAnsi="Times New Roman" w:cs="Times New Roman"/>
        </w:rPr>
        <w:t>41388</w:t>
      </w:r>
      <w:r w:rsidRPr="0079277D">
        <w:rPr>
          <w:rFonts w:ascii="Times New Roman" w:hAnsi="Times New Roman" w:cs="Times New Roman"/>
        </w:rPr>
        <w:t>)</w:t>
      </w:r>
      <w:r w:rsidRPr="004447CE">
        <w:rPr>
          <w:rFonts w:ascii="Times New Roman" w:hAnsi="Times New Roman" w:cs="Times New Roman"/>
        </w:rPr>
        <w:t xml:space="preserve"> </w:t>
      </w:r>
      <w:r w:rsidR="00256AA8">
        <w:rPr>
          <w:rFonts w:ascii="Times New Roman" w:hAnsi="Times New Roman" w:cs="Times New Roman"/>
        </w:rPr>
        <w:t xml:space="preserve">which </w:t>
      </w:r>
      <w:r w:rsidRPr="004447CE">
        <w:rPr>
          <w:rFonts w:ascii="Times New Roman" w:hAnsi="Times New Roman" w:cs="Times New Roman"/>
        </w:rPr>
        <w:t>solicited public comments. No comments were received.</w:t>
      </w:r>
    </w:p>
    <w:p w:rsidR="004447CE" w:rsidRPr="004447CE" w:rsidP="004447CE" w14:paraId="5286764A" w14:textId="77777777">
      <w:pPr>
        <w:adjustRightInd w:val="0"/>
        <w:rPr>
          <w:rFonts w:ascii="Times New Roman" w:eastAsia="Times New Roman" w:hAnsi="Times New Roman" w:cs="Times New Roman"/>
          <w:sz w:val="24"/>
          <w:szCs w:val="24"/>
          <w:lang w:bidi="ar-SA"/>
        </w:rPr>
      </w:pPr>
    </w:p>
    <w:p w:rsidR="004447CE" w:rsidRPr="004447CE" w:rsidP="004447CE" w14:paraId="0B74DE89" w14:textId="002E0E30">
      <w:pPr>
        <w:adjustRightInd w:val="0"/>
        <w:rPr>
          <w:rFonts w:ascii="Times New Roman" w:eastAsia="Times New Roman" w:hAnsi="Times New Roman" w:cs="Times New Roman"/>
          <w:sz w:val="24"/>
          <w:szCs w:val="24"/>
          <w:lang w:bidi="ar-SA"/>
        </w:rPr>
      </w:pPr>
      <w:r w:rsidRPr="004447CE">
        <w:rPr>
          <w:rFonts w:ascii="Times New Roman" w:eastAsia="Times New Roman" w:hAnsi="Times New Roman" w:cs="Times New Roman"/>
          <w:sz w:val="24"/>
          <w:szCs w:val="24"/>
          <w:lang w:bidi="ar-SA"/>
        </w:rPr>
        <w:t>The public, as well as federal and state fishery management and enforcement agencies</w:t>
      </w:r>
      <w:r w:rsidR="00E235C0">
        <w:rPr>
          <w:rFonts w:ascii="Times New Roman" w:eastAsia="Times New Roman" w:hAnsi="Times New Roman" w:cs="Times New Roman"/>
          <w:sz w:val="24"/>
          <w:szCs w:val="24"/>
          <w:lang w:bidi="ar-SA"/>
        </w:rPr>
        <w:t xml:space="preserve"> (U.S. Coast Guard and NOAA enforcement entities)</w:t>
      </w:r>
      <w:r w:rsidRPr="004447CE">
        <w:rPr>
          <w:rFonts w:ascii="Times New Roman" w:eastAsia="Times New Roman" w:hAnsi="Times New Roman" w:cs="Times New Roman"/>
          <w:sz w:val="24"/>
          <w:szCs w:val="24"/>
          <w:lang w:bidi="ar-SA"/>
        </w:rPr>
        <w:t xml:space="preserve">, </w:t>
      </w:r>
      <w:r w:rsidR="00CF2E9C">
        <w:rPr>
          <w:rFonts w:ascii="Times New Roman" w:eastAsia="Times New Roman" w:hAnsi="Times New Roman" w:cs="Times New Roman"/>
          <w:sz w:val="24"/>
          <w:szCs w:val="24"/>
          <w:lang w:bidi="ar-SA"/>
        </w:rPr>
        <w:t>are</w:t>
      </w:r>
      <w:r w:rsidRPr="004447CE">
        <w:rPr>
          <w:rFonts w:ascii="Times New Roman" w:eastAsia="Times New Roman" w:hAnsi="Times New Roman" w:cs="Times New Roman"/>
          <w:sz w:val="24"/>
          <w:szCs w:val="24"/>
          <w:lang w:bidi="ar-SA"/>
        </w:rPr>
        <w:t xml:space="preserve"> consulted during all phases of the preseason process for setting the annual management measures in March and April.  Public meetings, public hearings, and written comments provide interested persons the opportunity to express their views on the availability of data, the frequency of collection, the clarity of instructions, the amount of burden to be imposed, and ways to minimize the burden.</w:t>
      </w:r>
    </w:p>
    <w:p w:rsidR="004447CE" w:rsidRPr="004447CE" w:rsidP="00BD7237" w14:paraId="4E39B80F" w14:textId="77777777">
      <w:pPr>
        <w:pStyle w:val="BodyText"/>
        <w:spacing w:before="159"/>
        <w:ind w:left="0"/>
        <w:rPr>
          <w:rFonts w:ascii="Times New Roman" w:hAnsi="Times New Roman" w:cs="Times New Roman"/>
        </w:rPr>
      </w:pPr>
    </w:p>
    <w:p w:rsidR="008E61C9" w:rsidRPr="00BD7237" w:rsidP="00BD7237" w14:paraId="1756E800"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any decision to provide any payment or gift to respondents, other than </w:t>
      </w:r>
      <w:r w:rsidRPr="00BD7237" w:rsidR="00D64DF9">
        <w:rPr>
          <w:rFonts w:ascii="Times New Roman" w:hAnsi="Times New Roman" w:cs="Times New Roman"/>
          <w:b/>
          <w:sz w:val="24"/>
          <w:szCs w:val="24"/>
        </w:rPr>
        <w:t>remuneration</w:t>
      </w:r>
      <w:r w:rsidRPr="00BD7237">
        <w:rPr>
          <w:rFonts w:ascii="Times New Roman" w:hAnsi="Times New Roman" w:cs="Times New Roman"/>
          <w:b/>
          <w:sz w:val="24"/>
          <w:szCs w:val="24"/>
        </w:rPr>
        <w:t xml:space="preserve"> of contractors or grantees.</w:t>
      </w:r>
    </w:p>
    <w:p w:rsidR="000035E5" w:rsidRPr="000035E5" w:rsidP="00BD7237" w14:paraId="7C0F0596" w14:textId="77777777">
      <w:pPr>
        <w:pStyle w:val="BodyText"/>
        <w:spacing w:before="158"/>
        <w:ind w:left="0"/>
        <w:rPr>
          <w:rFonts w:ascii="Times New Roman" w:hAnsi="Times New Roman" w:cs="Times New Roman"/>
        </w:rPr>
      </w:pPr>
      <w:r>
        <w:rPr>
          <w:rFonts w:ascii="Times New Roman" w:hAnsi="Times New Roman" w:cs="Times New Roman"/>
        </w:rPr>
        <w:t>No payment or gifts are provided to respondents.</w:t>
      </w:r>
    </w:p>
    <w:p w:rsidR="008E61C9" w:rsidRPr="00BD7237" w:rsidP="00BD7237" w14:paraId="67565788" w14:textId="77777777">
      <w:pPr>
        <w:pStyle w:val="BodyText"/>
        <w:ind w:left="0"/>
        <w:rPr>
          <w:rFonts w:ascii="Times New Roman" w:hAnsi="Times New Roman" w:cs="Times New Roman"/>
        </w:rPr>
      </w:pPr>
    </w:p>
    <w:p w:rsidR="008E61C9" w:rsidRPr="00BD7237" w:rsidP="00BD7237" w14:paraId="7668E8F9"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0035E5" w:rsidRPr="000035E5" w:rsidP="00BD7237" w14:paraId="31BEA03A" w14:textId="77777777">
      <w:pPr>
        <w:pStyle w:val="BodyText"/>
        <w:spacing w:before="158"/>
        <w:ind w:left="0"/>
        <w:rPr>
          <w:rFonts w:ascii="Times New Roman" w:hAnsi="Times New Roman" w:cs="Times New Roman"/>
        </w:rPr>
      </w:pPr>
      <w:r w:rsidRPr="000035E5">
        <w:rPr>
          <w:rFonts w:ascii="Times New Roman" w:hAnsi="Times New Roman" w:cs="Times New Roman"/>
        </w:rPr>
        <w:t xml:space="preserve">The information will be collected by specified federal or state entities and forwarded to the appropriate state fishery agencies.  Assurance of confidentiality to respondents is based on the policies of the federal and/or state agencies involved. The information collected by NMFS is confidential under section 402(b) of the Magnuson-Stevens Act (16 U.S.C. 1801, et seq.).  It is also confidential under NOAA Administrative Order 216-100, which sets forth procedures to protect </w:t>
      </w:r>
      <w:r w:rsidR="008E0122">
        <w:rPr>
          <w:rFonts w:ascii="Times New Roman" w:hAnsi="Times New Roman" w:cs="Times New Roman"/>
        </w:rPr>
        <w:t xml:space="preserve">the </w:t>
      </w:r>
      <w:r w:rsidRPr="000035E5">
        <w:rPr>
          <w:rFonts w:ascii="Times New Roman" w:hAnsi="Times New Roman" w:cs="Times New Roman"/>
        </w:rPr>
        <w:t>confidentiality of fishery statistics.</w:t>
      </w:r>
    </w:p>
    <w:p w:rsidR="008E61C9" w:rsidRPr="00BD7237" w:rsidP="00BD7237" w14:paraId="7915B000" w14:textId="77777777">
      <w:pPr>
        <w:pStyle w:val="BodyText"/>
        <w:spacing w:before="158"/>
        <w:ind w:left="0"/>
        <w:rPr>
          <w:rFonts w:ascii="Times New Roman" w:hAnsi="Times New Roman" w:cs="Times New Roman"/>
        </w:rPr>
      </w:pPr>
    </w:p>
    <w:p w:rsidR="008E61C9" w:rsidP="00BD7237" w14:paraId="500DF586"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035E5" w:rsidRPr="000035E5" w:rsidP="000035E5" w14:paraId="4290E388" w14:textId="77777777">
      <w:pPr>
        <w:tabs>
          <w:tab w:val="left" w:pos="360"/>
        </w:tabs>
        <w:spacing w:before="80"/>
        <w:rPr>
          <w:rFonts w:ascii="Times New Roman" w:hAnsi="Times New Roman" w:cs="Times New Roman"/>
          <w:sz w:val="24"/>
          <w:szCs w:val="24"/>
        </w:rPr>
      </w:pPr>
      <w:r>
        <w:rPr>
          <w:rFonts w:ascii="Times New Roman" w:hAnsi="Times New Roman" w:cs="Times New Roman"/>
          <w:sz w:val="24"/>
          <w:szCs w:val="24"/>
        </w:rPr>
        <w:t>No questions of a sensitive or private nature are included in this collection.</w:t>
      </w:r>
    </w:p>
    <w:p w:rsidR="008E61C9" w:rsidRPr="00BD7237" w:rsidP="00BD7237" w14:paraId="4B75A7AE" w14:textId="77777777">
      <w:pPr>
        <w:pStyle w:val="ListParagraph"/>
        <w:numPr>
          <w:ilvl w:val="0"/>
          <w:numId w:val="7"/>
        </w:numPr>
        <w:tabs>
          <w:tab w:val="left" w:pos="360"/>
        </w:tabs>
        <w:spacing w:before="80"/>
        <w:ind w:left="0" w:firstLine="0"/>
        <w:rPr>
          <w:rFonts w:ascii="Times New Roman" w:hAnsi="Times New Roman" w:cs="Times New Roman"/>
          <w:b/>
          <w:sz w:val="24"/>
          <w:szCs w:val="24"/>
        </w:rPr>
        <w:sectPr w:rsidSect="00247410">
          <w:footerReference w:type="default" r:id="rId4"/>
          <w:pgSz w:w="12240" w:h="15840"/>
          <w:pgMar w:top="810" w:right="1080" w:bottom="1200" w:left="1080" w:header="0" w:footer="1014" w:gutter="0"/>
          <w:cols w:space="720"/>
        </w:sectPr>
      </w:pPr>
    </w:p>
    <w:p w:rsidR="008E61C9" w:rsidRPr="00BD7237" w:rsidP="00BD7237" w14:paraId="7BAE9ECA" w14:textId="77777777">
      <w:pPr>
        <w:spacing w:line="259" w:lineRule="auto"/>
        <w:rPr>
          <w:rFonts w:ascii="Times New Roman" w:hAnsi="Times New Roman" w:cs="Times New Roman"/>
          <w:sz w:val="24"/>
          <w:szCs w:val="24"/>
        </w:rPr>
      </w:pPr>
    </w:p>
    <w:p w:rsidR="008E61C9" w:rsidRPr="00BD7237" w:rsidP="00BD7237" w14:paraId="750EB0C1"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the hour burden of the collection of information.</w:t>
      </w:r>
    </w:p>
    <w:p w:rsidR="00256AA8" w:rsidRPr="00BD7237" w:rsidP="00256AA8" w14:paraId="3EC34FB2" w14:textId="77777777">
      <w:pPr>
        <w:spacing w:before="199"/>
        <w:jc w:val="center"/>
        <w:rPr>
          <w:rFonts w:ascii="Times New Roman" w:hAnsi="Times New Roman" w:cs="Times New Roman"/>
          <w:b/>
          <w:sz w:val="24"/>
          <w:szCs w:val="24"/>
        </w:rPr>
      </w:pPr>
    </w:p>
    <w:tbl>
      <w:tblPr>
        <w:tblW w:w="14415" w:type="dxa"/>
        <w:tblInd w:w="-25" w:type="dxa"/>
        <w:tblLook w:val="04A0"/>
      </w:tblPr>
      <w:tblGrid>
        <w:gridCol w:w="3560"/>
        <w:gridCol w:w="1945"/>
        <w:gridCol w:w="1441"/>
        <w:gridCol w:w="1349"/>
        <w:gridCol w:w="1170"/>
        <w:gridCol w:w="1080"/>
        <w:gridCol w:w="1137"/>
        <w:gridCol w:w="1066"/>
        <w:gridCol w:w="1667"/>
      </w:tblGrid>
      <w:tr w14:paraId="318BD5AA" w14:textId="77777777" w:rsidTr="00D64DF9">
        <w:tblPrEx>
          <w:tblW w:w="14415" w:type="dxa"/>
          <w:tblInd w:w="-25" w:type="dxa"/>
          <w:tblLook w:val="04A0"/>
        </w:tblPrEx>
        <w:trPr>
          <w:trHeight w:val="1365"/>
        </w:trPr>
        <w:tc>
          <w:tcPr>
            <w:tcW w:w="3560" w:type="dxa"/>
            <w:tcBorders>
              <w:top w:val="single" w:sz="8" w:space="0" w:color="auto"/>
              <w:left w:val="single" w:sz="8" w:space="0" w:color="auto"/>
              <w:bottom w:val="single" w:sz="8" w:space="0" w:color="auto"/>
              <w:right w:val="single" w:sz="8" w:space="0" w:color="000000"/>
            </w:tcBorders>
            <w:shd w:val="clear" w:color="000000" w:fill="BDD7EE"/>
            <w:vAlign w:val="center"/>
            <w:hideMark/>
          </w:tcPr>
          <w:p w:rsidR="00D64DF9" w:rsidRPr="00D64DF9" w:rsidP="00256AA8" w14:paraId="65D52BCA" w14:textId="77777777">
            <w:pPr>
              <w:keepNext/>
              <w:keepLines/>
              <w:widowControl/>
              <w:autoSpaceDE/>
              <w:autoSpaceDN/>
              <w:jc w:val="center"/>
              <w:rPr>
                <w:rFonts w:ascii="Calibri" w:eastAsia="Times New Roman" w:hAnsi="Calibri" w:cs="Calibri"/>
                <w:b/>
                <w:bCs/>
                <w:color w:val="000000"/>
                <w:sz w:val="16"/>
                <w:szCs w:val="16"/>
                <w:lang w:bidi="ar-SA"/>
              </w:rPr>
            </w:pPr>
            <w:r w:rsidRPr="00D64DF9">
              <w:rPr>
                <w:rFonts w:ascii="Calibri" w:eastAsia="Times New Roman" w:hAnsi="Calibri" w:cs="Calibri"/>
                <w:b/>
                <w:bCs/>
                <w:color w:val="000000"/>
                <w:sz w:val="16"/>
                <w:szCs w:val="16"/>
                <w:lang w:bidi="ar-SA"/>
              </w:rPr>
              <w:t>Information Collection</w:t>
            </w:r>
          </w:p>
        </w:tc>
        <w:tc>
          <w:tcPr>
            <w:tcW w:w="1945" w:type="dxa"/>
            <w:tcBorders>
              <w:top w:val="single" w:sz="8" w:space="0" w:color="auto"/>
              <w:left w:val="nil"/>
              <w:bottom w:val="single" w:sz="8" w:space="0" w:color="auto"/>
              <w:right w:val="single" w:sz="8" w:space="0" w:color="000000"/>
            </w:tcBorders>
            <w:shd w:val="clear" w:color="000000" w:fill="BDD7EE"/>
            <w:vAlign w:val="center"/>
            <w:hideMark/>
          </w:tcPr>
          <w:p w:rsidR="00D64DF9" w:rsidRPr="00D64DF9" w:rsidP="00256AA8" w14:paraId="3DFDD334" w14:textId="77777777">
            <w:pPr>
              <w:keepNext/>
              <w:keepLines/>
              <w:widowControl/>
              <w:autoSpaceDE/>
              <w:autoSpaceDN/>
              <w:jc w:val="center"/>
              <w:rPr>
                <w:rFonts w:ascii="Calibri" w:eastAsia="Times New Roman" w:hAnsi="Calibri" w:cs="Calibri"/>
                <w:b/>
                <w:bCs/>
                <w:color w:val="000000"/>
                <w:sz w:val="16"/>
                <w:szCs w:val="16"/>
                <w:lang w:bidi="ar-SA"/>
              </w:rPr>
            </w:pPr>
            <w:r w:rsidRPr="00D64DF9">
              <w:rPr>
                <w:rFonts w:ascii="Calibri" w:eastAsia="Times New Roman" w:hAnsi="Calibri" w:cs="Calibri"/>
                <w:b/>
                <w:bCs/>
                <w:color w:val="000000"/>
                <w:sz w:val="16"/>
                <w:szCs w:val="16"/>
                <w:lang w:bidi="ar-SA"/>
              </w:rPr>
              <w:t>Type of Respondent (e.g., Occupational Title)</w:t>
            </w:r>
          </w:p>
        </w:tc>
        <w:tc>
          <w:tcPr>
            <w:tcW w:w="1441" w:type="dxa"/>
            <w:tcBorders>
              <w:top w:val="single" w:sz="8" w:space="0" w:color="auto"/>
              <w:left w:val="nil"/>
              <w:bottom w:val="single" w:sz="8" w:space="0" w:color="auto"/>
              <w:right w:val="single" w:sz="8" w:space="0" w:color="000000"/>
            </w:tcBorders>
            <w:shd w:val="clear" w:color="000000" w:fill="BDD7EE"/>
            <w:vAlign w:val="center"/>
            <w:hideMark/>
          </w:tcPr>
          <w:p w:rsidR="00D64DF9" w:rsidRPr="00D64DF9" w:rsidP="00256AA8" w14:paraId="4D9C3E2B" w14:textId="77777777">
            <w:pPr>
              <w:keepNext/>
              <w:keepLines/>
              <w:widowControl/>
              <w:autoSpaceDE/>
              <w:autoSpaceDN/>
              <w:jc w:val="center"/>
              <w:rPr>
                <w:rFonts w:ascii="Calibri" w:eastAsia="Times New Roman" w:hAnsi="Calibri" w:cs="Calibri"/>
                <w:b/>
                <w:bCs/>
                <w:color w:val="000000"/>
                <w:sz w:val="16"/>
                <w:szCs w:val="16"/>
                <w:lang w:bidi="ar-SA"/>
              </w:rPr>
            </w:pPr>
            <w:r w:rsidRPr="00D64DF9">
              <w:rPr>
                <w:rFonts w:ascii="Calibri" w:eastAsia="Times New Roman" w:hAnsi="Calibri" w:cs="Calibri"/>
                <w:b/>
                <w:bCs/>
                <w:color w:val="000000"/>
                <w:sz w:val="16"/>
                <w:szCs w:val="16"/>
                <w:lang w:bidi="ar-SA"/>
              </w:rPr>
              <w:t># of Respondents/year</w:t>
            </w:r>
            <w:r w:rsidRPr="00D64DF9">
              <w:rPr>
                <w:rFonts w:ascii="Calibri" w:eastAsia="Times New Roman" w:hAnsi="Calibri" w:cs="Calibri"/>
                <w:b/>
                <w:bCs/>
                <w:color w:val="000000"/>
                <w:sz w:val="16"/>
                <w:szCs w:val="16"/>
                <w:lang w:bidi="ar-SA"/>
              </w:rPr>
              <w:br/>
              <w:t>(a)</w:t>
            </w:r>
          </w:p>
        </w:tc>
        <w:tc>
          <w:tcPr>
            <w:tcW w:w="1349" w:type="dxa"/>
            <w:tcBorders>
              <w:top w:val="single" w:sz="8" w:space="0" w:color="auto"/>
              <w:left w:val="nil"/>
              <w:bottom w:val="single" w:sz="8" w:space="0" w:color="auto"/>
              <w:right w:val="single" w:sz="8" w:space="0" w:color="auto"/>
            </w:tcBorders>
            <w:shd w:val="clear" w:color="000000" w:fill="BDD7EE"/>
            <w:vAlign w:val="center"/>
            <w:hideMark/>
          </w:tcPr>
          <w:p w:rsidR="00D64DF9" w:rsidRPr="00D64DF9" w:rsidP="00256AA8" w14:paraId="7E09CE03" w14:textId="77777777">
            <w:pPr>
              <w:keepNext/>
              <w:keepLines/>
              <w:widowControl/>
              <w:autoSpaceDE/>
              <w:autoSpaceDN/>
              <w:jc w:val="center"/>
              <w:rPr>
                <w:rFonts w:ascii="Calibri" w:eastAsia="Times New Roman" w:hAnsi="Calibri" w:cs="Calibri"/>
                <w:b/>
                <w:bCs/>
                <w:color w:val="000000"/>
                <w:sz w:val="16"/>
                <w:szCs w:val="16"/>
                <w:lang w:bidi="ar-SA"/>
              </w:rPr>
            </w:pPr>
            <w:r w:rsidRPr="00D64DF9">
              <w:rPr>
                <w:rFonts w:ascii="Calibri" w:eastAsia="Times New Roman" w:hAnsi="Calibri" w:cs="Calibri"/>
                <w:b/>
                <w:bCs/>
                <w:color w:val="000000"/>
                <w:sz w:val="16"/>
                <w:szCs w:val="16"/>
                <w:lang w:bidi="ar-SA"/>
              </w:rPr>
              <w:t>Annual # of Responses / Respondent</w:t>
            </w:r>
            <w:r w:rsidRPr="00D64DF9">
              <w:rPr>
                <w:rFonts w:ascii="Calibri" w:eastAsia="Times New Roman" w:hAnsi="Calibri" w:cs="Calibri"/>
                <w:b/>
                <w:bCs/>
                <w:color w:val="000000"/>
                <w:sz w:val="16"/>
                <w:szCs w:val="16"/>
                <w:lang w:bidi="ar-SA"/>
              </w:rPr>
              <w:br/>
              <w:t>(b)</w:t>
            </w:r>
          </w:p>
        </w:tc>
        <w:tc>
          <w:tcPr>
            <w:tcW w:w="1170" w:type="dxa"/>
            <w:tcBorders>
              <w:top w:val="single" w:sz="8" w:space="0" w:color="auto"/>
              <w:left w:val="nil"/>
              <w:bottom w:val="single" w:sz="8" w:space="0" w:color="auto"/>
              <w:right w:val="single" w:sz="8" w:space="0" w:color="auto"/>
            </w:tcBorders>
            <w:shd w:val="clear" w:color="000000" w:fill="BDD7EE"/>
            <w:vAlign w:val="center"/>
            <w:hideMark/>
          </w:tcPr>
          <w:p w:rsidR="00D64DF9" w:rsidRPr="00D64DF9" w:rsidP="00256AA8" w14:paraId="5931337D" w14:textId="77777777">
            <w:pPr>
              <w:keepNext/>
              <w:keepLines/>
              <w:widowControl/>
              <w:autoSpaceDE/>
              <w:autoSpaceDN/>
              <w:jc w:val="center"/>
              <w:rPr>
                <w:rFonts w:ascii="Calibri" w:eastAsia="Times New Roman" w:hAnsi="Calibri" w:cs="Calibri"/>
                <w:b/>
                <w:bCs/>
                <w:color w:val="000000"/>
                <w:sz w:val="16"/>
                <w:szCs w:val="16"/>
                <w:lang w:bidi="ar-SA"/>
              </w:rPr>
            </w:pPr>
            <w:r w:rsidRPr="00D64DF9">
              <w:rPr>
                <w:rFonts w:ascii="Calibri" w:eastAsia="Times New Roman" w:hAnsi="Calibri" w:cs="Calibri"/>
                <w:b/>
                <w:bCs/>
                <w:color w:val="000000"/>
                <w:sz w:val="16"/>
                <w:szCs w:val="16"/>
                <w:lang w:bidi="ar-SA"/>
              </w:rPr>
              <w:t xml:space="preserve"> Total # of Annual Responses</w:t>
            </w:r>
            <w:r w:rsidRPr="00D64DF9">
              <w:rPr>
                <w:rFonts w:ascii="Calibri" w:eastAsia="Times New Roman" w:hAnsi="Calibri" w:cs="Calibri"/>
                <w:b/>
                <w:bCs/>
                <w:color w:val="000000"/>
                <w:sz w:val="16"/>
                <w:szCs w:val="16"/>
                <w:lang w:bidi="ar-SA"/>
              </w:rPr>
              <w:br/>
              <w:t>(c) = (a) x (b)</w:t>
            </w:r>
          </w:p>
        </w:tc>
        <w:tc>
          <w:tcPr>
            <w:tcW w:w="1080" w:type="dxa"/>
            <w:tcBorders>
              <w:top w:val="single" w:sz="8" w:space="0" w:color="auto"/>
              <w:left w:val="nil"/>
              <w:bottom w:val="single" w:sz="8" w:space="0" w:color="auto"/>
              <w:right w:val="single" w:sz="8" w:space="0" w:color="auto"/>
            </w:tcBorders>
            <w:shd w:val="clear" w:color="000000" w:fill="BDD7EE"/>
            <w:vAlign w:val="center"/>
            <w:hideMark/>
          </w:tcPr>
          <w:p w:rsidR="00D64DF9" w:rsidRPr="00D64DF9" w:rsidP="00256AA8" w14:paraId="4F91198D" w14:textId="77777777">
            <w:pPr>
              <w:keepNext/>
              <w:keepLines/>
              <w:widowControl/>
              <w:autoSpaceDE/>
              <w:autoSpaceDN/>
              <w:jc w:val="center"/>
              <w:rPr>
                <w:rFonts w:ascii="Calibri" w:eastAsia="Times New Roman" w:hAnsi="Calibri" w:cs="Calibri"/>
                <w:b/>
                <w:bCs/>
                <w:color w:val="000000"/>
                <w:sz w:val="16"/>
                <w:szCs w:val="16"/>
                <w:lang w:bidi="ar-SA"/>
              </w:rPr>
            </w:pPr>
            <w:r w:rsidRPr="00D64DF9">
              <w:rPr>
                <w:rFonts w:ascii="Calibri" w:eastAsia="Times New Roman" w:hAnsi="Calibri" w:cs="Calibri"/>
                <w:b/>
                <w:bCs/>
                <w:color w:val="000000"/>
                <w:sz w:val="16"/>
                <w:szCs w:val="16"/>
                <w:lang w:bidi="ar-SA"/>
              </w:rPr>
              <w:t xml:space="preserve">Burden </w:t>
            </w:r>
            <w:r w:rsidRPr="00D64DF9">
              <w:rPr>
                <w:rFonts w:ascii="Calibri" w:eastAsia="Times New Roman" w:hAnsi="Calibri" w:cs="Calibri"/>
                <w:b/>
                <w:bCs/>
                <w:color w:val="000000"/>
                <w:sz w:val="16"/>
                <w:szCs w:val="16"/>
                <w:lang w:bidi="ar-SA"/>
              </w:rPr>
              <w:t>Hrs</w:t>
            </w:r>
            <w:r w:rsidRPr="00D64DF9">
              <w:rPr>
                <w:rFonts w:ascii="Calibri" w:eastAsia="Times New Roman" w:hAnsi="Calibri" w:cs="Calibri"/>
                <w:b/>
                <w:bCs/>
                <w:color w:val="000000"/>
                <w:sz w:val="16"/>
                <w:szCs w:val="16"/>
                <w:lang w:bidi="ar-SA"/>
              </w:rPr>
              <w:t xml:space="preserve"> / Response</w:t>
            </w:r>
            <w:r w:rsidRPr="00D64DF9">
              <w:rPr>
                <w:rFonts w:ascii="Calibri" w:eastAsia="Times New Roman" w:hAnsi="Calibri" w:cs="Calibri"/>
                <w:b/>
                <w:bCs/>
                <w:color w:val="000000"/>
                <w:sz w:val="16"/>
                <w:szCs w:val="16"/>
                <w:lang w:bidi="ar-SA"/>
              </w:rPr>
              <w:br/>
              <w:t>(d)</w:t>
            </w:r>
          </w:p>
        </w:tc>
        <w:tc>
          <w:tcPr>
            <w:tcW w:w="1137" w:type="dxa"/>
            <w:tcBorders>
              <w:top w:val="single" w:sz="8" w:space="0" w:color="auto"/>
              <w:left w:val="nil"/>
              <w:bottom w:val="single" w:sz="8" w:space="0" w:color="auto"/>
              <w:right w:val="single" w:sz="8" w:space="0" w:color="auto"/>
            </w:tcBorders>
            <w:shd w:val="clear" w:color="000000" w:fill="BDD7EE"/>
            <w:vAlign w:val="center"/>
            <w:hideMark/>
          </w:tcPr>
          <w:p w:rsidR="00D64DF9" w:rsidRPr="00D64DF9" w:rsidP="00256AA8" w14:paraId="0C8E1995" w14:textId="77777777">
            <w:pPr>
              <w:keepNext/>
              <w:keepLines/>
              <w:widowControl/>
              <w:autoSpaceDE/>
              <w:autoSpaceDN/>
              <w:jc w:val="center"/>
              <w:rPr>
                <w:rFonts w:ascii="Calibri" w:eastAsia="Times New Roman" w:hAnsi="Calibri" w:cs="Calibri"/>
                <w:b/>
                <w:bCs/>
                <w:color w:val="000000"/>
                <w:sz w:val="16"/>
                <w:szCs w:val="16"/>
                <w:lang w:bidi="ar-SA"/>
              </w:rPr>
            </w:pPr>
            <w:r w:rsidRPr="00D64DF9">
              <w:rPr>
                <w:rFonts w:ascii="Calibri" w:eastAsia="Times New Roman" w:hAnsi="Calibri" w:cs="Calibri"/>
                <w:b/>
                <w:bCs/>
                <w:color w:val="000000"/>
                <w:sz w:val="16"/>
                <w:szCs w:val="16"/>
                <w:lang w:bidi="ar-SA"/>
              </w:rPr>
              <w:t xml:space="preserve">Total Annual Burden </w:t>
            </w:r>
            <w:r w:rsidRPr="00D64DF9">
              <w:rPr>
                <w:rFonts w:ascii="Calibri" w:eastAsia="Times New Roman" w:hAnsi="Calibri" w:cs="Calibri"/>
                <w:b/>
                <w:bCs/>
                <w:color w:val="000000"/>
                <w:sz w:val="16"/>
                <w:szCs w:val="16"/>
                <w:lang w:bidi="ar-SA"/>
              </w:rPr>
              <w:t>Hrs</w:t>
            </w:r>
            <w:r w:rsidRPr="00D64DF9">
              <w:rPr>
                <w:rFonts w:ascii="Calibri" w:eastAsia="Times New Roman" w:hAnsi="Calibri" w:cs="Calibri"/>
                <w:b/>
                <w:bCs/>
                <w:color w:val="000000"/>
                <w:sz w:val="16"/>
                <w:szCs w:val="16"/>
                <w:lang w:bidi="ar-SA"/>
              </w:rPr>
              <w:br/>
              <w:t>(</w:t>
            </w:r>
            <w:r w:rsidRPr="00D64DF9">
              <w:rPr>
                <w:rFonts w:ascii="Calibri" w:eastAsia="Times New Roman" w:hAnsi="Calibri" w:cs="Calibri"/>
                <w:b/>
                <w:bCs/>
                <w:color w:val="000000"/>
                <w:sz w:val="16"/>
                <w:szCs w:val="16"/>
                <w:lang w:bidi="ar-SA"/>
              </w:rPr>
              <w:t>e)  =</w:t>
            </w:r>
            <w:r w:rsidRPr="00D64DF9">
              <w:rPr>
                <w:rFonts w:ascii="Calibri" w:eastAsia="Times New Roman" w:hAnsi="Calibri" w:cs="Calibri"/>
                <w:b/>
                <w:bCs/>
                <w:color w:val="000000"/>
                <w:sz w:val="16"/>
                <w:szCs w:val="16"/>
                <w:lang w:bidi="ar-SA"/>
              </w:rPr>
              <w:t xml:space="preserve"> (c) x (d)</w:t>
            </w:r>
          </w:p>
        </w:tc>
        <w:tc>
          <w:tcPr>
            <w:tcW w:w="1066" w:type="dxa"/>
            <w:tcBorders>
              <w:top w:val="single" w:sz="8" w:space="0" w:color="auto"/>
              <w:left w:val="nil"/>
              <w:bottom w:val="single" w:sz="8" w:space="0" w:color="auto"/>
              <w:right w:val="single" w:sz="8" w:space="0" w:color="auto"/>
            </w:tcBorders>
            <w:shd w:val="clear" w:color="000000" w:fill="BDD7EE"/>
            <w:vAlign w:val="center"/>
            <w:hideMark/>
          </w:tcPr>
          <w:p w:rsidR="00D64DF9" w:rsidRPr="00D64DF9" w:rsidP="00256AA8" w14:paraId="4278170F" w14:textId="77777777">
            <w:pPr>
              <w:keepNext/>
              <w:keepLines/>
              <w:widowControl/>
              <w:autoSpaceDE/>
              <w:autoSpaceDN/>
              <w:jc w:val="center"/>
              <w:rPr>
                <w:rFonts w:ascii="Calibri" w:eastAsia="Times New Roman" w:hAnsi="Calibri" w:cs="Calibri"/>
                <w:b/>
                <w:bCs/>
                <w:color w:val="000000"/>
                <w:sz w:val="16"/>
                <w:szCs w:val="16"/>
                <w:lang w:bidi="ar-SA"/>
              </w:rPr>
            </w:pPr>
            <w:r w:rsidRPr="00D64DF9">
              <w:rPr>
                <w:rFonts w:ascii="Calibri" w:eastAsia="Times New Roman" w:hAnsi="Calibri" w:cs="Calibri"/>
                <w:b/>
                <w:bCs/>
                <w:color w:val="000000"/>
                <w:sz w:val="16"/>
                <w:szCs w:val="16"/>
                <w:lang w:bidi="ar-SA"/>
              </w:rPr>
              <w:t xml:space="preserve">Hourly Wage </w:t>
            </w:r>
            <w:r w:rsidRPr="00D64DF9">
              <w:rPr>
                <w:rFonts w:ascii="Calibri" w:eastAsia="Times New Roman" w:hAnsi="Calibri" w:cs="Calibri"/>
                <w:b/>
                <w:bCs/>
                <w:color w:val="000000"/>
                <w:sz w:val="16"/>
                <w:szCs w:val="16"/>
                <w:lang w:bidi="ar-SA"/>
              </w:rPr>
              <w:t>Rate  (</w:t>
            </w:r>
            <w:r w:rsidRPr="00D64DF9">
              <w:rPr>
                <w:rFonts w:ascii="Calibri" w:eastAsia="Times New Roman" w:hAnsi="Calibri" w:cs="Calibri"/>
                <w:b/>
                <w:bCs/>
                <w:color w:val="000000"/>
                <w:sz w:val="16"/>
                <w:szCs w:val="16"/>
                <w:lang w:bidi="ar-SA"/>
              </w:rPr>
              <w:t>for Type of Respondent)</w:t>
            </w:r>
            <w:r w:rsidRPr="00D64DF9">
              <w:rPr>
                <w:rFonts w:ascii="Calibri" w:eastAsia="Times New Roman" w:hAnsi="Calibri" w:cs="Calibri"/>
                <w:b/>
                <w:bCs/>
                <w:color w:val="000000"/>
                <w:sz w:val="16"/>
                <w:szCs w:val="16"/>
                <w:lang w:bidi="ar-SA"/>
              </w:rPr>
              <w:br/>
              <w:t>(f)</w:t>
            </w:r>
          </w:p>
        </w:tc>
        <w:tc>
          <w:tcPr>
            <w:tcW w:w="1667" w:type="dxa"/>
            <w:tcBorders>
              <w:top w:val="single" w:sz="8" w:space="0" w:color="auto"/>
              <w:left w:val="nil"/>
              <w:bottom w:val="single" w:sz="8" w:space="0" w:color="auto"/>
              <w:right w:val="single" w:sz="8" w:space="0" w:color="auto"/>
            </w:tcBorders>
            <w:shd w:val="clear" w:color="000000" w:fill="BDD7EE"/>
            <w:vAlign w:val="center"/>
            <w:hideMark/>
          </w:tcPr>
          <w:p w:rsidR="00D64DF9" w:rsidRPr="00D64DF9" w:rsidP="00256AA8" w14:paraId="1419818E" w14:textId="77777777">
            <w:pPr>
              <w:keepNext/>
              <w:keepLines/>
              <w:widowControl/>
              <w:autoSpaceDE/>
              <w:autoSpaceDN/>
              <w:jc w:val="center"/>
              <w:rPr>
                <w:rFonts w:ascii="Calibri" w:eastAsia="Times New Roman" w:hAnsi="Calibri" w:cs="Calibri"/>
                <w:b/>
                <w:bCs/>
                <w:color w:val="000000"/>
                <w:sz w:val="16"/>
                <w:szCs w:val="16"/>
                <w:lang w:bidi="ar-SA"/>
              </w:rPr>
            </w:pPr>
            <w:r w:rsidRPr="00D64DF9">
              <w:rPr>
                <w:rFonts w:ascii="Calibri" w:eastAsia="Times New Roman" w:hAnsi="Calibri" w:cs="Calibri"/>
                <w:b/>
                <w:bCs/>
                <w:color w:val="000000"/>
                <w:sz w:val="16"/>
                <w:szCs w:val="16"/>
                <w:lang w:bidi="ar-SA"/>
              </w:rPr>
              <w:t>Total Annual Wage Burden Costs</w:t>
            </w:r>
            <w:r w:rsidRPr="00D64DF9">
              <w:rPr>
                <w:rFonts w:ascii="Calibri" w:eastAsia="Times New Roman" w:hAnsi="Calibri" w:cs="Calibri"/>
                <w:b/>
                <w:bCs/>
                <w:color w:val="000000"/>
                <w:sz w:val="16"/>
                <w:szCs w:val="16"/>
                <w:lang w:bidi="ar-SA"/>
              </w:rPr>
              <w:br/>
              <w:t>(g) = (e) x (f)</w:t>
            </w:r>
          </w:p>
        </w:tc>
      </w:tr>
      <w:tr w14:paraId="08913C1D" w14:textId="77777777" w:rsidTr="00D64DF9">
        <w:tblPrEx>
          <w:tblW w:w="14415" w:type="dxa"/>
          <w:tblInd w:w="-25" w:type="dxa"/>
          <w:tblLook w:val="04A0"/>
        </w:tblPrEx>
        <w:trPr>
          <w:trHeight w:val="300"/>
        </w:trPr>
        <w:tc>
          <w:tcPr>
            <w:tcW w:w="3560" w:type="dxa"/>
            <w:tcBorders>
              <w:top w:val="nil"/>
              <w:left w:val="single" w:sz="8" w:space="0" w:color="auto"/>
              <w:bottom w:val="single" w:sz="4" w:space="0" w:color="auto"/>
              <w:right w:val="single" w:sz="4" w:space="0" w:color="auto"/>
            </w:tcBorders>
            <w:shd w:val="clear" w:color="auto" w:fill="auto"/>
            <w:vAlign w:val="bottom"/>
            <w:hideMark/>
          </w:tcPr>
          <w:p w:rsidR="00814385" w:rsidRPr="00D64DF9" w:rsidP="00256AA8" w14:paraId="5C90B39F" w14:textId="77777777">
            <w:pPr>
              <w:keepNext/>
              <w:keepLines/>
              <w:widowControl/>
              <w:autoSpaceDE/>
              <w:autoSpaceDN/>
              <w:rPr>
                <w:rFonts w:ascii="Calibri" w:eastAsia="Times New Roman" w:hAnsi="Calibri" w:cs="Calibri"/>
                <w:color w:val="000000"/>
                <w:sz w:val="16"/>
                <w:szCs w:val="16"/>
                <w:lang w:bidi="ar-SA"/>
              </w:rPr>
            </w:pPr>
            <w:r w:rsidRPr="00D64DF9">
              <w:rPr>
                <w:rFonts w:ascii="Calibri" w:eastAsia="Times New Roman" w:hAnsi="Calibri" w:cs="Calibri"/>
                <w:color w:val="000000"/>
                <w:sz w:val="16"/>
                <w:szCs w:val="16"/>
                <w:lang w:bidi="ar-SA"/>
              </w:rPr>
              <w:t> </w:t>
            </w:r>
            <w:r w:rsidRPr="00814385">
              <w:rPr>
                <w:rFonts w:ascii="Calibri" w:eastAsia="Times New Roman" w:hAnsi="Calibri" w:cs="Calibri"/>
                <w:color w:val="000000"/>
                <w:sz w:val="16"/>
                <w:szCs w:val="16"/>
                <w:lang w:bidi="ar-SA"/>
              </w:rPr>
              <w:t>Report of salmon landing information during unsafe conditions</w:t>
            </w:r>
          </w:p>
        </w:tc>
        <w:tc>
          <w:tcPr>
            <w:tcW w:w="1945" w:type="dxa"/>
            <w:tcBorders>
              <w:top w:val="nil"/>
              <w:left w:val="nil"/>
              <w:bottom w:val="single" w:sz="4" w:space="0" w:color="auto"/>
              <w:right w:val="single" w:sz="4" w:space="0" w:color="auto"/>
            </w:tcBorders>
            <w:shd w:val="clear" w:color="auto" w:fill="auto"/>
            <w:vAlign w:val="bottom"/>
            <w:hideMark/>
          </w:tcPr>
          <w:p w:rsidR="00814385" w:rsidRPr="00D64DF9" w:rsidP="00256AA8" w14:paraId="3647C4F0" w14:textId="77777777">
            <w:pPr>
              <w:keepNext/>
              <w:keepLines/>
              <w:widowControl/>
              <w:autoSpaceDE/>
              <w:autoSpaceDN/>
              <w:jc w:val="center"/>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Captain</w:t>
            </w:r>
            <w:r w:rsidRPr="00D64DF9">
              <w:rPr>
                <w:rFonts w:ascii="Calibri" w:eastAsia="Times New Roman" w:hAnsi="Calibri" w:cs="Calibri"/>
                <w:color w:val="000000"/>
                <w:sz w:val="16"/>
                <w:szCs w:val="16"/>
                <w:lang w:bidi="ar-SA"/>
              </w:rPr>
              <w:t> </w:t>
            </w:r>
          </w:p>
        </w:tc>
        <w:tc>
          <w:tcPr>
            <w:tcW w:w="1441" w:type="dxa"/>
            <w:tcBorders>
              <w:top w:val="nil"/>
              <w:left w:val="nil"/>
              <w:bottom w:val="single" w:sz="4" w:space="0" w:color="auto"/>
              <w:right w:val="single" w:sz="4" w:space="0" w:color="auto"/>
            </w:tcBorders>
            <w:shd w:val="clear" w:color="auto" w:fill="auto"/>
            <w:vAlign w:val="bottom"/>
            <w:hideMark/>
          </w:tcPr>
          <w:p w:rsidR="00814385" w:rsidRPr="00CA2B37" w:rsidP="00256AA8" w14:paraId="7A5AED6C" w14:textId="77777777">
            <w:pPr>
              <w:keepNext/>
              <w:keepLines/>
              <w:widowControl/>
              <w:autoSpaceDE/>
              <w:autoSpaceDN/>
              <w:jc w:val="right"/>
              <w:rPr>
                <w:rFonts w:ascii="Calibri" w:hAnsi="Calibri" w:cs="Calibri"/>
                <w:color w:val="000000"/>
                <w:sz w:val="16"/>
                <w:szCs w:val="16"/>
              </w:rPr>
            </w:pPr>
            <w:r>
              <w:rPr>
                <w:rFonts w:ascii="Calibri" w:hAnsi="Calibri" w:cs="Calibri"/>
                <w:color w:val="000000"/>
                <w:sz w:val="16"/>
                <w:szCs w:val="16"/>
              </w:rPr>
              <w:t>40</w:t>
            </w:r>
            <w:r w:rsidRPr="00CA2B37">
              <w:rPr>
                <w:rFonts w:ascii="Calibri" w:hAnsi="Calibri" w:cs="Calibri"/>
                <w:color w:val="000000"/>
                <w:sz w:val="16"/>
                <w:szCs w:val="16"/>
              </w:rPr>
              <w:t> </w:t>
            </w:r>
          </w:p>
        </w:tc>
        <w:tc>
          <w:tcPr>
            <w:tcW w:w="1349" w:type="dxa"/>
            <w:tcBorders>
              <w:top w:val="nil"/>
              <w:left w:val="nil"/>
              <w:bottom w:val="single" w:sz="4" w:space="0" w:color="auto"/>
              <w:right w:val="single" w:sz="4" w:space="0" w:color="auto"/>
            </w:tcBorders>
            <w:shd w:val="clear" w:color="auto" w:fill="auto"/>
            <w:vAlign w:val="bottom"/>
            <w:hideMark/>
          </w:tcPr>
          <w:p w:rsidR="00814385" w:rsidRPr="00CA2B37" w:rsidP="00256AA8" w14:paraId="0D5337F5" w14:textId="77777777">
            <w:pPr>
              <w:keepNext/>
              <w:keepLines/>
              <w:widowControl/>
              <w:autoSpaceDE/>
              <w:autoSpaceDN/>
              <w:jc w:val="right"/>
              <w:rPr>
                <w:rFonts w:ascii="Calibri" w:hAnsi="Calibri" w:cs="Calibri"/>
                <w:color w:val="000000"/>
                <w:sz w:val="16"/>
                <w:szCs w:val="16"/>
              </w:rPr>
            </w:pPr>
            <w:r>
              <w:rPr>
                <w:rFonts w:ascii="Calibri" w:hAnsi="Calibri" w:cs="Calibri"/>
                <w:color w:val="000000"/>
                <w:sz w:val="16"/>
                <w:szCs w:val="16"/>
              </w:rPr>
              <w:t>1</w:t>
            </w:r>
            <w:r w:rsidRPr="00CA2B37">
              <w:rPr>
                <w:rFonts w:ascii="Calibri" w:hAnsi="Calibri" w:cs="Calibri"/>
                <w:color w:val="000000"/>
                <w:sz w:val="16"/>
                <w:szCs w:val="16"/>
              </w:rPr>
              <w:t> </w:t>
            </w:r>
          </w:p>
        </w:tc>
        <w:tc>
          <w:tcPr>
            <w:tcW w:w="1170" w:type="dxa"/>
            <w:tcBorders>
              <w:top w:val="nil"/>
              <w:left w:val="nil"/>
              <w:bottom w:val="single" w:sz="4" w:space="0" w:color="auto"/>
              <w:right w:val="single" w:sz="4" w:space="0" w:color="auto"/>
            </w:tcBorders>
            <w:shd w:val="clear" w:color="auto" w:fill="auto"/>
            <w:vAlign w:val="bottom"/>
            <w:hideMark/>
          </w:tcPr>
          <w:p w:rsidR="00814385" w:rsidRPr="00CA2B37" w:rsidP="00256AA8" w14:paraId="4C965EE3" w14:textId="77777777">
            <w:pPr>
              <w:keepNext/>
              <w:keepLines/>
              <w:widowControl/>
              <w:autoSpaceDE/>
              <w:autoSpaceDN/>
              <w:jc w:val="right"/>
              <w:rPr>
                <w:rFonts w:ascii="Calibri" w:hAnsi="Calibri" w:cs="Calibri"/>
                <w:color w:val="000000"/>
                <w:sz w:val="16"/>
                <w:szCs w:val="16"/>
              </w:rPr>
            </w:pPr>
            <w:r>
              <w:rPr>
                <w:rFonts w:ascii="Calibri" w:hAnsi="Calibri" w:cs="Calibri"/>
                <w:color w:val="000000"/>
                <w:sz w:val="16"/>
                <w:szCs w:val="16"/>
              </w:rPr>
              <w:t>40</w:t>
            </w:r>
            <w:r w:rsidRPr="00CA2B37">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vAlign w:val="bottom"/>
            <w:hideMark/>
          </w:tcPr>
          <w:p w:rsidR="00814385" w:rsidRPr="00CA2B37" w:rsidP="00256AA8" w14:paraId="3FC2FCBD" w14:textId="77777777">
            <w:pPr>
              <w:keepNext/>
              <w:keepLines/>
              <w:widowControl/>
              <w:autoSpaceDE/>
              <w:autoSpaceDN/>
              <w:jc w:val="right"/>
              <w:rPr>
                <w:rFonts w:ascii="Calibri" w:hAnsi="Calibri" w:cs="Calibri"/>
                <w:color w:val="000000"/>
                <w:sz w:val="16"/>
                <w:szCs w:val="16"/>
              </w:rPr>
            </w:pPr>
            <w:r>
              <w:rPr>
                <w:rFonts w:ascii="Calibri" w:hAnsi="Calibri" w:cs="Calibri"/>
                <w:color w:val="000000"/>
                <w:sz w:val="16"/>
                <w:szCs w:val="16"/>
              </w:rPr>
              <w:t>0.25</w:t>
            </w:r>
            <w:r w:rsidRPr="00CA2B37">
              <w:rPr>
                <w:rFonts w:ascii="Calibri" w:hAnsi="Calibri" w:cs="Calibri"/>
                <w:color w:val="000000"/>
                <w:sz w:val="16"/>
                <w:szCs w:val="16"/>
              </w:rPr>
              <w:t> </w:t>
            </w:r>
          </w:p>
        </w:tc>
        <w:tc>
          <w:tcPr>
            <w:tcW w:w="1137" w:type="dxa"/>
            <w:tcBorders>
              <w:top w:val="nil"/>
              <w:left w:val="nil"/>
              <w:bottom w:val="single" w:sz="4" w:space="0" w:color="auto"/>
              <w:right w:val="single" w:sz="4" w:space="0" w:color="auto"/>
            </w:tcBorders>
            <w:shd w:val="clear" w:color="auto" w:fill="auto"/>
            <w:vAlign w:val="bottom"/>
            <w:hideMark/>
          </w:tcPr>
          <w:p w:rsidR="00814385" w:rsidRPr="00CA2B37" w:rsidP="00256AA8" w14:paraId="3666A312" w14:textId="77777777">
            <w:pPr>
              <w:keepNext/>
              <w:keepLines/>
              <w:widowControl/>
              <w:autoSpaceDE/>
              <w:autoSpaceDN/>
              <w:jc w:val="right"/>
              <w:rPr>
                <w:rFonts w:ascii="Calibri" w:hAnsi="Calibri" w:cs="Calibri"/>
                <w:color w:val="000000"/>
                <w:sz w:val="16"/>
                <w:szCs w:val="16"/>
              </w:rPr>
            </w:pPr>
            <w:r>
              <w:rPr>
                <w:rFonts w:ascii="Calibri" w:hAnsi="Calibri" w:cs="Calibri"/>
                <w:color w:val="000000"/>
                <w:sz w:val="16"/>
                <w:szCs w:val="16"/>
              </w:rPr>
              <w:t>10</w:t>
            </w:r>
            <w:r w:rsidRPr="00CA2B37">
              <w:rPr>
                <w:rFonts w:ascii="Calibri" w:hAnsi="Calibri" w:cs="Calibri"/>
                <w:color w:val="000000"/>
                <w:sz w:val="16"/>
                <w:szCs w:val="16"/>
              </w:rPr>
              <w:t> </w:t>
            </w:r>
          </w:p>
        </w:tc>
        <w:tc>
          <w:tcPr>
            <w:tcW w:w="1066" w:type="dxa"/>
            <w:tcBorders>
              <w:top w:val="nil"/>
              <w:left w:val="nil"/>
              <w:bottom w:val="single" w:sz="4" w:space="0" w:color="auto"/>
              <w:right w:val="single" w:sz="4" w:space="0" w:color="auto"/>
            </w:tcBorders>
            <w:shd w:val="clear" w:color="auto" w:fill="auto"/>
            <w:noWrap/>
            <w:vAlign w:val="bottom"/>
            <w:hideMark/>
          </w:tcPr>
          <w:p w:rsidR="00814385" w:rsidRPr="00CA2B37" w:rsidP="00256AA8" w14:paraId="1A8ABD29" w14:textId="77777777">
            <w:pPr>
              <w:keepNext/>
              <w:keepLines/>
              <w:widowControl/>
              <w:autoSpaceDE/>
              <w:autoSpaceDN/>
              <w:jc w:val="right"/>
              <w:rPr>
                <w:rFonts w:ascii="Calibri" w:hAnsi="Calibri" w:cs="Calibri"/>
                <w:color w:val="000000"/>
                <w:sz w:val="16"/>
                <w:szCs w:val="16"/>
              </w:rPr>
            </w:pPr>
            <w:r>
              <w:rPr>
                <w:rFonts w:ascii="Calibri" w:hAnsi="Calibri" w:cs="Calibri"/>
                <w:color w:val="000000"/>
                <w:sz w:val="16"/>
                <w:szCs w:val="16"/>
              </w:rPr>
              <w:t>$</w:t>
            </w:r>
            <w:r w:rsidR="00CA2838">
              <w:rPr>
                <w:rFonts w:ascii="Calibri" w:hAnsi="Calibri" w:cs="Calibri"/>
                <w:color w:val="000000"/>
                <w:sz w:val="16"/>
                <w:szCs w:val="16"/>
              </w:rPr>
              <w:t>50.09</w:t>
            </w:r>
          </w:p>
        </w:tc>
        <w:tc>
          <w:tcPr>
            <w:tcW w:w="1667" w:type="dxa"/>
            <w:tcBorders>
              <w:top w:val="nil"/>
              <w:left w:val="nil"/>
              <w:bottom w:val="single" w:sz="4" w:space="0" w:color="auto"/>
              <w:right w:val="single" w:sz="8" w:space="0" w:color="auto"/>
            </w:tcBorders>
            <w:shd w:val="clear" w:color="auto" w:fill="auto"/>
            <w:noWrap/>
            <w:vAlign w:val="bottom"/>
            <w:hideMark/>
          </w:tcPr>
          <w:p w:rsidR="00814385" w:rsidRPr="00CA2B37" w:rsidP="00256AA8" w14:paraId="57879CA5" w14:textId="77777777">
            <w:pPr>
              <w:keepNext/>
              <w:keepLines/>
              <w:widowControl/>
              <w:autoSpaceDE/>
              <w:autoSpaceDN/>
              <w:jc w:val="right"/>
              <w:rPr>
                <w:rFonts w:ascii="Calibri" w:hAnsi="Calibri" w:cs="Calibri"/>
                <w:color w:val="000000"/>
                <w:sz w:val="16"/>
                <w:szCs w:val="16"/>
              </w:rPr>
            </w:pPr>
            <w:r>
              <w:rPr>
                <w:rFonts w:ascii="Calibri" w:hAnsi="Calibri" w:cs="Calibri"/>
                <w:color w:val="000000"/>
                <w:sz w:val="16"/>
                <w:szCs w:val="16"/>
              </w:rPr>
              <w:t>$</w:t>
            </w:r>
            <w:r w:rsidR="00CA2838">
              <w:rPr>
                <w:rFonts w:ascii="Calibri" w:hAnsi="Calibri" w:cs="Calibri"/>
                <w:color w:val="000000"/>
                <w:sz w:val="16"/>
                <w:szCs w:val="16"/>
              </w:rPr>
              <w:t>500.90</w:t>
            </w:r>
          </w:p>
        </w:tc>
      </w:tr>
      <w:tr w14:paraId="5C0B2816" w14:textId="77777777" w:rsidTr="00BE5EF7">
        <w:tblPrEx>
          <w:tblW w:w="14415" w:type="dxa"/>
          <w:tblInd w:w="-25" w:type="dxa"/>
          <w:tblLook w:val="04A0"/>
        </w:tblPrEx>
        <w:trPr>
          <w:trHeight w:val="395"/>
        </w:trPr>
        <w:tc>
          <w:tcPr>
            <w:tcW w:w="3560" w:type="dxa"/>
            <w:tcBorders>
              <w:top w:val="nil"/>
              <w:left w:val="single" w:sz="8" w:space="0" w:color="auto"/>
              <w:bottom w:val="single" w:sz="8" w:space="0" w:color="auto"/>
              <w:right w:val="single" w:sz="8" w:space="0" w:color="auto"/>
            </w:tcBorders>
            <w:shd w:val="clear" w:color="000000" w:fill="DDEBF7"/>
            <w:noWrap/>
            <w:vAlign w:val="bottom"/>
            <w:hideMark/>
          </w:tcPr>
          <w:p w:rsidR="00D64DF9" w:rsidRPr="00D64DF9" w:rsidP="00256AA8" w14:paraId="70C843DF" w14:textId="77777777">
            <w:pPr>
              <w:keepNext/>
              <w:keepLines/>
              <w:widowControl/>
              <w:autoSpaceDE/>
              <w:autoSpaceDN/>
              <w:rPr>
                <w:rFonts w:ascii="Calibri" w:eastAsia="Times New Roman" w:hAnsi="Calibri" w:cs="Calibri"/>
                <w:b/>
                <w:bCs/>
                <w:color w:val="000000"/>
                <w:lang w:bidi="ar-SA"/>
              </w:rPr>
            </w:pPr>
            <w:r w:rsidRPr="00D64DF9">
              <w:rPr>
                <w:rFonts w:ascii="Calibri" w:eastAsia="Times New Roman" w:hAnsi="Calibri" w:cs="Calibri"/>
                <w:b/>
                <w:bCs/>
                <w:color w:val="000000"/>
                <w:lang w:bidi="ar-SA"/>
              </w:rPr>
              <w:t>Totals</w:t>
            </w:r>
          </w:p>
        </w:tc>
        <w:tc>
          <w:tcPr>
            <w:tcW w:w="1945" w:type="dxa"/>
            <w:tcBorders>
              <w:top w:val="nil"/>
              <w:left w:val="nil"/>
              <w:bottom w:val="single" w:sz="8" w:space="0" w:color="auto"/>
              <w:right w:val="single" w:sz="8" w:space="0" w:color="auto"/>
            </w:tcBorders>
            <w:shd w:val="clear" w:color="000000" w:fill="000000"/>
            <w:noWrap/>
            <w:vAlign w:val="bottom"/>
            <w:hideMark/>
          </w:tcPr>
          <w:p w:rsidR="00D64DF9" w:rsidRPr="00D64DF9" w:rsidP="00256AA8" w14:paraId="4DE0BCF8" w14:textId="77777777">
            <w:pPr>
              <w:keepNext/>
              <w:keepLines/>
              <w:widowControl/>
              <w:autoSpaceDE/>
              <w:autoSpaceDN/>
              <w:rPr>
                <w:rFonts w:ascii="Calibri" w:eastAsia="Times New Roman" w:hAnsi="Calibri" w:cs="Calibri"/>
                <w:b/>
                <w:bCs/>
                <w:color w:val="000000"/>
                <w:lang w:bidi="ar-SA"/>
              </w:rPr>
            </w:pPr>
            <w:r w:rsidRPr="00D64DF9">
              <w:rPr>
                <w:rFonts w:ascii="Calibri" w:eastAsia="Times New Roman" w:hAnsi="Calibri" w:cs="Calibri"/>
                <w:b/>
                <w:bCs/>
                <w:color w:val="000000"/>
                <w:lang w:bidi="ar-SA"/>
              </w:rPr>
              <w:t> </w:t>
            </w:r>
          </w:p>
        </w:tc>
        <w:tc>
          <w:tcPr>
            <w:tcW w:w="1441" w:type="dxa"/>
            <w:tcBorders>
              <w:top w:val="nil"/>
              <w:left w:val="nil"/>
              <w:bottom w:val="single" w:sz="8" w:space="0" w:color="auto"/>
              <w:right w:val="single" w:sz="8" w:space="0" w:color="auto"/>
            </w:tcBorders>
            <w:shd w:val="clear" w:color="000000" w:fill="000000"/>
            <w:noWrap/>
            <w:vAlign w:val="bottom"/>
            <w:hideMark/>
          </w:tcPr>
          <w:p w:rsidR="00D64DF9" w:rsidRPr="00D64DF9" w:rsidP="00256AA8" w14:paraId="41BE52C8" w14:textId="77777777">
            <w:pPr>
              <w:keepNext/>
              <w:keepLines/>
              <w:widowControl/>
              <w:autoSpaceDE/>
              <w:autoSpaceDN/>
              <w:rPr>
                <w:rFonts w:ascii="Calibri" w:eastAsia="Times New Roman" w:hAnsi="Calibri" w:cs="Calibri"/>
                <w:b/>
                <w:bCs/>
                <w:color w:val="000000"/>
                <w:lang w:bidi="ar-SA"/>
              </w:rPr>
            </w:pPr>
            <w:r w:rsidRPr="00D64DF9">
              <w:rPr>
                <w:rFonts w:ascii="Calibri" w:eastAsia="Times New Roman" w:hAnsi="Calibri" w:cs="Calibri"/>
                <w:b/>
                <w:bCs/>
                <w:color w:val="000000"/>
                <w:lang w:bidi="ar-SA"/>
              </w:rPr>
              <w:t> </w:t>
            </w:r>
          </w:p>
        </w:tc>
        <w:tc>
          <w:tcPr>
            <w:tcW w:w="1349" w:type="dxa"/>
            <w:tcBorders>
              <w:top w:val="nil"/>
              <w:left w:val="nil"/>
              <w:bottom w:val="single" w:sz="8" w:space="0" w:color="auto"/>
              <w:right w:val="single" w:sz="8" w:space="0" w:color="auto"/>
            </w:tcBorders>
            <w:shd w:val="clear" w:color="000000" w:fill="000000"/>
            <w:noWrap/>
            <w:vAlign w:val="bottom"/>
            <w:hideMark/>
          </w:tcPr>
          <w:p w:rsidR="00D64DF9" w:rsidRPr="00D64DF9" w:rsidP="00256AA8" w14:paraId="3D7A9095" w14:textId="77777777">
            <w:pPr>
              <w:keepNext/>
              <w:keepLines/>
              <w:widowControl/>
              <w:autoSpaceDE/>
              <w:autoSpaceDN/>
              <w:rPr>
                <w:rFonts w:ascii="Calibri" w:eastAsia="Times New Roman" w:hAnsi="Calibri" w:cs="Calibri"/>
                <w:b/>
                <w:bCs/>
                <w:color w:val="000000"/>
                <w:lang w:bidi="ar-SA"/>
              </w:rPr>
            </w:pPr>
            <w:r w:rsidRPr="00D64DF9">
              <w:rPr>
                <w:rFonts w:ascii="Calibri" w:eastAsia="Times New Roman" w:hAnsi="Calibri" w:cs="Calibri"/>
                <w:b/>
                <w:bCs/>
                <w:color w:val="000000"/>
                <w:lang w:bidi="ar-SA"/>
              </w:rPr>
              <w:t> </w:t>
            </w:r>
          </w:p>
        </w:tc>
        <w:tc>
          <w:tcPr>
            <w:tcW w:w="1170" w:type="dxa"/>
            <w:tcBorders>
              <w:top w:val="nil"/>
              <w:left w:val="nil"/>
              <w:bottom w:val="single" w:sz="8" w:space="0" w:color="auto"/>
              <w:right w:val="single" w:sz="8" w:space="0" w:color="auto"/>
            </w:tcBorders>
            <w:shd w:val="clear" w:color="000000" w:fill="DDEBF7"/>
            <w:noWrap/>
            <w:vAlign w:val="bottom"/>
            <w:hideMark/>
          </w:tcPr>
          <w:p w:rsidR="00D64DF9" w:rsidRPr="00D64DF9" w:rsidP="00256AA8" w14:paraId="22097A60" w14:textId="77777777">
            <w:pPr>
              <w:keepNext/>
              <w:keepLines/>
              <w:widowControl/>
              <w:autoSpaceDE/>
              <w:autoSpaceDN/>
              <w:rPr>
                <w:rFonts w:ascii="Calibri" w:eastAsia="Times New Roman" w:hAnsi="Calibri" w:cs="Calibri"/>
                <w:b/>
                <w:bCs/>
                <w:color w:val="000000"/>
                <w:lang w:bidi="ar-SA"/>
              </w:rPr>
            </w:pPr>
            <w:r w:rsidRPr="00D64DF9">
              <w:rPr>
                <w:rFonts w:ascii="Calibri" w:eastAsia="Times New Roman" w:hAnsi="Calibri" w:cs="Calibri"/>
                <w:b/>
                <w:bCs/>
                <w:color w:val="000000"/>
                <w:lang w:bidi="ar-SA"/>
              </w:rPr>
              <w:t> </w:t>
            </w:r>
            <w:r w:rsidR="00814385">
              <w:rPr>
                <w:rFonts w:ascii="Calibri" w:eastAsia="Times New Roman" w:hAnsi="Calibri" w:cs="Calibri"/>
                <w:b/>
                <w:bCs/>
                <w:color w:val="000000"/>
                <w:lang w:bidi="ar-SA"/>
              </w:rPr>
              <w:t>40</w:t>
            </w:r>
          </w:p>
        </w:tc>
        <w:tc>
          <w:tcPr>
            <w:tcW w:w="1080" w:type="dxa"/>
            <w:tcBorders>
              <w:top w:val="nil"/>
              <w:left w:val="nil"/>
              <w:bottom w:val="single" w:sz="8" w:space="0" w:color="auto"/>
              <w:right w:val="single" w:sz="8" w:space="0" w:color="auto"/>
            </w:tcBorders>
            <w:shd w:val="clear" w:color="000000" w:fill="000000"/>
            <w:noWrap/>
            <w:vAlign w:val="bottom"/>
            <w:hideMark/>
          </w:tcPr>
          <w:p w:rsidR="00D64DF9" w:rsidRPr="00D64DF9" w:rsidP="00256AA8" w14:paraId="60A86AF9" w14:textId="77777777">
            <w:pPr>
              <w:keepNext/>
              <w:keepLines/>
              <w:widowControl/>
              <w:autoSpaceDE/>
              <w:autoSpaceDN/>
              <w:rPr>
                <w:rFonts w:ascii="Calibri" w:eastAsia="Times New Roman" w:hAnsi="Calibri" w:cs="Calibri"/>
                <w:b/>
                <w:bCs/>
                <w:color w:val="000000"/>
                <w:lang w:bidi="ar-SA"/>
              </w:rPr>
            </w:pPr>
            <w:r w:rsidRPr="00D64DF9">
              <w:rPr>
                <w:rFonts w:ascii="Calibri" w:eastAsia="Times New Roman" w:hAnsi="Calibri" w:cs="Calibri"/>
                <w:b/>
                <w:bCs/>
                <w:color w:val="000000"/>
                <w:lang w:bidi="ar-SA"/>
              </w:rPr>
              <w:t> </w:t>
            </w:r>
          </w:p>
        </w:tc>
        <w:tc>
          <w:tcPr>
            <w:tcW w:w="1137" w:type="dxa"/>
            <w:tcBorders>
              <w:top w:val="nil"/>
              <w:left w:val="nil"/>
              <w:bottom w:val="single" w:sz="8" w:space="0" w:color="auto"/>
              <w:right w:val="single" w:sz="8" w:space="0" w:color="auto"/>
            </w:tcBorders>
            <w:shd w:val="clear" w:color="000000" w:fill="DDEBF7"/>
            <w:noWrap/>
            <w:vAlign w:val="bottom"/>
            <w:hideMark/>
          </w:tcPr>
          <w:p w:rsidR="00D64DF9" w:rsidRPr="00D64DF9" w:rsidP="00256AA8" w14:paraId="381CB1D7" w14:textId="77777777">
            <w:pPr>
              <w:keepNext/>
              <w:keepLines/>
              <w:widowControl/>
              <w:autoSpaceDE/>
              <w:autoSpaceDN/>
              <w:rPr>
                <w:rFonts w:ascii="Calibri" w:eastAsia="Times New Roman" w:hAnsi="Calibri" w:cs="Calibri"/>
                <w:b/>
                <w:bCs/>
                <w:color w:val="000000"/>
                <w:lang w:bidi="ar-SA"/>
              </w:rPr>
            </w:pPr>
            <w:r w:rsidRPr="00D64DF9">
              <w:rPr>
                <w:rFonts w:ascii="Calibri" w:eastAsia="Times New Roman" w:hAnsi="Calibri" w:cs="Calibri"/>
                <w:b/>
                <w:bCs/>
                <w:color w:val="000000"/>
                <w:lang w:bidi="ar-SA"/>
              </w:rPr>
              <w:t> </w:t>
            </w:r>
            <w:r w:rsidR="00814385">
              <w:rPr>
                <w:rFonts w:ascii="Calibri" w:eastAsia="Times New Roman" w:hAnsi="Calibri" w:cs="Calibri"/>
                <w:b/>
                <w:bCs/>
                <w:color w:val="000000"/>
                <w:lang w:bidi="ar-SA"/>
              </w:rPr>
              <w:t>10</w:t>
            </w:r>
          </w:p>
        </w:tc>
        <w:tc>
          <w:tcPr>
            <w:tcW w:w="1066" w:type="dxa"/>
            <w:tcBorders>
              <w:top w:val="nil"/>
              <w:left w:val="nil"/>
              <w:bottom w:val="single" w:sz="8" w:space="0" w:color="auto"/>
              <w:right w:val="single" w:sz="8" w:space="0" w:color="auto"/>
            </w:tcBorders>
            <w:shd w:val="clear" w:color="000000" w:fill="000000"/>
            <w:noWrap/>
            <w:vAlign w:val="bottom"/>
            <w:hideMark/>
          </w:tcPr>
          <w:p w:rsidR="00D64DF9" w:rsidRPr="00D64DF9" w:rsidP="00256AA8" w14:paraId="3FDF67B6" w14:textId="77777777">
            <w:pPr>
              <w:keepNext/>
              <w:keepLines/>
              <w:widowControl/>
              <w:autoSpaceDE/>
              <w:autoSpaceDN/>
              <w:rPr>
                <w:rFonts w:ascii="Calibri" w:eastAsia="Times New Roman" w:hAnsi="Calibri" w:cs="Calibri"/>
                <w:b/>
                <w:bCs/>
                <w:color w:val="000000"/>
                <w:lang w:bidi="ar-SA"/>
              </w:rPr>
            </w:pPr>
            <w:r w:rsidRPr="00D64DF9">
              <w:rPr>
                <w:rFonts w:ascii="Calibri" w:eastAsia="Times New Roman" w:hAnsi="Calibri" w:cs="Calibri"/>
                <w:b/>
                <w:bCs/>
                <w:color w:val="000000"/>
                <w:lang w:bidi="ar-SA"/>
              </w:rPr>
              <w:t> </w:t>
            </w:r>
          </w:p>
        </w:tc>
        <w:tc>
          <w:tcPr>
            <w:tcW w:w="1667" w:type="dxa"/>
            <w:tcBorders>
              <w:top w:val="nil"/>
              <w:left w:val="nil"/>
              <w:bottom w:val="single" w:sz="8" w:space="0" w:color="auto"/>
              <w:right w:val="single" w:sz="8" w:space="0" w:color="auto"/>
            </w:tcBorders>
            <w:shd w:val="clear" w:color="000000" w:fill="DDEBF7"/>
            <w:noWrap/>
            <w:vAlign w:val="bottom"/>
            <w:hideMark/>
          </w:tcPr>
          <w:p w:rsidR="00D64DF9" w:rsidRPr="00D64DF9" w:rsidP="00256AA8" w14:paraId="789A8C74" w14:textId="77777777">
            <w:pPr>
              <w:keepNext/>
              <w:keepLines/>
              <w:widowControl/>
              <w:autoSpaceDE/>
              <w:autoSpaceDN/>
              <w:rPr>
                <w:rFonts w:ascii="Calibri" w:eastAsia="Times New Roman" w:hAnsi="Calibri" w:cs="Calibri"/>
                <w:b/>
                <w:bCs/>
                <w:color w:val="000000"/>
                <w:lang w:bidi="ar-SA"/>
              </w:rPr>
            </w:pPr>
            <w:r w:rsidRPr="00D64DF9">
              <w:rPr>
                <w:rFonts w:ascii="Calibri" w:eastAsia="Times New Roman" w:hAnsi="Calibri" w:cs="Calibri"/>
                <w:b/>
                <w:bCs/>
                <w:color w:val="000000"/>
                <w:lang w:bidi="ar-SA"/>
              </w:rPr>
              <w:t> </w:t>
            </w:r>
            <w:r w:rsidR="00814385">
              <w:rPr>
                <w:rFonts w:ascii="Calibri" w:eastAsia="Times New Roman" w:hAnsi="Calibri" w:cs="Calibri"/>
                <w:b/>
                <w:bCs/>
                <w:color w:val="000000"/>
                <w:lang w:bidi="ar-SA"/>
              </w:rPr>
              <w:t>$</w:t>
            </w:r>
            <w:r w:rsidR="00CA2838">
              <w:rPr>
                <w:rFonts w:ascii="Calibri" w:eastAsia="Times New Roman" w:hAnsi="Calibri" w:cs="Calibri"/>
                <w:b/>
                <w:bCs/>
                <w:color w:val="000000"/>
                <w:lang w:bidi="ar-SA"/>
              </w:rPr>
              <w:t>500.90</w:t>
            </w:r>
          </w:p>
        </w:tc>
      </w:tr>
    </w:tbl>
    <w:p w:rsidR="00814385" w:rsidP="00D64DF9" w14:paraId="33AC5E2F" w14:textId="77777777">
      <w:pPr>
        <w:spacing w:line="259" w:lineRule="auto"/>
        <w:rPr>
          <w:rFonts w:ascii="Times New Roman" w:hAnsi="Times New Roman" w:cs="Times New Roman"/>
          <w:b/>
          <w:color w:val="FF0000"/>
          <w:sz w:val="24"/>
          <w:szCs w:val="24"/>
        </w:rPr>
      </w:pPr>
    </w:p>
    <w:p w:rsidR="008E61C9" w:rsidRPr="00BD7237" w:rsidP="00BE5EF7" w14:paraId="76A5FAE0" w14:textId="08A73392">
      <w:pPr>
        <w:spacing w:line="259" w:lineRule="auto"/>
        <w:ind w:hanging="43"/>
        <w:rPr>
          <w:rFonts w:ascii="Times New Roman" w:hAnsi="Times New Roman" w:cs="Times New Roman"/>
          <w:b/>
          <w:sz w:val="24"/>
          <w:szCs w:val="24"/>
        </w:rPr>
      </w:pPr>
      <w:r w:rsidRPr="00247410">
        <w:rPr>
          <w:rFonts w:ascii="Times New Roman" w:hAnsi="Times New Roman" w:cs="Times New Roman"/>
          <w:sz w:val="24"/>
          <w:szCs w:val="24"/>
        </w:rPr>
        <w:t>Occupational Code 53-5021</w:t>
      </w:r>
      <w:r w:rsidRPr="00247410" w:rsidR="00247410">
        <w:rPr>
          <w:rFonts w:ascii="Times New Roman" w:hAnsi="Times New Roman" w:cs="Times New Roman"/>
          <w:sz w:val="24"/>
          <w:szCs w:val="24"/>
        </w:rPr>
        <w:t xml:space="preserve"> was used for the hourly wage rate determination.</w:t>
      </w:r>
      <w:r w:rsidRPr="00BE5EF7">
        <w:rPr>
          <w:rFonts w:ascii="Times New Roman" w:hAnsi="Times New Roman" w:cs="Times New Roman"/>
          <w:b/>
          <w:sz w:val="24"/>
          <w:szCs w:val="24"/>
        </w:rPr>
        <w:t xml:space="preserve"> </w:t>
      </w:r>
      <w:r w:rsidRPr="00BE5EF7" w:rsidR="001477A3">
        <w:rPr>
          <w:rFonts w:ascii="Times New Roman" w:hAnsi="Times New Roman" w:cs="Times New Roman"/>
          <w:b/>
          <w:sz w:val="24"/>
          <w:szCs w:val="24"/>
        </w:rPr>
        <w:t xml:space="preserve"> </w:t>
      </w:r>
      <w:hyperlink r:id="rId5">
        <w:r w:rsidRPr="00BD7237" w:rsidR="001477A3">
          <w:rPr>
            <w:rFonts w:ascii="Times New Roman" w:hAnsi="Times New Roman" w:cs="Times New Roman"/>
            <w:b/>
            <w:color w:val="0563C1"/>
            <w:sz w:val="24"/>
            <w:szCs w:val="24"/>
            <w:u w:val="single" w:color="0563C1"/>
          </w:rPr>
          <w:t>https://www.bls.gov/bls/blswage.htm</w:t>
        </w:r>
      </w:hyperlink>
    </w:p>
    <w:p w:rsidR="008E61C9" w:rsidRPr="00BD7237" w:rsidP="00BD7237" w14:paraId="5896605B" w14:textId="77777777">
      <w:pPr>
        <w:spacing w:line="259" w:lineRule="auto"/>
        <w:jc w:val="center"/>
        <w:rPr>
          <w:rFonts w:ascii="Times New Roman" w:hAnsi="Times New Roman" w:cs="Times New Roman"/>
          <w:sz w:val="24"/>
          <w:szCs w:val="24"/>
        </w:rPr>
        <w:sectPr w:rsidSect="00D64DF9">
          <w:pgSz w:w="15840" w:h="12240" w:orient="landscape"/>
          <w:pgMar w:top="1080" w:right="1200" w:bottom="1080" w:left="640" w:header="0" w:footer="1014" w:gutter="0"/>
          <w:cols w:space="720"/>
          <w:docGrid w:linePitch="299"/>
        </w:sectPr>
      </w:pPr>
    </w:p>
    <w:p w:rsidR="008E61C9" w:rsidP="00BD7237" w14:paraId="1BFB5C00"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00814385" w:rsidRPr="00814385" w:rsidP="00814385" w14:paraId="150536C8" w14:textId="77777777">
      <w:pPr>
        <w:tabs>
          <w:tab w:val="left" w:pos="360"/>
        </w:tabs>
        <w:spacing w:before="80"/>
        <w:rPr>
          <w:rFonts w:ascii="Times New Roman" w:hAnsi="Times New Roman" w:cs="Times New Roman"/>
          <w:sz w:val="24"/>
          <w:szCs w:val="24"/>
        </w:rPr>
      </w:pPr>
      <w:r w:rsidRPr="00256AA8">
        <w:rPr>
          <w:rFonts w:ascii="Times New Roman" w:hAnsi="Times New Roman" w:cs="Times New Roman"/>
          <w:sz w:val="24"/>
          <w:szCs w:val="24"/>
        </w:rPr>
        <w:t>There are no capital/start-up or ongoing operation/maintenance costs associated with this information collection.</w:t>
      </w:r>
    </w:p>
    <w:p w:rsidR="008E61C9" w:rsidP="00BD7237" w14:paraId="041354C7" w14:textId="77777777">
      <w:pPr>
        <w:pStyle w:val="BodyText"/>
        <w:spacing w:before="1"/>
        <w:ind w:left="0"/>
        <w:rPr>
          <w:rFonts w:ascii="Times New Roman" w:hAnsi="Times New Roman" w:cs="Times New Roman"/>
          <w:b/>
        </w:rPr>
      </w:pPr>
    </w:p>
    <w:p w:rsidR="008E61C9" w:rsidRPr="00BD7237" w:rsidP="00BD7237" w14:paraId="22D59885"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EF4ABE" w:rsidP="0072727A" w14:paraId="7748DA04" w14:textId="77777777">
      <w:pPr>
        <w:pStyle w:val="BodyText"/>
        <w:keepNext/>
        <w:keepLines/>
        <w:widowControl/>
        <w:spacing w:before="9" w:after="1"/>
        <w:ind w:left="0"/>
        <w:rPr>
          <w:rFonts w:ascii="Times New Roman" w:hAnsi="Times New Roman" w:cs="Times New Roman"/>
        </w:rPr>
      </w:pPr>
    </w:p>
    <w:p w:rsidR="008E61C9" w:rsidRPr="00814385" w:rsidP="0072727A" w14:paraId="40E0B208" w14:textId="77777777">
      <w:pPr>
        <w:pStyle w:val="BodyText"/>
        <w:keepNext/>
        <w:keepLines/>
        <w:widowControl/>
        <w:spacing w:before="9" w:after="1"/>
        <w:ind w:left="0"/>
        <w:rPr>
          <w:rFonts w:ascii="Times New Roman" w:hAnsi="Times New Roman" w:cs="Times New Roman"/>
        </w:rPr>
      </w:pPr>
      <w:r w:rsidRPr="00814385">
        <w:rPr>
          <w:rFonts w:ascii="Times New Roman" w:hAnsi="Times New Roman" w:cs="Times New Roman"/>
        </w:rPr>
        <w:t xml:space="preserve">If the entity collecting the information is a federal agency, the annual costs to the federal government would be based on the costs of receiving the reports.  Estimated cost to U.S. Coast Guard, based on the estimated reporting in Item 12, above, of 10 hours annually, assuming </w:t>
      </w:r>
      <w:r>
        <w:rPr>
          <w:rFonts w:ascii="Times New Roman" w:hAnsi="Times New Roman" w:cs="Times New Roman"/>
        </w:rPr>
        <w:t>maximum</w:t>
      </w:r>
      <w:r w:rsidRPr="00814385">
        <w:rPr>
          <w:rFonts w:ascii="Times New Roman" w:hAnsi="Times New Roman" w:cs="Times New Roman"/>
        </w:rPr>
        <w:t xml:space="preserve"> salary for an E-5 enlisted personnel</w:t>
      </w:r>
      <w:r>
        <w:rPr>
          <w:rFonts w:ascii="Times New Roman" w:hAnsi="Times New Roman" w:cs="Times New Roman"/>
        </w:rPr>
        <w:t xml:space="preserve"> ($</w:t>
      </w:r>
      <w:r w:rsidR="008E0122">
        <w:rPr>
          <w:rFonts w:ascii="Times New Roman" w:hAnsi="Times New Roman" w:cs="Times New Roman"/>
        </w:rPr>
        <w:t>3,874.80</w:t>
      </w:r>
      <w:r>
        <w:rPr>
          <w:rFonts w:ascii="Times New Roman" w:hAnsi="Times New Roman" w:cs="Times New Roman"/>
        </w:rPr>
        <w:t>/month</w:t>
      </w:r>
      <w:r w:rsidR="0072727A">
        <w:rPr>
          <w:rFonts w:ascii="Times New Roman" w:hAnsi="Times New Roman" w:cs="Times New Roman"/>
        </w:rPr>
        <w:t xml:space="preserve"> x 12 months = $</w:t>
      </w:r>
      <w:r w:rsidR="008E0122">
        <w:rPr>
          <w:rFonts w:ascii="Times New Roman" w:hAnsi="Times New Roman" w:cs="Times New Roman"/>
        </w:rPr>
        <w:t>46,497.60</w:t>
      </w:r>
      <w:r w:rsidR="0072727A">
        <w:rPr>
          <w:rFonts w:ascii="Times New Roman" w:hAnsi="Times New Roman" w:cs="Times New Roman"/>
        </w:rPr>
        <w:t>/year</w:t>
      </w:r>
      <w:r w:rsidR="00902355">
        <w:rPr>
          <w:rFonts w:ascii="Times New Roman" w:hAnsi="Times New Roman" w:cs="Times New Roman"/>
        </w:rPr>
        <w:t>; $</w:t>
      </w:r>
      <w:r w:rsidR="008E0122">
        <w:rPr>
          <w:rFonts w:ascii="Times New Roman" w:hAnsi="Times New Roman" w:cs="Times New Roman"/>
        </w:rPr>
        <w:t>23.25</w:t>
      </w:r>
      <w:r w:rsidR="00902355">
        <w:rPr>
          <w:rFonts w:ascii="Times New Roman" w:hAnsi="Times New Roman" w:cs="Times New Roman"/>
        </w:rPr>
        <w:t xml:space="preserve"> hourly</w:t>
      </w:r>
      <w:r>
        <w:rPr>
          <w:rFonts w:ascii="Times New Roman" w:hAnsi="Times New Roman" w:cs="Times New Roman"/>
        </w:rPr>
        <w:t>)</w:t>
      </w:r>
      <w:r w:rsidRPr="00814385">
        <w:rPr>
          <w:rFonts w:ascii="Times New Roman" w:hAnsi="Times New Roman" w:cs="Times New Roman"/>
        </w:rPr>
        <w:t>, federal cost is estimated at $</w:t>
      </w:r>
      <w:r w:rsidR="008E0122">
        <w:rPr>
          <w:rFonts w:ascii="Times New Roman" w:hAnsi="Times New Roman" w:cs="Times New Roman"/>
        </w:rPr>
        <w:t>232.50</w:t>
      </w:r>
      <w:r w:rsidRPr="00814385">
        <w:rPr>
          <w:rFonts w:ascii="Times New Roman" w:hAnsi="Times New Roman" w:cs="Times New Roman"/>
        </w:rPr>
        <w:t xml:space="preserve"> annually</w:t>
      </w:r>
      <w:r w:rsidR="00C53567">
        <w:rPr>
          <w:rFonts w:ascii="Times New Roman" w:hAnsi="Times New Roman" w:cs="Times New Roman"/>
        </w:rPr>
        <w:t>; therefore the cost for 3 years is $</w:t>
      </w:r>
      <w:r w:rsidR="008E0122">
        <w:rPr>
          <w:rFonts w:ascii="Times New Roman" w:hAnsi="Times New Roman" w:cs="Times New Roman"/>
        </w:rPr>
        <w:t xml:space="preserve">697.50 </w:t>
      </w:r>
      <w:r>
        <w:rPr>
          <w:rFonts w:ascii="Times New Roman" w:hAnsi="Times New Roman" w:cs="Times New Roman"/>
        </w:rPr>
        <w:t xml:space="preserve">(wage source: </w:t>
      </w:r>
      <w:hyperlink r:id="rId6" w:history="1">
        <w:r w:rsidRPr="00CA19FB">
          <w:rPr>
            <w:rStyle w:val="Hyperlink"/>
            <w:rFonts w:ascii="Times New Roman" w:hAnsi="Times New Roman" w:cs="Times New Roman"/>
          </w:rPr>
          <w:t>https://www.federalpay.org/military/coast-guard</w:t>
        </w:r>
      </w:hyperlink>
      <w:r>
        <w:rPr>
          <w:rFonts w:ascii="Times New Roman" w:hAnsi="Times New Roman" w:cs="Times New Roman"/>
        </w:rPr>
        <w:t xml:space="preserve">, website accessed </w:t>
      </w:r>
      <w:r w:rsidR="00692AB6">
        <w:rPr>
          <w:rFonts w:ascii="Times New Roman" w:hAnsi="Times New Roman" w:cs="Times New Roman"/>
        </w:rPr>
        <w:t>July 24, 2023</w:t>
      </w:r>
      <w:r>
        <w:rPr>
          <w:rFonts w:ascii="Times New Roman" w:hAnsi="Times New Roman" w:cs="Times New Roman"/>
        </w:rPr>
        <w:t>)</w:t>
      </w:r>
      <w:r w:rsidRPr="00814385">
        <w:rPr>
          <w:rFonts w:ascii="Times New Roman" w:hAnsi="Times New Roman" w:cs="Times New Roman"/>
        </w:rPr>
        <w:t>.</w:t>
      </w:r>
    </w:p>
    <w:tbl>
      <w:tblPr>
        <w:tblW w:w="8428" w:type="dxa"/>
        <w:tblInd w:w="-25" w:type="dxa"/>
        <w:tblLook w:val="04A0"/>
      </w:tblPr>
      <w:tblGrid>
        <w:gridCol w:w="2280"/>
        <w:gridCol w:w="1120"/>
        <w:gridCol w:w="1328"/>
        <w:gridCol w:w="1120"/>
        <w:gridCol w:w="1280"/>
        <w:gridCol w:w="1300"/>
      </w:tblGrid>
      <w:tr w14:paraId="57EA4A6C" w14:textId="77777777" w:rsidTr="00247410">
        <w:tblPrEx>
          <w:tblW w:w="8428" w:type="dxa"/>
          <w:tblInd w:w="-25" w:type="dxa"/>
          <w:tblLook w:val="04A0"/>
        </w:tblPrEx>
        <w:trPr>
          <w:trHeight w:val="450"/>
        </w:trPr>
        <w:tc>
          <w:tcPr>
            <w:tcW w:w="2280" w:type="dxa"/>
            <w:tcBorders>
              <w:top w:val="single" w:sz="8" w:space="0" w:color="auto"/>
              <w:left w:val="single" w:sz="8" w:space="0" w:color="auto"/>
              <w:bottom w:val="nil"/>
              <w:right w:val="single" w:sz="8" w:space="0" w:color="auto"/>
            </w:tcBorders>
            <w:shd w:val="clear" w:color="000000" w:fill="BDD7EE"/>
            <w:vAlign w:val="center"/>
            <w:hideMark/>
          </w:tcPr>
          <w:p w:rsidR="00DF0CE3" w:rsidRPr="00DF0CE3" w:rsidP="0072727A" w14:paraId="071AAA03" w14:textId="77777777">
            <w:pPr>
              <w:keepNext/>
              <w:keepLines/>
              <w:widowControl/>
              <w:autoSpaceDE/>
              <w:autoSpaceDN/>
              <w:jc w:val="center"/>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Cost Descriptions</w:t>
            </w:r>
          </w:p>
        </w:tc>
        <w:tc>
          <w:tcPr>
            <w:tcW w:w="1120" w:type="dxa"/>
            <w:tcBorders>
              <w:top w:val="single" w:sz="8" w:space="0" w:color="auto"/>
              <w:left w:val="nil"/>
              <w:bottom w:val="nil"/>
              <w:right w:val="single" w:sz="8" w:space="0" w:color="auto"/>
            </w:tcBorders>
            <w:shd w:val="clear" w:color="000000" w:fill="BDD7EE"/>
            <w:vAlign w:val="center"/>
            <w:hideMark/>
          </w:tcPr>
          <w:p w:rsidR="00DF0CE3" w:rsidRPr="00DF0CE3" w:rsidP="0072727A" w14:paraId="24F8E50C" w14:textId="77777777">
            <w:pPr>
              <w:keepNext/>
              <w:keepLines/>
              <w:widowControl/>
              <w:autoSpaceDE/>
              <w:autoSpaceDN/>
              <w:jc w:val="center"/>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Grade/Step</w:t>
            </w:r>
          </w:p>
        </w:tc>
        <w:tc>
          <w:tcPr>
            <w:tcW w:w="1328" w:type="dxa"/>
            <w:tcBorders>
              <w:top w:val="single" w:sz="8" w:space="0" w:color="auto"/>
              <w:left w:val="nil"/>
              <w:bottom w:val="nil"/>
              <w:right w:val="single" w:sz="8" w:space="0" w:color="auto"/>
            </w:tcBorders>
            <w:shd w:val="clear" w:color="000000" w:fill="BDD7EE"/>
            <w:vAlign w:val="center"/>
            <w:hideMark/>
          </w:tcPr>
          <w:p w:rsidR="00DF0CE3" w:rsidRPr="00DF0CE3" w:rsidP="0072727A" w14:paraId="7B77BA6C" w14:textId="77777777">
            <w:pPr>
              <w:keepNext/>
              <w:keepLines/>
              <w:widowControl/>
              <w:autoSpaceDE/>
              <w:autoSpaceDN/>
              <w:jc w:val="center"/>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Loaded Salary /Cost</w:t>
            </w:r>
          </w:p>
        </w:tc>
        <w:tc>
          <w:tcPr>
            <w:tcW w:w="1120" w:type="dxa"/>
            <w:tcBorders>
              <w:top w:val="single" w:sz="8" w:space="0" w:color="auto"/>
              <w:left w:val="nil"/>
              <w:bottom w:val="nil"/>
              <w:right w:val="single" w:sz="8" w:space="0" w:color="auto"/>
            </w:tcBorders>
            <w:shd w:val="clear" w:color="000000" w:fill="BDD7EE"/>
            <w:vAlign w:val="center"/>
            <w:hideMark/>
          </w:tcPr>
          <w:p w:rsidR="00DF0CE3" w:rsidRPr="00DF0CE3" w:rsidP="0072727A" w14:paraId="3B37C2DC" w14:textId="77777777">
            <w:pPr>
              <w:keepNext/>
              <w:keepLines/>
              <w:widowControl/>
              <w:autoSpaceDE/>
              <w:autoSpaceDN/>
              <w:jc w:val="center"/>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 of Effort</w:t>
            </w:r>
          </w:p>
        </w:tc>
        <w:tc>
          <w:tcPr>
            <w:tcW w:w="1280" w:type="dxa"/>
            <w:tcBorders>
              <w:top w:val="single" w:sz="8" w:space="0" w:color="auto"/>
              <w:left w:val="nil"/>
              <w:bottom w:val="nil"/>
              <w:right w:val="single" w:sz="8" w:space="0" w:color="auto"/>
            </w:tcBorders>
            <w:shd w:val="clear" w:color="000000" w:fill="BDD7EE"/>
            <w:vAlign w:val="center"/>
            <w:hideMark/>
          </w:tcPr>
          <w:p w:rsidR="00DF0CE3" w:rsidRPr="00DF0CE3" w:rsidP="0072727A" w14:paraId="653B550D" w14:textId="77777777">
            <w:pPr>
              <w:keepNext/>
              <w:keepLines/>
              <w:widowControl/>
              <w:autoSpaceDE/>
              <w:autoSpaceDN/>
              <w:jc w:val="center"/>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Fringe (if Applicable)</w:t>
            </w:r>
          </w:p>
        </w:tc>
        <w:tc>
          <w:tcPr>
            <w:tcW w:w="1300" w:type="dxa"/>
            <w:tcBorders>
              <w:top w:val="single" w:sz="8" w:space="0" w:color="auto"/>
              <w:left w:val="nil"/>
              <w:bottom w:val="nil"/>
              <w:right w:val="single" w:sz="8" w:space="0" w:color="auto"/>
            </w:tcBorders>
            <w:shd w:val="clear" w:color="000000" w:fill="BDD7EE"/>
            <w:vAlign w:val="center"/>
            <w:hideMark/>
          </w:tcPr>
          <w:p w:rsidR="00DF0CE3" w:rsidRPr="00DF0CE3" w:rsidP="0072727A" w14:paraId="303AB97A" w14:textId="77777777">
            <w:pPr>
              <w:keepNext/>
              <w:keepLines/>
              <w:widowControl/>
              <w:autoSpaceDE/>
              <w:autoSpaceDN/>
              <w:jc w:val="center"/>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Total Cost to Government</w:t>
            </w:r>
          </w:p>
        </w:tc>
      </w:tr>
      <w:tr w14:paraId="34BEC653" w14:textId="77777777" w:rsidTr="00247410">
        <w:tblPrEx>
          <w:tblW w:w="8428" w:type="dxa"/>
          <w:tblInd w:w="-25" w:type="dxa"/>
          <w:tblLook w:val="04A0"/>
        </w:tblPrEx>
        <w:trPr>
          <w:trHeight w:val="331"/>
        </w:trPr>
        <w:tc>
          <w:tcPr>
            <w:tcW w:w="228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DF0CE3" w:rsidRPr="00DF0CE3" w:rsidP="0072727A" w14:paraId="5235E78D" w14:textId="77777777">
            <w:pPr>
              <w:keepNext/>
              <w:keepLines/>
              <w:widowControl/>
              <w:autoSpaceDE/>
              <w:autoSpaceDN/>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Federal Oversight</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DF0CE3" w:rsidRPr="00DF0CE3" w:rsidP="0072727A" w14:paraId="7900EFA6" w14:textId="77777777">
            <w:pPr>
              <w:keepNext/>
              <w:keepLines/>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r w:rsidR="00814385">
              <w:rPr>
                <w:rFonts w:ascii="Calibri" w:eastAsia="Times New Roman" w:hAnsi="Calibri" w:cs="Calibri"/>
                <w:color w:val="000000"/>
                <w:sz w:val="16"/>
                <w:szCs w:val="16"/>
                <w:lang w:bidi="ar-SA"/>
              </w:rPr>
              <w:t>E-5</w:t>
            </w:r>
          </w:p>
        </w:tc>
        <w:tc>
          <w:tcPr>
            <w:tcW w:w="1328" w:type="dxa"/>
            <w:tcBorders>
              <w:top w:val="single" w:sz="4" w:space="0" w:color="auto"/>
              <w:left w:val="nil"/>
              <w:bottom w:val="single" w:sz="4" w:space="0" w:color="auto"/>
              <w:right w:val="single" w:sz="4" w:space="0" w:color="auto"/>
            </w:tcBorders>
            <w:shd w:val="clear" w:color="auto" w:fill="auto"/>
            <w:noWrap/>
            <w:vAlign w:val="bottom"/>
            <w:hideMark/>
          </w:tcPr>
          <w:p w:rsidR="00DF0CE3" w:rsidRPr="00DF0CE3" w:rsidP="0072727A" w14:paraId="33F6B4EF" w14:textId="77777777">
            <w:pPr>
              <w:keepNext/>
              <w:keepLines/>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r w:rsidR="00814385">
              <w:rPr>
                <w:rFonts w:ascii="Calibri" w:eastAsia="Times New Roman" w:hAnsi="Calibri" w:cs="Calibri"/>
                <w:color w:val="000000"/>
                <w:sz w:val="16"/>
                <w:szCs w:val="16"/>
                <w:lang w:bidi="ar-SA"/>
              </w:rPr>
              <w:t>$</w:t>
            </w:r>
            <w:r w:rsidR="008E0122">
              <w:rPr>
                <w:rFonts w:ascii="Calibri" w:eastAsia="Times New Roman" w:hAnsi="Calibri" w:cs="Calibri"/>
                <w:color w:val="000000"/>
                <w:sz w:val="16"/>
                <w:szCs w:val="16"/>
                <w:lang w:bidi="ar-SA"/>
              </w:rPr>
              <w:t>46,497.60</w:t>
            </w:r>
            <w:r w:rsidR="0072727A">
              <w:rPr>
                <w:rFonts w:ascii="Calibri" w:eastAsia="Times New Roman" w:hAnsi="Calibri" w:cs="Calibri"/>
                <w:color w:val="000000"/>
                <w:sz w:val="16"/>
                <w:szCs w:val="16"/>
                <w:lang w:bidi="ar-SA"/>
              </w:rPr>
              <w:t>/year</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DF0CE3" w:rsidRPr="00DF0CE3" w:rsidP="0072727A" w14:paraId="1A87F198" w14:textId="77777777">
            <w:pPr>
              <w:keepNext/>
              <w:keepLines/>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r w:rsidR="0072727A">
              <w:rPr>
                <w:rFonts w:ascii="Calibri" w:eastAsia="Times New Roman" w:hAnsi="Calibri" w:cs="Calibri"/>
                <w:color w:val="000000"/>
                <w:sz w:val="16"/>
                <w:szCs w:val="16"/>
                <w:lang w:bidi="ar-SA"/>
              </w:rPr>
              <w:t>0.5%</w:t>
            </w:r>
          </w:p>
        </w:tc>
        <w:tc>
          <w:tcPr>
            <w:tcW w:w="1280" w:type="dxa"/>
            <w:tcBorders>
              <w:top w:val="single" w:sz="4" w:space="0" w:color="auto"/>
              <w:left w:val="nil"/>
              <w:bottom w:val="single" w:sz="4" w:space="0" w:color="auto"/>
              <w:right w:val="single" w:sz="4" w:space="0" w:color="auto"/>
            </w:tcBorders>
            <w:shd w:val="clear" w:color="000000" w:fill="808080"/>
            <w:noWrap/>
            <w:vAlign w:val="bottom"/>
            <w:hideMark/>
          </w:tcPr>
          <w:p w:rsidR="00DF0CE3" w:rsidRPr="00DF0CE3" w:rsidP="0072727A" w14:paraId="6C4C139B" w14:textId="77777777">
            <w:pPr>
              <w:keepNext/>
              <w:keepLines/>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300" w:type="dxa"/>
            <w:tcBorders>
              <w:top w:val="single" w:sz="4" w:space="0" w:color="auto"/>
              <w:left w:val="nil"/>
              <w:bottom w:val="single" w:sz="4" w:space="0" w:color="auto"/>
              <w:right w:val="single" w:sz="8" w:space="0" w:color="auto"/>
            </w:tcBorders>
            <w:shd w:val="clear" w:color="auto" w:fill="auto"/>
            <w:noWrap/>
            <w:vAlign w:val="bottom"/>
            <w:hideMark/>
          </w:tcPr>
          <w:p w:rsidR="00DF0CE3" w:rsidRPr="00DF0CE3" w:rsidP="0072727A" w14:paraId="3D9914C6" w14:textId="77777777">
            <w:pPr>
              <w:keepNext/>
              <w:keepLines/>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r w:rsidR="0072727A">
              <w:rPr>
                <w:rFonts w:ascii="Calibri" w:eastAsia="Times New Roman" w:hAnsi="Calibri" w:cs="Calibri"/>
                <w:color w:val="000000"/>
                <w:sz w:val="16"/>
                <w:szCs w:val="16"/>
                <w:lang w:bidi="ar-SA"/>
              </w:rPr>
              <w:t>$</w:t>
            </w:r>
            <w:r w:rsidR="008E0122">
              <w:rPr>
                <w:rFonts w:ascii="Calibri" w:eastAsia="Times New Roman" w:hAnsi="Calibri" w:cs="Calibri"/>
                <w:color w:val="000000"/>
                <w:sz w:val="16"/>
                <w:szCs w:val="16"/>
                <w:lang w:bidi="ar-SA"/>
              </w:rPr>
              <w:t>697.50</w:t>
            </w:r>
          </w:p>
        </w:tc>
      </w:tr>
      <w:tr w14:paraId="0089732F" w14:textId="77777777" w:rsidTr="00247410">
        <w:tblPrEx>
          <w:tblW w:w="8428" w:type="dxa"/>
          <w:tblInd w:w="-25"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DF0CE3" w:rsidRPr="00DF0CE3" w:rsidP="0072727A" w14:paraId="15CB2231" w14:textId="77777777">
            <w:pPr>
              <w:keepNext/>
              <w:keepLines/>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Other Federal Positions</w:t>
            </w:r>
          </w:p>
        </w:tc>
        <w:tc>
          <w:tcPr>
            <w:tcW w:w="1120" w:type="dxa"/>
            <w:tcBorders>
              <w:top w:val="nil"/>
              <w:left w:val="nil"/>
              <w:bottom w:val="single" w:sz="4" w:space="0" w:color="auto"/>
              <w:right w:val="single" w:sz="4" w:space="0" w:color="auto"/>
            </w:tcBorders>
            <w:shd w:val="clear" w:color="auto" w:fill="auto"/>
            <w:noWrap/>
            <w:vAlign w:val="bottom"/>
            <w:hideMark/>
          </w:tcPr>
          <w:p w:rsidR="00DF0CE3" w:rsidRPr="00DF0CE3" w:rsidP="0072727A" w14:paraId="2CEB6295" w14:textId="77777777">
            <w:pPr>
              <w:keepNext/>
              <w:keepLines/>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328" w:type="dxa"/>
            <w:tcBorders>
              <w:top w:val="nil"/>
              <w:left w:val="nil"/>
              <w:bottom w:val="single" w:sz="4" w:space="0" w:color="auto"/>
              <w:right w:val="single" w:sz="4" w:space="0" w:color="auto"/>
            </w:tcBorders>
            <w:shd w:val="clear" w:color="auto" w:fill="auto"/>
            <w:noWrap/>
            <w:vAlign w:val="bottom"/>
            <w:hideMark/>
          </w:tcPr>
          <w:p w:rsidR="00DF0CE3" w:rsidRPr="00DF0CE3" w:rsidP="0072727A" w14:paraId="5D31AB1E" w14:textId="77777777">
            <w:pPr>
              <w:keepNext/>
              <w:keepLines/>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120" w:type="dxa"/>
            <w:tcBorders>
              <w:top w:val="nil"/>
              <w:left w:val="nil"/>
              <w:bottom w:val="single" w:sz="4" w:space="0" w:color="auto"/>
              <w:right w:val="single" w:sz="4" w:space="0" w:color="auto"/>
            </w:tcBorders>
            <w:shd w:val="clear" w:color="auto" w:fill="auto"/>
            <w:noWrap/>
            <w:vAlign w:val="bottom"/>
            <w:hideMark/>
          </w:tcPr>
          <w:p w:rsidR="00DF0CE3" w:rsidRPr="00DF0CE3" w:rsidP="0072727A" w14:paraId="557E988E" w14:textId="77777777">
            <w:pPr>
              <w:keepNext/>
              <w:keepLines/>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DF0CE3" w:rsidRPr="00DF0CE3" w:rsidP="0072727A" w14:paraId="74AF66AF" w14:textId="77777777">
            <w:pPr>
              <w:keepNext/>
              <w:keepLines/>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300" w:type="dxa"/>
            <w:tcBorders>
              <w:top w:val="nil"/>
              <w:left w:val="nil"/>
              <w:bottom w:val="single" w:sz="4" w:space="0" w:color="auto"/>
              <w:right w:val="single" w:sz="8" w:space="0" w:color="auto"/>
            </w:tcBorders>
            <w:shd w:val="clear" w:color="auto" w:fill="auto"/>
            <w:noWrap/>
            <w:vAlign w:val="bottom"/>
            <w:hideMark/>
          </w:tcPr>
          <w:p w:rsidR="00DF0CE3" w:rsidRPr="00DF0CE3" w:rsidP="0072727A" w14:paraId="08034562" w14:textId="77777777">
            <w:pPr>
              <w:keepNext/>
              <w:keepLines/>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r>
      <w:tr w14:paraId="2FE2B881" w14:textId="77777777" w:rsidTr="00247410">
        <w:tblPrEx>
          <w:tblW w:w="8428" w:type="dxa"/>
          <w:tblInd w:w="-25" w:type="dxa"/>
          <w:tblLook w:val="04A0"/>
        </w:tblPrEx>
        <w:trPr>
          <w:trHeight w:val="259"/>
        </w:trPr>
        <w:tc>
          <w:tcPr>
            <w:tcW w:w="2280" w:type="dxa"/>
            <w:tcBorders>
              <w:top w:val="nil"/>
              <w:left w:val="single" w:sz="8" w:space="0" w:color="auto"/>
              <w:bottom w:val="single" w:sz="4" w:space="0" w:color="auto"/>
              <w:right w:val="single" w:sz="8" w:space="0" w:color="auto"/>
            </w:tcBorders>
            <w:shd w:val="clear" w:color="auto" w:fill="auto"/>
            <w:vAlign w:val="bottom"/>
            <w:hideMark/>
          </w:tcPr>
          <w:p w:rsidR="00DF0CE3" w:rsidRPr="00DF0CE3" w:rsidP="0072727A" w14:paraId="4C808697" w14:textId="77777777">
            <w:pPr>
              <w:keepNext/>
              <w:keepLines/>
              <w:widowControl/>
              <w:autoSpaceDE/>
              <w:autoSpaceDN/>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Contractor Cost</w:t>
            </w:r>
          </w:p>
        </w:tc>
        <w:tc>
          <w:tcPr>
            <w:tcW w:w="1120" w:type="dxa"/>
            <w:tcBorders>
              <w:top w:val="nil"/>
              <w:left w:val="nil"/>
              <w:bottom w:val="single" w:sz="4" w:space="0" w:color="auto"/>
              <w:right w:val="single" w:sz="4" w:space="0" w:color="auto"/>
            </w:tcBorders>
            <w:shd w:val="clear" w:color="000000" w:fill="808080"/>
            <w:noWrap/>
            <w:vAlign w:val="bottom"/>
            <w:hideMark/>
          </w:tcPr>
          <w:p w:rsidR="00DF0CE3" w:rsidRPr="00DF0CE3" w:rsidP="0072727A" w14:paraId="79B82279" w14:textId="77777777">
            <w:pPr>
              <w:keepNext/>
              <w:keepLines/>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328" w:type="dxa"/>
            <w:tcBorders>
              <w:top w:val="nil"/>
              <w:left w:val="nil"/>
              <w:bottom w:val="single" w:sz="4" w:space="0" w:color="auto"/>
              <w:right w:val="single" w:sz="4" w:space="0" w:color="auto"/>
            </w:tcBorders>
            <w:shd w:val="clear" w:color="auto" w:fill="auto"/>
            <w:noWrap/>
            <w:vAlign w:val="bottom"/>
            <w:hideMark/>
          </w:tcPr>
          <w:p w:rsidR="00DF0CE3" w:rsidRPr="00DF0CE3" w:rsidP="0072727A" w14:paraId="280F7112" w14:textId="77777777">
            <w:pPr>
              <w:keepNext/>
              <w:keepLines/>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120" w:type="dxa"/>
            <w:tcBorders>
              <w:top w:val="nil"/>
              <w:left w:val="nil"/>
              <w:bottom w:val="single" w:sz="4" w:space="0" w:color="auto"/>
              <w:right w:val="single" w:sz="4" w:space="0" w:color="auto"/>
            </w:tcBorders>
            <w:shd w:val="clear" w:color="auto" w:fill="auto"/>
            <w:noWrap/>
            <w:vAlign w:val="bottom"/>
            <w:hideMark/>
          </w:tcPr>
          <w:p w:rsidR="00DF0CE3" w:rsidRPr="00DF0CE3" w:rsidP="0072727A" w14:paraId="737195C7" w14:textId="77777777">
            <w:pPr>
              <w:keepNext/>
              <w:keepLines/>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280" w:type="dxa"/>
            <w:tcBorders>
              <w:top w:val="nil"/>
              <w:left w:val="nil"/>
              <w:bottom w:val="single" w:sz="4" w:space="0" w:color="auto"/>
              <w:right w:val="single" w:sz="4" w:space="0" w:color="auto"/>
            </w:tcBorders>
            <w:shd w:val="clear" w:color="auto" w:fill="auto"/>
            <w:noWrap/>
            <w:vAlign w:val="bottom"/>
            <w:hideMark/>
          </w:tcPr>
          <w:p w:rsidR="00DF0CE3" w:rsidRPr="00DF0CE3" w:rsidP="0072727A" w14:paraId="678BF61E" w14:textId="77777777">
            <w:pPr>
              <w:keepNext/>
              <w:keepLines/>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300" w:type="dxa"/>
            <w:tcBorders>
              <w:top w:val="nil"/>
              <w:left w:val="nil"/>
              <w:bottom w:val="single" w:sz="4" w:space="0" w:color="auto"/>
              <w:right w:val="single" w:sz="8" w:space="0" w:color="auto"/>
            </w:tcBorders>
            <w:shd w:val="clear" w:color="auto" w:fill="auto"/>
            <w:noWrap/>
            <w:vAlign w:val="bottom"/>
            <w:hideMark/>
          </w:tcPr>
          <w:p w:rsidR="00DF0CE3" w:rsidRPr="00DF0CE3" w:rsidP="0072727A" w14:paraId="7F6DBC6E" w14:textId="77777777">
            <w:pPr>
              <w:keepNext/>
              <w:keepLines/>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r>
      <w:tr w14:paraId="0F8B3033" w14:textId="77777777" w:rsidTr="00247410">
        <w:tblPrEx>
          <w:tblW w:w="8428" w:type="dxa"/>
          <w:tblInd w:w="-25"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DF0CE3" w:rsidRPr="00DF0CE3" w:rsidP="0072727A" w14:paraId="713AFFE9" w14:textId="77777777">
            <w:pPr>
              <w:keepNext/>
              <w:keepLines/>
              <w:widowControl/>
              <w:autoSpaceDE/>
              <w:autoSpaceDN/>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Travel</w:t>
            </w:r>
          </w:p>
        </w:tc>
        <w:tc>
          <w:tcPr>
            <w:tcW w:w="1120" w:type="dxa"/>
            <w:tcBorders>
              <w:top w:val="nil"/>
              <w:left w:val="nil"/>
              <w:bottom w:val="single" w:sz="4" w:space="0" w:color="auto"/>
              <w:right w:val="single" w:sz="4" w:space="0" w:color="auto"/>
            </w:tcBorders>
            <w:shd w:val="clear" w:color="000000" w:fill="808080"/>
            <w:noWrap/>
            <w:vAlign w:val="bottom"/>
            <w:hideMark/>
          </w:tcPr>
          <w:p w:rsidR="00DF0CE3" w:rsidRPr="00DF0CE3" w:rsidP="0072727A" w14:paraId="7F78932A" w14:textId="77777777">
            <w:pPr>
              <w:keepNext/>
              <w:keepLines/>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328" w:type="dxa"/>
            <w:tcBorders>
              <w:top w:val="nil"/>
              <w:left w:val="nil"/>
              <w:bottom w:val="single" w:sz="4" w:space="0" w:color="auto"/>
              <w:right w:val="single" w:sz="4" w:space="0" w:color="auto"/>
            </w:tcBorders>
            <w:shd w:val="clear" w:color="000000" w:fill="808080"/>
            <w:noWrap/>
            <w:vAlign w:val="bottom"/>
            <w:hideMark/>
          </w:tcPr>
          <w:p w:rsidR="00DF0CE3" w:rsidRPr="00DF0CE3" w:rsidP="0072727A" w14:paraId="4FB2A679" w14:textId="77777777">
            <w:pPr>
              <w:keepNext/>
              <w:keepLines/>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120" w:type="dxa"/>
            <w:tcBorders>
              <w:top w:val="nil"/>
              <w:left w:val="nil"/>
              <w:bottom w:val="single" w:sz="4" w:space="0" w:color="auto"/>
              <w:right w:val="single" w:sz="4" w:space="0" w:color="auto"/>
            </w:tcBorders>
            <w:shd w:val="clear" w:color="000000" w:fill="808080"/>
            <w:noWrap/>
            <w:vAlign w:val="bottom"/>
            <w:hideMark/>
          </w:tcPr>
          <w:p w:rsidR="00DF0CE3" w:rsidRPr="00DF0CE3" w:rsidP="0072727A" w14:paraId="13A93F4F" w14:textId="77777777">
            <w:pPr>
              <w:keepNext/>
              <w:keepLines/>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DF0CE3" w:rsidRPr="00DF0CE3" w:rsidP="0072727A" w14:paraId="5EEE7AE3" w14:textId="77777777">
            <w:pPr>
              <w:keepNext/>
              <w:keepLines/>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300" w:type="dxa"/>
            <w:tcBorders>
              <w:top w:val="nil"/>
              <w:left w:val="nil"/>
              <w:bottom w:val="single" w:sz="4" w:space="0" w:color="auto"/>
              <w:right w:val="single" w:sz="8" w:space="0" w:color="auto"/>
            </w:tcBorders>
            <w:shd w:val="clear" w:color="auto" w:fill="auto"/>
            <w:noWrap/>
            <w:vAlign w:val="bottom"/>
            <w:hideMark/>
          </w:tcPr>
          <w:p w:rsidR="00DF0CE3" w:rsidRPr="00DF0CE3" w:rsidP="0072727A" w14:paraId="7DED3159" w14:textId="77777777">
            <w:pPr>
              <w:keepNext/>
              <w:keepLines/>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r>
      <w:tr w14:paraId="532A86A6" w14:textId="77777777" w:rsidTr="00247410">
        <w:tblPrEx>
          <w:tblW w:w="8428" w:type="dxa"/>
          <w:tblInd w:w="-25" w:type="dxa"/>
          <w:tblLook w:val="04A0"/>
        </w:tblPrEx>
        <w:trPr>
          <w:trHeight w:val="376"/>
        </w:trPr>
        <w:tc>
          <w:tcPr>
            <w:tcW w:w="2280" w:type="dxa"/>
            <w:tcBorders>
              <w:top w:val="nil"/>
              <w:left w:val="single" w:sz="8" w:space="0" w:color="auto"/>
              <w:bottom w:val="nil"/>
              <w:right w:val="single" w:sz="8" w:space="0" w:color="auto"/>
            </w:tcBorders>
            <w:shd w:val="clear" w:color="auto" w:fill="auto"/>
            <w:vAlign w:val="center"/>
            <w:hideMark/>
          </w:tcPr>
          <w:p w:rsidR="00DF0CE3" w:rsidRPr="00DF0CE3" w:rsidP="0072727A" w14:paraId="69C4DA95" w14:textId="77777777">
            <w:pPr>
              <w:keepNext/>
              <w:keepLines/>
              <w:widowControl/>
              <w:autoSpaceDE/>
              <w:autoSpaceDN/>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 xml:space="preserve">Other Costs: </w:t>
            </w:r>
          </w:p>
        </w:tc>
        <w:tc>
          <w:tcPr>
            <w:tcW w:w="1120" w:type="dxa"/>
            <w:tcBorders>
              <w:top w:val="nil"/>
              <w:left w:val="nil"/>
              <w:bottom w:val="single" w:sz="4" w:space="0" w:color="auto"/>
              <w:right w:val="single" w:sz="4" w:space="0" w:color="auto"/>
            </w:tcBorders>
            <w:shd w:val="clear" w:color="000000" w:fill="808080"/>
            <w:noWrap/>
            <w:vAlign w:val="bottom"/>
            <w:hideMark/>
          </w:tcPr>
          <w:p w:rsidR="00DF0CE3" w:rsidRPr="00DF0CE3" w:rsidP="0072727A" w14:paraId="40027FF6" w14:textId="77777777">
            <w:pPr>
              <w:keepNext/>
              <w:keepLines/>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328" w:type="dxa"/>
            <w:tcBorders>
              <w:top w:val="nil"/>
              <w:left w:val="nil"/>
              <w:bottom w:val="single" w:sz="4" w:space="0" w:color="auto"/>
              <w:right w:val="single" w:sz="4" w:space="0" w:color="auto"/>
            </w:tcBorders>
            <w:shd w:val="clear" w:color="000000" w:fill="808080"/>
            <w:noWrap/>
            <w:vAlign w:val="bottom"/>
            <w:hideMark/>
          </w:tcPr>
          <w:p w:rsidR="00DF0CE3" w:rsidRPr="00DF0CE3" w:rsidP="0072727A" w14:paraId="3AF3E78B" w14:textId="77777777">
            <w:pPr>
              <w:keepNext/>
              <w:keepLines/>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120" w:type="dxa"/>
            <w:tcBorders>
              <w:top w:val="nil"/>
              <w:left w:val="nil"/>
              <w:bottom w:val="single" w:sz="4" w:space="0" w:color="auto"/>
              <w:right w:val="single" w:sz="4" w:space="0" w:color="auto"/>
            </w:tcBorders>
            <w:shd w:val="clear" w:color="000000" w:fill="808080"/>
            <w:noWrap/>
            <w:vAlign w:val="bottom"/>
            <w:hideMark/>
          </w:tcPr>
          <w:p w:rsidR="00DF0CE3" w:rsidRPr="00DF0CE3" w:rsidP="0072727A" w14:paraId="3A069DE8" w14:textId="77777777">
            <w:pPr>
              <w:keepNext/>
              <w:keepLines/>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DF0CE3" w:rsidRPr="00DF0CE3" w:rsidP="0072727A" w14:paraId="2AE4A207" w14:textId="77777777">
            <w:pPr>
              <w:keepNext/>
              <w:keepLines/>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300" w:type="dxa"/>
            <w:tcBorders>
              <w:top w:val="nil"/>
              <w:left w:val="nil"/>
              <w:bottom w:val="single" w:sz="4" w:space="0" w:color="auto"/>
              <w:right w:val="single" w:sz="8" w:space="0" w:color="auto"/>
            </w:tcBorders>
            <w:shd w:val="clear" w:color="auto" w:fill="auto"/>
            <w:noWrap/>
            <w:vAlign w:val="bottom"/>
            <w:hideMark/>
          </w:tcPr>
          <w:p w:rsidR="00DF0CE3" w:rsidRPr="00DF0CE3" w:rsidP="0072727A" w14:paraId="2028AABB" w14:textId="77777777">
            <w:pPr>
              <w:keepNext/>
              <w:keepLines/>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r>
      <w:tr w14:paraId="4931067C" w14:textId="77777777" w:rsidTr="00247410">
        <w:tblPrEx>
          <w:tblW w:w="8428" w:type="dxa"/>
          <w:tblInd w:w="-25" w:type="dxa"/>
          <w:tblLook w:val="04A0"/>
        </w:tblPrEx>
        <w:trPr>
          <w:trHeight w:val="315"/>
        </w:trPr>
        <w:tc>
          <w:tcPr>
            <w:tcW w:w="2280"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rsidR="00DF0CE3" w:rsidRPr="00DF0CE3" w:rsidP="0072727A" w14:paraId="217C696B" w14:textId="77777777">
            <w:pPr>
              <w:keepNext/>
              <w:keepLines/>
              <w:widowControl/>
              <w:autoSpaceDE/>
              <w:autoSpaceDN/>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TOTAL</w:t>
            </w:r>
          </w:p>
        </w:tc>
        <w:tc>
          <w:tcPr>
            <w:tcW w:w="1120" w:type="dxa"/>
            <w:tcBorders>
              <w:top w:val="single" w:sz="8" w:space="0" w:color="auto"/>
              <w:left w:val="nil"/>
              <w:bottom w:val="single" w:sz="8" w:space="0" w:color="auto"/>
              <w:right w:val="single" w:sz="8" w:space="0" w:color="auto"/>
            </w:tcBorders>
            <w:shd w:val="clear" w:color="000000" w:fill="808080"/>
            <w:noWrap/>
            <w:vAlign w:val="bottom"/>
            <w:hideMark/>
          </w:tcPr>
          <w:p w:rsidR="00DF0CE3" w:rsidRPr="00DF0CE3" w:rsidP="0072727A" w14:paraId="3CE502EA" w14:textId="77777777">
            <w:pPr>
              <w:keepNext/>
              <w:keepLines/>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328" w:type="dxa"/>
            <w:tcBorders>
              <w:top w:val="single" w:sz="8" w:space="0" w:color="auto"/>
              <w:left w:val="nil"/>
              <w:bottom w:val="single" w:sz="8" w:space="0" w:color="auto"/>
              <w:right w:val="single" w:sz="8" w:space="0" w:color="auto"/>
            </w:tcBorders>
            <w:shd w:val="clear" w:color="auto" w:fill="808080" w:themeFill="background1" w:themeFillShade="80"/>
            <w:noWrap/>
            <w:vAlign w:val="bottom"/>
            <w:hideMark/>
          </w:tcPr>
          <w:p w:rsidR="00DF0CE3" w:rsidRPr="00DF0CE3" w:rsidP="0072727A" w14:paraId="38ADAB11" w14:textId="77777777">
            <w:pPr>
              <w:keepNext/>
              <w:keepLines/>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120" w:type="dxa"/>
            <w:tcBorders>
              <w:top w:val="single" w:sz="8" w:space="0" w:color="auto"/>
              <w:left w:val="nil"/>
              <w:bottom w:val="single" w:sz="8" w:space="0" w:color="auto"/>
              <w:right w:val="single" w:sz="8" w:space="0" w:color="auto"/>
            </w:tcBorders>
            <w:shd w:val="clear" w:color="000000" w:fill="757171"/>
            <w:noWrap/>
            <w:vAlign w:val="bottom"/>
            <w:hideMark/>
          </w:tcPr>
          <w:p w:rsidR="00DF0CE3" w:rsidRPr="00DF0CE3" w:rsidP="0072727A" w14:paraId="79887FC4" w14:textId="77777777">
            <w:pPr>
              <w:keepNext/>
              <w:keepLines/>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280" w:type="dxa"/>
            <w:tcBorders>
              <w:top w:val="single" w:sz="8" w:space="0" w:color="auto"/>
              <w:left w:val="nil"/>
              <w:bottom w:val="single" w:sz="8" w:space="0" w:color="auto"/>
              <w:right w:val="single" w:sz="8" w:space="0" w:color="auto"/>
            </w:tcBorders>
            <w:shd w:val="clear" w:color="000000" w:fill="DDEBF7"/>
            <w:noWrap/>
            <w:vAlign w:val="bottom"/>
            <w:hideMark/>
          </w:tcPr>
          <w:p w:rsidR="00DF0CE3" w:rsidRPr="00DF0CE3" w:rsidP="0072727A" w14:paraId="049A852F" w14:textId="77777777">
            <w:pPr>
              <w:keepNext/>
              <w:keepLines/>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300" w:type="dxa"/>
            <w:tcBorders>
              <w:top w:val="single" w:sz="8" w:space="0" w:color="auto"/>
              <w:left w:val="nil"/>
              <w:bottom w:val="single" w:sz="8" w:space="0" w:color="auto"/>
              <w:right w:val="single" w:sz="8" w:space="0" w:color="auto"/>
            </w:tcBorders>
            <w:shd w:val="clear" w:color="000000" w:fill="DDEBF7"/>
            <w:noWrap/>
            <w:vAlign w:val="bottom"/>
            <w:hideMark/>
          </w:tcPr>
          <w:p w:rsidR="00DF0CE3" w:rsidRPr="00247410" w:rsidP="0072727A" w14:paraId="36F3FCAB" w14:textId="77777777">
            <w:pPr>
              <w:keepNext/>
              <w:keepLines/>
              <w:widowControl/>
              <w:autoSpaceDE/>
              <w:autoSpaceDN/>
              <w:rPr>
                <w:rFonts w:ascii="Calibri" w:eastAsia="Times New Roman" w:hAnsi="Calibri" w:cs="Calibri"/>
                <w:b/>
                <w:color w:val="000000"/>
                <w:sz w:val="18"/>
                <w:szCs w:val="18"/>
                <w:lang w:bidi="ar-SA"/>
              </w:rPr>
            </w:pPr>
            <w:r w:rsidRPr="00DF0CE3">
              <w:rPr>
                <w:rFonts w:ascii="Calibri" w:eastAsia="Times New Roman" w:hAnsi="Calibri" w:cs="Calibri"/>
                <w:color w:val="000000"/>
                <w:sz w:val="16"/>
                <w:szCs w:val="16"/>
                <w:lang w:bidi="ar-SA"/>
              </w:rPr>
              <w:t> </w:t>
            </w:r>
            <w:r w:rsidRPr="00247410" w:rsidR="0072727A">
              <w:rPr>
                <w:rFonts w:ascii="Calibri" w:eastAsia="Times New Roman" w:hAnsi="Calibri" w:cs="Calibri"/>
                <w:b/>
                <w:color w:val="000000"/>
                <w:sz w:val="18"/>
                <w:szCs w:val="18"/>
                <w:lang w:bidi="ar-SA"/>
              </w:rPr>
              <w:t>$</w:t>
            </w:r>
            <w:r w:rsidRPr="00247410" w:rsidR="008E0122">
              <w:rPr>
                <w:rFonts w:ascii="Calibri" w:eastAsia="Times New Roman" w:hAnsi="Calibri" w:cs="Calibri"/>
                <w:b/>
                <w:color w:val="000000"/>
                <w:sz w:val="18"/>
                <w:szCs w:val="18"/>
                <w:lang w:bidi="ar-SA"/>
              </w:rPr>
              <w:t>697.50</w:t>
            </w:r>
          </w:p>
        </w:tc>
      </w:tr>
    </w:tbl>
    <w:p w:rsidR="00DF0CE3" w:rsidP="00BD7237" w14:paraId="78D29F21" w14:textId="77777777">
      <w:pPr>
        <w:pStyle w:val="BodyText"/>
        <w:spacing w:before="9" w:after="1"/>
        <w:ind w:left="0"/>
        <w:rPr>
          <w:rFonts w:ascii="Times New Roman" w:hAnsi="Times New Roman" w:cs="Times New Roman"/>
          <w:b/>
        </w:rPr>
      </w:pPr>
    </w:p>
    <w:p w:rsidR="00EF4ABE" w:rsidRPr="00BD7237" w:rsidP="00BD7237" w14:paraId="432FBE42" w14:textId="77777777">
      <w:pPr>
        <w:pStyle w:val="BodyText"/>
        <w:spacing w:before="9" w:after="1"/>
        <w:ind w:left="0"/>
        <w:rPr>
          <w:rFonts w:ascii="Times New Roman" w:hAnsi="Times New Roman" w:cs="Times New Roman"/>
          <w:b/>
        </w:rPr>
      </w:pPr>
    </w:p>
    <w:p w:rsidR="008E61C9" w:rsidRPr="00BD7237" w:rsidP="00BD7237" w14:paraId="19A2BAD4"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reasons for any program changes or adjustments reported in ROCIS.</w:t>
      </w:r>
    </w:p>
    <w:p w:rsidR="00AA4650" w:rsidRPr="00AA4650" w:rsidP="00BD7237" w14:paraId="12E60A1F" w14:textId="77777777">
      <w:pPr>
        <w:pStyle w:val="BodyText"/>
        <w:spacing w:before="159"/>
        <w:ind w:left="0"/>
        <w:rPr>
          <w:rFonts w:ascii="Times New Roman" w:hAnsi="Times New Roman" w:cs="Times New Roman"/>
        </w:rPr>
      </w:pPr>
      <w:r w:rsidRPr="00AA4650">
        <w:rPr>
          <w:rFonts w:ascii="Times New Roman" w:hAnsi="Times New Roman" w:cs="Times New Roman"/>
        </w:rPr>
        <w:t>There are no changes to the information collection since the last OMB approval.</w:t>
      </w:r>
    </w:p>
    <w:p w:rsidR="008E61C9" w:rsidRPr="00BD7237" w:rsidP="00BD7237" w14:paraId="1E1EF618" w14:textId="77777777">
      <w:pPr>
        <w:pStyle w:val="BodyText"/>
        <w:spacing w:before="159"/>
        <w:ind w:left="0"/>
        <w:rPr>
          <w:rFonts w:ascii="Times New Roman" w:hAnsi="Times New Roman" w:cs="Times New Roman"/>
        </w:rPr>
      </w:pPr>
    </w:p>
    <w:p w:rsidR="008E61C9" w:rsidRPr="00BD7237" w:rsidP="00BD7237" w14:paraId="5182324D"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C02F8" w:rsidRPr="00AC02F8" w:rsidP="00BD7237" w14:paraId="0AD08F04" w14:textId="77777777">
      <w:pPr>
        <w:pStyle w:val="BodyText"/>
        <w:spacing w:before="160"/>
        <w:ind w:left="0"/>
        <w:rPr>
          <w:rFonts w:ascii="Times New Roman" w:hAnsi="Times New Roman" w:cs="Times New Roman"/>
        </w:rPr>
      </w:pPr>
      <w:r w:rsidRPr="00AC02F8">
        <w:rPr>
          <w:rFonts w:ascii="Times New Roman" w:hAnsi="Times New Roman" w:cs="Times New Roman"/>
        </w:rPr>
        <w:t>The results of the collection will not be published.</w:t>
      </w:r>
    </w:p>
    <w:p w:rsidR="008E61C9" w:rsidRPr="00BD7237" w:rsidP="00BD7237" w14:paraId="7E0B3429" w14:textId="77777777">
      <w:pPr>
        <w:pStyle w:val="BodyText"/>
        <w:spacing w:before="160"/>
        <w:ind w:left="0"/>
        <w:rPr>
          <w:rFonts w:ascii="Times New Roman" w:hAnsi="Times New Roman" w:cs="Times New Roman"/>
        </w:rPr>
      </w:pPr>
    </w:p>
    <w:p w:rsidR="008E61C9" w:rsidRPr="00BD7237" w:rsidP="00BD7237" w14:paraId="0EDD1371"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81007D" w:rsidP="00BD7237" w14:paraId="523F83FB" w14:textId="77777777">
      <w:pPr>
        <w:pStyle w:val="BodyText"/>
        <w:ind w:left="0"/>
        <w:rPr>
          <w:rFonts w:ascii="Times New Roman" w:hAnsi="Times New Roman" w:cs="Times New Roman"/>
        </w:rPr>
      </w:pPr>
      <w:r w:rsidRPr="0081007D">
        <w:rPr>
          <w:rFonts w:ascii="Times New Roman" w:hAnsi="Times New Roman" w:cs="Times New Roman"/>
        </w:rPr>
        <w:t>Not applicable as there are no forms associated with this collection.</w:t>
      </w:r>
      <w:r>
        <w:rPr>
          <w:rFonts w:ascii="Times New Roman" w:hAnsi="Times New Roman" w:cs="Times New Roman"/>
        </w:rPr>
        <w:t xml:space="preserve">  The expiration date of OMB approval is included in the annual Federal Register Notice for the salmon fishery management measures.</w:t>
      </w:r>
    </w:p>
    <w:p w:rsidR="00C53567" w:rsidRPr="0081007D" w:rsidP="00BD7237" w14:paraId="69B71B48" w14:textId="77777777">
      <w:pPr>
        <w:pStyle w:val="BodyText"/>
        <w:ind w:left="0"/>
        <w:rPr>
          <w:rFonts w:ascii="Times New Roman" w:hAnsi="Times New Roman" w:cs="Times New Roman"/>
        </w:rPr>
      </w:pPr>
    </w:p>
    <w:p w:rsidR="008E61C9" w:rsidRPr="00BD7237" w:rsidP="00BD7237" w14:paraId="309E96F6"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each exception to the certification statement identified in “Certification for Paperwork Reduction Act Submissions."</w:t>
      </w:r>
    </w:p>
    <w:p w:rsidR="00C53567" w:rsidRPr="0081007D" w:rsidP="00BD7237" w14:paraId="46E89B00" w14:textId="1E6ED498">
      <w:pPr>
        <w:spacing w:before="199" w:line="259" w:lineRule="auto"/>
        <w:rPr>
          <w:rFonts w:ascii="Times New Roman" w:hAnsi="Times New Roman" w:cs="Times New Roman"/>
          <w:sz w:val="24"/>
          <w:szCs w:val="24"/>
        </w:rPr>
      </w:pPr>
      <w:r w:rsidRPr="0081007D">
        <w:rPr>
          <w:rFonts w:ascii="Times New Roman" w:hAnsi="Times New Roman" w:cs="Times New Roman"/>
          <w:sz w:val="24"/>
          <w:szCs w:val="24"/>
        </w:rPr>
        <w:t>The agency certifies compliance with 5 CFR 1320.9 and the related provisions of 5 CFR 1320.8(b)(3).</w:t>
      </w:r>
      <w:bookmarkStart w:id="1" w:name="_GoBack"/>
      <w:bookmarkEnd w:id="1"/>
    </w:p>
    <w:sectPr w:rsidSect="00247410">
      <w:pgSz w:w="12240" w:h="15840"/>
      <w:pgMar w:top="640" w:right="1080" w:bottom="63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2791" w14:paraId="784EFCB6" w14:textId="7AFE8A3E">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CE4FA6"/>
    <w:multiLevelType w:val="hybridMultilevel"/>
    <w:tmpl w:val="B27CC73A"/>
    <w:lvl w:ilvl="0">
      <w:start w:val="1"/>
      <w:numFmt w:val="bullet"/>
      <w:lvlText w:val=""/>
      <w:lvlJc w:val="left"/>
      <w:pPr>
        <w:ind w:left="1120" w:hanging="360"/>
      </w:pPr>
      <w:rPr>
        <w:rFonts w:ascii="Symbol" w:hAnsi="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
    <w:nsid w:val="128411D9"/>
    <w:multiLevelType w:val="hybridMultilevel"/>
    <w:tmpl w:val="DC80C57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2">
    <w:nsid w:val="12C12666"/>
    <w:multiLevelType w:val="hybridMultilevel"/>
    <w:tmpl w:val="8CF2943A"/>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3">
    <w:nsid w:val="137D4624"/>
    <w:multiLevelType w:val="hybridMultilevel"/>
    <w:tmpl w:val="4F90AC0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4">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5">
    <w:nsid w:val="293513C8"/>
    <w:multiLevelType w:val="hybridMultilevel"/>
    <w:tmpl w:val="0B946AE4"/>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6">
    <w:nsid w:val="356B76EE"/>
    <w:multiLevelType w:val="hybridMultilevel"/>
    <w:tmpl w:val="D34EE340"/>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7">
    <w:nsid w:val="39565BF7"/>
    <w:multiLevelType w:val="hybridMultilevel"/>
    <w:tmpl w:val="9CE6BFAA"/>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8">
    <w:nsid w:val="4969184F"/>
    <w:multiLevelType w:val="hybridMultilevel"/>
    <w:tmpl w:val="AC70F8F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9">
    <w:nsid w:val="5C3D4A50"/>
    <w:multiLevelType w:val="hybridMultilevel"/>
    <w:tmpl w:val="32B0098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0">
    <w:nsid w:val="5EC56B4C"/>
    <w:multiLevelType w:val="hybridMultilevel"/>
    <w:tmpl w:val="1528DEE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1">
    <w:nsid w:val="5EF763BF"/>
    <w:multiLevelType w:val="hybridMultilevel"/>
    <w:tmpl w:val="E34A2E2C"/>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2">
    <w:nsid w:val="75725DCB"/>
    <w:multiLevelType w:val="hybridMultilevel"/>
    <w:tmpl w:val="FC981D16"/>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3">
    <w:nsid w:val="7F274247"/>
    <w:multiLevelType w:val="hybridMultilevel"/>
    <w:tmpl w:val="B41298D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num w:numId="1">
    <w:abstractNumId w:val="9"/>
  </w:num>
  <w:num w:numId="2">
    <w:abstractNumId w:val="2"/>
  </w:num>
  <w:num w:numId="3">
    <w:abstractNumId w:val="11"/>
  </w:num>
  <w:num w:numId="4">
    <w:abstractNumId w:val="3"/>
  </w:num>
  <w:num w:numId="5">
    <w:abstractNumId w:val="6"/>
  </w:num>
  <w:num w:numId="6">
    <w:abstractNumId w:val="7"/>
  </w:num>
  <w:num w:numId="7">
    <w:abstractNumId w:val="4"/>
  </w:num>
  <w:num w:numId="8">
    <w:abstractNumId w:val="1"/>
  </w:num>
  <w:num w:numId="9">
    <w:abstractNumId w:val="8"/>
  </w:num>
  <w:num w:numId="10">
    <w:abstractNumId w:val="12"/>
  </w:num>
  <w:num w:numId="11">
    <w:abstractNumId w:val="5"/>
  </w:num>
  <w:num w:numId="12">
    <w:abstractNumId w:val="10"/>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1C9"/>
    <w:rsid w:val="000035E5"/>
    <w:rsid w:val="00092CB1"/>
    <w:rsid w:val="000A5042"/>
    <w:rsid w:val="000F0BFB"/>
    <w:rsid w:val="0010451B"/>
    <w:rsid w:val="001045D3"/>
    <w:rsid w:val="00115034"/>
    <w:rsid w:val="0014557A"/>
    <w:rsid w:val="001477A3"/>
    <w:rsid w:val="00247410"/>
    <w:rsid w:val="00256AA8"/>
    <w:rsid w:val="00286E0A"/>
    <w:rsid w:val="002A1097"/>
    <w:rsid w:val="002E30AD"/>
    <w:rsid w:val="003A7589"/>
    <w:rsid w:val="004447CE"/>
    <w:rsid w:val="00465A6D"/>
    <w:rsid w:val="004C4050"/>
    <w:rsid w:val="004F32E9"/>
    <w:rsid w:val="004F5CAD"/>
    <w:rsid w:val="0050663C"/>
    <w:rsid w:val="0052752A"/>
    <w:rsid w:val="005A4007"/>
    <w:rsid w:val="00645279"/>
    <w:rsid w:val="00692AB6"/>
    <w:rsid w:val="00715000"/>
    <w:rsid w:val="007174F0"/>
    <w:rsid w:val="0072727A"/>
    <w:rsid w:val="00783D88"/>
    <w:rsid w:val="0079277D"/>
    <w:rsid w:val="007A64A8"/>
    <w:rsid w:val="007D252D"/>
    <w:rsid w:val="0081007D"/>
    <w:rsid w:val="00814385"/>
    <w:rsid w:val="008144F9"/>
    <w:rsid w:val="0082262E"/>
    <w:rsid w:val="008E0122"/>
    <w:rsid w:val="008E61C9"/>
    <w:rsid w:val="00902355"/>
    <w:rsid w:val="00904936"/>
    <w:rsid w:val="00927AED"/>
    <w:rsid w:val="00935551"/>
    <w:rsid w:val="00946C30"/>
    <w:rsid w:val="00996E87"/>
    <w:rsid w:val="009B116F"/>
    <w:rsid w:val="009C1A84"/>
    <w:rsid w:val="009C713E"/>
    <w:rsid w:val="009E137B"/>
    <w:rsid w:val="00A71C5D"/>
    <w:rsid w:val="00AA4650"/>
    <w:rsid w:val="00AC02F8"/>
    <w:rsid w:val="00AC4475"/>
    <w:rsid w:val="00AD1431"/>
    <w:rsid w:val="00AD17AA"/>
    <w:rsid w:val="00AD441D"/>
    <w:rsid w:val="00B472CD"/>
    <w:rsid w:val="00B63987"/>
    <w:rsid w:val="00BD7237"/>
    <w:rsid w:val="00BE5EF7"/>
    <w:rsid w:val="00C151C8"/>
    <w:rsid w:val="00C15AE6"/>
    <w:rsid w:val="00C22E38"/>
    <w:rsid w:val="00C32AA5"/>
    <w:rsid w:val="00C402D6"/>
    <w:rsid w:val="00C40F7B"/>
    <w:rsid w:val="00C53567"/>
    <w:rsid w:val="00C9223F"/>
    <w:rsid w:val="00CA19FB"/>
    <w:rsid w:val="00CA2838"/>
    <w:rsid w:val="00CA2B37"/>
    <w:rsid w:val="00CB111B"/>
    <w:rsid w:val="00CC3B4D"/>
    <w:rsid w:val="00CF2E9C"/>
    <w:rsid w:val="00D35EB2"/>
    <w:rsid w:val="00D64DF9"/>
    <w:rsid w:val="00DF0CE3"/>
    <w:rsid w:val="00E02791"/>
    <w:rsid w:val="00E15B57"/>
    <w:rsid w:val="00E235C0"/>
    <w:rsid w:val="00E92FF1"/>
    <w:rsid w:val="00EA79E9"/>
    <w:rsid w:val="00EA7D93"/>
    <w:rsid w:val="00EF4ABE"/>
    <w:rsid w:val="00F53DB3"/>
    <w:rsid w:val="00F60F98"/>
    <w:rsid w:val="00F763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555802"/>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basedOn w:val="DefaultParagraphFont"/>
    <w:uiPriority w:val="99"/>
    <w:unhideWhenUsed/>
    <w:rsid w:val="00814385"/>
    <w:rPr>
      <w:color w:val="0000FF" w:themeColor="hyperlink"/>
      <w:u w:val="single"/>
    </w:rPr>
  </w:style>
  <w:style w:type="paragraph" w:styleId="Header">
    <w:name w:val="header"/>
    <w:basedOn w:val="Normal"/>
    <w:link w:val="HeaderChar"/>
    <w:uiPriority w:val="99"/>
    <w:unhideWhenUsed/>
    <w:rsid w:val="009C1A84"/>
    <w:pPr>
      <w:tabs>
        <w:tab w:val="center" w:pos="4680"/>
        <w:tab w:val="right" w:pos="9360"/>
      </w:tabs>
    </w:pPr>
  </w:style>
  <w:style w:type="character" w:customStyle="1" w:styleId="HeaderChar">
    <w:name w:val="Header Char"/>
    <w:basedOn w:val="DefaultParagraphFont"/>
    <w:link w:val="Header"/>
    <w:uiPriority w:val="99"/>
    <w:rsid w:val="009C1A84"/>
    <w:rPr>
      <w:rFonts w:ascii="Arial" w:eastAsia="Arial" w:hAnsi="Arial" w:cs="Arial"/>
      <w:lang w:bidi="en-US"/>
    </w:rPr>
  </w:style>
  <w:style w:type="paragraph" w:styleId="Footer">
    <w:name w:val="footer"/>
    <w:basedOn w:val="Normal"/>
    <w:link w:val="FooterChar"/>
    <w:uiPriority w:val="99"/>
    <w:unhideWhenUsed/>
    <w:rsid w:val="009C1A84"/>
    <w:pPr>
      <w:tabs>
        <w:tab w:val="center" w:pos="4680"/>
        <w:tab w:val="right" w:pos="9360"/>
      </w:tabs>
    </w:pPr>
  </w:style>
  <w:style w:type="character" w:customStyle="1" w:styleId="FooterChar">
    <w:name w:val="Footer Char"/>
    <w:basedOn w:val="DefaultParagraphFont"/>
    <w:link w:val="Footer"/>
    <w:uiPriority w:val="99"/>
    <w:rsid w:val="009C1A84"/>
    <w:rPr>
      <w:rFonts w:ascii="Arial" w:eastAsia="Arial" w:hAnsi="Arial" w:cs="Arial"/>
      <w:lang w:bidi="en-US"/>
    </w:rPr>
  </w:style>
  <w:style w:type="character" w:styleId="FollowedHyperlink">
    <w:name w:val="FollowedHyperlink"/>
    <w:basedOn w:val="DefaultParagraphFont"/>
    <w:uiPriority w:val="99"/>
    <w:semiHidden/>
    <w:unhideWhenUsed/>
    <w:rsid w:val="00AD17AA"/>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40F7B"/>
    <w:pPr>
      <w:widowControl w:val="0"/>
      <w:autoSpaceDE w:val="0"/>
      <w:autoSpaceDN w:val="0"/>
      <w:spacing w:after="0"/>
      <w:ind w:left="0" w:firstLine="0"/>
    </w:pPr>
    <w:rPr>
      <w:b/>
      <w:bCs/>
      <w:color w:val="auto"/>
      <w:lang w:bidi="en-US"/>
    </w:rPr>
  </w:style>
  <w:style w:type="character" w:customStyle="1" w:styleId="CommentSubjectChar">
    <w:name w:val="Comment Subject Char"/>
    <w:basedOn w:val="CommentTextChar"/>
    <w:link w:val="CommentSubject"/>
    <w:uiPriority w:val="99"/>
    <w:semiHidden/>
    <w:rsid w:val="00C40F7B"/>
    <w:rPr>
      <w:rFonts w:ascii="Arial" w:eastAsia="Arial" w:hAnsi="Arial" w:cs="Arial"/>
      <w:b/>
      <w:bCs/>
      <w:color w:val="2E5395"/>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www.bls.gov/bls/blswage.htm" TargetMode="External" /><Relationship Id="rId6" Type="http://schemas.openxmlformats.org/officeDocument/2006/relationships/hyperlink" Target="https://www.federalpay.org/military/coast-guard"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2943</Words>
  <Characters>16780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19684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Adrienne.Thomas</cp:lastModifiedBy>
  <cp:revision>4</cp:revision>
  <dcterms:created xsi:type="dcterms:W3CDTF">2023-09-18T14:26:00Z</dcterms:created>
  <dcterms:modified xsi:type="dcterms:W3CDTF">2023-09-22T17:52:00Z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GrammarlyDocumentId">
    <vt:lpwstr>2b733bc280af4db7c960b02e130f72f093f34b330388c19dacfb0fc848ae7311</vt:lpwstr>
  </property>
  <property fmtid="{D5CDD505-2E9C-101B-9397-08002B2CF9AE}" pid="5" name="LastSaved">
    <vt:filetime>2020-05-07T00:00:00Z</vt:filetime>
  </property>
</Properties>
</file>