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2EBC">
      <w:pPr>
        <w:pStyle w:val="Heading1"/>
        <w:ind w:left="0"/>
        <w:jc w:val="center"/>
      </w:pPr>
      <w:r>
        <w:t>SUPPORTING STATEMENT</w:t>
      </w:r>
    </w:p>
    <w:p w:rsidR="00042EBC">
      <w:pPr>
        <w:spacing w:before="22" w:line="259" w:lineRule="auto"/>
        <w:ind w:firstLine="14"/>
        <w:jc w:val="center"/>
        <w:rPr>
          <w:b/>
        </w:rPr>
      </w:pPr>
      <w:r>
        <w:rPr>
          <w:b/>
        </w:rPr>
        <w:t>U.S. Department of Commerce</w:t>
      </w:r>
    </w:p>
    <w:p w:rsidR="00042EBC">
      <w:pPr>
        <w:spacing w:before="22" w:line="259" w:lineRule="auto"/>
        <w:ind w:firstLine="14"/>
        <w:jc w:val="center"/>
        <w:rPr>
          <w:b/>
        </w:rPr>
      </w:pPr>
      <w:r>
        <w:rPr>
          <w:b/>
        </w:rPr>
        <w:t>National Oceanic &amp; Atmospheric Administration</w:t>
      </w:r>
    </w:p>
    <w:p w:rsidR="00D2369A" w:rsidP="00D2369A">
      <w:pPr>
        <w:spacing w:before="22" w:line="256" w:lineRule="auto"/>
        <w:ind w:firstLine="14"/>
        <w:jc w:val="center"/>
        <w:rPr>
          <w:b/>
        </w:rPr>
      </w:pPr>
      <w:r>
        <w:rPr>
          <w:b/>
        </w:rPr>
        <w:t>Marine Fisheries Advisory Committee Survey on Marine Mammal Deterrents</w:t>
      </w:r>
    </w:p>
    <w:p w:rsidR="00042EBC" w:rsidP="00D2369A">
      <w:pPr>
        <w:spacing w:line="259" w:lineRule="auto"/>
        <w:ind w:hanging="6"/>
        <w:jc w:val="center"/>
        <w:rPr>
          <w:b/>
        </w:rPr>
      </w:pPr>
      <w:r>
        <w:rPr>
          <w:b/>
        </w:rPr>
        <w:t xml:space="preserve"> </w:t>
      </w:r>
      <w:r w:rsidR="003F4CE7">
        <w:rPr>
          <w:b/>
        </w:rPr>
        <w:t>OMB Control No. 0648-XXXX</w:t>
      </w:r>
    </w:p>
    <w:p w:rsidR="00042EBC">
      <w:pPr>
        <w:pBdr>
          <w:top w:val="nil"/>
          <w:left w:val="nil"/>
          <w:bottom w:val="nil"/>
          <w:right w:val="nil"/>
          <w:between w:val="nil"/>
        </w:pBdr>
        <w:spacing w:before="1"/>
        <w:jc w:val="center"/>
        <w:rPr>
          <w:b/>
          <w:color w:val="000000"/>
        </w:rPr>
      </w:pPr>
    </w:p>
    <w:p w:rsidR="00042EBC">
      <w:pPr>
        <w:pStyle w:val="Heading1"/>
        <w:spacing w:before="199"/>
        <w:ind w:left="0"/>
      </w:pPr>
      <w:r>
        <w:t>Abstract</w:t>
      </w:r>
    </w:p>
    <w:p w:rsidR="007C3920" w:rsidP="00D2369A">
      <w:pPr>
        <w:pStyle w:val="NormalWeb"/>
        <w:spacing w:before="144" w:beforeAutospacing="0" w:after="0" w:afterAutospacing="0"/>
        <w:rPr>
          <w:color w:val="000000"/>
        </w:rPr>
      </w:pPr>
      <w:r>
        <w:rPr>
          <w:color w:val="000000"/>
        </w:rPr>
        <w:t>This is a request for a new collection of information.</w:t>
      </w:r>
    </w:p>
    <w:p w:rsidR="00D2369A" w:rsidP="00D2369A">
      <w:pPr>
        <w:pStyle w:val="NormalWeb"/>
        <w:spacing w:before="144" w:beforeAutospacing="0" w:after="0" w:afterAutospacing="0"/>
      </w:pPr>
      <w:r>
        <w:rPr>
          <w:color w:val="000000"/>
        </w:rPr>
        <w:t>The summary of a series of marine mammal deterrent workshops by NOAA Fisheries states, “under a recent proposed rule, NOAA Fisheries developed guidelines for deterring marine mammals under its jurisdiction, and recommended specific measures for species listed under the Endangered Species Act (ESA). The guidelines focus on how to safely use deterrents to avoid injuring or killing marine mammals. However, evaluation of the efficacy of each deterrent was beyond the scope of the rulemaking process, and available data on deterrent effectiveness is lacking.” </w:t>
      </w:r>
    </w:p>
    <w:p w:rsidR="00D2369A" w:rsidP="00D2369A">
      <w:pPr>
        <w:pStyle w:val="NormalWeb"/>
        <w:spacing w:before="144" w:beforeAutospacing="0" w:after="0" w:afterAutospacing="0"/>
      </w:pPr>
      <w:r>
        <w:rPr>
          <w:color w:val="000000"/>
        </w:rPr>
        <w:t xml:space="preserve">Consequently, the Protected Resources Subcommittee of the Marine Fisheries Advisory Committee (MAFAC) was asked to help NMFS narrow down the scope for assessing the effectiveness of the marine mammal deterrents listed in the proposed guidelines and create a </w:t>
      </w:r>
      <w:r>
        <w:rPr>
          <w:color w:val="000000"/>
        </w:rPr>
        <w:t>decision making</w:t>
      </w:r>
      <w:r>
        <w:rPr>
          <w:color w:val="000000"/>
        </w:rPr>
        <w:t xml:space="preserve"> process to prioritize areas to begin characterizing the effectiveness. To achieve this, the Subcommittee plans to rank relative risk of expected losses from interactions with marine mammals by various user groups nationwide, which will identify where the biggest impacts of marine mammals are likely to be occurring. The information for the relative risk and expected loss analysis will be generated through a survey of five user groups (commercial fishermen, recreational fishermen, tribal fishermen (inclusive of tribal nations and other coastal indigenous populations), aquaculture operators, and waterfront property managers (e.g. harbormasters and harbor facility assistants).</w:t>
      </w:r>
    </w:p>
    <w:p w:rsidR="00042EBC" w:rsidP="00D2369A">
      <w:pPr>
        <w:pStyle w:val="Heading1"/>
        <w:spacing w:before="124"/>
        <w:ind w:left="0"/>
      </w:pPr>
      <w:r>
        <w:t xml:space="preserve"> </w:t>
      </w:r>
      <w:r w:rsidR="003F4CE7">
        <w:t>Justification</w:t>
      </w:r>
    </w:p>
    <w:p w:rsidR="00042EBC">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369A" w:rsidP="00D2369A">
      <w:pPr>
        <w:pStyle w:val="NormalWeb"/>
        <w:spacing w:before="159" w:beforeAutospacing="0" w:after="0" w:afterAutospacing="0"/>
      </w:pPr>
      <w:r>
        <w:rPr>
          <w:color w:val="000000"/>
        </w:rPr>
        <w:t xml:space="preserve">The </w:t>
      </w:r>
      <w:hyperlink r:id="rId5" w:history="1">
        <w:r>
          <w:rPr>
            <w:rStyle w:val="Hyperlink"/>
            <w:color w:val="000000"/>
          </w:rPr>
          <w:t>proposed guidelines</w:t>
        </w:r>
      </w:hyperlink>
      <w:r>
        <w:rPr>
          <w:color w:val="000000"/>
        </w:rPr>
        <w:t xml:space="preserve"> by NOAA Fisheries authorized under the Marine Mammal Protection Act (MMPA) §101(a)(4)(B), focus on how different users can safely deter marine mammals from damaging fishing gear/catch or private property without causing serious injury or death to the marine mammals. However, determining effectiveness of deterrents was outside the scope of the rulemaking process, and there is a concern identified in several public comments to the agency about the lack of available data on deterrent effectiveness. In April, May, and June 2022, the agency conducted listening sessions as part of two regional and one national Marine Mammal Deterrent Workshop with commercial fishermen to gather information about the types of deterrents they currently employ. These listening sessions were helpful in obtaining some information from a subset of one user group affected by the proposed guidelines. However, several other user groups have yet to be consulted including the following: recreational fisheries, aquaculture, and waterfront property managers. We also plan to solicit information from tribal nations. To adequately and accurately prioritize which deterrents should be tested first, we need information about the nature of marine mammal impacts on fishing gear/catch and private property to all specified user groups. Required information to create the relative risk assessment of expected losses that will help prioritize testing include time loss, economic loss, and damage to or loss of fishing gear, aquaculture equipment, property, bait, target species, and aquaculture products.</w:t>
      </w:r>
    </w:p>
    <w:p w:rsidR="00D2369A" w:rsidP="00D2369A">
      <w:pPr>
        <w:pStyle w:val="Heading1"/>
        <w:numPr>
          <w:ilvl w:val="0"/>
          <w:numId w:val="3"/>
        </w:numPr>
        <w:tabs>
          <w:tab w:val="left" w:pos="360"/>
        </w:tabs>
        <w:spacing w:before="197"/>
        <w:ind w:left="0" w:firstLine="0"/>
      </w:pPr>
      <w:r>
        <w:t xml:space="preserve"> </w:t>
      </w:r>
      <w:r w:rsidR="003F4CE7">
        <w:t>Indicate how, by whom, and for what purpose the information is to be used. Except for a new collection, indicate the actual use the agency has made of the information received from the current collection</w:t>
      </w:r>
      <w:r>
        <w:t>.</w:t>
      </w:r>
    </w:p>
    <w:p w:rsidR="00D2369A" w:rsidP="007C3920">
      <w:pPr>
        <w:pStyle w:val="Heading1"/>
      </w:pPr>
      <w:r>
        <w:rPr>
          <w:b w:val="0"/>
          <w:bCs w:val="0"/>
          <w:color w:val="000000"/>
        </w:rPr>
        <w:t>NOAA Fisheries will use the outputs of the relative risk assessment to prioritize which marine mammal deterrents should be tested for effectiveness, if funding becomes available. This will focus limited resources on the deterrents that, if effective, will have the greatest impact on reducing losses, an</w:t>
      </w:r>
      <w:r>
        <w:rPr>
          <w:b w:val="0"/>
          <w:bCs w:val="0"/>
          <w:color w:val="000000"/>
          <w:shd w:val="clear" w:color="auto" w:fill="FFFFFF"/>
        </w:rPr>
        <w:t xml:space="preserve">d increase the accuracy and efficiency of the proposed guidelines by eliminating any deterrents that are ineffective. By using a deterrent that is ineffective, users may not be minimizing or eliminating interactions with marine mammals in their specific situations, wasting time and resources. </w:t>
      </w:r>
      <w:r>
        <w:rPr>
          <w:b w:val="0"/>
          <w:bCs w:val="0"/>
          <w:color w:val="000000"/>
        </w:rPr>
        <w:t>We plan to collect the following information from respondents:</w:t>
      </w:r>
    </w:p>
    <w:p w:rsidR="00D2369A" w:rsidP="00D2369A"/>
    <w:p w:rsidR="00D2369A" w:rsidP="00D2369A">
      <w:pPr>
        <w:pStyle w:val="NormalWeb"/>
        <w:numPr>
          <w:ilvl w:val="0"/>
          <w:numId w:val="12"/>
        </w:numPr>
        <w:spacing w:before="0" w:beforeAutospacing="0" w:after="0" w:afterAutospacing="0"/>
        <w:ind w:left="760"/>
        <w:textAlignment w:val="baseline"/>
        <w:rPr>
          <w:color w:val="000000"/>
        </w:rPr>
      </w:pPr>
      <w:r>
        <w:rPr>
          <w:color w:val="000000"/>
          <w:u w:val="single"/>
        </w:rPr>
        <w:t>Background information</w:t>
      </w:r>
      <w:r>
        <w:rPr>
          <w:color w:val="000000"/>
        </w:rPr>
        <w:t>: </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Type of respondent (commercial, recreational, tribal fisherman, aquaculture owner/operator, waterfront property manager)</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NOAA Fisheries Region</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Season</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Gear and fishing or aquaculture method/system (when appropriate)</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Depth</w:t>
      </w:r>
    </w:p>
    <w:p w:rsidR="00D2369A" w:rsidP="00D2369A">
      <w:pPr>
        <w:pStyle w:val="NormalWeb"/>
        <w:numPr>
          <w:ilvl w:val="0"/>
          <w:numId w:val="12"/>
        </w:numPr>
        <w:spacing w:before="0" w:beforeAutospacing="0" w:after="0" w:afterAutospacing="0"/>
        <w:ind w:left="760"/>
        <w:textAlignment w:val="baseline"/>
        <w:rPr>
          <w:color w:val="000000"/>
        </w:rPr>
      </w:pPr>
      <w:r>
        <w:rPr>
          <w:color w:val="000000"/>
          <w:u w:val="single"/>
        </w:rPr>
        <w:t>Marine mammal encounters:</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Frequency</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Species or taxonomic group</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Season</w:t>
      </w:r>
    </w:p>
    <w:p w:rsidR="00D2369A" w:rsidP="00D2369A">
      <w:pPr>
        <w:pStyle w:val="NormalWeb"/>
        <w:numPr>
          <w:ilvl w:val="0"/>
          <w:numId w:val="12"/>
        </w:numPr>
        <w:spacing w:before="0" w:beforeAutospacing="0" w:after="0" w:afterAutospacing="0"/>
        <w:ind w:left="760"/>
        <w:textAlignment w:val="baseline"/>
        <w:rPr>
          <w:color w:val="000000"/>
        </w:rPr>
      </w:pPr>
      <w:r>
        <w:rPr>
          <w:color w:val="000000"/>
          <w:u w:val="single"/>
        </w:rPr>
        <w:t>Estimated losses due to marine mammal encounters:</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Time</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Bait</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 xml:space="preserve">Target </w:t>
      </w:r>
      <w:r>
        <w:rPr>
          <w:color w:val="000000"/>
        </w:rPr>
        <w:t>catch</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Damage</w:t>
      </w:r>
    </w:p>
    <w:p w:rsidR="00D2369A" w:rsidP="00D2369A">
      <w:pPr>
        <w:pStyle w:val="NormalWeb"/>
        <w:numPr>
          <w:ilvl w:val="0"/>
          <w:numId w:val="12"/>
        </w:numPr>
        <w:spacing w:before="0" w:beforeAutospacing="0" w:after="0" w:afterAutospacing="0"/>
        <w:ind w:left="760"/>
        <w:textAlignment w:val="baseline"/>
        <w:rPr>
          <w:color w:val="000000"/>
        </w:rPr>
      </w:pPr>
      <w:r>
        <w:rPr>
          <w:color w:val="000000"/>
          <w:u w:val="single"/>
        </w:rPr>
        <w:t>Deterrents used:</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Types</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Success</w:t>
      </w:r>
    </w:p>
    <w:p w:rsidR="00D2369A" w:rsidP="00D2369A">
      <w:pPr>
        <w:pStyle w:val="NormalWeb"/>
        <w:numPr>
          <w:ilvl w:val="1"/>
          <w:numId w:val="12"/>
        </w:numPr>
        <w:spacing w:before="0" w:beforeAutospacing="0" w:after="0" w:afterAutospacing="0"/>
        <w:ind w:left="1120"/>
        <w:textAlignment w:val="baseline"/>
        <w:rPr>
          <w:color w:val="000000"/>
          <w:sz w:val="20"/>
          <w:szCs w:val="20"/>
        </w:rPr>
      </w:pPr>
      <w:r>
        <w:rPr>
          <w:color w:val="000000"/>
        </w:rPr>
        <w:t>New ideas</w:t>
      </w:r>
    </w:p>
    <w:p w:rsidR="00D2369A" w:rsidP="00D2369A">
      <w:pPr>
        <w:pStyle w:val="NormalWeb"/>
        <w:spacing w:before="159" w:beforeAutospacing="0" w:after="0" w:afterAutospacing="0"/>
      </w:pPr>
      <w:r>
        <w:rPr>
          <w:color w:val="000000"/>
        </w:rPr>
        <w:t>Respondents will be from the following user groups: commercial, tribal, and recreational fisheries, waterfront property managers, and aquaculture operators. We will distribute the survey electronically. The web-based survey will be conducted using Google Forms (electronically over the internet). Electronic data collection reduces costs of administering surveys</w:t>
      </w:r>
      <w:r w:rsidR="007C3920">
        <w:rPr>
          <w:color w:val="000000"/>
        </w:rPr>
        <w:t xml:space="preserve"> and</w:t>
      </w:r>
      <w:r>
        <w:rPr>
          <w:color w:val="000000"/>
        </w:rPr>
        <w:t xml:space="preserve"> broadens the pool of potential survey </w:t>
      </w:r>
      <w:r>
        <w:rPr>
          <w:color w:val="000000"/>
        </w:rPr>
        <w:t>respondents</w:t>
      </w:r>
      <w:r w:rsidR="007C3920">
        <w:rPr>
          <w:color w:val="000000"/>
        </w:rPr>
        <w:t>.</w:t>
      </w:r>
      <w:r>
        <w:rPr>
          <w:color w:val="000000"/>
        </w:rPr>
        <w:t>.</w:t>
      </w:r>
      <w:r>
        <w:rPr>
          <w:color w:val="000000"/>
        </w:rPr>
        <w:t xml:space="preserve"> The MAFAC will use information from the survey to develop a relative risk assessment to present to the NOAA Fisheries Office of Protected Resources staff regarding which deterrents should be prioritized for effectiveness testing. The information will be shared with the respondents, the public, and other science and research partners.</w:t>
      </w:r>
    </w:p>
    <w:p w:rsidR="00D2369A" w:rsidP="00D2369A">
      <w:pPr>
        <w:pStyle w:val="NormalWeb"/>
        <w:spacing w:before="159" w:beforeAutospacing="0" w:after="0" w:afterAutospacing="0"/>
      </w:pPr>
      <w:r>
        <w:rPr>
          <w:color w:val="000000"/>
        </w:rPr>
        <w:t xml:space="preserve">An online survey will be the only modality for respondents. In 2022, NOAA Fisheries conducted three workshops for commercial fishermen to gather some preliminary, background information. </w:t>
      </w:r>
      <w:r w:rsidR="007C3920">
        <w:rPr>
          <w:color w:val="000000"/>
        </w:rPr>
        <w:t>NMFS</w:t>
      </w:r>
      <w:r>
        <w:rPr>
          <w:color w:val="000000"/>
        </w:rPr>
        <w:t xml:space="preserve"> sent the survey to </w:t>
      </w:r>
      <w:r w:rsidR="007C3920">
        <w:rPr>
          <w:color w:val="000000"/>
        </w:rPr>
        <w:t>less</w:t>
      </w:r>
      <w:r>
        <w:rPr>
          <w:color w:val="000000"/>
        </w:rPr>
        <w:t xml:space="preserve"> than 9 people per user group, and received feedback from only 8 total respondents (all user groups combined). Feedback verified that the survey only took respondents 5 minutes and pointed out some mistakes in the labeling of the regions, which were corrected.</w:t>
      </w:r>
      <w:r w:rsidR="007C3920">
        <w:rPr>
          <w:color w:val="000000"/>
        </w:rPr>
        <w:t xml:space="preserve"> </w:t>
      </w:r>
      <w:r>
        <w:rPr>
          <w:color w:val="000000"/>
        </w:rPr>
        <w:t>The weblink to one single survey will be distributed over the course of a three</w:t>
      </w:r>
      <w:r w:rsidR="007C3920">
        <w:rPr>
          <w:color w:val="000000"/>
        </w:rPr>
        <w:t>-</w:t>
      </w:r>
      <w:r>
        <w:rPr>
          <w:color w:val="000000"/>
        </w:rPr>
        <w:t xml:space="preserve"> to four</w:t>
      </w:r>
      <w:r w:rsidR="007C3920">
        <w:rPr>
          <w:color w:val="000000"/>
        </w:rPr>
        <w:t>-</w:t>
      </w:r>
      <w:r>
        <w:rPr>
          <w:color w:val="000000"/>
        </w:rPr>
        <w:t>month period. In addition to NOAA Fisheries, the MAFAC plans to share this information with the U.S. Fish and Wildlife Service, the U.S. Marine Mammal Commission, and other NOAA line offices and partners. We will distribute and solicit responses to only one survey. This is not an ongoing collection.</w:t>
      </w:r>
    </w:p>
    <w:p w:rsidR="00D2369A" w:rsidP="00D2369A">
      <w:pPr>
        <w:pStyle w:val="NormalWeb"/>
        <w:spacing w:before="161" w:beforeAutospacing="0" w:after="0" w:afterAutospacing="0"/>
      </w:pPr>
      <w:r>
        <w:rPr>
          <w:color w:val="000000"/>
        </w:rPr>
        <w:t xml:space="preserve">Ultimately, analyses of the survey results will help the MAFAC provide to NOAA Fisheries a logical </w:t>
      </w:r>
      <w:r>
        <w:rPr>
          <w:color w:val="000000"/>
        </w:rPr>
        <w:t>decision making</w:t>
      </w:r>
      <w:r>
        <w:rPr>
          <w:color w:val="000000"/>
        </w:rPr>
        <w:t xml:space="preserve"> process to decide which deterrents to test for effectiveness and where. This is critically important, because the Agency has not provided funding to test all possible deterrents. Which deterrents to test must be prioritized. For example, the Agency may choose to test deterrent types with the greatest expected losses to the user (e.g., loss of bait, time, property damage, target spp., etc.) to determine which, if any, of the deterrents can mitigate those losses. Survey results also may reveal some effective solutions already tested by a group of users and it might help identify the most effective deterrents for all user groups to meet their needs. </w:t>
      </w:r>
    </w:p>
    <w:p w:rsidR="00042EBC" w:rsidP="00D2369A">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 xml:space="preserve"> </w:t>
      </w:r>
      <w:r w:rsidR="003F4CE7">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2369A" w:rsidP="007C3920">
      <w:pPr>
        <w:pStyle w:val="NormalWeb"/>
        <w:spacing w:before="240" w:beforeAutospacing="0" w:after="0" w:afterAutospacing="0"/>
        <w:rPr>
          <w:color w:val="000000"/>
        </w:rPr>
      </w:pPr>
      <w:r>
        <w:rPr>
          <w:color w:val="000000"/>
        </w:rPr>
        <w:t>The MAFAC will employ electronic technology to conduct and analyze the survey through the open access and easy-to-use Google Forms software. The link to the form can be shared widely by announcement on the NOAA MAFAC website, through e-newsletters, email, and to the wide spectrum of NOAA partners and constituents. This electronic format supports the Government Paperwork Reduction Act. Using Google Forms allows the survey to readily incorporate skip logic, so that each group of users sees only their group’s questions. This also allows individuals who may fit into multiple categories (e.g., recreational fishermen who also own property that may be damaged) to submit multiple surveys, one for each category. We anticipate only a small proportion (&lt;20%) of respondents will fall into more than one category. Google Forms gathers data automatically into a database, which minimizes the likelihood of data entry errors, compared to manual entry. It’s more efficient and minimizes time.</w:t>
      </w:r>
    </w:p>
    <w:p w:rsidR="00D2369A" w:rsidP="00D2369A">
      <w:pPr>
        <w:pStyle w:val="NormalWeb"/>
        <w:spacing w:before="0" w:beforeAutospacing="0" w:after="0" w:afterAutospacing="0"/>
      </w:pPr>
    </w:p>
    <w:p w:rsidR="00042EBC" w:rsidP="00D2369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 </w:t>
      </w:r>
      <w:r w:rsidR="003F4CE7">
        <w:rPr>
          <w:b/>
          <w:color w:val="000000"/>
        </w:rPr>
        <w:t>Describe efforts to identify duplication. Show specifically why any similar information already available cannot be used or modified for use for the purposes described in Question 2</w:t>
      </w:r>
    </w:p>
    <w:p w:rsidR="00D2369A" w:rsidP="007C3920">
      <w:pPr>
        <w:pStyle w:val="NormalWeb"/>
        <w:spacing w:before="240" w:beforeAutospacing="0" w:after="200" w:afterAutospacing="0"/>
      </w:pPr>
      <w:r>
        <w:rPr>
          <w:color w:val="000000"/>
        </w:rPr>
        <w:t xml:space="preserve">This information has not been collected elsewhere and is specific to marine mammal deterrents methods employed by the specified user groups. The output of a </w:t>
      </w:r>
      <w:r>
        <w:rPr>
          <w:color w:val="000000"/>
        </w:rPr>
        <w:t>decision making</w:t>
      </w:r>
      <w:r>
        <w:rPr>
          <w:color w:val="000000"/>
        </w:rPr>
        <w:t xml:space="preserve"> framework using relative risk of expected losses to identify and help the agency prioritize which deterrence methods to test for effectiveness has never been created and will be unique and specific to the information gathered from this survey.</w:t>
      </w:r>
    </w:p>
    <w:p w:rsidR="00042EBC" w:rsidP="00D2369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 </w:t>
      </w:r>
      <w:r w:rsidR="003F4CE7">
        <w:rPr>
          <w:b/>
          <w:color w:val="000000"/>
        </w:rPr>
        <w:t>If the collection of information impacts small businesses or other small entities, describe any methods used to minimize burden.</w:t>
      </w:r>
    </w:p>
    <w:p w:rsidR="00D2369A" w:rsidP="00D2369A">
      <w:pPr>
        <w:pStyle w:val="NormalWeb"/>
        <w:spacing w:before="80" w:beforeAutospacing="0" w:after="0" w:afterAutospacing="0"/>
        <w:rPr>
          <w:color w:val="000000"/>
        </w:rPr>
      </w:pPr>
      <w:r>
        <w:rPr>
          <w:color w:val="000000"/>
        </w:rPr>
        <w:t>Data being collected are not of a proprietary nature and should not cause any burden on a small business or entity.</w:t>
      </w:r>
      <w:r w:rsidR="007C3920">
        <w:rPr>
          <w:color w:val="000000"/>
        </w:rPr>
        <w:t xml:space="preserve">  The least amount of information is being collected for each user group.</w:t>
      </w:r>
    </w:p>
    <w:p w:rsidR="00D2369A" w:rsidP="00D2369A">
      <w:pPr>
        <w:pStyle w:val="NormalWeb"/>
        <w:spacing w:before="80" w:beforeAutospacing="0" w:after="0" w:afterAutospacing="0"/>
      </w:pPr>
    </w:p>
    <w:p w:rsidR="00042EBC" w:rsidP="00D2369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 </w:t>
      </w:r>
      <w:r w:rsidR="003F4CE7">
        <w:rPr>
          <w:b/>
          <w:color w:val="000000"/>
        </w:rPr>
        <w:t>Describe the consequence to Federal program or policy activities if the collection is not conducted or is conducted less frequently, as well as any technical or legal obstacles to reducing burden.</w:t>
      </w:r>
    </w:p>
    <w:p w:rsidR="00D2369A" w:rsidP="00F60BC0">
      <w:pPr>
        <w:pBdr>
          <w:top w:val="nil"/>
          <w:left w:val="nil"/>
          <w:bottom w:val="nil"/>
          <w:right w:val="nil"/>
          <w:between w:val="nil"/>
        </w:pBdr>
        <w:tabs>
          <w:tab w:val="left" w:pos="360"/>
        </w:tabs>
        <w:spacing w:before="80"/>
        <w:rPr>
          <w:b/>
          <w:color w:val="000000"/>
        </w:rPr>
      </w:pPr>
      <w:r>
        <w:rPr>
          <w:color w:val="000000"/>
        </w:rPr>
        <w:t>The goal of this project is to help NOAA Fisheries achieve its mission under the MMPA. If this survey was not conducted, the agency may not seek to test the effectiveness of the marine mammal deterrents that are allowable under the agency’s proposed guidelines because there are more than 70 deterrence methods outlined in the guidance. Additionally, there is a burden on those that have interactions with marine mammals. Interactions can cause losses to fisheries, create a cost burden, and negatively impact marine mammals.</w:t>
      </w:r>
      <w:r>
        <w:rPr>
          <w:b/>
          <w:color w:val="000000"/>
        </w:rPr>
        <w:t xml:space="preserve"> </w:t>
      </w:r>
    </w:p>
    <w:p w:rsidR="00D2369A" w:rsidP="00D2369A">
      <w:pPr>
        <w:pBdr>
          <w:top w:val="nil"/>
          <w:left w:val="nil"/>
          <w:bottom w:val="nil"/>
          <w:right w:val="nil"/>
          <w:between w:val="nil"/>
        </w:pBdr>
        <w:tabs>
          <w:tab w:val="left" w:pos="360"/>
        </w:tabs>
        <w:spacing w:before="80"/>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D2369A" w:rsidP="00D2369A">
      <w:pPr>
        <w:pBdr>
          <w:top w:val="nil"/>
          <w:left w:val="nil"/>
          <w:bottom w:val="nil"/>
          <w:right w:val="nil"/>
          <w:between w:val="nil"/>
        </w:pBdr>
        <w:tabs>
          <w:tab w:val="left" w:pos="360"/>
        </w:tabs>
        <w:spacing w:before="80"/>
        <w:rPr>
          <w:color w:val="000000"/>
        </w:rPr>
      </w:pPr>
      <w:r>
        <w:rPr>
          <w:color w:val="000000"/>
        </w:rPr>
        <w:t xml:space="preserve">The collection </w:t>
      </w:r>
      <w:r w:rsidR="007C3920">
        <w:rPr>
          <w:color w:val="000000"/>
        </w:rPr>
        <w:t xml:space="preserve">will be conducted in a manner </w:t>
      </w:r>
      <w:r>
        <w:rPr>
          <w:color w:val="000000"/>
        </w:rPr>
        <w:t xml:space="preserve">consistent with OMB guidelines. </w:t>
      </w:r>
    </w:p>
    <w:p w:rsidR="00D2369A" w:rsidRPr="00D2369A" w:rsidP="00D2369A">
      <w:pPr>
        <w:pBdr>
          <w:top w:val="nil"/>
          <w:left w:val="nil"/>
          <w:bottom w:val="nil"/>
          <w:right w:val="nil"/>
          <w:between w:val="nil"/>
        </w:pBdr>
        <w:tabs>
          <w:tab w:val="left" w:pos="360"/>
        </w:tabs>
        <w:spacing w:before="80"/>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37A04" w:rsidRPr="004E4785" w:rsidP="00637A04">
      <w:pPr>
        <w:tabs>
          <w:tab w:val="left" w:pos="360"/>
        </w:tabs>
        <w:spacing w:before="80"/>
      </w:pPr>
      <w:r>
        <w:t xml:space="preserve">A Federal Register notice published on </w:t>
      </w:r>
      <w:r>
        <w:t>June 23, 2023</w:t>
      </w:r>
      <w:r>
        <w:t>, (8</w:t>
      </w:r>
      <w:r>
        <w:t>8 FR 41081</w:t>
      </w:r>
      <w:r>
        <w:t>) solicited public comments.  No comments were received.</w:t>
      </w:r>
    </w:p>
    <w:p w:rsidR="00637A04" w:rsidP="00637A04">
      <w:pPr>
        <w:tabs>
          <w:tab w:val="left" w:pos="360"/>
        </w:tabs>
        <w:spacing w:before="80"/>
      </w:pPr>
      <w:r>
        <w:t xml:space="preserve">This collection of information is a direct result of conversations with </w:t>
      </w:r>
      <w:r>
        <w:t xml:space="preserve">the </w:t>
      </w:r>
      <w:r>
        <w:rPr>
          <w:color w:val="000000"/>
        </w:rPr>
        <w:t>Marine Fisheries Advisory Committee (MAFAC)</w:t>
      </w:r>
      <w:r>
        <w:rPr>
          <w:color w:val="000000"/>
        </w:rPr>
        <w:t xml:space="preserve"> </w:t>
      </w:r>
      <w:r>
        <w:t>on the availability – or lack thereof – of the data and all comments were used to determine the data elements to be recorded.</w:t>
      </w:r>
    </w:p>
    <w:p w:rsidR="00D2369A" w:rsidP="00D2369A">
      <w:pPr>
        <w:pStyle w:val="NormalWeb"/>
        <w:spacing w:before="80" w:beforeAutospacing="0" w:after="0" w:afterAutospacing="0"/>
      </w:pPr>
    </w:p>
    <w:p w:rsidR="00042EBC" w:rsidP="00D2369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 </w:t>
      </w:r>
      <w:r w:rsidR="003F4CE7">
        <w:rPr>
          <w:b/>
          <w:color w:val="000000"/>
        </w:rPr>
        <w:t>Explain any decision to provide any payment or gift to respondents, other than remuneration of contractors or grantees.</w:t>
      </w:r>
    </w:p>
    <w:p w:rsidR="00D2369A" w:rsidP="00D2369A">
      <w:pPr>
        <w:pBdr>
          <w:top w:val="nil"/>
          <w:left w:val="nil"/>
          <w:bottom w:val="nil"/>
          <w:right w:val="nil"/>
          <w:between w:val="nil"/>
        </w:pBdr>
        <w:tabs>
          <w:tab w:val="left" w:pos="360"/>
        </w:tabs>
        <w:spacing w:before="80"/>
        <w:rPr>
          <w:b/>
          <w:color w:val="000000"/>
        </w:rPr>
      </w:pPr>
      <w:r>
        <w:rPr>
          <w:color w:val="000000"/>
        </w:rPr>
        <w:t>No payment or gifts will be provided to respondents.</w:t>
      </w:r>
    </w:p>
    <w:p w:rsidR="00D2369A" w:rsidP="00D2369A">
      <w:pPr>
        <w:pBdr>
          <w:top w:val="nil"/>
          <w:left w:val="nil"/>
          <w:bottom w:val="nil"/>
          <w:right w:val="nil"/>
          <w:between w:val="nil"/>
        </w:pBdr>
        <w:tabs>
          <w:tab w:val="left" w:pos="360"/>
        </w:tabs>
        <w:spacing w:before="80"/>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2369A" w:rsidP="00D2369A">
      <w:pPr>
        <w:pBdr>
          <w:top w:val="nil"/>
          <w:left w:val="nil"/>
          <w:bottom w:val="nil"/>
          <w:right w:val="nil"/>
          <w:between w:val="nil"/>
        </w:pBdr>
        <w:tabs>
          <w:tab w:val="left" w:pos="360"/>
        </w:tabs>
        <w:spacing w:before="80"/>
        <w:rPr>
          <w:color w:val="000000"/>
        </w:rPr>
      </w:pPr>
      <w:r>
        <w:rPr>
          <w:color w:val="000000"/>
        </w:rPr>
        <w:t xml:space="preserve">No personally identifiable information will be collected and all responses will be </w:t>
      </w:r>
      <w:r>
        <w:rPr>
          <w:color w:val="000000"/>
        </w:rPr>
        <w:t>anonymous.</w:t>
      </w:r>
      <w:r>
        <w:rPr>
          <w:color w:val="000000"/>
        </w:rPr>
        <w:t>.</w:t>
      </w:r>
    </w:p>
    <w:p w:rsidR="00D2369A" w:rsidP="00D2369A">
      <w:pPr>
        <w:pBdr>
          <w:top w:val="nil"/>
          <w:left w:val="nil"/>
          <w:bottom w:val="nil"/>
          <w:right w:val="nil"/>
          <w:between w:val="nil"/>
        </w:pBdr>
        <w:tabs>
          <w:tab w:val="left" w:pos="360"/>
        </w:tabs>
        <w:spacing w:before="80"/>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369A" w:rsidP="00637A04">
      <w:pPr>
        <w:spacing w:before="240" w:line="259" w:lineRule="auto"/>
        <w:rPr>
          <w:color w:val="000000"/>
        </w:rPr>
      </w:pPr>
      <w:r>
        <w:rPr>
          <w:color w:val="000000"/>
        </w:rPr>
        <w:t>The survey is not designed to, nor will it collect data that are private or of a sensitive nature.</w:t>
      </w:r>
    </w:p>
    <w:p w:rsidR="000A2E98">
      <w:pPr>
        <w:spacing w:line="259" w:lineRule="auto"/>
        <w:sectPr w:rsidSect="007C3920">
          <w:footerReference w:type="default" r:id="rId6"/>
          <w:pgSz w:w="12240" w:h="15840"/>
          <w:pgMar w:top="900" w:right="1080" w:bottom="1200" w:left="1080" w:header="0" w:footer="714" w:gutter="0"/>
          <w:pgNumType w:start="1"/>
          <w:cols w:space="720"/>
        </w:sectPr>
      </w:pPr>
    </w:p>
    <w:p w:rsidR="00D2369A">
      <w:pPr>
        <w:spacing w:line="259" w:lineRule="auto"/>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C76DC3" w:rsidP="00C76DC3">
      <w:pPr>
        <w:pStyle w:val="NormalWeb"/>
        <w:spacing w:before="0" w:beforeAutospacing="0" w:after="200" w:afterAutospacing="0"/>
        <w:rPr>
          <w:color w:val="000000"/>
        </w:rPr>
      </w:pPr>
    </w:p>
    <w:p w:rsidR="00C76DC3" w:rsidP="00C76DC3">
      <w:pPr>
        <w:pStyle w:val="NormalWeb"/>
        <w:spacing w:before="0" w:beforeAutospacing="0" w:after="200" w:afterAutospacing="0"/>
      </w:pPr>
      <w:r>
        <w:rPr>
          <w:color w:val="000000"/>
        </w:rPr>
        <w:t xml:space="preserve">The data collection approach will be a census. All participants of the census in each </w:t>
      </w:r>
      <w:r>
        <w:rPr>
          <w:color w:val="000000"/>
        </w:rPr>
        <w:t>strata</w:t>
      </w:r>
      <w:r>
        <w:rPr>
          <w:color w:val="000000"/>
        </w:rPr>
        <w:t xml:space="preserve"> will be contacted. Statistical strata are defined by user groups (commercial, recreational and subsistence fishers, </w:t>
      </w:r>
      <w:r>
        <w:rPr>
          <w:color w:val="000000"/>
        </w:rPr>
        <w:t>aquaculturists</w:t>
      </w:r>
      <w:r>
        <w:rPr>
          <w:color w:val="000000"/>
        </w:rPr>
        <w:t xml:space="preserve">, and waterfront property managers who all work in the marine environment). </w:t>
      </w:r>
      <w:r>
        <w:rPr>
          <w:color w:val="000000"/>
        </w:rPr>
        <w:t>One time</w:t>
      </w:r>
      <w:r>
        <w:rPr>
          <w:color w:val="000000"/>
        </w:rPr>
        <w:t>, voluntary surveys will be used to elicit user group membership, type of marine mammal encounter, use of deterrents if applicable, and success in the use of a deterrent if applicable. Stratification by user group will reduce within user group variation and allow comparisons of the types of marine mammal encounters and deterrent use within and between user groups. Data collection by user group is achieved by maximizing the distribution of the survey link across different media sources. MAFAC estimates a sampling universe of approximately 257,000 individuals representing different user groups that are likely to encounter marine mammals. Posted questionnaires typically have a response rate of 5-30%, while email questionnaires typically experience half that rate (James, T., 2012, A comparison of email and postal surveys. The Irish Journal of Psychology 28(3-4):129-137). Consequently, we expect a response rate of 2.5-15%, which should result in approximately 6,420 - 38,500 responses. Note, this number is significantly higher than originally proposed in the 60-day FRN published on June 23, 2023 (</w:t>
      </w:r>
      <w:hyperlink r:id="rId7" w:history="1">
        <w:r>
          <w:rPr>
            <w:rStyle w:val="Hyperlink"/>
            <w:color w:val="000000"/>
          </w:rPr>
          <w:t>88 FR 41081</w:t>
        </w:r>
      </w:hyperlink>
      <w:r>
        <w:rPr>
          <w:color w:val="000000"/>
        </w:rPr>
        <w:t>). Based on feedback from the Office of the Chief Economist, the number is now based on the full universe of possible responses instead of the minimum number of responses statistically needed for analysis.  </w:t>
      </w:r>
    </w:p>
    <w:p w:rsidR="00C76DC3" w:rsidP="00C76DC3">
      <w:r w:rsidRPr="00C76DC3">
        <w:rPr>
          <w:color w:val="000000"/>
        </w:rPr>
        <w:t>The estimate for commercial and tribal fishing is based on the wage data for captains and mates using the US Bureau of Labor Statistics (USBLS) for “</w:t>
      </w:r>
      <w:hyperlink r:id="rId8" w:anchor="tab-5" w:history="1">
        <w:r w:rsidRPr="00C76DC3">
          <w:rPr>
            <w:rStyle w:val="Hyperlink"/>
            <w:color w:val="1155CC"/>
          </w:rPr>
          <w:t>Fishing and Hunting Workers</w:t>
        </w:r>
      </w:hyperlink>
      <w:r w:rsidRPr="00C76DC3">
        <w:rPr>
          <w:color w:val="000000"/>
        </w:rPr>
        <w:t>.” It lists the median annual wage in 2021 for “farming, fishing, and forestry occupations'' as $29,860, which equates to $14.36/hr. We calculated the estimate for aquaculture operators from the USBLS for “</w:t>
      </w:r>
      <w:hyperlink r:id="rId9" w:history="1">
        <w:r w:rsidRPr="00C76DC3">
          <w:rPr>
            <w:rStyle w:val="Hyperlink"/>
            <w:color w:val="1155CC"/>
          </w:rPr>
          <w:t>Farmers, Ranchers, and Other Agricultural Managers</w:t>
        </w:r>
      </w:hyperlink>
      <w:r w:rsidRPr="00C76DC3">
        <w:rPr>
          <w:color w:val="000000"/>
        </w:rPr>
        <w:t>.” The median salary for this category is $73,060/year or $35.12/hour. To inform the recreational fishing category, we used the USBLS to calculate the average between “</w:t>
      </w:r>
      <w:hyperlink r:id="rId10" w:anchor="tab-5" w:history="1">
        <w:r w:rsidRPr="00C76DC3">
          <w:rPr>
            <w:rStyle w:val="Hyperlink"/>
            <w:color w:val="1155CC"/>
          </w:rPr>
          <w:t>Scenic and sightseeing transportation, water</w:t>
        </w:r>
      </w:hyperlink>
      <w:r w:rsidRPr="00C76DC3">
        <w:rPr>
          <w:color w:val="000000"/>
        </w:rPr>
        <w:t>” and “</w:t>
      </w:r>
      <w:hyperlink r:id="rId10" w:anchor="tab-5" w:history="1">
        <w:r w:rsidRPr="00C76DC3">
          <w:rPr>
            <w:rStyle w:val="Hyperlink"/>
            <w:color w:val="1155CC"/>
          </w:rPr>
          <w:t>Motorboat operators</w:t>
        </w:r>
      </w:hyperlink>
      <w:r w:rsidRPr="00C76DC3">
        <w:rPr>
          <w:color w:val="000000"/>
        </w:rPr>
        <w:t>,” which is $41,105/</w:t>
      </w:r>
      <w:r w:rsidRPr="00C76DC3">
        <w:rPr>
          <w:color w:val="000000"/>
        </w:rPr>
        <w:t>yr</w:t>
      </w:r>
      <w:r w:rsidRPr="00C76DC3">
        <w:rPr>
          <w:color w:val="000000"/>
        </w:rPr>
        <w:t xml:space="preserve"> ($19.76/hour). The estimate for waterfront property managers is based on wage data for harbormasters and harbor facility assistants using Glass Door.</w:t>
      </w:r>
    </w:p>
    <w:p w:rsidR="00C76DC3" w:rsidP="00C76DC3">
      <w:pPr>
        <w:rPr>
          <w:color w:val="000000"/>
        </w:rPr>
      </w:pPr>
    </w:p>
    <w:p w:rsidR="00C76DC3" w:rsidP="00C76DC3">
      <w:r w:rsidRPr="00C76DC3">
        <w:rPr>
          <w:color w:val="000000"/>
        </w:rPr>
        <w:t xml:space="preserve">The burden was estimated based on practice taking the survey; response is not expected to vary widely because questions are mostly multiple choice. Estimates for the electronic survey are based on 2022 rates from the website. Strata include region and user group. Minimal expected response  per user-group is 3,000, which represents an expected 10% response rate for each occupational group. Not all user groups occur in all regions. For example, property damage is typically caused by pinnipeds, which do not occur in the South Atlantic, Gulf of Mexico, or Caribbean regions. Each survey should take approximately 5 minutes to complete. If a person is a member of more than one user-group, it will take 5 minutes per user group. </w:t>
      </w:r>
    </w:p>
    <w:p w:rsidR="00042EBC">
      <w:pPr>
        <w:spacing w:line="259" w:lineRule="auto"/>
        <w:ind w:hanging="43"/>
        <w:jc w:val="center"/>
        <w:rPr>
          <w:b/>
          <w:color w:val="FF0000"/>
        </w:rPr>
      </w:pPr>
    </w:p>
    <w:tbl>
      <w:tblPr>
        <w:tblW w:w="14030" w:type="dxa"/>
        <w:tblCellMar>
          <w:top w:w="15" w:type="dxa"/>
          <w:left w:w="15" w:type="dxa"/>
          <w:bottom w:w="15" w:type="dxa"/>
          <w:right w:w="15" w:type="dxa"/>
        </w:tblCellMar>
        <w:tblLook w:val="04A0"/>
      </w:tblPr>
      <w:tblGrid>
        <w:gridCol w:w="1368"/>
        <w:gridCol w:w="2627"/>
        <w:gridCol w:w="1643"/>
        <w:gridCol w:w="1555"/>
        <w:gridCol w:w="1291"/>
        <w:gridCol w:w="1119"/>
        <w:gridCol w:w="1059"/>
        <w:gridCol w:w="1928"/>
        <w:gridCol w:w="1440"/>
      </w:tblGrid>
      <w:tr w:rsidTr="00854E98">
        <w:tblPrEx>
          <w:tblW w:w="14030" w:type="dxa"/>
          <w:tblCellMar>
            <w:top w:w="15" w:type="dxa"/>
            <w:left w:w="15" w:type="dxa"/>
            <w:bottom w:w="15" w:type="dxa"/>
            <w:right w:w="15" w:type="dxa"/>
          </w:tblCellMar>
          <w:tblLook w:val="04A0"/>
        </w:tblPrEx>
        <w:trPr>
          <w:trHeight w:val="1365"/>
        </w:trPr>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Information Collection</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Type of Respondent (e.g., Occupational Title)</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 of Respondents/year</w:t>
            </w:r>
            <w:r>
              <w:rPr>
                <w:b/>
                <w:bCs/>
                <w:color w:val="000000"/>
                <w:sz w:val="20"/>
                <w:szCs w:val="20"/>
              </w:rPr>
              <w:br/>
              <w:t>(a)</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Annual # of Responses / Respondent</w:t>
            </w:r>
            <w:r>
              <w:rPr>
                <w:b/>
                <w:bCs/>
                <w:color w:val="000000"/>
                <w:sz w:val="20"/>
                <w:szCs w:val="20"/>
              </w:rPr>
              <w:br/>
              <w:t>(b)</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Total # of Annual Responses</w:t>
            </w:r>
            <w:r>
              <w:rPr>
                <w:b/>
                <w:bCs/>
                <w:color w:val="000000"/>
                <w:sz w:val="20"/>
                <w:szCs w:val="20"/>
              </w:rPr>
              <w:br/>
              <w:t>(c) = (a) x (b)</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 xml:space="preserve">Burden </w:t>
            </w:r>
            <w:r>
              <w:rPr>
                <w:b/>
                <w:bCs/>
                <w:color w:val="000000"/>
                <w:sz w:val="20"/>
                <w:szCs w:val="20"/>
              </w:rPr>
              <w:t>Hrs</w:t>
            </w:r>
            <w:r>
              <w:rPr>
                <w:b/>
                <w:bCs/>
                <w:color w:val="000000"/>
                <w:sz w:val="20"/>
                <w:szCs w:val="20"/>
              </w:rPr>
              <w:t xml:space="preserve"> / Response</w:t>
            </w:r>
            <w:r>
              <w:rPr>
                <w:b/>
                <w:bCs/>
                <w:color w:val="000000"/>
                <w:sz w:val="20"/>
                <w:szCs w:val="20"/>
              </w:rPr>
              <w:br/>
              <w:t>(d)</w:t>
            </w:r>
          </w:p>
        </w:tc>
        <w:tc>
          <w:tcPr>
            <w:tcW w:w="0" w:type="auto"/>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 xml:space="preserve">Total Annual Burden </w:t>
            </w:r>
            <w:r>
              <w:rPr>
                <w:b/>
                <w:bCs/>
                <w:color w:val="000000"/>
                <w:sz w:val="20"/>
                <w:szCs w:val="20"/>
              </w:rPr>
              <w:t>Hrs</w:t>
            </w:r>
            <w:r>
              <w:rPr>
                <w:b/>
                <w:bCs/>
                <w:color w:val="000000"/>
                <w:sz w:val="20"/>
                <w:szCs w:val="20"/>
              </w:rPr>
              <w:br/>
              <w:t>(e)  = (c) x (d)</w:t>
            </w:r>
          </w:p>
        </w:tc>
        <w:tc>
          <w:tcPr>
            <w:tcW w:w="1928" w:type="dxa"/>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jc w:val="center"/>
            </w:pPr>
            <w:r>
              <w:rPr>
                <w:b/>
                <w:bCs/>
                <w:color w:val="000000"/>
                <w:sz w:val="20"/>
                <w:szCs w:val="20"/>
              </w:rPr>
              <w:t>Hourly Wage Rate  (for Type of Respondent)</w:t>
            </w:r>
            <w:r>
              <w:rPr>
                <w:b/>
                <w:bCs/>
                <w:color w:val="000000"/>
                <w:sz w:val="20"/>
                <w:szCs w:val="20"/>
              </w:rPr>
              <w:br/>
              <w:t>(f)</w:t>
            </w:r>
          </w:p>
        </w:tc>
        <w:tc>
          <w:tcPr>
            <w:tcW w:w="1440" w:type="dxa"/>
            <w:tcBorders>
              <w:top w:val="single" w:sz="8" w:space="0" w:color="000000"/>
              <w:left w:val="single" w:sz="8" w:space="0" w:color="000000"/>
              <w:bottom w:val="single" w:sz="8" w:space="0" w:color="000000"/>
              <w:right w:val="single" w:sz="8" w:space="0" w:color="000000"/>
            </w:tcBorders>
            <w:shd w:val="clear" w:color="auto" w:fill="BDD7EE"/>
            <w:hideMark/>
          </w:tcPr>
          <w:p w:rsidR="00C76DC3" w:rsidP="00854E98">
            <w:pPr>
              <w:pStyle w:val="NormalWeb"/>
              <w:spacing w:before="0" w:beforeAutospacing="0" w:after="0" w:afterAutospacing="0"/>
              <w:ind w:right="15"/>
              <w:jc w:val="center"/>
            </w:pPr>
            <w:r>
              <w:rPr>
                <w:b/>
                <w:bCs/>
                <w:color w:val="000000"/>
                <w:sz w:val="20"/>
                <w:szCs w:val="20"/>
              </w:rPr>
              <w:t>Total Annual Wage Burden Costs</w:t>
            </w:r>
            <w:r>
              <w:rPr>
                <w:b/>
                <w:bCs/>
                <w:color w:val="000000"/>
                <w:sz w:val="20"/>
                <w:szCs w:val="20"/>
              </w:rPr>
              <w:br/>
              <w:t>(g) = (e) x (f)</w:t>
            </w:r>
          </w:p>
        </w:tc>
      </w:tr>
      <w:tr w:rsidTr="00854E98">
        <w:tblPrEx>
          <w:tblW w:w="14030" w:type="dxa"/>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4" w:space="0" w:color="000000"/>
              <w:right w:val="single" w:sz="4" w:space="0" w:color="000000"/>
            </w:tcBorders>
            <w:hideMark/>
          </w:tcPr>
          <w:p w:rsidR="00C76DC3" w:rsidP="00854E98">
            <w:pPr>
              <w:pStyle w:val="NormalWeb"/>
              <w:spacing w:before="0" w:beforeAutospacing="0" w:after="0" w:afterAutospacing="0"/>
              <w:jc w:val="center"/>
            </w:pPr>
            <w:r>
              <w:rPr>
                <w:color w:val="000000"/>
                <w:sz w:val="20"/>
                <w:szCs w:val="20"/>
              </w:rPr>
              <w:t>Marine Mammal Deterrents</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*Commercial fishermen (Farming, fishing, and forestry occupations)</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3,000</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1</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3,000</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5 min</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250</w:t>
            </w:r>
          </w:p>
        </w:tc>
        <w:tc>
          <w:tcPr>
            <w:tcW w:w="1928" w:type="dxa"/>
            <w:tcBorders>
              <w:top w:val="single" w:sz="8" w:space="0" w:color="000000"/>
              <w:left w:val="single" w:sz="4" w:space="0" w:color="000000"/>
              <w:bottom w:val="single" w:sz="4" w:space="0" w:color="000000"/>
              <w:right w:val="single" w:sz="4" w:space="0" w:color="000000"/>
            </w:tcBorders>
            <w:vAlign w:val="center"/>
            <w:hideMark/>
          </w:tcPr>
          <w:p w:rsidR="00C76DC3" w:rsidP="00854E98">
            <w:pPr>
              <w:pStyle w:val="NormalWeb"/>
              <w:spacing w:before="0" w:beforeAutospacing="0" w:after="0" w:afterAutospacing="0"/>
              <w:jc w:val="center"/>
            </w:pPr>
            <w:r>
              <w:rPr>
                <w:color w:val="000000"/>
                <w:sz w:val="20"/>
                <w:szCs w:val="20"/>
              </w:rPr>
              <w:t>$14.36</w:t>
            </w:r>
          </w:p>
        </w:tc>
        <w:tc>
          <w:tcPr>
            <w:tcW w:w="1440" w:type="dxa"/>
            <w:tcBorders>
              <w:top w:val="single" w:sz="8" w:space="0" w:color="000000"/>
              <w:left w:val="single" w:sz="4" w:space="0" w:color="000000"/>
              <w:bottom w:val="single" w:sz="4" w:space="0" w:color="000000"/>
              <w:right w:val="single" w:sz="8" w:space="0" w:color="000000"/>
            </w:tcBorders>
            <w:vAlign w:val="center"/>
            <w:hideMark/>
          </w:tcPr>
          <w:p w:rsidR="00C76DC3" w:rsidP="00854E98">
            <w:pPr>
              <w:pStyle w:val="NormalWeb"/>
              <w:spacing w:before="0" w:beforeAutospacing="0" w:after="0" w:afterAutospacing="0"/>
              <w:ind w:right="166"/>
              <w:jc w:val="right"/>
            </w:pPr>
            <w:r>
              <w:rPr>
                <w:color w:val="000000"/>
                <w:sz w:val="20"/>
                <w:szCs w:val="20"/>
              </w:rPr>
              <w:t>$3,5</w:t>
            </w:r>
            <w:r w:rsidR="00854E98">
              <w:rPr>
                <w:color w:val="000000"/>
                <w:sz w:val="20"/>
                <w:szCs w:val="20"/>
              </w:rPr>
              <w:t>90</w:t>
            </w:r>
          </w:p>
        </w:tc>
      </w:tr>
      <w:tr w:rsidTr="00854E98">
        <w:tblPrEx>
          <w:tblW w:w="14030" w:type="dxa"/>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4" w:space="0" w:color="000000"/>
            </w:tcBorders>
            <w:vAlign w:val="center"/>
            <w:hideMark/>
          </w:tcPr>
          <w:p w:rsidR="00854E98" w:rsidP="00854E98">
            <w:pPr>
              <w:jc w:val="center"/>
            </w:pPr>
            <w:r w:rsidRPr="00A05D59">
              <w:rPr>
                <w:color w:val="000000"/>
                <w:sz w:val="20"/>
                <w:szCs w:val="20"/>
              </w:rPr>
              <w:t>Marine Mammal Deterrents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*Recreational fishermen (motorboat operators)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jc w:val="center"/>
            </w:pPr>
            <w:r w:rsidRPr="00DE1256">
              <w:rPr>
                <w:color w:val="000000"/>
                <w:sz w:val="20"/>
                <w:szCs w:val="20"/>
              </w:rPr>
              <w:t>5 min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jc w:val="center"/>
            </w:pPr>
            <w:r w:rsidRPr="00D866BC">
              <w:rPr>
                <w:color w:val="000000"/>
                <w:sz w:val="20"/>
                <w:szCs w:val="20"/>
              </w:rPr>
              <w:t>250</w:t>
            </w:r>
          </w:p>
        </w:tc>
        <w:tc>
          <w:tcPr>
            <w:tcW w:w="1928" w:type="dxa"/>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$19.76</w:t>
            </w:r>
          </w:p>
        </w:tc>
        <w:tc>
          <w:tcPr>
            <w:tcW w:w="1440" w:type="dxa"/>
            <w:tcBorders>
              <w:top w:val="single" w:sz="4" w:space="0" w:color="000000"/>
              <w:left w:val="single" w:sz="4" w:space="0" w:color="000000"/>
              <w:bottom w:val="single" w:sz="4" w:space="0" w:color="000000"/>
              <w:right w:val="single" w:sz="8" w:space="0" w:color="000000"/>
            </w:tcBorders>
            <w:vAlign w:val="center"/>
            <w:hideMark/>
          </w:tcPr>
          <w:p w:rsidR="00854E98" w:rsidP="00854E98">
            <w:pPr>
              <w:pStyle w:val="NormalWeb"/>
              <w:spacing w:before="0" w:beforeAutospacing="0" w:after="0" w:afterAutospacing="0"/>
              <w:ind w:right="166"/>
              <w:jc w:val="right"/>
            </w:pPr>
            <w:r>
              <w:rPr>
                <w:color w:val="000000"/>
                <w:sz w:val="20"/>
                <w:szCs w:val="20"/>
              </w:rPr>
              <w:t>$4,940</w:t>
            </w:r>
          </w:p>
        </w:tc>
      </w:tr>
      <w:tr w:rsidTr="00854E98">
        <w:tblPrEx>
          <w:tblW w:w="14030" w:type="dxa"/>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4" w:space="0" w:color="000000"/>
            </w:tcBorders>
            <w:vAlign w:val="center"/>
            <w:hideMark/>
          </w:tcPr>
          <w:p w:rsidR="00854E98" w:rsidP="00854E98">
            <w:pPr>
              <w:jc w:val="center"/>
            </w:pPr>
            <w:r w:rsidRPr="00A05D59">
              <w:rPr>
                <w:color w:val="000000"/>
                <w:sz w:val="20"/>
                <w:szCs w:val="20"/>
              </w:rPr>
              <w:t>Marine Mammal Deterrents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Tribal fishermen (inclusive of tribal nations and other coastal indigenous populations)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jc w:val="center"/>
            </w:pPr>
            <w:r w:rsidRPr="00DE1256">
              <w:rPr>
                <w:color w:val="000000"/>
                <w:sz w:val="20"/>
                <w:szCs w:val="20"/>
              </w:rPr>
              <w:t>5 min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jc w:val="center"/>
            </w:pPr>
            <w:r w:rsidRPr="00D866BC">
              <w:rPr>
                <w:color w:val="000000"/>
                <w:sz w:val="20"/>
                <w:szCs w:val="20"/>
              </w:rPr>
              <w:t>250</w:t>
            </w:r>
          </w:p>
        </w:tc>
        <w:tc>
          <w:tcPr>
            <w:tcW w:w="1928" w:type="dxa"/>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bookmarkStart w:id="0" w:name="_GoBack"/>
            <w:bookmarkEnd w:id="0"/>
            <w:r>
              <w:rPr>
                <w:color w:val="000000"/>
                <w:sz w:val="20"/>
                <w:szCs w:val="20"/>
              </w:rPr>
              <w:t>$14.36</w:t>
            </w:r>
          </w:p>
        </w:tc>
        <w:tc>
          <w:tcPr>
            <w:tcW w:w="1440" w:type="dxa"/>
            <w:tcBorders>
              <w:top w:val="single" w:sz="4" w:space="0" w:color="000000"/>
              <w:left w:val="single" w:sz="4" w:space="0" w:color="000000"/>
              <w:bottom w:val="single" w:sz="4" w:space="0" w:color="000000"/>
              <w:right w:val="single" w:sz="8" w:space="0" w:color="000000"/>
            </w:tcBorders>
            <w:vAlign w:val="center"/>
            <w:hideMark/>
          </w:tcPr>
          <w:p w:rsidR="00854E98" w:rsidP="00854E98">
            <w:pPr>
              <w:pStyle w:val="NormalWeb"/>
              <w:spacing w:before="0" w:beforeAutospacing="0" w:after="0" w:afterAutospacing="0"/>
              <w:ind w:right="166"/>
              <w:jc w:val="right"/>
            </w:pPr>
            <w:r>
              <w:rPr>
                <w:color w:val="000000"/>
                <w:sz w:val="20"/>
                <w:szCs w:val="20"/>
              </w:rPr>
              <w:t>$3,590</w:t>
            </w:r>
          </w:p>
        </w:tc>
      </w:tr>
      <w:tr w:rsidTr="00854E98">
        <w:tblPrEx>
          <w:tblW w:w="14030" w:type="dxa"/>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4" w:space="0" w:color="000000"/>
            </w:tcBorders>
            <w:vAlign w:val="center"/>
            <w:hideMark/>
          </w:tcPr>
          <w:p w:rsidR="00854E98" w:rsidP="00854E98">
            <w:pPr>
              <w:jc w:val="center"/>
            </w:pPr>
            <w:r w:rsidRPr="00A05D59">
              <w:rPr>
                <w:color w:val="000000"/>
                <w:sz w:val="20"/>
                <w:szCs w:val="20"/>
              </w:rPr>
              <w:t>Marine Mammal Deterrents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*Aquaculture operators (Farmworkers, farm, ranch, and aquaculture)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jc w:val="center"/>
            </w:pPr>
            <w:r w:rsidRPr="00DE1256">
              <w:rPr>
                <w:color w:val="000000"/>
                <w:sz w:val="20"/>
                <w:szCs w:val="20"/>
              </w:rPr>
              <w:t>5 min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54E98" w:rsidP="00854E98">
            <w:pPr>
              <w:jc w:val="center"/>
            </w:pPr>
            <w:r w:rsidRPr="00D866BC">
              <w:rPr>
                <w:color w:val="000000"/>
                <w:sz w:val="20"/>
                <w:szCs w:val="20"/>
              </w:rPr>
              <w:t>250</w:t>
            </w:r>
          </w:p>
        </w:tc>
        <w:tc>
          <w:tcPr>
            <w:tcW w:w="1928" w:type="dxa"/>
            <w:tcBorders>
              <w:top w:val="single" w:sz="4" w:space="0" w:color="000000"/>
              <w:left w:val="single" w:sz="4" w:space="0" w:color="000000"/>
              <w:bottom w:val="single" w:sz="4"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$35.12</w:t>
            </w:r>
          </w:p>
        </w:tc>
        <w:tc>
          <w:tcPr>
            <w:tcW w:w="1440" w:type="dxa"/>
            <w:tcBorders>
              <w:top w:val="single" w:sz="4" w:space="0" w:color="000000"/>
              <w:left w:val="single" w:sz="4" w:space="0" w:color="000000"/>
              <w:bottom w:val="single" w:sz="4" w:space="0" w:color="000000"/>
              <w:right w:val="single" w:sz="8" w:space="0" w:color="000000"/>
            </w:tcBorders>
            <w:vAlign w:val="center"/>
            <w:hideMark/>
          </w:tcPr>
          <w:p w:rsidR="00854E98" w:rsidP="00854E98">
            <w:pPr>
              <w:pStyle w:val="NormalWeb"/>
              <w:spacing w:before="0" w:beforeAutospacing="0" w:after="0" w:afterAutospacing="0"/>
              <w:ind w:right="166"/>
              <w:jc w:val="right"/>
            </w:pPr>
            <w:r>
              <w:rPr>
                <w:color w:val="000000"/>
                <w:sz w:val="20"/>
                <w:szCs w:val="20"/>
              </w:rPr>
              <w:t>$8,780</w:t>
            </w:r>
          </w:p>
        </w:tc>
      </w:tr>
      <w:tr w:rsidTr="00854E98">
        <w:tblPrEx>
          <w:tblW w:w="14030" w:type="dxa"/>
          <w:tblCellMar>
            <w:top w:w="15" w:type="dxa"/>
            <w:left w:w="15" w:type="dxa"/>
            <w:bottom w:w="15" w:type="dxa"/>
            <w:right w:w="15" w:type="dxa"/>
          </w:tblCellMar>
          <w:tblLook w:val="04A0"/>
        </w:tblPrEx>
        <w:trPr>
          <w:trHeight w:val="522"/>
        </w:trPr>
        <w:tc>
          <w:tcPr>
            <w:tcW w:w="0" w:type="auto"/>
            <w:tcBorders>
              <w:top w:val="single" w:sz="4" w:space="0" w:color="000000"/>
              <w:left w:val="single" w:sz="8" w:space="0" w:color="000000"/>
              <w:bottom w:val="single" w:sz="8" w:space="0" w:color="000000"/>
              <w:right w:val="single" w:sz="4" w:space="0" w:color="000000"/>
            </w:tcBorders>
            <w:vAlign w:val="center"/>
            <w:hideMark/>
          </w:tcPr>
          <w:p w:rsidR="00854E98" w:rsidP="00854E98">
            <w:pPr>
              <w:jc w:val="center"/>
            </w:pPr>
            <w:r w:rsidRPr="00A05D59">
              <w:rPr>
                <w:color w:val="000000"/>
                <w:sz w:val="20"/>
                <w:szCs w:val="20"/>
              </w:rPr>
              <w:t>Marine Mammal Deterrents</w:t>
            </w:r>
          </w:p>
        </w:tc>
        <w:tc>
          <w:tcPr>
            <w:tcW w:w="0" w:type="auto"/>
            <w:tcBorders>
              <w:top w:val="single" w:sz="4" w:space="0" w:color="000000"/>
              <w:left w:val="single" w:sz="4" w:space="0" w:color="000000"/>
              <w:bottom w:val="single" w:sz="8"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**Waterfront property managers (harbormasters and harbor facility assistants)</w:t>
            </w:r>
          </w:p>
        </w:tc>
        <w:tc>
          <w:tcPr>
            <w:tcW w:w="0" w:type="auto"/>
            <w:tcBorders>
              <w:top w:val="single" w:sz="4" w:space="0" w:color="000000"/>
              <w:left w:val="single" w:sz="4" w:space="0" w:color="000000"/>
              <w:bottom w:val="single" w:sz="8"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8"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1</w:t>
            </w:r>
          </w:p>
        </w:tc>
        <w:tc>
          <w:tcPr>
            <w:tcW w:w="0" w:type="auto"/>
            <w:tcBorders>
              <w:top w:val="single" w:sz="4" w:space="0" w:color="000000"/>
              <w:left w:val="single" w:sz="4" w:space="0" w:color="000000"/>
              <w:bottom w:val="single" w:sz="8"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3,000</w:t>
            </w:r>
          </w:p>
        </w:tc>
        <w:tc>
          <w:tcPr>
            <w:tcW w:w="0" w:type="auto"/>
            <w:tcBorders>
              <w:top w:val="single" w:sz="4" w:space="0" w:color="000000"/>
              <w:left w:val="single" w:sz="4" w:space="0" w:color="000000"/>
              <w:bottom w:val="single" w:sz="8"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5 min</w:t>
            </w:r>
          </w:p>
        </w:tc>
        <w:tc>
          <w:tcPr>
            <w:tcW w:w="0" w:type="auto"/>
            <w:tcBorders>
              <w:top w:val="single" w:sz="4" w:space="0" w:color="000000"/>
              <w:left w:val="single" w:sz="4" w:space="0" w:color="000000"/>
              <w:bottom w:val="single" w:sz="8" w:space="0" w:color="000000"/>
              <w:right w:val="single" w:sz="4" w:space="0" w:color="000000"/>
            </w:tcBorders>
            <w:vAlign w:val="center"/>
            <w:hideMark/>
          </w:tcPr>
          <w:p w:rsidR="00854E98" w:rsidP="00854E98">
            <w:pPr>
              <w:jc w:val="center"/>
            </w:pPr>
            <w:r w:rsidRPr="00D866BC">
              <w:rPr>
                <w:color w:val="000000"/>
                <w:sz w:val="20"/>
                <w:szCs w:val="20"/>
              </w:rPr>
              <w:t>250</w:t>
            </w:r>
          </w:p>
        </w:tc>
        <w:tc>
          <w:tcPr>
            <w:tcW w:w="1928" w:type="dxa"/>
            <w:tcBorders>
              <w:top w:val="single" w:sz="4" w:space="0" w:color="000000"/>
              <w:left w:val="single" w:sz="4" w:space="0" w:color="000000"/>
              <w:bottom w:val="single" w:sz="8" w:space="0" w:color="000000"/>
              <w:right w:val="single" w:sz="4" w:space="0" w:color="000000"/>
            </w:tcBorders>
            <w:vAlign w:val="center"/>
            <w:hideMark/>
          </w:tcPr>
          <w:p w:rsidR="00854E98" w:rsidP="00854E98">
            <w:pPr>
              <w:pStyle w:val="NormalWeb"/>
              <w:spacing w:before="0" w:beforeAutospacing="0" w:after="0" w:afterAutospacing="0"/>
              <w:jc w:val="center"/>
            </w:pPr>
            <w:r>
              <w:rPr>
                <w:color w:val="000000"/>
                <w:sz w:val="20"/>
                <w:szCs w:val="20"/>
              </w:rPr>
              <w:t>$24.34</w:t>
            </w:r>
          </w:p>
        </w:tc>
        <w:tc>
          <w:tcPr>
            <w:tcW w:w="1440" w:type="dxa"/>
            <w:tcBorders>
              <w:top w:val="single" w:sz="4" w:space="0" w:color="000000"/>
              <w:left w:val="single" w:sz="4" w:space="0" w:color="000000"/>
              <w:bottom w:val="single" w:sz="8" w:space="0" w:color="000000"/>
              <w:right w:val="single" w:sz="8" w:space="0" w:color="000000"/>
            </w:tcBorders>
            <w:vAlign w:val="center"/>
            <w:hideMark/>
          </w:tcPr>
          <w:p w:rsidR="00854E98" w:rsidP="00854E98">
            <w:pPr>
              <w:pStyle w:val="NormalWeb"/>
              <w:spacing w:before="0" w:beforeAutospacing="0" w:after="0" w:afterAutospacing="0"/>
              <w:ind w:right="166"/>
              <w:jc w:val="right"/>
            </w:pPr>
            <w:r>
              <w:rPr>
                <w:color w:val="000000"/>
                <w:sz w:val="20"/>
                <w:szCs w:val="20"/>
              </w:rPr>
              <w:t>$6,085</w:t>
            </w:r>
          </w:p>
        </w:tc>
      </w:tr>
      <w:tr w:rsidTr="00854E98">
        <w:tblPrEx>
          <w:tblW w:w="14030" w:type="dxa"/>
          <w:tblCellMar>
            <w:top w:w="15" w:type="dxa"/>
            <w:left w:w="15" w:type="dxa"/>
            <w:bottom w:w="15" w:type="dxa"/>
            <w:right w:w="15" w:type="dxa"/>
          </w:tblCellMar>
          <w:tblLook w:val="04A0"/>
        </w:tblPrEx>
        <w:trPr>
          <w:trHeight w:val="615"/>
        </w:trPr>
        <w:tc>
          <w:tcPr>
            <w:tcW w:w="0" w:type="auto"/>
            <w:tcBorders>
              <w:top w:val="single" w:sz="8" w:space="0" w:color="000000"/>
              <w:left w:val="single" w:sz="8" w:space="0" w:color="000000"/>
              <w:bottom w:val="single" w:sz="8" w:space="0" w:color="000000"/>
              <w:right w:val="single" w:sz="8" w:space="0" w:color="000000"/>
            </w:tcBorders>
            <w:shd w:val="clear" w:color="auto" w:fill="DDEBF7"/>
            <w:hideMark/>
          </w:tcPr>
          <w:p w:rsidR="00C76DC3" w:rsidP="00854E98">
            <w:pPr>
              <w:pStyle w:val="NormalWeb"/>
              <w:spacing w:before="0" w:beforeAutospacing="0" w:after="0" w:afterAutospacing="0"/>
              <w:jc w:val="center"/>
            </w:pPr>
            <w:r>
              <w:rPr>
                <w:b/>
                <w:bCs/>
                <w:color w:val="000000"/>
                <w:sz w:val="20"/>
                <w:szCs w:val="20"/>
              </w:rPr>
              <w:t>Totals</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C76DC3" w:rsidP="00854E98">
            <w:pPr>
              <w:pStyle w:val="NormalWeb"/>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C76DC3" w:rsidP="00854E98">
            <w:pPr>
              <w:pStyle w:val="NormalWeb"/>
              <w:spacing w:before="0" w:beforeAutospacing="0" w:after="0" w:afterAutospacing="0"/>
              <w:jc w:val="center"/>
            </w:pPr>
            <w:r>
              <w:rPr>
                <w:b/>
                <w:bCs/>
                <w:color w:val="000000"/>
                <w:sz w:val="20"/>
                <w:szCs w:val="20"/>
              </w:rPr>
              <w:t>15,000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C76DC3" w:rsidP="00854E98">
            <w:pPr>
              <w:pStyle w:val="NormalWeb"/>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DDEBF7"/>
            <w:vAlign w:val="center"/>
            <w:hideMark/>
          </w:tcPr>
          <w:p w:rsidR="00C76DC3" w:rsidP="00854E98">
            <w:pPr>
              <w:pStyle w:val="NormalWeb"/>
              <w:spacing w:before="0" w:beforeAutospacing="0" w:after="0" w:afterAutospacing="0"/>
              <w:jc w:val="center"/>
            </w:pPr>
            <w:r>
              <w:rPr>
                <w:b/>
                <w:bCs/>
                <w:color w:val="000000"/>
                <w:sz w:val="20"/>
                <w:szCs w:val="20"/>
              </w:rPr>
              <w:t>15,000</w:t>
            </w:r>
          </w:p>
        </w:tc>
        <w:tc>
          <w:tcPr>
            <w:tcW w:w="0" w:type="auto"/>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76DC3" w:rsidP="00854E98">
            <w:pPr>
              <w:pStyle w:val="NormalWeb"/>
              <w:spacing w:before="0" w:beforeAutospacing="0" w:after="0" w:afterAutospacing="0"/>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DDEBF7"/>
            <w:vAlign w:val="center"/>
            <w:hideMark/>
          </w:tcPr>
          <w:p w:rsidR="00C76DC3" w:rsidRPr="00854E98" w:rsidP="00854E98">
            <w:pPr>
              <w:pStyle w:val="NormalWeb"/>
              <w:spacing w:before="0" w:beforeAutospacing="0" w:after="0" w:afterAutospacing="0"/>
              <w:jc w:val="center"/>
              <w:rPr>
                <w:b/>
              </w:rPr>
            </w:pPr>
            <w:r w:rsidRPr="00854E98">
              <w:rPr>
                <w:b/>
                <w:color w:val="000000"/>
                <w:sz w:val="20"/>
                <w:szCs w:val="20"/>
              </w:rPr>
              <w:t>1,2</w:t>
            </w:r>
            <w:r w:rsidRPr="00854E98" w:rsidR="00854E98">
              <w:rPr>
                <w:b/>
                <w:color w:val="000000"/>
                <w:sz w:val="20"/>
                <w:szCs w:val="20"/>
              </w:rPr>
              <w:t>50</w:t>
            </w:r>
          </w:p>
        </w:tc>
        <w:tc>
          <w:tcPr>
            <w:tcW w:w="1928"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76DC3" w:rsidP="00854E98">
            <w:pPr>
              <w:pStyle w:val="NormalWeb"/>
              <w:spacing w:before="0" w:beforeAutospacing="0" w:after="0" w:afterAutospacing="0"/>
              <w:jc w:val="right"/>
            </w:pPr>
          </w:p>
        </w:tc>
        <w:tc>
          <w:tcPr>
            <w:tcW w:w="1440" w:type="dxa"/>
            <w:tcBorders>
              <w:top w:val="single" w:sz="8" w:space="0" w:color="000000"/>
              <w:left w:val="single" w:sz="8" w:space="0" w:color="000000"/>
              <w:bottom w:val="single" w:sz="8" w:space="0" w:color="000000"/>
              <w:right w:val="single" w:sz="8" w:space="0" w:color="000000"/>
            </w:tcBorders>
            <w:shd w:val="clear" w:color="auto" w:fill="DDEBF7"/>
            <w:vAlign w:val="center"/>
            <w:hideMark/>
          </w:tcPr>
          <w:p w:rsidR="00C76DC3" w:rsidP="00854E98">
            <w:pPr>
              <w:pStyle w:val="NormalWeb"/>
              <w:spacing w:before="0" w:beforeAutospacing="0" w:after="0" w:afterAutospacing="0"/>
              <w:ind w:right="166"/>
              <w:jc w:val="right"/>
            </w:pPr>
            <w:r>
              <w:rPr>
                <w:b/>
                <w:bCs/>
                <w:color w:val="000000"/>
                <w:sz w:val="20"/>
                <w:szCs w:val="20"/>
              </w:rPr>
              <w:t>$26,</w:t>
            </w:r>
            <w:r w:rsidR="00854E98">
              <w:rPr>
                <w:b/>
                <w:bCs/>
                <w:color w:val="000000"/>
                <w:sz w:val="20"/>
                <w:szCs w:val="20"/>
              </w:rPr>
              <w:t>985</w:t>
            </w:r>
          </w:p>
        </w:tc>
      </w:tr>
    </w:tbl>
    <w:p w:rsidR="00C76DC3" w:rsidP="00C76DC3"/>
    <w:p w:rsidR="00C76DC3" w:rsidP="00C76DC3">
      <w:pPr>
        <w:pStyle w:val="NormalWeb"/>
        <w:spacing w:before="0" w:beforeAutospacing="0" w:after="0" w:afterAutospacing="0"/>
        <w:ind w:left="-43" w:hanging="43"/>
        <w:jc w:val="center"/>
      </w:pPr>
      <w:r>
        <w:rPr>
          <w:b/>
          <w:bCs/>
          <w:color w:val="000000"/>
        </w:rPr>
        <w:t>Official sources of hourly wage rate: </w:t>
      </w:r>
    </w:p>
    <w:p w:rsidR="00C76DC3" w:rsidP="00C76DC3">
      <w:pPr>
        <w:pStyle w:val="NormalWeb"/>
        <w:spacing w:before="0" w:beforeAutospacing="0" w:after="0" w:afterAutospacing="0"/>
        <w:ind w:left="-43" w:hanging="43"/>
      </w:pPr>
      <w:r>
        <w:rPr>
          <w:b/>
          <w:bCs/>
          <w:color w:val="000000"/>
          <w:sz w:val="20"/>
          <w:szCs w:val="20"/>
        </w:rPr>
        <w:t>*</w:t>
      </w:r>
      <w:hyperlink r:id="rId8" w:history="1">
        <w:r>
          <w:rPr>
            <w:rStyle w:val="Hyperlink"/>
            <w:b/>
            <w:bCs/>
            <w:color w:val="1155CC"/>
            <w:sz w:val="20"/>
            <w:szCs w:val="20"/>
          </w:rPr>
          <w:t>Bureau of Labor Statistics, U.S. Department of Labor, Occupational Outlook Handbook, Fishing and Hunting Workers</w:t>
        </w:r>
      </w:hyperlink>
    </w:p>
    <w:p w:rsidR="00C76DC3" w:rsidP="00C76DC3">
      <w:pPr>
        <w:spacing w:line="259" w:lineRule="auto"/>
        <w:ind w:hanging="43"/>
        <w:jc w:val="center"/>
        <w:rPr>
          <w:b/>
        </w:rPr>
      </w:pPr>
      <w:r>
        <w:rPr>
          <w:b/>
          <w:bCs/>
          <w:color w:val="000000"/>
          <w:sz w:val="20"/>
          <w:szCs w:val="20"/>
          <w:u w:val="single"/>
        </w:rPr>
        <w:t xml:space="preserve">**Glass Door Salaries for </w:t>
      </w:r>
      <w:hyperlink r:id="rId11" w:history="1">
        <w:r>
          <w:rPr>
            <w:rStyle w:val="Hyperlink"/>
            <w:b/>
            <w:bCs/>
            <w:color w:val="000000"/>
            <w:sz w:val="20"/>
            <w:szCs w:val="20"/>
          </w:rPr>
          <w:t>HarborMasters</w:t>
        </w:r>
      </w:hyperlink>
      <w:r>
        <w:rPr>
          <w:b/>
          <w:bCs/>
          <w:color w:val="000000"/>
          <w:sz w:val="20"/>
          <w:szCs w:val="20"/>
          <w:u w:val="single"/>
        </w:rPr>
        <w:t xml:space="preserve"> and </w:t>
      </w:r>
      <w:hyperlink r:id="rId12" w:history="1">
        <w:r>
          <w:rPr>
            <w:rStyle w:val="Hyperlink"/>
            <w:b/>
            <w:bCs/>
            <w:color w:val="000000"/>
            <w:sz w:val="20"/>
            <w:szCs w:val="20"/>
          </w:rPr>
          <w:t>Harbor Facility Assistants</w:t>
        </w:r>
      </w:hyperlink>
    </w:p>
    <w:p w:rsidR="000A2E98">
      <w:pPr>
        <w:spacing w:line="259" w:lineRule="auto"/>
        <w:ind w:hanging="43"/>
        <w:jc w:val="center"/>
        <w:rPr>
          <w:b/>
        </w:rPr>
        <w:sectPr w:rsidSect="000A2E98">
          <w:pgSz w:w="15840" w:h="12240" w:orient="landscape"/>
          <w:pgMar w:top="1080" w:right="900" w:bottom="1080" w:left="1200" w:header="0" w:footer="714" w:gutter="0"/>
          <w:cols w:space="720"/>
          <w:docGrid w:linePitch="326"/>
        </w:sect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042EBC" w:rsidP="00717B45">
      <w:pPr>
        <w:pBdr>
          <w:top w:val="nil"/>
          <w:left w:val="nil"/>
          <w:bottom w:val="nil"/>
          <w:right w:val="nil"/>
          <w:between w:val="nil"/>
        </w:pBdr>
        <w:spacing w:before="120"/>
        <w:rPr>
          <w:b/>
          <w:color w:val="000000"/>
        </w:rPr>
      </w:pPr>
      <w:r>
        <w:rPr>
          <w:color w:val="000000"/>
        </w:rPr>
        <w:t>There are no capital/start-up or ongoing operation/maintenance costs associated with this information collection.</w:t>
      </w:r>
      <w:r w:rsidR="00717B45">
        <w:rPr>
          <w:color w:val="000000"/>
        </w:rPr>
        <w:t xml:space="preserve">  The information is collected electronically so there is no cost to the respondent.</w:t>
      </w:r>
    </w:p>
    <w:p w:rsidR="00042EBC">
      <w:pPr>
        <w:pBdr>
          <w:top w:val="nil"/>
          <w:left w:val="nil"/>
          <w:bottom w:val="nil"/>
          <w:right w:val="nil"/>
          <w:between w:val="nil"/>
        </w:pBdr>
        <w:spacing w:before="1"/>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E4754" w:rsidRPr="005E4754" w:rsidP="005E4754">
      <w:pPr>
        <w:widowControl/>
        <w:spacing w:after="240"/>
      </w:pPr>
    </w:p>
    <w:tbl>
      <w:tblPr>
        <w:tblW w:w="0" w:type="auto"/>
        <w:tblCellMar>
          <w:top w:w="15" w:type="dxa"/>
          <w:left w:w="15" w:type="dxa"/>
          <w:bottom w:w="15" w:type="dxa"/>
          <w:right w:w="15" w:type="dxa"/>
        </w:tblCellMar>
        <w:tblLook w:val="04A0"/>
      </w:tblPr>
      <w:tblGrid>
        <w:gridCol w:w="4133"/>
        <w:gridCol w:w="1588"/>
        <w:gridCol w:w="1391"/>
        <w:gridCol w:w="1247"/>
        <w:gridCol w:w="1701"/>
      </w:tblGrid>
      <w:tr w:rsidTr="000A2E98">
        <w:tblPrEx>
          <w:tblW w:w="0" w:type="auto"/>
          <w:tblCellMar>
            <w:top w:w="15" w:type="dxa"/>
            <w:left w:w="15" w:type="dxa"/>
            <w:bottom w:w="15" w:type="dxa"/>
            <w:right w:w="15" w:type="dxa"/>
          </w:tblCellMar>
          <w:tblLook w:val="04A0"/>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Cost Descriptions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Band/Step</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Loaded Salary/Cost</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Estimated Hours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Total Cost to Government</w:t>
            </w:r>
          </w:p>
        </w:tc>
      </w:tr>
      <w:tr w:rsidTr="005E4754">
        <w:tblPrEx>
          <w:tblW w:w="0" w:type="auto"/>
          <w:tblCellMar>
            <w:top w:w="15" w:type="dxa"/>
            <w:left w:w="15" w:type="dxa"/>
            <w:bottom w:w="15" w:type="dxa"/>
            <w:right w:w="15" w:type="dxa"/>
          </w:tblCellMar>
          <w:tblLook w:val="04A0"/>
        </w:tblPrEx>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Survey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3 (</w:t>
            </w:r>
            <w:r w:rsidRPr="000A2E98">
              <w:rPr>
                <w:rFonts w:asciiTheme="minorHAnsi" w:hAnsiTheme="minorHAnsi" w:cstheme="minorHAnsi"/>
                <w:color w:val="202124"/>
                <w:sz w:val="18"/>
                <w:szCs w:val="18"/>
              </w:rPr>
              <w:t>ZA-04-03)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$2,187.20</w:t>
            </w:r>
          </w:p>
        </w:tc>
      </w:tr>
      <w:tr w:rsidTr="005E4754">
        <w:tblPrEx>
          <w:tblW w:w="0" w:type="auto"/>
          <w:tblCellMar>
            <w:top w:w="15" w:type="dxa"/>
            <w:left w:w="15" w:type="dxa"/>
            <w:bottom w:w="15" w:type="dxa"/>
            <w:right w:w="15" w:type="dxa"/>
          </w:tblCellMar>
          <w:tblLook w:val="04A0"/>
        </w:tblPrEx>
        <w:trPr>
          <w:trHeight w:val="47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4754" w:rsidRPr="000A2E98" w:rsidP="005E4754">
            <w:pPr>
              <w:widowControl/>
              <w:rPr>
                <w:rFonts w:asciiTheme="minorHAnsi" w:hAnsiTheme="minorHAnsi" w:cstheme="minorHAnsi"/>
                <w:sz w:val="18"/>
                <w:szCs w:val="18"/>
              </w:rPr>
            </w:pP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3/Step 1</w:t>
            </w:r>
          </w:p>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(ZP-03-01)</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202124"/>
                <w:sz w:val="18"/>
                <w:szCs w:val="18"/>
              </w:rPr>
              <w:t>$53.22</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3</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$159.66</w:t>
            </w:r>
          </w:p>
        </w:tc>
      </w:tr>
      <w:tr w:rsidTr="005E4754">
        <w:tblPrEx>
          <w:tblW w:w="0" w:type="auto"/>
          <w:tblCellMar>
            <w:top w:w="15" w:type="dxa"/>
            <w:left w:w="15" w:type="dxa"/>
            <w:bottom w:w="15" w:type="dxa"/>
            <w:right w:w="15" w:type="dxa"/>
          </w:tblCellMar>
          <w:tblLook w:val="04A0"/>
        </w:tblPrEx>
        <w:trPr>
          <w:trHeight w:val="420"/>
        </w:trPr>
        <w:tc>
          <w:tcPr>
            <w:tcW w:w="0" w:type="auto"/>
            <w:vMerge w:val="restart"/>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PRA application development (including supporting statements and required FRNs)</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1</w:t>
            </w:r>
          </w:p>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w:t>
            </w:r>
            <w:r w:rsidRPr="000A2E98">
              <w:rPr>
                <w:rFonts w:asciiTheme="minorHAnsi" w:hAnsiTheme="minorHAnsi" w:cstheme="minorHAnsi"/>
                <w:color w:val="202124"/>
                <w:sz w:val="18"/>
                <w:szCs w:val="18"/>
              </w:rPr>
              <w:t>ZA-04-01)</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202124"/>
                <w:sz w:val="18"/>
                <w:szCs w:val="18"/>
              </w:rPr>
              <w:t>$82.33</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4</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$329.32</w:t>
            </w:r>
          </w:p>
        </w:tc>
      </w:tr>
      <w:tr w:rsidTr="000A2E98">
        <w:tblPrEx>
          <w:tblW w:w="0" w:type="auto"/>
          <w:tblCellMar>
            <w:top w:w="15" w:type="dxa"/>
            <w:left w:w="15" w:type="dxa"/>
            <w:bottom w:w="15" w:type="dxa"/>
            <w:right w:w="15" w:type="dxa"/>
          </w:tblCellMar>
          <w:tblLook w:val="04A0"/>
        </w:tblPrEx>
        <w:trPr>
          <w:trHeight w:val="375"/>
        </w:trPr>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5E4754" w:rsidRPr="000A2E98" w:rsidP="005E4754">
            <w:pPr>
              <w:widowControl/>
              <w:rPr>
                <w:rFonts w:asciiTheme="minorHAnsi" w:hAnsiTheme="minorHAnsi" w:cstheme="minorHAnsi"/>
                <w:sz w:val="18"/>
                <w:szCs w:val="18"/>
              </w:rPr>
            </w:pP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3 (</w:t>
            </w:r>
            <w:r w:rsidRPr="000A2E98">
              <w:rPr>
                <w:rFonts w:asciiTheme="minorHAnsi" w:hAnsiTheme="minorHAnsi" w:cstheme="minorHAnsi"/>
                <w:color w:val="202124"/>
                <w:sz w:val="18"/>
                <w:szCs w:val="18"/>
              </w:rPr>
              <w:t>ZA-04-03)</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20</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$2,187.20</w:t>
            </w:r>
          </w:p>
        </w:tc>
      </w:tr>
      <w:tr w:rsidTr="005E4754">
        <w:tblPrEx>
          <w:tblW w:w="0" w:type="auto"/>
          <w:tblCellMar>
            <w:top w:w="15" w:type="dxa"/>
            <w:left w:w="15" w:type="dxa"/>
            <w:bottom w:w="15" w:type="dxa"/>
            <w:right w:w="15" w:type="dxa"/>
          </w:tblCellMar>
          <w:tblLook w:val="04A0"/>
        </w:tblPrEx>
        <w:trPr>
          <w:trHeight w:val="501"/>
        </w:trPr>
        <w:tc>
          <w:tcPr>
            <w:tcW w:w="0" w:type="auto"/>
            <w:vMerge w:val="restart"/>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PRA application review (including liaising with NOAA and OMB)</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1</w:t>
            </w:r>
          </w:p>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w:t>
            </w:r>
            <w:r w:rsidRPr="000A2E98">
              <w:rPr>
                <w:rFonts w:asciiTheme="minorHAnsi" w:hAnsiTheme="minorHAnsi" w:cstheme="minorHAnsi"/>
                <w:color w:val="202124"/>
                <w:sz w:val="18"/>
                <w:szCs w:val="18"/>
              </w:rPr>
              <w:t>ZA-04-01)</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202124"/>
                <w:sz w:val="18"/>
                <w:szCs w:val="18"/>
              </w:rPr>
              <w:t>$82.33</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8</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$658.64</w:t>
            </w:r>
          </w:p>
        </w:tc>
      </w:tr>
      <w:tr w:rsidTr="005E4754">
        <w:tblPrEx>
          <w:tblW w:w="0" w:type="auto"/>
          <w:tblCellMar>
            <w:top w:w="15" w:type="dxa"/>
            <w:left w:w="15" w:type="dxa"/>
            <w:bottom w:w="15" w:type="dxa"/>
            <w:right w:w="15" w:type="dxa"/>
          </w:tblCellMar>
          <w:tblLook w:val="04A0"/>
        </w:tblPrEx>
        <w:trPr>
          <w:trHeight w:val="506"/>
        </w:trPr>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5E4754" w:rsidRPr="000A2E98" w:rsidP="005E4754">
            <w:pPr>
              <w:widowControl/>
              <w:rPr>
                <w:rFonts w:asciiTheme="minorHAnsi" w:hAnsiTheme="minorHAnsi" w:cstheme="minorHAnsi"/>
                <w:sz w:val="18"/>
                <w:szCs w:val="18"/>
              </w:rPr>
            </w:pP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3 (</w:t>
            </w:r>
            <w:r w:rsidRPr="000A2E98">
              <w:rPr>
                <w:rFonts w:asciiTheme="minorHAnsi" w:hAnsiTheme="minorHAnsi" w:cstheme="minorHAnsi"/>
                <w:color w:val="202124"/>
                <w:sz w:val="18"/>
                <w:szCs w:val="18"/>
              </w:rPr>
              <w:t>ZA-04-03)</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20</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$2,187.20</w:t>
            </w:r>
          </w:p>
        </w:tc>
      </w:tr>
      <w:tr w:rsidTr="005E4754">
        <w:tblPrEx>
          <w:tblW w:w="0" w:type="auto"/>
          <w:tblCellMar>
            <w:top w:w="15" w:type="dxa"/>
            <w:left w:w="15" w:type="dxa"/>
            <w:bottom w:w="15" w:type="dxa"/>
            <w:right w:w="15" w:type="dxa"/>
          </w:tblCellMar>
          <w:tblLook w:val="04A0"/>
        </w:tblPrEx>
        <w:trPr>
          <w:trHeight w:val="420"/>
        </w:trPr>
        <w:tc>
          <w:tcPr>
            <w:tcW w:w="0" w:type="auto"/>
            <w:vMerge w:val="restart"/>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Survey distribution</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1</w:t>
            </w:r>
          </w:p>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w:t>
            </w:r>
            <w:r w:rsidRPr="000A2E98">
              <w:rPr>
                <w:rFonts w:asciiTheme="minorHAnsi" w:hAnsiTheme="minorHAnsi" w:cstheme="minorHAnsi"/>
                <w:color w:val="202124"/>
                <w:sz w:val="18"/>
                <w:szCs w:val="18"/>
              </w:rPr>
              <w:t>ZA-04-01)</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202124"/>
                <w:sz w:val="18"/>
                <w:szCs w:val="18"/>
              </w:rPr>
              <w:t>$82.33</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$164.66</w:t>
            </w:r>
          </w:p>
        </w:tc>
      </w:tr>
      <w:tr w:rsidTr="005E4754">
        <w:tblPrEx>
          <w:tblW w:w="0" w:type="auto"/>
          <w:tblCellMar>
            <w:top w:w="15" w:type="dxa"/>
            <w:left w:w="15" w:type="dxa"/>
            <w:bottom w:w="15" w:type="dxa"/>
            <w:right w:w="15" w:type="dxa"/>
          </w:tblCellMar>
          <w:tblLook w:val="04A0"/>
        </w:tblPrEx>
        <w:trPr>
          <w:trHeight w:val="420"/>
        </w:trPr>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5E4754" w:rsidRPr="000A2E98" w:rsidP="005E4754">
            <w:pPr>
              <w:widowControl/>
              <w:rPr>
                <w:rFonts w:asciiTheme="minorHAnsi" w:hAnsiTheme="minorHAnsi" w:cstheme="minorHAnsi"/>
                <w:sz w:val="18"/>
                <w:szCs w:val="18"/>
              </w:rPr>
            </w:pP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3 (</w:t>
            </w:r>
            <w:r w:rsidRPr="000A2E98">
              <w:rPr>
                <w:rFonts w:asciiTheme="minorHAnsi" w:hAnsiTheme="minorHAnsi" w:cstheme="minorHAnsi"/>
                <w:color w:val="202124"/>
                <w:sz w:val="18"/>
                <w:szCs w:val="18"/>
              </w:rPr>
              <w:t>ZA-04-03)</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r>
      <w:tr w:rsidTr="005E4754">
        <w:tblPrEx>
          <w:tblW w:w="0" w:type="auto"/>
          <w:tblCellMar>
            <w:top w:w="15" w:type="dxa"/>
            <w:left w:w="15" w:type="dxa"/>
            <w:bottom w:w="15" w:type="dxa"/>
            <w:right w:w="15" w:type="dxa"/>
          </w:tblCellMar>
          <w:tblLook w:val="04A0"/>
        </w:tblPrEx>
        <w:trPr>
          <w:trHeight w:val="420"/>
        </w:trPr>
        <w:tc>
          <w:tcPr>
            <w:tcW w:w="0" w:type="auto"/>
            <w:vMerge w:val="restart"/>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Survey analysis</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1</w:t>
            </w:r>
          </w:p>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w:t>
            </w:r>
            <w:r w:rsidRPr="000A2E98">
              <w:rPr>
                <w:rFonts w:asciiTheme="minorHAnsi" w:hAnsiTheme="minorHAnsi" w:cstheme="minorHAnsi"/>
                <w:color w:val="202124"/>
                <w:sz w:val="18"/>
                <w:szCs w:val="18"/>
              </w:rPr>
              <w:t>ZA-04-01)</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202124"/>
                <w:sz w:val="18"/>
                <w:szCs w:val="18"/>
              </w:rPr>
              <w:t>$82.33</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3</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$246.99</w:t>
            </w:r>
          </w:p>
        </w:tc>
      </w:tr>
      <w:tr w:rsidTr="00717B45">
        <w:tblPrEx>
          <w:tblW w:w="0" w:type="auto"/>
          <w:tblCellMar>
            <w:top w:w="15" w:type="dxa"/>
            <w:left w:w="15" w:type="dxa"/>
            <w:bottom w:w="15" w:type="dxa"/>
            <w:right w:w="15" w:type="dxa"/>
          </w:tblCellMar>
          <w:tblLook w:val="04A0"/>
        </w:tblPrEx>
        <w:trPr>
          <w:trHeight w:val="555"/>
        </w:trPr>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5E4754" w:rsidRPr="000A2E98" w:rsidP="005E4754">
            <w:pPr>
              <w:widowControl/>
              <w:rPr>
                <w:rFonts w:asciiTheme="minorHAnsi" w:hAnsiTheme="minorHAnsi" w:cstheme="minorHAnsi"/>
                <w:sz w:val="18"/>
                <w:szCs w:val="18"/>
              </w:rPr>
            </w:pP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3 (</w:t>
            </w:r>
            <w:r w:rsidRPr="000A2E98">
              <w:rPr>
                <w:rFonts w:asciiTheme="minorHAnsi" w:hAnsiTheme="minorHAnsi" w:cstheme="minorHAnsi"/>
                <w:color w:val="202124"/>
                <w:sz w:val="18"/>
                <w:szCs w:val="18"/>
              </w:rPr>
              <w:t>ZA-04-03)</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717B45">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r>
      <w:tr w:rsidTr="005E4754">
        <w:tblPrEx>
          <w:tblW w:w="0" w:type="auto"/>
          <w:tblCellMar>
            <w:top w:w="15" w:type="dxa"/>
            <w:left w:w="15" w:type="dxa"/>
            <w:bottom w:w="15" w:type="dxa"/>
            <w:right w:w="15" w:type="dxa"/>
          </w:tblCellMar>
          <w:tblLook w:val="04A0"/>
        </w:tblPrEx>
        <w:trPr>
          <w:trHeight w:val="420"/>
        </w:trPr>
        <w:tc>
          <w:tcPr>
            <w:tcW w:w="0" w:type="auto"/>
            <w:vMerge w:val="restart"/>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Final report review</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1</w:t>
            </w:r>
          </w:p>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w:t>
            </w:r>
            <w:r w:rsidRPr="000A2E98">
              <w:rPr>
                <w:rFonts w:asciiTheme="minorHAnsi" w:hAnsiTheme="minorHAnsi" w:cstheme="minorHAnsi"/>
                <w:color w:val="202124"/>
                <w:sz w:val="18"/>
                <w:szCs w:val="18"/>
              </w:rPr>
              <w:t>ZA-04-01)</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202124"/>
                <w:sz w:val="18"/>
                <w:szCs w:val="18"/>
              </w:rPr>
              <w:t>$82.33</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6</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$493.98</w:t>
            </w:r>
          </w:p>
        </w:tc>
      </w:tr>
      <w:tr w:rsidTr="005E4754">
        <w:tblPrEx>
          <w:tblW w:w="0" w:type="auto"/>
          <w:tblCellMar>
            <w:top w:w="15" w:type="dxa"/>
            <w:left w:w="15" w:type="dxa"/>
            <w:bottom w:w="15" w:type="dxa"/>
            <w:right w:w="15" w:type="dxa"/>
          </w:tblCellMar>
          <w:tblLook w:val="04A0"/>
        </w:tblPrEx>
        <w:trPr>
          <w:trHeight w:val="420"/>
        </w:trPr>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5E4754" w:rsidRPr="000A2E98" w:rsidP="005E4754">
            <w:pPr>
              <w:widowControl/>
              <w:rPr>
                <w:rFonts w:asciiTheme="minorHAnsi" w:hAnsiTheme="minorHAnsi" w:cstheme="minorHAnsi"/>
                <w:sz w:val="18"/>
                <w:szCs w:val="18"/>
              </w:rPr>
            </w:pP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Band 4/Step 3 (</w:t>
            </w:r>
            <w:r w:rsidRPr="000A2E98">
              <w:rPr>
                <w:rFonts w:asciiTheme="minorHAnsi" w:hAnsiTheme="minorHAnsi" w:cstheme="minorHAnsi"/>
                <w:color w:val="202124"/>
                <w:sz w:val="18"/>
                <w:szCs w:val="18"/>
              </w:rPr>
              <w:t>ZA-04-03)</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$109.36</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$218.72</w:t>
            </w:r>
          </w:p>
        </w:tc>
      </w:tr>
      <w:tr w:rsidTr="005E4754">
        <w:tblPrEx>
          <w:tblW w:w="0" w:type="auto"/>
          <w:tblCellMar>
            <w:top w:w="15" w:type="dxa"/>
            <w:left w:w="15" w:type="dxa"/>
            <w:bottom w:w="15" w:type="dxa"/>
            <w:right w:w="15" w:type="dxa"/>
          </w:tblCellMar>
          <w:tblLook w:val="04A0"/>
        </w:tblPrEx>
        <w:tc>
          <w:tcPr>
            <w:tcW w:w="0" w:type="auto"/>
            <w:tcBorders>
              <w:top w:val="single" w:sz="12"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b/>
                <w:bCs/>
                <w:color w:val="000000"/>
                <w:sz w:val="18"/>
                <w:szCs w:val="18"/>
              </w:rPr>
              <w:t>TOTAL</w:t>
            </w:r>
          </w:p>
        </w:tc>
        <w:tc>
          <w:tcPr>
            <w:tcW w:w="0" w:type="auto"/>
            <w:tcBorders>
              <w:top w:val="single" w:sz="12"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p>
        </w:tc>
        <w:tc>
          <w:tcPr>
            <w:tcW w:w="0" w:type="auto"/>
            <w:tcBorders>
              <w:top w:val="single" w:sz="12"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p>
        </w:tc>
        <w:tc>
          <w:tcPr>
            <w:tcW w:w="0" w:type="auto"/>
            <w:tcBorders>
              <w:top w:val="single" w:sz="12"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sz w:val="18"/>
                <w:szCs w:val="18"/>
              </w:rPr>
            </w:pPr>
            <w:r w:rsidRPr="000A2E98">
              <w:rPr>
                <w:rFonts w:asciiTheme="minorHAnsi" w:hAnsiTheme="minorHAnsi" w:cstheme="minorHAnsi"/>
                <w:color w:val="000000"/>
                <w:sz w:val="18"/>
                <w:szCs w:val="18"/>
              </w:rPr>
              <w:t>90</w:t>
            </w:r>
          </w:p>
        </w:tc>
        <w:tc>
          <w:tcPr>
            <w:tcW w:w="0" w:type="auto"/>
            <w:tcBorders>
              <w:top w:val="single" w:sz="12"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5E4754" w:rsidRPr="000A2E98" w:rsidP="005E4754">
            <w:pPr>
              <w:widowControl/>
              <w:rPr>
                <w:rFonts w:asciiTheme="minorHAnsi" w:hAnsiTheme="minorHAnsi" w:cstheme="minorHAnsi"/>
                <w:b/>
                <w:sz w:val="18"/>
                <w:szCs w:val="18"/>
              </w:rPr>
            </w:pPr>
            <w:r w:rsidRPr="000A2E98">
              <w:rPr>
                <w:rFonts w:asciiTheme="minorHAnsi" w:hAnsiTheme="minorHAnsi" w:cstheme="minorHAnsi"/>
                <w:b/>
                <w:color w:val="000000"/>
                <w:sz w:val="18"/>
                <w:szCs w:val="18"/>
              </w:rPr>
              <w:t>$9,052.29</w:t>
            </w:r>
          </w:p>
        </w:tc>
      </w:tr>
    </w:tbl>
    <w:p w:rsidR="00042EBC">
      <w:pPr>
        <w:pBdr>
          <w:top w:val="nil"/>
          <w:left w:val="nil"/>
          <w:bottom w:val="nil"/>
          <w:right w:val="nil"/>
          <w:between w:val="nil"/>
        </w:pBdr>
        <w:spacing w:before="9" w:after="1"/>
        <w:rPr>
          <w:b/>
          <w:color w:val="000000"/>
        </w:rPr>
      </w:pPr>
    </w:p>
    <w:p w:rsidR="000A2E98">
      <w:pPr>
        <w:pBdr>
          <w:top w:val="nil"/>
          <w:left w:val="nil"/>
          <w:bottom w:val="nil"/>
          <w:right w:val="nil"/>
          <w:between w:val="nil"/>
        </w:pBdr>
        <w:spacing w:before="9" w:after="1"/>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5E4754" w:rsidP="005E4754">
      <w:pPr>
        <w:pBdr>
          <w:top w:val="nil"/>
          <w:left w:val="nil"/>
          <w:bottom w:val="nil"/>
          <w:right w:val="nil"/>
          <w:between w:val="nil"/>
        </w:pBdr>
        <w:tabs>
          <w:tab w:val="left" w:pos="360"/>
        </w:tabs>
        <w:spacing w:before="80"/>
        <w:rPr>
          <w:b/>
          <w:color w:val="000000"/>
        </w:rPr>
      </w:pPr>
    </w:p>
    <w:p w:rsidR="005E4754" w:rsidP="005E4754">
      <w:pPr>
        <w:pBdr>
          <w:top w:val="nil"/>
          <w:left w:val="nil"/>
          <w:bottom w:val="nil"/>
          <w:right w:val="nil"/>
          <w:between w:val="nil"/>
        </w:pBdr>
        <w:tabs>
          <w:tab w:val="left" w:pos="360"/>
        </w:tabs>
        <w:spacing w:before="80"/>
        <w:rPr>
          <w:color w:val="000000"/>
        </w:rPr>
      </w:pPr>
      <w:r>
        <w:rPr>
          <w:color w:val="000000"/>
        </w:rPr>
        <w:t>This is a new collection of information.</w:t>
      </w:r>
    </w:p>
    <w:p w:rsidR="005E4754" w:rsidRPr="005E4754" w:rsidP="005E4754">
      <w:pPr>
        <w:pBdr>
          <w:top w:val="nil"/>
          <w:left w:val="nil"/>
          <w:bottom w:val="nil"/>
          <w:right w:val="nil"/>
          <w:between w:val="nil"/>
        </w:pBdr>
        <w:tabs>
          <w:tab w:val="left" w:pos="360"/>
        </w:tabs>
        <w:spacing w:before="80"/>
        <w:rPr>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4754" w:rsidP="005E4754">
      <w:pPr>
        <w:pBdr>
          <w:top w:val="nil"/>
          <w:left w:val="nil"/>
          <w:bottom w:val="nil"/>
          <w:right w:val="nil"/>
          <w:between w:val="nil"/>
        </w:pBdr>
        <w:tabs>
          <w:tab w:val="left" w:pos="360"/>
        </w:tabs>
        <w:spacing w:before="80"/>
        <w:rPr>
          <w:color w:val="000000"/>
        </w:rPr>
      </w:pPr>
      <w:r>
        <w:rPr>
          <w:color w:val="000000"/>
        </w:rPr>
        <w:t>Descriptive and analytical reports will include summaries of data. These reports will not release or reveal individual responses. Information from the surveys will be used to create a relative risk assessment of expected losses to various users regarding interactions with marine mammals. This risk assessment will provide a logical, decision making framework. MAFAC anticipates advising NOAA Fisheries to use the framework to help prioritize which marine mammal deterrence methods should be tested for effectiveness. Respondents' input about ineffective deterrents will eliminate methods and strategies from the prioritization list. This should minimize unnecessary takes of marine mammals. The information will be distributed internally to the agency, and it’s MAFAC intention to share summary results with the survey respondents. The data summaries may support future research and analyses presented at appropriate professional meetings (e.g. American Fisheries Society, Joint Statistical Meetings) and may be submitted for publication in appropriate statistical or fisheries peer-reviewed journals.</w:t>
      </w:r>
    </w:p>
    <w:p w:rsidR="005E4754" w:rsidRPr="005E4754" w:rsidP="005E4754">
      <w:pPr>
        <w:pBdr>
          <w:top w:val="nil"/>
          <w:left w:val="nil"/>
          <w:bottom w:val="nil"/>
          <w:right w:val="nil"/>
          <w:between w:val="nil"/>
        </w:pBdr>
        <w:tabs>
          <w:tab w:val="left" w:pos="360"/>
        </w:tabs>
        <w:spacing w:before="80"/>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042EBC" w:rsidP="005E4754">
      <w:pPr>
        <w:pBdr>
          <w:top w:val="nil"/>
          <w:left w:val="nil"/>
          <w:bottom w:val="nil"/>
          <w:right w:val="nil"/>
          <w:between w:val="nil"/>
        </w:pBdr>
        <w:tabs>
          <w:tab w:val="left" w:pos="360"/>
        </w:tabs>
        <w:spacing w:before="80"/>
        <w:rPr>
          <w:b/>
          <w:color w:val="000000"/>
        </w:rPr>
      </w:pPr>
      <w:r>
        <w:rPr>
          <w:color w:val="000000"/>
        </w:rPr>
        <w:t>MAFAC plans to display the expiration date for OMB approval of the information collection on all instruments.</w:t>
      </w:r>
    </w:p>
    <w:p w:rsidR="005E4754" w:rsidRPr="005E4754" w:rsidP="005E4754">
      <w:pPr>
        <w:pBdr>
          <w:top w:val="nil"/>
          <w:left w:val="nil"/>
          <w:bottom w:val="nil"/>
          <w:right w:val="nil"/>
          <w:between w:val="nil"/>
        </w:pBdr>
        <w:tabs>
          <w:tab w:val="left" w:pos="360"/>
        </w:tabs>
        <w:spacing w:before="80"/>
        <w:rPr>
          <w:b/>
          <w:color w:val="000000"/>
        </w:rPr>
      </w:pPr>
    </w:p>
    <w:p w:rsidR="00042EB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42EBC" w:rsidP="005E4754">
      <w:pPr>
        <w:spacing w:before="124"/>
        <w:rPr>
          <w:color w:val="1F497D"/>
        </w:rPr>
      </w:pPr>
      <w:r>
        <w:rPr>
          <w:color w:val="000000"/>
        </w:rPr>
        <w:t xml:space="preserve">The agency certifies compliance with </w:t>
      </w:r>
      <w:hyperlink r:id="rId13" w:history="1">
        <w:r>
          <w:rPr>
            <w:rStyle w:val="Hyperlink"/>
            <w:color w:val="0563C1"/>
          </w:rPr>
          <w:t xml:space="preserve">5 CFR 1320.9 </w:t>
        </w:r>
      </w:hyperlink>
      <w:r>
        <w:rPr>
          <w:color w:val="000000"/>
        </w:rPr>
        <w:t xml:space="preserve">and the related provisions of </w:t>
      </w:r>
      <w:hyperlink r:id="rId14" w:history="1">
        <w:r>
          <w:rPr>
            <w:rStyle w:val="Hyperlink"/>
            <w:color w:val="0563C1"/>
          </w:rPr>
          <w:t>5 CFR</w:t>
        </w:r>
      </w:hyperlink>
      <w:r>
        <w:rPr>
          <w:color w:val="0563C1"/>
        </w:rPr>
        <w:t xml:space="preserve"> </w:t>
      </w:r>
      <w:hyperlink r:id="rId14" w:history="1">
        <w:r>
          <w:rPr>
            <w:rStyle w:val="Hyperlink"/>
            <w:color w:val="0563C1"/>
          </w:rPr>
          <w:t>1320.8(b)(3)</w:t>
        </w:r>
      </w:hyperlink>
      <w:r>
        <w:rPr>
          <w:color w:val="000000"/>
        </w:rPr>
        <w:t>.</w:t>
      </w:r>
    </w:p>
    <w:sectPr w:rsidSect="000A2E98">
      <w:pgSz w:w="12240" w:h="15840"/>
      <w:pgMar w:top="900" w:right="1080" w:bottom="1200" w:left="108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69A" w:rsidRPr="007C3920" w:rsidP="007C392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3059BC"/>
    <w:multiLevelType w:val="multilevel"/>
    <w:tmpl w:val="7DAE2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26693"/>
    <w:multiLevelType w:val="multilevel"/>
    <w:tmpl w:val="AB709D4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29834F77"/>
    <w:multiLevelType w:val="multilevel"/>
    <w:tmpl w:val="7F8CC1A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378C4670"/>
    <w:multiLevelType w:val="multilevel"/>
    <w:tmpl w:val="0C0EEA3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3E1D1402"/>
    <w:multiLevelType w:val="multilevel"/>
    <w:tmpl w:val="8F88CB6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444C618A"/>
    <w:multiLevelType w:val="multilevel"/>
    <w:tmpl w:val="75E8BA3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6">
    <w:nsid w:val="47316B0A"/>
    <w:multiLevelType w:val="multilevel"/>
    <w:tmpl w:val="53A8A78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7">
    <w:nsid w:val="4D4766F2"/>
    <w:multiLevelType w:val="multilevel"/>
    <w:tmpl w:val="486820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514E6C40"/>
    <w:multiLevelType w:val="multilevel"/>
    <w:tmpl w:val="2AA2E0E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60A96EC0"/>
    <w:multiLevelType w:val="multilevel"/>
    <w:tmpl w:val="2AD0CEF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614855BE"/>
    <w:multiLevelType w:val="multilevel"/>
    <w:tmpl w:val="3886DFA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7BB51596"/>
    <w:multiLevelType w:val="multilevel"/>
    <w:tmpl w:val="9D72CCE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8"/>
  </w:num>
  <w:num w:numId="3">
    <w:abstractNumId w:val="10"/>
  </w:num>
  <w:num w:numId="4">
    <w:abstractNumId w:val="7"/>
  </w:num>
  <w:num w:numId="5">
    <w:abstractNumId w:val="11"/>
  </w:num>
  <w:num w:numId="6">
    <w:abstractNumId w:val="3"/>
  </w:num>
  <w:num w:numId="7">
    <w:abstractNumId w:val="1"/>
  </w:num>
  <w:num w:numId="8">
    <w:abstractNumId w:val="2"/>
  </w:num>
  <w:num w:numId="9">
    <w:abstractNumId w:val="5"/>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BC"/>
    <w:rsid w:val="00042EBC"/>
    <w:rsid w:val="000A2E98"/>
    <w:rsid w:val="000D3831"/>
    <w:rsid w:val="003F4CE7"/>
    <w:rsid w:val="004E4785"/>
    <w:rsid w:val="005E4754"/>
    <w:rsid w:val="00637A04"/>
    <w:rsid w:val="00717B45"/>
    <w:rsid w:val="007C3920"/>
    <w:rsid w:val="00854E98"/>
    <w:rsid w:val="00A05D59"/>
    <w:rsid w:val="00C76DC3"/>
    <w:rsid w:val="00D2369A"/>
    <w:rsid w:val="00D866BC"/>
    <w:rsid w:val="00DE1256"/>
    <w:rsid w:val="00F60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2C895"/>
  <w15:docId w15:val="{039F3C46-BB51-4647-88DF-591F186D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D2369A"/>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oh/transportation-and-material-moving/water-transportation-occupations.htm" TargetMode="External" /><Relationship Id="rId11" Type="http://schemas.openxmlformats.org/officeDocument/2006/relationships/hyperlink" Target="https://www.glassdoor.com/Salaries/harbor-master-salary-SRCH_KO0,13.htm" TargetMode="External" /><Relationship Id="rId12" Type="http://schemas.openxmlformats.org/officeDocument/2006/relationships/hyperlink" Target="https://www.glassdoor.com/Salary/Harbor-Facilities-Assistant-Salaries-E802030_D_KO7,27.htm" TargetMode="External" /><Relationship Id="rId13" Type="http://schemas.openxmlformats.org/officeDocument/2006/relationships/hyperlink" Target="http://www.gpo.gov/fdsys/pkg/CFR-2014-title5-vol3/pdf/CFR-2014-title5-vol3-sec1320-9.pdf" TargetMode="External" /><Relationship Id="rId14" Type="http://schemas.openxmlformats.org/officeDocument/2006/relationships/hyperlink" Target="http://www.gpo.gov/fdsys/pkg/CFR-2014-title5-vol3/pdf/CFR-2014-title5-vol3-sec1320-8.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action/guidelines-safely-deterring-marine-mammals" TargetMode="External" /><Relationship Id="rId6" Type="http://schemas.openxmlformats.org/officeDocument/2006/relationships/footer" Target="footer1.xml" /><Relationship Id="rId7" Type="http://schemas.openxmlformats.org/officeDocument/2006/relationships/hyperlink" Target="https://www.federalregister.gov/documents/2023/06/23/2023-13372/agency-information-collection-activities-submission-to-the-office-of-management-and-budget-omb-for" TargetMode="External" /><Relationship Id="rId8" Type="http://schemas.openxmlformats.org/officeDocument/2006/relationships/hyperlink" Target="https://www.bls.gov/ooh/farming-fishing-and-forestry/fishers-and-related-fishing-workers.htm" TargetMode="External" /><Relationship Id="rId9" Type="http://schemas.openxmlformats.org/officeDocument/2006/relationships/hyperlink" Target="https://www.bls.gov/ooh/management/farmers-ranchers-and-other-agricultural-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2023-09-28T19:04:00Z</dcterms:created>
  <dcterms:modified xsi:type="dcterms:W3CDTF">2023-09-30T18:47:00Z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