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P="008E7775" w14:paraId="39E3F0F0" w14:textId="77777777">
      <w:pPr>
        <w:pStyle w:val="Title"/>
        <w:spacing w:before="0" w:after="0"/>
        <w:rPr>
          <w:rFonts w:ascii="Times New Roman" w:hAnsi="Times New Roman"/>
          <w:sz w:val="24"/>
          <w:szCs w:val="24"/>
        </w:rPr>
      </w:pPr>
      <w:r w:rsidRPr="00EF7FF5">
        <w:rPr>
          <w:rFonts w:ascii="Times New Roman" w:hAnsi="Times New Roman"/>
          <w:sz w:val="24"/>
          <w:szCs w:val="24"/>
        </w:rPr>
        <w:t>SUPPORTING STATEMENT</w:t>
      </w:r>
      <w:r w:rsidR="00954BFF">
        <w:rPr>
          <w:rFonts w:ascii="Times New Roman" w:hAnsi="Times New Roman"/>
          <w:sz w:val="24"/>
          <w:szCs w:val="24"/>
        </w:rPr>
        <w:t xml:space="preserve"> PART </w:t>
      </w:r>
      <w:r w:rsidR="0027077A">
        <w:rPr>
          <w:rFonts w:ascii="Times New Roman" w:hAnsi="Times New Roman"/>
          <w:sz w:val="24"/>
          <w:szCs w:val="24"/>
        </w:rPr>
        <w:t>A</w:t>
      </w:r>
    </w:p>
    <w:p w:rsidR="00954BFF" w:rsidP="008E7775" w14:paraId="789EF5EF" w14:textId="77777777">
      <w:pPr>
        <w:pStyle w:val="Title"/>
        <w:spacing w:before="0" w:after="0"/>
        <w:rPr>
          <w:rFonts w:ascii="Times New Roman" w:hAnsi="Times New Roman"/>
          <w:sz w:val="24"/>
          <w:szCs w:val="24"/>
        </w:rPr>
      </w:pPr>
      <w:r>
        <w:rPr>
          <w:rFonts w:ascii="Times New Roman" w:hAnsi="Times New Roman"/>
          <w:sz w:val="24"/>
          <w:szCs w:val="24"/>
        </w:rPr>
        <w:t>U. S. Department of Commerce</w:t>
      </w:r>
    </w:p>
    <w:p w:rsidR="00FC38C8" w:rsidP="008E7775" w14:paraId="054DCE5C" w14:textId="77777777">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8E7775" w14:paraId="14F24EB4" w14:textId="7777777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954BFF" w:rsidP="008E7775" w14:paraId="2EC21A78" w14:textId="77777777">
      <w:pPr>
        <w:autoSpaceDE w:val="0"/>
        <w:autoSpaceDN w:val="0"/>
        <w:adjustRightInd w:val="0"/>
        <w:jc w:val="center"/>
        <w:rPr>
          <w:rFonts w:ascii="Times New Roman" w:hAnsi="Times New Roman"/>
          <w:b/>
          <w:bCs/>
          <w:szCs w:val="24"/>
        </w:rPr>
      </w:pPr>
      <w:r w:rsidRPr="00954BFF">
        <w:rPr>
          <w:rFonts w:ascii="Times New Roman" w:hAnsi="Times New Roman"/>
          <w:b/>
          <w:bCs/>
          <w:szCs w:val="24"/>
        </w:rPr>
        <w:t>OMB Control No. 0690-</w:t>
      </w:r>
      <w:r w:rsidR="00460282">
        <w:rPr>
          <w:rFonts w:ascii="Times New Roman" w:hAnsi="Times New Roman"/>
          <w:b/>
          <w:bCs/>
          <w:szCs w:val="24"/>
        </w:rPr>
        <w:t>0035</w:t>
      </w:r>
    </w:p>
    <w:p w:rsidR="00460282" w:rsidP="008E7775" w14:paraId="677E4795" w14:textId="77777777">
      <w:pPr>
        <w:autoSpaceDE w:val="0"/>
        <w:autoSpaceDN w:val="0"/>
        <w:adjustRightInd w:val="0"/>
        <w:jc w:val="center"/>
        <w:rPr>
          <w:rFonts w:ascii="Times New Roman" w:hAnsi="Times New Roman"/>
          <w:b/>
          <w:bCs/>
          <w:szCs w:val="24"/>
        </w:rPr>
      </w:pPr>
    </w:p>
    <w:p w:rsidR="00460282" w:rsidRPr="00460282" w:rsidP="008E7775" w14:paraId="728CFEBC" w14:textId="77777777">
      <w:pPr>
        <w:autoSpaceDE w:val="0"/>
        <w:autoSpaceDN w:val="0"/>
        <w:adjustRightInd w:val="0"/>
        <w:jc w:val="center"/>
        <w:rPr>
          <w:rFonts w:ascii="Times New Roman" w:hAnsi="Times New Roman"/>
          <w:b/>
          <w:bCs/>
          <w:color w:val="FF0000"/>
          <w:szCs w:val="24"/>
        </w:rPr>
      </w:pPr>
      <w:r w:rsidRPr="00460282">
        <w:rPr>
          <w:rFonts w:ascii="Times New Roman" w:hAnsi="Times New Roman"/>
          <w:b/>
          <w:bCs/>
          <w:color w:val="FF0000"/>
          <w:szCs w:val="24"/>
        </w:rPr>
        <w:t>This is an extension without change of a currently approved collection.</w:t>
      </w:r>
    </w:p>
    <w:p w:rsidR="008E7775" w:rsidP="009D75F8" w14:paraId="261569CF" w14:textId="77777777">
      <w:pPr>
        <w:tabs>
          <w:tab w:val="left" w:pos="0"/>
        </w:tabs>
        <w:suppressAutoHyphens/>
        <w:rPr>
          <w:rFonts w:ascii="Times New Roman" w:hAnsi="Times New Roman"/>
          <w:b/>
          <w:szCs w:val="24"/>
        </w:rPr>
      </w:pPr>
    </w:p>
    <w:p w:rsidR="008E7775" w:rsidRPr="008E7775" w:rsidP="008E7775" w14:paraId="1E88F940" w14:textId="77777777">
      <w:pPr>
        <w:tabs>
          <w:tab w:val="left" w:pos="-1440"/>
        </w:tabs>
        <w:autoSpaceDE w:val="0"/>
        <w:autoSpaceDN w:val="0"/>
        <w:adjustRightInd w:val="0"/>
        <w:ind w:left="720" w:hanging="720"/>
        <w:rPr>
          <w:rFonts w:ascii="Times New Roman" w:hAnsi="Times New Roman"/>
          <w:b/>
          <w:bCs/>
          <w:szCs w:val="24"/>
        </w:rPr>
      </w:pPr>
      <w:r w:rsidRPr="008E7775">
        <w:rPr>
          <w:rFonts w:ascii="Times New Roman" w:hAnsi="Times New Roman"/>
          <w:b/>
          <w:bCs/>
          <w:szCs w:val="24"/>
        </w:rPr>
        <w:t xml:space="preserve">A. </w:t>
      </w:r>
      <w:r w:rsidRPr="008E7775">
        <w:rPr>
          <w:rFonts w:ascii="Times New Roman" w:hAnsi="Times New Roman"/>
          <w:b/>
          <w:bCs/>
          <w:szCs w:val="24"/>
        </w:rPr>
        <w:tab/>
        <w:t>JUSTIFICATION</w:t>
      </w:r>
    </w:p>
    <w:p w:rsidR="00425F9A" w14:paraId="07CED7EE" w14:textId="77777777">
      <w:pPr>
        <w:tabs>
          <w:tab w:val="left" w:pos="0"/>
        </w:tabs>
        <w:suppressAutoHyphens/>
        <w:rPr>
          <w:rFonts w:ascii="Times New Roman" w:hAnsi="Times New Roman"/>
          <w:b/>
          <w:szCs w:val="24"/>
        </w:rPr>
      </w:pPr>
    </w:p>
    <w:p w:rsidR="008E7775" w:rsidP="008E7775" w14:paraId="253E8A79" w14:textId="77777777">
      <w:pPr>
        <w:pStyle w:val="ListParagraph"/>
        <w:numPr>
          <w:ilvl w:val="0"/>
          <w:numId w:val="20"/>
        </w:numPr>
        <w:tabs>
          <w:tab w:val="left" w:pos="0"/>
        </w:tabs>
        <w:suppressAutoHyphens/>
        <w:rPr>
          <w:rFonts w:ascii="Times New Roman" w:hAnsi="Times New Roman"/>
          <w:b/>
          <w:szCs w:val="24"/>
        </w:rPr>
      </w:pPr>
      <w:r w:rsidRPr="008E7775">
        <w:rPr>
          <w:rFonts w:ascii="Times New Roman" w:hAnsi="Times New Roman"/>
          <w:b/>
          <w:szCs w:val="24"/>
          <w:u w:val="single"/>
        </w:rPr>
        <w:t>Explain the circumstances that make the collection of information necessary</w:t>
      </w:r>
      <w:r w:rsidRPr="008E7775">
        <w:rPr>
          <w:rFonts w:ascii="Times New Roman" w:hAnsi="Times New Roman"/>
          <w:b/>
          <w:szCs w:val="24"/>
        </w:rPr>
        <w:t xml:space="preserve">.  </w:t>
      </w:r>
    </w:p>
    <w:p w:rsidR="008E7775" w:rsidRPr="009E3C86" w:rsidP="008E7775" w14:paraId="6B530298" w14:textId="77777777">
      <w:pPr>
        <w:pStyle w:val="ListParagraph"/>
        <w:tabs>
          <w:tab w:val="left" w:pos="0"/>
        </w:tabs>
        <w:suppressAutoHyphens/>
        <w:rPr>
          <w:rFonts w:ascii="Times New Roman" w:hAnsi="Times New Roman"/>
          <w:b/>
          <w:sz w:val="16"/>
          <w:szCs w:val="16"/>
        </w:rPr>
      </w:pPr>
    </w:p>
    <w:p w:rsidR="00287BEA" w:rsidP="00CB0C21" w14:paraId="6A977BB9"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RPr="009E3C86" w:rsidP="00CB0C21" w14:paraId="507267CF" w14:textId="77777777">
      <w:pPr>
        <w:pStyle w:val="BodyText"/>
        <w:ind w:left="720"/>
        <w:rPr>
          <w:b w:val="0"/>
          <w:sz w:val="16"/>
          <w:szCs w:val="16"/>
        </w:rPr>
      </w:pPr>
    </w:p>
    <w:p w:rsidR="00CB0C21" w:rsidP="00CB0C21" w14:paraId="500556DA"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RPr="009E3C86" w:rsidP="00CB0C21" w14:paraId="77E1BD30" w14:textId="77777777">
      <w:pPr>
        <w:pStyle w:val="BodyText"/>
        <w:ind w:left="720"/>
        <w:rPr>
          <w:b w:val="0"/>
          <w:sz w:val="16"/>
          <w:szCs w:val="16"/>
        </w:rPr>
      </w:pPr>
    </w:p>
    <w:p w:rsidR="00BD1E9D" w:rsidP="00BD1E9D" w14:paraId="2A23CC08"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RPr="009E3C86" w:rsidP="00BD1E9D" w14:paraId="3A571078" w14:textId="77777777">
      <w:pPr>
        <w:pStyle w:val="BodyText"/>
        <w:ind w:left="720"/>
        <w:rPr>
          <w:b w:val="0"/>
          <w:sz w:val="16"/>
          <w:szCs w:val="16"/>
        </w:rPr>
      </w:pPr>
    </w:p>
    <w:p w:rsidR="00751AB3" w:rsidP="00BD1E9D" w14:paraId="391FA2F6" w14:textId="77777777">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Pr="008E7775" w:rsidR="007D2DB5">
        <w:rPr>
          <w:b w:val="0"/>
          <w:sz w:val="24"/>
          <w:szCs w:val="24"/>
        </w:rPr>
        <w:t xml:space="preserve">Department of </w:t>
      </w:r>
      <w:r w:rsidR="008E7775">
        <w:rPr>
          <w:b w:val="0"/>
          <w:sz w:val="24"/>
          <w:szCs w:val="24"/>
        </w:rPr>
        <w:t>Commerce</w:t>
      </w:r>
      <w:r w:rsidRPr="008E7775"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0DBB8944" w14:textId="77777777">
      <w:pPr>
        <w:pStyle w:val="BodyText"/>
        <w:ind w:left="720"/>
        <w:rPr>
          <w:b w:val="0"/>
          <w:sz w:val="24"/>
          <w:szCs w:val="24"/>
        </w:rPr>
      </w:pPr>
      <w:r w:rsidRPr="0083061C">
        <w:rPr>
          <w:b w:val="0"/>
          <w:sz w:val="24"/>
          <w:szCs w:val="24"/>
        </w:rPr>
        <w:t xml:space="preserve">  </w:t>
      </w:r>
    </w:p>
    <w:p w:rsidR="00386054" w:rsidRPr="008E7775" w:rsidP="008E7775" w14:paraId="6E8DBDA2" w14:textId="77777777">
      <w:pPr>
        <w:pStyle w:val="ListParagraph"/>
        <w:numPr>
          <w:ilvl w:val="0"/>
          <w:numId w:val="20"/>
        </w:numPr>
        <w:tabs>
          <w:tab w:val="left" w:pos="-720"/>
        </w:tabs>
        <w:suppressAutoHyphens/>
        <w:rPr>
          <w:rFonts w:ascii="Times New Roman" w:hAnsi="Times New Roman"/>
          <w:b/>
          <w:szCs w:val="24"/>
          <w:u w:val="single"/>
        </w:rPr>
      </w:pPr>
      <w:r w:rsidRPr="008E7775">
        <w:rPr>
          <w:rFonts w:ascii="Times New Roman" w:hAnsi="Times New Roman"/>
          <w:b/>
          <w:szCs w:val="24"/>
          <w:u w:val="single"/>
        </w:rPr>
        <w:t>Indicate how, by whom, and for what purpose the information is to be used.  Except for a new collection, indicate the actual use the agency has made of the information received from the current collection.</w:t>
      </w:r>
      <w:r w:rsidRPr="008E7775" w:rsidR="00050CBE">
        <w:rPr>
          <w:rFonts w:ascii="Times New Roman" w:hAnsi="Times New Roman"/>
          <w:b/>
          <w:szCs w:val="24"/>
          <w:u w:val="single"/>
        </w:rPr>
        <w:t xml:space="preserve"> </w:t>
      </w:r>
    </w:p>
    <w:p w:rsidR="00BD1E9D" w:rsidRPr="009E3C86" w14:paraId="4EB0D814" w14:textId="77777777">
      <w:pPr>
        <w:tabs>
          <w:tab w:val="left" w:pos="-720"/>
        </w:tabs>
        <w:suppressAutoHyphens/>
        <w:rPr>
          <w:rFonts w:ascii="Times New Roman" w:hAnsi="Times New Roman"/>
          <w:sz w:val="16"/>
          <w:szCs w:val="16"/>
          <w:u w:val="single"/>
        </w:rPr>
      </w:pPr>
    </w:p>
    <w:p w:rsidR="006F2BFD" w:rsidP="006F2BFD" w14:paraId="715E4437"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RPr="009E3C86" w:rsidP="006F2BFD" w14:paraId="486BE0B9" w14:textId="77777777">
      <w:pPr>
        <w:pStyle w:val="BodyText"/>
        <w:ind w:left="720"/>
        <w:rPr>
          <w:b w:val="0"/>
          <w:sz w:val="16"/>
          <w:szCs w:val="16"/>
        </w:rPr>
      </w:pPr>
    </w:p>
    <w:p w:rsidR="006F2BFD" w:rsidRPr="006F2BFD" w:rsidP="006F2BFD" w14:paraId="6D990507"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RPr="009E3C86" w:rsidP="006F2BFD" w14:paraId="2262C5FF" w14:textId="77777777">
      <w:pPr>
        <w:pStyle w:val="BodyText"/>
        <w:ind w:left="720"/>
        <w:rPr>
          <w:b w:val="0"/>
          <w:sz w:val="16"/>
          <w:szCs w:val="16"/>
        </w:rPr>
      </w:pPr>
    </w:p>
    <w:p w:rsidR="006F2BFD" w:rsidP="006F2BFD" w14:paraId="42528334"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RPr="009E3C86" w:rsidP="006F2BFD" w14:paraId="72804B3D" w14:textId="77777777">
      <w:pPr>
        <w:pStyle w:val="BodyText"/>
        <w:ind w:left="720"/>
        <w:rPr>
          <w:b w:val="0"/>
          <w:sz w:val="16"/>
          <w:szCs w:val="16"/>
        </w:rPr>
      </w:pPr>
    </w:p>
    <w:p w:rsidR="006A7CA8" w:rsidP="006F2BFD" w14:paraId="3ED34BD6"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RPr="009E3C86" w:rsidP="00BD1E9D" w14:paraId="4B112124" w14:textId="77777777">
      <w:pPr>
        <w:pStyle w:val="BodyText"/>
        <w:ind w:left="720"/>
        <w:rPr>
          <w:b w:val="0"/>
          <w:sz w:val="16"/>
          <w:szCs w:val="16"/>
        </w:rPr>
      </w:pPr>
    </w:p>
    <w:p w:rsidR="006A7CA8" w:rsidP="006A7CA8" w14:paraId="6B313818" w14:textId="7777777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353F23">
        <w:rPr>
          <w:b w:val="0"/>
          <w:sz w:val="24"/>
          <w:szCs w:val="24"/>
        </w:rPr>
        <w:t>understand the customer segments more deeply</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RPr="009E3C86" w:rsidP="006A7CA8" w14:paraId="5A41DEA3" w14:textId="77777777">
      <w:pPr>
        <w:pStyle w:val="BodyText"/>
        <w:ind w:left="720"/>
        <w:rPr>
          <w:sz w:val="16"/>
          <w:szCs w:val="16"/>
        </w:rPr>
      </w:pPr>
    </w:p>
    <w:p w:rsidR="0039757D" w:rsidP="00E03EA0" w14:paraId="2C06FF0A"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RPr="009E3C86" w:rsidP="006A7CA8" w14:paraId="2372E4B9" w14:textId="77777777">
      <w:pPr>
        <w:pStyle w:val="BodyText"/>
        <w:ind w:left="720"/>
        <w:rPr>
          <w:b w:val="0"/>
          <w:sz w:val="16"/>
          <w:szCs w:val="16"/>
        </w:rPr>
      </w:pPr>
    </w:p>
    <w:p w:rsidR="00C25189" w:rsidP="006A7CA8" w14:paraId="09BD48A1"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xml:space="preserve">” for where more </w:t>
      </w:r>
      <w:r>
        <w:rPr>
          <w:b w:val="0"/>
          <w:sz w:val="24"/>
          <w:szCs w:val="24"/>
        </w:rPr>
        <w:t>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RPr="009E3C86" w:rsidP="006A7CA8" w14:paraId="3D97FD8A" w14:textId="77777777">
      <w:pPr>
        <w:pStyle w:val="BodyText"/>
        <w:ind w:left="720"/>
        <w:rPr>
          <w:b w:val="0"/>
          <w:sz w:val="16"/>
          <w:szCs w:val="16"/>
        </w:rPr>
      </w:pPr>
    </w:p>
    <w:p w:rsidR="0000550E" w:rsidRPr="0000550E" w:rsidP="006A7CA8" w14:paraId="0AE661B1"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RPr="009E3C86" w:rsidP="00BD1E9D" w14:paraId="433E6C83" w14:textId="77777777">
      <w:pPr>
        <w:pStyle w:val="BodyText"/>
        <w:ind w:left="720"/>
        <w:rPr>
          <w:b w:val="0"/>
          <w:sz w:val="16"/>
          <w:szCs w:val="16"/>
        </w:rPr>
      </w:pPr>
    </w:p>
    <w:p w:rsidR="00622ED0" w:rsidP="00BD1E9D" w14:paraId="4CD5B3AF"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RPr="009E3C86" w:rsidP="00BD1E9D" w14:paraId="3D5B0F19" w14:textId="77777777">
      <w:pPr>
        <w:pStyle w:val="BodyText"/>
        <w:ind w:left="720"/>
        <w:rPr>
          <w:b w:val="0"/>
          <w:sz w:val="16"/>
          <w:szCs w:val="16"/>
        </w:rPr>
      </w:pPr>
    </w:p>
    <w:p w:rsidR="0077440A" w:rsidP="0077440A" w14:paraId="695F19B5" w14:textId="77777777">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RPr="009E3C86" w:rsidP="0077440A" w14:paraId="006A169D" w14:textId="77777777">
      <w:pPr>
        <w:pStyle w:val="BodyText"/>
        <w:ind w:left="720"/>
        <w:rPr>
          <w:b w:val="0"/>
          <w:sz w:val="16"/>
          <w:szCs w:val="16"/>
        </w:rPr>
      </w:pPr>
    </w:p>
    <w:p w:rsidR="0077440A" w:rsidRPr="001839A4" w:rsidP="0077440A" w14:paraId="00F2410F"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0077440A" w:rsidRPr="00EE088E" w:rsidP="0077440A" w14:paraId="68B67C84"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3BD3D5C4"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48BC8A75"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04188492"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14:paraId="3BA29541" w14:textId="77777777">
      <w:pPr>
        <w:pStyle w:val="ListParagraph"/>
        <w:numPr>
          <w:ilvl w:val="2"/>
          <w:numId w:val="18"/>
        </w:numPr>
        <w:jc w:val="both"/>
        <w:rPr>
          <w:rFonts w:ascii="Times New Roman" w:hAnsi="Times New Roman"/>
          <w:i/>
        </w:rPr>
      </w:pPr>
      <w:r>
        <w:rPr>
          <w:rFonts w:ascii="Times New Roman" w:hAnsi="Times New Roman"/>
          <w:i/>
        </w:rPr>
        <w:t>Please rate your experience [</w:t>
      </w:r>
      <w:r w:rsidR="00353F23">
        <w:rPr>
          <w:rFonts w:ascii="Times New Roman" w:hAnsi="Times New Roman"/>
          <w:i/>
        </w:rPr>
        <w:t>5-star</w:t>
      </w:r>
      <w:r>
        <w:rPr>
          <w:rFonts w:ascii="Times New Roman" w:hAnsi="Times New Roman"/>
          <w:i/>
        </w:rPr>
        <w:t xml:space="preserve"> option]</w:t>
      </w:r>
      <w:r w:rsidRPr="00EE088E">
        <w:rPr>
          <w:rFonts w:ascii="Times New Roman" w:hAnsi="Times New Roman"/>
          <w:i/>
        </w:rPr>
        <w:t>.</w:t>
      </w:r>
    </w:p>
    <w:p w:rsidR="0077440A" w:rsidRPr="00AE792F" w:rsidP="0077440A" w14:paraId="6744ABA3"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07981ED"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607A48A6"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4E41E331"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50B5B54D" w14:textId="77777777">
      <w:pPr>
        <w:jc w:val="both"/>
        <w:rPr>
          <w:rFonts w:ascii="Times New Roman" w:hAnsi="Times New Roman"/>
        </w:rPr>
      </w:pPr>
    </w:p>
    <w:p w:rsidR="0077440A" w:rsidRPr="00EE088E" w:rsidP="0077440A" w14:paraId="65F93764"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0077440A" w:rsidRPr="009E3C86" w:rsidP="0077440A" w14:paraId="24CEF12A" w14:textId="77777777">
      <w:pPr>
        <w:jc w:val="both"/>
        <w:rPr>
          <w:rFonts w:ascii="Times New Roman" w:hAnsi="Times New Roman"/>
          <w:sz w:val="16"/>
          <w:szCs w:val="16"/>
        </w:rPr>
      </w:pPr>
    </w:p>
    <w:p w:rsidR="0077440A" w:rsidRPr="00EE088E" w:rsidP="0077440A" w14:paraId="32069912" w14:textId="77777777">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9E3C86" w:rsidP="0077440A" w14:paraId="422B25F3" w14:textId="77777777">
      <w:pPr>
        <w:jc w:val="both"/>
        <w:rPr>
          <w:rFonts w:ascii="Times New Roman" w:hAnsi="Times New Roman"/>
          <w:sz w:val="16"/>
          <w:szCs w:val="16"/>
        </w:rPr>
      </w:pPr>
    </w:p>
    <w:tbl>
      <w:tblPr>
        <w:tblStyle w:val="TableGrid"/>
        <w:tblW w:w="0" w:type="auto"/>
        <w:tblLook w:val="04A0"/>
      </w:tblPr>
      <w:tblGrid>
        <w:gridCol w:w="2875"/>
        <w:gridCol w:w="6475"/>
      </w:tblGrid>
      <w:tr w14:paraId="08EBE767" w14:textId="77777777" w:rsidTr="0076329F">
        <w:tblPrEx>
          <w:tblW w:w="0" w:type="auto"/>
          <w:tblLook w:val="04A0"/>
        </w:tblPrEx>
        <w:tc>
          <w:tcPr>
            <w:tcW w:w="2875" w:type="dxa"/>
            <w:shd w:val="clear" w:color="auto" w:fill="8DB3E2" w:themeFill="text2" w:themeFillTint="66"/>
          </w:tcPr>
          <w:p w:rsidR="0077440A" w:rsidRPr="0076329F" w:rsidP="00EB7E8D" w14:paraId="0C5BB006" w14:textId="77777777">
            <w:pPr>
              <w:jc w:val="center"/>
              <w:rPr>
                <w:rFonts w:ascii="Times New Roman" w:hAnsi="Times New Roman"/>
                <w:b/>
              </w:rPr>
            </w:pPr>
            <w:r w:rsidRPr="0076329F">
              <w:rPr>
                <w:rFonts w:ascii="Times New Roman" w:hAnsi="Times New Roman"/>
                <w:b/>
              </w:rPr>
              <w:t>Customer Experience Drivers</w:t>
            </w:r>
          </w:p>
        </w:tc>
        <w:tc>
          <w:tcPr>
            <w:tcW w:w="6475" w:type="dxa"/>
            <w:shd w:val="clear" w:color="auto" w:fill="8DB3E2" w:themeFill="text2" w:themeFillTint="66"/>
          </w:tcPr>
          <w:p w:rsidR="0076329F" w:rsidRPr="0076329F" w:rsidP="00EB7E8D" w14:paraId="347C9A5E" w14:textId="77777777">
            <w:pPr>
              <w:jc w:val="center"/>
              <w:rPr>
                <w:rFonts w:ascii="Times New Roman" w:hAnsi="Times New Roman"/>
                <w:b/>
                <w:sz w:val="10"/>
                <w:szCs w:val="10"/>
              </w:rPr>
            </w:pPr>
          </w:p>
          <w:p w:rsidR="0077440A" w:rsidRPr="0076329F" w:rsidP="00EB7E8D" w14:paraId="2B3AC6DD" w14:textId="77777777">
            <w:pPr>
              <w:jc w:val="center"/>
              <w:rPr>
                <w:rFonts w:ascii="Times New Roman" w:hAnsi="Times New Roman"/>
                <w:b/>
              </w:rPr>
            </w:pPr>
            <w:r w:rsidRPr="0076329F">
              <w:rPr>
                <w:rFonts w:ascii="Times New Roman" w:hAnsi="Times New Roman"/>
                <w:b/>
              </w:rPr>
              <w:t>Driver Sub-Categories</w:t>
            </w:r>
          </w:p>
        </w:tc>
      </w:tr>
      <w:tr w14:paraId="33030DAC" w14:textId="77777777" w:rsidTr="0076329F">
        <w:tblPrEx>
          <w:tblW w:w="0" w:type="auto"/>
          <w:tblLook w:val="04A0"/>
        </w:tblPrEx>
        <w:trPr>
          <w:trHeight w:val="332"/>
        </w:trPr>
        <w:tc>
          <w:tcPr>
            <w:tcW w:w="2875" w:type="dxa"/>
            <w:vMerge w:val="restart"/>
            <w:vAlign w:val="center"/>
          </w:tcPr>
          <w:p w:rsidR="0077440A" w:rsidRPr="00EE088E" w:rsidP="00EB7E8D" w14:paraId="5D190919" w14:textId="77777777">
            <w:pPr>
              <w:jc w:val="center"/>
              <w:rPr>
                <w:rFonts w:ascii="Times New Roman" w:hAnsi="Times New Roman"/>
                <w:b/>
              </w:rPr>
            </w:pPr>
            <w:r w:rsidRPr="00EE088E">
              <w:rPr>
                <w:rFonts w:ascii="Times New Roman" w:hAnsi="Times New Roman"/>
                <w:b/>
              </w:rPr>
              <w:t>Service Quality</w:t>
            </w:r>
          </w:p>
        </w:tc>
        <w:tc>
          <w:tcPr>
            <w:tcW w:w="6475" w:type="dxa"/>
            <w:shd w:val="clear" w:color="auto" w:fill="DBE5F1" w:themeFill="accent1" w:themeFillTint="33"/>
            <w:vAlign w:val="center"/>
          </w:tcPr>
          <w:p w:rsidR="0077440A" w:rsidRPr="00EE088E" w:rsidP="00EB7E8D" w14:paraId="247EE424"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0D5869BA" w14:textId="77777777" w:rsidTr="0076329F">
        <w:tblPrEx>
          <w:tblW w:w="0" w:type="auto"/>
          <w:tblLook w:val="04A0"/>
        </w:tblPrEx>
        <w:tc>
          <w:tcPr>
            <w:tcW w:w="2875" w:type="dxa"/>
            <w:vMerge/>
            <w:vAlign w:val="center"/>
          </w:tcPr>
          <w:p w:rsidR="0077440A" w:rsidRPr="00EE088E" w:rsidP="00EB7E8D" w14:paraId="17305C19" w14:textId="77777777">
            <w:pPr>
              <w:jc w:val="center"/>
              <w:rPr>
                <w:rFonts w:ascii="Times New Roman" w:hAnsi="Times New Roman"/>
                <w:b/>
              </w:rPr>
            </w:pPr>
          </w:p>
        </w:tc>
        <w:tc>
          <w:tcPr>
            <w:tcW w:w="6475" w:type="dxa"/>
            <w:vAlign w:val="center"/>
          </w:tcPr>
          <w:p w:rsidR="0077440A" w:rsidRPr="00EE088E" w:rsidP="00EB7E8D" w14:paraId="3549F20A"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EB7E8D" w14:paraId="70D743FE"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7C8460F4" w14:textId="77777777" w:rsidTr="0076329F">
        <w:tblPrEx>
          <w:tblW w:w="0" w:type="auto"/>
          <w:tblLook w:val="04A0"/>
        </w:tblPrEx>
        <w:trPr>
          <w:trHeight w:val="323"/>
        </w:trPr>
        <w:tc>
          <w:tcPr>
            <w:tcW w:w="2875" w:type="dxa"/>
            <w:vMerge w:val="restart"/>
            <w:vAlign w:val="center"/>
          </w:tcPr>
          <w:p w:rsidR="0077440A" w:rsidRPr="00EE088E" w:rsidP="00EB7E8D" w14:paraId="13DCC131" w14:textId="77777777">
            <w:pPr>
              <w:jc w:val="center"/>
              <w:rPr>
                <w:rFonts w:ascii="Times New Roman" w:hAnsi="Times New Roman"/>
                <w:b/>
              </w:rPr>
            </w:pPr>
            <w:r w:rsidRPr="00EE088E">
              <w:rPr>
                <w:rFonts w:ascii="Times New Roman" w:hAnsi="Times New Roman"/>
                <w:b/>
              </w:rPr>
              <w:t>Process</w:t>
            </w:r>
          </w:p>
        </w:tc>
        <w:tc>
          <w:tcPr>
            <w:tcW w:w="6475" w:type="dxa"/>
            <w:shd w:val="clear" w:color="auto" w:fill="DBE5F1" w:themeFill="accent1" w:themeFillTint="33"/>
            <w:vAlign w:val="center"/>
          </w:tcPr>
          <w:p w:rsidR="0077440A" w:rsidRPr="00EE088E" w:rsidP="00EB7E8D" w14:paraId="16EC2642" w14:textId="77777777">
            <w:pPr>
              <w:jc w:val="center"/>
              <w:rPr>
                <w:rFonts w:ascii="Times New Roman" w:hAnsi="Times New Roman"/>
                <w:b/>
              </w:rPr>
            </w:pPr>
            <w:r w:rsidRPr="00EE088E">
              <w:rPr>
                <w:rFonts w:ascii="Times New Roman" w:hAnsi="Times New Roman"/>
                <w:b/>
              </w:rPr>
              <w:t>Ease / Simplicity</w:t>
            </w:r>
          </w:p>
        </w:tc>
      </w:tr>
      <w:tr w14:paraId="249A07FD" w14:textId="77777777" w:rsidTr="0076329F">
        <w:tblPrEx>
          <w:tblW w:w="0" w:type="auto"/>
          <w:tblLook w:val="04A0"/>
        </w:tblPrEx>
        <w:tc>
          <w:tcPr>
            <w:tcW w:w="2875" w:type="dxa"/>
            <w:vMerge/>
            <w:vAlign w:val="center"/>
          </w:tcPr>
          <w:p w:rsidR="0077440A" w:rsidRPr="00EE088E" w:rsidP="00EB7E8D" w14:paraId="7D886C92" w14:textId="77777777">
            <w:pPr>
              <w:jc w:val="center"/>
              <w:rPr>
                <w:rFonts w:ascii="Times New Roman" w:hAnsi="Times New Roman"/>
                <w:b/>
              </w:rPr>
            </w:pPr>
          </w:p>
        </w:tc>
        <w:tc>
          <w:tcPr>
            <w:tcW w:w="6475" w:type="dxa"/>
            <w:vAlign w:val="center"/>
          </w:tcPr>
          <w:p w:rsidR="0077440A" w:rsidRPr="00EE088E" w:rsidP="00EB7E8D" w14:paraId="75BA07A9"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EB7E8D" w14:paraId="7CC4CA83" w14:textId="77777777">
            <w:pPr>
              <w:jc w:val="center"/>
              <w:rPr>
                <w:rFonts w:ascii="Times New Roman" w:hAnsi="Times New Roman"/>
                <w:b/>
              </w:rPr>
            </w:pPr>
            <w:r w:rsidRPr="00EE088E">
              <w:rPr>
                <w:rFonts w:ascii="Times New Roman" w:hAnsi="Times New Roman"/>
              </w:rPr>
              <w:t>It was easy to find what I needed.</w:t>
            </w:r>
          </w:p>
        </w:tc>
      </w:tr>
      <w:tr w14:paraId="2B6EDBD0" w14:textId="77777777" w:rsidTr="0076329F">
        <w:tblPrEx>
          <w:tblW w:w="0" w:type="auto"/>
          <w:tblLook w:val="04A0"/>
        </w:tblPrEx>
        <w:trPr>
          <w:trHeight w:val="332"/>
        </w:trPr>
        <w:tc>
          <w:tcPr>
            <w:tcW w:w="2875" w:type="dxa"/>
            <w:vMerge/>
          </w:tcPr>
          <w:p w:rsidR="0077440A" w:rsidRPr="00EE088E" w:rsidP="00EB7E8D" w14:paraId="44314D40" w14:textId="77777777">
            <w:pPr>
              <w:rPr>
                <w:rFonts w:ascii="Times New Roman" w:hAnsi="Times New Roman"/>
                <w:i/>
              </w:rPr>
            </w:pPr>
          </w:p>
        </w:tc>
        <w:tc>
          <w:tcPr>
            <w:tcW w:w="6475" w:type="dxa"/>
            <w:shd w:val="clear" w:color="auto" w:fill="DBE5F1" w:themeFill="accent1" w:themeFillTint="33"/>
            <w:vAlign w:val="center"/>
          </w:tcPr>
          <w:p w:rsidR="0077440A" w:rsidRPr="00EE088E" w:rsidP="00EB7E8D" w14:paraId="326D7002" w14:textId="77777777">
            <w:pPr>
              <w:jc w:val="center"/>
              <w:rPr>
                <w:rFonts w:ascii="Times New Roman" w:hAnsi="Times New Roman"/>
                <w:b/>
              </w:rPr>
            </w:pPr>
            <w:r w:rsidRPr="00EE088E">
              <w:rPr>
                <w:rFonts w:ascii="Times New Roman" w:hAnsi="Times New Roman"/>
                <w:b/>
              </w:rPr>
              <w:t>Efficiency / Speed</w:t>
            </w:r>
          </w:p>
        </w:tc>
      </w:tr>
      <w:tr w14:paraId="5359A2A0" w14:textId="77777777" w:rsidTr="0076329F">
        <w:tblPrEx>
          <w:tblW w:w="0" w:type="auto"/>
          <w:tblLook w:val="04A0"/>
        </w:tblPrEx>
        <w:tc>
          <w:tcPr>
            <w:tcW w:w="2875" w:type="dxa"/>
            <w:vMerge/>
          </w:tcPr>
          <w:p w:rsidR="0077440A" w:rsidRPr="00EE088E" w:rsidP="00EB7E8D" w14:paraId="56F3814B" w14:textId="77777777">
            <w:pPr>
              <w:jc w:val="center"/>
              <w:rPr>
                <w:rFonts w:ascii="Times New Roman" w:hAnsi="Times New Roman"/>
                <w:b/>
              </w:rPr>
            </w:pPr>
          </w:p>
        </w:tc>
        <w:tc>
          <w:tcPr>
            <w:tcW w:w="6475" w:type="dxa"/>
            <w:vAlign w:val="center"/>
          </w:tcPr>
          <w:p w:rsidR="0077440A" w:rsidRPr="00EE088E" w:rsidP="00EB7E8D" w14:paraId="56B40611"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24FD5738" w14:textId="77777777" w:rsidTr="0076329F">
        <w:tblPrEx>
          <w:tblW w:w="0" w:type="auto"/>
          <w:tblLook w:val="04A0"/>
        </w:tblPrEx>
        <w:trPr>
          <w:trHeight w:val="323"/>
        </w:trPr>
        <w:tc>
          <w:tcPr>
            <w:tcW w:w="2875" w:type="dxa"/>
            <w:vMerge/>
          </w:tcPr>
          <w:p w:rsidR="0077440A" w:rsidRPr="00EE088E" w:rsidP="00EB7E8D" w14:paraId="30C0B5E8" w14:textId="77777777">
            <w:pPr>
              <w:rPr>
                <w:rFonts w:ascii="Times New Roman" w:hAnsi="Times New Roman"/>
                <w:i/>
              </w:rPr>
            </w:pPr>
          </w:p>
        </w:tc>
        <w:tc>
          <w:tcPr>
            <w:tcW w:w="6475" w:type="dxa"/>
            <w:shd w:val="clear" w:color="auto" w:fill="DBE5F1" w:themeFill="accent1" w:themeFillTint="33"/>
          </w:tcPr>
          <w:p w:rsidR="0077440A" w:rsidRPr="00EE088E" w:rsidP="00EB7E8D" w14:paraId="6C0F60B1" w14:textId="77777777">
            <w:pPr>
              <w:jc w:val="center"/>
              <w:rPr>
                <w:rFonts w:ascii="Times New Roman" w:hAnsi="Times New Roman"/>
                <w:b/>
              </w:rPr>
            </w:pPr>
            <w:r w:rsidRPr="00EE088E">
              <w:rPr>
                <w:rFonts w:ascii="Times New Roman" w:hAnsi="Times New Roman"/>
                <w:b/>
              </w:rPr>
              <w:t>Equity / Transparency</w:t>
            </w:r>
          </w:p>
        </w:tc>
      </w:tr>
      <w:tr w14:paraId="5CFE84A5" w14:textId="77777777" w:rsidTr="0076329F">
        <w:tblPrEx>
          <w:tblW w:w="0" w:type="auto"/>
          <w:tblLook w:val="04A0"/>
        </w:tblPrEx>
        <w:tc>
          <w:tcPr>
            <w:tcW w:w="2875" w:type="dxa"/>
            <w:vMerge/>
          </w:tcPr>
          <w:p w:rsidR="0077440A" w:rsidRPr="00EE088E" w:rsidP="00EB7E8D" w14:paraId="2607CEFF" w14:textId="77777777">
            <w:pPr>
              <w:jc w:val="center"/>
              <w:rPr>
                <w:rFonts w:ascii="Times New Roman" w:hAnsi="Times New Roman"/>
                <w:b/>
              </w:rPr>
            </w:pPr>
          </w:p>
        </w:tc>
        <w:tc>
          <w:tcPr>
            <w:tcW w:w="6475" w:type="dxa"/>
          </w:tcPr>
          <w:p w:rsidR="0077440A" w:rsidRPr="00EE088E" w:rsidP="00EB7E8D" w14:paraId="149CC356"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97258FB" w14:textId="77777777" w:rsidTr="0076329F">
        <w:tblPrEx>
          <w:tblW w:w="0" w:type="auto"/>
          <w:tblLook w:val="04A0"/>
        </w:tblPrEx>
        <w:trPr>
          <w:trHeight w:val="332"/>
        </w:trPr>
        <w:tc>
          <w:tcPr>
            <w:tcW w:w="2875" w:type="dxa"/>
            <w:vMerge w:val="restart"/>
            <w:vAlign w:val="center"/>
          </w:tcPr>
          <w:p w:rsidR="0077440A" w:rsidRPr="00EE088E" w:rsidP="00EB7E8D" w14:paraId="2B3395F2" w14:textId="77777777">
            <w:pPr>
              <w:jc w:val="center"/>
              <w:rPr>
                <w:rFonts w:ascii="Times New Roman" w:hAnsi="Times New Roman"/>
                <w:b/>
              </w:rPr>
            </w:pPr>
            <w:r w:rsidRPr="00EE088E">
              <w:rPr>
                <w:rFonts w:ascii="Times New Roman" w:hAnsi="Times New Roman"/>
                <w:b/>
              </w:rPr>
              <w:t>People</w:t>
            </w:r>
          </w:p>
          <w:p w:rsidR="0077440A" w:rsidRPr="00EE088E" w:rsidP="00EB7E8D" w14:paraId="750C1CE2" w14:textId="77777777">
            <w:pPr>
              <w:jc w:val="center"/>
              <w:rPr>
                <w:rFonts w:ascii="Times New Roman" w:hAnsi="Times New Roman"/>
                <w:i/>
              </w:rPr>
            </w:pPr>
            <w:r w:rsidRPr="00EE088E">
              <w:rPr>
                <w:rFonts w:ascii="Times New Roman" w:hAnsi="Times New Roman"/>
                <w:i/>
              </w:rPr>
              <w:t>(If applicable for a transaction)</w:t>
            </w:r>
          </w:p>
        </w:tc>
        <w:tc>
          <w:tcPr>
            <w:tcW w:w="6475" w:type="dxa"/>
            <w:shd w:val="clear" w:color="auto" w:fill="DBE5F1" w:themeFill="accent1" w:themeFillTint="33"/>
          </w:tcPr>
          <w:p w:rsidR="0077440A" w:rsidRPr="00EE088E" w:rsidP="00EB7E8D" w14:paraId="6CBCFE3D"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0046B245" w14:textId="77777777" w:rsidTr="0076329F">
        <w:tblPrEx>
          <w:tblW w:w="0" w:type="auto"/>
          <w:tblLook w:val="04A0"/>
        </w:tblPrEx>
        <w:trPr>
          <w:trHeight w:val="620"/>
        </w:trPr>
        <w:tc>
          <w:tcPr>
            <w:tcW w:w="2875" w:type="dxa"/>
            <w:vMerge/>
          </w:tcPr>
          <w:p w:rsidR="0077440A" w:rsidRPr="00EE088E" w:rsidP="00EB7E8D" w14:paraId="22CC618A" w14:textId="77777777">
            <w:pPr>
              <w:rPr>
                <w:rFonts w:ascii="Times New Roman" w:hAnsi="Times New Roman"/>
                <w:i/>
              </w:rPr>
            </w:pPr>
          </w:p>
        </w:tc>
        <w:tc>
          <w:tcPr>
            <w:tcW w:w="6475" w:type="dxa"/>
          </w:tcPr>
          <w:p w:rsidR="0077440A" w:rsidRPr="00EE088E" w:rsidP="00EB7E8D" w14:paraId="15C6A222"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9E3C86" w:rsidP="0077440A" w14:paraId="3331B238" w14:textId="77777777">
      <w:pPr>
        <w:jc w:val="both"/>
        <w:rPr>
          <w:rFonts w:ascii="Times New Roman" w:hAnsi="Times New Roman"/>
          <w:sz w:val="16"/>
          <w:szCs w:val="16"/>
        </w:rPr>
      </w:pPr>
    </w:p>
    <w:p w:rsidR="0077440A" w:rsidRPr="00EE088E" w:rsidP="009E3C86" w14:paraId="148EEE2E" w14:textId="77777777">
      <w:pPr>
        <w:spacing w:line="276" w:lineRule="auto"/>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9E3C86" w14:paraId="4A5428C9" w14:textId="77777777">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r w:rsidR="009E3C86">
        <w:rPr>
          <w:rFonts w:ascii="Times New Roman" w:hAnsi="Times New Roman"/>
        </w:rPr>
        <w:t>.</w:t>
      </w:r>
    </w:p>
    <w:p w:rsidR="0077440A" w:rsidRPr="00EE088E" w:rsidP="009E3C86" w14:paraId="19AD8B34" w14:textId="77777777">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A </w:t>
      </w:r>
      <w:r w:rsidRPr="00EE088E" w:rsidR="00353F23">
        <w:rPr>
          <w:rFonts w:ascii="Times New Roman" w:hAnsi="Times New Roman"/>
        </w:rPr>
        <w:t>multiple-choice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r w:rsidR="009E3C86">
        <w:rPr>
          <w:rFonts w:ascii="Times New Roman" w:hAnsi="Times New Roman"/>
        </w:rPr>
        <w:t>.</w:t>
      </w:r>
    </w:p>
    <w:p w:rsidR="0077440A" w:rsidRPr="00EE088E" w:rsidP="009E3C86" w14:paraId="31C1F7BF" w14:textId="77777777">
      <w:pPr>
        <w:pStyle w:val="ListParagraph"/>
        <w:numPr>
          <w:ilvl w:val="0"/>
          <w:numId w:val="19"/>
        </w:numPr>
        <w:spacing w:line="276" w:lineRule="auto"/>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r w:rsidR="009E3C86">
        <w:rPr>
          <w:rFonts w:ascii="Times New Roman" w:hAnsi="Times New Roman"/>
        </w:rPr>
        <w:t>.</w:t>
      </w:r>
    </w:p>
    <w:p w:rsidR="0077440A" w:rsidRPr="009E3C86" w:rsidP="0077440A" w14:paraId="794A3A84" w14:textId="77777777">
      <w:pPr>
        <w:pStyle w:val="BodyText"/>
        <w:ind w:left="720"/>
        <w:rPr>
          <w:b w:val="0"/>
          <w:sz w:val="16"/>
          <w:szCs w:val="16"/>
        </w:rPr>
      </w:pPr>
    </w:p>
    <w:p w:rsidR="00E15CE1" w:rsidP="00E15CE1" w14:paraId="2FB3DBE1" w14:textId="77777777">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22071F61" w14:textId="77777777">
      <w:pPr>
        <w:pStyle w:val="BodyText"/>
        <w:ind w:left="720"/>
        <w:rPr>
          <w:b w:val="0"/>
          <w:sz w:val="24"/>
          <w:szCs w:val="24"/>
        </w:rPr>
      </w:pPr>
    </w:p>
    <w:p w:rsidR="00E03202" w:rsidP="00E03202" w14:paraId="064BA183" w14:textId="77777777">
      <w:pPr>
        <w:pStyle w:val="BodyText"/>
        <w:ind w:left="720"/>
        <w:rPr>
          <w:b w:val="0"/>
          <w:sz w:val="24"/>
          <w:szCs w:val="24"/>
        </w:rPr>
      </w:pPr>
      <w:r>
        <w:rPr>
          <w:b w:val="0"/>
          <w:sz w:val="24"/>
          <w:szCs w:val="24"/>
        </w:rPr>
        <w:t>In an effort to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RPr="009E3C86" w:rsidP="00BD1E9D" w14:paraId="1E7FC6D4" w14:textId="77777777">
      <w:pPr>
        <w:pStyle w:val="BodyText"/>
        <w:ind w:left="720"/>
        <w:rPr>
          <w:b w:val="0"/>
          <w:sz w:val="16"/>
          <w:szCs w:val="16"/>
        </w:rPr>
      </w:pPr>
    </w:p>
    <w:p w:rsidR="00C25189" w:rsidRPr="00271C21" w:rsidP="00E03EA0" w14:paraId="26FB7B40"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r w:rsidR="00353F23">
        <w:rPr>
          <w:b w:val="0"/>
          <w:sz w:val="24"/>
          <w:szCs w:val="24"/>
        </w:rPr>
        <w:t>update,</w:t>
      </w:r>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RPr="009E3C86" w:rsidP="00E03EA0" w14:paraId="18B3FDA0" w14:textId="77777777">
      <w:pPr>
        <w:pStyle w:val="BodyText"/>
        <w:rPr>
          <w:b w:val="0"/>
          <w:sz w:val="16"/>
          <w:szCs w:val="16"/>
        </w:rPr>
      </w:pPr>
    </w:p>
    <w:p w:rsidR="00A22BD9" w:rsidRPr="00A22BD9" w:rsidP="00A22BD9" w14:paraId="4C159F84"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9E3C86" w:rsidP="00A22BD9" w14:paraId="74957439" w14:textId="77777777">
      <w:pPr>
        <w:pStyle w:val="BodyText"/>
        <w:ind w:left="720"/>
        <w:rPr>
          <w:b w:val="0"/>
          <w:sz w:val="16"/>
          <w:szCs w:val="16"/>
        </w:rPr>
      </w:pPr>
    </w:p>
    <w:p w:rsidR="00FC38C8" w:rsidRPr="00FC38C8" w:rsidP="00FC38C8" w14:paraId="2498B6C7"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sidR="00353F23">
        <w:rPr>
          <w:rFonts w:ascii="Times New Roman" w:hAnsi="Times New Roman"/>
          <w:szCs w:val="24"/>
        </w:rPr>
        <w:t>voluntary.</w:t>
      </w:r>
    </w:p>
    <w:p w:rsidR="00FC38C8" w:rsidRPr="00FC38C8" w:rsidP="00B13B0A" w14:paraId="11A8C4BE"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sidR="00353F23">
        <w:rPr>
          <w:rFonts w:ascii="Times New Roman" w:hAnsi="Times New Roman"/>
          <w:szCs w:val="24"/>
        </w:rPr>
        <w:t>Government.</w:t>
      </w:r>
    </w:p>
    <w:p w:rsidR="00FC38C8" w:rsidRPr="00FC38C8" w:rsidP="00B13B0A" w14:paraId="12905557"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sidR="00353F23">
        <w:rPr>
          <w:rFonts w:ascii="Times New Roman" w:hAnsi="Times New Roman"/>
          <w:szCs w:val="24"/>
        </w:rPr>
        <w:t>agencies.</w:t>
      </w:r>
    </w:p>
    <w:p w:rsidR="00FC38C8" w:rsidRPr="00FC38C8" w:rsidP="00B13B0A" w14:paraId="46269371"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sidR="00353F23">
        <w:rPr>
          <w:rFonts w:ascii="Times New Roman" w:hAnsi="Times New Roman"/>
          <w:szCs w:val="24"/>
        </w:rPr>
        <w:t>future.</w:t>
      </w:r>
    </w:p>
    <w:p w:rsidR="00FC38C8" w:rsidRPr="00FC38C8" w:rsidP="00B13B0A" w14:paraId="50F32FAA"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Personally </w:t>
      </w:r>
      <w:r>
        <w:rPr>
          <w:rFonts w:ascii="Times New Roman" w:hAnsi="Times New Roman"/>
          <w:szCs w:val="24"/>
        </w:rPr>
        <w:t>I</w:t>
      </w:r>
      <w:r w:rsidRPr="00FC38C8">
        <w:rPr>
          <w:rFonts w:ascii="Times New Roman" w:hAnsi="Times New Roman"/>
          <w:szCs w:val="24"/>
        </w:rPr>
        <w:t xml:space="preserve">dentifiable </w:t>
      </w:r>
      <w:r>
        <w:rPr>
          <w:rFonts w:ascii="Times New Roman" w:hAnsi="Times New Roman"/>
          <w:szCs w:val="24"/>
        </w:rPr>
        <w:t>I</w:t>
      </w:r>
      <w:r w:rsidRPr="00FC38C8">
        <w:rPr>
          <w:rFonts w:ascii="Times New Roman" w:hAnsi="Times New Roman"/>
          <w:szCs w:val="24"/>
        </w:rPr>
        <w:t>nformation (PII) is collected only to the extent necessary and is not retained.</w:t>
      </w:r>
    </w:p>
    <w:p w:rsidR="00FC38C8" w:rsidRPr="00FC38C8" w:rsidP="00B13B0A" w14:paraId="1C786FE4"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B13B0A" w14:paraId="53693D37"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B13B0A" w14:paraId="075E5A73"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Additional release of data must be done coordinated with OMB.</w:t>
      </w:r>
    </w:p>
    <w:p w:rsidR="00BD1E9D" w:rsidRPr="009E3C86" w14:paraId="49C09DBB" w14:textId="77777777">
      <w:pPr>
        <w:tabs>
          <w:tab w:val="left" w:pos="-720"/>
        </w:tabs>
        <w:suppressAutoHyphens/>
        <w:rPr>
          <w:rFonts w:ascii="Times New Roman" w:hAnsi="Times New Roman"/>
          <w:sz w:val="16"/>
          <w:szCs w:val="16"/>
        </w:rPr>
      </w:pPr>
    </w:p>
    <w:p w:rsidR="00751AE8" w:rsidP="00B927B8" w14:paraId="7D6FF25C"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RPr="009E3C86" w:rsidP="00B927B8" w14:paraId="4AB1B50C" w14:textId="77777777">
      <w:pPr>
        <w:ind w:left="720"/>
        <w:rPr>
          <w:rFonts w:ascii="Times New Roman" w:hAnsi="Times New Roman"/>
          <w:sz w:val="16"/>
          <w:szCs w:val="16"/>
        </w:rPr>
      </w:pPr>
    </w:p>
    <w:p w:rsidR="00B927B8" w:rsidP="00B927B8" w14:paraId="1E7B707E" w14:textId="77777777">
      <w:pPr>
        <w:ind w:left="720"/>
        <w:rPr>
          <w:rFonts w:ascii="Times New Roman" w:hAnsi="Times New Roman"/>
        </w:rPr>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E3396F" w:rsidP="00E3396F" w14:paraId="0097512B" w14:textId="77777777">
      <w:pPr>
        <w:rPr>
          <w:rFonts w:ascii="Times New Roman" w:hAnsi="Times New Roman"/>
        </w:rPr>
      </w:pPr>
    </w:p>
    <w:p w:rsidR="00E3396F" w:rsidRPr="00E3396F" w:rsidP="00E3396F" w14:paraId="4811855C" w14:textId="77777777">
      <w:pPr>
        <w:spacing w:after="200" w:line="276" w:lineRule="auto"/>
        <w:rPr>
          <w:rFonts w:ascii="Times New Roman" w:eastAsia="Calibri" w:hAnsi="Times New Roman"/>
          <w:szCs w:val="24"/>
        </w:rPr>
      </w:pPr>
      <w:r>
        <w:rPr>
          <w:rFonts w:ascii="Times New Roman" w:eastAsia="Calibri" w:hAnsi="Times New Roman"/>
          <w:szCs w:val="24"/>
        </w:rPr>
        <w:t>T</w:t>
      </w:r>
      <w:r w:rsidRPr="00E3396F">
        <w:rPr>
          <w:rFonts w:ascii="Times New Roman" w:eastAsia="Calibri" w:hAnsi="Times New Roman"/>
          <w:szCs w:val="24"/>
        </w:rPr>
        <w:t xml:space="preserve">he following </w:t>
      </w:r>
      <w:r>
        <w:rPr>
          <w:rFonts w:ascii="Times New Roman" w:eastAsia="Calibri" w:hAnsi="Times New Roman"/>
          <w:szCs w:val="24"/>
        </w:rPr>
        <w:t>Agency</w:t>
      </w:r>
      <w:r w:rsidRPr="00E3396F">
        <w:rPr>
          <w:rFonts w:ascii="Times New Roman" w:eastAsia="Calibri" w:hAnsi="Times New Roman"/>
          <w:szCs w:val="24"/>
        </w:rPr>
        <w:t xml:space="preserve"> Bureaus and offices will be authorized to use this Generic Clearance: </w:t>
      </w:r>
    </w:p>
    <w:p w:rsidR="00E3396F" w:rsidRPr="00E3396F" w:rsidP="00E3396F" w14:paraId="6335F0BD" w14:textId="77777777">
      <w:pPr>
        <w:spacing w:after="200" w:line="276" w:lineRule="auto"/>
        <w:rPr>
          <w:rFonts w:ascii="Times New Roman" w:eastAsia="Calibri" w:hAnsi="Times New Roman"/>
          <w:szCs w:val="24"/>
        </w:rPr>
      </w:pPr>
      <w:hyperlink r:id="rId9" w:history="1">
        <w:r w:rsidRPr="00E3396F">
          <w:rPr>
            <w:rFonts w:ascii="Times New Roman" w:eastAsia="Calibri" w:hAnsi="Times New Roman"/>
            <w:szCs w:val="24"/>
          </w:rPr>
          <w:t>Bureau of Industry and Security</w:t>
        </w:r>
      </w:hyperlink>
      <w:r w:rsidRPr="00E3396F">
        <w:rPr>
          <w:rFonts w:ascii="Times New Roman" w:eastAsia="Calibri" w:hAnsi="Times New Roman"/>
          <w:szCs w:val="24"/>
        </w:rPr>
        <w:t xml:space="preserve"> (BIS)</w:t>
      </w:r>
      <w:r>
        <w:rPr>
          <w:rFonts w:ascii="Times New Roman" w:eastAsia="Calibri" w:hAnsi="Times New Roman"/>
          <w:szCs w:val="24"/>
        </w:rPr>
        <w:t xml:space="preserve">; </w:t>
      </w:r>
      <w:hyperlink r:id="rId10" w:history="1">
        <w:r w:rsidRPr="00E3396F">
          <w:rPr>
            <w:rFonts w:ascii="Times New Roman" w:eastAsia="Calibri" w:hAnsi="Times New Roman"/>
            <w:szCs w:val="24"/>
          </w:rPr>
          <w:t>U.S. Census Bureau</w:t>
        </w:r>
      </w:hyperlink>
      <w:r w:rsidRPr="00E3396F">
        <w:rPr>
          <w:rFonts w:ascii="Times New Roman" w:eastAsia="Calibri" w:hAnsi="Times New Roman"/>
          <w:szCs w:val="24"/>
        </w:rPr>
        <w:t xml:space="preserve"> (Census)</w:t>
      </w:r>
      <w:r>
        <w:rPr>
          <w:rFonts w:ascii="Times New Roman" w:eastAsia="Calibri" w:hAnsi="Times New Roman"/>
          <w:szCs w:val="24"/>
        </w:rPr>
        <w:t xml:space="preserve">; </w:t>
      </w:r>
      <w:hyperlink r:id="rId11" w:history="1">
        <w:r w:rsidRPr="00E3396F">
          <w:rPr>
            <w:rFonts w:ascii="Times New Roman" w:eastAsia="Calibri" w:hAnsi="Times New Roman"/>
            <w:szCs w:val="24"/>
          </w:rPr>
          <w:t>Economic Development Administration</w:t>
        </w:r>
      </w:hyperlink>
      <w:r w:rsidRPr="00E3396F">
        <w:rPr>
          <w:rFonts w:ascii="Times New Roman" w:eastAsia="Calibri" w:hAnsi="Times New Roman"/>
          <w:szCs w:val="24"/>
        </w:rPr>
        <w:t xml:space="preserve"> (EDA)</w:t>
      </w:r>
      <w:r>
        <w:rPr>
          <w:rFonts w:ascii="Times New Roman" w:eastAsia="Calibri" w:hAnsi="Times New Roman"/>
          <w:szCs w:val="24"/>
        </w:rPr>
        <w:t xml:space="preserve">; </w:t>
      </w:r>
      <w:hyperlink r:id="rId12" w:history="1">
        <w:r w:rsidRPr="00E3396F">
          <w:rPr>
            <w:rFonts w:ascii="Times New Roman" w:eastAsia="Calibri" w:hAnsi="Times New Roman"/>
            <w:szCs w:val="24"/>
          </w:rPr>
          <w:t>Economics and Statistics Administration</w:t>
        </w:r>
      </w:hyperlink>
      <w:r w:rsidRPr="00E3396F">
        <w:rPr>
          <w:rFonts w:ascii="Times New Roman" w:eastAsia="Calibri" w:hAnsi="Times New Roman"/>
          <w:szCs w:val="24"/>
        </w:rPr>
        <w:t xml:space="preserve"> (ESA)</w:t>
      </w:r>
      <w:r>
        <w:rPr>
          <w:rFonts w:ascii="Times New Roman" w:eastAsia="Calibri" w:hAnsi="Times New Roman"/>
          <w:szCs w:val="24"/>
        </w:rPr>
        <w:t xml:space="preserve">; </w:t>
      </w:r>
      <w:hyperlink r:id="rId13" w:history="1">
        <w:r w:rsidRPr="00E3396F">
          <w:rPr>
            <w:rFonts w:ascii="Times New Roman" w:eastAsia="Calibri" w:hAnsi="Times New Roman"/>
            <w:szCs w:val="24"/>
          </w:rPr>
          <w:t>International Trade Administration</w:t>
        </w:r>
      </w:hyperlink>
      <w:r w:rsidRPr="00E3396F">
        <w:rPr>
          <w:rFonts w:ascii="Times New Roman" w:eastAsia="Calibri" w:hAnsi="Times New Roman"/>
          <w:szCs w:val="24"/>
        </w:rPr>
        <w:t xml:space="preserve"> (ITA)</w:t>
      </w:r>
      <w:r>
        <w:rPr>
          <w:rFonts w:ascii="Times New Roman" w:eastAsia="Calibri" w:hAnsi="Times New Roman"/>
          <w:szCs w:val="24"/>
        </w:rPr>
        <w:t xml:space="preserve">; </w:t>
      </w:r>
      <w:hyperlink r:id="rId14" w:history="1">
        <w:r w:rsidRPr="00E3396F">
          <w:rPr>
            <w:rFonts w:ascii="Times New Roman" w:eastAsia="Calibri" w:hAnsi="Times New Roman"/>
            <w:szCs w:val="24"/>
          </w:rPr>
          <w:t>Minority Business Development Agency</w:t>
        </w:r>
      </w:hyperlink>
      <w:r w:rsidRPr="00E3396F">
        <w:rPr>
          <w:rFonts w:ascii="Times New Roman" w:eastAsia="Calibri" w:hAnsi="Times New Roman"/>
          <w:szCs w:val="24"/>
        </w:rPr>
        <w:t xml:space="preserve"> (MBDA)</w:t>
      </w:r>
      <w:r>
        <w:rPr>
          <w:rFonts w:ascii="Times New Roman" w:eastAsia="Calibri" w:hAnsi="Times New Roman"/>
          <w:szCs w:val="24"/>
        </w:rPr>
        <w:t xml:space="preserve">; </w:t>
      </w:r>
      <w:hyperlink r:id="rId15" w:history="1">
        <w:r w:rsidRPr="00E3396F">
          <w:rPr>
            <w:rFonts w:ascii="Times New Roman" w:eastAsia="Calibri" w:hAnsi="Times New Roman"/>
            <w:szCs w:val="24"/>
          </w:rPr>
          <w:t>National Institute of Standards and Technology</w:t>
        </w:r>
      </w:hyperlink>
      <w:r w:rsidRPr="00E3396F">
        <w:rPr>
          <w:rFonts w:ascii="Times New Roman" w:eastAsia="Calibri" w:hAnsi="Times New Roman"/>
          <w:szCs w:val="24"/>
        </w:rPr>
        <w:t xml:space="preserve"> (NIST)</w:t>
      </w:r>
      <w:r>
        <w:rPr>
          <w:rFonts w:ascii="Times New Roman" w:eastAsia="Calibri" w:hAnsi="Times New Roman"/>
          <w:szCs w:val="24"/>
        </w:rPr>
        <w:t xml:space="preserve">; </w:t>
      </w:r>
      <w:hyperlink r:id="rId16" w:history="1">
        <w:r w:rsidRPr="00E3396F">
          <w:rPr>
            <w:rFonts w:ascii="Times New Roman" w:eastAsia="Calibri" w:hAnsi="Times New Roman"/>
            <w:szCs w:val="24"/>
          </w:rPr>
          <w:t>National Technical Information Service</w:t>
        </w:r>
      </w:hyperlink>
      <w:r w:rsidRPr="00E3396F">
        <w:rPr>
          <w:rFonts w:ascii="Times New Roman" w:eastAsia="Calibri" w:hAnsi="Times New Roman"/>
          <w:szCs w:val="24"/>
        </w:rPr>
        <w:t xml:space="preserve"> (NTIS)</w:t>
      </w:r>
      <w:r>
        <w:rPr>
          <w:rFonts w:ascii="Times New Roman" w:eastAsia="Calibri" w:hAnsi="Times New Roman"/>
          <w:szCs w:val="24"/>
        </w:rPr>
        <w:t xml:space="preserve">; </w:t>
      </w:r>
      <w:hyperlink r:id="rId17" w:history="1">
        <w:r w:rsidRPr="00E3396F">
          <w:rPr>
            <w:rFonts w:ascii="Times New Roman" w:eastAsia="Calibri" w:hAnsi="Times New Roman"/>
            <w:szCs w:val="24"/>
          </w:rPr>
          <w:t>National Telecommunications and Information Administration</w:t>
        </w:r>
      </w:hyperlink>
      <w:r w:rsidRPr="00E3396F">
        <w:rPr>
          <w:rFonts w:ascii="Times New Roman" w:eastAsia="Calibri" w:hAnsi="Times New Roman"/>
          <w:szCs w:val="24"/>
        </w:rPr>
        <w:t xml:space="preserve"> (NTIA)</w:t>
      </w:r>
      <w:r>
        <w:rPr>
          <w:rFonts w:ascii="Times New Roman" w:eastAsia="Calibri" w:hAnsi="Times New Roman"/>
          <w:szCs w:val="24"/>
        </w:rPr>
        <w:t>;</w:t>
      </w:r>
      <w:r w:rsidR="009D75F8">
        <w:rPr>
          <w:rFonts w:ascii="Times New Roman" w:eastAsia="Calibri" w:hAnsi="Times New Roman"/>
          <w:szCs w:val="24"/>
        </w:rPr>
        <w:t xml:space="preserve"> Office of the Under Secretary of Economic Affairs (OUSEA),</w:t>
      </w:r>
      <w:r>
        <w:rPr>
          <w:rFonts w:ascii="Times New Roman" w:eastAsia="Calibri" w:hAnsi="Times New Roman"/>
          <w:szCs w:val="24"/>
        </w:rPr>
        <w:t xml:space="preserve"> </w:t>
      </w:r>
      <w:hyperlink r:id="rId18" w:history="1">
        <w:r w:rsidRPr="00E3396F">
          <w:rPr>
            <w:rFonts w:ascii="Times New Roman" w:eastAsia="Calibri" w:hAnsi="Times New Roman"/>
            <w:szCs w:val="24"/>
          </w:rPr>
          <w:t>United States Patent and Trademark Office</w:t>
        </w:r>
      </w:hyperlink>
      <w:r w:rsidRPr="00E3396F">
        <w:rPr>
          <w:rFonts w:ascii="Times New Roman" w:eastAsia="Calibri" w:hAnsi="Times New Roman"/>
          <w:szCs w:val="24"/>
        </w:rPr>
        <w:t xml:space="preserve"> (USPTO)</w:t>
      </w:r>
      <w:r>
        <w:rPr>
          <w:rFonts w:ascii="Times New Roman" w:eastAsia="Calibri" w:hAnsi="Times New Roman"/>
          <w:szCs w:val="24"/>
        </w:rPr>
        <w:t xml:space="preserve">; and the </w:t>
      </w:r>
      <w:hyperlink r:id="rId19" w:history="1">
        <w:r w:rsidRPr="00E3396F">
          <w:rPr>
            <w:rFonts w:ascii="Times New Roman" w:eastAsia="Calibri" w:hAnsi="Times New Roman"/>
            <w:szCs w:val="24"/>
          </w:rPr>
          <w:t>Office of the Secretary</w:t>
        </w:r>
      </w:hyperlink>
      <w:r w:rsidRPr="00E3396F">
        <w:rPr>
          <w:rFonts w:ascii="Times New Roman" w:eastAsia="Calibri" w:hAnsi="Times New Roman"/>
          <w:szCs w:val="24"/>
        </w:rPr>
        <w:t xml:space="preserve"> (OS)</w:t>
      </w:r>
      <w:r>
        <w:rPr>
          <w:rFonts w:ascii="Times New Roman" w:eastAsia="Calibri" w:hAnsi="Times New Roman"/>
          <w:szCs w:val="24"/>
        </w:rPr>
        <w:t>.</w:t>
      </w:r>
    </w:p>
    <w:p w:rsidR="008E7775" w:rsidP="008E7775" w14:paraId="2761718E" w14:textId="77777777">
      <w:pPr>
        <w:tabs>
          <w:tab w:val="left" w:pos="-720"/>
        </w:tabs>
        <w:suppressAutoHyphens/>
        <w:rPr>
          <w:rFonts w:ascii="Times New Roman" w:hAnsi="Times New Roman"/>
          <w:b/>
          <w:szCs w:val="24"/>
        </w:rPr>
      </w:pPr>
      <w:r>
        <w:rPr>
          <w:rFonts w:ascii="Times New Roman" w:hAnsi="Times New Roman"/>
          <w:b/>
          <w:szCs w:val="24"/>
        </w:rPr>
        <w:t xml:space="preserve">3. </w:t>
      </w:r>
      <w:r w:rsidR="00A128F0">
        <w:rPr>
          <w:rFonts w:ascii="Times New Roman" w:hAnsi="Times New Roman"/>
          <w:b/>
          <w:szCs w:val="24"/>
        </w:rPr>
        <w:t xml:space="preserve"> </w:t>
      </w:r>
      <w:r w:rsidRPr="008E7775" w:rsidR="00386054">
        <w:rPr>
          <w:rFonts w:ascii="Times New Roman" w:hAnsi="Times New Roman"/>
          <w:b/>
          <w:szCs w:val="24"/>
        </w:rPr>
        <w:t xml:space="preserve">Describe whether, and to what extent, the collection of information involves the use of </w:t>
      </w:r>
    </w:p>
    <w:p w:rsidR="008E7775" w:rsidP="008E7775" w14:paraId="604E27D4" w14:textId="77777777">
      <w:pPr>
        <w:tabs>
          <w:tab w:val="left" w:pos="-720"/>
        </w:tabs>
        <w:suppressAutoHyphens/>
        <w:rPr>
          <w:rFonts w:ascii="Times New Roman" w:hAnsi="Times New Roman"/>
          <w:b/>
          <w:szCs w:val="24"/>
        </w:rPr>
      </w:pPr>
      <w:r>
        <w:rPr>
          <w:rFonts w:ascii="Times New Roman" w:hAnsi="Times New Roman"/>
          <w:b/>
          <w:szCs w:val="24"/>
        </w:rPr>
        <w:t xml:space="preserve">    </w:t>
      </w:r>
      <w:r w:rsidR="00A128F0">
        <w:rPr>
          <w:rFonts w:ascii="Times New Roman" w:hAnsi="Times New Roman"/>
          <w:b/>
          <w:szCs w:val="24"/>
        </w:rPr>
        <w:t xml:space="preserve"> </w:t>
      </w:r>
      <w:r w:rsidRPr="008E7775" w:rsidR="00386054">
        <w:rPr>
          <w:rFonts w:ascii="Times New Roman" w:hAnsi="Times New Roman"/>
          <w:b/>
          <w:szCs w:val="24"/>
        </w:rPr>
        <w:t xml:space="preserve">automated, electronic, mechanical, or other technological collection techniques or forms </w:t>
      </w:r>
      <w:r>
        <w:rPr>
          <w:rFonts w:ascii="Times New Roman" w:hAnsi="Times New Roman"/>
          <w:b/>
          <w:szCs w:val="24"/>
        </w:rPr>
        <w:t xml:space="preserve"> </w:t>
      </w:r>
    </w:p>
    <w:p w:rsidR="00A128F0" w:rsidP="008E7775" w14:paraId="315AE8A7"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of information technology, e.g. permitting electronic submission of responses, and the</w:t>
      </w:r>
    </w:p>
    <w:p w:rsidR="00A128F0" w:rsidP="008E7775" w14:paraId="079C1315"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 xml:space="preserve"> </w:t>
      </w:r>
      <w:r>
        <w:rPr>
          <w:rFonts w:ascii="Times New Roman" w:hAnsi="Times New Roman"/>
          <w:b/>
          <w:szCs w:val="24"/>
        </w:rPr>
        <w:t xml:space="preserve">  </w:t>
      </w:r>
      <w:r w:rsidRPr="008E7775" w:rsidR="00386054">
        <w:rPr>
          <w:rFonts w:ascii="Times New Roman" w:hAnsi="Times New Roman"/>
          <w:b/>
          <w:szCs w:val="24"/>
        </w:rPr>
        <w:t xml:space="preserve">basis for the decision of adopting this means of collection.  Also describe any </w:t>
      </w:r>
    </w:p>
    <w:p w:rsidR="00386054" w:rsidRPr="008E7775" w:rsidP="008E7775" w14:paraId="0994B9E4"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8E7775">
        <w:rPr>
          <w:rFonts w:ascii="Times New Roman" w:hAnsi="Times New Roman"/>
          <w:b/>
          <w:szCs w:val="24"/>
        </w:rPr>
        <w:t>consideration given to using technology to reduce burden.</w:t>
      </w:r>
      <w:r w:rsidRPr="008E7775" w:rsidR="003E285A">
        <w:rPr>
          <w:rFonts w:ascii="Times New Roman" w:hAnsi="Times New Roman"/>
          <w:b/>
          <w:szCs w:val="24"/>
        </w:rPr>
        <w:t xml:space="preserve"> </w:t>
      </w:r>
    </w:p>
    <w:p w:rsidR="0081784F" w:rsidRPr="009E3C86" w14:paraId="29AC0837" w14:textId="77777777">
      <w:pPr>
        <w:tabs>
          <w:tab w:val="left" w:pos="-720"/>
        </w:tabs>
        <w:suppressAutoHyphens/>
        <w:rPr>
          <w:rFonts w:ascii="Times New Roman" w:hAnsi="Times New Roman"/>
          <w:sz w:val="16"/>
          <w:szCs w:val="16"/>
        </w:rPr>
      </w:pPr>
    </w:p>
    <w:p w:rsidR="00297C42" w:rsidP="009A1449" w14:paraId="47C3FC26"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9E3C86" w14:paraId="44AD134C" w14:textId="77777777">
      <w:pPr>
        <w:tabs>
          <w:tab w:val="left" w:pos="-720"/>
        </w:tabs>
        <w:suppressAutoHyphens/>
        <w:rPr>
          <w:rFonts w:ascii="Times New Roman" w:hAnsi="Times New Roman"/>
          <w:sz w:val="16"/>
          <w:szCs w:val="16"/>
        </w:rPr>
      </w:pPr>
    </w:p>
    <w:p w:rsidR="00A128F0" w14:paraId="3ECA2E1D" w14:textId="77777777">
      <w:pPr>
        <w:tabs>
          <w:tab w:val="left" w:pos="-720"/>
        </w:tabs>
        <w:suppressAutoHyphens/>
        <w:rPr>
          <w:rFonts w:ascii="Times New Roman" w:hAnsi="Times New Roman"/>
          <w:b/>
          <w:szCs w:val="24"/>
        </w:rPr>
      </w:pPr>
      <w:r w:rsidRPr="00572524">
        <w:rPr>
          <w:rFonts w:ascii="Times New Roman" w:hAnsi="Times New Roman"/>
          <w:b/>
          <w:szCs w:val="24"/>
        </w:rPr>
        <w:t xml:space="preserve">4.  Describe efforts to identify duplication.  Show specifically why any similar information </w:t>
      </w:r>
    </w:p>
    <w:p w:rsidR="00A128F0" w14:paraId="6D57F0C4"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already available cannot be used or modified for use for the purposes described in Item</w:t>
      </w:r>
    </w:p>
    <w:p w:rsidR="00386054" w:rsidRPr="00572524" w14:paraId="61BC6E10"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Pr>
          <w:rFonts w:ascii="Times New Roman" w:hAnsi="Times New Roman"/>
          <w:b/>
          <w:szCs w:val="24"/>
        </w:rPr>
        <w:t xml:space="preserve"> </w:t>
      </w:r>
      <w:r>
        <w:rPr>
          <w:rFonts w:ascii="Times New Roman" w:hAnsi="Times New Roman"/>
          <w:b/>
          <w:szCs w:val="24"/>
        </w:rPr>
        <w:t xml:space="preserve">  </w:t>
      </w:r>
      <w:r w:rsidRPr="00572524">
        <w:rPr>
          <w:rFonts w:ascii="Times New Roman" w:hAnsi="Times New Roman"/>
          <w:b/>
          <w:szCs w:val="24"/>
        </w:rPr>
        <w:t xml:space="preserve">2 </w:t>
      </w:r>
      <w:r>
        <w:rPr>
          <w:rFonts w:ascii="Times New Roman" w:hAnsi="Times New Roman"/>
          <w:b/>
          <w:szCs w:val="24"/>
        </w:rPr>
        <w:t xml:space="preserve"> </w:t>
      </w:r>
      <w:r w:rsidRPr="00572524">
        <w:rPr>
          <w:rFonts w:ascii="Times New Roman" w:hAnsi="Times New Roman"/>
          <w:b/>
          <w:szCs w:val="24"/>
        </w:rPr>
        <w:t>above.</w:t>
      </w:r>
    </w:p>
    <w:p w:rsidR="0081784F" w:rsidRPr="009E3C86" w14:paraId="14D73428" w14:textId="77777777">
      <w:pPr>
        <w:tabs>
          <w:tab w:val="left" w:pos="-720"/>
        </w:tabs>
        <w:suppressAutoHyphens/>
        <w:rPr>
          <w:rFonts w:ascii="Times New Roman" w:hAnsi="Times New Roman"/>
          <w:sz w:val="16"/>
          <w:szCs w:val="16"/>
        </w:rPr>
      </w:pPr>
    </w:p>
    <w:p w:rsidR="00297C42" w:rsidP="00CD40F8" w14:paraId="1EF89BEE"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A128F0" w:rsidRPr="009E3C86" w:rsidP="00A128F0" w14:paraId="4282B22F" w14:textId="77777777">
      <w:pPr>
        <w:pStyle w:val="BodyTextIndent"/>
        <w:spacing w:after="0"/>
        <w:ind w:left="720"/>
        <w:rPr>
          <w:rFonts w:ascii="Times New Roman" w:hAnsi="Times New Roman"/>
          <w:sz w:val="16"/>
          <w:szCs w:val="16"/>
        </w:rPr>
      </w:pPr>
    </w:p>
    <w:p w:rsidR="00A128F0" w:rsidP="00BD1325" w14:paraId="2AFA7BCF"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w:t>
      </w:r>
    </w:p>
    <w:p w:rsidR="00386054" w:rsidRPr="00572524" w:rsidP="00A128F0" w14:paraId="666C79A8" w14:textId="77777777">
      <w:pPr>
        <w:ind w:left="300"/>
        <w:rPr>
          <w:rFonts w:ascii="Times New Roman" w:hAnsi="Times New Roman"/>
          <w:b/>
          <w:szCs w:val="24"/>
        </w:rPr>
      </w:pPr>
      <w:r w:rsidRPr="00572524">
        <w:rPr>
          <w:rFonts w:ascii="Times New Roman" w:hAnsi="Times New Roman"/>
          <w:b/>
          <w:szCs w:val="24"/>
        </w:rPr>
        <w:t xml:space="preserve">any methods used to minimize burden. A small entity may be (1) a small business which </w:t>
      </w:r>
      <w:r w:rsidR="00A128F0">
        <w:rPr>
          <w:rFonts w:ascii="Times New Roman" w:hAnsi="Times New Roman"/>
          <w:b/>
          <w:szCs w:val="24"/>
        </w:rPr>
        <w:t xml:space="preserve">    </w:t>
      </w:r>
      <w:r w:rsidRPr="00572524">
        <w:rPr>
          <w:rFonts w:ascii="Times New Roman" w:hAnsi="Times New Roman"/>
          <w:b/>
          <w:szCs w:val="24"/>
        </w:rPr>
        <w:t>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9E3C86" w:rsidP="00BD1325" w14:paraId="6A840A7B" w14:textId="77777777">
      <w:pPr>
        <w:rPr>
          <w:rFonts w:ascii="Times New Roman" w:hAnsi="Times New Roman"/>
          <w:sz w:val="16"/>
          <w:szCs w:val="16"/>
        </w:rPr>
      </w:pPr>
    </w:p>
    <w:p w:rsidR="00297C42" w:rsidRPr="0083061C" w:rsidP="009A1449" w14:paraId="6692F277"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E6C9AA5" w14:textId="77777777">
      <w:pPr>
        <w:pStyle w:val="EndnoteText"/>
        <w:rPr>
          <w:rFonts w:ascii="Times New Roman" w:hAnsi="Times New Roman"/>
          <w:szCs w:val="24"/>
        </w:rPr>
      </w:pPr>
    </w:p>
    <w:p w:rsidR="00A128F0" w14:paraId="1775767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6.  Describe the consequences to Federal program or policy activities if the collection is not </w:t>
      </w:r>
    </w:p>
    <w:p w:rsidR="00A128F0" w14:paraId="104FB5B7"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 xml:space="preserve">conducted or is conducted less frequently, as well as any technical or legal obstacles to </w:t>
      </w:r>
    </w:p>
    <w:p w:rsidR="00386054" w:rsidRPr="00572524" w14:paraId="5CFADD35"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Pr>
          <w:rFonts w:ascii="Times New Roman" w:hAnsi="Times New Roman"/>
          <w:b/>
          <w:szCs w:val="24"/>
        </w:rPr>
        <w:t>reducing burden.</w:t>
      </w:r>
    </w:p>
    <w:p w:rsidR="0081784F" w:rsidRPr="009E3C86" w14:paraId="1F052F25" w14:textId="77777777">
      <w:pPr>
        <w:tabs>
          <w:tab w:val="left" w:pos="-720"/>
        </w:tabs>
        <w:suppressAutoHyphens/>
        <w:rPr>
          <w:rFonts w:ascii="Times New Roman" w:hAnsi="Times New Roman"/>
          <w:sz w:val="16"/>
          <w:szCs w:val="16"/>
        </w:rPr>
      </w:pPr>
    </w:p>
    <w:p w:rsidR="00297C42" w:rsidRPr="0083061C" w:rsidP="009212F2" w14:paraId="24EE5FB5"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9E3C86" w14:paraId="67DA5E3F" w14:textId="77777777">
      <w:pPr>
        <w:tabs>
          <w:tab w:val="left" w:pos="-720"/>
        </w:tabs>
        <w:suppressAutoHyphens/>
        <w:rPr>
          <w:rFonts w:ascii="Times New Roman" w:hAnsi="Times New Roman"/>
          <w:sz w:val="16"/>
          <w:szCs w:val="16"/>
        </w:rPr>
      </w:pPr>
    </w:p>
    <w:p w:rsidR="00A128F0" w14:paraId="3F5E7945" w14:textId="77777777">
      <w:pPr>
        <w:tabs>
          <w:tab w:val="left" w:pos="-720"/>
        </w:tabs>
        <w:suppressAutoHyphens/>
        <w:rPr>
          <w:rFonts w:ascii="Times New Roman" w:hAnsi="Times New Roman"/>
          <w:b/>
          <w:szCs w:val="24"/>
        </w:rPr>
      </w:pPr>
      <w:r w:rsidRPr="00572524">
        <w:rPr>
          <w:rFonts w:ascii="Times New Roman" w:hAnsi="Times New Roman"/>
          <w:b/>
          <w:szCs w:val="24"/>
        </w:rPr>
        <w:t xml:space="preserve">7. </w:t>
      </w:r>
      <w:r>
        <w:rPr>
          <w:rFonts w:ascii="Times New Roman" w:hAnsi="Times New Roman"/>
          <w:b/>
          <w:szCs w:val="24"/>
        </w:rPr>
        <w:t xml:space="preserve"> </w:t>
      </w:r>
      <w:r w:rsidRPr="00572524">
        <w:rPr>
          <w:rFonts w:ascii="Times New Roman" w:hAnsi="Times New Roman"/>
          <w:b/>
          <w:szCs w:val="24"/>
        </w:rPr>
        <w:t xml:space="preserve">Explain any special circumstances that would cause an information collection to be </w:t>
      </w:r>
    </w:p>
    <w:p w:rsidR="00386054" w:rsidRPr="00572524" w14:paraId="265F1280"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Pr>
          <w:rFonts w:ascii="Times New Roman" w:hAnsi="Times New Roman"/>
          <w:b/>
          <w:szCs w:val="24"/>
        </w:rPr>
        <w:t>conducted in a manner:</w:t>
      </w:r>
    </w:p>
    <w:p w:rsidR="00386054" w:rsidRPr="009E3C86" w14:paraId="28558873" w14:textId="77777777">
      <w:pPr>
        <w:tabs>
          <w:tab w:val="left" w:pos="-720"/>
        </w:tabs>
        <w:suppressAutoHyphens/>
        <w:rPr>
          <w:rFonts w:ascii="Times New Roman" w:hAnsi="Times New Roman"/>
          <w:b/>
          <w:sz w:val="16"/>
          <w:szCs w:val="16"/>
        </w:rPr>
      </w:pPr>
    </w:p>
    <w:p w:rsidR="00386054" w:rsidRPr="0027712F" w:rsidP="00A128F0" w14:paraId="74607658"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sidR="00353F23">
        <w:rPr>
          <w:rFonts w:ascii="Times New Roman" w:hAnsi="Times New Roman"/>
          <w:b/>
          <w:szCs w:val="24"/>
        </w:rPr>
        <w:t>quarterly.</w:t>
      </w:r>
    </w:p>
    <w:p w:rsidR="00386054" w:rsidRPr="0027712F" w:rsidP="00A128F0" w14:paraId="33A9149E"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w:t>
      </w:r>
      <w:r w:rsidR="00353F23">
        <w:rPr>
          <w:rFonts w:ascii="Times New Roman" w:hAnsi="Times New Roman"/>
          <w:b/>
          <w:szCs w:val="24"/>
        </w:rPr>
        <w:t>.</w:t>
      </w:r>
    </w:p>
    <w:p w:rsidR="00386054" w:rsidRPr="0027712F" w:rsidP="00A128F0" w14:paraId="7888B49B"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sidR="00353F23">
        <w:rPr>
          <w:rFonts w:ascii="Times New Roman" w:hAnsi="Times New Roman"/>
          <w:b/>
          <w:szCs w:val="24"/>
        </w:rPr>
        <w:t>document.</w:t>
      </w:r>
    </w:p>
    <w:p w:rsidR="00386054" w:rsidRPr="0027712F" w:rsidP="00A128F0" w14:paraId="2F859BE4"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sidR="00353F23">
        <w:rPr>
          <w:rFonts w:ascii="Times New Roman" w:hAnsi="Times New Roman"/>
          <w:b/>
          <w:szCs w:val="24"/>
        </w:rPr>
        <w:t>years.</w:t>
      </w:r>
    </w:p>
    <w:p w:rsidR="00386054" w:rsidRPr="0027712F" w:rsidP="00A128F0" w14:paraId="33BA3DCA"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sidR="00353F23">
        <w:rPr>
          <w:rFonts w:ascii="Times New Roman" w:hAnsi="Times New Roman"/>
          <w:b/>
          <w:szCs w:val="24"/>
        </w:rPr>
        <w:t>study.</w:t>
      </w:r>
    </w:p>
    <w:p w:rsidR="00386054" w:rsidRPr="0027712F" w:rsidP="00A128F0" w14:paraId="0AE13E8F"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sidR="00353F23">
        <w:rPr>
          <w:rFonts w:ascii="Times New Roman" w:hAnsi="Times New Roman"/>
          <w:b/>
          <w:szCs w:val="24"/>
        </w:rPr>
        <w:t>OMB.</w:t>
      </w:r>
    </w:p>
    <w:p w:rsidR="00386054" w:rsidRPr="0027712F" w:rsidP="00A128F0" w14:paraId="7E29B50F"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A128F0" w14:paraId="2113FABC"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9E3C86" w14:paraId="1686C28F" w14:textId="77777777">
      <w:pPr>
        <w:tabs>
          <w:tab w:val="left" w:pos="-720"/>
        </w:tabs>
        <w:suppressAutoHyphens/>
        <w:rPr>
          <w:rFonts w:ascii="Times New Roman" w:hAnsi="Times New Roman"/>
          <w:sz w:val="16"/>
          <w:szCs w:val="16"/>
        </w:rPr>
      </w:pPr>
    </w:p>
    <w:p w:rsidR="00297C42" w:rsidRPr="0083061C" w:rsidP="009A1449" w14:paraId="4AE2ADA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There are no </w:t>
      </w:r>
      <w:r w:rsidR="00D07B13">
        <w:rPr>
          <w:rFonts w:ascii="Times New Roman" w:hAnsi="Times New Roman"/>
        </w:rPr>
        <w:t xml:space="preserve">such </w:t>
      </w:r>
      <w:r w:rsidRPr="0083061C">
        <w:rPr>
          <w:rFonts w:ascii="Times New Roman" w:hAnsi="Times New Roman"/>
        </w:rPr>
        <w:t xml:space="preserve">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14:paraId="752BF6D7" w14:textId="77777777">
      <w:pPr>
        <w:tabs>
          <w:tab w:val="left" w:pos="-720"/>
        </w:tabs>
        <w:suppressAutoHyphens/>
        <w:rPr>
          <w:rFonts w:ascii="Times New Roman" w:hAnsi="Times New Roman"/>
          <w:sz w:val="16"/>
          <w:szCs w:val="16"/>
        </w:rPr>
      </w:pPr>
    </w:p>
    <w:p w:rsidR="00386054" w:rsidRPr="00572524" w14:paraId="32A991E3"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E3C86" w14:paraId="2E4E8E01" w14:textId="77777777">
      <w:pPr>
        <w:tabs>
          <w:tab w:val="left" w:pos="-720"/>
        </w:tabs>
        <w:suppressAutoHyphens/>
        <w:rPr>
          <w:rStyle w:val="a"/>
          <w:rFonts w:ascii="Times New Roman" w:hAnsi="Times New Roman"/>
          <w:b/>
          <w:sz w:val="16"/>
          <w:szCs w:val="16"/>
        </w:rPr>
      </w:pPr>
    </w:p>
    <w:p w:rsidR="00386054" w:rsidRPr="00EF7FF5" w:rsidP="003C29C2" w14:paraId="16AA7C5B" w14:textId="77777777">
      <w:pPr>
        <w:tabs>
          <w:tab w:val="left" w:pos="-720"/>
        </w:tabs>
        <w:suppressAutoHyphens/>
        <w:ind w:left="360"/>
        <w:rPr>
          <w:rStyle w:val="a"/>
          <w:rFonts w:ascii="Times New Roman" w:hAnsi="Times New Roman"/>
          <w:szCs w:val="24"/>
        </w:rPr>
      </w:pPr>
      <w:r>
        <w:rPr>
          <w:rStyle w:val="a"/>
          <w:rFonts w:ascii="Times New Roman" w:hAnsi="Times New Roman"/>
          <w:szCs w:val="24"/>
        </w:rPr>
        <w:t>We continue</w:t>
      </w:r>
      <w:r w:rsidRPr="00EF7FF5">
        <w:rPr>
          <w:rStyle w:val="a"/>
          <w:rFonts w:ascii="Times New Roman" w:hAnsi="Times New Roman"/>
          <w:szCs w:val="24"/>
        </w:rPr>
        <w:t xml:space="preserve">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E3C86" w14:paraId="2571672F" w14:textId="77777777">
      <w:pPr>
        <w:tabs>
          <w:tab w:val="left" w:pos="-720"/>
        </w:tabs>
        <w:suppressAutoHyphens/>
        <w:rPr>
          <w:rStyle w:val="a"/>
          <w:rFonts w:ascii="Times New Roman" w:hAnsi="Times New Roman"/>
          <w:sz w:val="16"/>
          <w:szCs w:val="16"/>
        </w:rPr>
      </w:pPr>
    </w:p>
    <w:p w:rsidR="00822C98" w:rsidP="00297C42" w14:paraId="0A902B6D" w14:textId="0FC158FE">
      <w:pPr>
        <w:ind w:left="720"/>
        <w:rPr>
          <w:rFonts w:ascii="Times New Roman" w:hAnsi="Times New Roman"/>
        </w:rPr>
      </w:pPr>
      <w:r>
        <w:rPr>
          <w:rFonts w:ascii="Times New Roman" w:hAnsi="Times New Roman"/>
        </w:rPr>
        <w:t xml:space="preserve">The 60-day public comment notice was published in the </w:t>
      </w:r>
      <w:r w:rsidRPr="00A128F0">
        <w:rPr>
          <w:rFonts w:ascii="Times New Roman" w:hAnsi="Times New Roman"/>
          <w:i/>
          <w:iCs/>
        </w:rPr>
        <w:t>Federal Register</w:t>
      </w:r>
      <w:r>
        <w:rPr>
          <w:rFonts w:ascii="Times New Roman" w:hAnsi="Times New Roman"/>
        </w:rPr>
        <w:t xml:space="preserve"> </w:t>
      </w:r>
      <w:r w:rsidR="00FE6B58">
        <w:rPr>
          <w:rFonts w:ascii="Times New Roman" w:hAnsi="Times New Roman"/>
        </w:rPr>
        <w:t>April</w:t>
      </w:r>
      <w:r w:rsidR="00F30EE1">
        <w:rPr>
          <w:rFonts w:ascii="Times New Roman" w:hAnsi="Times New Roman"/>
          <w:szCs w:val="24"/>
        </w:rPr>
        <w:t xml:space="preserve"> 20</w:t>
      </w:r>
      <w:r w:rsidRPr="00403901" w:rsidR="00A128F0">
        <w:rPr>
          <w:rFonts w:ascii="Times New Roman" w:hAnsi="Times New Roman"/>
          <w:szCs w:val="24"/>
        </w:rPr>
        <w:t>, 202</w:t>
      </w:r>
      <w:r w:rsidR="00F30EE1">
        <w:rPr>
          <w:rFonts w:ascii="Times New Roman" w:hAnsi="Times New Roman"/>
          <w:szCs w:val="24"/>
        </w:rPr>
        <w:t>3</w:t>
      </w:r>
      <w:r w:rsidRPr="00A128F0">
        <w:rPr>
          <w:rFonts w:ascii="Times New Roman" w:hAnsi="Times New Roman"/>
        </w:rPr>
        <w:t xml:space="preserve">, </w:t>
      </w:r>
      <w:r w:rsidR="00F30EE1">
        <w:rPr>
          <w:rFonts w:ascii="Times New Roman" w:hAnsi="Times New Roman"/>
        </w:rPr>
        <w:t>88 FR 24384</w:t>
      </w:r>
      <w:r w:rsidRPr="00A128F0">
        <w:rPr>
          <w:rFonts w:ascii="Times New Roman" w:hAnsi="Times New Roman"/>
        </w:rPr>
        <w:t xml:space="preserve">.  </w:t>
      </w:r>
      <w:r w:rsidR="00F3508B">
        <w:rPr>
          <w:rFonts w:ascii="Times New Roman" w:hAnsi="Times New Roman"/>
        </w:rPr>
        <w:t>One</w:t>
      </w:r>
      <w:r w:rsidRPr="00A128F0">
        <w:rPr>
          <w:rFonts w:ascii="Times New Roman" w:hAnsi="Times New Roman"/>
        </w:rPr>
        <w:t xml:space="preserve"> comment</w:t>
      </w:r>
      <w:r>
        <w:rPr>
          <w:rFonts w:ascii="Times New Roman" w:hAnsi="Times New Roman"/>
        </w:rPr>
        <w:t xml:space="preserve"> w</w:t>
      </w:r>
      <w:r w:rsidR="00F3508B">
        <w:rPr>
          <w:rFonts w:ascii="Times New Roman" w:hAnsi="Times New Roman"/>
        </w:rPr>
        <w:t>as</w:t>
      </w:r>
      <w:r>
        <w:rPr>
          <w:rFonts w:ascii="Times New Roman" w:hAnsi="Times New Roman"/>
        </w:rPr>
        <w:t xml:space="preserve"> </w:t>
      </w:r>
      <w:r w:rsidR="00051AF5">
        <w:rPr>
          <w:rFonts w:ascii="Times New Roman" w:hAnsi="Times New Roman"/>
        </w:rPr>
        <w:t>received and it is included in this submission package as a matter of public record</w:t>
      </w:r>
      <w:r w:rsidR="00A128F0">
        <w:rPr>
          <w:rFonts w:ascii="Times New Roman" w:hAnsi="Times New Roman"/>
        </w:rPr>
        <w:t>.</w:t>
      </w:r>
      <w:r w:rsidR="00051AF5">
        <w:rPr>
          <w:rFonts w:ascii="Times New Roman" w:hAnsi="Times New Roman"/>
        </w:rPr>
        <w:t xml:space="preserve"> While we appreciate the comment, we will not be making any changes to this collection at this time.</w:t>
      </w:r>
    </w:p>
    <w:p w:rsidR="0076329F" w:rsidRPr="00524C96" w:rsidP="00297C42" w14:paraId="57DEB4A9" w14:textId="77777777">
      <w:pPr>
        <w:ind w:left="720"/>
        <w:rPr>
          <w:rFonts w:ascii="Times New Roman" w:hAnsi="Times New Roman"/>
          <w:sz w:val="16"/>
          <w:szCs w:val="16"/>
        </w:rPr>
      </w:pPr>
    </w:p>
    <w:p w:rsidR="00A128F0" w:rsidRPr="00A128F0" w:rsidP="00A128F0" w14:paraId="15C59CDA" w14:textId="77777777">
      <w:pPr>
        <w:pStyle w:val="ListParagraph"/>
        <w:numPr>
          <w:ilvl w:val="0"/>
          <w:numId w:val="2"/>
        </w:numPr>
        <w:tabs>
          <w:tab w:val="left" w:pos="-720"/>
        </w:tabs>
        <w:suppressAutoHyphens/>
        <w:rPr>
          <w:rStyle w:val="a"/>
          <w:rFonts w:ascii="Times New Roman" w:hAnsi="Times New Roman"/>
          <w:b/>
          <w:szCs w:val="24"/>
        </w:rPr>
      </w:pPr>
      <w:r w:rsidRPr="00A128F0">
        <w:rPr>
          <w:rStyle w:val="a"/>
          <w:rFonts w:ascii="Times New Roman" w:hAnsi="Times New Roman"/>
          <w:b/>
          <w:szCs w:val="24"/>
        </w:rPr>
        <w:t xml:space="preserve">Explain any decision to provide any payment or gift to respondents, other than </w:t>
      </w:r>
    </w:p>
    <w:p w:rsidR="00386054" w:rsidRPr="00A128F0" w:rsidP="00A128F0" w14:paraId="591F086C" w14:textId="77777777">
      <w:pPr>
        <w:pStyle w:val="ListParagraph"/>
        <w:tabs>
          <w:tab w:val="left" w:pos="-720"/>
        </w:tabs>
        <w:suppressAutoHyphens/>
        <w:ind w:left="375"/>
        <w:rPr>
          <w:rFonts w:ascii="Times New Roman" w:hAnsi="Times New Roman"/>
          <w:b/>
          <w:szCs w:val="24"/>
        </w:rPr>
      </w:pPr>
      <w:r w:rsidRPr="00A128F0">
        <w:rPr>
          <w:rStyle w:val="a"/>
          <w:rFonts w:ascii="Times New Roman" w:hAnsi="Times New Roman"/>
          <w:b/>
          <w:szCs w:val="24"/>
        </w:rPr>
        <w:t>remuneration of contractors or grantees</w:t>
      </w:r>
      <w:r w:rsidRPr="00A128F0" w:rsidR="003E285A">
        <w:rPr>
          <w:rStyle w:val="a"/>
          <w:rFonts w:ascii="Times New Roman" w:hAnsi="Times New Roman"/>
          <w:b/>
          <w:szCs w:val="24"/>
        </w:rPr>
        <w:t xml:space="preserve"> with meaningful justification</w:t>
      </w:r>
      <w:r w:rsidRPr="00A128F0">
        <w:rPr>
          <w:rStyle w:val="a"/>
          <w:rFonts w:ascii="Times New Roman" w:hAnsi="Times New Roman"/>
          <w:b/>
          <w:szCs w:val="24"/>
        </w:rPr>
        <w:t>.</w:t>
      </w:r>
    </w:p>
    <w:p w:rsidR="00386054" w:rsidRPr="00524C96" w14:paraId="1692FE0A" w14:textId="77777777">
      <w:pPr>
        <w:tabs>
          <w:tab w:val="left" w:pos="-720"/>
        </w:tabs>
        <w:suppressAutoHyphens/>
        <w:rPr>
          <w:rFonts w:ascii="Times New Roman" w:hAnsi="Times New Roman"/>
          <w:sz w:val="16"/>
          <w:szCs w:val="16"/>
        </w:rPr>
      </w:pPr>
    </w:p>
    <w:p w:rsidR="00297C42" w:rsidRPr="003D5D70" w:rsidP="00297C42" w14:paraId="20288134"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24C96" w14:paraId="4CF16AE0" w14:textId="77777777">
      <w:pPr>
        <w:tabs>
          <w:tab w:val="left" w:pos="-720"/>
        </w:tabs>
        <w:suppressAutoHyphens/>
        <w:rPr>
          <w:rFonts w:ascii="Times New Roman" w:hAnsi="Times New Roman"/>
          <w:b/>
          <w:sz w:val="16"/>
          <w:szCs w:val="16"/>
        </w:rPr>
      </w:pPr>
    </w:p>
    <w:p w:rsidR="00A128F0" w:rsidRPr="00A128F0" w:rsidP="00A128F0" w14:paraId="649DFC0C" w14:textId="77777777">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Describe any assurance of confidentiality provided to respondents and the basis for the </w:t>
      </w:r>
    </w:p>
    <w:p w:rsidR="00386054" w:rsidRPr="00A128F0" w:rsidP="00A128F0" w14:paraId="1BDB4F0C" w14:textId="77777777">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A128F0" w:rsidR="003C7F70">
        <w:rPr>
          <w:rFonts w:ascii="Times New Roman" w:hAnsi="Times New Roman"/>
          <w:b/>
          <w:szCs w:val="24"/>
        </w:rPr>
        <w:t xml:space="preserve"> as indicated on the IC Data Form</w:t>
      </w:r>
      <w:r w:rsidRPr="00A128F0">
        <w:rPr>
          <w:rFonts w:ascii="Times New Roman" w:hAnsi="Times New Roman"/>
          <w:b/>
          <w:szCs w:val="24"/>
        </w:rPr>
        <w:t xml:space="preserve">. A confidentiality statement with a legal citation that authorizes the </w:t>
      </w:r>
      <w:r w:rsidRPr="00A128F0" w:rsidR="001743A5">
        <w:rPr>
          <w:rFonts w:ascii="Times New Roman" w:hAnsi="Times New Roman"/>
          <w:b/>
          <w:szCs w:val="24"/>
        </w:rPr>
        <w:t xml:space="preserve">pledge </w:t>
      </w:r>
      <w:r w:rsidRPr="00A128F0">
        <w:rPr>
          <w:rFonts w:ascii="Times New Roman" w:hAnsi="Times New Roman"/>
          <w:b/>
          <w:szCs w:val="24"/>
        </w:rPr>
        <w:t xml:space="preserve">of </w:t>
      </w:r>
      <w:r w:rsidRPr="00A128F0" w:rsidR="001743A5">
        <w:rPr>
          <w:rFonts w:ascii="Times New Roman" w:hAnsi="Times New Roman"/>
          <w:b/>
          <w:szCs w:val="24"/>
        </w:rPr>
        <w:t xml:space="preserve">confidentiality </w:t>
      </w:r>
      <w:r w:rsidRPr="00A128F0">
        <w:rPr>
          <w:rFonts w:ascii="Times New Roman" w:hAnsi="Times New Roman"/>
          <w:b/>
          <w:szCs w:val="24"/>
        </w:rPr>
        <w:t>should be provided.</w:t>
      </w:r>
      <w:r>
        <w:rPr>
          <w:rStyle w:val="FootnoteReference"/>
          <w:b/>
          <w:szCs w:val="24"/>
        </w:rPr>
        <w:footnoteReference w:id="2"/>
      </w:r>
      <w:r w:rsidRPr="00A128F0" w:rsidR="001743A5">
        <w:rPr>
          <w:rFonts w:ascii="Times New Roman" w:hAnsi="Times New Roman"/>
          <w:b/>
          <w:szCs w:val="24"/>
        </w:rPr>
        <w:t xml:space="preserve"> If the collection is subject to the Privacy Act, the Privacy Act statement is deemed sufficient with respect to confidentiality. If there is no expectation of </w:t>
      </w:r>
      <w:r w:rsidRPr="00A128F0" w:rsidR="001743A5">
        <w:rPr>
          <w:rFonts w:ascii="Times New Roman" w:hAnsi="Times New Roman"/>
          <w:b/>
          <w:szCs w:val="24"/>
        </w:rPr>
        <w:t>confidentiality, simply state that the Department make</w:t>
      </w:r>
      <w:r w:rsidRPr="00A128F0" w:rsidR="006A3B5C">
        <w:rPr>
          <w:rFonts w:ascii="Times New Roman" w:hAnsi="Times New Roman"/>
          <w:b/>
          <w:szCs w:val="24"/>
        </w:rPr>
        <w:t>s</w:t>
      </w:r>
      <w:r w:rsidRPr="00A128F0" w:rsidR="001743A5">
        <w:rPr>
          <w:rFonts w:ascii="Times New Roman" w:hAnsi="Times New Roman"/>
          <w:b/>
          <w:szCs w:val="24"/>
        </w:rPr>
        <w:t xml:space="preserve"> no pledge about the confidentially of the data.</w:t>
      </w:r>
    </w:p>
    <w:p w:rsidR="006841FB" w:rsidP="00524C96" w14:paraId="47744E69" w14:textId="77777777">
      <w:pPr>
        <w:pStyle w:val="BodyTextIndent"/>
        <w:spacing w:before="240" w:after="0"/>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the agency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6841FB" w:rsidRPr="0083061C" w:rsidP="00B13B0A" w14:paraId="53F0DDD2" w14:textId="77777777">
      <w:pPr>
        <w:pStyle w:val="BodyTextIndent"/>
        <w:spacing w:after="0"/>
        <w:ind w:left="720"/>
        <w:rPr>
          <w:rFonts w:ascii="Times New Roman" w:hAnsi="Times New Roman"/>
        </w:rPr>
      </w:pPr>
    </w:p>
    <w:p w:rsidR="00A128F0" w:rsidRPr="00A128F0" w:rsidP="00A128F0" w14:paraId="5A7AACA9" w14:textId="77777777">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Provide additional justification for any questions of a sensitive nature, such as sexual </w:t>
      </w:r>
    </w:p>
    <w:p w:rsidR="00386054" w:rsidRPr="00A128F0" w:rsidP="00A128F0" w14:paraId="2F3EB466" w14:textId="77777777">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RPr="00524C96" w:rsidP="00A128F0" w14:paraId="139B8134" w14:textId="77777777">
      <w:pPr>
        <w:pStyle w:val="BodyTextIndent"/>
        <w:spacing w:after="0"/>
        <w:rPr>
          <w:rFonts w:ascii="Times New Roman" w:hAnsi="Times New Roman"/>
          <w:sz w:val="16"/>
          <w:szCs w:val="16"/>
        </w:rPr>
      </w:pPr>
    </w:p>
    <w:p w:rsidR="00386054" w14:paraId="4FB85AB1"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r w:rsidR="0062067E">
        <w:rPr>
          <w:rFonts w:ascii="Times New Roman" w:hAnsi="Times New Roman"/>
        </w:rPr>
        <w:t xml:space="preserve"> However, in some instances we may request demographic information previously approved by OMB.</w:t>
      </w:r>
    </w:p>
    <w:p w:rsidR="00F30CEE" w:rsidRPr="00524C96" w14:paraId="6E7C17FB" w14:textId="77777777">
      <w:pPr>
        <w:tabs>
          <w:tab w:val="left" w:pos="-720"/>
        </w:tabs>
        <w:suppressAutoHyphens/>
        <w:rPr>
          <w:rFonts w:ascii="Times New Roman" w:hAnsi="Times New Roman"/>
          <w:sz w:val="16"/>
          <w:szCs w:val="16"/>
        </w:rPr>
      </w:pPr>
    </w:p>
    <w:p w:rsidR="00386054" w:rsidRPr="00572524" w14:paraId="29B0F6AA"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24C96" w14:paraId="04F3A29D" w14:textId="77777777">
      <w:pPr>
        <w:tabs>
          <w:tab w:val="left" w:pos="-720"/>
        </w:tabs>
        <w:suppressAutoHyphens/>
        <w:rPr>
          <w:rStyle w:val="a"/>
          <w:rFonts w:ascii="Times New Roman" w:hAnsi="Times New Roman"/>
          <w:b/>
          <w:sz w:val="16"/>
          <w:szCs w:val="16"/>
        </w:rPr>
      </w:pPr>
    </w:p>
    <w:p w:rsidR="003D5D70" w:rsidRPr="00572524" w:rsidP="003D5D70" w14:paraId="11B2261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w:t>
      </w:r>
    </w:p>
    <w:p w:rsidR="00386054" w:rsidRPr="00572524" w:rsidP="003D5D70" w14:paraId="7A6D38D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sidR="00353F23">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4B2B9309"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524C96" w14:paraId="61B499CF" w14:textId="77777777">
      <w:pPr>
        <w:suppressAutoHyphens/>
        <w:rPr>
          <w:rFonts w:ascii="Times New Roman" w:hAnsi="Times New Roman"/>
          <w:sz w:val="16"/>
          <w:szCs w:val="16"/>
        </w:rPr>
      </w:pPr>
    </w:p>
    <w:p w:rsidR="0035309F" w:rsidRPr="0035309F" w:rsidP="00A22BD9" w14:paraId="687D765C" w14:textId="77777777">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353F23">
        <w:rPr>
          <w:rFonts w:ascii="Times New Roman" w:hAnsi="Times New Roman"/>
        </w:rPr>
        <w:t>55,471</w:t>
      </w:r>
      <w:r w:rsidRPr="0035309F">
        <w:rPr>
          <w:rFonts w:ascii="Times New Roman" w:hAnsi="Times New Roman"/>
        </w:rPr>
        <w:t xml:space="preserve">) are based on the number of collections we expect to conduct over the requested period for this clearance.  </w:t>
      </w:r>
    </w:p>
    <w:p w:rsidR="00A22BD9" w:rsidRPr="00A22BD9" w:rsidP="00A22BD9" w14:paraId="3032914C"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w:t>
      </w:r>
      <w:r w:rsidR="00353F23">
        <w:rPr>
          <w:rFonts w:ascii="Times New Roman" w:hAnsi="Times New Roman"/>
        </w:rPr>
        <w:t>thre</w:t>
      </w:r>
      <w:r w:rsidRPr="009A1449" w:rsidR="00297C42">
        <w:rPr>
          <w:rFonts w:ascii="Times New Roman" w:hAnsi="Times New Roman"/>
        </w:rPr>
        <w:t>e (</w:t>
      </w:r>
      <w:r w:rsidR="00353F23">
        <w:rPr>
          <w:rFonts w:ascii="Times New Roman" w:hAnsi="Times New Roman"/>
        </w:rPr>
        <w:t>3</w:t>
      </w:r>
      <w:r w:rsidRPr="009A1449" w:rsidR="00297C42">
        <w:rPr>
          <w:rFonts w:ascii="Times New Roman" w:hAnsi="Times New Roman"/>
        </w:rPr>
        <w:t xml:space="preserve">)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w:t>
      </w:r>
      <w:r w:rsidRPr="009A1449" w:rsidR="00297C42">
        <w:rPr>
          <w:rFonts w:ascii="Times New Roman" w:hAnsi="Times New Roman"/>
        </w:rPr>
        <w:t xml:space="preserve">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7D2DB5" w:rsidP="00A22BD9" w14:paraId="1EFCDD57" w14:textId="77777777">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w:t>
      </w:r>
      <w:r w:rsidR="00C557EB">
        <w:rPr>
          <w:rFonts w:ascii="Times New Roman" w:hAnsi="Times New Roman"/>
        </w:rPr>
        <w:t>10,</w:t>
      </w:r>
      <w:r w:rsidRPr="007D2DB5">
        <w:rPr>
          <w:rFonts w:ascii="Times New Roman" w:hAnsi="Times New Roman"/>
        </w:rPr>
        <w:t xml:space="preserve">500 individual interviews averaging 30 minutes each. </w:t>
      </w:r>
    </w:p>
    <w:p w:rsidR="00A22BD9" w:rsidRPr="007D2DB5" w:rsidP="003D5D70" w14:paraId="65C40614"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w:t>
      </w:r>
      <w:r w:rsidR="00C557EB">
        <w:rPr>
          <w:rFonts w:ascii="Times New Roman" w:hAnsi="Times New Roman"/>
        </w:rPr>
        <w:t>approximately 270</w:t>
      </w:r>
      <w:r w:rsidRPr="007D2DB5">
        <w:rPr>
          <w:rFonts w:ascii="Times New Roman" w:hAnsi="Times New Roman"/>
        </w:rPr>
        <w:t xml:space="preserve"> segmented focus groups held each year with an average of thirty participants per group for an average of </w:t>
      </w:r>
      <w:r w:rsidR="00C557EB">
        <w:rPr>
          <w:rFonts w:ascii="Times New Roman" w:hAnsi="Times New Roman"/>
        </w:rPr>
        <w:t>810</w:t>
      </w:r>
      <w:r w:rsidRPr="007D2DB5">
        <w:rPr>
          <w:rFonts w:ascii="Times New Roman" w:hAnsi="Times New Roman"/>
        </w:rPr>
        <w:t xml:space="preserve">0 participants.  </w:t>
      </w:r>
    </w:p>
    <w:p w:rsidR="0035309F" w:rsidRPr="007D2DB5" w:rsidP="00BB63CD" w14:paraId="2C2A254D" w14:textId="77777777">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 xml:space="preserve">The Agency will specify the total possible number of respondents based on estimated annual volume, but this information collection sets a ceiling estimate of </w:t>
      </w:r>
      <w:r w:rsidR="00C557EB">
        <w:rPr>
          <w:rFonts w:ascii="Times New Roman" w:hAnsi="Times New Roman"/>
        </w:rPr>
        <w:t>729,425</w:t>
      </w:r>
      <w:r w:rsidRPr="007D2DB5">
        <w:rPr>
          <w:rFonts w:ascii="Times New Roman" w:hAnsi="Times New Roman"/>
        </w:rPr>
        <w:t xml:space="preserve"> annually.</w:t>
      </w:r>
      <w:r w:rsidRPr="007D2DB5">
        <w:rPr>
          <w:rFonts w:ascii="Times New Roman" w:hAnsi="Times New Roman"/>
          <w:b/>
        </w:rPr>
        <w:t xml:space="preserve"> </w:t>
      </w:r>
    </w:p>
    <w:p w:rsidR="0035309F" w:rsidRPr="00524C96" w:rsidP="00BB63CD" w14:paraId="67E5D45C" w14:textId="77777777">
      <w:pPr>
        <w:ind w:left="720"/>
        <w:rPr>
          <w:rFonts w:ascii="Times New Roman" w:hAnsi="Times New Roman"/>
          <w:b/>
          <w:sz w:val="16"/>
          <w:szCs w:val="16"/>
        </w:rPr>
      </w:pPr>
    </w:p>
    <w:p w:rsidR="0035309F" w:rsidRPr="007D2DB5" w:rsidP="0035309F" w14:paraId="7710C202" w14:textId="77777777">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xml:space="preserve">. Expecting each instance to have on </w:t>
      </w:r>
      <w:r w:rsidR="00C557EB">
        <w:rPr>
          <w:rFonts w:ascii="Times New Roman" w:hAnsi="Times New Roman"/>
        </w:rPr>
        <w:t>a varied range</w:t>
      </w:r>
      <w:r w:rsidRPr="007D2DB5">
        <w:rPr>
          <w:rFonts w:ascii="Times New Roman" w:hAnsi="Times New Roman"/>
        </w:rPr>
        <w:t xml:space="preserve"> of users, and </w:t>
      </w:r>
      <w:r w:rsidR="00C557EB">
        <w:rPr>
          <w:rFonts w:ascii="Times New Roman" w:hAnsi="Times New Roman"/>
        </w:rPr>
        <w:t>various</w:t>
      </w:r>
      <w:r w:rsidRPr="007D2DB5">
        <w:rPr>
          <w:rFonts w:ascii="Times New Roman" w:hAnsi="Times New Roman"/>
        </w:rPr>
        <w:t xml:space="preserve"> services/products tested each year, this clearance expects </w:t>
      </w:r>
      <w:r w:rsidR="00C557EB">
        <w:rPr>
          <w:rFonts w:ascii="Times New Roman" w:hAnsi="Times New Roman"/>
        </w:rPr>
        <w:t>approximately 34</w:t>
      </w:r>
      <w:r w:rsidRPr="007D2DB5">
        <w:rPr>
          <w:rFonts w:ascii="Times New Roman" w:hAnsi="Times New Roman"/>
        </w:rPr>
        <w:t>00 respondents.</w:t>
      </w:r>
    </w:p>
    <w:p w:rsidR="0002637C" w:rsidRPr="00524C96" w:rsidP="0035309F" w14:paraId="58EFB8D7" w14:textId="77777777">
      <w:pPr>
        <w:ind w:left="720"/>
        <w:rPr>
          <w:rFonts w:ascii="Times New Roman" w:hAnsi="Times New Roman"/>
          <w:b/>
          <w:sz w:val="16"/>
          <w:szCs w:val="16"/>
        </w:rPr>
      </w:pPr>
    </w:p>
    <w:p w:rsidR="0002637C" w:rsidRPr="00443178" w:rsidP="0035309F" w14:paraId="7F930284" w14:textId="77777777">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w:t>
      </w:r>
      <w:r w:rsidR="00C557EB">
        <w:rPr>
          <w:rFonts w:ascii="Times New Roman" w:hAnsi="Times New Roman"/>
        </w:rPr>
        <w:t>15</w:t>
      </w:r>
      <w:r w:rsidRPr="007D2DB5">
        <w:rPr>
          <w:rFonts w:ascii="Times New Roman" w:hAnsi="Times New Roman"/>
        </w:rPr>
        <w:t xml:space="preserve">0 users, and 10 new services/products tested each </w:t>
      </w:r>
      <w:r w:rsidRPr="007D2DB5" w:rsidR="00443178">
        <w:rPr>
          <w:rFonts w:ascii="Times New Roman" w:hAnsi="Times New Roman"/>
        </w:rPr>
        <w:t xml:space="preserve">year across the Agency, this adds </w:t>
      </w:r>
      <w:r w:rsidR="00C557EB">
        <w:rPr>
          <w:rFonts w:ascii="Times New Roman" w:hAnsi="Times New Roman"/>
        </w:rPr>
        <w:t>15</w:t>
      </w:r>
      <w:r w:rsidRPr="007D2DB5" w:rsidR="00443178">
        <w:rPr>
          <w:rFonts w:ascii="Times New Roman" w:hAnsi="Times New Roman"/>
        </w:rPr>
        <w:t>00 respondents to the clearance.</w:t>
      </w:r>
      <w:r w:rsidR="00443178">
        <w:rPr>
          <w:rFonts w:ascii="Times New Roman" w:hAnsi="Times New Roman"/>
        </w:rPr>
        <w:t xml:space="preserve"> </w:t>
      </w:r>
    </w:p>
    <w:p w:rsidR="0035309F" w:rsidRPr="00524C96" w:rsidP="00BB63CD" w14:paraId="45D4902B" w14:textId="77777777">
      <w:pPr>
        <w:ind w:left="720"/>
        <w:rPr>
          <w:rFonts w:ascii="Times New Roman" w:hAnsi="Times New Roman"/>
          <w:b/>
          <w:sz w:val="16"/>
          <w:szCs w:val="16"/>
        </w:rPr>
      </w:pPr>
    </w:p>
    <w:p w:rsidR="00E809A4" w:rsidRPr="00053043" w:rsidP="00BB63CD" w14:paraId="06AB922C" w14:textId="77777777">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RPr="00524C96" w:rsidP="003D5D70" w14:paraId="7F135F92" w14:textId="77777777">
      <w:pPr>
        <w:pStyle w:val="BodyTextIndent"/>
        <w:ind w:left="720"/>
        <w:rPr>
          <w:rFonts w:ascii="Times New Roman" w:hAnsi="Times New Roman"/>
          <w:sz w:val="16"/>
          <w:szCs w:val="16"/>
        </w:rPr>
      </w:pPr>
    </w:p>
    <w:tbl>
      <w:tblPr>
        <w:tblW w:w="9540" w:type="dxa"/>
        <w:tblInd w:w="-10" w:type="dxa"/>
        <w:tblCellMar>
          <w:left w:w="0" w:type="dxa"/>
          <w:right w:w="0" w:type="dxa"/>
        </w:tblCellMar>
        <w:tblLook w:val="0000"/>
      </w:tblPr>
      <w:tblGrid>
        <w:gridCol w:w="3420"/>
        <w:gridCol w:w="1710"/>
        <w:gridCol w:w="1710"/>
        <w:gridCol w:w="1440"/>
        <w:gridCol w:w="1260"/>
      </w:tblGrid>
      <w:tr w14:paraId="27066CFE" w14:textId="77777777" w:rsidTr="00C557EB">
        <w:tblPrEx>
          <w:tblW w:w="9540" w:type="dxa"/>
          <w:tblInd w:w="-10" w:type="dxa"/>
          <w:tblCellMar>
            <w:left w:w="0" w:type="dxa"/>
            <w:right w:w="0" w:type="dxa"/>
          </w:tblCellMar>
          <w:tblLook w:val="0000"/>
        </w:tblPrEx>
        <w:tc>
          <w:tcPr>
            <w:tcW w:w="3420" w:type="dxa"/>
            <w:tcBorders>
              <w:top w:val="single" w:sz="8" w:space="0" w:color="auto"/>
              <w:left w:val="single" w:sz="8" w:space="0" w:color="auto"/>
              <w:bottom w:val="single" w:sz="8" w:space="0" w:color="auto"/>
              <w:right w:val="single" w:sz="8" w:space="0" w:color="auto"/>
            </w:tcBorders>
            <w:shd w:val="clear" w:color="auto" w:fill="C6D9F0" w:themeFill="text2" w:themeFillTint="33"/>
            <w:tcMar>
              <w:top w:w="0" w:type="dxa"/>
              <w:left w:w="108" w:type="dxa"/>
              <w:bottom w:w="0" w:type="dxa"/>
              <w:right w:w="108" w:type="dxa"/>
            </w:tcMar>
            <w:vAlign w:val="center"/>
          </w:tcPr>
          <w:p w:rsidR="00BB63CD" w:rsidRPr="0002637C" w:rsidP="00EB7E8D" w14:paraId="25467015" w14:textId="77777777">
            <w:pPr>
              <w:rPr>
                <w:rFonts w:ascii="Times New Roman" w:hAnsi="Times New Roman"/>
                <w:b/>
                <w:szCs w:val="24"/>
              </w:rPr>
            </w:pPr>
            <w:r w:rsidRPr="0002637C">
              <w:rPr>
                <w:rFonts w:ascii="Times New Roman" w:hAnsi="Times New Roman"/>
                <w:b/>
                <w:szCs w:val="24"/>
              </w:rPr>
              <w:t>Type of Information Collection</w:t>
            </w:r>
          </w:p>
        </w:tc>
        <w:tc>
          <w:tcPr>
            <w:tcW w:w="1710" w:type="dxa"/>
            <w:tcBorders>
              <w:top w:val="single" w:sz="8" w:space="0" w:color="auto"/>
              <w:left w:val="nil"/>
              <w:bottom w:val="single" w:sz="8" w:space="0" w:color="auto"/>
              <w:right w:val="single" w:sz="8" w:space="0" w:color="auto"/>
            </w:tcBorders>
            <w:shd w:val="clear" w:color="auto" w:fill="C6D9F0" w:themeFill="text2" w:themeFillTint="33"/>
            <w:tcMar>
              <w:top w:w="0" w:type="dxa"/>
              <w:left w:w="108" w:type="dxa"/>
              <w:bottom w:w="0" w:type="dxa"/>
              <w:right w:w="108" w:type="dxa"/>
            </w:tcMar>
            <w:vAlign w:val="center"/>
          </w:tcPr>
          <w:p w:rsidR="00BB63CD" w:rsidRPr="0002637C" w:rsidP="00EB7E8D" w14:paraId="1A469BD7" w14:textId="77777777">
            <w:pPr>
              <w:jc w:val="center"/>
              <w:rPr>
                <w:rFonts w:ascii="Times New Roman" w:hAnsi="Times New Roman"/>
                <w:b/>
                <w:szCs w:val="24"/>
              </w:rPr>
            </w:pPr>
            <w:r w:rsidRPr="0002637C">
              <w:rPr>
                <w:rFonts w:ascii="Times New Roman" w:hAnsi="Times New Roman"/>
                <w:b/>
                <w:szCs w:val="24"/>
              </w:rPr>
              <w:t>Number of Respondents</w:t>
            </w:r>
          </w:p>
        </w:tc>
        <w:tc>
          <w:tcPr>
            <w:tcW w:w="1710" w:type="dxa"/>
            <w:tcBorders>
              <w:top w:val="single" w:sz="8" w:space="0" w:color="auto"/>
              <w:left w:val="nil"/>
              <w:bottom w:val="single" w:sz="8" w:space="0" w:color="auto"/>
              <w:right w:val="single" w:sz="8" w:space="0" w:color="auto"/>
            </w:tcBorders>
            <w:shd w:val="clear" w:color="auto" w:fill="C6D9F0" w:themeFill="text2" w:themeFillTint="33"/>
            <w:tcMar>
              <w:top w:w="0" w:type="dxa"/>
              <w:left w:w="108" w:type="dxa"/>
              <w:bottom w:w="0" w:type="dxa"/>
              <w:right w:w="108" w:type="dxa"/>
            </w:tcMar>
            <w:vAlign w:val="center"/>
          </w:tcPr>
          <w:p w:rsidR="00BB63CD" w:rsidRPr="0002637C" w:rsidP="00EB7E8D" w14:paraId="21D54227" w14:textId="77777777">
            <w:pPr>
              <w:jc w:val="center"/>
              <w:rPr>
                <w:rFonts w:ascii="Times New Roman" w:hAnsi="Times New Roman"/>
                <w:b/>
                <w:szCs w:val="24"/>
              </w:rPr>
            </w:pPr>
            <w:r w:rsidRPr="0002637C">
              <w:rPr>
                <w:rFonts w:ascii="Times New Roman" w:hAnsi="Times New Roman"/>
                <w:b/>
                <w:szCs w:val="24"/>
              </w:rPr>
              <w:t xml:space="preserve">Number of </w:t>
            </w:r>
            <w:r w:rsidR="00C557EB">
              <w:rPr>
                <w:rFonts w:ascii="Times New Roman" w:hAnsi="Times New Roman"/>
                <w:b/>
                <w:szCs w:val="24"/>
              </w:rPr>
              <w:t>R</w:t>
            </w:r>
            <w:r w:rsidRPr="0002637C">
              <w:rPr>
                <w:rFonts w:ascii="Times New Roman" w:hAnsi="Times New Roman"/>
                <w:b/>
                <w:szCs w:val="24"/>
              </w:rPr>
              <w:t xml:space="preserve">esponses per </w:t>
            </w:r>
            <w:r w:rsidR="00C557EB">
              <w:rPr>
                <w:rFonts w:ascii="Times New Roman" w:hAnsi="Times New Roman"/>
                <w:b/>
                <w:szCs w:val="24"/>
              </w:rPr>
              <w:t>R</w:t>
            </w:r>
            <w:r w:rsidRPr="0002637C">
              <w:rPr>
                <w:rFonts w:ascii="Times New Roman" w:hAnsi="Times New Roman"/>
                <w:b/>
                <w:szCs w:val="24"/>
              </w:rPr>
              <w:t>espondent</w:t>
            </w:r>
          </w:p>
        </w:tc>
        <w:tc>
          <w:tcPr>
            <w:tcW w:w="1440" w:type="dxa"/>
            <w:tcBorders>
              <w:top w:val="single" w:sz="8" w:space="0" w:color="auto"/>
              <w:left w:val="nil"/>
              <w:bottom w:val="single" w:sz="8" w:space="0" w:color="auto"/>
              <w:right w:val="single" w:sz="8" w:space="0" w:color="auto"/>
            </w:tcBorders>
            <w:shd w:val="clear" w:color="auto" w:fill="C6D9F0" w:themeFill="text2" w:themeFillTint="33"/>
            <w:vAlign w:val="center"/>
          </w:tcPr>
          <w:p w:rsidR="00BB63CD" w:rsidRPr="0002637C" w:rsidP="00EB7E8D" w14:paraId="0D578ABE" w14:textId="77777777">
            <w:pPr>
              <w:jc w:val="center"/>
              <w:rPr>
                <w:rFonts w:ascii="Times New Roman" w:hAnsi="Times New Roman"/>
                <w:b/>
                <w:szCs w:val="24"/>
              </w:rPr>
            </w:pPr>
            <w:r w:rsidRPr="0002637C">
              <w:rPr>
                <w:rFonts w:ascii="Times New Roman" w:hAnsi="Times New Roman"/>
                <w:b/>
                <w:szCs w:val="24"/>
              </w:rPr>
              <w:t xml:space="preserve">Hours per </w:t>
            </w:r>
            <w:r w:rsidR="00C557EB">
              <w:rPr>
                <w:rFonts w:ascii="Times New Roman" w:hAnsi="Times New Roman"/>
                <w:b/>
                <w:szCs w:val="24"/>
              </w:rPr>
              <w:t>R</w:t>
            </w:r>
            <w:r w:rsidRPr="0002637C">
              <w:rPr>
                <w:rFonts w:ascii="Times New Roman" w:hAnsi="Times New Roman"/>
                <w:b/>
                <w:szCs w:val="24"/>
              </w:rPr>
              <w:t>esponse</w:t>
            </w:r>
          </w:p>
        </w:tc>
        <w:tc>
          <w:tcPr>
            <w:tcW w:w="1260" w:type="dxa"/>
            <w:tcBorders>
              <w:top w:val="single" w:sz="8" w:space="0" w:color="auto"/>
              <w:left w:val="single" w:sz="8" w:space="0" w:color="auto"/>
              <w:bottom w:val="single" w:sz="8" w:space="0" w:color="auto"/>
              <w:right w:val="single" w:sz="8" w:space="0" w:color="auto"/>
            </w:tcBorders>
            <w:shd w:val="clear" w:color="auto" w:fill="C6D9F0" w:themeFill="text2" w:themeFillTint="33"/>
            <w:tcMar>
              <w:top w:w="0" w:type="dxa"/>
              <w:left w:w="108" w:type="dxa"/>
              <w:bottom w:w="0" w:type="dxa"/>
              <w:right w:w="108" w:type="dxa"/>
            </w:tcMar>
            <w:vAlign w:val="center"/>
          </w:tcPr>
          <w:p w:rsidR="00BB63CD" w:rsidRPr="0002637C" w:rsidP="00EB7E8D" w14:paraId="727253D1" w14:textId="77777777">
            <w:pPr>
              <w:jc w:val="center"/>
              <w:rPr>
                <w:rFonts w:ascii="Times New Roman" w:hAnsi="Times New Roman"/>
                <w:b/>
                <w:szCs w:val="24"/>
              </w:rPr>
            </w:pPr>
            <w:r w:rsidRPr="0002637C">
              <w:rPr>
                <w:rFonts w:ascii="Times New Roman" w:hAnsi="Times New Roman"/>
                <w:b/>
                <w:szCs w:val="24"/>
              </w:rPr>
              <w:t xml:space="preserve">Total Burden </w:t>
            </w:r>
            <w:r w:rsidR="00C557EB">
              <w:rPr>
                <w:rFonts w:ascii="Times New Roman" w:hAnsi="Times New Roman"/>
                <w:b/>
                <w:szCs w:val="24"/>
              </w:rPr>
              <w:t>H</w:t>
            </w:r>
            <w:r w:rsidRPr="0002637C">
              <w:rPr>
                <w:rFonts w:ascii="Times New Roman" w:hAnsi="Times New Roman"/>
                <w:b/>
                <w:szCs w:val="24"/>
              </w:rPr>
              <w:t>ours</w:t>
            </w:r>
          </w:p>
        </w:tc>
      </w:tr>
      <w:tr w14:paraId="4B8FC03E"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3C900DB0" w14:textId="77777777">
            <w:pPr>
              <w:rPr>
                <w:rFonts w:ascii="Times New Roman" w:hAnsi="Times New Roman"/>
                <w:szCs w:val="24"/>
              </w:rPr>
            </w:pPr>
            <w:r w:rsidRPr="00C557EB">
              <w:rPr>
                <w:rFonts w:ascii="Times New Roman" w:hAnsi="Times New Roman"/>
                <w:szCs w:val="24"/>
              </w:rPr>
              <w:t>Customer Interviews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C557EB" w:rsidP="00C557EB" w14:paraId="7D69E25D"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10,500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621E0A49"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sz="8" w:space="0" w:color="auto"/>
              <w:right w:val="single" w:sz="8" w:space="0" w:color="auto"/>
            </w:tcBorders>
            <w:vAlign w:val="center"/>
          </w:tcPr>
          <w:p w:rsidR="00BB63CD" w:rsidRPr="00C557EB" w:rsidP="00EB7E8D" w14:paraId="357D8024" w14:textId="77777777">
            <w:pPr>
              <w:jc w:val="center"/>
              <w:rPr>
                <w:rFonts w:ascii="Times New Roman" w:hAnsi="Times New Roman"/>
                <w:szCs w:val="24"/>
              </w:rPr>
            </w:pPr>
            <w:r w:rsidRPr="00C557EB">
              <w:rPr>
                <w:rFonts w:ascii="Times New Roman" w:hAnsi="Times New Roman"/>
                <w:szCs w:val="24"/>
              </w:rPr>
              <w:t>30/60</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C557EB" w:rsidP="00C557EB" w14:paraId="2AA9B4F4"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5</w:t>
            </w:r>
            <w:r>
              <w:rPr>
                <w:rFonts w:ascii="Times New Roman" w:hAnsi="Times New Roman"/>
                <w:szCs w:val="24"/>
              </w:rPr>
              <w:t>,</w:t>
            </w:r>
            <w:r w:rsidRPr="00C557EB">
              <w:rPr>
                <w:rFonts w:ascii="Times New Roman" w:hAnsi="Times New Roman"/>
                <w:szCs w:val="24"/>
              </w:rPr>
              <w:t>250</w:t>
            </w:r>
          </w:p>
        </w:tc>
      </w:tr>
      <w:tr w14:paraId="31AF58B1"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64CEEEED" w14:textId="77777777">
            <w:pPr>
              <w:rPr>
                <w:rFonts w:ascii="Times New Roman" w:hAnsi="Times New Roman"/>
                <w:szCs w:val="24"/>
              </w:rPr>
            </w:pPr>
            <w:r w:rsidRPr="00C557EB">
              <w:rPr>
                <w:rFonts w:ascii="Times New Roman" w:hAnsi="Times New Roman"/>
                <w:szCs w:val="24"/>
              </w:rPr>
              <w:t>Focus Groups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C557EB" w:rsidP="00C557EB" w14:paraId="71B0E338"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8,10</w:t>
            </w:r>
            <w:r w:rsidRPr="00C557EB" w:rsidR="0002637C">
              <w:rPr>
                <w:rFonts w:ascii="Times New Roman" w:hAnsi="Times New Roman"/>
                <w:szCs w:val="24"/>
              </w:rPr>
              <w:t>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2A09D57B"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sz="8" w:space="0" w:color="auto"/>
              <w:right w:val="single" w:sz="8" w:space="0" w:color="auto"/>
            </w:tcBorders>
            <w:vAlign w:val="center"/>
          </w:tcPr>
          <w:p w:rsidR="00BB63CD" w:rsidRPr="00C557EB" w:rsidP="00EB7E8D" w14:paraId="564F8628" w14:textId="77777777">
            <w:pPr>
              <w:jc w:val="center"/>
              <w:rPr>
                <w:rFonts w:ascii="Times New Roman" w:hAnsi="Times New Roman"/>
                <w:szCs w:val="24"/>
              </w:rPr>
            </w:pPr>
            <w:r w:rsidRPr="00C557EB">
              <w:rPr>
                <w:rFonts w:ascii="Times New Roman" w:hAnsi="Times New Roman"/>
                <w:szCs w:val="24"/>
              </w:rPr>
              <w:t>90/</w:t>
            </w:r>
            <w:r w:rsidRPr="00C557EB" w:rsidR="00C557EB">
              <w:rPr>
                <w:rFonts w:ascii="Times New Roman" w:hAnsi="Times New Roman"/>
                <w:szCs w:val="24"/>
              </w:rPr>
              <w:t>120</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C557EB" w:rsidP="00C557EB" w14:paraId="43DA8865"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12,150</w:t>
            </w:r>
          </w:p>
        </w:tc>
      </w:tr>
      <w:tr w14:paraId="080894E8"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2EEA5B83" w14:textId="77777777">
            <w:pPr>
              <w:rPr>
                <w:rFonts w:ascii="Times New Roman" w:hAnsi="Times New Roman"/>
                <w:szCs w:val="24"/>
              </w:rPr>
            </w:pPr>
            <w:r w:rsidRPr="00C557EB">
              <w:rPr>
                <w:rFonts w:ascii="Times New Roman" w:hAnsi="Times New Roman"/>
                <w:szCs w:val="24"/>
              </w:rPr>
              <w:t>Feedback Survey</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C557EB" w:rsidP="00C557EB" w14:paraId="6FC588ED" w14:textId="77777777">
            <w:pPr>
              <w:jc w:val="center"/>
              <w:rPr>
                <w:rFonts w:ascii="Times New Roman" w:hAnsi="Times New Roman"/>
                <w:szCs w:val="24"/>
              </w:rPr>
            </w:pPr>
            <w:r>
              <w:rPr>
                <w:rFonts w:ascii="Times New Roman" w:hAnsi="Times New Roman"/>
                <w:szCs w:val="24"/>
              </w:rPr>
              <w:t>276,500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0822F239"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sz="8" w:space="0" w:color="auto"/>
              <w:right w:val="single" w:sz="8" w:space="0" w:color="auto"/>
            </w:tcBorders>
            <w:vAlign w:val="center"/>
          </w:tcPr>
          <w:p w:rsidR="00BB63CD" w:rsidRPr="00C557EB" w:rsidP="00EB7E8D" w14:paraId="3FB32D94" w14:textId="77777777">
            <w:pPr>
              <w:jc w:val="center"/>
              <w:rPr>
                <w:rFonts w:ascii="Times New Roman" w:hAnsi="Times New Roman"/>
                <w:szCs w:val="24"/>
              </w:rPr>
            </w:pPr>
            <w:r w:rsidRPr="00C557EB">
              <w:rPr>
                <w:rFonts w:ascii="Times New Roman" w:hAnsi="Times New Roman"/>
                <w:szCs w:val="24"/>
              </w:rPr>
              <w:t>3/60</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C557EB" w:rsidP="00C557EB" w14:paraId="57E85B6F" w14:textId="77777777">
            <w:pPr>
              <w:tabs>
                <w:tab w:val="left" w:pos="-1080"/>
                <w:tab w:val="left" w:pos="-720"/>
                <w:tab w:val="left" w:pos="0"/>
                <w:tab w:val="left" w:pos="450"/>
                <w:tab w:val="left" w:pos="720"/>
                <w:tab w:val="left" w:pos="2160"/>
              </w:tabs>
              <w:jc w:val="center"/>
              <w:rPr>
                <w:rFonts w:ascii="Times New Roman" w:hAnsi="Times New Roman"/>
                <w:szCs w:val="24"/>
              </w:rPr>
            </w:pPr>
            <w:r>
              <w:rPr>
                <w:rFonts w:ascii="Times New Roman" w:hAnsi="Times New Roman"/>
                <w:szCs w:val="24"/>
              </w:rPr>
              <w:t>8,725</w:t>
            </w:r>
          </w:p>
        </w:tc>
      </w:tr>
      <w:tr w14:paraId="2B16536E"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4C454B1E" w14:textId="77777777">
            <w:pPr>
              <w:rPr>
                <w:rFonts w:ascii="Times New Roman" w:hAnsi="Times New Roman"/>
                <w:szCs w:val="24"/>
              </w:rPr>
            </w:pPr>
            <w:r w:rsidRPr="00C557EB">
              <w:rPr>
                <w:rFonts w:ascii="Times New Roman" w:hAnsi="Times New Roman"/>
                <w:szCs w:val="24"/>
              </w:rPr>
              <w:t>User Testing</w:t>
            </w:r>
            <w:r w:rsidRPr="00C557EB" w:rsidR="00443178">
              <w:rPr>
                <w:rFonts w:ascii="Times New Roman" w:hAnsi="Times New Roman"/>
                <w:szCs w:val="24"/>
              </w:rPr>
              <w:t xml:space="preserve"> (Rapid Feedback)</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C557EB" w:rsidP="00C557EB" w14:paraId="195F98A4" w14:textId="77777777">
            <w:pPr>
              <w:jc w:val="center"/>
              <w:rPr>
                <w:rFonts w:ascii="Times New Roman" w:hAnsi="Times New Roman"/>
                <w:szCs w:val="24"/>
              </w:rPr>
            </w:pPr>
            <w:r w:rsidRPr="00C557EB">
              <w:rPr>
                <w:rFonts w:ascii="Times New Roman" w:hAnsi="Times New Roman"/>
                <w:szCs w:val="24"/>
              </w:rPr>
              <w:t>3,</w:t>
            </w:r>
            <w:r w:rsidRPr="00C557EB" w:rsidR="0035309F">
              <w:rPr>
                <w:rFonts w:ascii="Times New Roman" w:hAnsi="Times New Roman"/>
                <w:szCs w:val="24"/>
              </w:rPr>
              <w:t>400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036F7DC9"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sz="8" w:space="0" w:color="auto"/>
              <w:right w:val="single" w:sz="8" w:space="0" w:color="auto"/>
            </w:tcBorders>
            <w:vAlign w:val="center"/>
          </w:tcPr>
          <w:p w:rsidR="00BB63CD" w:rsidRPr="00C557EB" w:rsidP="00EB7E8D" w14:paraId="67392FF4" w14:textId="77777777">
            <w:pPr>
              <w:jc w:val="center"/>
              <w:rPr>
                <w:rFonts w:ascii="Times New Roman" w:hAnsi="Times New Roman"/>
                <w:szCs w:val="24"/>
              </w:rPr>
            </w:pPr>
            <w:r w:rsidRPr="00C557EB">
              <w:rPr>
                <w:rFonts w:ascii="Times New Roman" w:hAnsi="Times New Roman"/>
                <w:szCs w:val="24"/>
              </w:rPr>
              <w:t>15/60</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C557EB" w:rsidP="00C557EB" w14:paraId="17F19CBA"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85</w:t>
            </w:r>
            <w:r w:rsidRPr="00C557EB" w:rsidR="0002637C">
              <w:rPr>
                <w:rFonts w:ascii="Times New Roman" w:hAnsi="Times New Roman"/>
                <w:szCs w:val="24"/>
              </w:rPr>
              <w:t>0</w:t>
            </w:r>
          </w:p>
        </w:tc>
      </w:tr>
      <w:tr w14:paraId="0B811A6F"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C557EB" w:rsidP="00EB7E8D" w14:paraId="128B5DDC" w14:textId="77777777">
            <w:pPr>
              <w:rPr>
                <w:rFonts w:ascii="Times New Roman" w:hAnsi="Times New Roman"/>
                <w:bCs/>
                <w:szCs w:val="24"/>
              </w:rPr>
            </w:pPr>
            <w:r w:rsidRPr="00C557EB">
              <w:rPr>
                <w:rFonts w:ascii="Times New Roman" w:hAnsi="Times New Roman"/>
                <w:bCs/>
                <w:szCs w:val="24"/>
              </w:rPr>
              <w:t>User Testing (Deep Dive)</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C557EB" w:rsidP="00C557EB" w14:paraId="079C6B8F" w14:textId="77777777">
            <w:pPr>
              <w:jc w:val="center"/>
              <w:rPr>
                <w:rFonts w:ascii="Times New Roman" w:hAnsi="Times New Roman"/>
                <w:szCs w:val="24"/>
              </w:rPr>
            </w:pPr>
            <w:r w:rsidRPr="00C557EB">
              <w:rPr>
                <w:rFonts w:ascii="Times New Roman" w:hAnsi="Times New Roman"/>
                <w:szCs w:val="24"/>
              </w:rPr>
              <w:t>1</w:t>
            </w:r>
            <w:r>
              <w:rPr>
                <w:rFonts w:ascii="Times New Roman" w:hAnsi="Times New Roman"/>
                <w:szCs w:val="24"/>
              </w:rPr>
              <w:t>,</w:t>
            </w:r>
            <w:r w:rsidRPr="00C557EB">
              <w:rPr>
                <w:rFonts w:ascii="Times New Roman" w:hAnsi="Times New Roman"/>
                <w:szCs w:val="24"/>
              </w:rPr>
              <w:t>500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C557EB" w:rsidP="00EB7E8D" w14:paraId="16D70DFD"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sz="8" w:space="0" w:color="auto"/>
              <w:right w:val="single" w:sz="8" w:space="0" w:color="auto"/>
            </w:tcBorders>
          </w:tcPr>
          <w:p w:rsidR="00443178" w:rsidRPr="00C557EB" w:rsidP="00EB7E8D" w14:paraId="53406FDC" w14:textId="77777777">
            <w:pPr>
              <w:jc w:val="center"/>
              <w:rPr>
                <w:rFonts w:ascii="Times New Roman" w:hAnsi="Times New Roman"/>
                <w:bCs/>
                <w:szCs w:val="24"/>
              </w:rPr>
            </w:pPr>
            <w:r w:rsidRPr="00C557EB">
              <w:rPr>
                <w:rFonts w:ascii="Times New Roman" w:hAnsi="Times New Roman"/>
                <w:bCs/>
                <w:szCs w:val="24"/>
              </w:rPr>
              <w:t>30/60</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C557EB" w:rsidP="00C557EB" w14:paraId="6A1039AA" w14:textId="7777777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750</w:t>
            </w:r>
          </w:p>
        </w:tc>
      </w:tr>
      <w:tr w14:paraId="767D2426" w14:textId="77777777" w:rsidTr="00C557EB">
        <w:tblPrEx>
          <w:tblW w:w="9540" w:type="dxa"/>
          <w:tblInd w:w="-10" w:type="dxa"/>
          <w:tblCellMar>
            <w:left w:w="0" w:type="dxa"/>
            <w:right w:w="0" w:type="dxa"/>
          </w:tblCellMar>
          <w:tblLook w:val="0000"/>
        </w:tblPrEx>
        <w:tc>
          <w:tcPr>
            <w:tcW w:w="34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3E237A" w:rsidP="00EB7E8D" w14:paraId="72DFC879" w14:textId="77777777">
            <w:pPr>
              <w:rPr>
                <w:rFonts w:ascii="Times New Roman" w:hAnsi="Times New Roman"/>
                <w:szCs w:val="24"/>
              </w:rPr>
            </w:pPr>
            <w:r w:rsidRPr="003E237A">
              <w:rPr>
                <w:rFonts w:ascii="Times New Roman" w:hAnsi="Times New Roman"/>
                <w:b/>
                <w:bCs/>
                <w:szCs w:val="24"/>
              </w:rPr>
              <w:t>Total</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C557EB" w:rsidP="00C557EB" w14:paraId="0E1AB3FC" w14:textId="77777777">
            <w:pPr>
              <w:jc w:val="center"/>
              <w:rPr>
                <w:rFonts w:ascii="Times New Roman" w:hAnsi="Times New Roman"/>
                <w:b/>
                <w:bCs/>
                <w:szCs w:val="24"/>
              </w:rPr>
            </w:pPr>
            <w:r>
              <w:rPr>
                <w:rFonts w:ascii="Times New Roman" w:hAnsi="Times New Roman"/>
                <w:b/>
                <w:bCs/>
                <w:szCs w:val="24"/>
              </w:rPr>
              <w:t>300,000</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557EB" w:rsidP="00EB7E8D" w14:paraId="31777EEC" w14:textId="77777777">
            <w:pPr>
              <w:jc w:val="center"/>
              <w:rPr>
                <w:rFonts w:ascii="Times New Roman" w:hAnsi="Times New Roman"/>
                <w:b/>
                <w:bCs/>
                <w:sz w:val="16"/>
                <w:szCs w:val="16"/>
              </w:rPr>
            </w:pPr>
          </w:p>
        </w:tc>
        <w:tc>
          <w:tcPr>
            <w:tcW w:w="1440" w:type="dxa"/>
            <w:tcBorders>
              <w:top w:val="nil"/>
              <w:left w:val="nil"/>
              <w:bottom w:val="single" w:sz="8" w:space="0" w:color="auto"/>
              <w:right w:val="single" w:sz="8" w:space="0" w:color="auto"/>
            </w:tcBorders>
          </w:tcPr>
          <w:p w:rsidR="00BB63CD" w:rsidRPr="00C557EB" w:rsidP="00EB7E8D" w14:paraId="504CFC4D" w14:textId="77777777">
            <w:pPr>
              <w:jc w:val="center"/>
              <w:rPr>
                <w:rFonts w:ascii="Times New Roman" w:hAnsi="Times New Roman"/>
                <w:b/>
                <w:bCs/>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C557EB" w:rsidP="00C557EB" w14:paraId="3477E446" w14:textId="77777777">
            <w:pPr>
              <w:tabs>
                <w:tab w:val="left" w:pos="-1080"/>
                <w:tab w:val="left" w:pos="-720"/>
                <w:tab w:val="left" w:pos="0"/>
                <w:tab w:val="left" w:pos="450"/>
                <w:tab w:val="left" w:pos="720"/>
                <w:tab w:val="left" w:pos="2160"/>
              </w:tabs>
              <w:jc w:val="center"/>
              <w:rPr>
                <w:rFonts w:ascii="Times New Roman" w:hAnsi="Times New Roman"/>
                <w:b/>
                <w:bCs/>
                <w:szCs w:val="24"/>
              </w:rPr>
            </w:pPr>
            <w:r>
              <w:rPr>
                <w:rFonts w:ascii="Times New Roman" w:hAnsi="Times New Roman"/>
                <w:b/>
                <w:bCs/>
                <w:szCs w:val="24"/>
              </w:rPr>
              <w:t>27,725</w:t>
            </w:r>
          </w:p>
        </w:tc>
      </w:tr>
    </w:tbl>
    <w:p w:rsidR="00386054" w:rsidRPr="003E237A" w14:paraId="39E0B406" w14:textId="77777777">
      <w:pPr>
        <w:tabs>
          <w:tab w:val="left" w:pos="-720"/>
        </w:tabs>
        <w:suppressAutoHyphens/>
        <w:rPr>
          <w:rFonts w:ascii="Times New Roman" w:hAnsi="Times New Roman"/>
          <w:szCs w:val="24"/>
        </w:rPr>
      </w:pPr>
    </w:p>
    <w:p w:rsidR="00386054" w:rsidRPr="00D5290B" w14:paraId="7C672B82"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524C96" w14:paraId="1CFD188F" w14:textId="77777777">
      <w:pPr>
        <w:tabs>
          <w:tab w:val="left" w:pos="-720"/>
        </w:tabs>
        <w:suppressAutoHyphens/>
        <w:rPr>
          <w:rFonts w:ascii="Times New Roman" w:hAnsi="Times New Roman"/>
          <w:sz w:val="16"/>
          <w:szCs w:val="16"/>
        </w:rPr>
      </w:pPr>
    </w:p>
    <w:p w:rsidR="00297C42" w:rsidP="00297C42" w14:paraId="34A3E304" w14:textId="77777777">
      <w:pPr>
        <w:ind w:left="720"/>
        <w:rPr>
          <w:rFonts w:ascii="Times New Roman" w:hAnsi="Times New Roman"/>
        </w:rPr>
      </w:pPr>
      <w:r>
        <w:rPr>
          <w:rFonts w:ascii="Times New Roman" w:hAnsi="Times New Roman"/>
        </w:rPr>
        <w:t xml:space="preserve">No costs for respondents are anticipated. </w:t>
      </w:r>
    </w:p>
    <w:p w:rsidR="00524C96" w:rsidP="00297C42" w14:paraId="0E48EBB8" w14:textId="77777777">
      <w:pPr>
        <w:ind w:left="720"/>
        <w:rPr>
          <w:rFonts w:ascii="Times New Roman" w:hAnsi="Times New Roman"/>
        </w:rPr>
      </w:pPr>
    </w:p>
    <w:p w:rsidR="00E233A2" w14:paraId="1E87AE77" w14:textId="77777777">
      <w:pPr>
        <w:tabs>
          <w:tab w:val="left" w:pos="-720"/>
        </w:tabs>
        <w:suppressAutoHyphens/>
        <w:rPr>
          <w:rFonts w:ascii="Times New Roman" w:hAnsi="Times New Roman"/>
          <w:b/>
          <w:szCs w:val="24"/>
        </w:rPr>
      </w:pPr>
    </w:p>
    <w:p w:rsidR="00E233A2" w14:paraId="563CBCAF" w14:textId="77777777">
      <w:pPr>
        <w:tabs>
          <w:tab w:val="left" w:pos="-720"/>
        </w:tabs>
        <w:suppressAutoHyphens/>
        <w:rPr>
          <w:rFonts w:ascii="Times New Roman" w:hAnsi="Times New Roman"/>
          <w:b/>
          <w:szCs w:val="24"/>
        </w:rPr>
      </w:pPr>
    </w:p>
    <w:p w:rsidR="00E233A2" w14:paraId="731F5AEA" w14:textId="77777777">
      <w:pPr>
        <w:tabs>
          <w:tab w:val="left" w:pos="-720"/>
        </w:tabs>
        <w:suppressAutoHyphens/>
        <w:rPr>
          <w:rFonts w:ascii="Times New Roman" w:hAnsi="Times New Roman"/>
          <w:b/>
          <w:szCs w:val="24"/>
        </w:rPr>
      </w:pPr>
    </w:p>
    <w:p w:rsidR="00E233A2" w14:paraId="14EFBEF1" w14:textId="77777777">
      <w:pPr>
        <w:tabs>
          <w:tab w:val="left" w:pos="-720"/>
        </w:tabs>
        <w:suppressAutoHyphens/>
        <w:rPr>
          <w:rFonts w:ascii="Times New Roman" w:hAnsi="Times New Roman"/>
          <w:b/>
          <w:szCs w:val="24"/>
        </w:rPr>
      </w:pPr>
    </w:p>
    <w:p w:rsidR="00386054" w:rsidRPr="00F45FED" w14:paraId="4C7CE7CF"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RPr="00524C96" w:rsidP="00F45FED" w14:paraId="6ED5DC3E" w14:textId="77777777">
      <w:pPr>
        <w:tabs>
          <w:tab w:val="left" w:pos="-720"/>
        </w:tabs>
        <w:suppressAutoHyphens/>
        <w:ind w:left="720"/>
        <w:rPr>
          <w:rFonts w:ascii="Times New Roman" w:hAnsi="Times New Roman"/>
          <w:sz w:val="16"/>
          <w:szCs w:val="16"/>
        </w:rPr>
      </w:pPr>
    </w:p>
    <w:p w:rsidR="00386054" w:rsidP="00F45FED" w14:paraId="1D6F33E2"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524C96" w:rsidP="00F45FED" w14:paraId="4E26143B" w14:textId="77777777">
      <w:pPr>
        <w:tabs>
          <w:tab w:val="left" w:pos="-720"/>
        </w:tabs>
        <w:suppressAutoHyphens/>
        <w:ind w:left="720"/>
        <w:rPr>
          <w:rFonts w:ascii="Times New Roman" w:hAnsi="Times New Roman"/>
          <w:sz w:val="16"/>
          <w:szCs w:val="16"/>
        </w:rPr>
      </w:pPr>
    </w:p>
    <w:p w:rsidR="00386054" w:rsidRPr="00F45FED" w14:paraId="25E2FEF1"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524C96" w14:paraId="105B1F6C" w14:textId="77777777">
      <w:pPr>
        <w:tabs>
          <w:tab w:val="left" w:pos="-720"/>
        </w:tabs>
        <w:suppressAutoHyphens/>
        <w:rPr>
          <w:rFonts w:ascii="Times New Roman" w:hAnsi="Times New Roman"/>
          <w:sz w:val="16"/>
          <w:szCs w:val="16"/>
        </w:rPr>
      </w:pPr>
    </w:p>
    <w:p w:rsidR="00FE4DD6" w:rsidRPr="00AC1FA8" w:rsidP="00425F9A" w14:paraId="12D12ABC" w14:textId="77777777">
      <w:pPr>
        <w:ind w:left="720"/>
        <w:rPr>
          <w:rFonts w:ascii="Times New Roman" w:hAnsi="Times New Roman"/>
        </w:rPr>
      </w:pPr>
      <w:r>
        <w:rPr>
          <w:rFonts w:ascii="Times New Roman" w:hAnsi="Times New Roman"/>
        </w:rPr>
        <w:t xml:space="preserve">Aside from </w:t>
      </w:r>
      <w:r w:rsidRPr="00FE6B58">
        <w:rPr>
          <w:rFonts w:ascii="Times New Roman" w:hAnsi="Times New Roman"/>
        </w:rPr>
        <w:t xml:space="preserve">adjustments </w:t>
      </w:r>
      <w:r>
        <w:rPr>
          <w:rFonts w:ascii="Times New Roman" w:hAnsi="Times New Roman"/>
        </w:rPr>
        <w:t>for respondent and burden hours, no changes are requested.</w:t>
      </w:r>
    </w:p>
    <w:p w:rsidR="00386054" w:rsidRPr="00524C96" w14:paraId="7D61201F" w14:textId="77777777">
      <w:pPr>
        <w:tabs>
          <w:tab w:val="left" w:pos="-720"/>
        </w:tabs>
        <w:suppressAutoHyphens/>
        <w:rPr>
          <w:rFonts w:ascii="Times New Roman" w:hAnsi="Times New Roman"/>
          <w:sz w:val="16"/>
          <w:szCs w:val="16"/>
        </w:rPr>
      </w:pPr>
    </w:p>
    <w:p w:rsidR="00386054" w:rsidRPr="00F45FED" w14:paraId="121A3D73"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24C96" w14:paraId="13B425BE" w14:textId="77777777">
      <w:pPr>
        <w:tabs>
          <w:tab w:val="left" w:pos="-720"/>
        </w:tabs>
        <w:suppressAutoHyphens/>
        <w:rPr>
          <w:rFonts w:ascii="Times New Roman" w:hAnsi="Times New Roman"/>
          <w:sz w:val="16"/>
          <w:szCs w:val="16"/>
        </w:rPr>
      </w:pPr>
    </w:p>
    <w:p w:rsidR="00F45FED" w:rsidRPr="00F45FED" w:rsidP="00297C42" w14:paraId="0118B003"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RPr="00524C96" w:rsidP="00297C42" w14:paraId="2B25093B" w14:textId="77777777">
      <w:pPr>
        <w:ind w:left="720"/>
        <w:rPr>
          <w:rFonts w:ascii="Times New Roman" w:hAnsi="Times New Roman"/>
          <w:b/>
          <w:sz w:val="16"/>
          <w:szCs w:val="16"/>
        </w:rPr>
      </w:pPr>
    </w:p>
    <w:p w:rsidR="00786680" w:rsidP="00297C42" w14:paraId="46DFE15E"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w:t>
      </w:r>
      <w:r w:rsidR="00AC3176">
        <w:rPr>
          <w:rFonts w:ascii="Times New Roman" w:hAnsi="Times New Roman"/>
        </w:rPr>
        <w:t xml:space="preserve">(both from internal and external to government stakeholders) within one month of completing customer research. </w:t>
      </w:r>
    </w:p>
    <w:p w:rsidR="00C557EB" w:rsidP="00297C42" w14:paraId="15D5BCB0" w14:textId="77777777">
      <w:pPr>
        <w:ind w:left="720"/>
        <w:rPr>
          <w:rFonts w:ascii="Times New Roman" w:hAnsi="Times New Roman"/>
        </w:rPr>
      </w:pPr>
    </w:p>
    <w:p w:rsidR="00D5290B" w:rsidRPr="00D5290B" w:rsidP="00297C42" w14:paraId="43B46C87"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RPr="00524C96" w:rsidP="00D5290B" w14:paraId="7BB4408B" w14:textId="77777777">
      <w:pPr>
        <w:ind w:left="720"/>
        <w:rPr>
          <w:rFonts w:ascii="Times New Roman" w:hAnsi="Times New Roman"/>
          <w:i/>
          <w:sz w:val="16"/>
          <w:szCs w:val="16"/>
        </w:rPr>
      </w:pPr>
    </w:p>
    <w:p w:rsidR="00D5290B" w:rsidRPr="00D5290B" w:rsidP="00D5290B" w14:paraId="4D1D1BF7"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70C6BC27"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132D13D0"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435DDEE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33D945F"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6C71C06C"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62EFED1D"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29686873"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257BC15F"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524C96" w:rsidP="00297C42" w14:paraId="17B618D4" w14:textId="77777777">
      <w:pPr>
        <w:ind w:left="720"/>
        <w:rPr>
          <w:rFonts w:ascii="Times New Roman" w:hAnsi="Times New Roman"/>
          <w:b/>
          <w:sz w:val="16"/>
          <w:szCs w:val="16"/>
        </w:rPr>
      </w:pPr>
    </w:p>
    <w:p w:rsidR="00786680" w:rsidP="00297C42" w14:paraId="3FE34326"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RPr="00524C96" w:rsidP="00297C42" w14:paraId="0C93E33F" w14:textId="77777777">
      <w:pPr>
        <w:ind w:left="720"/>
        <w:rPr>
          <w:rFonts w:ascii="Times New Roman" w:hAnsi="Times New Roman"/>
          <w:sz w:val="16"/>
          <w:szCs w:val="16"/>
        </w:rPr>
      </w:pPr>
    </w:p>
    <w:p w:rsidR="00786680" w:rsidP="00297C42" w14:paraId="2081A495" w14:textId="77777777">
      <w:pPr>
        <w:ind w:left="720"/>
        <w:rPr>
          <w:rFonts w:ascii="Times New Roman" w:hAnsi="Times New Roman"/>
        </w:rPr>
      </w:pPr>
      <w:r>
        <w:rPr>
          <w:rFonts w:ascii="Times New Roman" w:hAnsi="Times New Roman"/>
        </w:rPr>
        <w:t>This data will include:</w:t>
      </w:r>
    </w:p>
    <w:p w:rsidR="00786680" w:rsidP="00786680" w14:paraId="2893A08D"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42831272"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3967755C"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10E0B0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22C93B99"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1D001754"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278BB494"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353F23">
        <w:rPr>
          <w:rFonts w:ascii="Times New Roman" w:hAnsi="Times New Roman"/>
        </w:rPr>
        <w:t>5-point</w:t>
      </w:r>
      <w:r>
        <w:rPr>
          <w:rFonts w:ascii="Times New Roman" w:hAnsi="Times New Roman"/>
        </w:rPr>
        <w:t xml:space="preserve"> Likert scale for each of the standard questions</w:t>
      </w:r>
    </w:p>
    <w:p w:rsidR="00AC3176" w:rsidRPr="00524C96" w:rsidP="00AC3176" w14:paraId="359B5B0C" w14:textId="77777777">
      <w:pPr>
        <w:rPr>
          <w:rFonts w:ascii="Times New Roman" w:hAnsi="Times New Roman"/>
          <w:sz w:val="16"/>
          <w:szCs w:val="16"/>
        </w:rPr>
      </w:pPr>
    </w:p>
    <w:p w:rsidR="00AC3176" w:rsidRPr="00AC3176" w:rsidP="00AC3176" w14:paraId="2400A790"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524C96" w:rsidP="00786680" w14:paraId="48290EBC" w14:textId="77777777">
      <w:pPr>
        <w:rPr>
          <w:rFonts w:ascii="Times New Roman" w:hAnsi="Times New Roman"/>
          <w:sz w:val="16"/>
          <w:szCs w:val="16"/>
        </w:rPr>
      </w:pPr>
    </w:p>
    <w:p w:rsidR="00297C42" w:rsidRPr="0083061C" w:rsidP="00572524" w14:paraId="6A2730D0"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E233A2">
        <w:rPr>
          <w:rFonts w:ascii="Times New Roman" w:hAnsi="Times New Roman"/>
        </w:rPr>
        <w:t>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524C96" w14:paraId="7C8898B0" w14:textId="77777777">
      <w:pPr>
        <w:tabs>
          <w:tab w:val="left" w:pos="-720"/>
        </w:tabs>
        <w:suppressAutoHyphens/>
        <w:rPr>
          <w:rFonts w:ascii="Times New Roman" w:hAnsi="Times New Roman"/>
          <w:sz w:val="16"/>
          <w:szCs w:val="16"/>
        </w:rPr>
      </w:pPr>
    </w:p>
    <w:p w:rsidR="00386054" w:rsidRPr="00572524" w14:paraId="1F56A52E"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524C96" w14:paraId="5A0B9852" w14:textId="77777777">
      <w:pPr>
        <w:tabs>
          <w:tab w:val="left" w:pos="-720"/>
        </w:tabs>
        <w:suppressAutoHyphens/>
        <w:rPr>
          <w:rFonts w:ascii="Times New Roman" w:hAnsi="Times New Roman"/>
          <w:sz w:val="16"/>
          <w:szCs w:val="16"/>
        </w:rPr>
      </w:pPr>
    </w:p>
    <w:p w:rsidR="00B81EAB" w:rsidP="00425F9A" w14:paraId="09DF6DFD"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95183B" w:rsidP="00425F9A" w14:paraId="5B8B4179" w14:textId="77777777">
      <w:pPr>
        <w:pStyle w:val="BodyTextIndent"/>
        <w:ind w:left="720"/>
        <w:rPr>
          <w:rFonts w:ascii="Times New Roman" w:hAnsi="Times New Roman"/>
        </w:rPr>
      </w:pPr>
    </w:p>
    <w:p w:rsidR="0095183B" w:rsidRPr="0083061C" w:rsidP="00425F9A" w14:paraId="085BB280" w14:textId="77777777">
      <w:pPr>
        <w:pStyle w:val="BodyTextIndent"/>
        <w:ind w:left="720"/>
        <w:rPr>
          <w:rFonts w:ascii="Times New Roman" w:hAnsi="Times New Roman"/>
        </w:rPr>
      </w:pPr>
    </w:p>
    <w:p w:rsidR="00524C96" w:rsidRPr="00524C96" w14:paraId="40DB8F6C" w14:textId="77777777">
      <w:pPr>
        <w:tabs>
          <w:tab w:val="left" w:pos="-720"/>
        </w:tabs>
        <w:suppressAutoHyphens/>
        <w:rPr>
          <w:rFonts w:ascii="Times New Roman" w:hAnsi="Times New Roman"/>
          <w:sz w:val="16"/>
          <w:szCs w:val="16"/>
        </w:rPr>
      </w:pPr>
    </w:p>
    <w:p w:rsidR="00386054" w:rsidRPr="00572524" w14:paraId="421A018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7ABA0D21" w14:textId="77777777">
      <w:pPr>
        <w:tabs>
          <w:tab w:val="left" w:pos="-720"/>
        </w:tabs>
        <w:suppressAutoHyphens/>
        <w:rPr>
          <w:rStyle w:val="a"/>
          <w:rFonts w:ascii="Times New Roman" w:hAnsi="Times New Roman"/>
          <w:szCs w:val="24"/>
        </w:rPr>
      </w:pPr>
    </w:p>
    <w:p w:rsidR="00B81EAB" w:rsidRPr="0083061C" w:rsidP="00425F9A" w14:paraId="4E96B0CF"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sidR="0095183B">
        <w:rPr>
          <w:rFonts w:ascii="Times New Roman" w:hAnsi="Times New Roman"/>
        </w:rPr>
        <w:t xml:space="preserve"> </w:t>
      </w:r>
      <w:r w:rsidRPr="0083061C">
        <w:rPr>
          <w:rFonts w:ascii="Times New Roman" w:hAnsi="Times New Roman"/>
        </w:rPr>
        <w:t>of OMB Form 83-I</w:t>
      </w:r>
      <w:r w:rsidR="0095183B">
        <w:rPr>
          <w:rFonts w:ascii="Times New Roman" w:hAnsi="Times New Roman"/>
        </w:rPr>
        <w:t>”.</w:t>
      </w:r>
    </w:p>
    <w:p w:rsidR="00B81EAB" w:rsidRPr="00EF7FF5" w14:paraId="0609DEED" w14:textId="77777777">
      <w:pPr>
        <w:tabs>
          <w:tab w:val="left" w:pos="-720"/>
        </w:tabs>
        <w:suppressAutoHyphens/>
        <w:rPr>
          <w:rFonts w:ascii="Times New Roman" w:hAnsi="Times New Roman"/>
          <w:szCs w:val="24"/>
        </w:rPr>
      </w:pPr>
    </w:p>
    <w:sectPr w:rsidSect="00E07290">
      <w:headerReference w:type="default" r:id="rId20"/>
      <w:footerReference w:type="default" r:id="rId2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11B52" w14:paraId="36D43048" w14:textId="77777777">
      <w:pPr>
        <w:spacing w:line="20" w:lineRule="exact"/>
      </w:pPr>
    </w:p>
  </w:endnote>
  <w:endnote w:type="continuationSeparator" w:id="1">
    <w:p w:rsidR="00D11B52" w14:paraId="77D43D04" w14:textId="77777777">
      <w:r>
        <w:t xml:space="preserve"> </w:t>
      </w:r>
    </w:p>
  </w:endnote>
  <w:endnote w:type="continuationNotice" w:id="2">
    <w:p w:rsidR="00D11B52" w14:paraId="39E1A22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98B7D30" w14:textId="77777777">
    <w:pPr>
      <w:spacing w:before="140" w:line="100" w:lineRule="exact"/>
      <w:rPr>
        <w:sz w:val="10"/>
      </w:rPr>
    </w:pPr>
  </w:p>
  <w:p w:rsidR="00386054" w14:paraId="774EA1D4" w14:textId="77777777">
    <w:pPr>
      <w:tabs>
        <w:tab w:val="left" w:pos="0"/>
      </w:tabs>
      <w:suppressAutoHyphens/>
    </w:pPr>
  </w:p>
  <w:p w:rsidR="00386054" w14:paraId="1EA34AE9"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paraId="144966D2" w14:textId="77777777">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03009DD8">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1B52" w14:paraId="497A3A9F" w14:textId="77777777">
      <w:r>
        <w:separator/>
      </w:r>
    </w:p>
  </w:footnote>
  <w:footnote w:type="continuationSeparator" w:id="1">
    <w:p w:rsidR="00D11B52" w14:paraId="1F162FCA" w14:textId="77777777">
      <w:r>
        <w:continuationSeparator/>
      </w:r>
    </w:p>
  </w:footnote>
  <w:footnote w:id="2">
    <w:p w:rsidR="00386054" w14:paraId="0AB55F2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6B0FF504"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122" w14:paraId="4FD7F536" w14:textId="77777777">
    <w:pPr>
      <w:pStyle w:val="Header"/>
      <w:rPr>
        <w:rFonts w:ascii="Times New Roman" w:hAnsi="Times New Roman"/>
        <w:sz w:val="20"/>
      </w:rPr>
    </w:pPr>
    <w:r>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5D5D70"/>
    <w:multiLevelType w:val="hybridMultilevel"/>
    <w:tmpl w:val="7D548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0039408">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154948893">
    <w:abstractNumId w:val="9"/>
  </w:num>
  <w:num w:numId="3" w16cid:durableId="1943486962">
    <w:abstractNumId w:val="6"/>
  </w:num>
  <w:num w:numId="4" w16cid:durableId="701246781">
    <w:abstractNumId w:val="16"/>
  </w:num>
  <w:num w:numId="5" w16cid:durableId="1872718058">
    <w:abstractNumId w:val="1"/>
  </w:num>
  <w:num w:numId="6" w16cid:durableId="1213074456">
    <w:abstractNumId w:val="3"/>
  </w:num>
  <w:num w:numId="7" w16cid:durableId="36512948">
    <w:abstractNumId w:val="11"/>
  </w:num>
  <w:num w:numId="8" w16cid:durableId="1871380617">
    <w:abstractNumId w:val="10"/>
  </w:num>
  <w:num w:numId="9" w16cid:durableId="1468667376">
    <w:abstractNumId w:val="13"/>
  </w:num>
  <w:num w:numId="10" w16cid:durableId="699204019">
    <w:abstractNumId w:val="18"/>
  </w:num>
  <w:num w:numId="11" w16cid:durableId="1904872606">
    <w:abstractNumId w:val="7"/>
  </w:num>
  <w:num w:numId="12" w16cid:durableId="944384525">
    <w:abstractNumId w:val="14"/>
  </w:num>
  <w:num w:numId="13" w16cid:durableId="1220821118">
    <w:abstractNumId w:val="5"/>
  </w:num>
  <w:num w:numId="14" w16cid:durableId="98183572">
    <w:abstractNumId w:val="4"/>
  </w:num>
  <w:num w:numId="15" w16cid:durableId="1440947775">
    <w:abstractNumId w:val="8"/>
  </w:num>
  <w:num w:numId="16" w16cid:durableId="1041440647">
    <w:abstractNumId w:val="17"/>
  </w:num>
  <w:num w:numId="17" w16cid:durableId="145628732">
    <w:abstractNumId w:val="19"/>
  </w:num>
  <w:num w:numId="18" w16cid:durableId="1275483129">
    <w:abstractNumId w:val="12"/>
  </w:num>
  <w:num w:numId="19" w16cid:durableId="969702927">
    <w:abstractNumId w:val="2"/>
  </w:num>
  <w:num w:numId="20" w16cid:durableId="1860242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5CE"/>
    <w:rsid w:val="0000550E"/>
    <w:rsid w:val="00005F90"/>
    <w:rsid w:val="000124FD"/>
    <w:rsid w:val="0002637C"/>
    <w:rsid w:val="00050CBE"/>
    <w:rsid w:val="00051AF5"/>
    <w:rsid w:val="00053043"/>
    <w:rsid w:val="000909E0"/>
    <w:rsid w:val="00095AA3"/>
    <w:rsid w:val="000B14D8"/>
    <w:rsid w:val="000B3DEB"/>
    <w:rsid w:val="000D0BB1"/>
    <w:rsid w:val="000E3ECE"/>
    <w:rsid w:val="000E592D"/>
    <w:rsid w:val="000F175B"/>
    <w:rsid w:val="001172C5"/>
    <w:rsid w:val="00136B0B"/>
    <w:rsid w:val="0014500F"/>
    <w:rsid w:val="00152287"/>
    <w:rsid w:val="00153F20"/>
    <w:rsid w:val="001656EA"/>
    <w:rsid w:val="001743A5"/>
    <w:rsid w:val="0018279C"/>
    <w:rsid w:val="001839A4"/>
    <w:rsid w:val="00184F57"/>
    <w:rsid w:val="0019742E"/>
    <w:rsid w:val="001D7524"/>
    <w:rsid w:val="002130F6"/>
    <w:rsid w:val="00215C95"/>
    <w:rsid w:val="00232212"/>
    <w:rsid w:val="00237C58"/>
    <w:rsid w:val="0024181C"/>
    <w:rsid w:val="002473CE"/>
    <w:rsid w:val="0027077A"/>
    <w:rsid w:val="00271C21"/>
    <w:rsid w:val="0027712F"/>
    <w:rsid w:val="002819D8"/>
    <w:rsid w:val="00287BEA"/>
    <w:rsid w:val="00294CFE"/>
    <w:rsid w:val="00297C42"/>
    <w:rsid w:val="00297C5E"/>
    <w:rsid w:val="002B0412"/>
    <w:rsid w:val="002B0A95"/>
    <w:rsid w:val="00311AA2"/>
    <w:rsid w:val="0032493C"/>
    <w:rsid w:val="00326C47"/>
    <w:rsid w:val="00335AF9"/>
    <w:rsid w:val="00344D9C"/>
    <w:rsid w:val="0035309F"/>
    <w:rsid w:val="00353F23"/>
    <w:rsid w:val="00386054"/>
    <w:rsid w:val="0039757D"/>
    <w:rsid w:val="003B3692"/>
    <w:rsid w:val="003C29C2"/>
    <w:rsid w:val="003C7F70"/>
    <w:rsid w:val="003D5D70"/>
    <w:rsid w:val="003E237A"/>
    <w:rsid w:val="003E285A"/>
    <w:rsid w:val="00403901"/>
    <w:rsid w:val="00423550"/>
    <w:rsid w:val="00425F9A"/>
    <w:rsid w:val="004312AA"/>
    <w:rsid w:val="00433146"/>
    <w:rsid w:val="00443178"/>
    <w:rsid w:val="00460282"/>
    <w:rsid w:val="00484EA0"/>
    <w:rsid w:val="004A2DBB"/>
    <w:rsid w:val="004D7796"/>
    <w:rsid w:val="004E23D9"/>
    <w:rsid w:val="004F692A"/>
    <w:rsid w:val="004F78C6"/>
    <w:rsid w:val="00511091"/>
    <w:rsid w:val="00512598"/>
    <w:rsid w:val="00524C96"/>
    <w:rsid w:val="00561272"/>
    <w:rsid w:val="00563CCF"/>
    <w:rsid w:val="00572524"/>
    <w:rsid w:val="0059392D"/>
    <w:rsid w:val="005A1566"/>
    <w:rsid w:val="005A1DFC"/>
    <w:rsid w:val="005A4185"/>
    <w:rsid w:val="005B14F9"/>
    <w:rsid w:val="005C2529"/>
    <w:rsid w:val="005D2E7B"/>
    <w:rsid w:val="005D4609"/>
    <w:rsid w:val="0062067E"/>
    <w:rsid w:val="00622ED0"/>
    <w:rsid w:val="00626BFD"/>
    <w:rsid w:val="006340E3"/>
    <w:rsid w:val="0063484C"/>
    <w:rsid w:val="00654305"/>
    <w:rsid w:val="00657299"/>
    <w:rsid w:val="006737C0"/>
    <w:rsid w:val="00677BC2"/>
    <w:rsid w:val="006841FB"/>
    <w:rsid w:val="006A3B5C"/>
    <w:rsid w:val="006A530B"/>
    <w:rsid w:val="006A7CA8"/>
    <w:rsid w:val="006B2A3E"/>
    <w:rsid w:val="006C01D0"/>
    <w:rsid w:val="006E4747"/>
    <w:rsid w:val="006F2BFD"/>
    <w:rsid w:val="00751216"/>
    <w:rsid w:val="00751AB3"/>
    <w:rsid w:val="00751AE8"/>
    <w:rsid w:val="0076329F"/>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A348F"/>
    <w:rsid w:val="008A3D41"/>
    <w:rsid w:val="008E7775"/>
    <w:rsid w:val="008F3062"/>
    <w:rsid w:val="00905009"/>
    <w:rsid w:val="009212F2"/>
    <w:rsid w:val="00921CB1"/>
    <w:rsid w:val="009275D0"/>
    <w:rsid w:val="0095183B"/>
    <w:rsid w:val="009544A3"/>
    <w:rsid w:val="00954BFF"/>
    <w:rsid w:val="0099395D"/>
    <w:rsid w:val="009949A8"/>
    <w:rsid w:val="009A1449"/>
    <w:rsid w:val="009D75F8"/>
    <w:rsid w:val="009E3C86"/>
    <w:rsid w:val="00A01331"/>
    <w:rsid w:val="00A128F0"/>
    <w:rsid w:val="00A22BD9"/>
    <w:rsid w:val="00A41F2C"/>
    <w:rsid w:val="00A87940"/>
    <w:rsid w:val="00A94CCB"/>
    <w:rsid w:val="00AA03C5"/>
    <w:rsid w:val="00AA5C59"/>
    <w:rsid w:val="00AB0D7D"/>
    <w:rsid w:val="00AC1FA8"/>
    <w:rsid w:val="00AC3176"/>
    <w:rsid w:val="00AE792F"/>
    <w:rsid w:val="00B13B0A"/>
    <w:rsid w:val="00B1656C"/>
    <w:rsid w:val="00B16DB3"/>
    <w:rsid w:val="00B23EC0"/>
    <w:rsid w:val="00B413E9"/>
    <w:rsid w:val="00B625A1"/>
    <w:rsid w:val="00B81EAB"/>
    <w:rsid w:val="00B927B8"/>
    <w:rsid w:val="00BB63CD"/>
    <w:rsid w:val="00BB7BC0"/>
    <w:rsid w:val="00BC244F"/>
    <w:rsid w:val="00BD1325"/>
    <w:rsid w:val="00BD1E9D"/>
    <w:rsid w:val="00BF1E7E"/>
    <w:rsid w:val="00C0373B"/>
    <w:rsid w:val="00C25189"/>
    <w:rsid w:val="00C32E01"/>
    <w:rsid w:val="00C41A2A"/>
    <w:rsid w:val="00C4679F"/>
    <w:rsid w:val="00C557EB"/>
    <w:rsid w:val="00C641E9"/>
    <w:rsid w:val="00C723C2"/>
    <w:rsid w:val="00CB0C21"/>
    <w:rsid w:val="00CC6F25"/>
    <w:rsid w:val="00CD40F8"/>
    <w:rsid w:val="00CE72AF"/>
    <w:rsid w:val="00D07B13"/>
    <w:rsid w:val="00D115BF"/>
    <w:rsid w:val="00D11B52"/>
    <w:rsid w:val="00D269C3"/>
    <w:rsid w:val="00D47479"/>
    <w:rsid w:val="00D52676"/>
    <w:rsid w:val="00D5290B"/>
    <w:rsid w:val="00D57B29"/>
    <w:rsid w:val="00D91910"/>
    <w:rsid w:val="00DE7122"/>
    <w:rsid w:val="00E023B7"/>
    <w:rsid w:val="00E03202"/>
    <w:rsid w:val="00E03EA0"/>
    <w:rsid w:val="00E07290"/>
    <w:rsid w:val="00E10433"/>
    <w:rsid w:val="00E141BC"/>
    <w:rsid w:val="00E15CE1"/>
    <w:rsid w:val="00E204FC"/>
    <w:rsid w:val="00E233A2"/>
    <w:rsid w:val="00E274C4"/>
    <w:rsid w:val="00E3396F"/>
    <w:rsid w:val="00E54EAB"/>
    <w:rsid w:val="00E809A4"/>
    <w:rsid w:val="00EA3C1F"/>
    <w:rsid w:val="00EB5166"/>
    <w:rsid w:val="00EB7E8D"/>
    <w:rsid w:val="00EC2CC4"/>
    <w:rsid w:val="00EE088E"/>
    <w:rsid w:val="00EF7FF5"/>
    <w:rsid w:val="00F13131"/>
    <w:rsid w:val="00F30CEE"/>
    <w:rsid w:val="00F30EE1"/>
    <w:rsid w:val="00F313DF"/>
    <w:rsid w:val="00F3508B"/>
    <w:rsid w:val="00F45FED"/>
    <w:rsid w:val="00F64EBF"/>
    <w:rsid w:val="00FA4F77"/>
    <w:rsid w:val="00FC38C8"/>
    <w:rsid w:val="00FE4DD6"/>
    <w:rsid w:val="00FE6B58"/>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4AD189"/>
  <w15:docId w15:val="{8EC2CD9A-D561-4D8D-9C62-59A1667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ommerce.gov/esa/us-census-bureau" TargetMode="External" /><Relationship Id="rId11" Type="http://schemas.openxmlformats.org/officeDocument/2006/relationships/hyperlink" Target="http://www.commerce.gov/economic-development-administration" TargetMode="External" /><Relationship Id="rId12" Type="http://schemas.openxmlformats.org/officeDocument/2006/relationships/hyperlink" Target="http://www.commerce.gov/economics-and-statistics-administration" TargetMode="External" /><Relationship Id="rId13" Type="http://schemas.openxmlformats.org/officeDocument/2006/relationships/hyperlink" Target="http://www.commerce.gov/international-trade-administration" TargetMode="External" /><Relationship Id="rId14" Type="http://schemas.openxmlformats.org/officeDocument/2006/relationships/hyperlink" Target="http://www.commerce.gov/minority-business-development-agency" TargetMode="External" /><Relationship Id="rId15" Type="http://schemas.openxmlformats.org/officeDocument/2006/relationships/hyperlink" Target="http://www.commerce.gov/national-institute-standards-and-technology" TargetMode="External" /><Relationship Id="rId16" Type="http://schemas.openxmlformats.org/officeDocument/2006/relationships/hyperlink" Target="http://www.commerce.gov/national-technical-information-service" TargetMode="External" /><Relationship Id="rId17" Type="http://schemas.openxmlformats.org/officeDocument/2006/relationships/hyperlink" Target="http://www.commerce.gov/national-telecommunications-and-information-administration" TargetMode="External" /><Relationship Id="rId18" Type="http://schemas.openxmlformats.org/officeDocument/2006/relationships/hyperlink" Target="http://www.commerce.gov/united-states-patent-and-trademark-office" TargetMode="External" /><Relationship Id="rId19" Type="http://schemas.openxmlformats.org/officeDocument/2006/relationships/hyperlink" Target="http://www.commerce.gov/office-secretary" TargetMode="External" /><Relationship Id="rId2" Type="http://schemas.openxmlformats.org/officeDocument/2006/relationships/endnotes" Target="endnote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yperlink" Target="http://www.commerce.gov/bureau-industry-and-securit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D22F-293D-432E-A727-82199453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Dumas, Sheleen (Federal)</cp:lastModifiedBy>
  <cp:revision>2</cp:revision>
  <cp:lastPrinted>2016-05-23T15:22:00Z</cp:lastPrinted>
  <dcterms:created xsi:type="dcterms:W3CDTF">2023-09-19T12:31:00Z</dcterms:created>
  <dcterms:modified xsi:type="dcterms:W3CDTF">2023-09-19T12:31:00Z</dcterms:modified>
</cp:coreProperties>
</file>