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B5475B" w14:paraId="0BC33910" w14:textId="689047B1">
      <w:pPr>
        <w:pStyle w:val="Title"/>
        <w:spacing w:before="120" w:after="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B5475B" w:rsidP="00B5475B" w14:paraId="30B0E5FA" w14:textId="77777777">
      <w:pPr>
        <w:pStyle w:val="Title"/>
        <w:spacing w:before="0" w:after="0"/>
        <w:rPr>
          <w:rFonts w:ascii="Times New Roman" w:hAnsi="Times New Roman"/>
          <w:sz w:val="24"/>
          <w:szCs w:val="24"/>
        </w:rPr>
      </w:pPr>
      <w:r>
        <w:rPr>
          <w:rFonts w:ascii="Times New Roman" w:hAnsi="Times New Roman"/>
          <w:sz w:val="24"/>
          <w:szCs w:val="24"/>
        </w:rPr>
        <w:t>U. S. Department of Commerce</w:t>
      </w:r>
    </w:p>
    <w:p w:rsidR="00B5475B" w:rsidP="00B5475B" w14:paraId="0D737C45" w14:textId="77777777">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B5475B" w:rsidP="00B5475B" w14:paraId="22730B61" w14:textId="7777777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B5475B" w:rsidP="00B5475B" w14:paraId="32885770" w14:textId="6A73695F">
      <w:pPr>
        <w:autoSpaceDE w:val="0"/>
        <w:autoSpaceDN w:val="0"/>
        <w:adjustRightInd w:val="0"/>
        <w:jc w:val="center"/>
        <w:rPr>
          <w:rFonts w:ascii="Times New Roman" w:hAnsi="Times New Roman"/>
          <w:b/>
          <w:bCs/>
          <w:szCs w:val="24"/>
        </w:rPr>
      </w:pPr>
      <w:r w:rsidRPr="00954BFF">
        <w:rPr>
          <w:rFonts w:ascii="Times New Roman" w:hAnsi="Times New Roman"/>
          <w:b/>
          <w:bCs/>
          <w:szCs w:val="24"/>
        </w:rPr>
        <w:t>OMB Control No. 0690-</w:t>
      </w:r>
      <w:r w:rsidR="00A103FD">
        <w:rPr>
          <w:rFonts w:ascii="Times New Roman" w:hAnsi="Times New Roman"/>
          <w:b/>
          <w:bCs/>
          <w:szCs w:val="24"/>
        </w:rPr>
        <w:t>0035</w:t>
      </w:r>
    </w:p>
    <w:p w:rsidR="00B5475B" w:rsidRPr="00954BFF" w:rsidP="00B5475B" w14:paraId="2F93F199" w14:textId="77777777">
      <w:pPr>
        <w:autoSpaceDE w:val="0"/>
        <w:autoSpaceDN w:val="0"/>
        <w:adjustRightInd w:val="0"/>
        <w:jc w:val="center"/>
        <w:rPr>
          <w:rFonts w:ascii="Times New Roman" w:hAnsi="Times New Roman"/>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B5475B" w:rsidP="00EC14C9" w14:paraId="5874EBDC" w14:textId="77777777">
      <w:pPr>
        <w:rPr>
          <w:rFonts w:ascii="Times New Roman" w:hAnsi="Times New Roman"/>
          <w:b/>
          <w:sz w:val="16"/>
          <w:szCs w:val="16"/>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B5475B" w:rsidP="00EC14C9" w14:paraId="620F3B49" w14:textId="77777777">
      <w:pPr>
        <w:pStyle w:val="ListParagraph"/>
        <w:ind w:left="360"/>
        <w:rPr>
          <w:rFonts w:ascii="Times New Roman" w:hAnsi="Times New Roman"/>
          <w:b/>
          <w:sz w:val="8"/>
          <w:szCs w:val="8"/>
        </w:rPr>
      </w:pPr>
    </w:p>
    <w:p w:rsidR="008739E8" w:rsidRPr="00B5475B" w:rsidP="00EC14C9" w14:paraId="465C1BE1" w14:textId="77777777">
      <w:pPr>
        <w:pStyle w:val="ListParagraph"/>
        <w:ind w:left="360"/>
        <w:rPr>
          <w:rFonts w:ascii="Times New Roman" w:hAnsi="Times New Roman"/>
          <w:sz w:val="10"/>
          <w:szCs w:val="10"/>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RPr="00B5475B" w:rsidP="00EC14C9" w14:paraId="6D1A59B8" w14:textId="77777777">
      <w:pPr>
        <w:pStyle w:val="ListParagraph"/>
        <w:ind w:left="360"/>
        <w:rPr>
          <w:rFonts w:ascii="Times New Roman" w:hAnsi="Times New Roman"/>
          <w:sz w:val="8"/>
          <w:szCs w:val="8"/>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B5475B" w:rsidP="00EC14C9" w14:paraId="3FE2A631" w14:textId="77777777">
      <w:pPr>
        <w:pStyle w:val="ListParagraph"/>
        <w:ind w:left="360"/>
        <w:rPr>
          <w:rFonts w:ascii="Times New Roman" w:hAnsi="Times New Roman"/>
          <w:sz w:val="8"/>
          <w:szCs w:val="8"/>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B5475B" w:rsidP="00EC14C9" w14:paraId="49577BD6" w14:textId="77777777">
      <w:pPr>
        <w:pStyle w:val="ListParagraph"/>
        <w:ind w:left="360"/>
        <w:rPr>
          <w:rFonts w:ascii="Times New Roman" w:hAnsi="Times New Roman"/>
          <w:sz w:val="8"/>
          <w:szCs w:val="8"/>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B5475B" w:rsidP="00EC14C9" w14:paraId="05E316CC" w14:textId="77777777">
      <w:pPr>
        <w:pStyle w:val="ListParagraph"/>
        <w:ind w:left="360"/>
        <w:rPr>
          <w:rFonts w:ascii="Times New Roman" w:hAnsi="Times New Roman"/>
          <w:b/>
          <w:sz w:val="16"/>
          <w:szCs w:val="16"/>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B5475B" w:rsidP="00EC14C9" w14:paraId="17307CD4" w14:textId="77777777">
      <w:pPr>
        <w:pStyle w:val="ListParagraph"/>
        <w:ind w:left="360"/>
        <w:rPr>
          <w:rFonts w:ascii="Times New Roman" w:hAnsi="Times New Roman"/>
          <w:b/>
          <w:sz w:val="8"/>
          <w:szCs w:val="8"/>
        </w:rPr>
      </w:pPr>
    </w:p>
    <w:p w:rsidR="00EC14C9" w:rsidRPr="00EC14C9" w:rsidP="00EC14C9" w14:paraId="3A31A05E" w14:textId="7254F2B8">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4A16E6">
        <w:rPr>
          <w:rFonts w:ascii="Times New Roman" w:hAnsi="Times New Roman"/>
        </w:rPr>
        <w:t>The Agency</w:t>
      </w:r>
      <w:r w:rsidRPr="00EC14C9">
        <w:rPr>
          <w:rFonts w:ascii="Times New Roman" w:hAnsi="Times New Roman"/>
        </w:rPr>
        <w:t xml:space="preserve"> expects to use a variety of methodologies for these collections. For example, the </w:t>
      </w:r>
      <w:r w:rsidR="004A16E6">
        <w:rPr>
          <w:rFonts w:ascii="Times New Roman" w:hAnsi="Times New Roman"/>
        </w:rPr>
        <w:t>Agency</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sidR="004A16E6">
        <w:rPr>
          <w:rFonts w:ascii="Times New Roman" w:hAnsi="Times New Roman"/>
        </w:rPr>
        <w:t>Agency</w:t>
      </w:r>
      <w:r w:rsidRPr="00EC14C9">
        <w:rPr>
          <w:rFonts w:ascii="Times New Roman" w:hAnsi="Times New Roman"/>
        </w:rPr>
        <w:t>’s web site.  Telephone scripts, personal interviews, and focus groups with professional guidance and moderation may also be used.</w:t>
      </w:r>
    </w:p>
    <w:p w:rsidR="00EC14C9" w:rsidRPr="00B5475B" w:rsidP="00EC14C9" w14:paraId="23DA7922" w14:textId="4F4CB7A3">
      <w:pPr>
        <w:rPr>
          <w:rFonts w:ascii="Times New Roman" w:hAnsi="Times New Roman"/>
          <w:b/>
          <w:sz w:val="16"/>
          <w:szCs w:val="16"/>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B5475B" w:rsidP="00EC14C9" w14:paraId="4F8920D5" w14:textId="77777777">
      <w:pPr>
        <w:pStyle w:val="ListParagraph"/>
        <w:ind w:left="360"/>
        <w:rPr>
          <w:rFonts w:ascii="Times New Roman" w:hAnsi="Times New Roman"/>
          <w:sz w:val="8"/>
          <w:szCs w:val="8"/>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B5475B" w:rsidP="00EC14C9" w14:paraId="2DEC9202" w14:textId="77777777">
      <w:pPr>
        <w:pStyle w:val="ListParagraph"/>
        <w:ind w:left="360"/>
        <w:rPr>
          <w:rFonts w:ascii="Times New Roman" w:hAnsi="Times New Roman"/>
          <w:b/>
          <w:sz w:val="10"/>
          <w:szCs w:val="10"/>
        </w:rPr>
      </w:pPr>
    </w:p>
    <w:p w:rsidR="00EC14C9" w:rsidP="00B5475B" w14:paraId="67AA3522" w14:textId="5592E4FF">
      <w:pPr>
        <w:pStyle w:val="ListParagraph"/>
        <w:numPr>
          <w:ilvl w:val="0"/>
          <w:numId w:val="16"/>
        </w:numPr>
        <w:spacing w:after="240"/>
        <w:rPr>
          <w:rFonts w:ascii="Times New Roman" w:hAnsi="Times New Roman"/>
          <w:b/>
        </w:rPr>
      </w:pPr>
      <w:r w:rsidRPr="00EC14C9">
        <w:rPr>
          <w:rFonts w:ascii="Times New Roman" w:hAnsi="Times New Roman"/>
          <w:b/>
        </w:rPr>
        <w:t>Testing of Procedures</w:t>
      </w:r>
    </w:p>
    <w:p w:rsidR="00B5475B" w:rsidRPr="00B5475B" w:rsidP="00B5475B" w14:paraId="7F67DD6E" w14:textId="77777777">
      <w:pPr>
        <w:pStyle w:val="ListParagraph"/>
        <w:ind w:left="360"/>
        <w:rPr>
          <w:rFonts w:ascii="Times New Roman" w:hAnsi="Times New Roman"/>
          <w:b/>
          <w:sz w:val="6"/>
          <w:szCs w:val="6"/>
        </w:rPr>
      </w:pPr>
    </w:p>
    <w:p w:rsidR="00B81EAB" w:rsidRPr="00EC14C9" w:rsidP="00B5475B" w14:paraId="46F92D7E" w14:textId="550D1275">
      <w:pPr>
        <w:pStyle w:val="ListParagraph"/>
        <w:ind w:left="360"/>
        <w:rPr>
          <w:rFonts w:ascii="Times New Roman" w:hAnsi="Times New Roman"/>
          <w:szCs w:val="24"/>
        </w:rPr>
      </w:pPr>
      <w:r w:rsidRPr="00EC14C9">
        <w:rPr>
          <w:rFonts w:ascii="Times New Roman" w:hAnsi="Times New Roman"/>
          <w:b/>
        </w:rPr>
        <w:t xml:space="preserve"> </w:t>
      </w: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1C1D" w14:paraId="06176566" w14:textId="77777777">
      <w:pPr>
        <w:spacing w:line="20" w:lineRule="exact"/>
      </w:pPr>
    </w:p>
  </w:endnote>
  <w:endnote w:type="continuationSeparator" w:id="1">
    <w:p w:rsidR="007B1C1D" w14:paraId="032D5CE5" w14:textId="77777777">
      <w:r>
        <w:t xml:space="preserve"> </w:t>
      </w:r>
    </w:p>
  </w:endnote>
  <w:endnote w:type="continuationNotice" w:id="2">
    <w:p w:rsidR="007B1C1D" w14:paraId="151724E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1C1D" w14:paraId="49706A5E" w14:textId="77777777">
      <w:r>
        <w:separator/>
      </w:r>
    </w:p>
  </w:footnote>
  <w:footnote w:type="continuationSeparator" w:id="1">
    <w:p w:rsidR="007B1C1D" w14:paraId="316DC3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6615883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237940825">
    <w:abstractNumId w:val="9"/>
  </w:num>
  <w:num w:numId="3" w16cid:durableId="1060519238">
    <w:abstractNumId w:val="6"/>
  </w:num>
  <w:num w:numId="4" w16cid:durableId="253058328">
    <w:abstractNumId w:val="14"/>
  </w:num>
  <w:num w:numId="5" w16cid:durableId="1077022245">
    <w:abstractNumId w:val="1"/>
  </w:num>
  <w:num w:numId="6" w16cid:durableId="329524839">
    <w:abstractNumId w:val="2"/>
  </w:num>
  <w:num w:numId="7" w16cid:durableId="2100176431">
    <w:abstractNumId w:val="11"/>
  </w:num>
  <w:num w:numId="8" w16cid:durableId="1959876968">
    <w:abstractNumId w:val="10"/>
  </w:num>
  <w:num w:numId="9" w16cid:durableId="1227375340">
    <w:abstractNumId w:val="12"/>
  </w:num>
  <w:num w:numId="10" w16cid:durableId="1493177586">
    <w:abstractNumId w:val="15"/>
  </w:num>
  <w:num w:numId="11" w16cid:durableId="1784956170">
    <w:abstractNumId w:val="7"/>
  </w:num>
  <w:num w:numId="12" w16cid:durableId="1396319612">
    <w:abstractNumId w:val="13"/>
  </w:num>
  <w:num w:numId="13" w16cid:durableId="1837769975">
    <w:abstractNumId w:val="4"/>
  </w:num>
  <w:num w:numId="14" w16cid:durableId="1083260016">
    <w:abstractNumId w:val="3"/>
  </w:num>
  <w:num w:numId="15" w16cid:durableId="363948968">
    <w:abstractNumId w:val="8"/>
  </w:num>
  <w:num w:numId="16" w16cid:durableId="1804422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16E6"/>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B1C1D"/>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54BFF"/>
    <w:rsid w:val="009949A8"/>
    <w:rsid w:val="009A1449"/>
    <w:rsid w:val="00A01331"/>
    <w:rsid w:val="00A103FD"/>
    <w:rsid w:val="00A22BD9"/>
    <w:rsid w:val="00A41F2C"/>
    <w:rsid w:val="00A87940"/>
    <w:rsid w:val="00A94CCB"/>
    <w:rsid w:val="00AA03C5"/>
    <w:rsid w:val="00AA5C59"/>
    <w:rsid w:val="00AB0D7D"/>
    <w:rsid w:val="00AC1FA8"/>
    <w:rsid w:val="00AC3176"/>
    <w:rsid w:val="00B06950"/>
    <w:rsid w:val="00B1656C"/>
    <w:rsid w:val="00B23EC0"/>
    <w:rsid w:val="00B413E9"/>
    <w:rsid w:val="00B5475B"/>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Sheleen Dumas</cp:lastModifiedBy>
  <cp:revision>2</cp:revision>
  <cp:lastPrinted>2016-05-23T15:22:00Z</cp:lastPrinted>
  <dcterms:created xsi:type="dcterms:W3CDTF">2023-09-15T19:45:00Z</dcterms:created>
  <dcterms:modified xsi:type="dcterms:W3CDTF">2023-09-15T19:45:00Z</dcterms:modified>
</cp:coreProperties>
</file>