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RPr="00111581" w:rsidP="00566045" w14:paraId="3A382652" w14:textId="36B9E8F7">
      <w:pPr>
        <w:pStyle w:val="NormalWeb"/>
        <w:tabs>
          <w:tab w:val="left" w:pos="360"/>
          <w:tab w:val="left" w:pos="720"/>
          <w:tab w:val="left" w:pos="1080"/>
          <w:tab w:val="left" w:pos="1440"/>
        </w:tabs>
        <w:spacing w:before="0" w:beforeAutospacing="0" w:after="0" w:afterAutospacing="0"/>
        <w:jc w:val="center"/>
        <w:rPr>
          <w:u w:val="single"/>
        </w:rPr>
      </w:pPr>
      <w:bookmarkStart w:id="0" w:name="cs31d"/>
      <w:r w:rsidRPr="00111581">
        <w:rPr>
          <w:u w:val="single"/>
        </w:rPr>
        <w:t>SUPPORTING STATEMENT</w:t>
      </w:r>
      <w:r w:rsidR="00B83DF8">
        <w:rPr>
          <w:u w:val="single"/>
        </w:rPr>
        <w:t xml:space="preserve"> – PART A</w:t>
      </w:r>
    </w:p>
    <w:p w:rsidR="00566045" w:rsidP="00566045" w14:paraId="339D1518" w14:textId="4DDAEC40">
      <w:pPr>
        <w:pStyle w:val="NormalWeb"/>
        <w:tabs>
          <w:tab w:val="left" w:pos="360"/>
          <w:tab w:val="left" w:pos="720"/>
          <w:tab w:val="left" w:pos="1080"/>
          <w:tab w:val="left" w:pos="1440"/>
        </w:tabs>
        <w:spacing w:before="0" w:beforeAutospacing="0" w:after="0" w:afterAutospacing="0"/>
        <w:jc w:val="center"/>
        <w:rPr>
          <w:u w:val="single"/>
        </w:rPr>
      </w:pPr>
      <w:r w:rsidRPr="00111581">
        <w:rPr>
          <w:u w:val="single"/>
        </w:rPr>
        <w:t>Defense Federal Acquisition Regulation Supplement</w:t>
      </w:r>
      <w:r w:rsidR="00365AB4">
        <w:rPr>
          <w:u w:val="single"/>
        </w:rPr>
        <w:t xml:space="preserve"> Appendix I</w:t>
      </w:r>
    </w:p>
    <w:p w:rsidR="00BD0CD1" w:rsidRPr="00566045" w:rsidP="00566045" w14:paraId="4A28A976" w14:textId="445CB51E">
      <w:pPr>
        <w:pStyle w:val="NormalWeb"/>
        <w:tabs>
          <w:tab w:val="left" w:pos="360"/>
          <w:tab w:val="left" w:pos="720"/>
          <w:tab w:val="left" w:pos="1080"/>
          <w:tab w:val="left" w:pos="1440"/>
        </w:tabs>
        <w:spacing w:before="0" w:beforeAutospacing="0" w:after="0" w:afterAutospacing="0"/>
        <w:jc w:val="center"/>
        <w:rPr>
          <w:u w:val="single"/>
        </w:rPr>
      </w:pPr>
      <w:r w:rsidRPr="00BD0CD1">
        <w:t>OMB Control Number</w:t>
      </w:r>
      <w:r w:rsidRPr="00BD0CD1" w:rsidR="00234795">
        <w:t xml:space="preserve"> 0704-03</w:t>
      </w:r>
      <w:r w:rsidRPr="00BD0CD1">
        <w:t>32</w:t>
      </w:r>
      <w:bookmarkStart w:id="1" w:name="cp432"/>
      <w:bookmarkEnd w:id="0"/>
    </w:p>
    <w:p w:rsidR="00BD0CD1" w:rsidP="00BD0CD1" w14:paraId="6F2646CD" w14:textId="43C3DC74">
      <w:pPr>
        <w:pStyle w:val="NormalWeb"/>
        <w:tabs>
          <w:tab w:val="left" w:pos="360"/>
          <w:tab w:val="left" w:pos="720"/>
          <w:tab w:val="left" w:pos="1080"/>
          <w:tab w:val="left" w:pos="1440"/>
        </w:tabs>
        <w:spacing w:line="288" w:lineRule="atLeast"/>
      </w:pPr>
      <w:r>
        <w:t>Summary of Changes from Previously Approved Collection</w:t>
      </w:r>
    </w:p>
    <w:p w:rsidR="00BD0CD1" w:rsidP="00FE570C" w14:paraId="369DDD68" w14:textId="36153A47">
      <w:pPr>
        <w:pStyle w:val="NormalWeb"/>
        <w:numPr>
          <w:ilvl w:val="0"/>
          <w:numId w:val="2"/>
        </w:numPr>
        <w:tabs>
          <w:tab w:val="left" w:pos="360"/>
          <w:tab w:val="left" w:pos="1080"/>
          <w:tab w:val="left" w:pos="1440"/>
        </w:tabs>
        <w:spacing w:before="0" w:beforeAutospacing="0" w:after="0" w:afterAutospacing="0" w:line="288" w:lineRule="atLeast"/>
      </w:pPr>
      <w:r>
        <w:t xml:space="preserve">The burden was reduced </w:t>
      </w:r>
      <w:r w:rsidR="00987E0B">
        <w:t xml:space="preserve">slightly </w:t>
      </w:r>
      <w:r>
        <w:t xml:space="preserve">due to a decrease in the total number of </w:t>
      </w:r>
      <w:r>
        <w:t>respondents and total number of annual responses.</w:t>
      </w:r>
    </w:p>
    <w:p w:rsidR="005E0A0F" w:rsidRPr="00111581" w:rsidP="00AC5BD4" w14:paraId="6AA28FE9" w14:textId="2A771CF0">
      <w:pPr>
        <w:pStyle w:val="NormalWeb"/>
        <w:tabs>
          <w:tab w:val="left" w:pos="360"/>
          <w:tab w:val="left" w:pos="720"/>
          <w:tab w:val="left" w:pos="1080"/>
          <w:tab w:val="left" w:pos="1440"/>
        </w:tabs>
        <w:spacing w:line="288" w:lineRule="atLeast"/>
      </w:pPr>
      <w:r w:rsidRPr="00111581">
        <w:t>1.</w:t>
      </w:r>
      <w:r w:rsidRPr="00111581" w:rsidR="00856A56">
        <w:tab/>
      </w:r>
      <w:r w:rsidRPr="00111581">
        <w:rPr>
          <w:u w:val="single"/>
        </w:rPr>
        <w:t>Need for the Information Collection</w:t>
      </w:r>
    </w:p>
    <w:bookmarkEnd w:id="1"/>
    <w:p w:rsidR="002B45A0" w:rsidP="002B45A0" w14:paraId="08D49C52" w14:textId="78B0A2E7">
      <w:pPr>
        <w:pStyle w:val="NormalWeb"/>
        <w:tabs>
          <w:tab w:val="left" w:pos="360"/>
          <w:tab w:val="left" w:pos="720"/>
          <w:tab w:val="left" w:pos="1080"/>
          <w:tab w:val="left" w:pos="1440"/>
        </w:tabs>
        <w:spacing w:line="288" w:lineRule="atLeast"/>
      </w:pPr>
      <w:r w:rsidRPr="00111581">
        <w:tab/>
      </w:r>
      <w:r>
        <w:t>This justification supports a request for extension of an information collection requirement currently approved under OMB Control Number 0704-0332 for Defense Federal</w:t>
      </w:r>
      <w:r>
        <w:t xml:space="preserve"> Acquisition Regulation Supplement (DFARS) Appendix I.  Section 831 of the National Defense Authorization Act (NDAA) for Fiscal Year (FY) 1991 (Pub. L. 101-510, 10 U.S.C. 2302 Note, </w:t>
      </w:r>
      <w:r w:rsidR="00EE4AD0">
        <w:t xml:space="preserve">redesignated </w:t>
      </w:r>
      <w:r w:rsidR="00A442C1">
        <w:t>10 U.S.C. 4902</w:t>
      </w:r>
      <w:r>
        <w:t>) required DoD to establish the DoD Pilot Mento</w:t>
      </w:r>
      <w:r>
        <w:t xml:space="preserve">r-Protégé Program (the </w:t>
      </w:r>
      <w:r w:rsidR="00EE4AD0">
        <w:t>“</w:t>
      </w:r>
      <w:r>
        <w:t>Program”).</w:t>
      </w:r>
    </w:p>
    <w:p w:rsidR="002B45A0" w:rsidP="002B45A0" w14:paraId="5F7DA7B1" w14:textId="1A2270D5">
      <w:pPr>
        <w:pStyle w:val="NormalWeb"/>
        <w:tabs>
          <w:tab w:val="left" w:pos="360"/>
          <w:tab w:val="left" w:pos="720"/>
          <w:tab w:val="left" w:pos="1080"/>
          <w:tab w:val="left" w:pos="1440"/>
        </w:tabs>
        <w:spacing w:line="288" w:lineRule="atLeast"/>
      </w:pPr>
      <w:r>
        <w:tab/>
        <w:t xml:space="preserve">Congress requires DoD to collect certain information from program participants in section </w:t>
      </w:r>
      <w:r w:rsidR="00A442C1">
        <w:t>861, paragraph (b)(2),</w:t>
      </w:r>
      <w:r>
        <w:t xml:space="preserve"> of </w:t>
      </w:r>
      <w:r w:rsidR="00EE4AD0">
        <w:t>Public Law</w:t>
      </w:r>
      <w:r>
        <w:t xml:space="preserve"> 1</w:t>
      </w:r>
      <w:r w:rsidR="00A442C1">
        <w:t>14-92</w:t>
      </w:r>
      <w:r>
        <w:t xml:space="preserve">.  Thus, the need for this information collection is to comply with existing laws. </w:t>
      </w:r>
      <w:r w:rsidRPr="00467874">
        <w:t xml:space="preserve"> </w:t>
      </w:r>
      <w:r>
        <w:t>DoD</w:t>
      </w:r>
      <w:r>
        <w:t xml:space="preserve"> has incorporated these information collection requirements into the DFARS in section I-112 of Appendix I.  Program participants agree to comply with these information collection requirements when they execute their mentor-protégé agreements, receiving the</w:t>
      </w:r>
      <w:r>
        <w:t xml:space="preserve"> program’s benefits in consideration.</w:t>
      </w:r>
    </w:p>
    <w:p w:rsidR="002B45A0" w:rsidP="002B45A0" w14:paraId="72970A17" w14:textId="4A3D4DFB">
      <w:pPr>
        <w:pStyle w:val="NormalWeb"/>
        <w:tabs>
          <w:tab w:val="left" w:pos="360"/>
          <w:tab w:val="left" w:pos="720"/>
          <w:tab w:val="left" w:pos="1080"/>
          <w:tab w:val="left" w:pos="1440"/>
        </w:tabs>
        <w:spacing w:line="288" w:lineRule="atLeast"/>
      </w:pPr>
      <w:r>
        <w:tab/>
        <w:t xml:space="preserve">This information is necessary to ensure that participants are fulfilling their obligations under the mentor-protégé agreements and furthering the purpose of the Mentor-Protégé Program as required by section </w:t>
      </w:r>
      <w:r w:rsidR="00A442C1">
        <w:t>18</w:t>
      </w:r>
      <w:r>
        <w:t>(d)(7) o</w:t>
      </w:r>
      <w:r>
        <w:t>f the Small Business Act (15 U.S.C. 637(d)(7)</w:t>
      </w:r>
      <w:r w:rsidR="00B83DF8">
        <w:t>)</w:t>
      </w:r>
      <w:r w:rsidRPr="000A69A5">
        <w:t xml:space="preserve">.  </w:t>
      </w:r>
      <w:r>
        <w:t xml:space="preserve">In accordance with 10 U.S.C. 4902, </w:t>
      </w:r>
      <w:r w:rsidRPr="000A69A5">
        <w:t xml:space="preserve">DoD uses the information </w:t>
      </w:r>
      <w:r>
        <w:t>to decide whether to approve continuation of the agreement.  In addition, the information is necessary for program managers to direct developmental</w:t>
      </w:r>
      <w:r>
        <w:t xml:space="preserve"> assistance to the most appropriate small business concerns and to ensure the program meets the </w:t>
      </w:r>
      <w:r>
        <w:t>Congressionally-mandated</w:t>
      </w:r>
      <w:r>
        <w:t xml:space="preserve"> goal of enhancing the defense industrial base.</w:t>
      </w:r>
    </w:p>
    <w:p w:rsidR="005E0A0F" w:rsidRPr="00111581" w:rsidP="00AC5BD4" w14:paraId="03398588" w14:textId="7E4058DD">
      <w:pPr>
        <w:pStyle w:val="NormalWeb"/>
        <w:tabs>
          <w:tab w:val="left" w:pos="360"/>
          <w:tab w:val="left" w:pos="720"/>
          <w:tab w:val="left" w:pos="1080"/>
          <w:tab w:val="left" w:pos="1440"/>
        </w:tabs>
        <w:spacing w:line="288" w:lineRule="atLeast"/>
      </w:pPr>
      <w:r w:rsidRPr="00111581">
        <w:t>2.</w:t>
      </w:r>
      <w:r w:rsidRPr="00111581" w:rsidR="00AC5BD4">
        <w:tab/>
      </w:r>
      <w:r w:rsidRPr="00111581">
        <w:rPr>
          <w:u w:val="single"/>
        </w:rPr>
        <w:t>Use of the Information</w:t>
      </w:r>
    </w:p>
    <w:p w:rsidR="002B45A0" w:rsidP="002B45A0" w14:paraId="5431DC99" w14:textId="4843BCBD">
      <w:pPr>
        <w:pStyle w:val="NormalWeb"/>
        <w:tabs>
          <w:tab w:val="left" w:pos="360"/>
          <w:tab w:val="left" w:pos="720"/>
          <w:tab w:val="left" w:pos="1080"/>
          <w:tab w:val="left" w:pos="1440"/>
        </w:tabs>
        <w:spacing w:line="288" w:lineRule="atLeast"/>
      </w:pPr>
      <w:r w:rsidRPr="00111581">
        <w:tab/>
      </w:r>
      <w:r>
        <w:t xml:space="preserve">DoD </w:t>
      </w:r>
      <w:r w:rsidR="00EE4AD0">
        <w:t>uses</w:t>
      </w:r>
      <w:r>
        <w:t xml:space="preserve"> the information to </w:t>
      </w:r>
      <w:r w:rsidRPr="00EA500A">
        <w:t>ensure that participants are fulf</w:t>
      </w:r>
      <w:r w:rsidRPr="00EA500A">
        <w:t>illing their contractual obligations</w:t>
      </w:r>
      <w:r w:rsidR="00736CE3">
        <w:t>,</w:t>
      </w:r>
      <w:r w:rsidRPr="00EA500A">
        <w:t xml:space="preserve"> </w:t>
      </w:r>
      <w:r>
        <w:t>and to</w:t>
      </w:r>
      <w:r w:rsidRPr="00EA500A">
        <w:t xml:space="preserve"> </w:t>
      </w:r>
      <w:r>
        <w:t xml:space="preserve">assess whether the objectives of the DoD Pilot Mentor-Protégé Program are being attained.  DoD also uses this data to determine whether to approve </w:t>
      </w:r>
      <w:r w:rsidR="00736CE3">
        <w:t xml:space="preserve">the </w:t>
      </w:r>
      <w:r>
        <w:t>continuation of agreements.</w:t>
      </w:r>
    </w:p>
    <w:p w:rsidR="005E0A0F" w:rsidRPr="00111581" w:rsidP="00AC5BD4" w14:paraId="170CFD3B" w14:textId="4B223F96">
      <w:pPr>
        <w:pStyle w:val="NormalWeb"/>
        <w:tabs>
          <w:tab w:val="left" w:pos="360"/>
          <w:tab w:val="left" w:pos="720"/>
          <w:tab w:val="left" w:pos="1080"/>
          <w:tab w:val="left" w:pos="1440"/>
        </w:tabs>
        <w:spacing w:line="288" w:lineRule="atLeast"/>
      </w:pPr>
      <w:r w:rsidRPr="00111581">
        <w:t>3.</w:t>
      </w:r>
      <w:r w:rsidRPr="00111581" w:rsidR="00AC5BD4">
        <w:tab/>
      </w:r>
      <w:r w:rsidRPr="00111581">
        <w:rPr>
          <w:u w:val="single"/>
        </w:rPr>
        <w:t>Use of Information Technology</w:t>
      </w:r>
    </w:p>
    <w:p w:rsidR="001F0AA6" w:rsidRPr="00111581" w:rsidP="00AC5BD4" w14:paraId="685B7C60" w14:textId="4C04578E">
      <w:pPr>
        <w:pStyle w:val="NormalWeb"/>
        <w:tabs>
          <w:tab w:val="left" w:pos="360"/>
          <w:tab w:val="left" w:pos="720"/>
          <w:tab w:val="left" w:pos="1080"/>
          <w:tab w:val="left" w:pos="1440"/>
        </w:tabs>
        <w:spacing w:line="288" w:lineRule="atLeast"/>
      </w:pPr>
      <w:r w:rsidRPr="00111581">
        <w:tab/>
        <w:t>Information technology is used to the maxim</w:t>
      </w:r>
      <w:r w:rsidRPr="00111581">
        <w:t xml:space="preserve">um extent practicable.  </w:t>
      </w:r>
      <w:r w:rsidR="00D778DB">
        <w:t>Program participants</w:t>
      </w:r>
      <w:r w:rsidRPr="00111581" w:rsidR="00D778DB">
        <w:t xml:space="preserve"> </w:t>
      </w:r>
      <w:r w:rsidRPr="00111581">
        <w:t xml:space="preserve">may submit the information electronically, and DoD may process the data collected electronically via Electronic Data Interchange.  This means of collection was adopted to reduce </w:t>
      </w:r>
      <w:r w:rsidRPr="00111581">
        <w:t>input errors and increase efficie</w:t>
      </w:r>
      <w:r w:rsidRPr="00111581">
        <w:t>ncy.</w:t>
      </w:r>
      <w:r w:rsidRPr="00111581" w:rsidR="006C3327">
        <w:t xml:space="preserve">  </w:t>
      </w:r>
      <w:r w:rsidRPr="00111581" w:rsidR="00A46C4D">
        <w:t xml:space="preserve">It is estimated that </w:t>
      </w:r>
      <w:r w:rsidRPr="00111581" w:rsidR="006C3327">
        <w:t>approximately 90% of the</w:t>
      </w:r>
      <w:r w:rsidRPr="00111581" w:rsidR="00A46C4D">
        <w:t xml:space="preserve"> responses will be collected electronically</w:t>
      </w:r>
      <w:r w:rsidRPr="00111581" w:rsidR="006C3327">
        <w:t>.</w:t>
      </w:r>
    </w:p>
    <w:p w:rsidR="005E0A0F" w:rsidRPr="00111581" w:rsidP="00AC5BD4" w14:paraId="18BF54B5" w14:textId="02038A67">
      <w:pPr>
        <w:pStyle w:val="NormalWeb"/>
        <w:tabs>
          <w:tab w:val="left" w:pos="360"/>
          <w:tab w:val="left" w:pos="720"/>
          <w:tab w:val="left" w:pos="1080"/>
          <w:tab w:val="left" w:pos="1440"/>
        </w:tabs>
        <w:spacing w:line="288" w:lineRule="atLeast"/>
      </w:pPr>
      <w:r w:rsidRPr="00111581">
        <w:t>4.</w:t>
      </w:r>
      <w:r w:rsidRPr="00111581" w:rsidR="00AC5BD4">
        <w:tab/>
      </w:r>
      <w:r w:rsidRPr="00111581">
        <w:rPr>
          <w:u w:val="single"/>
        </w:rPr>
        <w:t>Non-duplication</w:t>
      </w:r>
    </w:p>
    <w:p w:rsidR="002B45A0" w:rsidP="002B45A0" w14:paraId="0993C0EE" w14:textId="5CE15261">
      <w:pPr>
        <w:pStyle w:val="NormalWeb"/>
        <w:tabs>
          <w:tab w:val="left" w:pos="360"/>
          <w:tab w:val="left" w:pos="720"/>
          <w:tab w:val="left" w:pos="1080"/>
          <w:tab w:val="left" w:pos="1440"/>
        </w:tabs>
        <w:spacing w:line="288" w:lineRule="atLeast"/>
      </w:pPr>
      <w:r w:rsidRPr="00111581">
        <w:tab/>
      </w:r>
      <w:bookmarkStart w:id="2" w:name="cp440"/>
      <w:r>
        <w:t xml:space="preserve">The DoD Pilot Mentor-Protégé Program is unique to DoD; similar data collections from other Government sources or agencies do not exist.  As </w:t>
      </w:r>
      <w:r>
        <w:t>a matter of policy, DoD reviews the Federal Acquisition Regulation (FAR) part 19, Small Business Programs, to determine if adequate language already exists.  The language in DFARS Appendix I applies solely to DoD and is not considered duplicative of the la</w:t>
      </w:r>
      <w:r>
        <w:t>nguage in FAR part 19.</w:t>
      </w:r>
    </w:p>
    <w:p w:rsidR="005E0A0F" w:rsidRPr="00111581" w:rsidP="00AC5BD4" w14:paraId="553FBFB1" w14:textId="720C2B84">
      <w:pPr>
        <w:pStyle w:val="NormalWeb"/>
        <w:tabs>
          <w:tab w:val="left" w:pos="360"/>
          <w:tab w:val="left" w:pos="720"/>
          <w:tab w:val="left" w:pos="1080"/>
          <w:tab w:val="left" w:pos="1440"/>
        </w:tabs>
        <w:spacing w:line="288" w:lineRule="atLeast"/>
      </w:pPr>
      <w:r w:rsidRPr="00111581">
        <w:t>5.</w:t>
      </w:r>
      <w:r w:rsidRPr="00111581" w:rsidR="00AC5BD4">
        <w:tab/>
      </w:r>
      <w:r w:rsidRPr="00111581">
        <w:rPr>
          <w:u w:val="single"/>
        </w:rPr>
        <w:t>Burden on Small Business</w:t>
      </w:r>
      <w:r w:rsidR="00B83DF8">
        <w:rPr>
          <w:u w:val="single"/>
        </w:rPr>
        <w:t>es</w:t>
      </w:r>
    </w:p>
    <w:p w:rsidR="002B45A0" w:rsidP="002B45A0" w14:paraId="53C6C038" w14:textId="1D65FB9B">
      <w:pPr>
        <w:pStyle w:val="NormalWeb"/>
        <w:tabs>
          <w:tab w:val="left" w:pos="360"/>
          <w:tab w:val="left" w:pos="720"/>
          <w:tab w:val="left" w:pos="1080"/>
          <w:tab w:val="left" w:pos="1440"/>
        </w:tabs>
        <w:spacing w:line="288" w:lineRule="atLeast"/>
      </w:pPr>
      <w:bookmarkStart w:id="3" w:name="cp441"/>
      <w:bookmarkEnd w:id="2"/>
      <w:r>
        <w:tab/>
      </w:r>
      <w:bookmarkEnd w:id="3"/>
      <w:r>
        <w:t>The collection is not expected to have a significant impact on a substantial number of small businesses.  There are separate information collection requirements for protégés, who are small businesses, a</w:t>
      </w:r>
      <w:r>
        <w:t xml:space="preserve">nd for mentors, who are usually large businesses.  The protégé is required to report annually, whereas the mentor is required to report twice as often.  The protégé is only required to provide the minimum amount of information that will meet the statutory </w:t>
      </w:r>
      <w:r>
        <w:t>requirements, and those requirements are much less for protégés.  Therefore, the burden applied to small business is the minimum consistent with applicable laws, Executive Orders, regulations, and prudent business practices.</w:t>
      </w:r>
    </w:p>
    <w:p w:rsidR="005E0A0F" w:rsidRPr="00111581" w:rsidP="00AC5BD4" w14:paraId="516AE558" w14:textId="06DBEA80">
      <w:pPr>
        <w:pStyle w:val="NormalWeb"/>
        <w:tabs>
          <w:tab w:val="left" w:pos="360"/>
          <w:tab w:val="left" w:pos="720"/>
          <w:tab w:val="left" w:pos="1080"/>
          <w:tab w:val="left" w:pos="1440"/>
        </w:tabs>
        <w:spacing w:line="288" w:lineRule="atLeast"/>
      </w:pPr>
      <w:r w:rsidRPr="00111581">
        <w:t>6.</w:t>
      </w:r>
      <w:r w:rsidRPr="00111581" w:rsidR="00AC5BD4">
        <w:tab/>
      </w:r>
      <w:r w:rsidRPr="00111581">
        <w:rPr>
          <w:u w:val="single"/>
        </w:rPr>
        <w:t>Less Frequent Collection</w:t>
      </w:r>
    </w:p>
    <w:p w:rsidR="002B45A0" w:rsidP="00AC5BD4" w14:paraId="0D72CE2F" w14:textId="6924A9F9">
      <w:pPr>
        <w:pStyle w:val="NormalWeb"/>
        <w:tabs>
          <w:tab w:val="left" w:pos="360"/>
          <w:tab w:val="left" w:pos="720"/>
          <w:tab w:val="left" w:pos="1080"/>
          <w:tab w:val="left" w:pos="1440"/>
        </w:tabs>
        <w:spacing w:line="288" w:lineRule="atLeast"/>
      </w:pPr>
      <w:bookmarkStart w:id="4" w:name="cp444"/>
      <w:r>
        <w:tab/>
      </w:r>
      <w:r>
        <w:t>If the information was collected less frequently, DoD would not be able to fulfill its responsibility of ensuring that participants we</w:t>
      </w:r>
      <w:r w:rsidRPr="00EA500A">
        <w:t>re fulfilling their contractual obligations</w:t>
      </w:r>
      <w:r>
        <w:t xml:space="preserve"> and that the Government was receiving value for the benefits it was providing.</w:t>
      </w:r>
    </w:p>
    <w:p w:rsidR="005E0A0F" w:rsidRPr="00111581" w:rsidP="00AC5BD4" w14:paraId="03FE887D" w14:textId="3B31F6F5">
      <w:pPr>
        <w:pStyle w:val="NormalWeb"/>
        <w:tabs>
          <w:tab w:val="left" w:pos="360"/>
          <w:tab w:val="left" w:pos="720"/>
          <w:tab w:val="left" w:pos="1080"/>
          <w:tab w:val="left" w:pos="1440"/>
        </w:tabs>
        <w:spacing w:line="288" w:lineRule="atLeast"/>
      </w:pPr>
      <w:r w:rsidRPr="00111581">
        <w:t>7.</w:t>
      </w:r>
      <w:r w:rsidRPr="00111581" w:rsidR="00AC5BD4">
        <w:tab/>
      </w:r>
      <w:r w:rsidRPr="00111581">
        <w:rPr>
          <w:u w:val="single"/>
        </w:rPr>
        <w:t>Paperwork Reduction Act Guidelines</w:t>
      </w:r>
    </w:p>
    <w:p w:rsidR="00365AB4" w:rsidP="00D733F1" w14:paraId="1303D0B6" w14:textId="09895272">
      <w:pPr>
        <w:pStyle w:val="NormalWeb"/>
        <w:tabs>
          <w:tab w:val="left" w:pos="360"/>
        </w:tabs>
        <w:spacing w:before="0" w:beforeAutospacing="0" w:after="0" w:afterAutospacing="0" w:line="288" w:lineRule="atLeast"/>
        <w:rPr>
          <w:rFonts w:eastAsiaTheme="minorHAnsi"/>
          <w:szCs w:val="22"/>
        </w:rPr>
      </w:pPr>
      <w:bookmarkStart w:id="5" w:name="cp446"/>
      <w:bookmarkEnd w:id="4"/>
      <w:r>
        <w:rPr>
          <w:rFonts w:eastAsiaTheme="minorHAnsi"/>
          <w:szCs w:val="22"/>
        </w:rPr>
        <w:tab/>
      </w:r>
      <w:r w:rsidRPr="00CF24C0">
        <w:rPr>
          <w:rFonts w:eastAsiaTheme="minorHAnsi"/>
          <w:szCs w:val="22"/>
        </w:rPr>
        <w:t>This collection of information does not require collection to be conducted in a manner inconsistent with the guidelines delineated in 5 CFR 1320.5(d)(2).</w:t>
      </w:r>
    </w:p>
    <w:p w:rsidR="005E0A0F" w:rsidRPr="00111581" w:rsidP="00AC5BD4" w14:paraId="23430A41" w14:textId="3D8A69A4">
      <w:pPr>
        <w:pStyle w:val="NormalWeb"/>
        <w:tabs>
          <w:tab w:val="left" w:pos="360"/>
          <w:tab w:val="left" w:pos="720"/>
          <w:tab w:val="left" w:pos="1080"/>
          <w:tab w:val="left" w:pos="1440"/>
        </w:tabs>
        <w:spacing w:line="288" w:lineRule="atLeast"/>
      </w:pPr>
      <w:r w:rsidRPr="00111581">
        <w:t>8.</w:t>
      </w:r>
      <w:r w:rsidRPr="00111581" w:rsidR="00AC5BD4">
        <w:tab/>
      </w:r>
      <w:r w:rsidRPr="00111581">
        <w:rPr>
          <w:u w:val="single"/>
        </w:rPr>
        <w:t>Consultation and Public Comments</w:t>
      </w:r>
    </w:p>
    <w:p w:rsidR="00B36CC0" w:rsidRPr="00D733F1" w:rsidP="00FA1A4B" w14:paraId="1B201470" w14:textId="0CB8D93F">
      <w:pPr>
        <w:pStyle w:val="NormalWeb"/>
        <w:tabs>
          <w:tab w:val="left" w:pos="360"/>
          <w:tab w:val="left" w:pos="720"/>
          <w:tab w:val="left" w:pos="1080"/>
          <w:tab w:val="left" w:pos="1440"/>
        </w:tabs>
      </w:pPr>
      <w:bookmarkStart w:id="6" w:name="cp449"/>
      <w:bookmarkEnd w:id="5"/>
      <w:r w:rsidRPr="00D733F1">
        <w:tab/>
        <w:t xml:space="preserve">a.  </w:t>
      </w:r>
      <w:r w:rsidRPr="00D733F1">
        <w:rPr>
          <w:u w:val="single"/>
        </w:rPr>
        <w:t>Public Notice</w:t>
      </w:r>
    </w:p>
    <w:p w:rsidR="00B36CC0" w:rsidRPr="00D733F1" w:rsidP="00FA1A4B" w14:paraId="3D0DB274" w14:textId="1E95C49C">
      <w:pPr>
        <w:pStyle w:val="NormalWeb"/>
        <w:tabs>
          <w:tab w:val="left" w:pos="360"/>
          <w:tab w:val="left" w:pos="720"/>
          <w:tab w:val="left" w:pos="1080"/>
          <w:tab w:val="left" w:pos="1440"/>
        </w:tabs>
      </w:pPr>
      <w:r w:rsidRPr="00D733F1">
        <w:tab/>
      </w:r>
      <w:r w:rsidRPr="00D733F1">
        <w:tab/>
        <w:t>i.  A</w:t>
      </w:r>
      <w:r w:rsidRPr="00D733F1">
        <w:t xml:space="preserve"> 60-day notice for the collection was published in the </w:t>
      </w:r>
      <w:r w:rsidRPr="00D733F1">
        <w:rPr>
          <w:i/>
        </w:rPr>
        <w:t>Federal Register</w:t>
      </w:r>
      <w:r w:rsidRPr="00D733F1">
        <w:t xml:space="preserve"> on</w:t>
      </w:r>
      <w:r w:rsidR="00D733F1">
        <w:t xml:space="preserve"> July 26</w:t>
      </w:r>
      <w:r w:rsidRPr="00D733F1">
        <w:t>, 202</w:t>
      </w:r>
      <w:r w:rsidR="00D733F1">
        <w:t>3</w:t>
      </w:r>
      <w:r w:rsidRPr="00D733F1">
        <w:t xml:space="preserve">, at </w:t>
      </w:r>
      <w:r w:rsidR="00D733F1">
        <w:t>88</w:t>
      </w:r>
      <w:r w:rsidRPr="00D733F1">
        <w:t xml:space="preserve"> FR </w:t>
      </w:r>
      <w:r w:rsidR="00D733F1">
        <w:t>48212</w:t>
      </w:r>
      <w:r w:rsidRPr="00D733F1" w:rsidR="005D71DA">
        <w:t>.</w:t>
      </w:r>
      <w:r w:rsidR="00D733F1">
        <w:t xml:space="preserve"> </w:t>
      </w:r>
      <w:r w:rsidRPr="00D733F1">
        <w:t xml:space="preserve"> No comments were received during the 60-day comment period.</w:t>
      </w:r>
    </w:p>
    <w:p w:rsidR="00B36CC0" w:rsidRPr="00D733F1" w:rsidP="00FA1A4B" w14:paraId="52A523A2" w14:textId="7B2C5F32">
      <w:pPr>
        <w:pStyle w:val="NormalWeb"/>
        <w:tabs>
          <w:tab w:val="left" w:pos="360"/>
          <w:tab w:val="left" w:pos="720"/>
          <w:tab w:val="left" w:pos="1080"/>
          <w:tab w:val="left" w:pos="1440"/>
        </w:tabs>
      </w:pPr>
      <w:r w:rsidRPr="00D733F1">
        <w:tab/>
      </w:r>
      <w:r w:rsidRPr="00D733F1" w:rsidR="00D3287F">
        <w:tab/>
      </w:r>
      <w:r w:rsidRPr="00D733F1">
        <w:t xml:space="preserve">ii.  A 30-day notice for the collection was published in the </w:t>
      </w:r>
      <w:r w:rsidRPr="00D733F1">
        <w:rPr>
          <w:i/>
        </w:rPr>
        <w:t>Federal Register</w:t>
      </w:r>
      <w:r w:rsidRPr="00D733F1">
        <w:t xml:space="preserve"> on </w:t>
      </w:r>
      <w:r>
        <w:t>September 28</w:t>
      </w:r>
      <w:r w:rsidRPr="00D733F1">
        <w:t>,</w:t>
      </w:r>
      <w:r>
        <w:t xml:space="preserve"> 2023,</w:t>
      </w:r>
      <w:r w:rsidRPr="00D733F1">
        <w:t xml:space="preserve"> at </w:t>
      </w:r>
      <w:r>
        <w:t>88 FR 66823</w:t>
      </w:r>
      <w:r w:rsidRPr="00D733F1">
        <w:t>.</w:t>
      </w:r>
    </w:p>
    <w:p w:rsidR="00B36CC0" w:rsidRPr="00FC15CF" w:rsidP="00FA1A4B" w14:paraId="69D46594" w14:textId="2C8516F7">
      <w:pPr>
        <w:pStyle w:val="NormalWeb"/>
        <w:tabs>
          <w:tab w:val="left" w:pos="360"/>
          <w:tab w:val="left" w:pos="720"/>
          <w:tab w:val="left" w:pos="1080"/>
          <w:tab w:val="left" w:pos="1440"/>
        </w:tabs>
      </w:pPr>
      <w:r>
        <w:tab/>
      </w:r>
      <w:r w:rsidRPr="00FC15CF">
        <w:t xml:space="preserve">b.  </w:t>
      </w:r>
      <w:r w:rsidRPr="00FC15CF">
        <w:rPr>
          <w:u w:val="single"/>
        </w:rPr>
        <w:t>Consultation</w:t>
      </w:r>
    </w:p>
    <w:p w:rsidR="00FC15CF" w:rsidRPr="00FC15CF" w:rsidP="00D733F1" w14:paraId="414F63E1" w14:textId="1F733B8E">
      <w:pPr>
        <w:pStyle w:val="NormalWeb"/>
        <w:tabs>
          <w:tab w:val="left" w:pos="360"/>
          <w:tab w:val="left" w:pos="720"/>
          <w:tab w:val="left" w:pos="1080"/>
          <w:tab w:val="left" w:pos="1440"/>
        </w:tabs>
      </w:pPr>
      <w:r>
        <w:tab/>
      </w:r>
      <w:r w:rsidRPr="00FC15CF" w:rsidR="00B36CC0">
        <w:t xml:space="preserve">Subject matter experts within DoD were consulted regarding the renewal of this collection </w:t>
      </w:r>
      <w:r w:rsidRPr="00FC15CF" w:rsidR="00B36CC0">
        <w:t>in order to</w:t>
      </w:r>
      <w:r w:rsidRPr="00FC15CF">
        <w:t xml:space="preserve"> calculate the burden.</w:t>
      </w:r>
    </w:p>
    <w:p w:rsidR="005E0A0F" w:rsidRPr="00111581" w:rsidP="00D3287F" w14:paraId="218F36ED" w14:textId="5D967B1E">
      <w:pPr>
        <w:pStyle w:val="NormalWeb"/>
        <w:tabs>
          <w:tab w:val="left" w:pos="360"/>
          <w:tab w:val="left" w:pos="720"/>
          <w:tab w:val="left" w:pos="1080"/>
          <w:tab w:val="left" w:pos="1440"/>
        </w:tabs>
        <w:spacing w:line="288" w:lineRule="atLeast"/>
      </w:pPr>
      <w:r w:rsidRPr="00111581">
        <w:t>9.</w:t>
      </w:r>
      <w:r w:rsidRPr="00111581" w:rsidR="006341C6">
        <w:tab/>
      </w:r>
      <w:r w:rsidRPr="00111581">
        <w:rPr>
          <w:u w:val="single"/>
        </w:rPr>
        <w:t>Gifts or Payment</w:t>
      </w:r>
    </w:p>
    <w:bookmarkEnd w:id="6"/>
    <w:p w:rsidR="00365AB4" w:rsidRPr="0025343B" w:rsidP="00D733F1" w14:paraId="1845CF75" w14:textId="6C29F921">
      <w:pPr>
        <w:tabs>
          <w:tab w:val="left" w:pos="360"/>
        </w:tabs>
        <w:rPr>
          <w:i/>
        </w:rPr>
      </w:pPr>
      <w:r>
        <w:tab/>
      </w:r>
      <w:r w:rsidRPr="00E94BCA">
        <w:t>No payments or gifts are being offered to respondents as an incentive to participate in the collection</w:t>
      </w:r>
      <w:r>
        <w:t>, other than remuneration to contractors under their contracts</w:t>
      </w:r>
      <w:r w:rsidRPr="00E94BCA">
        <w:t>.</w:t>
      </w:r>
    </w:p>
    <w:p w:rsidR="005E0A0F" w:rsidRPr="00111581" w:rsidP="00AC5BD4" w14:paraId="04E91A01" w14:textId="3DFFBB69">
      <w:pPr>
        <w:pStyle w:val="NormalWeb"/>
        <w:tabs>
          <w:tab w:val="left" w:pos="360"/>
          <w:tab w:val="left" w:pos="720"/>
          <w:tab w:val="left" w:pos="1080"/>
          <w:tab w:val="left" w:pos="1440"/>
        </w:tabs>
        <w:spacing w:line="288" w:lineRule="atLeast"/>
      </w:pPr>
      <w:r w:rsidRPr="00111581">
        <w:t>10.</w:t>
      </w:r>
      <w:r w:rsidRPr="00111581" w:rsidR="006341C6">
        <w:tab/>
      </w:r>
      <w:r w:rsidRPr="00111581">
        <w:rPr>
          <w:u w:val="single"/>
        </w:rPr>
        <w:t>Confidentiality</w:t>
      </w:r>
    </w:p>
    <w:p w:rsidR="00365AB4" w:rsidRPr="0025343B" w:rsidP="00365AB4" w14:paraId="391D9601" w14:textId="16C58AE8">
      <w:pPr>
        <w:ind w:firstLine="360"/>
      </w:pPr>
      <w:r>
        <w:t>This information is disclosed only to the extent con</w:t>
      </w:r>
      <w:r>
        <w:t xml:space="preserve">sistent with prudent business practices and current regulatory, statutory, and Freedom of Information Act requirements.  No assurance of confidentiality is provided to respondents.  </w:t>
      </w:r>
      <w:r w:rsidRPr="00CF186E">
        <w:t xml:space="preserve">A Privacy Act Statement is not required for this collection because </w:t>
      </w:r>
      <w:r>
        <w:t>DoD is</w:t>
      </w:r>
      <w:r>
        <w:t xml:space="preserve"> </w:t>
      </w:r>
      <w:r w:rsidRPr="00CF186E">
        <w:t>not requesting individuals to furnish personal information for a system of records.</w:t>
      </w:r>
      <w:r w:rsidRPr="0025343B">
        <w:t xml:space="preserve"> </w:t>
      </w:r>
      <w:r>
        <w:t xml:space="preserve"> </w:t>
      </w:r>
      <w:r w:rsidRPr="00CF186E">
        <w:t xml:space="preserve">A System of Record Notice (SORN) is not required for this collection because records are not retrievable by </w:t>
      </w:r>
      <w:r>
        <w:t>personally identifiable information (</w:t>
      </w:r>
      <w:r w:rsidRPr="00CF186E">
        <w:t>PII</w:t>
      </w:r>
      <w:r>
        <w:t>)</w:t>
      </w:r>
      <w:r w:rsidRPr="00CF186E">
        <w:t>.</w:t>
      </w:r>
      <w:r w:rsidRPr="0025343B">
        <w:t xml:space="preserve"> </w:t>
      </w:r>
      <w:r>
        <w:t xml:space="preserve"> </w:t>
      </w:r>
      <w:r w:rsidRPr="00CF186E">
        <w:t>A Privacy Impact A</w:t>
      </w:r>
      <w:r w:rsidRPr="00CF186E">
        <w:t>ssessment (PIA) is not required for this collection because PII is not being collected electronically.</w:t>
      </w:r>
    </w:p>
    <w:p w:rsidR="005E0A0F" w:rsidRPr="00111581" w:rsidP="00FB3212" w14:paraId="3244F1C2" w14:textId="085292E4">
      <w:pPr>
        <w:pStyle w:val="NormalWeb"/>
        <w:tabs>
          <w:tab w:val="left" w:pos="360"/>
          <w:tab w:val="left" w:pos="720"/>
          <w:tab w:val="left" w:pos="1080"/>
          <w:tab w:val="left" w:pos="1440"/>
        </w:tabs>
        <w:spacing w:line="288" w:lineRule="atLeast"/>
      </w:pPr>
      <w:r w:rsidRPr="00111581">
        <w:t>11.</w:t>
      </w:r>
      <w:r w:rsidRPr="00111581" w:rsidR="006341C6">
        <w:tab/>
      </w:r>
      <w:r w:rsidRPr="00111581">
        <w:rPr>
          <w:u w:val="single"/>
        </w:rPr>
        <w:t>Sensitive Questions</w:t>
      </w:r>
    </w:p>
    <w:p w:rsidR="00365AB4" w:rsidP="00AC5BD4" w14:paraId="2D1B479A" w14:textId="77777777">
      <w:pPr>
        <w:pStyle w:val="NormalWeb"/>
        <w:tabs>
          <w:tab w:val="left" w:pos="360"/>
          <w:tab w:val="left" w:pos="720"/>
          <w:tab w:val="left" w:pos="1080"/>
          <w:tab w:val="left" w:pos="1440"/>
        </w:tabs>
        <w:spacing w:line="288" w:lineRule="atLeast"/>
      </w:pPr>
      <w:bookmarkStart w:id="7" w:name="cp456"/>
      <w:r w:rsidRPr="00111581">
        <w:tab/>
      </w:r>
      <w:r w:rsidRPr="0025343B">
        <w:t>No questions considered sensitive are being asked in this collection.</w:t>
      </w:r>
    </w:p>
    <w:p w:rsidR="005E0A0F" w:rsidP="00AC5BD4" w14:paraId="5EA672E4" w14:textId="7C2B098E">
      <w:pPr>
        <w:pStyle w:val="NormalWeb"/>
        <w:tabs>
          <w:tab w:val="left" w:pos="360"/>
          <w:tab w:val="left" w:pos="720"/>
          <w:tab w:val="left" w:pos="1080"/>
          <w:tab w:val="left" w:pos="1440"/>
        </w:tabs>
        <w:spacing w:line="288" w:lineRule="atLeast"/>
        <w:rPr>
          <w:u w:val="single"/>
        </w:rPr>
      </w:pPr>
      <w:r w:rsidRPr="00111581">
        <w:t>12.</w:t>
      </w:r>
      <w:r w:rsidRPr="00111581" w:rsidR="009C1958">
        <w:t xml:space="preserve">  </w:t>
      </w:r>
      <w:r w:rsidRPr="00111581">
        <w:rPr>
          <w:u w:val="single"/>
        </w:rPr>
        <w:t>Respondent Burden and its Labor Costs</w:t>
      </w:r>
    </w:p>
    <w:p w:rsidR="00937D80" w:rsidRPr="00937D80" w:rsidP="00AC5BD4" w14:paraId="520B64D2" w14:textId="1371A7E7">
      <w:pPr>
        <w:pStyle w:val="NormalWeb"/>
        <w:tabs>
          <w:tab w:val="left" w:pos="360"/>
          <w:tab w:val="left" w:pos="720"/>
          <w:tab w:val="left" w:pos="1080"/>
          <w:tab w:val="left" w:pos="1440"/>
        </w:tabs>
        <w:spacing w:line="288" w:lineRule="atLeast"/>
        <w:rPr>
          <w:u w:val="single"/>
        </w:rPr>
      </w:pPr>
      <w:r w:rsidRPr="00937D80">
        <w:tab/>
      </w:r>
      <w:r>
        <w:t>a.</w:t>
      </w:r>
      <w:r w:rsidR="00FA1A4B">
        <w:t xml:space="preserve"> </w:t>
      </w:r>
      <w:r>
        <w:t xml:space="preserve"> </w:t>
      </w:r>
      <w:r>
        <w:rPr>
          <w:u w:val="single"/>
        </w:rPr>
        <w:t xml:space="preserve">DFARS </w:t>
      </w:r>
      <w:r>
        <w:rPr>
          <w:u w:val="single"/>
        </w:rPr>
        <w:t>Appendix I, I-112</w:t>
      </w:r>
    </w:p>
    <w:p w:rsidR="00B81532" w:rsidP="00742EC8" w14:paraId="4E3EE405" w14:textId="72C6426F">
      <w:pPr>
        <w:pStyle w:val="NormalWeb"/>
        <w:tabs>
          <w:tab w:val="left" w:pos="360"/>
          <w:tab w:val="left" w:pos="720"/>
          <w:tab w:val="left" w:pos="1080"/>
          <w:tab w:val="left" w:pos="1440"/>
        </w:tabs>
        <w:spacing w:line="288" w:lineRule="atLeast"/>
        <w:rPr>
          <w:u w:val="single"/>
        </w:rPr>
      </w:pPr>
      <w:bookmarkStart w:id="8" w:name="cp457"/>
      <w:bookmarkEnd w:id="7"/>
      <w:r>
        <w:tab/>
      </w:r>
      <w:bookmarkEnd w:id="8"/>
      <w:r w:rsidR="00167BD8">
        <w:tab/>
        <w:t xml:space="preserve">1.  </w:t>
      </w:r>
      <w:r w:rsidR="00167BD8">
        <w:rPr>
          <w:u w:val="single"/>
        </w:rPr>
        <w:t>Estimation of Respondent Burden</w:t>
      </w:r>
    </w:p>
    <w:p w:rsidR="00742EC8" w:rsidP="00742EC8" w14:paraId="6B3FA69A" w14:textId="23C7D146">
      <w:pPr>
        <w:pStyle w:val="NormalWeb"/>
        <w:tabs>
          <w:tab w:val="left" w:pos="360"/>
          <w:tab w:val="left" w:pos="720"/>
          <w:tab w:val="left" w:pos="1080"/>
          <w:tab w:val="left" w:pos="1440"/>
        </w:tabs>
        <w:spacing w:line="288" w:lineRule="atLeast"/>
      </w:pPr>
      <w:r>
        <w:tab/>
      </w:r>
      <w:r>
        <w:tab/>
        <w:t xml:space="preserve">The estimate of public burden is based on the number of </w:t>
      </w:r>
      <w:r w:rsidR="00661933">
        <w:t>active agreements (75)</w:t>
      </w:r>
      <w:r w:rsidR="004D1561">
        <w:t>,</w:t>
      </w:r>
      <w:r w:rsidR="00CF517D">
        <w:t xml:space="preserve"> the number of </w:t>
      </w:r>
      <w:r>
        <w:t>mentor firms (</w:t>
      </w:r>
      <w:r w:rsidR="002910AD">
        <w:t>43</w:t>
      </w:r>
      <w:r>
        <w:t xml:space="preserve">), </w:t>
      </w:r>
      <w:r w:rsidR="00D04627">
        <w:t>and</w:t>
      </w:r>
      <w:r>
        <w:t xml:space="preserve"> the number of protégé firms (</w:t>
      </w:r>
      <w:r w:rsidR="002570C8">
        <w:t>62</w:t>
      </w:r>
      <w:r>
        <w:t xml:space="preserve">) participating in the Program as of </w:t>
      </w:r>
      <w:r w:rsidR="002570C8">
        <w:t>June 5</w:t>
      </w:r>
      <w:r w:rsidR="00181A63">
        <w:t>, 2023</w:t>
      </w:r>
      <w:r>
        <w:t>.</w:t>
      </w:r>
      <w:r>
        <w:t xml:space="preserve">  Data was provided by the Mentor-Protégé Program Coordinator.  The hours per response are the same as they were in the </w:t>
      </w:r>
      <w:r w:rsidR="00D04627">
        <w:t>previous supporting statement</w:t>
      </w:r>
      <w:r>
        <w:t xml:space="preserve">.  </w:t>
      </w:r>
      <w:r w:rsidR="00661933">
        <w:t xml:space="preserve">Mentor firms report twice a year for each protégé agreement regarding details of the amount and impact of the assistance the mentors provided to the protégé under each agreement.  </w:t>
      </w:r>
      <w:r w:rsidRPr="002570C8">
        <w:t xml:space="preserve">Therefore, there are a total of </w:t>
      </w:r>
      <w:r w:rsidR="005C6897">
        <w:t>150</w:t>
      </w:r>
      <w:r w:rsidRPr="002570C8">
        <w:t xml:space="preserve"> responses (</w:t>
      </w:r>
      <w:r w:rsidR="00CF517D">
        <w:t>75</w:t>
      </w:r>
      <w:r w:rsidRPr="002570C8">
        <w:t xml:space="preserve"> x 2</w:t>
      </w:r>
      <w:r w:rsidR="005C6897">
        <w:t>) per year</w:t>
      </w:r>
      <w:r w:rsidRPr="002570C8">
        <w:t xml:space="preserve"> for mentor firms</w:t>
      </w:r>
      <w:r w:rsidR="00B407EC">
        <w:t xml:space="preserve">, or </w:t>
      </w:r>
      <w:r w:rsidR="005C6897">
        <w:t>approximately 3.49</w:t>
      </w:r>
      <w:r w:rsidR="00B407EC">
        <w:t xml:space="preserve"> responses per respondent</w:t>
      </w:r>
      <w:r w:rsidRPr="007772B8">
        <w:t>.</w:t>
      </w:r>
    </w:p>
    <w:tbl>
      <w:tblPr>
        <w:tblW w:w="80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3"/>
        <w:gridCol w:w="1687"/>
      </w:tblGrid>
      <w:tr w14:paraId="5AB0AB63" w14:textId="77777777" w:rsidTr="007B6E85">
        <w:tblPrEx>
          <w:tblW w:w="80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8010" w:type="dxa"/>
            <w:gridSpan w:val="2"/>
            <w:shd w:val="clear" w:color="auto" w:fill="auto"/>
            <w:vAlign w:val="center"/>
          </w:tcPr>
          <w:p w:rsidR="00742EC8" w:rsidP="00AA7B91" w14:paraId="03E7478D" w14:textId="3875A828">
            <w:pPr>
              <w:pStyle w:val="NormalWeb"/>
              <w:spacing w:line="288" w:lineRule="atLeast"/>
              <w:jc w:val="center"/>
            </w:pPr>
            <w:r>
              <w:t>Estimation of Respondent Burden Hours: Appendix I,</w:t>
            </w:r>
            <w:r>
              <w:t xml:space="preserve"> I-112</w:t>
            </w:r>
            <w:r w:rsidR="00661933">
              <w:t xml:space="preserve"> (Mentor Firms)</w:t>
            </w:r>
          </w:p>
        </w:tc>
      </w:tr>
      <w:tr w14:paraId="1F6E11BB" w14:textId="77777777" w:rsidTr="007B6E85">
        <w:tblPrEx>
          <w:tblW w:w="8010" w:type="dxa"/>
          <w:tblInd w:w="805" w:type="dxa"/>
          <w:tblLook w:val="04A0"/>
        </w:tblPrEx>
        <w:trPr>
          <w:trHeight w:val="386"/>
        </w:trPr>
        <w:tc>
          <w:tcPr>
            <w:tcW w:w="6323" w:type="dxa"/>
            <w:shd w:val="clear" w:color="auto" w:fill="auto"/>
            <w:vAlign w:val="center"/>
          </w:tcPr>
          <w:p w:rsidR="00742EC8" w:rsidRPr="0012026A" w:rsidP="00AA7B91" w14:paraId="46ABD386" w14:textId="6BB2729D">
            <w:pPr>
              <w:tabs>
                <w:tab w:val="left" w:pos="360"/>
              </w:tabs>
              <w:rPr>
                <w:rFonts w:cs="Courier New"/>
                <w:color w:val="000000"/>
              </w:rPr>
            </w:pPr>
            <w:bookmarkStart w:id="9" w:name="cp458"/>
            <w:r w:rsidRPr="0012026A">
              <w:rPr>
                <w:rFonts w:cs="Courier New"/>
                <w:color w:val="000000"/>
              </w:rPr>
              <w:t>Number of respondents</w:t>
            </w:r>
          </w:p>
        </w:tc>
        <w:tc>
          <w:tcPr>
            <w:tcW w:w="1687" w:type="dxa"/>
            <w:shd w:val="clear" w:color="auto" w:fill="auto"/>
            <w:vAlign w:val="center"/>
          </w:tcPr>
          <w:p w:rsidR="00742EC8" w:rsidRPr="007B6E85" w:rsidP="00AA7B91" w14:paraId="48DE9E5C" w14:textId="336AE2A1">
            <w:pPr>
              <w:pStyle w:val="NormalWeb"/>
              <w:spacing w:before="0" w:beforeAutospacing="0" w:after="0" w:afterAutospacing="0"/>
              <w:jc w:val="right"/>
              <w:rPr>
                <w:highlight w:val="yellow"/>
              </w:rPr>
            </w:pPr>
            <w:r>
              <w:t>43</w:t>
            </w:r>
          </w:p>
        </w:tc>
      </w:tr>
      <w:tr w14:paraId="257828D3" w14:textId="77777777" w:rsidTr="007B6E85">
        <w:tblPrEx>
          <w:tblW w:w="8010" w:type="dxa"/>
          <w:tblInd w:w="805" w:type="dxa"/>
          <w:tblLook w:val="04A0"/>
        </w:tblPrEx>
        <w:trPr>
          <w:trHeight w:val="422"/>
        </w:trPr>
        <w:tc>
          <w:tcPr>
            <w:tcW w:w="6323" w:type="dxa"/>
            <w:shd w:val="clear" w:color="auto" w:fill="auto"/>
            <w:vAlign w:val="center"/>
          </w:tcPr>
          <w:p w:rsidR="00742EC8" w:rsidRPr="0012026A" w:rsidP="00AA7B91" w14:paraId="5CAAF265" w14:textId="3844FD00">
            <w:pPr>
              <w:tabs>
                <w:tab w:val="left" w:pos="360"/>
              </w:tabs>
              <w:rPr>
                <w:rFonts w:cs="Courier New"/>
                <w:color w:val="000000"/>
              </w:rPr>
            </w:pPr>
            <w:r>
              <w:rPr>
                <w:rFonts w:cs="Courier New"/>
                <w:color w:val="000000"/>
              </w:rPr>
              <w:t>Number of responses per respondent</w:t>
            </w:r>
            <w:r w:rsidR="00661933">
              <w:rPr>
                <w:rFonts w:cs="Courier New"/>
                <w:color w:val="000000"/>
              </w:rPr>
              <w:t xml:space="preserve"> </w:t>
            </w:r>
            <w:r w:rsidR="000870EB">
              <w:rPr>
                <w:rFonts w:cs="Courier New"/>
                <w:color w:val="000000"/>
              </w:rPr>
              <w:t>(</w:t>
            </w:r>
            <w:r w:rsidR="00B67D1D">
              <w:rPr>
                <w:rFonts w:cs="Courier New"/>
                <w:color w:val="000000"/>
              </w:rPr>
              <w:t>(</w:t>
            </w:r>
            <w:r w:rsidR="000870EB">
              <w:rPr>
                <w:rFonts w:cs="Courier New"/>
                <w:color w:val="000000"/>
              </w:rPr>
              <w:t>75x2)</w:t>
            </w:r>
            <w:r w:rsidR="00B67D1D">
              <w:rPr>
                <w:rFonts w:cs="Courier New"/>
                <w:color w:val="000000"/>
              </w:rPr>
              <w:t>/43)</w:t>
            </w:r>
            <w:r w:rsidR="000870EB">
              <w:rPr>
                <w:rFonts w:cs="Courier New"/>
                <w:color w:val="000000"/>
              </w:rPr>
              <w:t>)</w:t>
            </w:r>
          </w:p>
        </w:tc>
        <w:tc>
          <w:tcPr>
            <w:tcW w:w="1687" w:type="dxa"/>
            <w:shd w:val="clear" w:color="auto" w:fill="auto"/>
            <w:vAlign w:val="center"/>
          </w:tcPr>
          <w:p w:rsidR="00742EC8" w:rsidRPr="007B6E85" w:rsidP="00AA7B91" w14:paraId="25220720" w14:textId="73FC55B0">
            <w:pPr>
              <w:pStyle w:val="NormalWeb"/>
              <w:spacing w:before="0" w:beforeAutospacing="0" w:after="0" w:afterAutospacing="0"/>
              <w:contextualSpacing/>
              <w:jc w:val="right"/>
              <w:rPr>
                <w:highlight w:val="yellow"/>
              </w:rPr>
            </w:pPr>
            <w:r>
              <w:t>3.49</w:t>
            </w:r>
          </w:p>
        </w:tc>
      </w:tr>
      <w:tr w14:paraId="2D10313E" w14:textId="77777777" w:rsidTr="007B6E85">
        <w:tblPrEx>
          <w:tblW w:w="8010" w:type="dxa"/>
          <w:tblInd w:w="805" w:type="dxa"/>
          <w:tblLook w:val="04A0"/>
        </w:tblPrEx>
        <w:trPr>
          <w:trHeight w:val="431"/>
        </w:trPr>
        <w:tc>
          <w:tcPr>
            <w:tcW w:w="6323" w:type="dxa"/>
            <w:shd w:val="clear" w:color="auto" w:fill="auto"/>
            <w:vAlign w:val="center"/>
          </w:tcPr>
          <w:p w:rsidR="00742EC8" w:rsidRPr="0012026A" w:rsidP="00AA7B91" w14:paraId="0DC2E419" w14:textId="44D905FC">
            <w:pPr>
              <w:tabs>
                <w:tab w:val="left" w:pos="360"/>
              </w:tabs>
              <w:rPr>
                <w:rFonts w:cs="Courier New"/>
                <w:color w:val="000000"/>
              </w:rPr>
            </w:pPr>
            <w:r>
              <w:rPr>
                <w:rFonts w:cs="Courier New"/>
                <w:color w:val="000000"/>
              </w:rPr>
              <w:t>Number of total annual responses</w:t>
            </w:r>
          </w:p>
        </w:tc>
        <w:tc>
          <w:tcPr>
            <w:tcW w:w="1687" w:type="dxa"/>
            <w:shd w:val="clear" w:color="auto" w:fill="auto"/>
            <w:vAlign w:val="center"/>
          </w:tcPr>
          <w:p w:rsidR="00742EC8" w:rsidRPr="007B6E85" w:rsidP="00AA7B91" w14:paraId="08B54477" w14:textId="2E65467B">
            <w:pPr>
              <w:pStyle w:val="NormalWeb"/>
              <w:spacing w:before="0" w:beforeAutospacing="0" w:after="0" w:afterAutospacing="0"/>
              <w:contextualSpacing/>
              <w:jc w:val="right"/>
              <w:rPr>
                <w:highlight w:val="yellow"/>
              </w:rPr>
            </w:pPr>
            <w:r>
              <w:t>150</w:t>
            </w:r>
          </w:p>
        </w:tc>
      </w:tr>
      <w:tr w14:paraId="737EE41C" w14:textId="77777777" w:rsidTr="007B6E85">
        <w:tblPrEx>
          <w:tblW w:w="8010" w:type="dxa"/>
          <w:tblInd w:w="805" w:type="dxa"/>
          <w:tblLook w:val="04A0"/>
        </w:tblPrEx>
        <w:trPr>
          <w:trHeight w:val="440"/>
        </w:trPr>
        <w:tc>
          <w:tcPr>
            <w:tcW w:w="6323" w:type="dxa"/>
            <w:shd w:val="clear" w:color="auto" w:fill="auto"/>
            <w:vAlign w:val="center"/>
          </w:tcPr>
          <w:p w:rsidR="00742EC8" w:rsidRPr="0012026A" w:rsidP="00AA7B91" w14:paraId="613DF136" w14:textId="7AAEAC2D">
            <w:pPr>
              <w:tabs>
                <w:tab w:val="left" w:pos="360"/>
              </w:tabs>
              <w:rPr>
                <w:rFonts w:cs="Courier New"/>
                <w:color w:val="000000"/>
              </w:rPr>
            </w:pPr>
            <w:r w:rsidRPr="0012026A">
              <w:rPr>
                <w:rFonts w:cs="Courier New"/>
                <w:color w:val="000000"/>
              </w:rPr>
              <w:t>Hours per response</w:t>
            </w:r>
          </w:p>
        </w:tc>
        <w:tc>
          <w:tcPr>
            <w:tcW w:w="1687" w:type="dxa"/>
            <w:shd w:val="clear" w:color="auto" w:fill="auto"/>
            <w:vAlign w:val="center"/>
          </w:tcPr>
          <w:p w:rsidR="00742EC8" w:rsidRPr="002570C8" w:rsidP="00AA7B91" w14:paraId="205B8EB8" w14:textId="4FE925C4">
            <w:pPr>
              <w:pStyle w:val="NormalWeb"/>
              <w:spacing w:before="0" w:beforeAutospacing="0" w:after="0" w:afterAutospacing="0"/>
              <w:contextualSpacing/>
              <w:jc w:val="right"/>
            </w:pPr>
            <w:r>
              <w:t>3</w:t>
            </w:r>
          </w:p>
        </w:tc>
      </w:tr>
      <w:tr w14:paraId="784B34F7" w14:textId="77777777" w:rsidTr="007B6E85">
        <w:tblPrEx>
          <w:tblW w:w="8010" w:type="dxa"/>
          <w:tblInd w:w="805" w:type="dxa"/>
          <w:tblLook w:val="04A0"/>
        </w:tblPrEx>
        <w:trPr>
          <w:trHeight w:val="440"/>
        </w:trPr>
        <w:tc>
          <w:tcPr>
            <w:tcW w:w="6323" w:type="dxa"/>
            <w:shd w:val="clear" w:color="auto" w:fill="auto"/>
            <w:vAlign w:val="center"/>
          </w:tcPr>
          <w:p w:rsidR="00742EC8" w:rsidRPr="0012026A" w:rsidP="00AA7B91" w14:paraId="485F5E65" w14:textId="28730824">
            <w:pPr>
              <w:tabs>
                <w:tab w:val="left" w:pos="360"/>
              </w:tabs>
              <w:rPr>
                <w:rFonts w:cs="Courier New"/>
                <w:color w:val="000000"/>
              </w:rPr>
            </w:pPr>
            <w:r>
              <w:rPr>
                <w:rFonts w:cs="Courier New"/>
                <w:color w:val="000000"/>
              </w:rPr>
              <w:t>A</w:t>
            </w:r>
            <w:r w:rsidRPr="0012026A">
              <w:rPr>
                <w:rFonts w:cs="Courier New"/>
                <w:color w:val="000000"/>
              </w:rPr>
              <w:t xml:space="preserve">nnual </w:t>
            </w:r>
            <w:r w:rsidR="00167BD8">
              <w:rPr>
                <w:rFonts w:cs="Courier New"/>
                <w:color w:val="000000"/>
              </w:rPr>
              <w:t xml:space="preserve">respondent </w:t>
            </w:r>
            <w:r w:rsidRPr="0012026A">
              <w:rPr>
                <w:rFonts w:cs="Courier New"/>
                <w:color w:val="000000"/>
              </w:rPr>
              <w:t>burden</w:t>
            </w:r>
            <w:r w:rsidR="00167BD8">
              <w:rPr>
                <w:rFonts w:cs="Courier New"/>
                <w:color w:val="000000"/>
              </w:rPr>
              <w:t xml:space="preserve"> hours</w:t>
            </w:r>
          </w:p>
        </w:tc>
        <w:tc>
          <w:tcPr>
            <w:tcW w:w="1687" w:type="dxa"/>
            <w:shd w:val="clear" w:color="auto" w:fill="auto"/>
            <w:vAlign w:val="center"/>
          </w:tcPr>
          <w:p w:rsidR="00742EC8" w:rsidRPr="007B6E85" w:rsidP="00AA7B91" w14:paraId="0DB51DF7" w14:textId="5F543F21">
            <w:pPr>
              <w:pStyle w:val="NormalWeb"/>
              <w:spacing w:before="0" w:beforeAutospacing="0" w:after="0" w:afterAutospacing="0"/>
              <w:contextualSpacing/>
              <w:jc w:val="right"/>
              <w:rPr>
                <w:highlight w:val="yellow"/>
              </w:rPr>
            </w:pPr>
            <w:r>
              <w:t>450</w:t>
            </w:r>
          </w:p>
        </w:tc>
      </w:tr>
    </w:tbl>
    <w:p w:rsidR="00742EC8" w:rsidP="00742EC8" w14:paraId="72C6E64B" w14:textId="10049FA3">
      <w:pPr>
        <w:pStyle w:val="NormalWeb"/>
        <w:tabs>
          <w:tab w:val="left" w:pos="360"/>
          <w:tab w:val="left" w:pos="720"/>
          <w:tab w:val="left" w:pos="1080"/>
          <w:tab w:val="left" w:pos="1440"/>
        </w:tabs>
        <w:spacing w:before="0" w:beforeAutospacing="0" w:after="0" w:afterAutospacing="0"/>
      </w:pPr>
      <w:bookmarkStart w:id="10" w:name="cp462"/>
      <w:bookmarkEnd w:id="9"/>
    </w:p>
    <w:p w:rsidR="005C6897" w:rsidP="00742EC8" w14:paraId="1C6CF095" w14:textId="41427D84">
      <w:pPr>
        <w:pStyle w:val="NormalWeb"/>
        <w:tabs>
          <w:tab w:val="left" w:pos="360"/>
          <w:tab w:val="left" w:pos="720"/>
          <w:tab w:val="left" w:pos="1080"/>
          <w:tab w:val="left" w:pos="1440"/>
        </w:tabs>
        <w:spacing w:before="0" w:beforeAutospacing="0" w:after="0" w:afterAutospacing="0"/>
      </w:pPr>
      <w:r>
        <w:tab/>
      </w:r>
      <w:r>
        <w:tab/>
      </w:r>
      <w:r>
        <w:t>Protégé firms report once a year regarding their progress in terms of employment, revenue, and participation in DoD contracts.  Therefore, there are a total of 62 responses (</w:t>
      </w:r>
      <w:r w:rsidRPr="002570C8">
        <w:t xml:space="preserve">62 x </w:t>
      </w:r>
      <w:r>
        <w:t>1)</w:t>
      </w:r>
      <w:r w:rsidRPr="002570C8">
        <w:t xml:space="preserve"> </w:t>
      </w:r>
      <w:r>
        <w:t xml:space="preserve">per year </w:t>
      </w:r>
      <w:r w:rsidRPr="002570C8">
        <w:t>for protégé firms</w:t>
      </w:r>
      <w:r>
        <w:t xml:space="preserve">, or </w:t>
      </w:r>
      <w:r w:rsidR="001E74A7">
        <w:t>one</w:t>
      </w:r>
      <w:r>
        <w:t xml:space="preserve"> response per respondent.</w:t>
      </w:r>
    </w:p>
    <w:p w:rsidR="005C6897" w:rsidP="00742EC8" w14:paraId="137FD1B4" w14:textId="77777777">
      <w:pPr>
        <w:pStyle w:val="NormalWeb"/>
        <w:tabs>
          <w:tab w:val="left" w:pos="360"/>
          <w:tab w:val="left" w:pos="720"/>
          <w:tab w:val="left" w:pos="1080"/>
          <w:tab w:val="left" w:pos="1440"/>
        </w:tabs>
        <w:spacing w:before="0" w:beforeAutospacing="0" w:after="0" w:afterAutospacing="0"/>
      </w:pPr>
    </w:p>
    <w:tbl>
      <w:tblPr>
        <w:tblW w:w="80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3"/>
        <w:gridCol w:w="1687"/>
      </w:tblGrid>
      <w:tr w14:paraId="78E9EED8" w14:textId="77777777" w:rsidTr="004C2CA8">
        <w:tblPrEx>
          <w:tblW w:w="80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8010" w:type="dxa"/>
            <w:gridSpan w:val="2"/>
            <w:shd w:val="clear" w:color="auto" w:fill="auto"/>
            <w:vAlign w:val="center"/>
          </w:tcPr>
          <w:p w:rsidR="00661933" w:rsidP="004C2CA8" w14:paraId="5FE896B1" w14:textId="5A99FA06">
            <w:pPr>
              <w:pStyle w:val="NormalWeb"/>
              <w:spacing w:line="288" w:lineRule="atLeast"/>
              <w:jc w:val="center"/>
            </w:pPr>
            <w:r>
              <w:t>Estimation of</w:t>
            </w:r>
            <w:r>
              <w:t xml:space="preserve"> Respondent Burden Hours: Appendix I, I-112 (Protégé Firms)</w:t>
            </w:r>
          </w:p>
        </w:tc>
      </w:tr>
      <w:tr w14:paraId="0F736F65" w14:textId="77777777" w:rsidTr="004C2CA8">
        <w:tblPrEx>
          <w:tblW w:w="8010" w:type="dxa"/>
          <w:tblInd w:w="805" w:type="dxa"/>
          <w:tblLook w:val="04A0"/>
        </w:tblPrEx>
        <w:trPr>
          <w:trHeight w:val="386"/>
        </w:trPr>
        <w:tc>
          <w:tcPr>
            <w:tcW w:w="6323" w:type="dxa"/>
            <w:shd w:val="clear" w:color="auto" w:fill="auto"/>
            <w:vAlign w:val="center"/>
          </w:tcPr>
          <w:p w:rsidR="00661933" w:rsidRPr="0012026A" w:rsidP="004C2CA8" w14:paraId="417CDFE9" w14:textId="44BD0FC8">
            <w:pPr>
              <w:tabs>
                <w:tab w:val="left" w:pos="360"/>
              </w:tabs>
              <w:rPr>
                <w:rFonts w:cs="Courier New"/>
                <w:color w:val="000000"/>
              </w:rPr>
            </w:pPr>
            <w:r w:rsidRPr="0012026A">
              <w:rPr>
                <w:rFonts w:cs="Courier New"/>
                <w:color w:val="000000"/>
              </w:rPr>
              <w:t>Number of respondents</w:t>
            </w:r>
          </w:p>
        </w:tc>
        <w:tc>
          <w:tcPr>
            <w:tcW w:w="1687" w:type="dxa"/>
            <w:shd w:val="clear" w:color="auto" w:fill="auto"/>
            <w:vAlign w:val="center"/>
          </w:tcPr>
          <w:p w:rsidR="00661933" w:rsidRPr="007B6E85" w:rsidP="004C2CA8" w14:paraId="6EA6C8D4" w14:textId="3EFCA20F">
            <w:pPr>
              <w:pStyle w:val="NormalWeb"/>
              <w:spacing w:before="0" w:beforeAutospacing="0" w:after="0" w:afterAutospacing="0"/>
              <w:jc w:val="right"/>
              <w:rPr>
                <w:highlight w:val="yellow"/>
              </w:rPr>
            </w:pPr>
            <w:r>
              <w:t>62</w:t>
            </w:r>
          </w:p>
        </w:tc>
      </w:tr>
      <w:tr w14:paraId="558F3393" w14:textId="77777777" w:rsidTr="004C2CA8">
        <w:tblPrEx>
          <w:tblW w:w="8010" w:type="dxa"/>
          <w:tblInd w:w="805" w:type="dxa"/>
          <w:tblLook w:val="04A0"/>
        </w:tblPrEx>
        <w:trPr>
          <w:trHeight w:val="422"/>
        </w:trPr>
        <w:tc>
          <w:tcPr>
            <w:tcW w:w="6323" w:type="dxa"/>
            <w:shd w:val="clear" w:color="auto" w:fill="auto"/>
            <w:vAlign w:val="center"/>
          </w:tcPr>
          <w:p w:rsidR="00661933" w:rsidRPr="0012026A" w:rsidP="004C2CA8" w14:paraId="5A852B44" w14:textId="77777777">
            <w:pPr>
              <w:tabs>
                <w:tab w:val="left" w:pos="360"/>
              </w:tabs>
              <w:rPr>
                <w:rFonts w:cs="Courier New"/>
                <w:color w:val="000000"/>
              </w:rPr>
            </w:pPr>
            <w:r>
              <w:rPr>
                <w:rFonts w:cs="Courier New"/>
                <w:color w:val="000000"/>
              </w:rPr>
              <w:t>Number of responses per respondent</w:t>
            </w:r>
          </w:p>
        </w:tc>
        <w:tc>
          <w:tcPr>
            <w:tcW w:w="1687" w:type="dxa"/>
            <w:shd w:val="clear" w:color="auto" w:fill="auto"/>
            <w:vAlign w:val="center"/>
          </w:tcPr>
          <w:p w:rsidR="00661933" w:rsidRPr="007B6E85" w:rsidP="004C2CA8" w14:paraId="41D9A4AC" w14:textId="0050F150">
            <w:pPr>
              <w:pStyle w:val="NormalWeb"/>
              <w:spacing w:before="0" w:beforeAutospacing="0" w:after="0" w:afterAutospacing="0"/>
              <w:contextualSpacing/>
              <w:jc w:val="right"/>
              <w:rPr>
                <w:highlight w:val="yellow"/>
              </w:rPr>
            </w:pPr>
            <w:r>
              <w:t>1</w:t>
            </w:r>
          </w:p>
        </w:tc>
      </w:tr>
      <w:tr w14:paraId="4647F745" w14:textId="77777777" w:rsidTr="004C2CA8">
        <w:tblPrEx>
          <w:tblW w:w="8010" w:type="dxa"/>
          <w:tblInd w:w="805" w:type="dxa"/>
          <w:tblLook w:val="04A0"/>
        </w:tblPrEx>
        <w:trPr>
          <w:trHeight w:val="431"/>
        </w:trPr>
        <w:tc>
          <w:tcPr>
            <w:tcW w:w="6323" w:type="dxa"/>
            <w:shd w:val="clear" w:color="auto" w:fill="auto"/>
            <w:vAlign w:val="center"/>
          </w:tcPr>
          <w:p w:rsidR="00661933" w:rsidRPr="0012026A" w:rsidP="004C2CA8" w14:paraId="71BA671D" w14:textId="77777777">
            <w:pPr>
              <w:tabs>
                <w:tab w:val="left" w:pos="360"/>
              </w:tabs>
              <w:rPr>
                <w:rFonts w:cs="Courier New"/>
                <w:color w:val="000000"/>
              </w:rPr>
            </w:pPr>
            <w:r>
              <w:rPr>
                <w:rFonts w:cs="Courier New"/>
                <w:color w:val="000000"/>
              </w:rPr>
              <w:t>Number of total annual responses</w:t>
            </w:r>
          </w:p>
        </w:tc>
        <w:tc>
          <w:tcPr>
            <w:tcW w:w="1687" w:type="dxa"/>
            <w:shd w:val="clear" w:color="auto" w:fill="auto"/>
            <w:vAlign w:val="center"/>
          </w:tcPr>
          <w:p w:rsidR="00661933" w:rsidRPr="007B6E85" w:rsidP="004C2CA8" w14:paraId="1712C623" w14:textId="28399915">
            <w:pPr>
              <w:pStyle w:val="NormalWeb"/>
              <w:spacing w:before="0" w:beforeAutospacing="0" w:after="0" w:afterAutospacing="0"/>
              <w:contextualSpacing/>
              <w:jc w:val="right"/>
              <w:rPr>
                <w:highlight w:val="yellow"/>
              </w:rPr>
            </w:pPr>
            <w:r>
              <w:t>62</w:t>
            </w:r>
          </w:p>
        </w:tc>
      </w:tr>
      <w:tr w14:paraId="68EE6302" w14:textId="77777777" w:rsidTr="004C2CA8">
        <w:tblPrEx>
          <w:tblW w:w="8010" w:type="dxa"/>
          <w:tblInd w:w="805" w:type="dxa"/>
          <w:tblLook w:val="04A0"/>
        </w:tblPrEx>
        <w:trPr>
          <w:trHeight w:val="440"/>
        </w:trPr>
        <w:tc>
          <w:tcPr>
            <w:tcW w:w="6323" w:type="dxa"/>
            <w:shd w:val="clear" w:color="auto" w:fill="auto"/>
            <w:vAlign w:val="center"/>
          </w:tcPr>
          <w:p w:rsidR="00661933" w:rsidRPr="0012026A" w:rsidP="004C2CA8" w14:paraId="51E5E1A4" w14:textId="018C06FE">
            <w:pPr>
              <w:tabs>
                <w:tab w:val="left" w:pos="360"/>
              </w:tabs>
              <w:rPr>
                <w:rFonts w:cs="Courier New"/>
                <w:color w:val="000000"/>
              </w:rPr>
            </w:pPr>
            <w:r w:rsidRPr="0012026A">
              <w:rPr>
                <w:rFonts w:cs="Courier New"/>
                <w:color w:val="000000"/>
              </w:rPr>
              <w:t>Hours per response</w:t>
            </w:r>
          </w:p>
        </w:tc>
        <w:tc>
          <w:tcPr>
            <w:tcW w:w="1687" w:type="dxa"/>
            <w:shd w:val="clear" w:color="auto" w:fill="auto"/>
            <w:vAlign w:val="center"/>
          </w:tcPr>
          <w:p w:rsidR="00661933" w:rsidRPr="002570C8" w:rsidP="004C2CA8" w14:paraId="7B0E26AB" w14:textId="77777777">
            <w:pPr>
              <w:pStyle w:val="NormalWeb"/>
              <w:spacing w:before="0" w:beforeAutospacing="0" w:after="0" w:afterAutospacing="0"/>
              <w:contextualSpacing/>
              <w:jc w:val="right"/>
            </w:pPr>
            <w:r w:rsidRPr="002570C8">
              <w:t>1</w:t>
            </w:r>
          </w:p>
        </w:tc>
      </w:tr>
      <w:tr w14:paraId="096BEC9B" w14:textId="77777777" w:rsidTr="004C2CA8">
        <w:tblPrEx>
          <w:tblW w:w="8010" w:type="dxa"/>
          <w:tblInd w:w="805" w:type="dxa"/>
          <w:tblLook w:val="04A0"/>
        </w:tblPrEx>
        <w:trPr>
          <w:trHeight w:val="440"/>
        </w:trPr>
        <w:tc>
          <w:tcPr>
            <w:tcW w:w="6323" w:type="dxa"/>
            <w:shd w:val="clear" w:color="auto" w:fill="auto"/>
            <w:vAlign w:val="center"/>
          </w:tcPr>
          <w:p w:rsidR="00661933" w:rsidRPr="0012026A" w:rsidP="004C2CA8" w14:paraId="1C592B5B" w14:textId="4412FCE0">
            <w:pPr>
              <w:tabs>
                <w:tab w:val="left" w:pos="360"/>
              </w:tabs>
              <w:rPr>
                <w:rFonts w:cs="Courier New"/>
                <w:color w:val="000000"/>
              </w:rPr>
            </w:pPr>
            <w:r>
              <w:rPr>
                <w:rFonts w:cs="Courier New"/>
                <w:color w:val="000000"/>
              </w:rPr>
              <w:t>A</w:t>
            </w:r>
            <w:r w:rsidRPr="0012026A">
              <w:rPr>
                <w:rFonts w:cs="Courier New"/>
                <w:color w:val="000000"/>
              </w:rPr>
              <w:t xml:space="preserve">nnual </w:t>
            </w:r>
            <w:r>
              <w:rPr>
                <w:rFonts w:cs="Courier New"/>
                <w:color w:val="000000"/>
              </w:rPr>
              <w:t xml:space="preserve">respondent </w:t>
            </w:r>
            <w:r w:rsidRPr="0012026A">
              <w:rPr>
                <w:rFonts w:cs="Courier New"/>
                <w:color w:val="000000"/>
              </w:rPr>
              <w:t>burden</w:t>
            </w:r>
            <w:r>
              <w:rPr>
                <w:rFonts w:cs="Courier New"/>
                <w:color w:val="000000"/>
              </w:rPr>
              <w:t xml:space="preserve"> hours</w:t>
            </w:r>
          </w:p>
        </w:tc>
        <w:tc>
          <w:tcPr>
            <w:tcW w:w="1687" w:type="dxa"/>
            <w:shd w:val="clear" w:color="auto" w:fill="auto"/>
            <w:vAlign w:val="center"/>
          </w:tcPr>
          <w:p w:rsidR="00661933" w:rsidRPr="007B6E85" w:rsidP="004C2CA8" w14:paraId="23E0FD8E" w14:textId="7A7A7F45">
            <w:pPr>
              <w:pStyle w:val="NormalWeb"/>
              <w:spacing w:before="0" w:beforeAutospacing="0" w:after="0" w:afterAutospacing="0"/>
              <w:contextualSpacing/>
              <w:jc w:val="right"/>
              <w:rPr>
                <w:highlight w:val="yellow"/>
              </w:rPr>
            </w:pPr>
            <w:r>
              <w:t>62</w:t>
            </w:r>
          </w:p>
        </w:tc>
      </w:tr>
    </w:tbl>
    <w:p w:rsidR="009E3C9E" w:rsidP="00742EC8" w14:paraId="014ED014" w14:textId="77777777">
      <w:pPr>
        <w:pStyle w:val="NormalWeb"/>
        <w:tabs>
          <w:tab w:val="left" w:pos="360"/>
          <w:tab w:val="left" w:pos="720"/>
          <w:tab w:val="left" w:pos="1080"/>
          <w:tab w:val="left" w:pos="1440"/>
        </w:tabs>
        <w:spacing w:before="0" w:beforeAutospacing="0" w:after="0" w:afterAutospacing="0"/>
      </w:pPr>
    </w:p>
    <w:p w:rsidR="00167BD8" w:rsidP="00742EC8" w14:paraId="5A2AC07C" w14:textId="55B1F6F0">
      <w:pPr>
        <w:pStyle w:val="NormalWeb"/>
        <w:tabs>
          <w:tab w:val="left" w:pos="360"/>
          <w:tab w:val="left" w:pos="720"/>
          <w:tab w:val="left" w:pos="1080"/>
          <w:tab w:val="left" w:pos="1440"/>
        </w:tabs>
        <w:spacing w:before="0" w:beforeAutospacing="0" w:after="0" w:afterAutospacing="0"/>
      </w:pPr>
      <w:r>
        <w:tab/>
      </w:r>
      <w:r>
        <w:tab/>
        <w:t xml:space="preserve">2. </w:t>
      </w:r>
      <w:r w:rsidR="00D55C89">
        <w:t xml:space="preserve"> </w:t>
      </w:r>
      <w:r w:rsidRPr="00D733F1" w:rsidR="00D55C89">
        <w:rPr>
          <w:u w:val="single"/>
        </w:rPr>
        <w:t xml:space="preserve">Labor Cost </w:t>
      </w:r>
      <w:r w:rsidRPr="00D733F1" w:rsidR="00742EC8">
        <w:rPr>
          <w:u w:val="single"/>
        </w:rPr>
        <w:tab/>
      </w:r>
      <w:r w:rsidRPr="00D733F1" w:rsidR="00D55C89">
        <w:rPr>
          <w:u w:val="single"/>
        </w:rPr>
        <w:t>of Respondent Burden</w:t>
      </w:r>
    </w:p>
    <w:p w:rsidR="00B81532" w:rsidP="00B81532" w14:paraId="54B51148" w14:textId="77777777">
      <w:pPr>
        <w:pStyle w:val="NormalWeb"/>
        <w:tabs>
          <w:tab w:val="left" w:pos="360"/>
          <w:tab w:val="left" w:pos="720"/>
          <w:tab w:val="left" w:pos="1080"/>
          <w:tab w:val="left" w:pos="1440"/>
        </w:tabs>
        <w:spacing w:before="0" w:beforeAutospacing="0" w:after="0" w:afterAutospacing="0" w:line="288" w:lineRule="atLeast"/>
      </w:pPr>
    </w:p>
    <w:p w:rsidR="00D55C89" w:rsidP="00D733F1" w14:paraId="268C985C" w14:textId="71C94B67">
      <w:pPr>
        <w:pStyle w:val="NormalWeb"/>
        <w:tabs>
          <w:tab w:val="left" w:pos="360"/>
          <w:tab w:val="left" w:pos="720"/>
          <w:tab w:val="left" w:pos="1080"/>
          <w:tab w:val="left" w:pos="1440"/>
        </w:tabs>
        <w:spacing w:before="0" w:beforeAutospacing="0" w:after="0" w:afterAutospacing="0" w:line="288" w:lineRule="atLeast"/>
      </w:pPr>
      <w:r>
        <w:tab/>
      </w:r>
      <w:r>
        <w:tab/>
      </w:r>
      <w:r w:rsidRPr="00111581">
        <w:t>The estimated cost of $</w:t>
      </w:r>
      <w:r>
        <w:t>52.60 (rounded to $53.00)</w:t>
      </w:r>
      <w:r w:rsidRPr="00111581">
        <w:t xml:space="preserve"> per hour is based on the 202</w:t>
      </w:r>
      <w:r>
        <w:t>3</w:t>
      </w:r>
      <w:r w:rsidRPr="00111581">
        <w:t xml:space="preserve"> GS-12/Step 5 rate of $</w:t>
      </w:r>
      <w:r>
        <w:t>38.61</w:t>
      </w:r>
      <w:r w:rsidRPr="00111581">
        <w:t xml:space="preserve"> plus a fringe benefit rate of 36.25 percent</w:t>
      </w:r>
      <w:r>
        <w:t>, which is $13.99</w:t>
      </w:r>
      <w:r w:rsidRPr="00111581">
        <w:t xml:space="preserve">.  The 36.25 percent fringe benefit was taken from OMB </w:t>
      </w:r>
      <w:r w:rsidRPr="00111581">
        <w:t>Memorandum M-08-13 dated March 11, 2008.</w:t>
      </w:r>
    </w:p>
    <w:p w:rsidR="00D55C89" w:rsidP="00742EC8" w14:paraId="4406854A" w14:textId="49344325">
      <w:pPr>
        <w:pStyle w:val="NormalWeb"/>
        <w:tabs>
          <w:tab w:val="left" w:pos="360"/>
          <w:tab w:val="left" w:pos="720"/>
          <w:tab w:val="left" w:pos="1080"/>
          <w:tab w:val="left" w:pos="1440"/>
        </w:tabs>
        <w:spacing w:before="0" w:beforeAutospacing="0" w:after="0" w:afterAutospacing="0"/>
      </w:pPr>
    </w:p>
    <w:tbl>
      <w:tblPr>
        <w:tblW w:w="80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3"/>
        <w:gridCol w:w="1687"/>
      </w:tblGrid>
      <w:tr w14:paraId="6C896536" w14:textId="77777777" w:rsidTr="002C4F3F">
        <w:tblPrEx>
          <w:tblW w:w="80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8010" w:type="dxa"/>
            <w:gridSpan w:val="2"/>
            <w:shd w:val="clear" w:color="auto" w:fill="auto"/>
            <w:vAlign w:val="center"/>
          </w:tcPr>
          <w:p w:rsidR="00D55C89" w:rsidP="002C4F3F" w14:paraId="78A8531D" w14:textId="046171A4">
            <w:pPr>
              <w:pStyle w:val="NormalWeb"/>
              <w:spacing w:line="288" w:lineRule="atLeast"/>
              <w:jc w:val="center"/>
            </w:pPr>
            <w:r>
              <w:t>Labor Cost of Respondent Burden: Appendix I, I-112</w:t>
            </w:r>
            <w:r w:rsidR="00393AB2">
              <w:t xml:space="preserve"> (Mentor Firms)</w:t>
            </w:r>
          </w:p>
        </w:tc>
      </w:tr>
      <w:tr w14:paraId="6431C459" w14:textId="77777777" w:rsidTr="002C4F3F">
        <w:tblPrEx>
          <w:tblW w:w="8010" w:type="dxa"/>
          <w:tblInd w:w="805" w:type="dxa"/>
          <w:tblLook w:val="04A0"/>
        </w:tblPrEx>
        <w:trPr>
          <w:trHeight w:val="386"/>
        </w:trPr>
        <w:tc>
          <w:tcPr>
            <w:tcW w:w="6323" w:type="dxa"/>
            <w:shd w:val="clear" w:color="auto" w:fill="auto"/>
            <w:vAlign w:val="center"/>
          </w:tcPr>
          <w:p w:rsidR="00D55C89" w:rsidRPr="0012026A" w:rsidP="002C4F3F" w14:paraId="6DFCB530" w14:textId="2B98CEB5">
            <w:pPr>
              <w:tabs>
                <w:tab w:val="left" w:pos="360"/>
              </w:tabs>
              <w:rPr>
                <w:rFonts w:cs="Courier New"/>
                <w:color w:val="000000"/>
              </w:rPr>
            </w:pPr>
            <w:r w:rsidRPr="0012026A">
              <w:rPr>
                <w:rFonts w:cs="Courier New"/>
                <w:color w:val="000000"/>
              </w:rPr>
              <w:t xml:space="preserve">Number of </w:t>
            </w:r>
            <w:r w:rsidR="00AA5516">
              <w:rPr>
                <w:rFonts w:cs="Courier New"/>
                <w:color w:val="000000"/>
              </w:rPr>
              <w:t>total annual responses</w:t>
            </w:r>
          </w:p>
        </w:tc>
        <w:tc>
          <w:tcPr>
            <w:tcW w:w="1687" w:type="dxa"/>
            <w:shd w:val="clear" w:color="auto" w:fill="auto"/>
            <w:vAlign w:val="center"/>
          </w:tcPr>
          <w:p w:rsidR="00D55C89" w:rsidRPr="007B6E85" w:rsidP="002C4F3F" w14:paraId="12BFD3EC" w14:textId="6A073C35">
            <w:pPr>
              <w:pStyle w:val="NormalWeb"/>
              <w:spacing w:before="0" w:beforeAutospacing="0" w:after="0" w:afterAutospacing="0"/>
              <w:jc w:val="right"/>
              <w:rPr>
                <w:highlight w:val="yellow"/>
              </w:rPr>
            </w:pPr>
            <w:r>
              <w:t>150</w:t>
            </w:r>
          </w:p>
        </w:tc>
      </w:tr>
      <w:tr w14:paraId="15DCC582" w14:textId="77777777" w:rsidTr="002C4F3F">
        <w:tblPrEx>
          <w:tblW w:w="8010" w:type="dxa"/>
          <w:tblInd w:w="805" w:type="dxa"/>
          <w:tblLook w:val="04A0"/>
        </w:tblPrEx>
        <w:trPr>
          <w:trHeight w:val="422"/>
        </w:trPr>
        <w:tc>
          <w:tcPr>
            <w:tcW w:w="6323" w:type="dxa"/>
            <w:shd w:val="clear" w:color="auto" w:fill="auto"/>
            <w:vAlign w:val="center"/>
          </w:tcPr>
          <w:p w:rsidR="00D55C89" w:rsidRPr="0012026A" w:rsidP="002C4F3F" w14:paraId="64466C56" w14:textId="6A91BE03">
            <w:pPr>
              <w:tabs>
                <w:tab w:val="left" w:pos="360"/>
              </w:tabs>
              <w:rPr>
                <w:rFonts w:cs="Courier New"/>
                <w:color w:val="000000"/>
              </w:rPr>
            </w:pPr>
            <w:r>
              <w:rPr>
                <w:rFonts w:cs="Courier New"/>
                <w:color w:val="000000"/>
              </w:rPr>
              <w:t>Hours per response</w:t>
            </w:r>
          </w:p>
        </w:tc>
        <w:tc>
          <w:tcPr>
            <w:tcW w:w="1687" w:type="dxa"/>
            <w:shd w:val="clear" w:color="auto" w:fill="auto"/>
            <w:vAlign w:val="center"/>
          </w:tcPr>
          <w:p w:rsidR="00D55C89" w:rsidRPr="007B6E85" w:rsidP="002C4F3F" w14:paraId="7CB70F8E" w14:textId="7E431125">
            <w:pPr>
              <w:pStyle w:val="NormalWeb"/>
              <w:spacing w:before="0" w:beforeAutospacing="0" w:after="0" w:afterAutospacing="0"/>
              <w:contextualSpacing/>
              <w:jc w:val="right"/>
              <w:rPr>
                <w:highlight w:val="yellow"/>
              </w:rPr>
            </w:pPr>
            <w:r>
              <w:t>3</w:t>
            </w:r>
          </w:p>
        </w:tc>
      </w:tr>
      <w:tr w14:paraId="56165252" w14:textId="77777777" w:rsidTr="002C4F3F">
        <w:tblPrEx>
          <w:tblW w:w="8010" w:type="dxa"/>
          <w:tblInd w:w="805" w:type="dxa"/>
          <w:tblLook w:val="04A0"/>
        </w:tblPrEx>
        <w:trPr>
          <w:trHeight w:val="431"/>
        </w:trPr>
        <w:tc>
          <w:tcPr>
            <w:tcW w:w="6323" w:type="dxa"/>
            <w:shd w:val="clear" w:color="auto" w:fill="auto"/>
            <w:vAlign w:val="center"/>
          </w:tcPr>
          <w:p w:rsidR="00D55C89" w:rsidRPr="0012026A" w:rsidP="002C4F3F" w14:paraId="5191B6B6" w14:textId="1D3FFB08">
            <w:pPr>
              <w:tabs>
                <w:tab w:val="left" w:pos="360"/>
              </w:tabs>
              <w:rPr>
                <w:rFonts w:cs="Courier New"/>
                <w:color w:val="000000"/>
              </w:rPr>
            </w:pPr>
            <w:r>
              <w:rPr>
                <w:rFonts w:cs="Courier New"/>
                <w:color w:val="000000"/>
              </w:rPr>
              <w:t>Cost per hour (hourly wage)</w:t>
            </w:r>
          </w:p>
        </w:tc>
        <w:tc>
          <w:tcPr>
            <w:tcW w:w="1687" w:type="dxa"/>
            <w:shd w:val="clear" w:color="auto" w:fill="auto"/>
            <w:vAlign w:val="center"/>
          </w:tcPr>
          <w:p w:rsidR="00D55C89" w:rsidRPr="007B6E85" w:rsidP="002C4F3F" w14:paraId="5E1B3D94" w14:textId="1A94E69F">
            <w:pPr>
              <w:pStyle w:val="NormalWeb"/>
              <w:spacing w:before="0" w:beforeAutospacing="0" w:after="0" w:afterAutospacing="0"/>
              <w:contextualSpacing/>
              <w:jc w:val="right"/>
              <w:rPr>
                <w:highlight w:val="yellow"/>
              </w:rPr>
            </w:pPr>
            <w:r>
              <w:t>$53</w:t>
            </w:r>
          </w:p>
        </w:tc>
      </w:tr>
      <w:tr w14:paraId="7A7B41DF" w14:textId="77777777" w:rsidTr="002C4F3F">
        <w:tblPrEx>
          <w:tblW w:w="8010" w:type="dxa"/>
          <w:tblInd w:w="805" w:type="dxa"/>
          <w:tblLook w:val="04A0"/>
        </w:tblPrEx>
        <w:trPr>
          <w:trHeight w:val="440"/>
        </w:trPr>
        <w:tc>
          <w:tcPr>
            <w:tcW w:w="6323" w:type="dxa"/>
            <w:shd w:val="clear" w:color="auto" w:fill="auto"/>
            <w:vAlign w:val="center"/>
          </w:tcPr>
          <w:p w:rsidR="00D55C89" w:rsidRPr="0012026A" w:rsidP="002C4F3F" w14:paraId="316101C9" w14:textId="13152A93">
            <w:pPr>
              <w:tabs>
                <w:tab w:val="left" w:pos="360"/>
              </w:tabs>
              <w:rPr>
                <w:rFonts w:cs="Courier New"/>
                <w:color w:val="000000"/>
              </w:rPr>
            </w:pPr>
            <w:r>
              <w:rPr>
                <w:rFonts w:cs="Courier New"/>
                <w:color w:val="000000"/>
              </w:rPr>
              <w:t>Labor burden per response</w:t>
            </w:r>
          </w:p>
        </w:tc>
        <w:tc>
          <w:tcPr>
            <w:tcW w:w="1687" w:type="dxa"/>
            <w:shd w:val="clear" w:color="auto" w:fill="auto"/>
            <w:vAlign w:val="center"/>
          </w:tcPr>
          <w:p w:rsidR="00D55C89" w:rsidRPr="002570C8" w:rsidP="002C4F3F" w14:paraId="718E485E" w14:textId="1B5EB433">
            <w:pPr>
              <w:pStyle w:val="NormalWeb"/>
              <w:spacing w:before="0" w:beforeAutospacing="0" w:after="0" w:afterAutospacing="0"/>
              <w:contextualSpacing/>
              <w:jc w:val="right"/>
            </w:pPr>
            <w:r>
              <w:t>$</w:t>
            </w:r>
            <w:r w:rsidR="00393AB2">
              <w:t>159</w:t>
            </w:r>
          </w:p>
        </w:tc>
      </w:tr>
      <w:tr w14:paraId="170C308B" w14:textId="77777777" w:rsidTr="002C4F3F">
        <w:tblPrEx>
          <w:tblW w:w="8010" w:type="dxa"/>
          <w:tblInd w:w="805" w:type="dxa"/>
          <w:tblLook w:val="04A0"/>
        </w:tblPrEx>
        <w:trPr>
          <w:trHeight w:val="440"/>
        </w:trPr>
        <w:tc>
          <w:tcPr>
            <w:tcW w:w="6323" w:type="dxa"/>
            <w:shd w:val="clear" w:color="auto" w:fill="auto"/>
            <w:vAlign w:val="center"/>
          </w:tcPr>
          <w:p w:rsidR="00D55C89" w:rsidRPr="0012026A" w:rsidP="002C4F3F" w14:paraId="659AEE70" w14:textId="60CC5CBB">
            <w:pPr>
              <w:tabs>
                <w:tab w:val="left" w:pos="360"/>
              </w:tabs>
              <w:rPr>
                <w:rFonts w:cs="Courier New"/>
                <w:color w:val="000000"/>
              </w:rPr>
            </w:pPr>
            <w:r>
              <w:rPr>
                <w:rFonts w:cs="Courier New"/>
                <w:color w:val="000000"/>
              </w:rPr>
              <w:t>A</w:t>
            </w:r>
            <w:r w:rsidRPr="0012026A">
              <w:rPr>
                <w:rFonts w:cs="Courier New"/>
                <w:color w:val="000000"/>
              </w:rPr>
              <w:t xml:space="preserve">nnual </w:t>
            </w:r>
            <w:r>
              <w:rPr>
                <w:rFonts w:cs="Courier New"/>
                <w:color w:val="000000"/>
              </w:rPr>
              <w:t xml:space="preserve">labor </w:t>
            </w:r>
            <w:r>
              <w:rPr>
                <w:rFonts w:cs="Courier New"/>
                <w:color w:val="000000"/>
              </w:rPr>
              <w:t>burden</w:t>
            </w:r>
          </w:p>
        </w:tc>
        <w:tc>
          <w:tcPr>
            <w:tcW w:w="1687" w:type="dxa"/>
            <w:shd w:val="clear" w:color="auto" w:fill="auto"/>
            <w:vAlign w:val="center"/>
          </w:tcPr>
          <w:p w:rsidR="00D55C89" w:rsidRPr="007B6E85" w:rsidP="002C4F3F" w14:paraId="03BA2438" w14:textId="7795FCE7">
            <w:pPr>
              <w:pStyle w:val="NormalWeb"/>
              <w:spacing w:before="0" w:beforeAutospacing="0" w:after="0" w:afterAutospacing="0"/>
              <w:contextualSpacing/>
              <w:jc w:val="right"/>
              <w:rPr>
                <w:highlight w:val="yellow"/>
              </w:rPr>
            </w:pPr>
            <w:r>
              <w:t>$</w:t>
            </w:r>
            <w:r w:rsidR="00393AB2">
              <w:t>23,850</w:t>
            </w:r>
          </w:p>
        </w:tc>
      </w:tr>
    </w:tbl>
    <w:p w:rsidR="00D55C89" w:rsidP="00742EC8" w14:paraId="7500C56B" w14:textId="51D8DF14">
      <w:pPr>
        <w:pStyle w:val="NormalWeb"/>
        <w:tabs>
          <w:tab w:val="left" w:pos="360"/>
          <w:tab w:val="left" w:pos="720"/>
          <w:tab w:val="left" w:pos="1080"/>
          <w:tab w:val="left" w:pos="1440"/>
        </w:tabs>
        <w:spacing w:before="0" w:beforeAutospacing="0" w:after="0" w:afterAutospacing="0"/>
      </w:pPr>
    </w:p>
    <w:tbl>
      <w:tblPr>
        <w:tblW w:w="80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3"/>
        <w:gridCol w:w="1687"/>
      </w:tblGrid>
      <w:tr w14:paraId="04C7A91F" w14:textId="77777777" w:rsidTr="00EE3AE2">
        <w:tblPrEx>
          <w:tblW w:w="80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8010" w:type="dxa"/>
            <w:gridSpan w:val="2"/>
            <w:shd w:val="clear" w:color="auto" w:fill="auto"/>
            <w:vAlign w:val="center"/>
          </w:tcPr>
          <w:p w:rsidR="00393AB2" w:rsidP="00EE3AE2" w14:paraId="179330E6" w14:textId="76FD3A12">
            <w:pPr>
              <w:pStyle w:val="NormalWeb"/>
              <w:spacing w:line="288" w:lineRule="atLeast"/>
              <w:jc w:val="center"/>
            </w:pPr>
            <w:r>
              <w:t>Labor Cost of Respondent Burden: Appendix I, I-112 (Protégé Firms)</w:t>
            </w:r>
          </w:p>
        </w:tc>
      </w:tr>
      <w:tr w14:paraId="72D468F3" w14:textId="77777777" w:rsidTr="00EE3AE2">
        <w:tblPrEx>
          <w:tblW w:w="8010" w:type="dxa"/>
          <w:tblInd w:w="805" w:type="dxa"/>
          <w:tblLook w:val="04A0"/>
        </w:tblPrEx>
        <w:trPr>
          <w:trHeight w:val="386"/>
        </w:trPr>
        <w:tc>
          <w:tcPr>
            <w:tcW w:w="6323" w:type="dxa"/>
            <w:shd w:val="clear" w:color="auto" w:fill="auto"/>
            <w:vAlign w:val="center"/>
          </w:tcPr>
          <w:p w:rsidR="00393AB2" w:rsidRPr="0012026A" w:rsidP="00EE3AE2" w14:paraId="7AAFBB43" w14:textId="77777777">
            <w:pPr>
              <w:tabs>
                <w:tab w:val="left" w:pos="360"/>
              </w:tabs>
              <w:rPr>
                <w:rFonts w:cs="Courier New"/>
                <w:color w:val="000000"/>
              </w:rPr>
            </w:pPr>
            <w:r w:rsidRPr="0012026A">
              <w:rPr>
                <w:rFonts w:cs="Courier New"/>
                <w:color w:val="000000"/>
              </w:rPr>
              <w:t xml:space="preserve">Number of </w:t>
            </w:r>
            <w:r>
              <w:rPr>
                <w:rFonts w:cs="Courier New"/>
                <w:color w:val="000000"/>
              </w:rPr>
              <w:t>total annual responses</w:t>
            </w:r>
          </w:p>
        </w:tc>
        <w:tc>
          <w:tcPr>
            <w:tcW w:w="1687" w:type="dxa"/>
            <w:shd w:val="clear" w:color="auto" w:fill="auto"/>
            <w:vAlign w:val="center"/>
          </w:tcPr>
          <w:p w:rsidR="00393AB2" w:rsidRPr="007B6E85" w:rsidP="00EE3AE2" w14:paraId="42AFF19A" w14:textId="7535E333">
            <w:pPr>
              <w:pStyle w:val="NormalWeb"/>
              <w:spacing w:before="0" w:beforeAutospacing="0" w:after="0" w:afterAutospacing="0"/>
              <w:jc w:val="right"/>
              <w:rPr>
                <w:highlight w:val="yellow"/>
              </w:rPr>
            </w:pPr>
            <w:r w:rsidRPr="00D733F1">
              <w:t>62</w:t>
            </w:r>
          </w:p>
        </w:tc>
      </w:tr>
      <w:tr w14:paraId="22F91945" w14:textId="77777777" w:rsidTr="00EE3AE2">
        <w:tblPrEx>
          <w:tblW w:w="8010" w:type="dxa"/>
          <w:tblInd w:w="805" w:type="dxa"/>
          <w:tblLook w:val="04A0"/>
        </w:tblPrEx>
        <w:trPr>
          <w:trHeight w:val="422"/>
        </w:trPr>
        <w:tc>
          <w:tcPr>
            <w:tcW w:w="6323" w:type="dxa"/>
            <w:shd w:val="clear" w:color="auto" w:fill="auto"/>
            <w:vAlign w:val="center"/>
          </w:tcPr>
          <w:p w:rsidR="00393AB2" w:rsidRPr="0012026A" w:rsidP="00EE3AE2" w14:paraId="59CB2178" w14:textId="77777777">
            <w:pPr>
              <w:tabs>
                <w:tab w:val="left" w:pos="360"/>
              </w:tabs>
              <w:rPr>
                <w:rFonts w:cs="Courier New"/>
                <w:color w:val="000000"/>
              </w:rPr>
            </w:pPr>
            <w:r>
              <w:rPr>
                <w:rFonts w:cs="Courier New"/>
                <w:color w:val="000000"/>
              </w:rPr>
              <w:t>Hours per response</w:t>
            </w:r>
          </w:p>
        </w:tc>
        <w:tc>
          <w:tcPr>
            <w:tcW w:w="1687" w:type="dxa"/>
            <w:shd w:val="clear" w:color="auto" w:fill="auto"/>
            <w:vAlign w:val="center"/>
          </w:tcPr>
          <w:p w:rsidR="00393AB2" w:rsidRPr="007B6E85" w:rsidP="00EE3AE2" w14:paraId="60CFE7B6" w14:textId="5100F8EF">
            <w:pPr>
              <w:pStyle w:val="NormalWeb"/>
              <w:spacing w:before="0" w:beforeAutospacing="0" w:after="0" w:afterAutospacing="0"/>
              <w:contextualSpacing/>
              <w:jc w:val="right"/>
              <w:rPr>
                <w:highlight w:val="yellow"/>
              </w:rPr>
            </w:pPr>
            <w:r>
              <w:t>1</w:t>
            </w:r>
          </w:p>
        </w:tc>
      </w:tr>
      <w:tr w14:paraId="0F78B11E" w14:textId="77777777" w:rsidTr="00EE3AE2">
        <w:tblPrEx>
          <w:tblW w:w="8010" w:type="dxa"/>
          <w:tblInd w:w="805" w:type="dxa"/>
          <w:tblLook w:val="04A0"/>
        </w:tblPrEx>
        <w:trPr>
          <w:trHeight w:val="431"/>
        </w:trPr>
        <w:tc>
          <w:tcPr>
            <w:tcW w:w="6323" w:type="dxa"/>
            <w:shd w:val="clear" w:color="auto" w:fill="auto"/>
            <w:vAlign w:val="center"/>
          </w:tcPr>
          <w:p w:rsidR="00393AB2" w:rsidRPr="0012026A" w:rsidP="00EE3AE2" w14:paraId="494B31F9" w14:textId="77777777">
            <w:pPr>
              <w:tabs>
                <w:tab w:val="left" w:pos="360"/>
              </w:tabs>
              <w:rPr>
                <w:rFonts w:cs="Courier New"/>
                <w:color w:val="000000"/>
              </w:rPr>
            </w:pPr>
            <w:r>
              <w:rPr>
                <w:rFonts w:cs="Courier New"/>
                <w:color w:val="000000"/>
              </w:rPr>
              <w:t>Cost per hour (hourly wage)</w:t>
            </w:r>
          </w:p>
        </w:tc>
        <w:tc>
          <w:tcPr>
            <w:tcW w:w="1687" w:type="dxa"/>
            <w:shd w:val="clear" w:color="auto" w:fill="auto"/>
            <w:vAlign w:val="center"/>
          </w:tcPr>
          <w:p w:rsidR="00393AB2" w:rsidRPr="007B6E85" w:rsidP="00EE3AE2" w14:paraId="64C9095A" w14:textId="77777777">
            <w:pPr>
              <w:pStyle w:val="NormalWeb"/>
              <w:spacing w:before="0" w:beforeAutospacing="0" w:after="0" w:afterAutospacing="0"/>
              <w:contextualSpacing/>
              <w:jc w:val="right"/>
              <w:rPr>
                <w:highlight w:val="yellow"/>
              </w:rPr>
            </w:pPr>
            <w:r>
              <w:t>$53</w:t>
            </w:r>
          </w:p>
        </w:tc>
      </w:tr>
      <w:tr w14:paraId="30D087AD" w14:textId="77777777" w:rsidTr="00EE3AE2">
        <w:tblPrEx>
          <w:tblW w:w="8010" w:type="dxa"/>
          <w:tblInd w:w="805" w:type="dxa"/>
          <w:tblLook w:val="04A0"/>
        </w:tblPrEx>
        <w:trPr>
          <w:trHeight w:val="440"/>
        </w:trPr>
        <w:tc>
          <w:tcPr>
            <w:tcW w:w="6323" w:type="dxa"/>
            <w:shd w:val="clear" w:color="auto" w:fill="auto"/>
            <w:vAlign w:val="center"/>
          </w:tcPr>
          <w:p w:rsidR="00393AB2" w:rsidRPr="0012026A" w:rsidP="00EE3AE2" w14:paraId="242F8333" w14:textId="77777777">
            <w:pPr>
              <w:tabs>
                <w:tab w:val="left" w:pos="360"/>
              </w:tabs>
              <w:rPr>
                <w:rFonts w:cs="Courier New"/>
                <w:color w:val="000000"/>
              </w:rPr>
            </w:pPr>
            <w:r>
              <w:rPr>
                <w:rFonts w:cs="Courier New"/>
                <w:color w:val="000000"/>
              </w:rPr>
              <w:t>Labor burden per response</w:t>
            </w:r>
          </w:p>
        </w:tc>
        <w:tc>
          <w:tcPr>
            <w:tcW w:w="1687" w:type="dxa"/>
            <w:shd w:val="clear" w:color="auto" w:fill="auto"/>
            <w:vAlign w:val="center"/>
          </w:tcPr>
          <w:p w:rsidR="00393AB2" w:rsidRPr="002570C8" w:rsidP="00EE3AE2" w14:paraId="4DC8F0F3" w14:textId="4EC0D29F">
            <w:pPr>
              <w:pStyle w:val="NormalWeb"/>
              <w:spacing w:before="0" w:beforeAutospacing="0" w:after="0" w:afterAutospacing="0"/>
              <w:contextualSpacing/>
              <w:jc w:val="right"/>
            </w:pPr>
            <w:r>
              <w:t>$53</w:t>
            </w:r>
          </w:p>
        </w:tc>
      </w:tr>
      <w:tr w14:paraId="1E7EB51C" w14:textId="77777777" w:rsidTr="00EE3AE2">
        <w:tblPrEx>
          <w:tblW w:w="8010" w:type="dxa"/>
          <w:tblInd w:w="805" w:type="dxa"/>
          <w:tblLook w:val="04A0"/>
        </w:tblPrEx>
        <w:trPr>
          <w:trHeight w:val="440"/>
        </w:trPr>
        <w:tc>
          <w:tcPr>
            <w:tcW w:w="6323" w:type="dxa"/>
            <w:shd w:val="clear" w:color="auto" w:fill="auto"/>
            <w:vAlign w:val="center"/>
          </w:tcPr>
          <w:p w:rsidR="00393AB2" w:rsidRPr="0012026A" w:rsidP="00EE3AE2" w14:paraId="4AF1B2D1" w14:textId="77777777">
            <w:pPr>
              <w:tabs>
                <w:tab w:val="left" w:pos="360"/>
              </w:tabs>
              <w:rPr>
                <w:rFonts w:cs="Courier New"/>
                <w:color w:val="000000"/>
              </w:rPr>
            </w:pPr>
            <w:r>
              <w:rPr>
                <w:rFonts w:cs="Courier New"/>
                <w:color w:val="000000"/>
              </w:rPr>
              <w:t>A</w:t>
            </w:r>
            <w:r w:rsidRPr="0012026A">
              <w:rPr>
                <w:rFonts w:cs="Courier New"/>
                <w:color w:val="000000"/>
              </w:rPr>
              <w:t xml:space="preserve">nnual </w:t>
            </w:r>
            <w:r>
              <w:rPr>
                <w:rFonts w:cs="Courier New"/>
                <w:color w:val="000000"/>
              </w:rPr>
              <w:t>labor burden</w:t>
            </w:r>
          </w:p>
        </w:tc>
        <w:tc>
          <w:tcPr>
            <w:tcW w:w="1687" w:type="dxa"/>
            <w:shd w:val="clear" w:color="auto" w:fill="auto"/>
            <w:vAlign w:val="center"/>
          </w:tcPr>
          <w:p w:rsidR="00393AB2" w:rsidRPr="007B6E85" w:rsidP="00EE3AE2" w14:paraId="3565D3E4" w14:textId="37BC81CF">
            <w:pPr>
              <w:pStyle w:val="NormalWeb"/>
              <w:spacing w:before="0" w:beforeAutospacing="0" w:after="0" w:afterAutospacing="0"/>
              <w:contextualSpacing/>
              <w:jc w:val="right"/>
              <w:rPr>
                <w:highlight w:val="yellow"/>
              </w:rPr>
            </w:pPr>
            <w:r>
              <w:t>$3,286</w:t>
            </w:r>
          </w:p>
        </w:tc>
      </w:tr>
    </w:tbl>
    <w:p w:rsidR="00393AB2" w:rsidP="00742EC8" w14:paraId="6E642D1E" w14:textId="77777777">
      <w:pPr>
        <w:pStyle w:val="NormalWeb"/>
        <w:tabs>
          <w:tab w:val="left" w:pos="360"/>
          <w:tab w:val="left" w:pos="720"/>
          <w:tab w:val="left" w:pos="1080"/>
          <w:tab w:val="left" w:pos="1440"/>
        </w:tabs>
        <w:spacing w:before="0" w:beforeAutospacing="0" w:after="0" w:afterAutospacing="0"/>
      </w:pPr>
    </w:p>
    <w:p w:rsidR="00D55C89" w:rsidP="00742EC8" w14:paraId="2DFF526B" w14:textId="012B537D">
      <w:pPr>
        <w:pStyle w:val="NormalWeb"/>
        <w:tabs>
          <w:tab w:val="left" w:pos="360"/>
          <w:tab w:val="left" w:pos="720"/>
          <w:tab w:val="left" w:pos="1080"/>
          <w:tab w:val="left" w:pos="1440"/>
        </w:tabs>
        <w:spacing w:before="0" w:beforeAutospacing="0" w:after="0" w:afterAutospacing="0"/>
      </w:pPr>
      <w:r>
        <w:tab/>
        <w:t>b.</w:t>
      </w:r>
      <w:r w:rsidR="00393AB2">
        <w:t xml:space="preserve"> </w:t>
      </w:r>
      <w:r>
        <w:t xml:space="preserve"> </w:t>
      </w:r>
      <w:r w:rsidRPr="00D733F1" w:rsidR="00047B00">
        <w:rPr>
          <w:u w:val="single"/>
        </w:rPr>
        <w:t>Total for DFARS Appendix I, I-112</w:t>
      </w:r>
    </w:p>
    <w:p w:rsidR="00047B00" w:rsidP="00742EC8" w14:paraId="30EFF75F" w14:textId="00F1D002">
      <w:pPr>
        <w:pStyle w:val="NormalWeb"/>
        <w:tabs>
          <w:tab w:val="left" w:pos="360"/>
          <w:tab w:val="left" w:pos="720"/>
          <w:tab w:val="left" w:pos="1080"/>
          <w:tab w:val="left" w:pos="1440"/>
        </w:tabs>
        <w:spacing w:before="0" w:beforeAutospacing="0" w:after="0" w:afterAutospacing="0"/>
      </w:pPr>
    </w:p>
    <w:p w:rsidR="00047B00" w:rsidP="00742EC8" w14:paraId="509563F2" w14:textId="77777777">
      <w:pPr>
        <w:pStyle w:val="NormalWeb"/>
        <w:tabs>
          <w:tab w:val="left" w:pos="360"/>
          <w:tab w:val="left" w:pos="720"/>
          <w:tab w:val="left" w:pos="1080"/>
          <w:tab w:val="left" w:pos="1440"/>
        </w:tabs>
        <w:spacing w:before="0" w:beforeAutospacing="0" w:after="0" w:afterAutospacing="0"/>
      </w:pPr>
      <w:r>
        <w:tab/>
      </w:r>
      <w:r>
        <w:tab/>
        <w:t xml:space="preserve">1.  </w:t>
      </w:r>
      <w:r>
        <w:rPr>
          <w:u w:val="single"/>
        </w:rPr>
        <w:t>Total Submission Burden</w:t>
      </w:r>
    </w:p>
    <w:p w:rsidR="00047B00" w:rsidP="00742EC8" w14:paraId="3637992D" w14:textId="77777777">
      <w:pPr>
        <w:pStyle w:val="NormalWeb"/>
        <w:tabs>
          <w:tab w:val="left" w:pos="360"/>
          <w:tab w:val="left" w:pos="720"/>
          <w:tab w:val="left" w:pos="1080"/>
          <w:tab w:val="left" w:pos="1440"/>
        </w:tabs>
        <w:spacing w:before="0" w:beforeAutospacing="0" w:after="0" w:afterAutospacing="0"/>
      </w:pPr>
    </w:p>
    <w:p w:rsidR="00047B00" w:rsidP="00742EC8" w14:paraId="7DBD862E" w14:textId="35A0F332">
      <w:pPr>
        <w:pStyle w:val="NormalWeb"/>
        <w:tabs>
          <w:tab w:val="left" w:pos="360"/>
          <w:tab w:val="left" w:pos="720"/>
          <w:tab w:val="left" w:pos="1080"/>
          <w:tab w:val="left" w:pos="1440"/>
        </w:tabs>
        <w:spacing w:before="0" w:beforeAutospacing="0" w:after="0" w:afterAutospacing="0"/>
      </w:pPr>
      <w:r>
        <w:tab/>
      </w:r>
      <w:r>
        <w:tab/>
        <w:t>The total estimated burden hours for DFARS Appendix I, I-112 are provided in the following table:</w:t>
      </w:r>
    </w:p>
    <w:p w:rsidR="00047B00" w:rsidP="00742EC8" w14:paraId="02D4A115"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A8EEC54" w14:textId="77777777" w:rsidTr="002C4F3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47B00" w:rsidRPr="00AD5B08" w:rsidP="002C4F3F" w14:paraId="10593D3C" w14:textId="5041FF1A">
            <w:pPr>
              <w:spacing w:before="100" w:beforeAutospacing="1" w:after="100" w:afterAutospacing="1" w:line="288" w:lineRule="atLeast"/>
              <w:jc w:val="center"/>
            </w:pPr>
            <w:r w:rsidRPr="00AD5B08">
              <w:t xml:space="preserve">Estimation of Respondent Burden Hours:  </w:t>
            </w:r>
            <w:r w:rsidR="00AA5516">
              <w:t>0704-0332</w:t>
            </w:r>
          </w:p>
        </w:tc>
      </w:tr>
      <w:tr w14:paraId="3007AFD6" w14:textId="77777777" w:rsidTr="002C4F3F">
        <w:tblPrEx>
          <w:tblW w:w="9270" w:type="dxa"/>
          <w:tblInd w:w="108" w:type="dxa"/>
          <w:tblLook w:val="04A0"/>
        </w:tblPrEx>
        <w:trPr>
          <w:trHeight w:val="386"/>
        </w:trPr>
        <w:tc>
          <w:tcPr>
            <w:tcW w:w="7020" w:type="dxa"/>
            <w:shd w:val="clear" w:color="auto" w:fill="auto"/>
            <w:vAlign w:val="center"/>
          </w:tcPr>
          <w:p w:rsidR="00047B00" w:rsidRPr="00AD5B08" w:rsidP="002C4F3F" w14:paraId="680D41EF" w14:textId="1C3B7FAB">
            <w:pPr>
              <w:tabs>
                <w:tab w:val="left" w:pos="360"/>
              </w:tabs>
              <w:rPr>
                <w:rFonts w:cs="Courier New"/>
                <w:color w:val="000000"/>
              </w:rPr>
            </w:pPr>
            <w:r>
              <w:rPr>
                <w:rFonts w:cs="Courier New"/>
                <w:color w:val="000000"/>
              </w:rPr>
              <w:t>Total number</w:t>
            </w:r>
            <w:r w:rsidRPr="00AD5B08">
              <w:rPr>
                <w:rFonts w:cs="Courier New"/>
                <w:color w:val="000000"/>
              </w:rPr>
              <w:t xml:space="preserve"> of respondents</w:t>
            </w:r>
          </w:p>
        </w:tc>
        <w:tc>
          <w:tcPr>
            <w:tcW w:w="2250" w:type="dxa"/>
            <w:shd w:val="clear" w:color="auto" w:fill="auto"/>
            <w:vAlign w:val="center"/>
          </w:tcPr>
          <w:p w:rsidR="00047B00" w:rsidRPr="00AD5B08" w:rsidP="002C4F3F" w14:paraId="5FA74B7C" w14:textId="7B2C7D97">
            <w:pPr>
              <w:jc w:val="right"/>
            </w:pPr>
            <w:r>
              <w:t>105</w:t>
            </w:r>
          </w:p>
        </w:tc>
      </w:tr>
      <w:tr w14:paraId="4C30D294" w14:textId="77777777" w:rsidTr="002C4F3F">
        <w:tblPrEx>
          <w:tblW w:w="9270" w:type="dxa"/>
          <w:tblInd w:w="108" w:type="dxa"/>
          <w:tblLook w:val="04A0"/>
        </w:tblPrEx>
        <w:trPr>
          <w:trHeight w:val="431"/>
        </w:trPr>
        <w:tc>
          <w:tcPr>
            <w:tcW w:w="7020" w:type="dxa"/>
            <w:shd w:val="clear" w:color="auto" w:fill="auto"/>
            <w:vAlign w:val="center"/>
          </w:tcPr>
          <w:p w:rsidR="00AA5516" w:rsidP="002C4F3F" w14:paraId="01A711FC" w14:textId="64E96FB2">
            <w:pPr>
              <w:tabs>
                <w:tab w:val="left" w:pos="360"/>
              </w:tabs>
              <w:rPr>
                <w:rFonts w:cs="Courier New"/>
                <w:color w:val="000000"/>
              </w:rPr>
            </w:pPr>
            <w:r>
              <w:rPr>
                <w:rFonts w:cs="Courier New"/>
                <w:color w:val="000000"/>
              </w:rPr>
              <w:t xml:space="preserve">Total </w:t>
            </w:r>
            <w:r>
              <w:rPr>
                <w:rFonts w:cs="Courier New"/>
                <w:color w:val="000000"/>
              </w:rPr>
              <w:t>number of annual responses</w:t>
            </w:r>
          </w:p>
        </w:tc>
        <w:tc>
          <w:tcPr>
            <w:tcW w:w="2250" w:type="dxa"/>
            <w:shd w:val="clear" w:color="auto" w:fill="auto"/>
            <w:vAlign w:val="center"/>
          </w:tcPr>
          <w:p w:rsidR="00AA5516" w:rsidP="00AA5516" w14:paraId="0169A021" w14:textId="3BEE5B0C">
            <w:pPr>
              <w:contextualSpacing/>
              <w:jc w:val="right"/>
            </w:pPr>
            <w:r>
              <w:t>212</w:t>
            </w:r>
          </w:p>
        </w:tc>
      </w:tr>
      <w:tr w14:paraId="54E5F76E" w14:textId="77777777" w:rsidTr="002C4F3F">
        <w:tblPrEx>
          <w:tblW w:w="9270" w:type="dxa"/>
          <w:tblInd w:w="108" w:type="dxa"/>
          <w:tblLook w:val="04A0"/>
        </w:tblPrEx>
        <w:trPr>
          <w:trHeight w:val="449"/>
        </w:trPr>
        <w:tc>
          <w:tcPr>
            <w:tcW w:w="7020" w:type="dxa"/>
            <w:shd w:val="clear" w:color="auto" w:fill="auto"/>
            <w:vAlign w:val="center"/>
          </w:tcPr>
          <w:p w:rsidR="00047B00" w:rsidRPr="00AD5B08" w:rsidP="002C4F3F" w14:paraId="0FC5799F" w14:textId="5FEFD27E">
            <w:pPr>
              <w:tabs>
                <w:tab w:val="left" w:pos="360"/>
              </w:tabs>
              <w:rPr>
                <w:rFonts w:cs="Courier New"/>
                <w:i/>
                <w:color w:val="000000"/>
              </w:rPr>
            </w:pPr>
            <w:r>
              <w:rPr>
                <w:rFonts w:cs="Courier New"/>
                <w:color w:val="000000"/>
              </w:rPr>
              <w:t xml:space="preserve">Total burden </w:t>
            </w:r>
            <w:r w:rsidRPr="00AD5B08">
              <w:rPr>
                <w:rFonts w:cs="Courier New"/>
                <w:color w:val="000000"/>
              </w:rPr>
              <w:t>hours</w:t>
            </w:r>
          </w:p>
        </w:tc>
        <w:tc>
          <w:tcPr>
            <w:tcW w:w="2250" w:type="dxa"/>
            <w:shd w:val="clear" w:color="auto" w:fill="auto"/>
            <w:vAlign w:val="center"/>
          </w:tcPr>
          <w:p w:rsidR="00047B00" w:rsidRPr="00AD5B08" w:rsidP="002C4F3F" w14:paraId="25D76FBA" w14:textId="3970BC5B">
            <w:pPr>
              <w:contextualSpacing/>
              <w:jc w:val="right"/>
            </w:pPr>
            <w:r>
              <w:t>51</w:t>
            </w:r>
            <w:r w:rsidR="00393AB2">
              <w:t>2</w:t>
            </w:r>
          </w:p>
        </w:tc>
      </w:tr>
    </w:tbl>
    <w:p w:rsidR="00047B00" w:rsidP="00742EC8" w14:paraId="58D7201A" w14:textId="77777777">
      <w:pPr>
        <w:pStyle w:val="NormalWeb"/>
        <w:tabs>
          <w:tab w:val="left" w:pos="360"/>
          <w:tab w:val="left" w:pos="720"/>
          <w:tab w:val="left" w:pos="1080"/>
          <w:tab w:val="left" w:pos="1440"/>
        </w:tabs>
        <w:spacing w:before="0" w:beforeAutospacing="0" w:after="0" w:afterAutospacing="0"/>
      </w:pPr>
    </w:p>
    <w:p w:rsidR="00047B00" w:rsidP="00742EC8" w14:paraId="0C1F96E8" w14:textId="7B05A03F">
      <w:pPr>
        <w:pStyle w:val="NormalWeb"/>
        <w:tabs>
          <w:tab w:val="left" w:pos="360"/>
          <w:tab w:val="left" w:pos="720"/>
          <w:tab w:val="left" w:pos="1080"/>
          <w:tab w:val="left" w:pos="1440"/>
        </w:tabs>
        <w:spacing w:before="0" w:beforeAutospacing="0" w:after="0" w:afterAutospacing="0"/>
      </w:pPr>
      <w:r>
        <w:tab/>
      </w:r>
      <w:r>
        <w:tab/>
        <w:t xml:space="preserve">2.  </w:t>
      </w:r>
      <w:r>
        <w:rPr>
          <w:u w:val="single"/>
        </w:rPr>
        <w:t>Overall Labor Burden</w:t>
      </w:r>
    </w:p>
    <w:p w:rsidR="00047B00" w:rsidP="00742EC8" w14:paraId="496BB054" w14:textId="77777777">
      <w:pPr>
        <w:pStyle w:val="NormalWeb"/>
        <w:tabs>
          <w:tab w:val="left" w:pos="360"/>
          <w:tab w:val="left" w:pos="720"/>
          <w:tab w:val="left" w:pos="1080"/>
          <w:tab w:val="left" w:pos="1440"/>
        </w:tabs>
        <w:spacing w:before="0" w:beforeAutospacing="0" w:after="0" w:afterAutospacing="0"/>
      </w:pPr>
    </w:p>
    <w:p w:rsidR="00047B00" w:rsidP="00742EC8" w14:paraId="096A6EB6" w14:textId="77777777">
      <w:pPr>
        <w:pStyle w:val="NormalWeb"/>
        <w:tabs>
          <w:tab w:val="left" w:pos="360"/>
          <w:tab w:val="left" w:pos="720"/>
          <w:tab w:val="left" w:pos="1080"/>
          <w:tab w:val="left" w:pos="1440"/>
        </w:tabs>
        <w:spacing w:before="0" w:beforeAutospacing="0" w:after="0" w:afterAutospacing="0"/>
      </w:pPr>
      <w:r>
        <w:tab/>
      </w:r>
      <w:r>
        <w:tab/>
      </w:r>
      <w:r>
        <w:t xml:space="preserve">The total estimated labor cost of the respondent burden for DFARS Appendix I, I-112 is provided in the following table: </w:t>
      </w:r>
    </w:p>
    <w:p w:rsidR="00047B00" w:rsidP="00742EC8" w14:paraId="6FAD9FAD"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8190FC6" w14:textId="77777777" w:rsidTr="002C4F3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47B00" w:rsidRPr="00AD5B08" w:rsidP="002C4F3F" w14:paraId="71446664" w14:textId="751C81F4">
            <w:pPr>
              <w:spacing w:before="100" w:beforeAutospacing="1" w:after="100" w:afterAutospacing="1" w:line="288" w:lineRule="atLeast"/>
              <w:jc w:val="center"/>
            </w:pPr>
            <w:r>
              <w:t xml:space="preserve">Labor Cost </w:t>
            </w:r>
            <w:r w:rsidRPr="00AD5B08">
              <w:t xml:space="preserve">of Respondent Burden: </w:t>
            </w:r>
            <w:r>
              <w:t>Appendix I-I-112</w:t>
            </w:r>
          </w:p>
        </w:tc>
      </w:tr>
      <w:tr w14:paraId="52210857" w14:textId="77777777" w:rsidTr="002C4F3F">
        <w:tblPrEx>
          <w:tblW w:w="9270" w:type="dxa"/>
          <w:tblInd w:w="108" w:type="dxa"/>
          <w:tblLook w:val="04A0"/>
        </w:tblPrEx>
        <w:trPr>
          <w:trHeight w:val="431"/>
        </w:trPr>
        <w:tc>
          <w:tcPr>
            <w:tcW w:w="7020" w:type="dxa"/>
            <w:shd w:val="clear" w:color="auto" w:fill="auto"/>
            <w:vAlign w:val="center"/>
          </w:tcPr>
          <w:p w:rsidR="00047B00" w:rsidRPr="00AD5B08" w:rsidP="002C4F3F" w14:paraId="247F0C1A" w14:textId="77777777">
            <w:pPr>
              <w:tabs>
                <w:tab w:val="left" w:pos="360"/>
              </w:tabs>
              <w:rPr>
                <w:rFonts w:cs="Courier New"/>
                <w:color w:val="000000"/>
              </w:rPr>
            </w:pPr>
            <w:r>
              <w:rPr>
                <w:rFonts w:cs="Courier New"/>
                <w:color w:val="000000"/>
              </w:rPr>
              <w:t>Total n</w:t>
            </w:r>
            <w:r w:rsidRPr="00AD5B08">
              <w:rPr>
                <w:rFonts w:cs="Courier New"/>
                <w:color w:val="000000"/>
              </w:rPr>
              <w:t xml:space="preserve">umber of </w:t>
            </w:r>
            <w:r>
              <w:rPr>
                <w:rFonts w:cs="Courier New"/>
                <w:color w:val="000000"/>
              </w:rPr>
              <w:t xml:space="preserve">annual </w:t>
            </w:r>
            <w:r w:rsidRPr="00AD5B08">
              <w:rPr>
                <w:rFonts w:cs="Courier New"/>
                <w:color w:val="000000"/>
              </w:rPr>
              <w:t>responses</w:t>
            </w:r>
          </w:p>
        </w:tc>
        <w:tc>
          <w:tcPr>
            <w:tcW w:w="2250" w:type="dxa"/>
            <w:shd w:val="clear" w:color="auto" w:fill="auto"/>
            <w:vAlign w:val="center"/>
          </w:tcPr>
          <w:p w:rsidR="00047B00" w:rsidRPr="00AD5B08" w:rsidP="002C4F3F" w14:paraId="39000DDF" w14:textId="077BEC0B">
            <w:pPr>
              <w:contextualSpacing/>
              <w:jc w:val="right"/>
            </w:pPr>
            <w:r>
              <w:t>212</w:t>
            </w:r>
          </w:p>
        </w:tc>
      </w:tr>
      <w:tr w14:paraId="778E5D3E" w14:textId="77777777" w:rsidTr="002C4F3F">
        <w:tblPrEx>
          <w:tblW w:w="9270" w:type="dxa"/>
          <w:tblInd w:w="108" w:type="dxa"/>
          <w:tblLook w:val="04A0"/>
        </w:tblPrEx>
        <w:trPr>
          <w:trHeight w:val="440"/>
        </w:trPr>
        <w:tc>
          <w:tcPr>
            <w:tcW w:w="7020" w:type="dxa"/>
            <w:shd w:val="clear" w:color="auto" w:fill="auto"/>
            <w:vAlign w:val="center"/>
          </w:tcPr>
          <w:p w:rsidR="00047B00" w:rsidRPr="00AD5B08" w:rsidP="002C4F3F" w14:paraId="5849D3C3" w14:textId="12EE35FE">
            <w:pPr>
              <w:tabs>
                <w:tab w:val="left" w:pos="360"/>
              </w:tabs>
              <w:rPr>
                <w:rFonts w:cs="Courier New"/>
                <w:color w:val="000000"/>
              </w:rPr>
            </w:pPr>
            <w:r>
              <w:rPr>
                <w:rFonts w:cs="Courier New"/>
                <w:color w:val="000000"/>
              </w:rPr>
              <w:t>Annual Labor Burden</w:t>
            </w:r>
          </w:p>
        </w:tc>
        <w:tc>
          <w:tcPr>
            <w:tcW w:w="2250" w:type="dxa"/>
            <w:shd w:val="clear" w:color="auto" w:fill="auto"/>
            <w:vAlign w:val="center"/>
          </w:tcPr>
          <w:p w:rsidR="00047B00" w:rsidRPr="00AD5B08" w:rsidP="002C4F3F" w14:paraId="234DB7BC" w14:textId="1BDAC685">
            <w:pPr>
              <w:contextualSpacing/>
              <w:jc w:val="right"/>
            </w:pPr>
            <w:r w:rsidRPr="00AD5B08">
              <w:t>$</w:t>
            </w:r>
            <w:r w:rsidR="00393AB2">
              <w:t>27,136</w:t>
            </w:r>
          </w:p>
        </w:tc>
      </w:tr>
    </w:tbl>
    <w:p w:rsidR="00047B00" w:rsidP="00742EC8" w14:paraId="57C57DB2" w14:textId="4E7CCEA1">
      <w:pPr>
        <w:pStyle w:val="NormalWeb"/>
        <w:tabs>
          <w:tab w:val="left" w:pos="360"/>
          <w:tab w:val="left" w:pos="720"/>
          <w:tab w:val="left" w:pos="1080"/>
          <w:tab w:val="left" w:pos="1440"/>
        </w:tabs>
        <w:spacing w:before="0" w:beforeAutospacing="0" w:after="0" w:afterAutospacing="0"/>
      </w:pPr>
    </w:p>
    <w:p w:rsidR="00742EC8" w:rsidP="00D733F1" w14:paraId="537DBB7D" w14:textId="35272958">
      <w:pPr>
        <w:pStyle w:val="NormalWeb"/>
        <w:tabs>
          <w:tab w:val="left" w:pos="360"/>
          <w:tab w:val="left" w:pos="720"/>
          <w:tab w:val="left" w:pos="1080"/>
          <w:tab w:val="left" w:pos="1440"/>
        </w:tabs>
        <w:spacing w:before="0" w:beforeAutospacing="0"/>
      </w:pPr>
      <w:r>
        <w:t xml:space="preserve">13.  </w:t>
      </w:r>
      <w:r>
        <w:rPr>
          <w:u w:val="single"/>
        </w:rPr>
        <w:t>Respondent Costs Other Than Burden Hour Costs</w:t>
      </w:r>
    </w:p>
    <w:p w:rsidR="00794D07" w:rsidRPr="0025343B" w:rsidP="00393AB2" w14:paraId="07F1ABE3" w14:textId="1A7A2CA9">
      <w:bookmarkStart w:id="11" w:name="cp466"/>
      <w:bookmarkEnd w:id="10"/>
      <w:r>
        <w:tab/>
      </w:r>
      <w:r w:rsidRPr="00270A42">
        <w:t>There are no annualized costs to respondents other than the labor burden costs addressed in</w:t>
      </w:r>
      <w:r>
        <w:t xml:space="preserve"> </w:t>
      </w:r>
      <w:r w:rsidRPr="00270A42">
        <w:t>Section 12 of this document to complete this collection.</w:t>
      </w:r>
    </w:p>
    <w:p w:rsidR="00742EC8" w:rsidP="00742EC8" w14:paraId="0C09D633" w14:textId="5D5BD537">
      <w:pPr>
        <w:pStyle w:val="NormalWeb"/>
        <w:tabs>
          <w:tab w:val="left" w:pos="360"/>
          <w:tab w:val="left" w:pos="720"/>
          <w:tab w:val="left" w:pos="1080"/>
          <w:tab w:val="left" w:pos="1440"/>
        </w:tabs>
        <w:spacing w:line="288" w:lineRule="atLeast"/>
      </w:pPr>
      <w:r>
        <w:t xml:space="preserve">14.  </w:t>
      </w:r>
      <w:r>
        <w:rPr>
          <w:u w:val="single"/>
        </w:rPr>
        <w:t>Cost to the Federal Government</w:t>
      </w:r>
      <w:bookmarkEnd w:id="11"/>
    </w:p>
    <w:p w:rsidR="00A838F4" w:rsidRPr="00A838F4" w:rsidP="00742EC8" w14:paraId="46B3AB25" w14:textId="54C390DD">
      <w:pPr>
        <w:pStyle w:val="NormalWeb"/>
        <w:tabs>
          <w:tab w:val="left" w:pos="360"/>
          <w:tab w:val="left" w:pos="720"/>
          <w:tab w:val="left" w:pos="1080"/>
          <w:tab w:val="left" w:pos="1440"/>
        </w:tabs>
        <w:spacing w:line="288" w:lineRule="atLeast"/>
        <w:rPr>
          <w:u w:val="single"/>
        </w:rPr>
      </w:pPr>
      <w:r>
        <w:tab/>
        <w:t xml:space="preserve">a.  </w:t>
      </w:r>
      <w:r w:rsidRPr="00A838F4">
        <w:rPr>
          <w:u w:val="single"/>
        </w:rPr>
        <w:t xml:space="preserve">Labor Cost to </w:t>
      </w:r>
      <w:r w:rsidRPr="00A838F4">
        <w:rPr>
          <w:u w:val="single"/>
        </w:rPr>
        <w:t>the Federal Government</w:t>
      </w:r>
    </w:p>
    <w:p w:rsidR="00742EC8" w:rsidP="00742EC8" w14:paraId="706B2570" w14:textId="0D0B7B5C">
      <w:pPr>
        <w:pStyle w:val="NormalWeb"/>
        <w:tabs>
          <w:tab w:val="left" w:pos="360"/>
          <w:tab w:val="left" w:pos="720"/>
          <w:tab w:val="left" w:pos="1080"/>
          <w:tab w:val="left" w:pos="1440"/>
        </w:tabs>
        <w:spacing w:line="288" w:lineRule="atLeast"/>
      </w:pPr>
      <w:r>
        <w:tab/>
      </w:r>
      <w:r>
        <w:tab/>
        <w:t xml:space="preserve">The cost incurred by the Government is based on the time required to receive, review, and analyze the information submitted by the </w:t>
      </w:r>
      <w:r w:rsidR="00D778DB">
        <w:t xml:space="preserve">Program participants </w:t>
      </w:r>
      <w:r w:rsidR="002910AD">
        <w:t>for each agreement in place</w:t>
      </w:r>
      <w:r>
        <w:t>.  DoD estimates that it will take the Government ap</w:t>
      </w:r>
      <w:r>
        <w:t>proximately one hour to review and process the information in each response.</w:t>
      </w:r>
      <w:r w:rsidR="007B6E85">
        <w:t xml:space="preserve">  </w:t>
      </w:r>
      <w:r w:rsidRPr="00307C34" w:rsidR="007B6E85">
        <w:t>The estimated cost of $</w:t>
      </w:r>
      <w:r w:rsidRPr="00307C34" w:rsidR="00307C34">
        <w:t>53.00</w:t>
      </w:r>
      <w:r w:rsidRPr="00307C34" w:rsidR="007B6E85">
        <w:t xml:space="preserve"> per hour is based on the </w:t>
      </w:r>
      <w:r w:rsidRPr="00876454" w:rsidR="007B6E85">
        <w:t>2023 GS-12/Step 5 rate of $</w:t>
      </w:r>
      <w:r w:rsidRPr="00876454" w:rsidR="00307C34">
        <w:t>38.61</w:t>
      </w:r>
      <w:r w:rsidRPr="00876454" w:rsidR="007B6E85">
        <w:t xml:space="preserve"> p</w:t>
      </w:r>
      <w:r w:rsidRPr="00307C34" w:rsidR="007B6E85">
        <w:t>lus a fringe benefit rate of 36.25 percent.  T</w:t>
      </w:r>
      <w:r w:rsidRPr="00111581" w:rsidR="007B6E85">
        <w:t>he 36.25 percent fringe benefit was taken from OMB Memorandum M-08-13 dated March 11, 2008.</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58FC622" w14:textId="77777777" w:rsidTr="00AA7B9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42EC8" w:rsidP="00AA7B91" w14:paraId="59881B65" w14:textId="2F7A2D31">
            <w:pPr>
              <w:pStyle w:val="NormalWeb"/>
              <w:spacing w:line="288" w:lineRule="atLeast"/>
              <w:jc w:val="center"/>
            </w:pPr>
            <w:r>
              <w:t>Labor Cost to the Federal Government: Appendix I, I-112</w:t>
            </w:r>
          </w:p>
        </w:tc>
      </w:tr>
      <w:tr w14:paraId="0C9FE6A9" w14:textId="77777777" w:rsidTr="00AA7B91">
        <w:tblPrEx>
          <w:tblW w:w="9270" w:type="dxa"/>
          <w:tblInd w:w="108" w:type="dxa"/>
          <w:tblLook w:val="04A0"/>
        </w:tblPrEx>
        <w:trPr>
          <w:trHeight w:val="431"/>
        </w:trPr>
        <w:tc>
          <w:tcPr>
            <w:tcW w:w="7020" w:type="dxa"/>
            <w:shd w:val="clear" w:color="auto" w:fill="auto"/>
            <w:vAlign w:val="center"/>
          </w:tcPr>
          <w:p w:rsidR="00742EC8" w:rsidRPr="0012026A" w:rsidP="00AA7B91" w14:paraId="07B0FB65" w14:textId="5038DBD1">
            <w:pPr>
              <w:tabs>
                <w:tab w:val="left" w:pos="360"/>
              </w:tabs>
              <w:rPr>
                <w:rFonts w:cs="Courier New"/>
                <w:color w:val="000000"/>
              </w:rPr>
            </w:pPr>
            <w:r w:rsidRPr="0012026A">
              <w:rPr>
                <w:rFonts w:cs="Courier New"/>
                <w:color w:val="000000"/>
              </w:rPr>
              <w:t xml:space="preserve">Number of </w:t>
            </w:r>
            <w:r w:rsidR="00A838F4">
              <w:rPr>
                <w:rFonts w:cs="Courier New"/>
                <w:color w:val="000000"/>
              </w:rPr>
              <w:t>total annual responses</w:t>
            </w:r>
          </w:p>
        </w:tc>
        <w:tc>
          <w:tcPr>
            <w:tcW w:w="2250" w:type="dxa"/>
            <w:shd w:val="clear" w:color="auto" w:fill="auto"/>
            <w:vAlign w:val="center"/>
          </w:tcPr>
          <w:p w:rsidR="00742EC8" w:rsidRPr="00520895" w:rsidP="00AA7B91" w14:paraId="2BA8FA87" w14:textId="67AD4068">
            <w:pPr>
              <w:pStyle w:val="NormalWeb"/>
              <w:spacing w:before="0" w:beforeAutospacing="0" w:after="0" w:afterAutospacing="0"/>
              <w:contextualSpacing/>
              <w:jc w:val="right"/>
            </w:pPr>
            <w:r>
              <w:t>212</w:t>
            </w:r>
          </w:p>
        </w:tc>
      </w:tr>
      <w:tr w14:paraId="5C0E5D8E" w14:textId="77777777" w:rsidTr="00AA7B91">
        <w:tblPrEx>
          <w:tblW w:w="9270" w:type="dxa"/>
          <w:tblInd w:w="108" w:type="dxa"/>
          <w:tblLook w:val="04A0"/>
        </w:tblPrEx>
        <w:trPr>
          <w:trHeight w:val="440"/>
        </w:trPr>
        <w:tc>
          <w:tcPr>
            <w:tcW w:w="7020" w:type="dxa"/>
            <w:shd w:val="clear" w:color="auto" w:fill="auto"/>
            <w:vAlign w:val="center"/>
          </w:tcPr>
          <w:p w:rsidR="00742EC8" w:rsidRPr="0012026A" w:rsidP="00AA7B91" w14:paraId="6D609E29" w14:textId="7A714877">
            <w:pPr>
              <w:tabs>
                <w:tab w:val="left" w:pos="360"/>
              </w:tabs>
              <w:rPr>
                <w:rFonts w:cs="Courier New"/>
                <w:color w:val="000000"/>
              </w:rPr>
            </w:pPr>
            <w:r w:rsidRPr="0012026A">
              <w:rPr>
                <w:rFonts w:cs="Courier New"/>
                <w:color w:val="000000"/>
              </w:rPr>
              <w:t>Hours per response</w:t>
            </w:r>
          </w:p>
        </w:tc>
        <w:tc>
          <w:tcPr>
            <w:tcW w:w="2250" w:type="dxa"/>
            <w:shd w:val="clear" w:color="auto" w:fill="auto"/>
            <w:vAlign w:val="center"/>
          </w:tcPr>
          <w:p w:rsidR="00742EC8" w:rsidRPr="007B6E85" w:rsidP="00AA7B91" w14:paraId="2EA070A6" w14:textId="63708A03">
            <w:pPr>
              <w:pStyle w:val="NormalWeb"/>
              <w:spacing w:before="0" w:beforeAutospacing="0" w:after="0" w:afterAutospacing="0"/>
              <w:contextualSpacing/>
              <w:jc w:val="right"/>
              <w:rPr>
                <w:highlight w:val="yellow"/>
              </w:rPr>
            </w:pPr>
            <w:r>
              <w:t>1</w:t>
            </w:r>
          </w:p>
        </w:tc>
      </w:tr>
      <w:tr w14:paraId="4C675490" w14:textId="77777777" w:rsidTr="00AA7B91">
        <w:tblPrEx>
          <w:tblW w:w="9270" w:type="dxa"/>
          <w:tblInd w:w="108" w:type="dxa"/>
          <w:tblLook w:val="04A0"/>
        </w:tblPrEx>
        <w:trPr>
          <w:trHeight w:val="431"/>
        </w:trPr>
        <w:tc>
          <w:tcPr>
            <w:tcW w:w="7020" w:type="dxa"/>
            <w:shd w:val="clear" w:color="auto" w:fill="auto"/>
            <w:vAlign w:val="center"/>
          </w:tcPr>
          <w:p w:rsidR="00024106" w:rsidRPr="0012026A" w:rsidP="00024106" w14:paraId="5AC87A06" w14:textId="7EC09F6C">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024106" w:rsidRPr="00520895" w:rsidP="00024106" w14:paraId="57FE2892" w14:textId="1C87E7C4">
            <w:pPr>
              <w:pStyle w:val="NormalWeb"/>
              <w:spacing w:before="0" w:beforeAutospacing="0" w:after="0" w:afterAutospacing="0"/>
              <w:contextualSpacing/>
              <w:jc w:val="right"/>
            </w:pPr>
            <w:r>
              <w:t>212</w:t>
            </w:r>
          </w:p>
        </w:tc>
      </w:tr>
      <w:tr w14:paraId="3B173BC8" w14:textId="77777777" w:rsidTr="00AA7B91">
        <w:tblPrEx>
          <w:tblW w:w="9270" w:type="dxa"/>
          <w:tblInd w:w="108" w:type="dxa"/>
          <w:tblLook w:val="04A0"/>
        </w:tblPrEx>
        <w:trPr>
          <w:trHeight w:val="431"/>
        </w:trPr>
        <w:tc>
          <w:tcPr>
            <w:tcW w:w="7020" w:type="dxa"/>
            <w:shd w:val="clear" w:color="auto" w:fill="auto"/>
            <w:vAlign w:val="center"/>
          </w:tcPr>
          <w:p w:rsidR="00024106" w:rsidRPr="0012026A" w:rsidP="00024106" w14:paraId="0A6083EB"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024106" w:rsidRPr="007B6E85" w:rsidP="00024106" w14:paraId="33B17D0D" w14:textId="35770C3C">
            <w:pPr>
              <w:pStyle w:val="NormalWeb"/>
              <w:spacing w:before="0" w:beforeAutospacing="0" w:after="0" w:afterAutospacing="0"/>
              <w:contextualSpacing/>
              <w:jc w:val="right"/>
              <w:rPr>
                <w:highlight w:val="yellow"/>
              </w:rPr>
            </w:pPr>
            <w:r w:rsidRPr="00520895">
              <w:t>$</w:t>
            </w:r>
            <w:r>
              <w:t>53</w:t>
            </w:r>
          </w:p>
        </w:tc>
      </w:tr>
      <w:tr w14:paraId="73BFDDCB" w14:textId="77777777" w:rsidTr="00AA7B91">
        <w:tblPrEx>
          <w:tblW w:w="9270" w:type="dxa"/>
          <w:tblInd w:w="108" w:type="dxa"/>
          <w:tblLook w:val="04A0"/>
        </w:tblPrEx>
        <w:trPr>
          <w:trHeight w:val="440"/>
        </w:trPr>
        <w:tc>
          <w:tcPr>
            <w:tcW w:w="7020" w:type="dxa"/>
            <w:shd w:val="clear" w:color="auto" w:fill="auto"/>
            <w:vAlign w:val="center"/>
          </w:tcPr>
          <w:p w:rsidR="00024106" w:rsidP="00024106" w14:paraId="5BBD2968" w14:textId="2538F327">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00024106" w:rsidRPr="00520895" w:rsidP="00024106" w14:paraId="02EA5B5E" w14:textId="30BF81E1">
            <w:pPr>
              <w:pStyle w:val="NormalWeb"/>
              <w:spacing w:before="0" w:beforeAutospacing="0" w:after="0" w:afterAutospacing="0"/>
              <w:contextualSpacing/>
              <w:jc w:val="right"/>
            </w:pPr>
            <w:r>
              <w:t>$</w:t>
            </w:r>
            <w:r w:rsidR="000E26D7">
              <w:t>53</w:t>
            </w:r>
          </w:p>
        </w:tc>
      </w:tr>
      <w:tr w14:paraId="16E7C83F" w14:textId="77777777" w:rsidTr="00AA7B91">
        <w:tblPrEx>
          <w:tblW w:w="9270" w:type="dxa"/>
          <w:tblInd w:w="108" w:type="dxa"/>
          <w:tblLook w:val="04A0"/>
        </w:tblPrEx>
        <w:trPr>
          <w:trHeight w:val="440"/>
        </w:trPr>
        <w:tc>
          <w:tcPr>
            <w:tcW w:w="7020" w:type="dxa"/>
            <w:shd w:val="clear" w:color="auto" w:fill="auto"/>
            <w:vAlign w:val="center"/>
          </w:tcPr>
          <w:p w:rsidR="00024106" w:rsidRPr="0012026A" w:rsidP="00024106" w14:paraId="055D3C41"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024106" w:rsidRPr="007B6E85" w:rsidP="00024106" w14:paraId="64DD3FDC" w14:textId="1ED49784">
            <w:pPr>
              <w:pStyle w:val="NormalWeb"/>
              <w:spacing w:before="0" w:beforeAutospacing="0" w:after="0" w:afterAutospacing="0"/>
              <w:contextualSpacing/>
              <w:jc w:val="right"/>
              <w:rPr>
                <w:highlight w:val="yellow"/>
              </w:rPr>
            </w:pPr>
            <w:r w:rsidRPr="00520895">
              <w:t>$</w:t>
            </w:r>
            <w:r w:rsidR="000E26D7">
              <w:t>11,236</w:t>
            </w:r>
          </w:p>
        </w:tc>
      </w:tr>
    </w:tbl>
    <w:p w:rsidR="00742EC8" w:rsidP="00742EC8" w14:paraId="54F9CCE3" w14:textId="04E8421B">
      <w:pPr>
        <w:pStyle w:val="NormalWeb"/>
        <w:tabs>
          <w:tab w:val="left" w:pos="360"/>
          <w:tab w:val="left" w:pos="720"/>
          <w:tab w:val="left" w:pos="1080"/>
          <w:tab w:val="left" w:pos="1440"/>
        </w:tabs>
        <w:spacing w:before="0" w:beforeAutospacing="0" w:after="0" w:afterAutospacing="0"/>
      </w:pPr>
      <w:bookmarkStart w:id="12" w:name="cp468"/>
    </w:p>
    <w:p w:rsidR="00A838F4" w:rsidP="00742EC8" w14:paraId="5D3CBC21" w14:textId="0BEBDF75">
      <w:pPr>
        <w:pStyle w:val="NormalWeb"/>
        <w:tabs>
          <w:tab w:val="left" w:pos="360"/>
          <w:tab w:val="left" w:pos="720"/>
          <w:tab w:val="left" w:pos="1080"/>
          <w:tab w:val="left" w:pos="1440"/>
        </w:tabs>
        <w:spacing w:before="0" w:beforeAutospacing="0" w:after="0" w:afterAutospacing="0"/>
        <w:rPr>
          <w:u w:val="single"/>
        </w:rPr>
      </w:pPr>
      <w:r>
        <w:tab/>
        <w:t xml:space="preserve">b.  </w:t>
      </w:r>
      <w:r>
        <w:rPr>
          <w:u w:val="single"/>
        </w:rPr>
        <w:t>Operational and Maintenance Costs</w:t>
      </w:r>
    </w:p>
    <w:p w:rsidR="00876454" w:rsidP="00742EC8" w14:paraId="72E84B91" w14:textId="54A7DF21">
      <w:pPr>
        <w:pStyle w:val="NormalWeb"/>
        <w:tabs>
          <w:tab w:val="left" w:pos="360"/>
          <w:tab w:val="left" w:pos="720"/>
          <w:tab w:val="left" w:pos="1080"/>
          <w:tab w:val="left" w:pos="1440"/>
        </w:tabs>
        <w:spacing w:before="0" w:beforeAutospacing="0" w:after="0" w:afterAutospacing="0"/>
        <w:rPr>
          <w:u w:val="single"/>
        </w:rPr>
      </w:pPr>
    </w:p>
    <w:p w:rsidR="00876454" w:rsidRPr="00876454" w:rsidP="00742EC8" w14:paraId="4727CCBB" w14:textId="5CC55634">
      <w:pPr>
        <w:pStyle w:val="NormalWeb"/>
        <w:tabs>
          <w:tab w:val="left" w:pos="360"/>
          <w:tab w:val="left" w:pos="720"/>
          <w:tab w:val="left" w:pos="1080"/>
          <w:tab w:val="left" w:pos="1440"/>
        </w:tabs>
        <w:spacing w:before="0" w:beforeAutospacing="0" w:after="0" w:afterAutospacing="0"/>
      </w:pPr>
      <w:r>
        <w:tab/>
      </w:r>
      <w:r>
        <w:tab/>
        <w:t xml:space="preserve">There are no </w:t>
      </w:r>
      <w:r>
        <w:t>operational and maintenance costs associated with this information collection.</w:t>
      </w:r>
    </w:p>
    <w:p w:rsidR="00A838F4" w:rsidP="00742EC8" w14:paraId="198F5162" w14:textId="17A10D67">
      <w:pPr>
        <w:pStyle w:val="NormalWeb"/>
        <w:tabs>
          <w:tab w:val="left" w:pos="360"/>
          <w:tab w:val="left" w:pos="720"/>
          <w:tab w:val="left" w:pos="1080"/>
          <w:tab w:val="left" w:pos="1440"/>
        </w:tabs>
        <w:spacing w:before="0" w:beforeAutospacing="0" w:after="0" w:afterAutospacing="0"/>
        <w:rPr>
          <w:u w:val="single"/>
        </w:rPr>
      </w:pPr>
    </w:p>
    <w:p w:rsidR="00A838F4" w:rsidP="00742EC8" w14:paraId="188BF838" w14:textId="0B1F4200">
      <w:pPr>
        <w:pStyle w:val="NormalWeb"/>
        <w:tabs>
          <w:tab w:val="left" w:pos="360"/>
          <w:tab w:val="left" w:pos="720"/>
          <w:tab w:val="left" w:pos="1080"/>
          <w:tab w:val="left" w:pos="1440"/>
        </w:tabs>
        <w:spacing w:before="0" w:beforeAutospacing="0" w:after="0" w:afterAutospacing="0"/>
      </w:pPr>
      <w:r>
        <w:tab/>
        <w:t>c.</w:t>
      </w:r>
      <w:r w:rsidR="000E26D7">
        <w:t xml:space="preserve"> </w:t>
      </w:r>
      <w:r>
        <w:t xml:space="preserve"> </w:t>
      </w:r>
      <w:r>
        <w:rPr>
          <w:u w:val="single"/>
        </w:rPr>
        <w:t>Total Cost to the Federal Government</w:t>
      </w:r>
    </w:p>
    <w:p w:rsidR="00A838F4" w:rsidP="00742EC8" w14:paraId="568CE6E3" w14:textId="76826E2D">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8A0FF52" w14:textId="77777777" w:rsidTr="002C4F3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A838F4" w:rsidRPr="00AD5B08" w:rsidP="002C4F3F" w14:paraId="3F546208" w14:textId="1988EC06">
            <w:pPr>
              <w:tabs>
                <w:tab w:val="left" w:pos="360"/>
              </w:tabs>
              <w:rPr>
                <w:rFonts w:cs="Courier New"/>
                <w:color w:val="000000"/>
              </w:rPr>
            </w:pPr>
            <w:r>
              <w:rPr>
                <w:rFonts w:cs="Courier New"/>
                <w:color w:val="000000"/>
              </w:rPr>
              <w:t>Total labor burden</w:t>
            </w:r>
          </w:p>
        </w:tc>
        <w:tc>
          <w:tcPr>
            <w:tcW w:w="2250" w:type="dxa"/>
            <w:shd w:val="clear" w:color="auto" w:fill="auto"/>
            <w:vAlign w:val="center"/>
          </w:tcPr>
          <w:p w:rsidR="00A838F4" w:rsidRPr="00AD5B08" w:rsidP="002C4F3F" w14:paraId="2341A699" w14:textId="3EECBD57">
            <w:pPr>
              <w:contextualSpacing/>
              <w:jc w:val="right"/>
            </w:pPr>
            <w:r>
              <w:t>$</w:t>
            </w:r>
            <w:r w:rsidR="000E26D7">
              <w:t>11,236</w:t>
            </w:r>
          </w:p>
        </w:tc>
      </w:tr>
      <w:tr w14:paraId="65229AE4" w14:textId="77777777" w:rsidTr="002C4F3F">
        <w:tblPrEx>
          <w:tblW w:w="9270" w:type="dxa"/>
          <w:tblInd w:w="108" w:type="dxa"/>
          <w:tblLook w:val="04A0"/>
        </w:tblPrEx>
        <w:trPr>
          <w:trHeight w:val="440"/>
        </w:trPr>
        <w:tc>
          <w:tcPr>
            <w:tcW w:w="7020" w:type="dxa"/>
            <w:shd w:val="clear" w:color="auto" w:fill="auto"/>
            <w:vAlign w:val="center"/>
          </w:tcPr>
          <w:p w:rsidR="00A838F4" w:rsidRPr="00AD5B08" w:rsidP="002C4F3F" w14:paraId="436FA80F" w14:textId="1B28960A">
            <w:pPr>
              <w:tabs>
                <w:tab w:val="left" w:pos="360"/>
              </w:tabs>
              <w:rPr>
                <w:rFonts w:cs="Courier New"/>
                <w:color w:val="000000"/>
              </w:rPr>
            </w:pPr>
            <w:r>
              <w:rPr>
                <w:rFonts w:cs="Courier New"/>
                <w:color w:val="000000"/>
              </w:rPr>
              <w:t>Total operational and maintenance costs</w:t>
            </w:r>
          </w:p>
        </w:tc>
        <w:tc>
          <w:tcPr>
            <w:tcW w:w="2250" w:type="dxa"/>
            <w:shd w:val="clear" w:color="auto" w:fill="auto"/>
            <w:vAlign w:val="center"/>
          </w:tcPr>
          <w:p w:rsidR="00A838F4" w:rsidRPr="00AD5B08" w:rsidP="002C4F3F" w14:paraId="2D8F14ED" w14:textId="284A8073">
            <w:pPr>
              <w:contextualSpacing/>
              <w:jc w:val="right"/>
            </w:pPr>
            <w:r w:rsidRPr="00AD5B08">
              <w:t>$</w:t>
            </w:r>
            <w:r>
              <w:t>0</w:t>
            </w:r>
          </w:p>
        </w:tc>
      </w:tr>
      <w:tr w14:paraId="6128724D" w14:textId="77777777" w:rsidTr="002C4F3F">
        <w:tblPrEx>
          <w:tblW w:w="9270" w:type="dxa"/>
          <w:tblInd w:w="108" w:type="dxa"/>
          <w:tblLook w:val="04A0"/>
        </w:tblPrEx>
        <w:trPr>
          <w:trHeight w:val="440"/>
        </w:trPr>
        <w:tc>
          <w:tcPr>
            <w:tcW w:w="7020" w:type="dxa"/>
            <w:shd w:val="clear" w:color="auto" w:fill="auto"/>
            <w:vAlign w:val="center"/>
          </w:tcPr>
          <w:p w:rsidR="00A838F4" w:rsidP="002C4F3F" w14:paraId="7B9D1203" w14:textId="77777777">
            <w:pPr>
              <w:tabs>
                <w:tab w:val="left" w:pos="360"/>
              </w:tabs>
              <w:rPr>
                <w:rFonts w:cs="Courier New"/>
                <w:color w:val="000000"/>
              </w:rPr>
            </w:pPr>
            <w:r>
              <w:rPr>
                <w:rFonts w:cs="Courier New"/>
                <w:color w:val="000000"/>
              </w:rPr>
              <w:t>Total cost to the Federal Government</w:t>
            </w:r>
          </w:p>
        </w:tc>
        <w:tc>
          <w:tcPr>
            <w:tcW w:w="2250" w:type="dxa"/>
            <w:shd w:val="clear" w:color="auto" w:fill="auto"/>
            <w:vAlign w:val="center"/>
          </w:tcPr>
          <w:p w:rsidR="00A838F4" w:rsidRPr="00AD5B08" w:rsidP="002C4F3F" w14:paraId="53C90097" w14:textId="21122E49">
            <w:pPr>
              <w:contextualSpacing/>
              <w:jc w:val="right"/>
            </w:pPr>
            <w:r>
              <w:t>$</w:t>
            </w:r>
            <w:r w:rsidR="000E26D7">
              <w:t>11,236</w:t>
            </w:r>
          </w:p>
        </w:tc>
      </w:tr>
    </w:tbl>
    <w:p w:rsidR="00A838F4" w:rsidRPr="00A838F4" w:rsidP="00742EC8" w14:paraId="2BBD490B" w14:textId="1F05CE82">
      <w:pPr>
        <w:pStyle w:val="NormalWeb"/>
        <w:tabs>
          <w:tab w:val="left" w:pos="360"/>
          <w:tab w:val="left" w:pos="720"/>
          <w:tab w:val="left" w:pos="1080"/>
          <w:tab w:val="left" w:pos="1440"/>
        </w:tabs>
        <w:spacing w:before="0" w:beforeAutospacing="0" w:after="0" w:afterAutospacing="0"/>
      </w:pPr>
    </w:p>
    <w:p w:rsidR="00742EC8" w:rsidP="007B6E85" w14:paraId="0A7412D7" w14:textId="3CD0217A">
      <w:pPr>
        <w:pStyle w:val="NormalWeb"/>
        <w:tabs>
          <w:tab w:val="left" w:pos="360"/>
          <w:tab w:val="left" w:pos="720"/>
          <w:tab w:val="left" w:pos="1080"/>
          <w:tab w:val="left" w:pos="1440"/>
        </w:tabs>
        <w:spacing w:before="0" w:beforeAutospacing="0" w:after="0" w:afterAutospacing="0"/>
        <w:rPr>
          <w:u w:val="single"/>
        </w:rPr>
      </w:pPr>
      <w:r>
        <w:t xml:space="preserve">15.  </w:t>
      </w:r>
      <w:r>
        <w:rPr>
          <w:u w:val="single"/>
        </w:rPr>
        <w:t>Reasons for Change in Burden</w:t>
      </w:r>
    </w:p>
    <w:p w:rsidR="00AF6573" w:rsidP="007B6E85" w14:paraId="0F0CF579" w14:textId="4FB93904">
      <w:pPr>
        <w:pStyle w:val="NormalWeb"/>
        <w:tabs>
          <w:tab w:val="left" w:pos="360"/>
          <w:tab w:val="left" w:pos="720"/>
          <w:tab w:val="left" w:pos="1080"/>
          <w:tab w:val="left" w:pos="1440"/>
        </w:tabs>
        <w:spacing w:before="0" w:beforeAutospacing="0" w:after="0" w:afterAutospacing="0"/>
      </w:pPr>
    </w:p>
    <w:p w:rsidR="00AF6573" w:rsidRPr="00AF6573" w:rsidP="00EE7580" w14:paraId="0FCD2AD8" w14:textId="51867126">
      <w:pPr>
        <w:pStyle w:val="NormalWeb"/>
        <w:tabs>
          <w:tab w:val="left" w:pos="360"/>
          <w:tab w:val="left" w:pos="1080"/>
          <w:tab w:val="left" w:pos="1440"/>
        </w:tabs>
        <w:spacing w:before="0" w:beforeAutospacing="0" w:after="0" w:afterAutospacing="0"/>
      </w:pPr>
      <w:r>
        <w:tab/>
      </w:r>
      <w:r w:rsidRPr="00024106">
        <w:t xml:space="preserve">The burden was reduced due to a decrease in the total number of </w:t>
      </w:r>
      <w:r w:rsidRPr="00024106" w:rsidR="002910AD">
        <w:t>respondents</w:t>
      </w:r>
      <w:r w:rsidRPr="00024106" w:rsidR="00A838F4">
        <w:t xml:space="preserve"> and total number of annual responses</w:t>
      </w:r>
      <w:r w:rsidRPr="00024106">
        <w:t>.</w:t>
      </w:r>
    </w:p>
    <w:p w:rsidR="00AF6573" w:rsidP="007B6E85" w14:paraId="5E0AE094" w14:textId="191B8490">
      <w:pPr>
        <w:pStyle w:val="NormalWeb"/>
        <w:tabs>
          <w:tab w:val="left" w:pos="360"/>
          <w:tab w:val="left" w:pos="720"/>
          <w:tab w:val="left" w:pos="1080"/>
          <w:tab w:val="left" w:pos="1440"/>
        </w:tabs>
        <w:spacing w:before="0" w:beforeAutospacing="0" w:after="0" w:afterAutospacing="0"/>
      </w:pPr>
    </w:p>
    <w:tbl>
      <w:tblPr>
        <w:tblStyle w:val="TableGrid"/>
        <w:tblW w:w="9242" w:type="dxa"/>
        <w:tblInd w:w="108" w:type="dxa"/>
        <w:tblLook w:val="04A0"/>
      </w:tblPr>
      <w:tblGrid>
        <w:gridCol w:w="3408"/>
        <w:gridCol w:w="1825"/>
        <w:gridCol w:w="2004"/>
        <w:gridCol w:w="2005"/>
      </w:tblGrid>
      <w:tr w14:paraId="3B2FED6A" w14:textId="77777777" w:rsidTr="007B6E85">
        <w:tblPrEx>
          <w:tblW w:w="9242" w:type="dxa"/>
          <w:tblInd w:w="108" w:type="dxa"/>
          <w:tblLook w:val="04A0"/>
        </w:tblPrEx>
        <w:trPr>
          <w:trHeight w:val="432"/>
        </w:trPr>
        <w:tc>
          <w:tcPr>
            <w:tcW w:w="3408" w:type="dxa"/>
            <w:vAlign w:val="center"/>
          </w:tcPr>
          <w:bookmarkEnd w:id="12"/>
          <w:p w:rsidR="007B6E85" w:rsidRPr="007919A2" w:rsidP="00937D80" w14:paraId="79B44772" w14:textId="31AF3430">
            <w:pPr>
              <w:pStyle w:val="NormalWeb"/>
            </w:pPr>
            <w:r w:rsidRPr="007919A2">
              <w:t>Change in Burden</w:t>
            </w:r>
          </w:p>
        </w:tc>
        <w:tc>
          <w:tcPr>
            <w:tcW w:w="1825" w:type="dxa"/>
            <w:vAlign w:val="center"/>
          </w:tcPr>
          <w:p w:rsidR="007B6E85" w:rsidRPr="007919A2" w:rsidP="00937D80" w14:paraId="35718838" w14:textId="7E7D7C4A">
            <w:pPr>
              <w:pStyle w:val="NormalWeb"/>
              <w:jc w:val="right"/>
            </w:pPr>
            <w:r w:rsidRPr="007919A2">
              <w:t>201</w:t>
            </w:r>
            <w:r w:rsidR="00023667">
              <w:t>8</w:t>
            </w:r>
          </w:p>
        </w:tc>
        <w:tc>
          <w:tcPr>
            <w:tcW w:w="2004" w:type="dxa"/>
            <w:vAlign w:val="center"/>
          </w:tcPr>
          <w:p w:rsidR="007B6E85" w:rsidRPr="007B6E85" w:rsidP="00937D80" w14:paraId="096C5E80" w14:textId="1BCAB0AB">
            <w:pPr>
              <w:pStyle w:val="NormalWeb"/>
              <w:jc w:val="right"/>
              <w:rPr>
                <w:highlight w:val="yellow"/>
              </w:rPr>
            </w:pPr>
            <w:r w:rsidRPr="00520895">
              <w:t>2023</w:t>
            </w:r>
          </w:p>
        </w:tc>
        <w:tc>
          <w:tcPr>
            <w:tcW w:w="2005" w:type="dxa"/>
            <w:vAlign w:val="center"/>
          </w:tcPr>
          <w:p w:rsidR="007B6E85" w:rsidRPr="007B6E85" w:rsidP="00937D80" w14:paraId="1D720B80" w14:textId="77777777">
            <w:pPr>
              <w:pStyle w:val="NormalWeb"/>
              <w:jc w:val="right"/>
              <w:rPr>
                <w:highlight w:val="yellow"/>
              </w:rPr>
            </w:pPr>
            <w:r w:rsidRPr="00520895">
              <w:t>Difference</w:t>
            </w:r>
          </w:p>
        </w:tc>
      </w:tr>
      <w:tr w14:paraId="282236EC" w14:textId="77777777" w:rsidTr="007B6E85">
        <w:tblPrEx>
          <w:tblW w:w="9242" w:type="dxa"/>
          <w:tblInd w:w="108" w:type="dxa"/>
          <w:tblLook w:val="04A0"/>
        </w:tblPrEx>
        <w:trPr>
          <w:trHeight w:val="432"/>
        </w:trPr>
        <w:tc>
          <w:tcPr>
            <w:tcW w:w="3408" w:type="dxa"/>
            <w:vAlign w:val="center"/>
          </w:tcPr>
          <w:p w:rsidR="007B6E85" w:rsidRPr="007919A2" w:rsidP="007B6E85" w14:paraId="38B3D306" w14:textId="77777777">
            <w:pPr>
              <w:pStyle w:val="NormalWeb"/>
            </w:pPr>
            <w:r w:rsidRPr="007919A2">
              <w:t>Number of respondents</w:t>
            </w:r>
          </w:p>
        </w:tc>
        <w:tc>
          <w:tcPr>
            <w:tcW w:w="1825" w:type="dxa"/>
            <w:vAlign w:val="center"/>
          </w:tcPr>
          <w:p w:rsidR="007B6E85" w:rsidP="007B6E85" w14:paraId="557A6E0D" w14:textId="7FFF0CB8">
            <w:pPr>
              <w:pStyle w:val="NormalWeb"/>
              <w:jc w:val="right"/>
            </w:pPr>
            <w:r>
              <w:t>12</w:t>
            </w:r>
            <w:r w:rsidR="00023667">
              <w:t>7</w:t>
            </w:r>
          </w:p>
        </w:tc>
        <w:tc>
          <w:tcPr>
            <w:tcW w:w="2004" w:type="dxa"/>
            <w:vAlign w:val="center"/>
          </w:tcPr>
          <w:p w:rsidR="007B6E85" w:rsidRPr="007B6E85" w:rsidP="007B6E85" w14:paraId="2F69F225" w14:textId="33985538">
            <w:pPr>
              <w:pStyle w:val="NormalWeb"/>
              <w:jc w:val="right"/>
              <w:rPr>
                <w:highlight w:val="yellow"/>
              </w:rPr>
            </w:pPr>
            <w:r>
              <w:t>1</w:t>
            </w:r>
            <w:r w:rsidR="002910AD">
              <w:t>05</w:t>
            </w:r>
          </w:p>
        </w:tc>
        <w:tc>
          <w:tcPr>
            <w:tcW w:w="2005" w:type="dxa"/>
            <w:vAlign w:val="center"/>
          </w:tcPr>
          <w:p w:rsidR="007B6E85" w:rsidRPr="007B6E85" w:rsidP="007B6E85" w14:paraId="0E7B380E" w14:textId="5C80D70F">
            <w:pPr>
              <w:pStyle w:val="NormalWeb"/>
              <w:jc w:val="right"/>
              <w:rPr>
                <w:highlight w:val="yellow"/>
              </w:rPr>
            </w:pPr>
            <w:r>
              <w:t>-</w:t>
            </w:r>
            <w:r w:rsidR="00024106">
              <w:t>22</w:t>
            </w:r>
          </w:p>
        </w:tc>
      </w:tr>
      <w:tr w14:paraId="4B8F9665" w14:textId="77777777" w:rsidTr="007B6E85">
        <w:tblPrEx>
          <w:tblW w:w="9242" w:type="dxa"/>
          <w:tblInd w:w="108" w:type="dxa"/>
          <w:tblLook w:val="04A0"/>
        </w:tblPrEx>
        <w:trPr>
          <w:trHeight w:val="432"/>
        </w:trPr>
        <w:tc>
          <w:tcPr>
            <w:tcW w:w="3408" w:type="dxa"/>
            <w:vAlign w:val="center"/>
          </w:tcPr>
          <w:p w:rsidR="007B6E85" w:rsidRPr="007919A2" w:rsidP="007B6E85" w14:paraId="43A1BA4D" w14:textId="77777777">
            <w:pPr>
              <w:pStyle w:val="NormalWeb"/>
            </w:pPr>
            <w:r w:rsidRPr="007919A2">
              <w:t>Total annual responses</w:t>
            </w:r>
          </w:p>
        </w:tc>
        <w:tc>
          <w:tcPr>
            <w:tcW w:w="1825" w:type="dxa"/>
            <w:vAlign w:val="center"/>
          </w:tcPr>
          <w:p w:rsidR="007B6E85" w:rsidP="007B6E85" w14:paraId="35EFAB2A" w14:textId="52DE76F0">
            <w:pPr>
              <w:pStyle w:val="NormalWeb"/>
              <w:jc w:val="right"/>
            </w:pPr>
            <w:r>
              <w:t>2</w:t>
            </w:r>
            <w:r w:rsidR="00024106">
              <w:t>55</w:t>
            </w:r>
          </w:p>
        </w:tc>
        <w:tc>
          <w:tcPr>
            <w:tcW w:w="2004" w:type="dxa"/>
            <w:vAlign w:val="center"/>
          </w:tcPr>
          <w:p w:rsidR="007B6E85" w:rsidRPr="007B6E85" w:rsidP="007B6E85" w14:paraId="56213417" w14:textId="436A27EA">
            <w:pPr>
              <w:pStyle w:val="NormalWeb"/>
              <w:jc w:val="right"/>
              <w:rPr>
                <w:highlight w:val="yellow"/>
              </w:rPr>
            </w:pPr>
            <w:r>
              <w:t>212</w:t>
            </w:r>
          </w:p>
        </w:tc>
        <w:tc>
          <w:tcPr>
            <w:tcW w:w="2005" w:type="dxa"/>
            <w:vAlign w:val="center"/>
          </w:tcPr>
          <w:p w:rsidR="007B6E85" w:rsidRPr="00520895" w:rsidP="007B6E85" w14:paraId="52D835AA" w14:textId="7CD4784D">
            <w:pPr>
              <w:pStyle w:val="NormalWeb"/>
              <w:jc w:val="right"/>
            </w:pPr>
            <w:r w:rsidRPr="00520895">
              <w:t>-</w:t>
            </w:r>
            <w:r w:rsidR="00024106">
              <w:t>43</w:t>
            </w:r>
          </w:p>
        </w:tc>
      </w:tr>
      <w:tr w14:paraId="64FD287A" w14:textId="77777777" w:rsidTr="007B6E85">
        <w:tblPrEx>
          <w:tblW w:w="9242" w:type="dxa"/>
          <w:tblInd w:w="108" w:type="dxa"/>
          <w:tblLook w:val="04A0"/>
        </w:tblPrEx>
        <w:trPr>
          <w:trHeight w:val="432"/>
        </w:trPr>
        <w:tc>
          <w:tcPr>
            <w:tcW w:w="3408" w:type="dxa"/>
            <w:vAlign w:val="center"/>
          </w:tcPr>
          <w:p w:rsidR="007B6E85" w:rsidRPr="007919A2" w:rsidP="007B6E85" w14:paraId="5E898026" w14:textId="77777777">
            <w:pPr>
              <w:pStyle w:val="NormalWeb"/>
            </w:pPr>
            <w:r w:rsidRPr="007919A2">
              <w:t>Total hours</w:t>
            </w:r>
          </w:p>
        </w:tc>
        <w:tc>
          <w:tcPr>
            <w:tcW w:w="1825" w:type="dxa"/>
            <w:vAlign w:val="center"/>
          </w:tcPr>
          <w:p w:rsidR="007B6E85" w:rsidP="007B6E85" w14:paraId="262BF90F" w14:textId="5E77EC7D">
            <w:pPr>
              <w:pStyle w:val="NormalWeb"/>
              <w:jc w:val="right"/>
            </w:pPr>
            <w:r>
              <w:t>595</w:t>
            </w:r>
          </w:p>
        </w:tc>
        <w:tc>
          <w:tcPr>
            <w:tcW w:w="2004" w:type="dxa"/>
            <w:vAlign w:val="center"/>
          </w:tcPr>
          <w:p w:rsidR="007B6E85" w:rsidRPr="007B6E85" w:rsidP="007B6E85" w14:paraId="71552F74" w14:textId="4B5CD036">
            <w:pPr>
              <w:pStyle w:val="NormalWeb"/>
              <w:jc w:val="right"/>
              <w:rPr>
                <w:highlight w:val="yellow"/>
              </w:rPr>
            </w:pPr>
            <w:r>
              <w:t>51</w:t>
            </w:r>
            <w:r w:rsidR="000E26D7">
              <w:t>2</w:t>
            </w:r>
          </w:p>
        </w:tc>
        <w:tc>
          <w:tcPr>
            <w:tcW w:w="2005" w:type="dxa"/>
            <w:vAlign w:val="center"/>
          </w:tcPr>
          <w:p w:rsidR="007B6E85" w:rsidRPr="007B6E85" w:rsidP="007B6E85" w14:paraId="6C0A5F76" w14:textId="6A460195">
            <w:pPr>
              <w:pStyle w:val="NormalWeb"/>
              <w:jc w:val="right"/>
              <w:rPr>
                <w:highlight w:val="yellow"/>
              </w:rPr>
            </w:pPr>
            <w:r w:rsidRPr="00520895">
              <w:t>-</w:t>
            </w:r>
            <w:r w:rsidR="000E26D7">
              <w:t>83</w:t>
            </w:r>
          </w:p>
        </w:tc>
      </w:tr>
      <w:tr w14:paraId="3A43EB04" w14:textId="77777777" w:rsidTr="007B6E85">
        <w:tblPrEx>
          <w:tblW w:w="9242" w:type="dxa"/>
          <w:tblInd w:w="108" w:type="dxa"/>
          <w:tblLook w:val="04A0"/>
        </w:tblPrEx>
        <w:trPr>
          <w:trHeight w:val="432"/>
        </w:trPr>
        <w:tc>
          <w:tcPr>
            <w:tcW w:w="3408" w:type="dxa"/>
            <w:vAlign w:val="center"/>
          </w:tcPr>
          <w:p w:rsidR="007B6E85" w:rsidRPr="007919A2" w:rsidP="007B6E85" w14:paraId="5F06BED7" w14:textId="68E1EB0B">
            <w:pPr>
              <w:pStyle w:val="NormalWeb"/>
            </w:pPr>
            <w:r w:rsidRPr="007919A2">
              <w:t>Cost per hour</w:t>
            </w:r>
          </w:p>
        </w:tc>
        <w:tc>
          <w:tcPr>
            <w:tcW w:w="1825" w:type="dxa"/>
            <w:vAlign w:val="center"/>
          </w:tcPr>
          <w:p w:rsidR="007B6E85" w:rsidRPr="007919A2" w:rsidP="007B6E85" w14:paraId="62CDE841" w14:textId="2B2E5C40">
            <w:pPr>
              <w:pStyle w:val="NormalWeb"/>
              <w:jc w:val="right"/>
            </w:pPr>
            <w:r w:rsidRPr="007919A2">
              <w:t>$</w:t>
            </w:r>
            <w:r>
              <w:t>46</w:t>
            </w:r>
          </w:p>
        </w:tc>
        <w:tc>
          <w:tcPr>
            <w:tcW w:w="2004" w:type="dxa"/>
            <w:vAlign w:val="center"/>
          </w:tcPr>
          <w:p w:rsidR="007B6E85" w:rsidRPr="007B6E85" w:rsidP="007B6E85" w14:paraId="033195E4" w14:textId="16F56B4B">
            <w:pPr>
              <w:pStyle w:val="NormalWeb"/>
              <w:jc w:val="right"/>
              <w:rPr>
                <w:highlight w:val="yellow"/>
              </w:rPr>
            </w:pPr>
            <w:r w:rsidRPr="00520895">
              <w:t>$</w:t>
            </w:r>
            <w:r w:rsidR="00307C34">
              <w:t>53</w:t>
            </w:r>
          </w:p>
        </w:tc>
        <w:tc>
          <w:tcPr>
            <w:tcW w:w="2005" w:type="dxa"/>
            <w:vAlign w:val="center"/>
          </w:tcPr>
          <w:p w:rsidR="007B6E85" w:rsidRPr="007B6E85" w:rsidP="007B6E85" w14:paraId="20500E5E" w14:textId="1C2DD4B6">
            <w:pPr>
              <w:pStyle w:val="NormalWeb"/>
              <w:jc w:val="right"/>
              <w:rPr>
                <w:highlight w:val="yellow"/>
              </w:rPr>
            </w:pPr>
            <w:r w:rsidRPr="00307C34">
              <w:t>+$7</w:t>
            </w:r>
          </w:p>
        </w:tc>
      </w:tr>
      <w:tr w14:paraId="34C57C31" w14:textId="77777777" w:rsidTr="007B6E85">
        <w:tblPrEx>
          <w:tblW w:w="9242" w:type="dxa"/>
          <w:tblInd w:w="108" w:type="dxa"/>
          <w:tblLook w:val="04A0"/>
        </w:tblPrEx>
        <w:trPr>
          <w:trHeight w:val="432"/>
        </w:trPr>
        <w:tc>
          <w:tcPr>
            <w:tcW w:w="3408" w:type="dxa"/>
            <w:vAlign w:val="center"/>
          </w:tcPr>
          <w:p w:rsidR="007B6E85" w:rsidRPr="007919A2" w:rsidP="007B6E85" w14:paraId="5A9BD224" w14:textId="77777777">
            <w:pPr>
              <w:pStyle w:val="NormalWeb"/>
            </w:pPr>
            <w:r w:rsidRPr="007919A2">
              <w:t>Total Costs</w:t>
            </w:r>
          </w:p>
        </w:tc>
        <w:tc>
          <w:tcPr>
            <w:tcW w:w="1825" w:type="dxa"/>
            <w:vAlign w:val="center"/>
          </w:tcPr>
          <w:p w:rsidR="007B6E85" w:rsidRPr="007919A2" w:rsidP="007B6E85" w14:paraId="7CF533B5" w14:textId="6391A77F">
            <w:pPr>
              <w:pStyle w:val="NormalWeb"/>
              <w:jc w:val="right"/>
            </w:pPr>
            <w:r w:rsidRPr="007919A2">
              <w:t>$</w:t>
            </w:r>
            <w:r w:rsidR="00024106">
              <w:t>27</w:t>
            </w:r>
            <w:r>
              <w:t>,</w:t>
            </w:r>
            <w:r w:rsidR="00024106">
              <w:t>336</w:t>
            </w:r>
          </w:p>
        </w:tc>
        <w:tc>
          <w:tcPr>
            <w:tcW w:w="2004" w:type="dxa"/>
            <w:vAlign w:val="center"/>
          </w:tcPr>
          <w:p w:rsidR="007B6E85" w:rsidRPr="007B6E85" w:rsidP="007B6E85" w14:paraId="04D634FC" w14:textId="07FA6562">
            <w:pPr>
              <w:pStyle w:val="NormalWeb"/>
              <w:jc w:val="right"/>
              <w:rPr>
                <w:highlight w:val="yellow"/>
              </w:rPr>
            </w:pPr>
            <w:r w:rsidRPr="00307C34">
              <w:t>$</w:t>
            </w:r>
            <w:r w:rsidR="00605499">
              <w:t>27,</w:t>
            </w:r>
            <w:r w:rsidR="000E26D7">
              <w:t>136</w:t>
            </w:r>
          </w:p>
        </w:tc>
        <w:tc>
          <w:tcPr>
            <w:tcW w:w="2005" w:type="dxa"/>
            <w:vAlign w:val="center"/>
          </w:tcPr>
          <w:p w:rsidR="007B6E85" w:rsidRPr="007B6E85" w:rsidP="007B6E85" w14:paraId="28BB4EA9" w14:textId="3EE962A5">
            <w:pPr>
              <w:pStyle w:val="NormalWeb"/>
              <w:jc w:val="right"/>
              <w:rPr>
                <w:highlight w:val="yellow"/>
              </w:rPr>
            </w:pPr>
            <w:r w:rsidRPr="00307C34">
              <w:t>-$</w:t>
            </w:r>
            <w:r w:rsidR="000E26D7">
              <w:t>200</w:t>
            </w:r>
          </w:p>
        </w:tc>
      </w:tr>
    </w:tbl>
    <w:p w:rsidR="00742EC8" w:rsidRPr="00D141EB" w:rsidP="00742EC8" w14:paraId="173A32A1" w14:textId="311FAEBA">
      <w:pPr>
        <w:pStyle w:val="NormalWeb"/>
        <w:tabs>
          <w:tab w:val="left" w:pos="360"/>
          <w:tab w:val="left" w:pos="720"/>
          <w:tab w:val="left" w:pos="1080"/>
          <w:tab w:val="left" w:pos="1440"/>
        </w:tabs>
        <w:spacing w:line="288" w:lineRule="atLeast"/>
        <w:rPr>
          <w:u w:val="single"/>
        </w:rPr>
      </w:pPr>
      <w:r>
        <w:t xml:space="preserve">16.  </w:t>
      </w:r>
      <w:r>
        <w:rPr>
          <w:u w:val="single"/>
        </w:rPr>
        <w:t>Publication of Results</w:t>
      </w:r>
    </w:p>
    <w:p w:rsidR="00742EC8" w:rsidP="00742EC8" w14:paraId="2EB50143" w14:textId="4AAAECB7">
      <w:pPr>
        <w:pStyle w:val="NormalWeb"/>
        <w:tabs>
          <w:tab w:val="left" w:pos="360"/>
          <w:tab w:val="left" w:pos="720"/>
          <w:tab w:val="left" w:pos="1080"/>
          <w:tab w:val="left" w:pos="1440"/>
        </w:tabs>
        <w:spacing w:line="288" w:lineRule="atLeast"/>
      </w:pPr>
      <w:bookmarkStart w:id="13" w:name="cp471"/>
      <w:r>
        <w:tab/>
      </w:r>
      <w:r w:rsidR="00EE7580">
        <w:t>The results of this information collection will not be published.</w:t>
      </w:r>
    </w:p>
    <w:p w:rsidR="00742EC8" w:rsidP="00742EC8" w14:paraId="70FE38B6" w14:textId="277EE885">
      <w:pPr>
        <w:pStyle w:val="NormalWeb"/>
        <w:tabs>
          <w:tab w:val="left" w:pos="360"/>
          <w:tab w:val="left" w:pos="720"/>
          <w:tab w:val="left" w:pos="1080"/>
          <w:tab w:val="left" w:pos="1440"/>
        </w:tabs>
        <w:spacing w:line="288" w:lineRule="atLeast"/>
      </w:pPr>
      <w:r>
        <w:t xml:space="preserve">17.  </w:t>
      </w:r>
      <w:r>
        <w:rPr>
          <w:u w:val="single"/>
        </w:rPr>
        <w:t>Non-Display of OMB Expiration Date</w:t>
      </w:r>
    </w:p>
    <w:p w:rsidR="00EE7580" w:rsidRPr="0025343B" w:rsidP="00EE7580" w14:paraId="71CB5F4B" w14:textId="1A47FD60">
      <w:pPr>
        <w:ind w:firstLine="360"/>
      </w:pPr>
      <w:bookmarkStart w:id="14" w:name="cp473"/>
      <w:bookmarkEnd w:id="13"/>
      <w:r>
        <w:t>DoD is</w:t>
      </w:r>
      <w:r w:rsidRPr="002831AF">
        <w:t xml:space="preserve"> not seeking approval to omit the display of the expiration date of the OMB approval on the collection instrument.</w:t>
      </w:r>
    </w:p>
    <w:p w:rsidR="00742EC8" w:rsidP="00742EC8" w14:paraId="1DD1F26C" w14:textId="56D01DFF">
      <w:pPr>
        <w:pStyle w:val="NormalWeb"/>
        <w:tabs>
          <w:tab w:val="left" w:pos="360"/>
          <w:tab w:val="left" w:pos="720"/>
          <w:tab w:val="left" w:pos="1080"/>
          <w:tab w:val="left" w:pos="1440"/>
        </w:tabs>
        <w:spacing w:line="288" w:lineRule="atLeast"/>
      </w:pPr>
      <w:r>
        <w:t xml:space="preserve">18.  </w:t>
      </w:r>
      <w:r>
        <w:rPr>
          <w:u w:val="single"/>
        </w:rPr>
        <w:t>Exceptions to “Certification for Paperwork Reduction Submissions”</w:t>
      </w:r>
    </w:p>
    <w:bookmarkEnd w:id="14"/>
    <w:p w:rsidR="00D141EB" w:rsidRPr="00D733F1" w:rsidP="00D733F1" w14:paraId="7A28DAA9" w14:textId="5C100544">
      <w:pPr>
        <w:ind w:firstLine="360"/>
        <w:rPr>
          <w:i/>
        </w:rPr>
      </w:pPr>
      <w:r>
        <w:t xml:space="preserve">DoD is </w:t>
      </w:r>
      <w:r w:rsidRPr="0025343B">
        <w:t xml:space="preserve">not requesting any exemptions to the provisions </w:t>
      </w:r>
      <w:r>
        <w:t>stated in 5 CFR</w:t>
      </w:r>
      <w:r>
        <w:t xml:space="preserve"> 1320.9.</w:t>
      </w:r>
    </w:p>
    <w:sectPr w:rsidSect="004E0BFA">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839195"/>
      <w:docPartObj>
        <w:docPartGallery w:val="Page Numbers (Bottom of Page)"/>
        <w:docPartUnique/>
      </w:docPartObj>
    </w:sdtPr>
    <w:sdtContent>
      <w:sdt>
        <w:sdtPr>
          <w:id w:val="1728636285"/>
          <w:docPartObj>
            <w:docPartGallery w:val="Page Numbers (Top of Page)"/>
            <w:docPartUnique/>
          </w:docPartObj>
        </w:sdtPr>
        <w:sdtContent>
          <w:p w:rsidR="009C1958" w14:paraId="505144C2" w14:textId="3342CA3A">
            <w:pPr>
              <w:pStyle w:val="Footer"/>
              <w:jc w:val="center"/>
            </w:pPr>
            <w:r>
              <w:t xml:space="preserve">Page </w:t>
            </w:r>
            <w:r>
              <w:rPr>
                <w:b/>
                <w:bCs/>
              </w:rPr>
              <w:fldChar w:fldCharType="begin"/>
            </w:r>
            <w:r>
              <w:rPr>
                <w:b/>
                <w:bCs/>
              </w:rPr>
              <w:instrText xml:space="preserve"> PAGE </w:instrText>
            </w:r>
            <w:r>
              <w:rPr>
                <w:b/>
                <w:bCs/>
              </w:rPr>
              <w:fldChar w:fldCharType="separate"/>
            </w:r>
            <w:r w:rsidR="0025182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5182E">
              <w:rPr>
                <w:b/>
                <w:bCs/>
                <w:noProof/>
              </w:rPr>
              <w:t>4</w:t>
            </w:r>
            <w:r>
              <w:rPr>
                <w:b/>
                <w:bCs/>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5EB" w:rsidRPr="00106986" w:rsidP="00C735EB" w14:paraId="5378DA45"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75C395C"/>
    <w:multiLevelType w:val="hybridMultilevel"/>
    <w:tmpl w:val="8D88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1755428">
    <w:abstractNumId w:val="0"/>
  </w:num>
  <w:num w:numId="2" w16cid:durableId="37704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23667"/>
    <w:rsid w:val="00024106"/>
    <w:rsid w:val="00047B00"/>
    <w:rsid w:val="000611B8"/>
    <w:rsid w:val="000661FB"/>
    <w:rsid w:val="00067759"/>
    <w:rsid w:val="000870EB"/>
    <w:rsid w:val="000A2459"/>
    <w:rsid w:val="000A2A03"/>
    <w:rsid w:val="000A65E1"/>
    <w:rsid w:val="000A69A5"/>
    <w:rsid w:val="000E26D7"/>
    <w:rsid w:val="00106986"/>
    <w:rsid w:val="00111581"/>
    <w:rsid w:val="0012026A"/>
    <w:rsid w:val="00127C69"/>
    <w:rsid w:val="00127D1D"/>
    <w:rsid w:val="00142061"/>
    <w:rsid w:val="00167BD8"/>
    <w:rsid w:val="00173B9B"/>
    <w:rsid w:val="00181A63"/>
    <w:rsid w:val="00191C5D"/>
    <w:rsid w:val="001C438A"/>
    <w:rsid w:val="001E74A7"/>
    <w:rsid w:val="001F0AA6"/>
    <w:rsid w:val="002230B5"/>
    <w:rsid w:val="00231701"/>
    <w:rsid w:val="00234795"/>
    <w:rsid w:val="002429FD"/>
    <w:rsid w:val="0025182E"/>
    <w:rsid w:val="0025343B"/>
    <w:rsid w:val="002570C8"/>
    <w:rsid w:val="00270A42"/>
    <w:rsid w:val="002831AF"/>
    <w:rsid w:val="002910AD"/>
    <w:rsid w:val="002A0739"/>
    <w:rsid w:val="002B45A0"/>
    <w:rsid w:val="002C4F3F"/>
    <w:rsid w:val="002D15B5"/>
    <w:rsid w:val="0030008B"/>
    <w:rsid w:val="003002A0"/>
    <w:rsid w:val="00304EFD"/>
    <w:rsid w:val="00305997"/>
    <w:rsid w:val="00307C34"/>
    <w:rsid w:val="0032295F"/>
    <w:rsid w:val="00347660"/>
    <w:rsid w:val="00365AB4"/>
    <w:rsid w:val="00393AB2"/>
    <w:rsid w:val="003C26F7"/>
    <w:rsid w:val="003C64F9"/>
    <w:rsid w:val="003D3DB4"/>
    <w:rsid w:val="003E1230"/>
    <w:rsid w:val="003F4357"/>
    <w:rsid w:val="00400227"/>
    <w:rsid w:val="00467874"/>
    <w:rsid w:val="004B27AF"/>
    <w:rsid w:val="004B6441"/>
    <w:rsid w:val="004C2A9B"/>
    <w:rsid w:val="004C2CA8"/>
    <w:rsid w:val="004C7516"/>
    <w:rsid w:val="004D1561"/>
    <w:rsid w:val="004E0BFA"/>
    <w:rsid w:val="00520895"/>
    <w:rsid w:val="00533827"/>
    <w:rsid w:val="00555DFE"/>
    <w:rsid w:val="00566045"/>
    <w:rsid w:val="00585AA2"/>
    <w:rsid w:val="005B7580"/>
    <w:rsid w:val="005C4463"/>
    <w:rsid w:val="005C6897"/>
    <w:rsid w:val="005D71DA"/>
    <w:rsid w:val="005E0A0F"/>
    <w:rsid w:val="005E2D30"/>
    <w:rsid w:val="0060388A"/>
    <w:rsid w:val="00605499"/>
    <w:rsid w:val="006341C6"/>
    <w:rsid w:val="00635430"/>
    <w:rsid w:val="00661933"/>
    <w:rsid w:val="006B2B17"/>
    <w:rsid w:val="006C3327"/>
    <w:rsid w:val="006D0E1D"/>
    <w:rsid w:val="006E7819"/>
    <w:rsid w:val="007269F6"/>
    <w:rsid w:val="007318EF"/>
    <w:rsid w:val="00736CE3"/>
    <w:rsid w:val="00736ED8"/>
    <w:rsid w:val="00742EC8"/>
    <w:rsid w:val="00746F33"/>
    <w:rsid w:val="007772B8"/>
    <w:rsid w:val="007919A2"/>
    <w:rsid w:val="00794D07"/>
    <w:rsid w:val="007B1250"/>
    <w:rsid w:val="007B6E85"/>
    <w:rsid w:val="007E450E"/>
    <w:rsid w:val="007F3D60"/>
    <w:rsid w:val="00804468"/>
    <w:rsid w:val="00843E30"/>
    <w:rsid w:val="008552E6"/>
    <w:rsid w:val="00856A56"/>
    <w:rsid w:val="00876454"/>
    <w:rsid w:val="008972BD"/>
    <w:rsid w:val="00937D80"/>
    <w:rsid w:val="00987E0B"/>
    <w:rsid w:val="009926BE"/>
    <w:rsid w:val="009C1958"/>
    <w:rsid w:val="009D4981"/>
    <w:rsid w:val="009E3C9E"/>
    <w:rsid w:val="00A16A4A"/>
    <w:rsid w:val="00A442C1"/>
    <w:rsid w:val="00A46C4D"/>
    <w:rsid w:val="00A6761C"/>
    <w:rsid w:val="00A7063B"/>
    <w:rsid w:val="00A72E0E"/>
    <w:rsid w:val="00A838F4"/>
    <w:rsid w:val="00A93CBF"/>
    <w:rsid w:val="00AA5516"/>
    <w:rsid w:val="00AA7B91"/>
    <w:rsid w:val="00AC3144"/>
    <w:rsid w:val="00AC5BD4"/>
    <w:rsid w:val="00AD30C4"/>
    <w:rsid w:val="00AD5B08"/>
    <w:rsid w:val="00AF6573"/>
    <w:rsid w:val="00AF66E0"/>
    <w:rsid w:val="00B01E90"/>
    <w:rsid w:val="00B36CC0"/>
    <w:rsid w:val="00B407EC"/>
    <w:rsid w:val="00B469FC"/>
    <w:rsid w:val="00B67D1D"/>
    <w:rsid w:val="00B75E8A"/>
    <w:rsid w:val="00B81532"/>
    <w:rsid w:val="00B83DF8"/>
    <w:rsid w:val="00BB78CE"/>
    <w:rsid w:val="00BC2EFC"/>
    <w:rsid w:val="00BD0CD1"/>
    <w:rsid w:val="00BE5F25"/>
    <w:rsid w:val="00BE6195"/>
    <w:rsid w:val="00BF6680"/>
    <w:rsid w:val="00C00C1A"/>
    <w:rsid w:val="00C34D08"/>
    <w:rsid w:val="00C446DC"/>
    <w:rsid w:val="00C66D8C"/>
    <w:rsid w:val="00C735EB"/>
    <w:rsid w:val="00C86934"/>
    <w:rsid w:val="00CF186E"/>
    <w:rsid w:val="00CF24C0"/>
    <w:rsid w:val="00CF517D"/>
    <w:rsid w:val="00D04627"/>
    <w:rsid w:val="00D141EB"/>
    <w:rsid w:val="00D3287F"/>
    <w:rsid w:val="00D37A50"/>
    <w:rsid w:val="00D46148"/>
    <w:rsid w:val="00D55C89"/>
    <w:rsid w:val="00D733F1"/>
    <w:rsid w:val="00D74D55"/>
    <w:rsid w:val="00D778DB"/>
    <w:rsid w:val="00D922CC"/>
    <w:rsid w:val="00DF6D72"/>
    <w:rsid w:val="00E53C2C"/>
    <w:rsid w:val="00E84D59"/>
    <w:rsid w:val="00E90B41"/>
    <w:rsid w:val="00E94BCA"/>
    <w:rsid w:val="00EA500A"/>
    <w:rsid w:val="00EB0C6C"/>
    <w:rsid w:val="00EB2A93"/>
    <w:rsid w:val="00EB387C"/>
    <w:rsid w:val="00ED1BF6"/>
    <w:rsid w:val="00EE3AE2"/>
    <w:rsid w:val="00EE4AD0"/>
    <w:rsid w:val="00EE7580"/>
    <w:rsid w:val="00F1447C"/>
    <w:rsid w:val="00F31E60"/>
    <w:rsid w:val="00F32885"/>
    <w:rsid w:val="00F357EB"/>
    <w:rsid w:val="00F35F77"/>
    <w:rsid w:val="00F508E6"/>
    <w:rsid w:val="00F81E1F"/>
    <w:rsid w:val="00F92085"/>
    <w:rsid w:val="00F92ACC"/>
    <w:rsid w:val="00FA1A4B"/>
    <w:rsid w:val="00FB3212"/>
    <w:rsid w:val="00FC15CF"/>
    <w:rsid w:val="00FD0AA7"/>
    <w:rsid w:val="00FE4006"/>
    <w:rsid w:val="00FE570C"/>
    <w:rsid w:val="00FF23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C7309D"/>
  <w15:docId w15:val="{4B465409-B4AA-4762-A881-51CDF63F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0661FB"/>
    <w:rPr>
      <w:color w:val="0000FF" w:themeColor="hyperlink"/>
      <w:u w:val="single"/>
    </w:rPr>
  </w:style>
  <w:style w:type="character" w:styleId="CommentReference">
    <w:name w:val="annotation reference"/>
    <w:basedOn w:val="DefaultParagraphFont"/>
    <w:uiPriority w:val="99"/>
    <w:semiHidden/>
    <w:unhideWhenUsed/>
    <w:rsid w:val="002B45A0"/>
    <w:rPr>
      <w:sz w:val="16"/>
      <w:szCs w:val="16"/>
    </w:rPr>
  </w:style>
  <w:style w:type="paragraph" w:styleId="CommentText">
    <w:name w:val="annotation text"/>
    <w:basedOn w:val="Normal"/>
    <w:link w:val="CommentTextChar"/>
    <w:uiPriority w:val="99"/>
    <w:semiHidden/>
    <w:unhideWhenUsed/>
    <w:rsid w:val="002B45A0"/>
    <w:rPr>
      <w:sz w:val="20"/>
      <w:szCs w:val="20"/>
    </w:rPr>
  </w:style>
  <w:style w:type="character" w:customStyle="1" w:styleId="CommentTextChar">
    <w:name w:val="Comment Text Char"/>
    <w:basedOn w:val="DefaultParagraphFont"/>
    <w:link w:val="CommentText"/>
    <w:uiPriority w:val="99"/>
    <w:semiHidden/>
    <w:rsid w:val="002B45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B45A0"/>
    <w:rPr>
      <w:b/>
      <w:bCs/>
    </w:rPr>
  </w:style>
  <w:style w:type="character" w:customStyle="1" w:styleId="CommentSubjectChar">
    <w:name w:val="Comment Subject Char"/>
    <w:basedOn w:val="CommentTextChar"/>
    <w:link w:val="CommentSubject"/>
    <w:uiPriority w:val="99"/>
    <w:semiHidden/>
    <w:rsid w:val="002B45A0"/>
    <w:rPr>
      <w:rFonts w:ascii="Times New Roman" w:eastAsia="Times New Roman" w:hAnsi="Times New Roman"/>
      <w:b/>
      <w:bCs/>
    </w:rPr>
  </w:style>
  <w:style w:type="table" w:styleId="TableGrid">
    <w:name w:val="Table Grid"/>
    <w:basedOn w:val="TableNormal"/>
    <w:uiPriority w:val="59"/>
    <w:rsid w:val="00742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4AD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805E-33CD-468A-848B-9F49F2FA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Kim, Joshua T CIV WHS ESD (USA)</cp:lastModifiedBy>
  <cp:revision>2</cp:revision>
  <cp:lastPrinted>2017-09-15T17:10:00Z</cp:lastPrinted>
  <dcterms:created xsi:type="dcterms:W3CDTF">2023-09-28T11:40:00Z</dcterms:created>
  <dcterms:modified xsi:type="dcterms:W3CDTF">2023-09-28T11:40:00Z</dcterms:modified>
</cp:coreProperties>
</file>